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074" w:rsidRDefault="00780105" w:rsidP="00FC0D6A">
      <w:pPr>
        <w:spacing w:after="0"/>
        <w:jc w:val="center"/>
        <w:rPr>
          <w:rFonts w:cs="Calibri"/>
          <w:b/>
          <w:szCs w:val="24"/>
        </w:rPr>
      </w:pPr>
      <w:r w:rsidRPr="00946806">
        <w:rPr>
          <w:rFonts w:cstheme="minorHAnsi"/>
          <w:b/>
          <w:noProof/>
          <w:szCs w:val="28"/>
          <w:highlight w:val="yellow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44450</wp:posOffset>
            </wp:positionV>
            <wp:extent cx="827405" cy="713740"/>
            <wp:effectExtent l="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39141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074" w:rsidRDefault="00902074" w:rsidP="00FC0D6A">
      <w:pPr>
        <w:spacing w:after="0"/>
        <w:jc w:val="center"/>
        <w:rPr>
          <w:rFonts w:cs="Calibri"/>
          <w:b/>
          <w:szCs w:val="24"/>
        </w:rPr>
      </w:pPr>
    </w:p>
    <w:p w:rsidR="00FC0D6A" w:rsidRPr="006921D7" w:rsidRDefault="00FC0D6A" w:rsidP="00FC0D6A">
      <w:pPr>
        <w:spacing w:after="0"/>
        <w:jc w:val="center"/>
        <w:rPr>
          <w:rFonts w:cs="Calibri"/>
          <w:b/>
          <w:szCs w:val="24"/>
        </w:rPr>
      </w:pPr>
    </w:p>
    <w:p w:rsidR="00FE5C8F" w:rsidRDefault="00780105" w:rsidP="00FC0D6A">
      <w:pPr>
        <w:spacing w:after="0"/>
        <w:jc w:val="center"/>
        <w:rPr>
          <w:rFonts w:cs="Calibri"/>
          <w:b/>
          <w:bCs/>
          <w:color w:val="000000"/>
          <w:sz w:val="28"/>
          <w:szCs w:val="24"/>
        </w:rPr>
      </w:pPr>
      <w:r w:rsidRPr="006921D7">
        <w:rPr>
          <w:rFonts w:cs="Calibri"/>
          <w:b/>
          <w:bCs/>
          <w:color w:val="000000"/>
          <w:sz w:val="28"/>
          <w:szCs w:val="24"/>
        </w:rPr>
        <w:t>Kontrolní závěr z kontrolní akce</w:t>
      </w:r>
    </w:p>
    <w:p w:rsidR="00FC0D6A" w:rsidRPr="006921D7" w:rsidRDefault="00FC0D6A" w:rsidP="00FC0D6A">
      <w:pPr>
        <w:spacing w:after="0"/>
        <w:jc w:val="center"/>
        <w:rPr>
          <w:rFonts w:cs="Calibri"/>
          <w:b/>
          <w:bCs/>
          <w:color w:val="000000"/>
          <w:sz w:val="28"/>
          <w:szCs w:val="24"/>
        </w:rPr>
      </w:pPr>
    </w:p>
    <w:p w:rsidR="00FE5C8F" w:rsidRDefault="00780105" w:rsidP="00FC0D6A">
      <w:pPr>
        <w:spacing w:after="0"/>
        <w:jc w:val="center"/>
        <w:rPr>
          <w:rFonts w:cs="Calibri"/>
          <w:b/>
          <w:bCs/>
          <w:color w:val="000000"/>
          <w:sz w:val="28"/>
          <w:szCs w:val="24"/>
        </w:rPr>
      </w:pPr>
      <w:r>
        <w:rPr>
          <w:rFonts w:cs="Calibri"/>
          <w:b/>
          <w:bCs/>
          <w:color w:val="000000"/>
          <w:sz w:val="28"/>
          <w:szCs w:val="24"/>
        </w:rPr>
        <w:t>2</w:t>
      </w:r>
      <w:r w:rsidR="007D36BA">
        <w:rPr>
          <w:rFonts w:cs="Calibri"/>
          <w:b/>
          <w:bCs/>
          <w:color w:val="000000"/>
          <w:sz w:val="28"/>
          <w:szCs w:val="24"/>
        </w:rPr>
        <w:t>3</w:t>
      </w:r>
      <w:r w:rsidR="00E620F7" w:rsidRPr="006921D7">
        <w:rPr>
          <w:rFonts w:cs="Calibri"/>
          <w:b/>
          <w:bCs/>
          <w:color w:val="000000"/>
          <w:sz w:val="28"/>
          <w:szCs w:val="24"/>
        </w:rPr>
        <w:t>/</w:t>
      </w:r>
      <w:r w:rsidR="007D36BA">
        <w:rPr>
          <w:rFonts w:cs="Calibri"/>
          <w:b/>
          <w:bCs/>
          <w:color w:val="000000"/>
          <w:sz w:val="28"/>
          <w:szCs w:val="24"/>
        </w:rPr>
        <w:t>22</w:t>
      </w:r>
    </w:p>
    <w:p w:rsidR="00FC0D6A" w:rsidRPr="006921D7" w:rsidRDefault="00FC0D6A" w:rsidP="00FC0D6A">
      <w:pPr>
        <w:spacing w:after="0"/>
        <w:jc w:val="center"/>
        <w:rPr>
          <w:rFonts w:cs="Calibri"/>
          <w:b/>
          <w:bCs/>
          <w:color w:val="000000"/>
          <w:sz w:val="28"/>
          <w:szCs w:val="24"/>
        </w:rPr>
      </w:pPr>
    </w:p>
    <w:p w:rsidR="00FE5C8F" w:rsidRPr="006921D7" w:rsidRDefault="00780105" w:rsidP="00FC0D6A">
      <w:pPr>
        <w:spacing w:after="0"/>
        <w:jc w:val="center"/>
        <w:rPr>
          <w:rFonts w:cs="Calibri"/>
          <w:b/>
          <w:bCs/>
          <w:color w:val="000000"/>
          <w:sz w:val="28"/>
          <w:szCs w:val="24"/>
        </w:rPr>
      </w:pPr>
      <w:bookmarkStart w:id="0" w:name="_Hlk166824683"/>
      <w:r w:rsidRPr="007D36BA">
        <w:rPr>
          <w:rFonts w:cs="Calibri"/>
          <w:b/>
          <w:bCs/>
          <w:color w:val="000000"/>
          <w:sz w:val="28"/>
          <w:szCs w:val="24"/>
        </w:rPr>
        <w:t>Peněžní prostředky státního rozpočtu a Evropské unie vynakládané v</w:t>
      </w:r>
      <w:r>
        <w:rPr>
          <w:rFonts w:cs="Calibri"/>
          <w:b/>
          <w:bCs/>
          <w:color w:val="000000"/>
          <w:sz w:val="28"/>
          <w:szCs w:val="24"/>
        </w:rPr>
        <w:t> </w:t>
      </w:r>
      <w:r w:rsidRPr="007D36BA">
        <w:rPr>
          <w:rFonts w:cs="Calibri"/>
          <w:b/>
          <w:bCs/>
          <w:color w:val="000000"/>
          <w:sz w:val="28"/>
          <w:szCs w:val="24"/>
        </w:rPr>
        <w:t>souvislosti s přesunem těžiště psychiatrické péče do komunity</w:t>
      </w:r>
      <w:bookmarkEnd w:id="0"/>
    </w:p>
    <w:p w:rsidR="00902074" w:rsidRDefault="00902074" w:rsidP="00FC0D6A">
      <w:pPr>
        <w:spacing w:after="0"/>
        <w:rPr>
          <w:rFonts w:cs="Calibri"/>
          <w:szCs w:val="24"/>
        </w:rPr>
      </w:pPr>
    </w:p>
    <w:p w:rsidR="00FC0D6A" w:rsidRPr="00902074" w:rsidRDefault="00FC0D6A" w:rsidP="00FC0D6A">
      <w:pPr>
        <w:spacing w:after="0"/>
        <w:rPr>
          <w:rFonts w:cs="Calibri"/>
          <w:szCs w:val="24"/>
        </w:rPr>
      </w:pPr>
    </w:p>
    <w:p w:rsidR="00FE5C8F" w:rsidRDefault="00780105" w:rsidP="00FE5C8F">
      <w:pPr>
        <w:rPr>
          <w:rFonts w:cs="Calibri"/>
          <w:szCs w:val="24"/>
        </w:rPr>
      </w:pPr>
      <w:r w:rsidRPr="000B4501">
        <w:rPr>
          <w:rFonts w:cs="Calibri"/>
          <w:szCs w:val="24"/>
        </w:rPr>
        <w:t>Kontrolní akce byla zařazena do plánu kontrolní činnosti Nejvyššího kontrolního úřadu (dále jen „NKÚ“) na rok 20</w:t>
      </w:r>
      <w:r w:rsidR="000121BC">
        <w:rPr>
          <w:rFonts w:cs="Calibri"/>
          <w:szCs w:val="24"/>
        </w:rPr>
        <w:t>2</w:t>
      </w:r>
      <w:r w:rsidR="007D36BA">
        <w:rPr>
          <w:rFonts w:cs="Calibri"/>
          <w:szCs w:val="24"/>
        </w:rPr>
        <w:t>3</w:t>
      </w:r>
      <w:r w:rsidRPr="000B4501">
        <w:rPr>
          <w:rFonts w:cs="Calibri"/>
          <w:szCs w:val="24"/>
        </w:rPr>
        <w:t xml:space="preserve"> pod číslem </w:t>
      </w:r>
      <w:r w:rsidR="000121BC">
        <w:rPr>
          <w:rFonts w:cs="Calibri"/>
          <w:szCs w:val="24"/>
        </w:rPr>
        <w:t>2</w:t>
      </w:r>
      <w:r w:rsidR="007D36BA">
        <w:rPr>
          <w:rFonts w:cs="Calibri"/>
          <w:szCs w:val="24"/>
        </w:rPr>
        <w:t>3</w:t>
      </w:r>
      <w:r w:rsidRPr="000B4501">
        <w:rPr>
          <w:rFonts w:cs="Calibri"/>
          <w:szCs w:val="24"/>
        </w:rPr>
        <w:t>/</w:t>
      </w:r>
      <w:r w:rsidR="007D36BA">
        <w:rPr>
          <w:rFonts w:cs="Calibri"/>
          <w:szCs w:val="24"/>
        </w:rPr>
        <w:t>22</w:t>
      </w:r>
      <w:r w:rsidRPr="000B4501">
        <w:rPr>
          <w:rFonts w:cs="Calibri"/>
          <w:szCs w:val="24"/>
        </w:rPr>
        <w:t xml:space="preserve">. Kontrolní akci řídil a kontrolní závěr vypracoval člen NKÚ </w:t>
      </w:r>
      <w:r w:rsidR="007D36BA">
        <w:rPr>
          <w:rFonts w:cs="Calibri"/>
          <w:szCs w:val="24"/>
        </w:rPr>
        <w:t xml:space="preserve">Mgr. Roman </w:t>
      </w:r>
      <w:proofErr w:type="spellStart"/>
      <w:r w:rsidR="007D36BA">
        <w:rPr>
          <w:rFonts w:cs="Calibri"/>
          <w:szCs w:val="24"/>
        </w:rPr>
        <w:t>Sklenák</w:t>
      </w:r>
      <w:proofErr w:type="spellEnd"/>
      <w:r w:rsidRPr="000B4501">
        <w:rPr>
          <w:rFonts w:cs="Calibri"/>
          <w:szCs w:val="24"/>
        </w:rPr>
        <w:t>.</w:t>
      </w:r>
    </w:p>
    <w:p w:rsidR="00591FDD" w:rsidRDefault="00780105" w:rsidP="00FE5C8F">
      <w:pPr>
        <w:rPr>
          <w:rFonts w:cs="Calibri"/>
          <w:szCs w:val="24"/>
        </w:rPr>
      </w:pPr>
      <w:r>
        <w:rPr>
          <w:rFonts w:cs="Calibri"/>
          <w:szCs w:val="24"/>
        </w:rPr>
        <w:t xml:space="preserve">Cílem kontroly bylo </w:t>
      </w:r>
      <w:r w:rsidR="00E07563">
        <w:rPr>
          <w:rFonts w:cs="Calibri"/>
          <w:szCs w:val="24"/>
        </w:rPr>
        <w:t>p</w:t>
      </w:r>
      <w:r w:rsidR="00E07563" w:rsidRPr="00E07563">
        <w:rPr>
          <w:rFonts w:cs="Calibri"/>
          <w:szCs w:val="24"/>
        </w:rPr>
        <w:t>rověřit</w:t>
      </w:r>
      <w:r w:rsidR="007D36BA" w:rsidRPr="007D36BA">
        <w:rPr>
          <w:rFonts w:cs="Calibri"/>
          <w:szCs w:val="24"/>
        </w:rPr>
        <w:t>, zda byly peněžní prostředky státního rozpočtu a Evropské unie určené na přesun těžiště psychiatrické péče do komunity vynakládány účelně a v souladu s</w:t>
      </w:r>
      <w:r w:rsidR="007D36BA">
        <w:rPr>
          <w:rFonts w:cs="Calibri"/>
          <w:szCs w:val="24"/>
        </w:rPr>
        <w:t> </w:t>
      </w:r>
      <w:r w:rsidR="007D36BA" w:rsidRPr="007D36BA">
        <w:rPr>
          <w:rFonts w:cs="Calibri"/>
          <w:szCs w:val="24"/>
        </w:rPr>
        <w:t>právními předpisy</w:t>
      </w:r>
      <w:r w:rsidR="006A7F36">
        <w:rPr>
          <w:rFonts w:cs="Calibri"/>
          <w:szCs w:val="24"/>
        </w:rPr>
        <w:t>.</w:t>
      </w:r>
      <w:bookmarkStart w:id="1" w:name="_GoBack"/>
      <w:bookmarkEnd w:id="1"/>
    </w:p>
    <w:p w:rsidR="00FE5C8F" w:rsidRPr="004C031F" w:rsidRDefault="00780105" w:rsidP="00D47857">
      <w:r w:rsidRPr="004C031F">
        <w:t>Kontrolováno bylo období</w:t>
      </w:r>
      <w:r>
        <w:t xml:space="preserve"> let</w:t>
      </w:r>
      <w:r w:rsidRPr="004C031F">
        <w:t xml:space="preserve"> 20</w:t>
      </w:r>
      <w:r w:rsidR="000121BC">
        <w:t>1</w:t>
      </w:r>
      <w:r w:rsidR="001C1A50">
        <w:t>9</w:t>
      </w:r>
      <w:r w:rsidR="001E7809">
        <w:t>–</w:t>
      </w:r>
      <w:r>
        <w:t>2</w:t>
      </w:r>
      <w:r w:rsidRPr="004C031F">
        <w:t>0</w:t>
      </w:r>
      <w:r w:rsidR="000121BC">
        <w:t>2</w:t>
      </w:r>
      <w:r w:rsidR="001C1A50">
        <w:t>2</w:t>
      </w:r>
      <w:r w:rsidRPr="004C031F">
        <w:t>,</w:t>
      </w:r>
      <w:r w:rsidRPr="004860A5">
        <w:rPr>
          <w:sz w:val="22"/>
        </w:rPr>
        <w:t xml:space="preserve"> </w:t>
      </w:r>
      <w:r w:rsidRPr="004C031F">
        <w:t xml:space="preserve">v případě věcných souvislostí i období </w:t>
      </w:r>
      <w:r>
        <w:t>předcházející a </w:t>
      </w:r>
      <w:r w:rsidRPr="00D95701">
        <w:t>následující</w:t>
      </w:r>
      <w:r w:rsidRPr="004C031F">
        <w:t xml:space="preserve">. Kontrola byla prováděna u kontrolovaných osob od </w:t>
      </w:r>
      <w:r w:rsidR="001C1A50">
        <w:t>září</w:t>
      </w:r>
      <w:r w:rsidR="000121BC">
        <w:t xml:space="preserve"> </w:t>
      </w:r>
      <w:r w:rsidR="00591FDD">
        <w:t>20</w:t>
      </w:r>
      <w:r w:rsidR="000121BC">
        <w:t>2</w:t>
      </w:r>
      <w:r w:rsidR="001C1A50">
        <w:t>3</w:t>
      </w:r>
      <w:r w:rsidRPr="004C031F">
        <w:t xml:space="preserve"> do</w:t>
      </w:r>
      <w:r w:rsidR="00FC0D6A">
        <w:t xml:space="preserve"> </w:t>
      </w:r>
      <w:r w:rsidR="0090386F">
        <w:t>května</w:t>
      </w:r>
      <w:r w:rsidR="000121BC">
        <w:t> 202</w:t>
      </w:r>
      <w:r w:rsidR="001C1A50">
        <w:t>4</w:t>
      </w:r>
      <w:r w:rsidRPr="004C031F">
        <w:t>.</w:t>
      </w:r>
    </w:p>
    <w:p w:rsidR="00FE5C8F" w:rsidRDefault="00780105" w:rsidP="00D47857">
      <w:pPr>
        <w:spacing w:after="0"/>
        <w:rPr>
          <w:rFonts w:cs="Calibri"/>
          <w:szCs w:val="24"/>
        </w:rPr>
      </w:pPr>
      <w:r w:rsidRPr="004E7726">
        <w:rPr>
          <w:rFonts w:cs="Calibri"/>
          <w:b/>
          <w:szCs w:val="24"/>
        </w:rPr>
        <w:t>Kontrolované osoby: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DC0C53">
        <w:rPr>
          <w:rFonts w:cs="Calibri"/>
          <w:szCs w:val="24"/>
        </w:rPr>
        <w:t xml:space="preserve">Ministerstvo </w:t>
      </w:r>
      <w:r w:rsidR="006A7F36" w:rsidRPr="00DC0C53">
        <w:rPr>
          <w:rFonts w:cs="Calibri"/>
          <w:szCs w:val="24"/>
        </w:rPr>
        <w:t>zdravotnictví</w:t>
      </w:r>
      <w:r w:rsidR="00852461" w:rsidRPr="00DC0C53">
        <w:rPr>
          <w:rFonts w:cs="Calibri"/>
          <w:szCs w:val="24"/>
        </w:rPr>
        <w:t xml:space="preserve"> (dále také „</w:t>
      </w:r>
      <w:proofErr w:type="spellStart"/>
      <w:r w:rsidR="00852461" w:rsidRPr="00DC0C53">
        <w:rPr>
          <w:rFonts w:cs="Calibri"/>
          <w:szCs w:val="24"/>
        </w:rPr>
        <w:t>MZ</w:t>
      </w:r>
      <w:r w:rsidR="007775ED">
        <w:rPr>
          <w:rFonts w:cs="Calibri"/>
          <w:szCs w:val="24"/>
        </w:rPr>
        <w:t>d</w:t>
      </w:r>
      <w:proofErr w:type="spellEnd"/>
      <w:r w:rsidR="00852461" w:rsidRPr="00DC0C53">
        <w:rPr>
          <w:rFonts w:cs="Calibri"/>
          <w:szCs w:val="24"/>
        </w:rPr>
        <w:t>“)</w:t>
      </w:r>
      <w:r w:rsidRPr="00DC0C53"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t>Ministerstvo práce a sociálních věcí (dále také „MPSV“);</w:t>
      </w:r>
    </w:p>
    <w:p w:rsidR="005D0861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 xml:space="preserve">Fokus Labe, </w:t>
      </w:r>
      <w:proofErr w:type="spellStart"/>
      <w:r w:rsidRPr="007D36BA">
        <w:rPr>
          <w:rFonts w:cs="Calibri"/>
          <w:szCs w:val="24"/>
        </w:rPr>
        <w:t>z.ú</w:t>
      </w:r>
      <w:proofErr w:type="spellEnd"/>
      <w:r w:rsidRPr="007D36BA">
        <w:rPr>
          <w:rFonts w:cs="Calibri"/>
          <w:szCs w:val="24"/>
        </w:rPr>
        <w:t>., Ústí nad Labem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 xml:space="preserve">FOKUS Mladá Boleslav </w:t>
      </w:r>
      <w:proofErr w:type="spellStart"/>
      <w:r w:rsidRPr="007D36BA">
        <w:rPr>
          <w:rFonts w:cs="Calibri"/>
          <w:szCs w:val="24"/>
        </w:rPr>
        <w:t>z.s</w:t>
      </w:r>
      <w:proofErr w:type="spellEnd"/>
      <w:r w:rsidRPr="007D36BA">
        <w:rPr>
          <w:rFonts w:cs="Calibri"/>
          <w:szCs w:val="24"/>
        </w:rPr>
        <w:t>.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 xml:space="preserve">FOKUS Tábor, </w:t>
      </w:r>
      <w:proofErr w:type="spellStart"/>
      <w:r w:rsidRPr="007D36BA">
        <w:rPr>
          <w:rFonts w:cs="Calibri"/>
          <w:szCs w:val="24"/>
        </w:rPr>
        <w:t>z.s</w:t>
      </w:r>
      <w:proofErr w:type="spellEnd"/>
      <w:r w:rsidRPr="007D36BA">
        <w:rPr>
          <w:rFonts w:cs="Calibri"/>
          <w:szCs w:val="24"/>
        </w:rPr>
        <w:t>.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 xml:space="preserve">FOKUS Vysočina, </w:t>
      </w:r>
      <w:proofErr w:type="spellStart"/>
      <w:r w:rsidRPr="007D36BA">
        <w:rPr>
          <w:rFonts w:cs="Calibri"/>
          <w:szCs w:val="24"/>
        </w:rPr>
        <w:t>z.ú</w:t>
      </w:r>
      <w:proofErr w:type="spellEnd"/>
      <w:r w:rsidRPr="007D36BA">
        <w:rPr>
          <w:rFonts w:cs="Calibri"/>
          <w:szCs w:val="24"/>
        </w:rPr>
        <w:t>., Havlíčkův Brod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 xml:space="preserve">Ledovec, </w:t>
      </w:r>
      <w:proofErr w:type="spellStart"/>
      <w:r w:rsidRPr="007D36BA">
        <w:rPr>
          <w:rFonts w:cs="Calibri"/>
          <w:szCs w:val="24"/>
        </w:rPr>
        <w:t>z.s</w:t>
      </w:r>
      <w:proofErr w:type="spellEnd"/>
      <w:r w:rsidRPr="007D36BA">
        <w:rPr>
          <w:rFonts w:cs="Calibri"/>
          <w:szCs w:val="24"/>
        </w:rPr>
        <w:t>., Ledce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>Psychiatrická nemocnice Havlíčkův Brod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>Psychiatrická nemocnice Kosmonosy</w:t>
      </w:r>
      <w:r>
        <w:rPr>
          <w:rFonts w:cs="Calibri"/>
          <w:szCs w:val="24"/>
        </w:rPr>
        <w:t>;</w:t>
      </w:r>
    </w:p>
    <w:p w:rsidR="007D36BA" w:rsidRDefault="00780105" w:rsidP="00D47857">
      <w:pPr>
        <w:spacing w:after="0"/>
        <w:rPr>
          <w:rFonts w:cs="Calibri"/>
          <w:szCs w:val="24"/>
        </w:rPr>
      </w:pPr>
      <w:r w:rsidRPr="007D36BA">
        <w:rPr>
          <w:rFonts w:cs="Calibri"/>
          <w:szCs w:val="24"/>
        </w:rPr>
        <w:t>Psychiatrie-ambulance s.r.o., Plzeň</w:t>
      </w:r>
      <w:r>
        <w:rPr>
          <w:rFonts w:cs="Calibri"/>
          <w:szCs w:val="24"/>
        </w:rPr>
        <w:t>;</w:t>
      </w:r>
    </w:p>
    <w:p w:rsidR="0069205A" w:rsidRDefault="00780105" w:rsidP="00D47857">
      <w:r w:rsidRPr="007D36BA">
        <w:rPr>
          <w:rFonts w:cs="Calibri"/>
          <w:szCs w:val="24"/>
        </w:rPr>
        <w:t xml:space="preserve">Sociálně-psychiatrické centrum </w:t>
      </w:r>
      <w:r>
        <w:rPr>
          <w:rFonts w:cs="Calibri"/>
          <w:szCs w:val="24"/>
        </w:rPr>
        <w:t>–</w:t>
      </w:r>
      <w:r w:rsidRPr="007D36BA">
        <w:rPr>
          <w:rFonts w:cs="Calibri"/>
          <w:szCs w:val="24"/>
        </w:rPr>
        <w:t xml:space="preserve"> Fénix, o.p.s., Žeraviny</w:t>
      </w:r>
      <w:r>
        <w:t>.</w:t>
      </w:r>
    </w:p>
    <w:p w:rsidR="00FC0D6A" w:rsidRPr="0069205A" w:rsidRDefault="00FC0D6A" w:rsidP="00D47857"/>
    <w:p w:rsidR="00FE5C8F" w:rsidRPr="007578A4" w:rsidRDefault="00780105" w:rsidP="00FC0D6A">
      <w:pPr>
        <w:spacing w:after="0" w:line="360" w:lineRule="auto"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 xml:space="preserve">K o l e g i u m   N K </w:t>
      </w:r>
      <w:r w:rsidRPr="00773E95">
        <w:rPr>
          <w:rFonts w:cs="Calibri"/>
          <w:b/>
          <w:bCs/>
          <w:i/>
          <w:iCs/>
          <w:szCs w:val="24"/>
        </w:rPr>
        <w:t>Ú</w:t>
      </w:r>
      <w:r w:rsidRPr="00773E95">
        <w:rPr>
          <w:rFonts w:cs="Calibri"/>
          <w:b/>
          <w:bCs/>
          <w:iCs/>
          <w:szCs w:val="24"/>
        </w:rPr>
        <w:t xml:space="preserve">   </w:t>
      </w:r>
      <w:r w:rsidRPr="00773E95">
        <w:rPr>
          <w:rFonts w:cs="Calibri"/>
          <w:szCs w:val="24"/>
        </w:rPr>
        <w:t xml:space="preserve">na </w:t>
      </w:r>
      <w:r w:rsidRPr="008024B6">
        <w:rPr>
          <w:rFonts w:cs="Calibri"/>
          <w:szCs w:val="24"/>
        </w:rPr>
        <w:t>svém</w:t>
      </w:r>
      <w:r w:rsidR="00B50A6D" w:rsidRPr="008024B6">
        <w:rPr>
          <w:rFonts w:cs="Calibri"/>
          <w:szCs w:val="24"/>
        </w:rPr>
        <w:t xml:space="preserve"> </w:t>
      </w:r>
      <w:r w:rsidR="008024B6" w:rsidRPr="008024B6">
        <w:rPr>
          <w:rFonts w:cs="Calibri"/>
          <w:szCs w:val="24"/>
        </w:rPr>
        <w:t>XI</w:t>
      </w:r>
      <w:r w:rsidR="007D36BA" w:rsidRPr="008024B6">
        <w:rPr>
          <w:rFonts w:cs="Calibri"/>
          <w:szCs w:val="24"/>
        </w:rPr>
        <w:t>.</w:t>
      </w:r>
      <w:r w:rsidRPr="008024B6">
        <w:rPr>
          <w:rFonts w:cs="Calibri"/>
          <w:szCs w:val="24"/>
        </w:rPr>
        <w:t xml:space="preserve"> jednání, které se konalo dn</w:t>
      </w:r>
      <w:r w:rsidR="00933A3E" w:rsidRPr="008024B6">
        <w:rPr>
          <w:rFonts w:cs="Calibri"/>
          <w:szCs w:val="24"/>
        </w:rPr>
        <w:t>e</w:t>
      </w:r>
      <w:r w:rsidR="00220A24" w:rsidRPr="008024B6">
        <w:rPr>
          <w:rFonts w:cs="Calibri"/>
          <w:szCs w:val="24"/>
        </w:rPr>
        <w:t xml:space="preserve"> </w:t>
      </w:r>
      <w:r w:rsidR="008024B6" w:rsidRPr="008024B6">
        <w:rPr>
          <w:rFonts w:cs="Calibri"/>
          <w:szCs w:val="24"/>
        </w:rPr>
        <w:t>5</w:t>
      </w:r>
      <w:r w:rsidR="007D36BA" w:rsidRPr="008024B6">
        <w:rPr>
          <w:rFonts w:cs="Calibri"/>
          <w:szCs w:val="24"/>
        </w:rPr>
        <w:t>.</w:t>
      </w:r>
      <w:r w:rsidR="008024B6" w:rsidRPr="008024B6">
        <w:rPr>
          <w:rFonts w:cs="Calibri"/>
          <w:szCs w:val="24"/>
        </w:rPr>
        <w:t xml:space="preserve"> srpna</w:t>
      </w:r>
      <w:r w:rsidR="00FF5858" w:rsidRPr="008024B6">
        <w:rPr>
          <w:rFonts w:cs="Calibri"/>
          <w:szCs w:val="24"/>
        </w:rPr>
        <w:t xml:space="preserve"> </w:t>
      </w:r>
      <w:r w:rsidR="005872C0" w:rsidRPr="008024B6">
        <w:rPr>
          <w:rFonts w:cs="Calibri"/>
          <w:szCs w:val="24"/>
        </w:rPr>
        <w:t>20</w:t>
      </w:r>
      <w:r w:rsidR="00E07563" w:rsidRPr="008024B6">
        <w:rPr>
          <w:rFonts w:cs="Calibri"/>
          <w:szCs w:val="24"/>
        </w:rPr>
        <w:t>2</w:t>
      </w:r>
      <w:r w:rsidR="007D36BA" w:rsidRPr="008024B6">
        <w:rPr>
          <w:rFonts w:cs="Calibri"/>
          <w:szCs w:val="24"/>
        </w:rPr>
        <w:t>4</w:t>
      </w:r>
      <w:r w:rsidRPr="008024B6">
        <w:rPr>
          <w:rFonts w:cs="Calibri"/>
          <w:szCs w:val="24"/>
        </w:rPr>
        <w:t>,</w:t>
      </w:r>
    </w:p>
    <w:p w:rsidR="00FE5C8F" w:rsidRPr="000B4501" w:rsidRDefault="00780105" w:rsidP="00FC0D6A">
      <w:pPr>
        <w:spacing w:after="0" w:line="360" w:lineRule="auto"/>
        <w:rPr>
          <w:rFonts w:cs="Calibri"/>
          <w:szCs w:val="24"/>
        </w:rPr>
      </w:pPr>
      <w:r w:rsidRPr="007578A4">
        <w:rPr>
          <w:rFonts w:cs="Calibri"/>
          <w:b/>
          <w:bCs/>
          <w:i/>
          <w:iCs/>
          <w:szCs w:val="24"/>
        </w:rPr>
        <w:t>s c h v á l i l o</w:t>
      </w:r>
      <w:r w:rsidRPr="007578A4">
        <w:rPr>
          <w:rFonts w:cs="Calibri"/>
          <w:b/>
          <w:bCs/>
          <w:iCs/>
          <w:szCs w:val="24"/>
        </w:rPr>
        <w:t xml:space="preserve">   </w:t>
      </w:r>
      <w:r w:rsidRPr="007578A4">
        <w:rPr>
          <w:rFonts w:cs="Calibri"/>
          <w:szCs w:val="24"/>
        </w:rPr>
        <w:t>usnesením č</w:t>
      </w:r>
      <w:r w:rsidRPr="008024B6">
        <w:rPr>
          <w:rFonts w:cs="Calibri"/>
          <w:szCs w:val="24"/>
        </w:rPr>
        <w:t>.</w:t>
      </w:r>
      <w:r w:rsidR="000E3E83" w:rsidRPr="008024B6">
        <w:rPr>
          <w:rFonts w:cs="Calibri"/>
          <w:szCs w:val="24"/>
        </w:rPr>
        <w:t xml:space="preserve"> </w:t>
      </w:r>
      <w:r w:rsidR="00C461CF">
        <w:rPr>
          <w:rFonts w:cs="Calibri"/>
          <w:szCs w:val="24"/>
        </w:rPr>
        <w:t>7</w:t>
      </w:r>
      <w:r w:rsidRPr="008024B6">
        <w:rPr>
          <w:rFonts w:cs="Calibri"/>
          <w:szCs w:val="24"/>
        </w:rPr>
        <w:t>/</w:t>
      </w:r>
      <w:r w:rsidR="008024B6" w:rsidRPr="008024B6">
        <w:rPr>
          <w:rFonts w:cs="Calibri"/>
          <w:szCs w:val="24"/>
        </w:rPr>
        <w:t>XI</w:t>
      </w:r>
      <w:r w:rsidRPr="008024B6">
        <w:rPr>
          <w:rFonts w:cs="Calibri"/>
          <w:szCs w:val="24"/>
        </w:rPr>
        <w:t>/20</w:t>
      </w:r>
      <w:r w:rsidR="00E07563" w:rsidRPr="008024B6">
        <w:rPr>
          <w:rFonts w:cs="Calibri"/>
          <w:szCs w:val="24"/>
        </w:rPr>
        <w:t>2</w:t>
      </w:r>
      <w:r w:rsidR="007D36BA" w:rsidRPr="008024B6">
        <w:rPr>
          <w:rFonts w:cs="Calibri"/>
          <w:szCs w:val="24"/>
        </w:rPr>
        <w:t>4</w:t>
      </w:r>
    </w:p>
    <w:p w:rsidR="00114F5E" w:rsidRDefault="00780105" w:rsidP="00FC0D6A">
      <w:pPr>
        <w:spacing w:after="0" w:line="360" w:lineRule="auto"/>
        <w:rPr>
          <w:rFonts w:cs="Calibri"/>
          <w:szCs w:val="24"/>
        </w:rPr>
      </w:pPr>
      <w:r w:rsidRPr="000B4501">
        <w:rPr>
          <w:rFonts w:cs="Calibri"/>
          <w:b/>
          <w:bCs/>
          <w:i/>
          <w:iCs/>
          <w:szCs w:val="24"/>
        </w:rPr>
        <w:t>k o n t r o l n í   z á v ě r</w:t>
      </w:r>
      <w:r w:rsidRPr="000B4501">
        <w:rPr>
          <w:rFonts w:cs="Calibri"/>
          <w:b/>
          <w:bCs/>
          <w:iCs/>
          <w:szCs w:val="24"/>
        </w:rPr>
        <w:t xml:space="preserve">   </w:t>
      </w:r>
      <w:r w:rsidRPr="000B4501">
        <w:rPr>
          <w:rFonts w:cs="Calibri"/>
          <w:szCs w:val="24"/>
        </w:rPr>
        <w:t>v tomto znění:</w:t>
      </w:r>
    </w:p>
    <w:p w:rsidR="009C1F85" w:rsidRDefault="009C1F85">
      <w:pPr>
        <w:widowControl/>
        <w:autoSpaceDE/>
        <w:autoSpaceDN/>
        <w:adjustRightInd/>
        <w:spacing w:after="160" w:line="259" w:lineRule="auto"/>
        <w:jc w:val="left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</w:p>
    <w:p w:rsidR="00114F5E" w:rsidRPr="008C58D0" w:rsidRDefault="00185291" w:rsidP="008C58D0">
      <w:pPr>
        <w:spacing w:after="0" w:line="276" w:lineRule="auto"/>
        <w:jc w:val="center"/>
        <w:rPr>
          <w:rFonts w:cstheme="minorHAnsi"/>
          <w:b/>
          <w:smallCaps/>
          <w:color w:val="2EB3A1"/>
          <w:sz w:val="28"/>
          <w:szCs w:val="28"/>
        </w:rPr>
      </w:pPr>
      <w:r w:rsidRPr="008C58D0">
        <w:rPr>
          <w:rFonts w:cstheme="minorHAnsi"/>
          <w:b/>
          <w:smallCaps/>
          <w:color w:val="2EB3A1"/>
          <w:sz w:val="28"/>
          <w:szCs w:val="28"/>
        </w:rPr>
        <w:lastRenderedPageBreak/>
        <w:t>VYTVOŘENÁ CENTRA DUŠEVNÍHO ZDRAVÍ</w:t>
      </w:r>
      <w:r w:rsidR="001E6E09" w:rsidRPr="008C58D0">
        <w:rPr>
          <w:rStyle w:val="Znakapoznpodarou"/>
          <w:b/>
          <w:smallCaps/>
          <w:color w:val="2EB3A1"/>
          <w:sz w:val="28"/>
          <w:szCs w:val="28"/>
        </w:rPr>
        <w:footnoteReference w:id="2"/>
      </w:r>
      <w:r w:rsidR="00780105" w:rsidRPr="008C58D0">
        <w:rPr>
          <w:rFonts w:cstheme="minorHAnsi"/>
          <w:b/>
          <w:smallCaps/>
          <w:color w:val="2EB3A1"/>
          <w:sz w:val="28"/>
          <w:szCs w:val="28"/>
        </w:rPr>
        <w:t xml:space="preserve"> </w:t>
      </w:r>
      <w:r w:rsidRPr="008C58D0">
        <w:rPr>
          <w:rFonts w:cstheme="minorHAnsi"/>
          <w:b/>
          <w:smallCaps/>
          <w:color w:val="2EB3A1"/>
          <w:sz w:val="28"/>
          <w:szCs w:val="28"/>
        </w:rPr>
        <w:t>PŘISPÍVAJÍ</w:t>
      </w:r>
      <w:r w:rsidRPr="008C58D0">
        <w:rPr>
          <w:rFonts w:cstheme="minorHAnsi"/>
          <w:b/>
          <w:smallCaps/>
          <w:color w:val="2EB3A1"/>
          <w:sz w:val="28"/>
          <w:szCs w:val="28"/>
        </w:rPr>
        <w:br/>
        <w:t>K PŘESUNU PSYCHIATRICKÉ PÉČE DO KOMUNITY</w:t>
      </w:r>
    </w:p>
    <w:p w:rsidR="009C1F85" w:rsidRPr="009C1F85" w:rsidRDefault="009C1F85" w:rsidP="00753FD1">
      <w:pPr>
        <w:spacing w:after="0"/>
        <w:jc w:val="center"/>
        <w:rPr>
          <w:rFonts w:cstheme="minorHAnsi"/>
          <w:smallCaps/>
          <w:color w:val="000000" w:themeColor="text1"/>
        </w:rPr>
      </w:pPr>
    </w:p>
    <w:tbl>
      <w:tblPr>
        <w:tblStyle w:val="Mkatabulky"/>
        <w:tblpPr w:leftFromText="141" w:rightFromText="141" w:vertAnchor="text" w:horzAnchor="margin" w:tblpY="14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275"/>
        <w:gridCol w:w="4113"/>
      </w:tblGrid>
      <w:tr w:rsidR="000179EC" w:rsidTr="00B7682F">
        <w:trPr>
          <w:trHeight w:val="794"/>
        </w:trPr>
        <w:tc>
          <w:tcPr>
            <w:tcW w:w="3687" w:type="dxa"/>
            <w:vMerge w:val="restart"/>
            <w:vAlign w:val="center"/>
          </w:tcPr>
          <w:p w:rsidR="00114F5E" w:rsidRPr="005B25D2" w:rsidRDefault="00780105" w:rsidP="005B25D2">
            <w:pPr>
              <w:spacing w:after="0"/>
              <w:jc w:val="center"/>
              <w:rPr>
                <w:rFonts w:eastAsia="MS Gothic"/>
                <w:b/>
                <w:color w:val="000000"/>
                <w:sz w:val="32"/>
                <w:szCs w:val="32"/>
              </w:rPr>
            </w:pPr>
            <w:r w:rsidRPr="005B25D2">
              <w:rPr>
                <w:rFonts w:eastAsia="MS Gothic"/>
                <w:b/>
                <w:bCs/>
                <w:color w:val="000000"/>
                <w:sz w:val="32"/>
                <w:szCs w:val="32"/>
              </w:rPr>
              <w:t>407 mil. Kč</w:t>
            </w:r>
          </w:p>
          <w:p w:rsidR="00114F5E" w:rsidRPr="005B25D2" w:rsidRDefault="00780105" w:rsidP="005B25D2">
            <w:pPr>
              <w:spacing w:after="0"/>
              <w:jc w:val="center"/>
              <w:rPr>
                <w:sz w:val="20"/>
              </w:rPr>
            </w:pPr>
            <w:r w:rsidRPr="009C1F85">
              <w:rPr>
                <w:bCs/>
                <w:color w:val="000000" w:themeColor="text1"/>
              </w:rPr>
              <w:t xml:space="preserve">Dotace na pilotní provoz </w:t>
            </w:r>
            <w:r w:rsidR="009049FA" w:rsidRPr="009C1F85">
              <w:rPr>
                <w:bCs/>
                <w:color w:val="000000" w:themeColor="text1"/>
              </w:rPr>
              <w:t>29 CDZ</w:t>
            </w:r>
            <w:r w:rsidR="00B23B13" w:rsidRPr="009C1F85">
              <w:rPr>
                <w:bCs/>
                <w:color w:val="000000" w:themeColor="text1"/>
              </w:rPr>
              <w:br/>
            </w:r>
            <w:r w:rsidR="005359B8" w:rsidRPr="009C1F85">
              <w:rPr>
                <w:bCs/>
                <w:color w:val="000000" w:themeColor="text1"/>
              </w:rPr>
              <w:t>(</w:t>
            </w:r>
            <w:r w:rsidR="00B23B13" w:rsidRPr="009C1F85">
              <w:rPr>
                <w:bCs/>
                <w:color w:val="000000" w:themeColor="text1"/>
              </w:rPr>
              <w:t>28</w:t>
            </w:r>
            <w:r w:rsidR="0077205B" w:rsidRPr="009C1F85">
              <w:rPr>
                <w:bCs/>
                <w:color w:val="000000" w:themeColor="text1"/>
              </w:rPr>
              <w:t xml:space="preserve"> </w:t>
            </w:r>
            <w:r w:rsidR="004F06A3" w:rsidRPr="009C1F85">
              <w:rPr>
                <w:bCs/>
                <w:color w:val="000000" w:themeColor="text1"/>
              </w:rPr>
              <w:t>z nich bylo provozováno</w:t>
            </w:r>
            <w:r w:rsidR="009C1F85">
              <w:rPr>
                <w:bCs/>
                <w:color w:val="000000" w:themeColor="text1"/>
              </w:rPr>
              <w:t xml:space="preserve"> </w:t>
            </w:r>
            <w:r w:rsidR="007C3966" w:rsidRPr="009C1F85">
              <w:rPr>
                <w:bCs/>
                <w:color w:val="000000" w:themeColor="text1"/>
              </w:rPr>
              <w:br/>
            </w:r>
            <w:r w:rsidR="00B23B13" w:rsidRPr="009C1F85">
              <w:rPr>
                <w:bCs/>
                <w:color w:val="000000" w:themeColor="text1"/>
              </w:rPr>
              <w:t>i</w:t>
            </w:r>
            <w:r w:rsidR="009C1F85">
              <w:rPr>
                <w:bCs/>
                <w:color w:val="000000" w:themeColor="text1"/>
              </w:rPr>
              <w:t> </w:t>
            </w:r>
            <w:r w:rsidR="007C3966" w:rsidRPr="009C1F85">
              <w:rPr>
                <w:bCs/>
                <w:color w:val="000000" w:themeColor="text1"/>
              </w:rPr>
              <w:t>po jeho ukončení</w:t>
            </w:r>
            <w:r w:rsidR="0077205B" w:rsidRPr="009C1F85">
              <w:rPr>
                <w:bCs/>
                <w:color w:val="000000" w:themeColor="text1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D23C0E" w:rsidRDefault="00D23C0E" w:rsidP="009C1F85">
            <w:pPr>
              <w:spacing w:after="120"/>
              <w:jc w:val="center"/>
              <w:rPr>
                <w:sz w:val="20"/>
              </w:rPr>
            </w:pPr>
          </w:p>
          <w:p w:rsidR="00114F5E" w:rsidRPr="00FC1447" w:rsidRDefault="00780105" w:rsidP="009C1F85">
            <w:pPr>
              <w:jc w:val="center"/>
              <w:rPr>
                <w:b/>
                <w:sz w:val="20"/>
              </w:rPr>
            </w:pPr>
            <w:r w:rsidRPr="009C1F85">
              <w:rPr>
                <w:b/>
              </w:rPr>
              <w:t>z toho</w:t>
            </w:r>
          </w:p>
        </w:tc>
        <w:tc>
          <w:tcPr>
            <w:tcW w:w="4113" w:type="dxa"/>
            <w:vAlign w:val="center"/>
          </w:tcPr>
          <w:p w:rsidR="00114F5E" w:rsidRDefault="00780105" w:rsidP="006E2B8D">
            <w:pPr>
              <w:spacing w:after="120"/>
            </w:pPr>
            <w:r w:rsidRPr="005B25D2">
              <w:rPr>
                <w:rFonts w:cstheme="minorHAnsi"/>
                <w:b/>
                <w:bCs/>
                <w:sz w:val="32"/>
                <w:szCs w:val="32"/>
              </w:rPr>
              <w:t>245 mil. Kč</w:t>
            </w:r>
            <w:r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Pr="009C1F85">
              <w:rPr>
                <w:rFonts w:cstheme="minorHAnsi"/>
                <w:bCs/>
              </w:rPr>
              <w:t xml:space="preserve">na </w:t>
            </w:r>
            <w:r w:rsidRPr="009C1F85">
              <w:rPr>
                <w:bCs/>
                <w:color w:val="000000" w:themeColor="text1"/>
              </w:rPr>
              <w:t>zdravotní část služeb</w:t>
            </w:r>
          </w:p>
        </w:tc>
      </w:tr>
      <w:tr w:rsidR="000179EC" w:rsidTr="00B7682F">
        <w:trPr>
          <w:trHeight w:val="20"/>
        </w:trPr>
        <w:tc>
          <w:tcPr>
            <w:tcW w:w="3687" w:type="dxa"/>
            <w:vMerge/>
          </w:tcPr>
          <w:p w:rsidR="00114F5E" w:rsidRDefault="00114F5E" w:rsidP="006E2B8D"/>
        </w:tc>
        <w:tc>
          <w:tcPr>
            <w:tcW w:w="1275" w:type="dxa"/>
            <w:vMerge/>
          </w:tcPr>
          <w:p w:rsidR="00114F5E" w:rsidRDefault="00114F5E" w:rsidP="006E2B8D"/>
        </w:tc>
        <w:tc>
          <w:tcPr>
            <w:tcW w:w="4113" w:type="dxa"/>
            <w:vAlign w:val="center"/>
          </w:tcPr>
          <w:p w:rsidR="00114F5E" w:rsidRDefault="00780105" w:rsidP="006E2B8D">
            <w:pPr>
              <w:spacing w:after="120"/>
            </w:pPr>
            <w:r w:rsidRPr="005B25D2">
              <w:rPr>
                <w:rFonts w:cstheme="minorHAnsi"/>
                <w:b/>
                <w:bCs/>
                <w:sz w:val="32"/>
                <w:szCs w:val="32"/>
              </w:rPr>
              <w:t>162 mil. Kč</w:t>
            </w:r>
            <w:r>
              <w:rPr>
                <w:rFonts w:cstheme="minorHAnsi"/>
                <w:b/>
                <w:bCs/>
                <w:sz w:val="36"/>
                <w:szCs w:val="36"/>
              </w:rPr>
              <w:t xml:space="preserve"> </w:t>
            </w:r>
            <w:r w:rsidRPr="009C1F85">
              <w:rPr>
                <w:rFonts w:cstheme="minorHAnsi"/>
              </w:rPr>
              <w:t>na sociální část služeb</w:t>
            </w:r>
          </w:p>
        </w:tc>
      </w:tr>
    </w:tbl>
    <w:p w:rsidR="00B85151" w:rsidRPr="00B24389" w:rsidRDefault="00B85151" w:rsidP="005B25D2">
      <w:pPr>
        <w:spacing w:before="60" w:after="0"/>
        <w:jc w:val="center"/>
        <w:rPr>
          <w:b/>
          <w:bCs/>
        </w:rPr>
      </w:pPr>
    </w:p>
    <w:p w:rsidR="00A84AAB" w:rsidRPr="00B447BA" w:rsidRDefault="0019032D" w:rsidP="005B25D2">
      <w:pPr>
        <w:spacing w:before="60" w:after="0"/>
        <w:jc w:val="center"/>
        <w:rPr>
          <w:b/>
          <w:bCs/>
          <w:smallCaps/>
          <w:color w:val="AF1953"/>
          <w:sz w:val="20"/>
        </w:rPr>
      </w:pPr>
      <w:bookmarkStart w:id="2" w:name="_Hlk171938523"/>
      <w:r>
        <w:rPr>
          <w:noProof/>
        </w:rPr>
        <w:drawing>
          <wp:inline distT="0" distB="0" distL="0" distR="0" wp14:anchorId="12C1064B" wp14:editId="121B1775">
            <wp:extent cx="5400000" cy="2160000"/>
            <wp:effectExtent l="0" t="0" r="0" b="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89142A7E-4214-46FF-8153-9905FE60CD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5530C" w:rsidRDefault="0045530C" w:rsidP="00C851EB">
      <w:pPr>
        <w:spacing w:after="0"/>
        <w:jc w:val="center"/>
        <w:rPr>
          <w:bCs/>
          <w:smallCaps/>
          <w:color w:val="AF1953"/>
          <w:szCs w:val="32"/>
        </w:rPr>
      </w:pPr>
    </w:p>
    <w:p w:rsidR="007E4CE6" w:rsidRPr="00293606" w:rsidRDefault="007E4CE6" w:rsidP="008C58D0">
      <w:pPr>
        <w:spacing w:after="0"/>
        <w:jc w:val="center"/>
        <w:rPr>
          <w:bCs/>
          <w:smallCaps/>
          <w:color w:val="AF1953"/>
          <w:szCs w:val="32"/>
        </w:rPr>
      </w:pPr>
    </w:p>
    <w:p w:rsidR="00185291" w:rsidRDefault="00185291" w:rsidP="00293606">
      <w:pPr>
        <w:spacing w:after="0"/>
        <w:jc w:val="center"/>
        <w:rPr>
          <w:b/>
          <w:bCs/>
          <w:smallCaps/>
          <w:color w:val="AF1953"/>
          <w:sz w:val="28"/>
          <w:szCs w:val="24"/>
        </w:rPr>
      </w:pPr>
      <w:r>
        <w:rPr>
          <w:b/>
          <w:bCs/>
          <w:smallCaps/>
          <w:color w:val="AF1953"/>
          <w:sz w:val="28"/>
          <w:szCs w:val="24"/>
        </w:rPr>
        <w:t>ŘADY CÍLŮ STRATEGIE REFORMY PSYCHIATRICKÉ PÉČE NEBYLO DOSAŽENO</w:t>
      </w:r>
    </w:p>
    <w:bookmarkEnd w:id="2"/>
    <w:p w:rsidR="00293606" w:rsidRPr="00293606" w:rsidRDefault="00293606" w:rsidP="008C58D0">
      <w:pPr>
        <w:spacing w:after="0"/>
        <w:jc w:val="center"/>
        <w:rPr>
          <w:bCs/>
          <w:smallCaps/>
          <w:color w:val="AF1953"/>
          <w:szCs w:val="32"/>
        </w:rPr>
      </w:pPr>
    </w:p>
    <w:p w:rsidR="00D91871" w:rsidRPr="00930096" w:rsidRDefault="00293606" w:rsidP="00293606">
      <w:pPr>
        <w:tabs>
          <w:tab w:val="left" w:pos="4962"/>
        </w:tabs>
        <w:spacing w:after="40"/>
        <w:jc w:val="left"/>
        <w:rPr>
          <w:b/>
          <w:bCs/>
          <w:smallCaps/>
          <w:szCs w:val="24"/>
        </w:rPr>
      </w:pPr>
      <w:r w:rsidRPr="00FC1447">
        <w:rPr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-44772</wp:posOffset>
                </wp:positionH>
                <wp:positionV relativeFrom="paragraph">
                  <wp:posOffset>265323</wp:posOffset>
                </wp:positionV>
                <wp:extent cx="5365750" cy="2928998"/>
                <wp:effectExtent l="0" t="0" r="0" b="5080"/>
                <wp:wrapNone/>
                <wp:docPr id="20" name="Skupin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5750" cy="2928998"/>
                          <a:chOff x="4065" y="-1019552"/>
                          <a:chExt cx="5412953" cy="6103285"/>
                        </a:xfrm>
                      </wpg:grpSpPr>
                      <wps:wsp>
                        <wps:cNvPr id="21" name="Obdélník: se zakulacenými rohy 21"/>
                        <wps:cNvSpPr/>
                        <wps:spPr>
                          <a:xfrm>
                            <a:off x="4068" y="-1019552"/>
                            <a:ext cx="3001642" cy="1275252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7884" w:rsidRPr="00413A49" w:rsidRDefault="00AD7884" w:rsidP="009C1F85">
                              <w:pPr>
                                <w:spacing w:after="0"/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Vybudovat síť 100 CDZ pro osoby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br/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se závažným duševním onemocněním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br/>
                                <w:t>nejbližší CDZ 30 minut veřejnou dopravou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Obdélník: se zakulacenými rohy 29"/>
                        <wps:cNvSpPr/>
                        <wps:spPr>
                          <a:xfrm>
                            <a:off x="6975" y="1341164"/>
                            <a:ext cx="2998562" cy="750148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7884" w:rsidRPr="00413A49" w:rsidRDefault="00AD7884" w:rsidP="00D91871">
                              <w:pPr>
                                <w:spacing w:after="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 xml:space="preserve">Legislativně ukotvit CDZ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Obdélník: se zakulacenými rohy 32"/>
                        <wps:cNvSpPr/>
                        <wps:spPr>
                          <a:xfrm>
                            <a:off x="4065" y="299769"/>
                            <a:ext cx="3001482" cy="975193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7884" w:rsidRPr="00413A49" w:rsidRDefault="00AD7884" w:rsidP="009C1F85">
                              <w:pPr>
                                <w:spacing w:after="0"/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Realizovat pilotní projekty CDZ, provést jejich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br/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evaluaci,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definovat standardy CDZ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Obdélník: se zakulacenými rohy 33"/>
                        <wps:cNvSpPr/>
                        <wps:spPr>
                          <a:xfrm>
                            <a:off x="8899" y="2146203"/>
                            <a:ext cx="2996464" cy="1196330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7884" w:rsidRPr="00413A49" w:rsidRDefault="00AD7884" w:rsidP="00D91871">
                              <w:pPr>
                                <w:spacing w:after="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Zajistit udržitelné financování CDZ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Obdélník: se zakulacenými rohy 45"/>
                        <wps:cNvSpPr/>
                        <wps:spPr>
                          <a:xfrm>
                            <a:off x="11462" y="3391169"/>
                            <a:ext cx="2996657" cy="675133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7884" w:rsidRPr="00413A49" w:rsidRDefault="00AD7884" w:rsidP="00D91871">
                              <w:pPr>
                                <w:spacing w:after="0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 xml:space="preserve">Zajistit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v CDZ 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psychiatry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 xml:space="preserve">v počtu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1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/100 tis. obyvatel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Obdélník: se zakulacenými rohy 52"/>
                        <wps:cNvSpPr/>
                        <wps:spPr>
                          <a:xfrm>
                            <a:off x="6976" y="4183555"/>
                            <a:ext cx="3001314" cy="900178"/>
                          </a:xfrm>
                          <a:prstGeom prst="round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D7884" w:rsidRPr="00413A49" w:rsidRDefault="00AD7884" w:rsidP="007C2DCF">
                              <w:pPr>
                                <w:spacing w:after="0"/>
                                <w:jc w:val="left"/>
                                <w:rPr>
                                  <w:color w:val="000000" w:themeColor="text1"/>
                                  <w:sz w:val="20"/>
                                </w:rPr>
                              </w:pP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 xml:space="preserve">Zajistit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v CDZ 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sestry s psychiatrickou specializací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 xml:space="preserve"> 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 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 xml:space="preserve">počtu </w:t>
                              </w:r>
                              <w:r>
                                <w:rPr>
                                  <w:color w:val="000000" w:themeColor="text1"/>
                                  <w:sz w:val="20"/>
                                </w:rPr>
                                <w:t>13</w:t>
                              </w:r>
                              <w:r w:rsidRPr="00413A49">
                                <w:rPr>
                                  <w:color w:val="000000" w:themeColor="text1"/>
                                  <w:sz w:val="20"/>
                                </w:rPr>
                                <w:t>/100 tis. obyvatel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2819" y="917404"/>
                            <a:ext cx="449580" cy="1200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FD2431" w:rsidRDefault="00AD7884" w:rsidP="00D9187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</w:pPr>
                              <w:r w:rsidRPr="00FD2431">
                                <w:rPr>
                                  <w:rFonts w:asciiTheme="minorHAnsi" w:hAnsiTheme="minorHAnsi"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  <w:t>×</w:t>
                              </w:r>
                            </w:p>
                            <w:p w:rsidR="00AD7884" w:rsidRPr="00AF2621" w:rsidRDefault="00AD7884" w:rsidP="00D91871">
                              <w:pPr>
                                <w:jc w:val="center"/>
                                <w:rPr>
                                  <w:color w:val="AF1953"/>
                                  <w:sz w:val="80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54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7719" y="2237771"/>
                            <a:ext cx="449580" cy="1395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AF2621" w:rsidRDefault="00AD7884" w:rsidP="00D91871">
                              <w:pPr>
                                <w:jc w:val="center"/>
                                <w:rPr>
                                  <w:rFonts w:cstheme="minorHAnsi"/>
                                  <w:color w:val="AF1953"/>
                                  <w:sz w:val="80"/>
                                  <w:szCs w:val="80"/>
                                </w:rPr>
                              </w:pPr>
                              <w:r w:rsidRPr="00FD2431">
                                <w:rPr>
                                  <w:rFonts w:asciiTheme="minorHAnsi" w:hAnsiTheme="minorHAnsi"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  <w:t>×</w:t>
                              </w:r>
                              <w:r w:rsidRPr="00AF2621">
                                <w:rPr>
                                  <w:rFonts w:cstheme="minorHAnsi"/>
                                  <w:color w:val="AF1953"/>
                                  <w:sz w:val="80"/>
                                  <w:szCs w:val="80"/>
                                </w:rPr>
                                <w:t>\\</w:t>
                              </w:r>
                            </w:p>
                            <w:p w:rsidR="00AD7884" w:rsidRPr="00AF2621" w:rsidRDefault="00AD7884" w:rsidP="00D91871">
                              <w:pPr>
                                <w:jc w:val="center"/>
                                <w:rPr>
                                  <w:color w:val="AF1953"/>
                                  <w:sz w:val="80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55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0791" y="3812851"/>
                            <a:ext cx="449580" cy="11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FD2431" w:rsidRDefault="00AD7884" w:rsidP="00D9187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</w:pPr>
                              <w:r w:rsidRPr="00FD2431">
                                <w:rPr>
                                  <w:rFonts w:asciiTheme="minorHAnsi" w:hAnsiTheme="minorHAnsi"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  <w:t>×</w:t>
                              </w:r>
                              <w:r w:rsidRPr="00A95F59">
                                <w:rPr>
                                  <w:rFonts w:cstheme="minorHAnsi"/>
                                  <w:b/>
                                  <w:noProof/>
                                  <w:color w:val="AF1953"/>
                                  <w:sz w:val="80"/>
                                  <w:szCs w:val="80"/>
                                </w:rPr>
                                <w:drawing>
                                  <wp:inline distT="0" distB="0" distL="0" distR="0">
                                    <wp:extent cx="242570" cy="318373"/>
                                    <wp:effectExtent l="0" t="0" r="0" b="0"/>
                                    <wp:docPr id="31" name="Obrázek 6020623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43213393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2570" cy="3183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AD7884" w:rsidRPr="00AF2621" w:rsidRDefault="00AD7884" w:rsidP="00D91871">
                              <w:pPr>
                                <w:jc w:val="center"/>
                                <w:rPr>
                                  <w:color w:val="AF1953"/>
                                  <w:sz w:val="80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5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6951" y="1853555"/>
                            <a:ext cx="572770" cy="1065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FD2431" w:rsidRDefault="00AD7884" w:rsidP="00D91871">
                              <w:pPr>
                                <w:jc w:val="center"/>
                                <w:rPr>
                                  <w:b/>
                                  <w:color w:val="2EB3A1"/>
                                  <w:sz w:val="56"/>
                                  <w:szCs w:val="80"/>
                                </w:rPr>
                              </w:pPr>
                              <w:r w:rsidRPr="00FD2431">
                                <w:rPr>
                                  <w:rFonts w:ascii="Segoe UI Symbol" w:hAnsi="Segoe UI Symbol" w:cs="Segoe UI Symbol"/>
                                  <w:b/>
                                  <w:color w:val="2EB3A1"/>
                                  <w:sz w:val="56"/>
                                  <w:szCs w:val="80"/>
                                </w:rPr>
                                <w:t>✓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5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0791" y="2967496"/>
                            <a:ext cx="449580" cy="1200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FD2431" w:rsidRDefault="00AD7884" w:rsidP="00D9187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</w:pPr>
                              <w:r w:rsidRPr="00FD2431">
                                <w:rPr>
                                  <w:rFonts w:asciiTheme="minorHAnsi" w:hAnsiTheme="minorHAnsi" w:cstheme="minorHAnsi"/>
                                  <w:b/>
                                  <w:color w:val="AF1953"/>
                                  <w:sz w:val="80"/>
                                  <w:szCs w:val="80"/>
                                </w:rPr>
                                <w:t>×</w:t>
                              </w:r>
                            </w:p>
                            <w:p w:rsidR="00AD7884" w:rsidRPr="00AF2621" w:rsidRDefault="00AD7884" w:rsidP="00D91871">
                              <w:pPr>
                                <w:jc w:val="center"/>
                                <w:rPr>
                                  <w:color w:val="AF1953"/>
                                  <w:sz w:val="80"/>
                                  <w:szCs w:val="80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60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37298" y="2178622"/>
                            <a:ext cx="1613447" cy="1200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Default="00AD7884" w:rsidP="00D91871">
                              <w:pPr>
                                <w:spacing w:after="0"/>
                                <w:rPr>
                                  <w:b/>
                                  <w:color w:val="2EB3A1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EB3A1"/>
                                  <w:sz w:val="20"/>
                                </w:rPr>
                                <w:t>ZDRAVOTNÍ SLUŽBY</w:t>
                              </w:r>
                            </w:p>
                            <w:p w:rsidR="00AD7884" w:rsidRPr="00413A49" w:rsidRDefault="00AD7884" w:rsidP="00D91871">
                              <w:pPr>
                                <w:spacing w:after="0"/>
                                <w:rPr>
                                  <w:b/>
                                  <w:color w:val="2EB3A1"/>
                                  <w:sz w:val="8"/>
                                  <w:szCs w:val="8"/>
                                </w:rPr>
                              </w:pPr>
                            </w:p>
                            <w:p w:rsidR="00AD7884" w:rsidRPr="00413A49" w:rsidRDefault="00AD7884" w:rsidP="00D91871">
                              <w:pPr>
                                <w:spacing w:after="0"/>
                                <w:rPr>
                                  <w:b/>
                                  <w:color w:val="2EB3A1"/>
                                  <w:sz w:val="8"/>
                                  <w:szCs w:val="8"/>
                                </w:rPr>
                              </w:pPr>
                            </w:p>
                            <w:p w:rsidR="00AD7884" w:rsidRPr="00227ED9" w:rsidRDefault="00AD7884" w:rsidP="00D91871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F1953"/>
                                  <w:sz w:val="20"/>
                                </w:rPr>
                                <w:t>SOCIÁLNÍ SLUŽBY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61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3217" y="3498497"/>
                            <a:ext cx="1757996" cy="675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227ED9" w:rsidRDefault="00AD7884" w:rsidP="00D91871">
                              <w:pPr>
                                <w:rPr>
                                  <w:b/>
                                  <w:color w:val="AF1953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AF1953"/>
                                  <w:sz w:val="20"/>
                                </w:rPr>
                                <w:t>0,66</w:t>
                              </w:r>
                              <w:r w:rsidRPr="00227ED9">
                                <w:rPr>
                                  <w:b/>
                                  <w:color w:val="AF1953"/>
                                  <w:sz w:val="20"/>
                                </w:rPr>
                                <w:t xml:space="preserve">/100 </w:t>
                              </w:r>
                              <w:r>
                                <w:rPr>
                                  <w:b/>
                                  <w:color w:val="AF1953"/>
                                  <w:sz w:val="20"/>
                                </w:rPr>
                                <w:t>TIS. OBYVATEL</w:t>
                              </w:r>
                            </w:p>
                          </w:txbxContent>
                        </wps:txbx>
                        <wps:bodyPr rot="0" vert="horz" wrap="square" anchor="t" anchorCtr="0"/>
                      </wps:wsp>
                      <wps:wsp>
                        <wps:cNvPr id="62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8932" y="4362355"/>
                            <a:ext cx="1768086" cy="573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7884" w:rsidRPr="00227ED9" w:rsidRDefault="00AD7884" w:rsidP="00D91871">
                              <w:pPr>
                                <w:rPr>
                                  <w:b/>
                                  <w:color w:val="AF1953"/>
                                  <w:sz w:val="20"/>
                                </w:rPr>
                              </w:pPr>
                              <w:r w:rsidRPr="00227ED9">
                                <w:rPr>
                                  <w:b/>
                                  <w:color w:val="AF1953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AF1953"/>
                                  <w:sz w:val="20"/>
                                </w:rPr>
                                <w:t>,34</w:t>
                              </w:r>
                              <w:r w:rsidRPr="00227ED9">
                                <w:rPr>
                                  <w:b/>
                                  <w:color w:val="AF1953"/>
                                  <w:sz w:val="20"/>
                                </w:rPr>
                                <w:t xml:space="preserve">/100 </w:t>
                              </w:r>
                              <w:r>
                                <w:rPr>
                                  <w:b/>
                                  <w:color w:val="AF1953"/>
                                  <w:sz w:val="20"/>
                                </w:rPr>
                                <w:t>TIS. OBYVATEL</w:t>
                              </w:r>
                            </w:p>
                            <w:p w:rsidR="00AD7884" w:rsidRPr="00AF2621" w:rsidRDefault="00AD7884" w:rsidP="00D91871">
                              <w:pPr>
                                <w:rPr>
                                  <w:b/>
                                  <w:color w:val="AF1953"/>
                                </w:rPr>
                              </w:pPr>
                            </w:p>
                          </w:txbxContent>
                        </wps:txbx>
                        <wps:bodyPr rot="0" vert="horz" wrap="square" anchor="t" anchorCtr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20" o:spid="_x0000_s1026" style="position:absolute;margin-left:-3.55pt;margin-top:20.9pt;width:422.5pt;height:230.65pt;z-index:251658240;mso-position-horizontal-relative:margin" coordorigin="40,-10195" coordsize="54129,6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">
                <v:roundrect id="Obdélník: se zakulacenými rohy 21" o:spid="_x0000_s1027" style="position:absolute;left:40;top:-10195;width:30017;height:127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" fillcolor="#e6e6e6" stroked="f" strokeweight="1pt">
                  <v:stroke joinstyle="miter"/>
                  <v:textbox>
                    <w:txbxContent>
                      <w:p w:rsidR="00AD7884" w:rsidRPr="00413A49" w:rsidRDefault="00AD7884" w:rsidP="009C1F85">
                        <w:pPr>
                          <w:spacing w:after="0"/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 w:rsidRPr="00413A49">
                          <w:rPr>
                            <w:color w:val="000000" w:themeColor="text1"/>
                            <w:sz w:val="20"/>
                          </w:rPr>
                          <w:t>Vybudovat síť 100 CDZ pro osoby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br/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se závažným duševním onemocněním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,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br/>
                          <w:t>nejbližší CDZ 30 minut veřejnou dopravou</w:t>
                        </w:r>
                      </w:p>
                    </w:txbxContent>
                  </v:textbox>
                </v:roundrect>
                <v:roundrect id="Obdélník: se zakulacenými rohy 29" o:spid="_x0000_s1028" style="position:absolute;left:69;top:13411;width:29986;height:75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" fillcolor="#e6e6e6" stroked="f" strokeweight="1pt">
                  <v:stroke joinstyle="miter"/>
                  <v:textbox>
                    <w:txbxContent>
                      <w:p w:rsidR="00AD7884" w:rsidRPr="00413A49" w:rsidRDefault="00AD7884" w:rsidP="00D91871">
                        <w:pPr>
                          <w:spacing w:after="0"/>
                          <w:rPr>
                            <w:color w:val="000000" w:themeColor="text1"/>
                            <w:sz w:val="20"/>
                          </w:rPr>
                        </w:pPr>
                        <w:r w:rsidRPr="00413A49">
                          <w:rPr>
                            <w:color w:val="000000" w:themeColor="text1"/>
                            <w:sz w:val="20"/>
                          </w:rPr>
                          <w:t xml:space="preserve">Legislativně ukotvit CDZ </w:t>
                        </w:r>
                      </w:p>
                    </w:txbxContent>
                  </v:textbox>
                </v:roundrect>
                <v:roundrect id="Obdélník: se zakulacenými rohy 32" o:spid="_x0000_s1029" style="position:absolute;left:40;top:2997;width:30015;height:97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" fillcolor="#e6e6e6" stroked="f" strokeweight="1pt">
                  <v:stroke joinstyle="miter"/>
                  <v:textbox>
                    <w:txbxContent>
                      <w:p w:rsidR="00AD7884" w:rsidRPr="00413A49" w:rsidRDefault="00AD7884" w:rsidP="009C1F85">
                        <w:pPr>
                          <w:spacing w:after="0"/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 w:rsidRPr="00413A49">
                          <w:rPr>
                            <w:color w:val="000000" w:themeColor="text1"/>
                            <w:sz w:val="20"/>
                          </w:rPr>
                          <w:t>Realizovat pilotní projekty CDZ, provést jejich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br/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evaluaci,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definovat standardy CDZ</w:t>
                        </w:r>
                      </w:p>
                    </w:txbxContent>
                  </v:textbox>
                </v:roundrect>
                <v:roundrect id="Obdélník: se zakulacenými rohy 33" o:spid="_x0000_s1030" style="position:absolute;left:88;top:21462;width:29965;height:119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" fillcolor="#e6e6e6" stroked="f" strokeweight="1pt">
                  <v:stroke joinstyle="miter"/>
                  <v:textbox>
                    <w:txbxContent>
                      <w:p w:rsidR="00AD7884" w:rsidRPr="00413A49" w:rsidRDefault="00AD7884" w:rsidP="00D91871">
                        <w:pPr>
                          <w:spacing w:after="0"/>
                          <w:rPr>
                            <w:color w:val="000000" w:themeColor="text1"/>
                            <w:sz w:val="20"/>
                          </w:rPr>
                        </w:pPr>
                        <w:r w:rsidRPr="00413A49">
                          <w:rPr>
                            <w:color w:val="000000" w:themeColor="text1"/>
                            <w:sz w:val="20"/>
                          </w:rPr>
                          <w:t>Zajistit udržitelné financování CDZ</w:t>
                        </w:r>
                      </w:p>
                    </w:txbxContent>
                  </v:textbox>
                </v:roundrect>
                <v:roundrect id="Obdélník: se zakulacenými rohy 45" o:spid="_x0000_s1031" style="position:absolute;left:114;top:33911;width:29967;height:67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" fillcolor="#e6e6e6" stroked="f" strokeweight="1pt">
                  <v:stroke joinstyle="miter"/>
                  <v:textbox>
                    <w:txbxContent>
                      <w:p w:rsidR="00AD7884" w:rsidRPr="00413A49" w:rsidRDefault="00AD7884" w:rsidP="00D91871">
                        <w:pPr>
                          <w:spacing w:after="0"/>
                          <w:rPr>
                            <w:color w:val="000000" w:themeColor="text1"/>
                            <w:sz w:val="20"/>
                          </w:rPr>
                        </w:pPr>
                        <w:r w:rsidRPr="00413A49">
                          <w:rPr>
                            <w:color w:val="000000" w:themeColor="text1"/>
                            <w:sz w:val="20"/>
                          </w:rPr>
                          <w:t xml:space="preserve">Zajistit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v CDZ 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psychiatry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 xml:space="preserve">v počtu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>1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/100 tis. obyvatel</w:t>
                        </w:r>
                      </w:p>
                    </w:txbxContent>
                  </v:textbox>
                </v:roundrect>
                <v:roundrect id="Obdélník: se zakulacenými rohy 52" o:spid="_x0000_s1032" style="position:absolute;left:69;top:41835;width:30013;height:90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" fillcolor="#e6e6e6" stroked="f" strokeweight="1pt">
                  <v:stroke joinstyle="miter"/>
                  <v:textbox>
                    <w:txbxContent>
                      <w:p w:rsidR="00AD7884" w:rsidRPr="00413A49" w:rsidRDefault="00AD7884" w:rsidP="007C2DCF">
                        <w:pPr>
                          <w:spacing w:after="0"/>
                          <w:jc w:val="left"/>
                          <w:rPr>
                            <w:color w:val="000000" w:themeColor="text1"/>
                            <w:sz w:val="20"/>
                          </w:rPr>
                        </w:pPr>
                        <w:r w:rsidRPr="00413A49">
                          <w:rPr>
                            <w:color w:val="000000" w:themeColor="text1"/>
                            <w:sz w:val="20"/>
                          </w:rPr>
                          <w:t xml:space="preserve">Zajistit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v CDZ 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sestry s psychiatrickou specializací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 xml:space="preserve"> 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v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> 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 xml:space="preserve">počtu </w:t>
                        </w:r>
                        <w:r>
                          <w:rPr>
                            <w:color w:val="000000" w:themeColor="text1"/>
                            <w:sz w:val="20"/>
                          </w:rPr>
                          <w:t>13</w:t>
                        </w:r>
                        <w:r w:rsidRPr="00413A49">
                          <w:rPr>
                            <w:color w:val="000000" w:themeColor="text1"/>
                            <w:sz w:val="20"/>
                          </w:rPr>
                          <w:t>/100 tis. obyvatel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31828;top:9174;width:4495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AD7884" w:rsidRPr="00FD2431" w:rsidRDefault="00AD7884" w:rsidP="00D91871">
                        <w:pPr>
                          <w:jc w:val="center"/>
                          <w:rPr>
                            <w:rFonts w:cstheme="minorHAnsi"/>
                            <w:b/>
                            <w:color w:val="AF1953"/>
                            <w:sz w:val="80"/>
                            <w:szCs w:val="80"/>
                          </w:rPr>
                        </w:pPr>
                        <w:r w:rsidRPr="00FD2431">
                          <w:rPr>
                            <w:rFonts w:asciiTheme="minorHAnsi" w:hAnsiTheme="minorHAnsi" w:cstheme="minorHAnsi"/>
                            <w:b/>
                            <w:color w:val="AF1953"/>
                            <w:sz w:val="80"/>
                            <w:szCs w:val="80"/>
                          </w:rPr>
                          <w:t>×</w:t>
                        </w:r>
                      </w:p>
                      <w:p w:rsidR="00AD7884" w:rsidRPr="00AF2621" w:rsidRDefault="00AD7884" w:rsidP="00D91871">
                        <w:pPr>
                          <w:jc w:val="center"/>
                          <w:rPr>
                            <w:color w:val="AF1953"/>
                            <w:sz w:val="80"/>
                            <w:szCs w:val="80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1877;top:22377;width:4495;height:13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:rsidR="00AD7884" w:rsidRPr="00AF2621" w:rsidRDefault="00AD7884" w:rsidP="00D91871">
                        <w:pPr>
                          <w:jc w:val="center"/>
                          <w:rPr>
                            <w:rFonts w:cstheme="minorHAnsi"/>
                            <w:color w:val="AF1953"/>
                            <w:sz w:val="80"/>
                            <w:szCs w:val="80"/>
                          </w:rPr>
                        </w:pPr>
                        <w:r w:rsidRPr="00FD2431">
                          <w:rPr>
                            <w:rFonts w:asciiTheme="minorHAnsi" w:hAnsiTheme="minorHAnsi" w:cstheme="minorHAnsi"/>
                            <w:b/>
                            <w:color w:val="AF1953"/>
                            <w:sz w:val="80"/>
                            <w:szCs w:val="80"/>
                          </w:rPr>
                          <w:t>×</w:t>
                        </w:r>
                        <w:r w:rsidRPr="00AF2621">
                          <w:rPr>
                            <w:rFonts w:cstheme="minorHAnsi"/>
                            <w:color w:val="AF1953"/>
                            <w:sz w:val="80"/>
                            <w:szCs w:val="80"/>
                          </w:rPr>
                          <w:t>\\</w:t>
                        </w:r>
                      </w:p>
                      <w:p w:rsidR="00AD7884" w:rsidRPr="00AF2621" w:rsidRDefault="00AD7884" w:rsidP="00D91871">
                        <w:pPr>
                          <w:jc w:val="center"/>
                          <w:rPr>
                            <w:color w:val="AF1953"/>
                            <w:sz w:val="80"/>
                            <w:szCs w:val="80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31907;top:38128;width:4496;height:11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:rsidR="00AD7884" w:rsidRPr="00FD2431" w:rsidRDefault="00AD7884" w:rsidP="00D91871">
                        <w:pPr>
                          <w:jc w:val="center"/>
                          <w:rPr>
                            <w:rFonts w:cstheme="minorHAnsi"/>
                            <w:b/>
                            <w:color w:val="AF1953"/>
                            <w:sz w:val="80"/>
                            <w:szCs w:val="80"/>
                          </w:rPr>
                        </w:pPr>
                        <w:r w:rsidRPr="00FD2431">
                          <w:rPr>
                            <w:rFonts w:asciiTheme="minorHAnsi" w:hAnsiTheme="minorHAnsi" w:cstheme="minorHAnsi"/>
                            <w:b/>
                            <w:color w:val="AF1953"/>
                            <w:sz w:val="80"/>
                            <w:szCs w:val="80"/>
                          </w:rPr>
                          <w:t>×</w:t>
                        </w:r>
                        <w:r w:rsidRPr="00A95F59">
                          <w:rPr>
                            <w:rFonts w:cstheme="minorHAnsi"/>
                            <w:b/>
                            <w:noProof/>
                            <w:color w:val="AF1953"/>
                            <w:sz w:val="80"/>
                            <w:szCs w:val="80"/>
                          </w:rPr>
                          <w:drawing>
                            <wp:inline distT="0" distB="0" distL="0" distR="0">
                              <wp:extent cx="242570" cy="318373"/>
                              <wp:effectExtent l="0" t="0" r="0" b="0"/>
                              <wp:docPr id="31" name="Obrázek 6020623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3213393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2570" cy="3183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D7884" w:rsidRPr="00AF2621" w:rsidRDefault="00AD7884" w:rsidP="00D91871">
                        <w:pPr>
                          <w:jc w:val="center"/>
                          <w:rPr>
                            <w:color w:val="AF1953"/>
                            <w:sz w:val="80"/>
                            <w:szCs w:val="80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1269;top:18535;width:5728;height:10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AD7884" w:rsidRPr="00FD2431" w:rsidRDefault="00AD7884" w:rsidP="00D91871">
                        <w:pPr>
                          <w:jc w:val="center"/>
                          <w:rPr>
                            <w:b/>
                            <w:color w:val="2EB3A1"/>
                            <w:sz w:val="56"/>
                            <w:szCs w:val="80"/>
                          </w:rPr>
                        </w:pPr>
                        <w:r w:rsidRPr="00FD2431">
                          <w:rPr>
                            <w:rFonts w:ascii="Segoe UI Symbol" w:hAnsi="Segoe UI Symbol" w:cs="Segoe UI Symbol"/>
                            <w:b/>
                            <w:color w:val="2EB3A1"/>
                            <w:sz w:val="56"/>
                            <w:szCs w:val="80"/>
                          </w:rPr>
                          <w:t>✓</w:t>
                        </w:r>
                      </w:p>
                    </w:txbxContent>
                  </v:textbox>
                </v:shape>
                <v:shape id="_x0000_s1037" type="#_x0000_t202" style="position:absolute;left:31907;top:29674;width:4496;height:1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:rsidR="00AD7884" w:rsidRPr="00FD2431" w:rsidRDefault="00AD7884" w:rsidP="00D91871">
                        <w:pPr>
                          <w:jc w:val="center"/>
                          <w:rPr>
                            <w:rFonts w:cstheme="minorHAnsi"/>
                            <w:b/>
                            <w:color w:val="AF1953"/>
                            <w:sz w:val="80"/>
                            <w:szCs w:val="80"/>
                          </w:rPr>
                        </w:pPr>
                        <w:r w:rsidRPr="00FD2431">
                          <w:rPr>
                            <w:rFonts w:asciiTheme="minorHAnsi" w:hAnsiTheme="minorHAnsi" w:cstheme="minorHAnsi"/>
                            <w:b/>
                            <w:color w:val="AF1953"/>
                            <w:sz w:val="80"/>
                            <w:szCs w:val="80"/>
                          </w:rPr>
                          <w:t>×</w:t>
                        </w:r>
                      </w:p>
                      <w:p w:rsidR="00AD7884" w:rsidRPr="00AF2621" w:rsidRDefault="00AD7884" w:rsidP="00D91871">
                        <w:pPr>
                          <w:jc w:val="center"/>
                          <w:rPr>
                            <w:color w:val="AF1953"/>
                            <w:sz w:val="80"/>
                            <w:szCs w:val="80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6372;top:21786;width:16135;height:12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:rsidR="00AD7884" w:rsidRDefault="00AD7884" w:rsidP="00D91871">
                        <w:pPr>
                          <w:spacing w:after="0"/>
                          <w:rPr>
                            <w:b/>
                            <w:color w:val="2EB3A1"/>
                            <w:sz w:val="20"/>
                          </w:rPr>
                        </w:pPr>
                        <w:r>
                          <w:rPr>
                            <w:b/>
                            <w:color w:val="2EB3A1"/>
                            <w:sz w:val="20"/>
                          </w:rPr>
                          <w:t>ZDRAVOTNÍ SLUŽBY</w:t>
                        </w:r>
                      </w:p>
                      <w:p w:rsidR="00AD7884" w:rsidRPr="00413A49" w:rsidRDefault="00AD7884" w:rsidP="00D91871">
                        <w:pPr>
                          <w:spacing w:after="0"/>
                          <w:rPr>
                            <w:b/>
                            <w:color w:val="2EB3A1"/>
                            <w:sz w:val="8"/>
                            <w:szCs w:val="8"/>
                          </w:rPr>
                        </w:pPr>
                      </w:p>
                      <w:p w:rsidR="00AD7884" w:rsidRPr="00413A49" w:rsidRDefault="00AD7884" w:rsidP="00D91871">
                        <w:pPr>
                          <w:spacing w:after="0"/>
                          <w:rPr>
                            <w:b/>
                            <w:color w:val="2EB3A1"/>
                            <w:sz w:val="8"/>
                            <w:szCs w:val="8"/>
                          </w:rPr>
                        </w:pPr>
                      </w:p>
                      <w:p w:rsidR="00AD7884" w:rsidRPr="00227ED9" w:rsidRDefault="00AD7884" w:rsidP="00D91871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AF1953"/>
                            <w:sz w:val="20"/>
                          </w:rPr>
                          <w:t>SOCIÁLNÍ SLUŽBY</w:t>
                        </w:r>
                      </w:p>
                    </w:txbxContent>
                  </v:textbox>
                </v:shape>
                <v:shape id="_x0000_s1039" type="#_x0000_t202" style="position:absolute;left:36432;top:34984;width:17580;height:6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AD7884" w:rsidRPr="00227ED9" w:rsidRDefault="00AD7884" w:rsidP="00D91871">
                        <w:pPr>
                          <w:rPr>
                            <w:b/>
                            <w:color w:val="AF1953"/>
                            <w:sz w:val="20"/>
                          </w:rPr>
                        </w:pPr>
                        <w:r>
                          <w:rPr>
                            <w:b/>
                            <w:color w:val="AF1953"/>
                            <w:sz w:val="20"/>
                          </w:rPr>
                          <w:t>0,66</w:t>
                        </w:r>
                        <w:r w:rsidRPr="00227ED9">
                          <w:rPr>
                            <w:b/>
                            <w:color w:val="AF1953"/>
                            <w:sz w:val="20"/>
                          </w:rPr>
                          <w:t xml:space="preserve">/100 </w:t>
                        </w:r>
                        <w:r>
                          <w:rPr>
                            <w:b/>
                            <w:color w:val="AF1953"/>
                            <w:sz w:val="20"/>
                          </w:rPr>
                          <w:t>TIS. OBYVATEL</w:t>
                        </w:r>
                      </w:p>
                    </w:txbxContent>
                  </v:textbox>
                </v:shape>
                <v:shape id="_x0000_s1040" type="#_x0000_t202" style="position:absolute;left:36489;top:43623;width:17681;height:5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:rsidR="00AD7884" w:rsidRPr="00227ED9" w:rsidRDefault="00AD7884" w:rsidP="00D91871">
                        <w:pPr>
                          <w:rPr>
                            <w:b/>
                            <w:color w:val="AF1953"/>
                            <w:sz w:val="20"/>
                          </w:rPr>
                        </w:pPr>
                        <w:r w:rsidRPr="00227ED9">
                          <w:rPr>
                            <w:b/>
                            <w:color w:val="AF1953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color w:val="AF1953"/>
                            <w:sz w:val="20"/>
                          </w:rPr>
                          <w:t>,34</w:t>
                        </w:r>
                        <w:r w:rsidRPr="00227ED9">
                          <w:rPr>
                            <w:b/>
                            <w:color w:val="AF1953"/>
                            <w:sz w:val="20"/>
                          </w:rPr>
                          <w:t xml:space="preserve">/100 </w:t>
                        </w:r>
                        <w:r>
                          <w:rPr>
                            <w:b/>
                            <w:color w:val="AF1953"/>
                            <w:sz w:val="20"/>
                          </w:rPr>
                          <w:t>TIS. OBYVATEL</w:t>
                        </w:r>
                      </w:p>
                      <w:p w:rsidR="00AD7884" w:rsidRPr="00AF2621" w:rsidRDefault="00AD7884" w:rsidP="00D91871">
                        <w:pPr>
                          <w:rPr>
                            <w:b/>
                            <w:color w:val="AF1953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51E94" w:rsidRPr="00293606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9DB1A" wp14:editId="5347346F">
                <wp:simplePos x="0" y="0"/>
                <wp:positionH relativeFrom="column">
                  <wp:posOffset>3114675</wp:posOffset>
                </wp:positionH>
                <wp:positionV relativeFrom="paragraph">
                  <wp:posOffset>201930</wp:posOffset>
                </wp:positionV>
                <wp:extent cx="445758" cy="576000"/>
                <wp:effectExtent l="0" t="0" r="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58" cy="57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84" w:rsidRPr="00FD2431" w:rsidRDefault="00AD7884" w:rsidP="0005072A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AF1953"/>
                                <w:sz w:val="80"/>
                                <w:szCs w:val="80"/>
                              </w:rPr>
                            </w:pPr>
                            <w:r w:rsidRPr="00FD2431">
                              <w:rPr>
                                <w:rFonts w:asciiTheme="minorHAnsi" w:hAnsiTheme="minorHAnsi" w:cstheme="minorHAnsi"/>
                                <w:b/>
                                <w:color w:val="AF1953"/>
                                <w:sz w:val="80"/>
                                <w:szCs w:val="80"/>
                              </w:rPr>
                              <w:t>×</w:t>
                            </w:r>
                          </w:p>
                          <w:p w:rsidR="00AD7884" w:rsidRPr="00AF2621" w:rsidRDefault="00AD7884" w:rsidP="0005072A">
                            <w:pPr>
                              <w:jc w:val="center"/>
                              <w:rPr>
                                <w:color w:val="AF1953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9DB1A" id="_x0000_s1041" type="#_x0000_t202" style="position:absolute;margin-left:245.25pt;margin-top:15.9pt;width:35.1pt;height:45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" filled="f" stroked="f">
                <v:textbox>
                  <w:txbxContent>
                    <w:p w:rsidR="00AD7884" w:rsidRPr="00FD2431" w:rsidRDefault="00AD7884" w:rsidP="0005072A">
                      <w:pPr>
                        <w:jc w:val="center"/>
                        <w:rPr>
                          <w:rFonts w:cstheme="minorHAnsi"/>
                          <w:b/>
                          <w:color w:val="AF1953"/>
                          <w:sz w:val="80"/>
                          <w:szCs w:val="80"/>
                        </w:rPr>
                      </w:pPr>
                      <w:r w:rsidRPr="00FD2431">
                        <w:rPr>
                          <w:rFonts w:asciiTheme="minorHAnsi" w:hAnsiTheme="minorHAnsi" w:cstheme="minorHAnsi"/>
                          <w:b/>
                          <w:color w:val="AF1953"/>
                          <w:sz w:val="80"/>
                          <w:szCs w:val="80"/>
                        </w:rPr>
                        <w:t>×</w:t>
                      </w:r>
                    </w:p>
                    <w:p w:rsidR="00AD7884" w:rsidRPr="00AF2621" w:rsidRDefault="00AD7884" w:rsidP="0005072A">
                      <w:pPr>
                        <w:jc w:val="center"/>
                        <w:rPr>
                          <w:color w:val="AF1953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548D">
        <w:rPr>
          <w:b/>
          <w:sz w:val="28"/>
          <w:szCs w:val="24"/>
        </w:rPr>
        <w:t xml:space="preserve"> </w:t>
      </w:r>
      <w:r w:rsidR="00114F5E" w:rsidRPr="00293606">
        <w:rPr>
          <w:b/>
          <w:sz w:val="28"/>
          <w:szCs w:val="24"/>
        </w:rPr>
        <w:t>STANOVENÉ CÍLE NA ROKY 2014</w:t>
      </w:r>
      <w:r w:rsidR="00114F5E" w:rsidRPr="00293606">
        <w:rPr>
          <w:b/>
          <w:bCs/>
          <w:smallCaps/>
          <w:sz w:val="28"/>
          <w:szCs w:val="24"/>
        </w:rPr>
        <w:t>–2023</w:t>
      </w:r>
      <w:r w:rsidR="00E51E94" w:rsidRPr="00293606">
        <w:rPr>
          <w:b/>
          <w:bCs/>
          <w:smallCaps/>
          <w:sz w:val="28"/>
          <w:szCs w:val="24"/>
        </w:rPr>
        <w:tab/>
      </w:r>
      <w:r w:rsidR="00D0548D">
        <w:rPr>
          <w:b/>
          <w:bCs/>
          <w:smallCaps/>
          <w:sz w:val="28"/>
          <w:szCs w:val="24"/>
        </w:rPr>
        <w:t xml:space="preserve"> </w:t>
      </w:r>
      <w:r w:rsidR="00114F5E" w:rsidRPr="00293606">
        <w:rPr>
          <w:b/>
          <w:bCs/>
          <w:smallCaps/>
          <w:sz w:val="28"/>
          <w:szCs w:val="24"/>
        </w:rPr>
        <w:t>REALITA 2023</w:t>
      </w:r>
    </w:p>
    <w:p w:rsidR="00D91871" w:rsidRDefault="00800CDE" w:rsidP="00D91871">
      <w:pPr>
        <w:tabs>
          <w:tab w:val="left" w:pos="5954"/>
        </w:tabs>
        <w:spacing w:before="120" w:after="0"/>
        <w:ind w:left="708" w:firstLine="426"/>
        <w:rPr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A36AC8" wp14:editId="674443DC">
                <wp:simplePos x="0" y="0"/>
                <wp:positionH relativeFrom="margin">
                  <wp:posOffset>2961005</wp:posOffset>
                </wp:positionH>
                <wp:positionV relativeFrom="paragraph">
                  <wp:posOffset>17335</wp:posOffset>
                </wp:positionV>
                <wp:extent cx="2789555" cy="612000"/>
                <wp:effectExtent l="0" t="0" r="0" b="0"/>
                <wp:wrapNone/>
                <wp:docPr id="15" name="Obdélník: se zakulacenými roh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9555" cy="612000"/>
                        </a:xfrm>
                        <a:prstGeom prst="round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884" w:rsidRPr="00B447BA" w:rsidRDefault="00AD7884" w:rsidP="009C1F85">
                            <w:pPr>
                              <w:spacing w:after="0"/>
                              <w:ind w:left="851"/>
                              <w:jc w:val="left"/>
                              <w:rPr>
                                <w:b/>
                                <w:caps/>
                                <w:color w:val="AF1953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AF1953"/>
                                <w:sz w:val="20"/>
                              </w:rPr>
                              <w:t xml:space="preserve">PROVOZOVÁNO 31 CDZ, </w:t>
                            </w:r>
                            <w:r>
                              <w:rPr>
                                <w:b/>
                                <w:color w:val="AF1953"/>
                                <w:sz w:val="20"/>
                              </w:rPr>
                              <w:br/>
                            </w:r>
                            <w:r w:rsidRPr="005B25D2">
                              <w:rPr>
                                <w:b/>
                                <w:caps/>
                                <w:color w:val="AF1953"/>
                                <w:sz w:val="20"/>
                              </w:rPr>
                              <w:t>z toho 28 vzniklo</w:t>
                            </w:r>
                            <w:r>
                              <w:rPr>
                                <w:b/>
                                <w:caps/>
                                <w:color w:val="AF1953"/>
                                <w:sz w:val="20"/>
                              </w:rPr>
                              <w:t xml:space="preserve"> </w:t>
                            </w:r>
                            <w:r w:rsidRPr="005B25D2">
                              <w:rPr>
                                <w:b/>
                                <w:caps/>
                                <w:color w:val="AF1953"/>
                                <w:sz w:val="20"/>
                              </w:rPr>
                              <w:t>díky</w:t>
                            </w:r>
                            <w:r>
                              <w:rPr>
                                <w:b/>
                                <w:caps/>
                                <w:color w:val="AF19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aps/>
                                <w:color w:val="AF1953"/>
                                <w:sz w:val="20"/>
                              </w:rPr>
                              <w:br/>
                              <w:t>dotacím na pilotní Provoz</w:t>
                            </w:r>
                          </w:p>
                          <w:p w:rsidR="00AD7884" w:rsidRPr="00413A49" w:rsidRDefault="00AD7884" w:rsidP="009C1F85">
                            <w:pPr>
                              <w:spacing w:after="0"/>
                              <w:ind w:left="851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36AC8" id="Obdélník: se zakulacenými rohy 15" o:spid="_x0000_s1042" style="position:absolute;left:0;text-align:left;margin-left:233.15pt;margin-top:1.35pt;width:219.65pt;height:4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" fillcolor="#e6e6e6" stroked="f" strokeweight="1pt">
                <v:stroke joinstyle="miter"/>
                <v:textbox>
                  <w:txbxContent>
                    <w:p w:rsidR="00AD7884" w:rsidRPr="00B447BA" w:rsidRDefault="00AD7884" w:rsidP="009C1F85">
                      <w:pPr>
                        <w:spacing w:after="0"/>
                        <w:ind w:left="851"/>
                        <w:jc w:val="left"/>
                        <w:rPr>
                          <w:b/>
                          <w:caps/>
                          <w:color w:val="AF1953"/>
                          <w:sz w:val="20"/>
                        </w:rPr>
                      </w:pPr>
                      <w:r>
                        <w:rPr>
                          <w:b/>
                          <w:color w:val="AF1953"/>
                          <w:sz w:val="20"/>
                        </w:rPr>
                        <w:t xml:space="preserve">PROVOZOVÁNO 31 CDZ, </w:t>
                      </w:r>
                      <w:r>
                        <w:rPr>
                          <w:b/>
                          <w:color w:val="AF1953"/>
                          <w:sz w:val="20"/>
                        </w:rPr>
                        <w:br/>
                      </w:r>
                      <w:r w:rsidRPr="005B25D2">
                        <w:rPr>
                          <w:b/>
                          <w:caps/>
                          <w:color w:val="AF1953"/>
                          <w:sz w:val="20"/>
                        </w:rPr>
                        <w:t>z toho 28 vzniklo</w:t>
                      </w:r>
                      <w:r>
                        <w:rPr>
                          <w:b/>
                          <w:caps/>
                          <w:color w:val="AF1953"/>
                          <w:sz w:val="20"/>
                        </w:rPr>
                        <w:t xml:space="preserve"> </w:t>
                      </w:r>
                      <w:r w:rsidRPr="005B25D2">
                        <w:rPr>
                          <w:b/>
                          <w:caps/>
                          <w:color w:val="AF1953"/>
                          <w:sz w:val="20"/>
                        </w:rPr>
                        <w:t>díky</w:t>
                      </w:r>
                      <w:r>
                        <w:rPr>
                          <w:b/>
                          <w:caps/>
                          <w:color w:val="AF195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aps/>
                          <w:color w:val="AF1953"/>
                          <w:sz w:val="20"/>
                        </w:rPr>
                        <w:br/>
                        <w:t>dotacím na pilotní Provoz</w:t>
                      </w:r>
                    </w:p>
                    <w:p w:rsidR="00AD7884" w:rsidRPr="00413A49" w:rsidRDefault="00AD7884" w:rsidP="009C1F85">
                      <w:pPr>
                        <w:spacing w:after="0"/>
                        <w:ind w:left="851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91871" w:rsidRDefault="00D91871" w:rsidP="00D91871">
      <w:pPr>
        <w:tabs>
          <w:tab w:val="left" w:pos="5954"/>
        </w:tabs>
        <w:spacing w:before="120" w:after="0"/>
        <w:ind w:left="708" w:firstLine="426"/>
        <w:rPr>
          <w:b/>
          <w:bCs/>
          <w:smallCaps/>
        </w:rPr>
      </w:pPr>
    </w:p>
    <w:p w:rsidR="00D91871" w:rsidRPr="006E3BF3" w:rsidRDefault="00DF5F02" w:rsidP="00413A49">
      <w:pPr>
        <w:tabs>
          <w:tab w:val="left" w:pos="5954"/>
        </w:tabs>
        <w:spacing w:before="120" w:after="0"/>
        <w:ind w:left="708" w:firstLine="426"/>
        <w:rPr>
          <w:b/>
          <w:bCs/>
          <w:small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BF488C" wp14:editId="4A4EFF19">
                <wp:simplePos x="0" y="0"/>
                <wp:positionH relativeFrom="margin">
                  <wp:posOffset>2960370</wp:posOffset>
                </wp:positionH>
                <wp:positionV relativeFrom="paragraph">
                  <wp:posOffset>157035</wp:posOffset>
                </wp:positionV>
                <wp:extent cx="2792095" cy="467995"/>
                <wp:effectExtent l="0" t="0" r="8255" b="8255"/>
                <wp:wrapNone/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095" cy="467995"/>
                        </a:xfrm>
                        <a:prstGeom prst="round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884" w:rsidRPr="00413A49" w:rsidRDefault="00AD7884" w:rsidP="00E35C1B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BF488C" id="Obdélník: se zakulacenými rohy 19" o:spid="_x0000_s1043" style="position:absolute;left:0;text-align:left;margin-left:233.1pt;margin-top:12.35pt;width:219.85pt;height:36.8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" fillcolor="#e6e6e6" stroked="f" strokeweight="1pt">
                <v:stroke joinstyle="miter"/>
                <v:textbox>
                  <w:txbxContent>
                    <w:p w:rsidR="00AD7884" w:rsidRPr="00413A49" w:rsidRDefault="00AD7884" w:rsidP="00E35C1B">
                      <w:pPr>
                        <w:spacing w:after="0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254F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3051810</wp:posOffset>
                </wp:positionH>
                <wp:positionV relativeFrom="paragraph">
                  <wp:posOffset>77470</wp:posOffset>
                </wp:positionV>
                <wp:extent cx="561573" cy="543856"/>
                <wp:effectExtent l="0" t="0" r="0" b="0"/>
                <wp:wrapNone/>
                <wp:docPr id="1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73" cy="5438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84" w:rsidRPr="00FD2431" w:rsidRDefault="00AD7884" w:rsidP="003F1803">
                            <w:pPr>
                              <w:jc w:val="center"/>
                              <w:rPr>
                                <w:b/>
                                <w:color w:val="2EB3A1"/>
                                <w:sz w:val="56"/>
                                <w:szCs w:val="80"/>
                              </w:rPr>
                            </w:pPr>
                            <w:r w:rsidRPr="00FD2431">
                              <w:rPr>
                                <w:rFonts w:ascii="Segoe UI Symbol" w:hAnsi="Segoe UI Symbol" w:cs="Segoe UI Symbol"/>
                                <w:b/>
                                <w:color w:val="2EB3A1"/>
                                <w:sz w:val="56"/>
                                <w:szCs w:val="8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240.3pt;margin-top:6.1pt;width:44.2pt;height:4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" filled="f" stroked="f">
                <v:textbox>
                  <w:txbxContent>
                    <w:p w:rsidR="00AD7884" w:rsidRPr="00FD2431" w:rsidRDefault="00AD7884" w:rsidP="003F1803">
                      <w:pPr>
                        <w:jc w:val="center"/>
                        <w:rPr>
                          <w:b/>
                          <w:color w:val="2EB3A1"/>
                          <w:sz w:val="56"/>
                          <w:szCs w:val="80"/>
                        </w:rPr>
                      </w:pPr>
                      <w:r w:rsidRPr="00FD2431">
                        <w:rPr>
                          <w:rFonts w:ascii="Segoe UI Symbol" w:hAnsi="Segoe UI Symbol" w:cs="Segoe UI Symbol"/>
                          <w:b/>
                          <w:color w:val="2EB3A1"/>
                          <w:sz w:val="56"/>
                          <w:szCs w:val="80"/>
                        </w:rPr>
                        <w:t>✓</w:t>
                      </w:r>
                    </w:p>
                  </w:txbxContent>
                </v:textbox>
              </v:shape>
            </w:pict>
          </mc:Fallback>
        </mc:AlternateContent>
      </w:r>
    </w:p>
    <w:p w:rsidR="00D91871" w:rsidRPr="006C529A" w:rsidRDefault="00D91871" w:rsidP="00413A49">
      <w:pPr>
        <w:spacing w:before="120" w:after="0"/>
        <w:rPr>
          <w:b/>
          <w:bCs/>
          <w:smallCaps/>
          <w:color w:val="AF1953"/>
          <w:sz w:val="28"/>
        </w:rPr>
      </w:pPr>
    </w:p>
    <w:p w:rsidR="00E35C1B" w:rsidRDefault="00E51E94" w:rsidP="00413A49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3E9046" wp14:editId="6531C53D">
                <wp:simplePos x="0" y="0"/>
                <wp:positionH relativeFrom="margin">
                  <wp:posOffset>2965450</wp:posOffset>
                </wp:positionH>
                <wp:positionV relativeFrom="paragraph">
                  <wp:posOffset>100775</wp:posOffset>
                </wp:positionV>
                <wp:extent cx="2783205" cy="360000"/>
                <wp:effectExtent l="0" t="0" r="0" b="2540"/>
                <wp:wrapNone/>
                <wp:docPr id="24" name="Obdélník: se zakulacenými roh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205" cy="360000"/>
                        </a:xfrm>
                        <a:prstGeom prst="round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884" w:rsidRPr="00413A49" w:rsidRDefault="00AD7884" w:rsidP="00E35C1B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413A49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3E9046" id="Obdélník: se zakulacenými rohy 24" o:spid="_x0000_s1045" style="position:absolute;left:0;text-align:left;margin-left:233.5pt;margin-top:7.95pt;width:219.15pt;height:28.3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" fillcolor="#e6e6e6" stroked="f" strokeweight="1pt">
                <v:stroke joinstyle="miter"/>
                <v:textbox>
                  <w:txbxContent>
                    <w:p w:rsidR="00AD7884" w:rsidRPr="00413A49" w:rsidRDefault="00AD7884" w:rsidP="00E35C1B">
                      <w:pPr>
                        <w:spacing w:after="0"/>
                        <w:rPr>
                          <w:color w:val="000000" w:themeColor="text1"/>
                          <w:sz w:val="20"/>
                        </w:rPr>
                      </w:pPr>
                      <w:r w:rsidRPr="00413A49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5C1B" w:rsidRPr="00E35C1B" w:rsidRDefault="00E51E94" w:rsidP="00E35C1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F36E839" wp14:editId="48778EE0">
                <wp:simplePos x="0" y="0"/>
                <wp:positionH relativeFrom="margin">
                  <wp:posOffset>2965450</wp:posOffset>
                </wp:positionH>
                <wp:positionV relativeFrom="paragraph">
                  <wp:posOffset>216980</wp:posOffset>
                </wp:positionV>
                <wp:extent cx="2785770" cy="574040"/>
                <wp:effectExtent l="0" t="0" r="0" b="0"/>
                <wp:wrapNone/>
                <wp:docPr id="27" name="Obdélník: se zakulacenými roh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70" cy="574040"/>
                        </a:xfrm>
                        <a:prstGeom prst="round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884" w:rsidRPr="00413A49" w:rsidRDefault="00AD7884" w:rsidP="00E35C1B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36E839" id="Obdélník: se zakulacenými rohy 27" o:spid="_x0000_s1046" style="position:absolute;left:0;text-align:left;margin-left:233.5pt;margin-top:17.1pt;width:219.35pt;height:45.2pt;z-index:-251641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" fillcolor="#e6e6e6" stroked="f" strokeweight="1pt">
                <v:stroke joinstyle="miter"/>
                <v:textbox>
                  <w:txbxContent>
                    <w:p w:rsidR="00AD7884" w:rsidRPr="00413A49" w:rsidRDefault="00AD7884" w:rsidP="00E35C1B">
                      <w:pPr>
                        <w:spacing w:after="0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5C1B" w:rsidRPr="00E35C1B" w:rsidRDefault="00E35C1B" w:rsidP="00E35C1B"/>
    <w:p w:rsidR="00E35C1B" w:rsidRDefault="00E35C1B" w:rsidP="00E35C1B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64A3ED9" wp14:editId="5959DB9A">
                <wp:simplePos x="0" y="0"/>
                <wp:positionH relativeFrom="margin">
                  <wp:posOffset>2967355</wp:posOffset>
                </wp:positionH>
                <wp:positionV relativeFrom="paragraph">
                  <wp:posOffset>133160</wp:posOffset>
                </wp:positionV>
                <wp:extent cx="2783840" cy="360165"/>
                <wp:effectExtent l="0" t="0" r="0" b="1905"/>
                <wp:wrapNone/>
                <wp:docPr id="28" name="Obdélník: se zakulacenými roh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360165"/>
                        </a:xfrm>
                        <a:prstGeom prst="round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884" w:rsidRPr="00413A49" w:rsidRDefault="00AD7884" w:rsidP="00E35C1B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4A3ED9" id="Obdélník: se zakulacenými rohy 28" o:spid="_x0000_s1047" style="position:absolute;left:0;text-align:left;margin-left:233.65pt;margin-top:10.5pt;width:219.2pt;height:28.35pt;z-index:-251639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" fillcolor="#e6e6e6" stroked="f" strokeweight="1pt">
                <v:stroke joinstyle="miter"/>
                <v:textbox>
                  <w:txbxContent>
                    <w:p w:rsidR="00AD7884" w:rsidRPr="00413A49" w:rsidRDefault="00AD7884" w:rsidP="00E35C1B">
                      <w:pPr>
                        <w:spacing w:after="0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35C1B" w:rsidRDefault="00E51E94" w:rsidP="00E35C1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4EEBC82" wp14:editId="55C27AB4">
                <wp:simplePos x="0" y="0"/>
                <wp:positionH relativeFrom="margin">
                  <wp:posOffset>2965450</wp:posOffset>
                </wp:positionH>
                <wp:positionV relativeFrom="paragraph">
                  <wp:posOffset>177610</wp:posOffset>
                </wp:positionV>
                <wp:extent cx="2781300" cy="458927"/>
                <wp:effectExtent l="0" t="0" r="0" b="0"/>
                <wp:wrapNone/>
                <wp:docPr id="30" name="Obdélník: se zakulacenými roh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58927"/>
                        </a:xfrm>
                        <a:prstGeom prst="round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884" w:rsidRPr="00413A49" w:rsidRDefault="00AD7884" w:rsidP="00E51E94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EEBC82" id="Obdélník: se zakulacenými rohy 30" o:spid="_x0000_s1048" style="position:absolute;left:0;text-align:left;margin-left:233.5pt;margin-top:14pt;width:219pt;height:36.15pt;z-index:-2516377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" fillcolor="#e6e6e6" stroked="f" strokeweight="1pt">
                <v:stroke joinstyle="miter"/>
                <v:textbox>
                  <w:txbxContent>
                    <w:p w:rsidR="00AD7884" w:rsidRPr="00413A49" w:rsidRDefault="00AD7884" w:rsidP="00E51E94">
                      <w:pPr>
                        <w:spacing w:after="0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F421F" w:rsidRPr="00E35C1B" w:rsidRDefault="00E35C1B" w:rsidP="00E35C1B">
      <w:pPr>
        <w:tabs>
          <w:tab w:val="center" w:pos="4537"/>
        </w:tabs>
        <w:sectPr w:rsidR="009F421F" w:rsidRPr="00E35C1B" w:rsidSect="007A3415">
          <w:footerReference w:type="default" r:id="rId15"/>
          <w:footerReference w:type="first" r:id="rId16"/>
          <w:pgSz w:w="11909" w:h="16838" w:code="9"/>
          <w:pgMar w:top="1417" w:right="1417" w:bottom="1417" w:left="1417" w:header="709" w:footer="429" w:gutter="0"/>
          <w:cols w:space="60"/>
          <w:noEndnote/>
          <w:titlePg/>
          <w:docGrid w:linePitch="326"/>
        </w:sectPr>
      </w:pPr>
      <w:r>
        <w:tab/>
      </w:r>
    </w:p>
    <w:p w:rsidR="00FE5C8F" w:rsidRPr="007D36BA" w:rsidRDefault="000768DC" w:rsidP="000768DC">
      <w:pPr>
        <w:pStyle w:val="Nadpis1"/>
        <w:numPr>
          <w:ilvl w:val="0"/>
          <w:numId w:val="0"/>
        </w:numPr>
        <w:ind w:left="357"/>
      </w:pPr>
      <w:r>
        <w:t xml:space="preserve">I. </w:t>
      </w:r>
      <w:r w:rsidR="00780105" w:rsidRPr="007D36BA">
        <w:t>Shrnutí a vyhodnocení</w:t>
      </w:r>
    </w:p>
    <w:p w:rsidR="004C4A79" w:rsidRPr="00605B26" w:rsidRDefault="00780105" w:rsidP="00605B26">
      <w:pPr>
        <w:rPr>
          <w:szCs w:val="24"/>
        </w:rPr>
      </w:pPr>
      <w:r>
        <w:rPr>
          <w:rFonts w:cstheme="minorHAnsi"/>
          <w:szCs w:val="24"/>
        </w:rPr>
        <w:t>1.1</w:t>
      </w:r>
      <w:r w:rsidR="00C32801">
        <w:rPr>
          <w:rFonts w:cstheme="minorHAnsi"/>
          <w:szCs w:val="24"/>
        </w:rPr>
        <w:t xml:space="preserve"> </w:t>
      </w:r>
      <w:r w:rsidRPr="00605B26">
        <w:rPr>
          <w:rFonts w:cstheme="minorHAnsi"/>
          <w:szCs w:val="24"/>
        </w:rPr>
        <w:t xml:space="preserve">Cílem </w:t>
      </w:r>
      <w:r w:rsidR="004932AD">
        <w:rPr>
          <w:rFonts w:cstheme="minorHAnsi"/>
          <w:szCs w:val="24"/>
        </w:rPr>
        <w:t>kontroly NKÚ</w:t>
      </w:r>
      <w:r w:rsidRPr="00605B26">
        <w:rPr>
          <w:rFonts w:cstheme="minorHAnsi"/>
          <w:szCs w:val="24"/>
        </w:rPr>
        <w:t xml:space="preserve"> bylo prověřit, zda peněžní prostředky státního rozpočtu a Evropské unie (dále také „EU“) určené na přesun těžiště psychiatrické péče do komunity byly vynakládány účelně a v souladu s právními předpisy.</w:t>
      </w:r>
    </w:p>
    <w:p w:rsidR="004C4A79" w:rsidRDefault="00780105" w:rsidP="004C4A79">
      <w:pPr>
        <w:rPr>
          <w:szCs w:val="24"/>
        </w:rPr>
      </w:pPr>
      <w:r>
        <w:rPr>
          <w:szCs w:val="24"/>
        </w:rPr>
        <w:t xml:space="preserve">1.2 NKÚ prověřil, zda </w:t>
      </w:r>
      <w:r w:rsidRPr="00C40B3F">
        <w:rPr>
          <w:szCs w:val="24"/>
        </w:rPr>
        <w:t xml:space="preserve">postupy </w:t>
      </w:r>
      <w:proofErr w:type="spellStart"/>
      <w:r w:rsidRPr="00C40B3F">
        <w:rPr>
          <w:szCs w:val="24"/>
        </w:rPr>
        <w:t>MZ</w:t>
      </w:r>
      <w:r>
        <w:rPr>
          <w:szCs w:val="24"/>
        </w:rPr>
        <w:t>d</w:t>
      </w:r>
      <w:proofErr w:type="spellEnd"/>
      <w:r w:rsidRPr="00C40B3F">
        <w:rPr>
          <w:szCs w:val="24"/>
        </w:rPr>
        <w:t xml:space="preserve"> jakožto příjemce p</w:t>
      </w:r>
      <w:r>
        <w:rPr>
          <w:szCs w:val="24"/>
        </w:rPr>
        <w:t>rostředků z </w:t>
      </w:r>
      <w:bookmarkStart w:id="3" w:name="_Hlk168055906"/>
      <w:r w:rsidR="003B5118" w:rsidRPr="00633E7D">
        <w:rPr>
          <w:i/>
          <w:szCs w:val="24"/>
        </w:rPr>
        <w:t>O</w:t>
      </w:r>
      <w:r w:rsidRPr="00633E7D">
        <w:rPr>
          <w:i/>
          <w:szCs w:val="24"/>
        </w:rPr>
        <w:t>peračního programu Zaměstnanost</w:t>
      </w:r>
      <w:r w:rsidRPr="003B5118">
        <w:rPr>
          <w:szCs w:val="24"/>
        </w:rPr>
        <w:t xml:space="preserve"> </w:t>
      </w:r>
      <w:bookmarkEnd w:id="3"/>
      <w:r w:rsidRPr="003B5118">
        <w:rPr>
          <w:szCs w:val="24"/>
        </w:rPr>
        <w:t>(</w:t>
      </w:r>
      <w:r w:rsidRPr="00C40B3F">
        <w:rPr>
          <w:szCs w:val="24"/>
        </w:rPr>
        <w:t>dá</w:t>
      </w:r>
      <w:r>
        <w:rPr>
          <w:szCs w:val="24"/>
        </w:rPr>
        <w:t>l</w:t>
      </w:r>
      <w:r w:rsidRPr="00C40B3F">
        <w:rPr>
          <w:szCs w:val="24"/>
        </w:rPr>
        <w:t>e také „OPZ“)</w:t>
      </w:r>
      <w:r>
        <w:rPr>
          <w:szCs w:val="24"/>
        </w:rPr>
        <w:t xml:space="preserve"> a zároveň </w:t>
      </w:r>
      <w:r w:rsidRPr="00C40B3F">
        <w:rPr>
          <w:szCs w:val="24"/>
        </w:rPr>
        <w:t xml:space="preserve">poskytovatele dotací jednotlivým </w:t>
      </w:r>
      <w:r w:rsidR="00417100">
        <w:rPr>
          <w:szCs w:val="24"/>
        </w:rPr>
        <w:t>CDZ</w:t>
      </w:r>
      <w:r w:rsidRPr="00C40B3F">
        <w:rPr>
          <w:szCs w:val="24"/>
        </w:rPr>
        <w:t xml:space="preserve"> </w:t>
      </w:r>
      <w:r>
        <w:rPr>
          <w:szCs w:val="24"/>
        </w:rPr>
        <w:t xml:space="preserve">byly v souladu s právními předpisy. </w:t>
      </w:r>
      <w:r w:rsidR="003D01C7">
        <w:rPr>
          <w:szCs w:val="24"/>
        </w:rPr>
        <w:t>Správnost postupu</w:t>
      </w:r>
      <w:r>
        <w:rPr>
          <w:szCs w:val="24"/>
        </w:rPr>
        <w:t xml:space="preserve"> </w:t>
      </w:r>
      <w:r w:rsidR="00417100">
        <w:rPr>
          <w:szCs w:val="24"/>
        </w:rPr>
        <w:t xml:space="preserve">NKÚ </w:t>
      </w:r>
      <w:r>
        <w:rPr>
          <w:szCs w:val="24"/>
        </w:rPr>
        <w:t xml:space="preserve">zkontroloval i u </w:t>
      </w:r>
      <w:r w:rsidRPr="00C40B3F">
        <w:rPr>
          <w:szCs w:val="24"/>
        </w:rPr>
        <w:t>MPSV jakožto řídicího orgánu (</w:t>
      </w:r>
      <w:r>
        <w:rPr>
          <w:szCs w:val="24"/>
        </w:rPr>
        <w:t>dále také „</w:t>
      </w:r>
      <w:r w:rsidRPr="00C40B3F">
        <w:rPr>
          <w:szCs w:val="24"/>
        </w:rPr>
        <w:t>ŘO</w:t>
      </w:r>
      <w:r>
        <w:rPr>
          <w:szCs w:val="24"/>
        </w:rPr>
        <w:t>“</w:t>
      </w:r>
      <w:r w:rsidRPr="00C40B3F">
        <w:rPr>
          <w:szCs w:val="24"/>
        </w:rPr>
        <w:t>) OPZ</w:t>
      </w:r>
      <w:r w:rsidR="007C6E9C">
        <w:rPr>
          <w:szCs w:val="24"/>
        </w:rPr>
        <w:t xml:space="preserve"> a </w:t>
      </w:r>
      <w:r w:rsidR="00D23C0E">
        <w:rPr>
          <w:szCs w:val="24"/>
        </w:rPr>
        <w:t xml:space="preserve">u </w:t>
      </w:r>
      <w:r w:rsidR="007C6E9C">
        <w:rPr>
          <w:szCs w:val="24"/>
        </w:rPr>
        <w:t>vybraných příjemců dotací</w:t>
      </w:r>
      <w:r>
        <w:rPr>
          <w:szCs w:val="24"/>
        </w:rPr>
        <w:t xml:space="preserve">. NKÚ se zaměřil </w:t>
      </w:r>
      <w:r w:rsidR="00DD1C78">
        <w:rPr>
          <w:szCs w:val="24"/>
        </w:rPr>
        <w:t xml:space="preserve">také </w:t>
      </w:r>
      <w:r>
        <w:rPr>
          <w:szCs w:val="24"/>
        </w:rPr>
        <w:t>na to, zda a</w:t>
      </w:r>
      <w:r w:rsidR="007C7EBB">
        <w:rPr>
          <w:szCs w:val="24"/>
        </w:rPr>
        <w:t> </w:t>
      </w:r>
      <w:r>
        <w:rPr>
          <w:szCs w:val="24"/>
        </w:rPr>
        <w:t xml:space="preserve">do jaké míry postupy obou resortů </w:t>
      </w:r>
      <w:r w:rsidRPr="00C40B3F">
        <w:rPr>
          <w:szCs w:val="24"/>
        </w:rPr>
        <w:t>vedly k plnění stanoven</w:t>
      </w:r>
      <w:r>
        <w:rPr>
          <w:szCs w:val="24"/>
        </w:rPr>
        <w:t xml:space="preserve">ého cíle, tedy přesunu </w:t>
      </w:r>
      <w:r w:rsidRPr="00C40B3F">
        <w:rPr>
          <w:rFonts w:cstheme="minorHAnsi"/>
          <w:szCs w:val="24"/>
        </w:rPr>
        <w:t>těžiště psychiatrické péče do komunity</w:t>
      </w:r>
      <w:r w:rsidRPr="00C40B3F">
        <w:rPr>
          <w:szCs w:val="24"/>
        </w:rPr>
        <w:t>.</w:t>
      </w:r>
    </w:p>
    <w:p w:rsidR="00251D7A" w:rsidRDefault="00780105" w:rsidP="00251D7A">
      <w:pPr>
        <w:rPr>
          <w:b/>
          <w:szCs w:val="24"/>
        </w:rPr>
      </w:pPr>
      <w:bookmarkStart w:id="4" w:name="_Hlk171940858"/>
      <w:r w:rsidRPr="00284085">
        <w:rPr>
          <w:szCs w:val="24"/>
        </w:rPr>
        <w:t xml:space="preserve">1.3 </w:t>
      </w:r>
      <w:r w:rsidRPr="00731C26">
        <w:rPr>
          <w:b/>
          <w:szCs w:val="24"/>
        </w:rPr>
        <w:t xml:space="preserve">Konkrétně se kontrola NKÚ zaměřila na tři projekty, na které </w:t>
      </w:r>
      <w:proofErr w:type="spellStart"/>
      <w:r w:rsidRPr="00731C26">
        <w:rPr>
          <w:b/>
          <w:szCs w:val="24"/>
        </w:rPr>
        <w:t>MZd</w:t>
      </w:r>
      <w:proofErr w:type="spellEnd"/>
      <w:r w:rsidRPr="00731C26">
        <w:rPr>
          <w:b/>
          <w:szCs w:val="24"/>
        </w:rPr>
        <w:t xml:space="preserve"> čerpalo z</w:t>
      </w:r>
      <w:bookmarkStart w:id="5" w:name="_Hlk168056333"/>
      <w:r w:rsidRPr="00731C26">
        <w:rPr>
          <w:b/>
          <w:szCs w:val="24"/>
        </w:rPr>
        <w:t> OPZ</w:t>
      </w:r>
      <w:bookmarkEnd w:id="5"/>
      <w:r w:rsidRPr="00731C26">
        <w:rPr>
          <w:b/>
          <w:szCs w:val="24"/>
        </w:rPr>
        <w:t xml:space="preserve"> celkem 442 mil. Kč</w:t>
      </w:r>
      <w:r w:rsidR="00F90C10">
        <w:rPr>
          <w:b/>
          <w:szCs w:val="24"/>
        </w:rPr>
        <w:t xml:space="preserve">. </w:t>
      </w:r>
      <w:r w:rsidR="00BC6099">
        <w:rPr>
          <w:b/>
          <w:szCs w:val="24"/>
        </w:rPr>
        <w:t>Z toho</w:t>
      </w:r>
      <w:r w:rsidR="001B0DE3">
        <w:rPr>
          <w:b/>
          <w:szCs w:val="24"/>
        </w:rPr>
        <w:t xml:space="preserve"> 407 mil.</w:t>
      </w:r>
      <w:r w:rsidR="00F90C10">
        <w:rPr>
          <w:b/>
          <w:szCs w:val="24"/>
        </w:rPr>
        <w:t xml:space="preserve"> Kč</w:t>
      </w:r>
      <w:r w:rsidR="00517A0B">
        <w:rPr>
          <w:b/>
          <w:szCs w:val="24"/>
        </w:rPr>
        <w:t xml:space="preserve"> poskytlo </w:t>
      </w:r>
      <w:proofErr w:type="spellStart"/>
      <w:r w:rsidR="00EC65FF">
        <w:rPr>
          <w:b/>
          <w:szCs w:val="24"/>
        </w:rPr>
        <w:t>MZd</w:t>
      </w:r>
      <w:proofErr w:type="spellEnd"/>
      <w:r w:rsidR="00EC65FF">
        <w:rPr>
          <w:b/>
          <w:szCs w:val="24"/>
        </w:rPr>
        <w:t xml:space="preserve"> </w:t>
      </w:r>
      <w:r w:rsidR="00517A0B">
        <w:rPr>
          <w:b/>
          <w:szCs w:val="24"/>
        </w:rPr>
        <w:t>jako</w:t>
      </w:r>
      <w:r w:rsidR="001B0DE3">
        <w:rPr>
          <w:b/>
          <w:szCs w:val="24"/>
        </w:rPr>
        <w:t xml:space="preserve"> dotac</w:t>
      </w:r>
      <w:r w:rsidR="00A055A6">
        <w:rPr>
          <w:b/>
          <w:szCs w:val="24"/>
        </w:rPr>
        <w:t>i</w:t>
      </w:r>
      <w:r w:rsidR="001B0DE3">
        <w:rPr>
          <w:b/>
          <w:szCs w:val="24"/>
        </w:rPr>
        <w:t xml:space="preserve"> na </w:t>
      </w:r>
      <w:r w:rsidR="004E4D67">
        <w:rPr>
          <w:b/>
          <w:szCs w:val="24"/>
        </w:rPr>
        <w:t xml:space="preserve">vznik a </w:t>
      </w:r>
      <w:r w:rsidR="001B0DE3">
        <w:rPr>
          <w:b/>
          <w:szCs w:val="24"/>
        </w:rPr>
        <w:t xml:space="preserve">pilotní provoz 29 </w:t>
      </w:r>
      <w:r w:rsidR="00F90C10">
        <w:rPr>
          <w:b/>
          <w:szCs w:val="24"/>
        </w:rPr>
        <w:t>c</w:t>
      </w:r>
      <w:r w:rsidR="00F90C10" w:rsidRPr="00731C26">
        <w:rPr>
          <w:b/>
          <w:szCs w:val="24"/>
        </w:rPr>
        <w:t>enter duševního zdraví</w:t>
      </w:r>
      <w:r w:rsidR="00085F31">
        <w:rPr>
          <w:b/>
          <w:szCs w:val="24"/>
        </w:rPr>
        <w:t xml:space="preserve"> pro osoby se závažným duševním onemocněním</w:t>
      </w:r>
      <w:r w:rsidRPr="00731C26">
        <w:rPr>
          <w:b/>
          <w:szCs w:val="24"/>
        </w:rPr>
        <w:t>.</w:t>
      </w:r>
      <w:r w:rsidR="00D41F29">
        <w:rPr>
          <w:b/>
          <w:szCs w:val="24"/>
        </w:rPr>
        <w:t xml:space="preserve"> </w:t>
      </w:r>
      <w:r w:rsidR="00D41F29" w:rsidRPr="00C40B3F">
        <w:rPr>
          <w:b/>
          <w:szCs w:val="24"/>
        </w:rPr>
        <w:t>NKÚ</w:t>
      </w:r>
      <w:r w:rsidR="00D41F29">
        <w:rPr>
          <w:b/>
          <w:szCs w:val="24"/>
        </w:rPr>
        <w:t xml:space="preserve"> vyhodnotil vynaložení peněžních prostředků na výše uvedené projekty jako účelné.</w:t>
      </w:r>
    </w:p>
    <w:p w:rsidR="00251D7A" w:rsidRDefault="00251D7A" w:rsidP="004C4A79">
      <w:pPr>
        <w:rPr>
          <w:b/>
          <w:szCs w:val="24"/>
        </w:rPr>
      </w:pPr>
      <w:r w:rsidRPr="00B447BA">
        <w:rPr>
          <w:szCs w:val="24"/>
        </w:rPr>
        <w:t xml:space="preserve">1.4 </w:t>
      </w:r>
      <w:r w:rsidR="0093235A" w:rsidRPr="00731C26">
        <w:rPr>
          <w:b/>
          <w:szCs w:val="24"/>
        </w:rPr>
        <w:t>NKÚ</w:t>
      </w:r>
      <w:r w:rsidR="0093235A">
        <w:rPr>
          <w:b/>
          <w:szCs w:val="24"/>
        </w:rPr>
        <w:t xml:space="preserve"> </w:t>
      </w:r>
      <w:r w:rsidR="001349AD">
        <w:rPr>
          <w:b/>
          <w:szCs w:val="24"/>
        </w:rPr>
        <w:t xml:space="preserve">však </w:t>
      </w:r>
      <w:r>
        <w:rPr>
          <w:b/>
          <w:szCs w:val="24"/>
        </w:rPr>
        <w:t>současně</w:t>
      </w:r>
      <w:r w:rsidR="0093235A" w:rsidRPr="00731C26">
        <w:rPr>
          <w:b/>
          <w:szCs w:val="24"/>
        </w:rPr>
        <w:t xml:space="preserve"> konstatuje, že </w:t>
      </w:r>
      <w:proofErr w:type="spellStart"/>
      <w:r w:rsidR="0093235A" w:rsidRPr="00731C26">
        <w:rPr>
          <w:b/>
          <w:szCs w:val="24"/>
        </w:rPr>
        <w:t>MZd</w:t>
      </w:r>
      <w:proofErr w:type="spellEnd"/>
      <w:r w:rsidR="0093235A" w:rsidRPr="00731C26">
        <w:rPr>
          <w:b/>
          <w:szCs w:val="24"/>
        </w:rPr>
        <w:t xml:space="preserve"> ani MPSV neu</w:t>
      </w:r>
      <w:r w:rsidR="0093235A">
        <w:rPr>
          <w:b/>
          <w:szCs w:val="24"/>
        </w:rPr>
        <w:t xml:space="preserve">činily všechny </w:t>
      </w:r>
      <w:r w:rsidR="0093235A" w:rsidRPr="00731C26">
        <w:rPr>
          <w:b/>
          <w:szCs w:val="24"/>
        </w:rPr>
        <w:t xml:space="preserve">potřebné kroky </w:t>
      </w:r>
      <w:r w:rsidR="00633E7D">
        <w:rPr>
          <w:b/>
          <w:szCs w:val="24"/>
        </w:rPr>
        <w:br/>
      </w:r>
      <w:r w:rsidR="0093235A" w:rsidRPr="00731C26">
        <w:rPr>
          <w:b/>
          <w:szCs w:val="24"/>
        </w:rPr>
        <w:t>k</w:t>
      </w:r>
      <w:r w:rsidR="00D23C0E">
        <w:rPr>
          <w:b/>
          <w:szCs w:val="24"/>
        </w:rPr>
        <w:t>e</w:t>
      </w:r>
      <w:r w:rsidR="00633E7D">
        <w:rPr>
          <w:b/>
          <w:szCs w:val="24"/>
        </w:rPr>
        <w:t xml:space="preserve"> </w:t>
      </w:r>
      <w:r w:rsidR="0093235A" w:rsidRPr="00731C26">
        <w:rPr>
          <w:b/>
          <w:szCs w:val="24"/>
        </w:rPr>
        <w:t>stabilnímu ukotvení a rozvoji sítě tohoto nového prvku péče o</w:t>
      </w:r>
      <w:r w:rsidR="00633E7D">
        <w:t xml:space="preserve"> </w:t>
      </w:r>
      <w:r w:rsidR="0093235A" w:rsidRPr="00731C26">
        <w:rPr>
          <w:b/>
          <w:szCs w:val="24"/>
        </w:rPr>
        <w:t>duševní zdraví</w:t>
      </w:r>
      <w:r w:rsidR="005C2A14">
        <w:rPr>
          <w:b/>
          <w:szCs w:val="24"/>
        </w:rPr>
        <w:br/>
      </w:r>
      <w:r w:rsidR="0093235A" w:rsidRPr="00731C26">
        <w:rPr>
          <w:b/>
          <w:szCs w:val="24"/>
        </w:rPr>
        <w:t>ve stávajícím systém</w:t>
      </w:r>
      <w:r w:rsidR="0093235A">
        <w:rPr>
          <w:b/>
          <w:szCs w:val="24"/>
        </w:rPr>
        <w:t xml:space="preserve">u. </w:t>
      </w:r>
      <w:r w:rsidR="00DD21A7">
        <w:rPr>
          <w:b/>
          <w:szCs w:val="24"/>
        </w:rPr>
        <w:t>Dlouhodob</w:t>
      </w:r>
      <w:r w:rsidR="006444E4">
        <w:rPr>
          <w:b/>
          <w:szCs w:val="24"/>
        </w:rPr>
        <w:t>ý</w:t>
      </w:r>
      <w:r w:rsidR="00DD21A7">
        <w:rPr>
          <w:b/>
          <w:szCs w:val="24"/>
        </w:rPr>
        <w:t xml:space="preserve"> cíl</w:t>
      </w:r>
      <w:r w:rsidR="00517A0B">
        <w:rPr>
          <w:b/>
          <w:szCs w:val="24"/>
        </w:rPr>
        <w:t xml:space="preserve"> </w:t>
      </w:r>
      <w:r w:rsidR="00786701">
        <w:rPr>
          <w:b/>
          <w:szCs w:val="24"/>
        </w:rPr>
        <w:t>vybudov</w:t>
      </w:r>
      <w:r w:rsidR="006444E4">
        <w:rPr>
          <w:b/>
          <w:szCs w:val="24"/>
        </w:rPr>
        <w:t>at</w:t>
      </w:r>
      <w:r w:rsidR="00517A0B">
        <w:rPr>
          <w:b/>
          <w:szCs w:val="24"/>
        </w:rPr>
        <w:t xml:space="preserve"> sí</w:t>
      </w:r>
      <w:r w:rsidR="006444E4">
        <w:rPr>
          <w:b/>
          <w:szCs w:val="24"/>
        </w:rPr>
        <w:t>ť</w:t>
      </w:r>
      <w:r w:rsidR="00517A0B">
        <w:rPr>
          <w:b/>
          <w:szCs w:val="24"/>
        </w:rPr>
        <w:t xml:space="preserve"> </w:t>
      </w:r>
      <w:r w:rsidR="00786701">
        <w:rPr>
          <w:b/>
          <w:szCs w:val="24"/>
        </w:rPr>
        <w:t xml:space="preserve">100 </w:t>
      </w:r>
      <w:r w:rsidR="00517A0B">
        <w:rPr>
          <w:b/>
          <w:szCs w:val="24"/>
        </w:rPr>
        <w:t xml:space="preserve">CDZ </w:t>
      </w:r>
      <w:r w:rsidR="00786701">
        <w:rPr>
          <w:b/>
          <w:szCs w:val="24"/>
        </w:rPr>
        <w:t>nebyl dosažen</w:t>
      </w:r>
      <w:r>
        <w:rPr>
          <w:b/>
          <w:szCs w:val="24"/>
        </w:rPr>
        <w:t>.</w:t>
      </w:r>
      <w:r w:rsidR="00786701">
        <w:rPr>
          <w:b/>
          <w:szCs w:val="24"/>
        </w:rPr>
        <w:t xml:space="preserve"> </w:t>
      </w:r>
      <w:r w:rsidR="002D25F8">
        <w:rPr>
          <w:b/>
          <w:szCs w:val="24"/>
        </w:rPr>
        <w:t>C</w:t>
      </w:r>
      <w:r w:rsidR="00F90C10">
        <w:rPr>
          <w:b/>
          <w:szCs w:val="24"/>
        </w:rPr>
        <w:t xml:space="preserve">hybí </w:t>
      </w:r>
      <w:r w:rsidR="002D25F8">
        <w:rPr>
          <w:b/>
          <w:szCs w:val="24"/>
        </w:rPr>
        <w:t xml:space="preserve">dostatek </w:t>
      </w:r>
      <w:r w:rsidR="00557793" w:rsidRPr="00557793">
        <w:rPr>
          <w:b/>
          <w:szCs w:val="24"/>
        </w:rPr>
        <w:t>odborn</w:t>
      </w:r>
      <w:r w:rsidR="002D25F8">
        <w:rPr>
          <w:b/>
          <w:szCs w:val="24"/>
        </w:rPr>
        <w:t>ého</w:t>
      </w:r>
      <w:r w:rsidR="00557793" w:rsidRPr="00557793">
        <w:rPr>
          <w:b/>
          <w:szCs w:val="24"/>
        </w:rPr>
        <w:t xml:space="preserve"> personál</w:t>
      </w:r>
      <w:r w:rsidR="002D25F8">
        <w:rPr>
          <w:b/>
          <w:szCs w:val="24"/>
        </w:rPr>
        <w:t>u</w:t>
      </w:r>
      <w:r w:rsidR="00557793" w:rsidRPr="00557793">
        <w:rPr>
          <w:b/>
          <w:szCs w:val="24"/>
        </w:rPr>
        <w:t>, ne</w:t>
      </w:r>
      <w:r w:rsidR="00F90C10">
        <w:rPr>
          <w:b/>
          <w:szCs w:val="24"/>
        </w:rPr>
        <w:t xml:space="preserve">ní </w:t>
      </w:r>
      <w:r w:rsidR="00557793" w:rsidRPr="00557793">
        <w:rPr>
          <w:b/>
          <w:szCs w:val="24"/>
        </w:rPr>
        <w:t>zajištěn</w:t>
      </w:r>
      <w:r w:rsidR="00F90C10">
        <w:rPr>
          <w:b/>
          <w:szCs w:val="24"/>
        </w:rPr>
        <w:t>o</w:t>
      </w:r>
      <w:r w:rsidR="00557793" w:rsidRPr="00557793">
        <w:rPr>
          <w:b/>
          <w:szCs w:val="24"/>
        </w:rPr>
        <w:t xml:space="preserve"> udržitelné financování</w:t>
      </w:r>
      <w:r w:rsidR="004E4D67">
        <w:rPr>
          <w:b/>
          <w:szCs w:val="24"/>
        </w:rPr>
        <w:t xml:space="preserve"> </w:t>
      </w:r>
      <w:r w:rsidR="00A055A6">
        <w:rPr>
          <w:b/>
          <w:szCs w:val="24"/>
        </w:rPr>
        <w:t xml:space="preserve">CDZ </w:t>
      </w:r>
      <w:r w:rsidR="004E4D67">
        <w:rPr>
          <w:b/>
          <w:szCs w:val="24"/>
        </w:rPr>
        <w:t xml:space="preserve">a </w:t>
      </w:r>
      <w:r w:rsidR="00065A46">
        <w:rPr>
          <w:b/>
          <w:szCs w:val="24"/>
        </w:rPr>
        <w:t>právní úprava</w:t>
      </w:r>
      <w:r w:rsidR="00BD0843">
        <w:rPr>
          <w:b/>
          <w:szCs w:val="24"/>
        </w:rPr>
        <w:t xml:space="preserve"> CDZ dosud není účinná</w:t>
      </w:r>
      <w:r w:rsidR="003E07DD">
        <w:rPr>
          <w:b/>
          <w:szCs w:val="24"/>
        </w:rPr>
        <w:t xml:space="preserve">. </w:t>
      </w:r>
      <w:r>
        <w:rPr>
          <w:b/>
          <w:szCs w:val="24"/>
        </w:rPr>
        <w:t>Pokračování přesunu psychiatrické péče do</w:t>
      </w:r>
      <w:r>
        <w:t> </w:t>
      </w:r>
      <w:r>
        <w:rPr>
          <w:b/>
          <w:szCs w:val="24"/>
        </w:rPr>
        <w:t>komunity je tak ohroženo.</w:t>
      </w:r>
      <w:bookmarkEnd w:id="4"/>
    </w:p>
    <w:p w:rsidR="00D41F29" w:rsidRPr="00E17CFB" w:rsidRDefault="00D41F29" w:rsidP="004C4A79">
      <w:pPr>
        <w:rPr>
          <w:szCs w:val="24"/>
        </w:rPr>
      </w:pPr>
      <w:r w:rsidRPr="002961DE">
        <w:rPr>
          <w:szCs w:val="24"/>
        </w:rPr>
        <w:t>1.</w:t>
      </w:r>
      <w:r w:rsidR="00251D7A">
        <w:rPr>
          <w:szCs w:val="24"/>
        </w:rPr>
        <w:t>5</w:t>
      </w:r>
      <w:r w:rsidRPr="00B7682F">
        <w:rPr>
          <w:szCs w:val="24"/>
        </w:rPr>
        <w:t xml:space="preserve"> Díky poskytnuté podpoře </w:t>
      </w:r>
      <w:r w:rsidR="00927A07">
        <w:rPr>
          <w:szCs w:val="24"/>
        </w:rPr>
        <w:t>b</w:t>
      </w:r>
      <w:r w:rsidRPr="00E17CFB">
        <w:rPr>
          <w:szCs w:val="24"/>
        </w:rPr>
        <w:t>yla ustavena</w:t>
      </w:r>
      <w:r w:rsidR="00E85C46">
        <w:rPr>
          <w:szCs w:val="24"/>
        </w:rPr>
        <w:t xml:space="preserve"> výchozí</w:t>
      </w:r>
      <w:r w:rsidRPr="00E17CFB">
        <w:rPr>
          <w:szCs w:val="24"/>
        </w:rPr>
        <w:t xml:space="preserve"> síť CDZ</w:t>
      </w:r>
      <w:r w:rsidR="006C4CA3" w:rsidRPr="00E17CFB">
        <w:rPr>
          <w:szCs w:val="24"/>
        </w:rPr>
        <w:t>,</w:t>
      </w:r>
      <w:r w:rsidRPr="00EC3CC0">
        <w:rPr>
          <w:szCs w:val="24"/>
        </w:rPr>
        <w:t xml:space="preserve"> byly definovány standardy poskytování péče</w:t>
      </w:r>
      <w:r w:rsidR="006C4CA3" w:rsidRPr="00441615">
        <w:rPr>
          <w:szCs w:val="24"/>
        </w:rPr>
        <w:t xml:space="preserve"> a prokázal se zájem o tento nový prvek péče o duševní zdraví v ČR ze strany osob </w:t>
      </w:r>
      <w:r w:rsidR="007B15E0">
        <w:rPr>
          <w:szCs w:val="24"/>
        </w:rPr>
        <w:t>se</w:t>
      </w:r>
      <w:r w:rsidR="006C4CA3" w:rsidRPr="00441615">
        <w:rPr>
          <w:szCs w:val="24"/>
        </w:rPr>
        <w:t xml:space="preserve"> </w:t>
      </w:r>
      <w:r w:rsidR="00C168AE" w:rsidRPr="00441615">
        <w:rPr>
          <w:szCs w:val="24"/>
        </w:rPr>
        <w:t xml:space="preserve">závažným </w:t>
      </w:r>
      <w:r w:rsidR="006C4CA3" w:rsidRPr="00441615">
        <w:rPr>
          <w:szCs w:val="24"/>
        </w:rPr>
        <w:t>duševním onemocněním</w:t>
      </w:r>
      <w:r w:rsidRPr="00B7682F">
        <w:rPr>
          <w:szCs w:val="24"/>
        </w:rPr>
        <w:t xml:space="preserve">. NKÚ také ověřil, že díky vzniklým CDZ dochází k přesunu </w:t>
      </w:r>
      <w:r w:rsidR="00460757">
        <w:rPr>
          <w:szCs w:val="24"/>
        </w:rPr>
        <w:t xml:space="preserve">části </w:t>
      </w:r>
      <w:r w:rsidRPr="00B7682F">
        <w:rPr>
          <w:szCs w:val="24"/>
        </w:rPr>
        <w:t>pacientů z institucionální péče</w:t>
      </w:r>
      <w:r w:rsidR="00C540F0">
        <w:rPr>
          <w:szCs w:val="24"/>
        </w:rPr>
        <w:t>,</w:t>
      </w:r>
      <w:r w:rsidRPr="00B7682F">
        <w:rPr>
          <w:szCs w:val="24"/>
        </w:rPr>
        <w:t xml:space="preserve"> a</w:t>
      </w:r>
      <w:r w:rsidR="00520A71" w:rsidRPr="00E17CFB">
        <w:t> </w:t>
      </w:r>
      <w:r w:rsidRPr="00B7682F">
        <w:rPr>
          <w:szCs w:val="24"/>
        </w:rPr>
        <w:t>daří se tak plnit některé dílčí cíle probíhající reformy péče o duševní zdraví v ČR</w:t>
      </w:r>
      <w:r w:rsidRPr="00E17CFB">
        <w:rPr>
          <w:szCs w:val="24"/>
        </w:rPr>
        <w:t>. I po vyčerpání dotací</w:t>
      </w:r>
      <w:r w:rsidRPr="00441615">
        <w:rPr>
          <w:szCs w:val="24"/>
        </w:rPr>
        <w:t xml:space="preserve"> z EU pokračovalo ve své činnosti 28</w:t>
      </w:r>
      <w:r w:rsidR="00C540F0">
        <w:rPr>
          <w:szCs w:val="24"/>
        </w:rPr>
        <w:t> </w:t>
      </w:r>
      <w:r w:rsidRPr="00441615">
        <w:rPr>
          <w:szCs w:val="24"/>
        </w:rPr>
        <w:t>z 29 původně podpořených CDZ</w:t>
      </w:r>
      <w:r w:rsidR="005C1CED" w:rsidRPr="00441615">
        <w:rPr>
          <w:szCs w:val="24"/>
        </w:rPr>
        <w:t>, přestože jejich udržitelnost nebyla podmínkou podpory</w:t>
      </w:r>
      <w:r w:rsidRPr="00E17CFB">
        <w:rPr>
          <w:szCs w:val="24"/>
        </w:rPr>
        <w:t>. (</w:t>
      </w:r>
      <w:r w:rsidR="00C540F0">
        <w:rPr>
          <w:szCs w:val="24"/>
        </w:rPr>
        <w:t>V</w:t>
      </w:r>
      <w:r w:rsidRPr="00E17CFB">
        <w:rPr>
          <w:szCs w:val="24"/>
        </w:rPr>
        <w:t>iz odst. 4.1 až 4.5, 4.13</w:t>
      </w:r>
      <w:r w:rsidR="00C540F0">
        <w:rPr>
          <w:szCs w:val="24"/>
        </w:rPr>
        <w:t>.</w:t>
      </w:r>
      <w:r w:rsidRPr="00E17CFB">
        <w:rPr>
          <w:szCs w:val="24"/>
        </w:rPr>
        <w:t>)</w:t>
      </w:r>
    </w:p>
    <w:p w:rsidR="004C4A79" w:rsidRDefault="00D41F29" w:rsidP="00087900">
      <w:r>
        <w:rPr>
          <w:szCs w:val="24"/>
        </w:rPr>
        <w:t>1.</w:t>
      </w:r>
      <w:r w:rsidR="00251D7A">
        <w:rPr>
          <w:szCs w:val="24"/>
        </w:rPr>
        <w:t>6</w:t>
      </w:r>
      <w:r>
        <w:rPr>
          <w:szCs w:val="24"/>
        </w:rPr>
        <w:t xml:space="preserve"> </w:t>
      </w:r>
      <w:r w:rsidR="00443E29">
        <w:rPr>
          <w:szCs w:val="24"/>
        </w:rPr>
        <w:t>NKÚ zjistil</w:t>
      </w:r>
      <w:r w:rsidR="00BB77B9">
        <w:rPr>
          <w:szCs w:val="24"/>
        </w:rPr>
        <w:t xml:space="preserve"> </w:t>
      </w:r>
      <w:r w:rsidR="0041658D" w:rsidRPr="0041658D">
        <w:rPr>
          <w:szCs w:val="24"/>
        </w:rPr>
        <w:t xml:space="preserve">porušení </w:t>
      </w:r>
      <w:r w:rsidR="00443E29">
        <w:rPr>
          <w:szCs w:val="24"/>
        </w:rPr>
        <w:t xml:space="preserve">závazných </w:t>
      </w:r>
      <w:r w:rsidR="0041658D" w:rsidRPr="0041658D">
        <w:rPr>
          <w:szCs w:val="24"/>
        </w:rPr>
        <w:t>pravidel</w:t>
      </w:r>
      <w:r w:rsidR="00443E29">
        <w:rPr>
          <w:szCs w:val="24"/>
        </w:rPr>
        <w:t xml:space="preserve"> OPZ, kterých se</w:t>
      </w:r>
      <w:r w:rsidR="00443E29" w:rsidRPr="006C529A">
        <w:rPr>
          <w:szCs w:val="24"/>
        </w:rPr>
        <w:t xml:space="preserve"> </w:t>
      </w:r>
      <w:r w:rsidR="00443E29" w:rsidRPr="0041658D">
        <w:rPr>
          <w:szCs w:val="24"/>
        </w:rPr>
        <w:t>dopustil</w:t>
      </w:r>
      <w:r w:rsidR="00780105">
        <w:rPr>
          <w:szCs w:val="24"/>
        </w:rPr>
        <w:t>a</w:t>
      </w:r>
      <w:r w:rsidR="00443E29">
        <w:rPr>
          <w:szCs w:val="24"/>
        </w:rPr>
        <w:t xml:space="preserve"> obě kontrolovaná ministerstva</w:t>
      </w:r>
      <w:r w:rsidR="003A5C7F">
        <w:rPr>
          <w:szCs w:val="24"/>
        </w:rPr>
        <w:t xml:space="preserve"> při administraci projektů</w:t>
      </w:r>
      <w:r w:rsidR="00443E29">
        <w:rPr>
          <w:szCs w:val="24"/>
        </w:rPr>
        <w:t xml:space="preserve">. </w:t>
      </w:r>
      <w:proofErr w:type="spellStart"/>
      <w:r w:rsidR="002E6368" w:rsidRPr="00441615">
        <w:rPr>
          <w:szCs w:val="24"/>
        </w:rPr>
        <w:t>MZd</w:t>
      </w:r>
      <w:proofErr w:type="spellEnd"/>
      <w:r w:rsidR="002E6368" w:rsidRPr="00441615">
        <w:rPr>
          <w:szCs w:val="24"/>
        </w:rPr>
        <w:t xml:space="preserve"> v rozporu se zákonem o finanční kontrole</w:t>
      </w:r>
      <w:r w:rsidR="002E6368" w:rsidRPr="00EC3CC0">
        <w:rPr>
          <w:rStyle w:val="Znakapoznpodarou"/>
          <w:szCs w:val="24"/>
        </w:rPr>
        <w:footnoteReference w:id="3"/>
      </w:r>
      <w:r w:rsidR="002E6368" w:rsidRPr="00EC3CC0">
        <w:rPr>
          <w:szCs w:val="24"/>
        </w:rPr>
        <w:t xml:space="preserve"> </w:t>
      </w:r>
      <w:r w:rsidR="000A7434" w:rsidRPr="00441615">
        <w:rPr>
          <w:szCs w:val="24"/>
        </w:rPr>
        <w:t xml:space="preserve">také </w:t>
      </w:r>
      <w:r w:rsidR="002E6368" w:rsidRPr="00441615">
        <w:rPr>
          <w:szCs w:val="24"/>
        </w:rPr>
        <w:t xml:space="preserve">v několika případech nezajistilo důslednou kontrolu. </w:t>
      </w:r>
      <w:r w:rsidR="0041658D" w:rsidRPr="00441615">
        <w:t xml:space="preserve">U </w:t>
      </w:r>
      <w:r w:rsidR="00E22450" w:rsidRPr="00441615">
        <w:t>něk</w:t>
      </w:r>
      <w:r w:rsidR="000A7434" w:rsidRPr="00441615">
        <w:t>terých</w:t>
      </w:r>
      <w:r w:rsidR="0041658D" w:rsidRPr="00441615">
        <w:t xml:space="preserve"> příjemců dotací</w:t>
      </w:r>
      <w:r w:rsidR="006050E2">
        <w:t> –</w:t>
      </w:r>
      <w:r w:rsidR="0041658D" w:rsidRPr="00441615">
        <w:t xml:space="preserve"> provozovatelů CDZ NKÚ</w:t>
      </w:r>
      <w:r w:rsidR="000A7434" w:rsidRPr="00EC3CC0">
        <w:t xml:space="preserve"> </w:t>
      </w:r>
      <w:r w:rsidR="00A1523C" w:rsidRPr="00EC3CC0">
        <w:t>zjistil</w:t>
      </w:r>
      <w:r w:rsidR="0041658D" w:rsidRPr="00EC3CC0">
        <w:t xml:space="preserve"> po</w:t>
      </w:r>
      <w:r w:rsidR="00E22450" w:rsidRPr="00EC3CC0">
        <w:t>rušení stanovených</w:t>
      </w:r>
      <w:r w:rsidR="00E22450">
        <w:t xml:space="preserve"> podmínek</w:t>
      </w:r>
      <w:r w:rsidR="002E6368">
        <w:t xml:space="preserve">. </w:t>
      </w:r>
      <w:r w:rsidR="00E36129">
        <w:t>(</w:t>
      </w:r>
      <w:r w:rsidR="00C540F0">
        <w:t>V</w:t>
      </w:r>
      <w:r w:rsidR="00E36129">
        <w:t>iz odst. 4.6 až 4.12</w:t>
      </w:r>
      <w:r w:rsidR="00C540F0">
        <w:t>.</w:t>
      </w:r>
      <w:r w:rsidR="00E36129">
        <w:t>)</w:t>
      </w:r>
    </w:p>
    <w:p w:rsidR="00785819" w:rsidRPr="00251F2A" w:rsidRDefault="00780105" w:rsidP="00785819">
      <w:pPr>
        <w:rPr>
          <w:szCs w:val="24"/>
        </w:rPr>
      </w:pPr>
      <w:r w:rsidRPr="00284085">
        <w:t>1.</w:t>
      </w:r>
      <w:r w:rsidR="00251D7A">
        <w:t>7</w:t>
      </w:r>
      <w:r w:rsidRPr="00284085">
        <w:t xml:space="preserve"> </w:t>
      </w:r>
      <w:r w:rsidR="00785819" w:rsidRPr="00C20575">
        <w:rPr>
          <w:i/>
          <w:szCs w:val="24"/>
        </w:rPr>
        <w:t>Strategie reformy psychiatrické péče</w:t>
      </w:r>
      <w:r w:rsidR="00785819">
        <w:rPr>
          <w:szCs w:val="24"/>
        </w:rPr>
        <w:t xml:space="preserve"> (dále také „Strategie reformy“), kterou </w:t>
      </w:r>
      <w:proofErr w:type="spellStart"/>
      <w:r w:rsidR="00785819">
        <w:rPr>
          <w:szCs w:val="24"/>
        </w:rPr>
        <w:t>MZd</w:t>
      </w:r>
      <w:proofErr w:type="spellEnd"/>
      <w:r w:rsidR="00785819">
        <w:rPr>
          <w:szCs w:val="24"/>
        </w:rPr>
        <w:t xml:space="preserve"> vydalo už v roce 2013, počítala s </w:t>
      </w:r>
      <w:r w:rsidR="00785819" w:rsidRPr="002B186D">
        <w:rPr>
          <w:szCs w:val="24"/>
        </w:rPr>
        <w:t>CDZ jako</w:t>
      </w:r>
      <w:r w:rsidR="00785819">
        <w:rPr>
          <w:szCs w:val="24"/>
        </w:rPr>
        <w:t xml:space="preserve"> s</w:t>
      </w:r>
      <w:r w:rsidR="004929F7">
        <w:rPr>
          <w:szCs w:val="24"/>
        </w:rPr>
        <w:t xml:space="preserve"> novým </w:t>
      </w:r>
      <w:r w:rsidR="00785819" w:rsidRPr="002B186D">
        <w:rPr>
          <w:szCs w:val="24"/>
        </w:rPr>
        <w:t>klíčový</w:t>
      </w:r>
      <w:r w:rsidR="00785819">
        <w:rPr>
          <w:szCs w:val="24"/>
        </w:rPr>
        <w:t>m nástroj</w:t>
      </w:r>
      <w:r w:rsidR="00E20F1D">
        <w:rPr>
          <w:szCs w:val="24"/>
        </w:rPr>
        <w:t>em</w:t>
      </w:r>
      <w:r w:rsidR="00785819">
        <w:rPr>
          <w:szCs w:val="24"/>
        </w:rPr>
        <w:t xml:space="preserve"> pro </w:t>
      </w:r>
      <w:r w:rsidR="00785819" w:rsidRPr="002B186D">
        <w:rPr>
          <w:szCs w:val="24"/>
        </w:rPr>
        <w:t>přesun těžiště psychiatrické péče do komunity</w:t>
      </w:r>
      <w:r w:rsidR="00785819">
        <w:rPr>
          <w:szCs w:val="24"/>
        </w:rPr>
        <w:t>. D</w:t>
      </w:r>
      <w:r w:rsidR="00785819" w:rsidRPr="00B63914">
        <w:rPr>
          <w:szCs w:val="24"/>
        </w:rPr>
        <w:t xml:space="preserve">o roku 2023 </w:t>
      </w:r>
      <w:r w:rsidR="00785819">
        <w:rPr>
          <w:szCs w:val="24"/>
        </w:rPr>
        <w:t>m</w:t>
      </w:r>
      <w:r w:rsidR="00785819" w:rsidRPr="00B63914">
        <w:rPr>
          <w:szCs w:val="24"/>
        </w:rPr>
        <w:t>ělo vzniknout</w:t>
      </w:r>
      <w:r w:rsidR="00785819">
        <w:rPr>
          <w:szCs w:val="24"/>
        </w:rPr>
        <w:t xml:space="preserve"> minimálně</w:t>
      </w:r>
      <w:r w:rsidR="00785819" w:rsidRPr="00B63914">
        <w:rPr>
          <w:szCs w:val="24"/>
        </w:rPr>
        <w:t xml:space="preserve"> 100 CDZ, t</w:t>
      </w:r>
      <w:r w:rsidR="00785819">
        <w:rPr>
          <w:szCs w:val="24"/>
        </w:rPr>
        <w:t>j.</w:t>
      </w:r>
      <w:r w:rsidR="00785819" w:rsidRPr="00B63914">
        <w:rPr>
          <w:szCs w:val="24"/>
        </w:rPr>
        <w:t xml:space="preserve"> </w:t>
      </w:r>
      <w:r w:rsidR="00785819">
        <w:rPr>
          <w:szCs w:val="24"/>
        </w:rPr>
        <w:t>jedno</w:t>
      </w:r>
      <w:r w:rsidR="00785819" w:rsidRPr="00B63914">
        <w:rPr>
          <w:szCs w:val="24"/>
        </w:rPr>
        <w:t xml:space="preserve"> CDZ na cca 100 tis</w:t>
      </w:r>
      <w:r w:rsidR="000C1F0C">
        <w:rPr>
          <w:szCs w:val="24"/>
        </w:rPr>
        <w:t>íc</w:t>
      </w:r>
      <w:r w:rsidR="00785819" w:rsidRPr="00B63914">
        <w:rPr>
          <w:szCs w:val="24"/>
        </w:rPr>
        <w:t xml:space="preserve"> </w:t>
      </w:r>
      <w:r w:rsidR="00785819">
        <w:rPr>
          <w:szCs w:val="24"/>
        </w:rPr>
        <w:t>o</w:t>
      </w:r>
      <w:r w:rsidR="00785819" w:rsidRPr="00B63914">
        <w:rPr>
          <w:szCs w:val="24"/>
        </w:rPr>
        <w:t>byvatel</w:t>
      </w:r>
      <w:r w:rsidR="00785819">
        <w:rPr>
          <w:szCs w:val="24"/>
        </w:rPr>
        <w:t>.</w:t>
      </w:r>
      <w:r w:rsidR="00785819" w:rsidRPr="00B63914">
        <w:rPr>
          <w:szCs w:val="24"/>
        </w:rPr>
        <w:t xml:space="preserve"> </w:t>
      </w:r>
      <w:r w:rsidR="00785819">
        <w:rPr>
          <w:szCs w:val="24"/>
        </w:rPr>
        <w:t>Z </w:t>
      </w:r>
      <w:r w:rsidR="00785819" w:rsidRPr="00B63914">
        <w:rPr>
          <w:szCs w:val="24"/>
        </w:rPr>
        <w:t>hlediska dostupnosti služeb měla být dojezdová vzdálenost</w:t>
      </w:r>
      <w:r w:rsidR="005C2A14">
        <w:rPr>
          <w:szCs w:val="24"/>
        </w:rPr>
        <w:br/>
      </w:r>
      <w:r w:rsidR="00785819" w:rsidRPr="00B63914">
        <w:rPr>
          <w:szCs w:val="24"/>
        </w:rPr>
        <w:t>do nejbližšího CDZ 30 minut veřejnou dopravou</w:t>
      </w:r>
      <w:r w:rsidR="00785819">
        <w:rPr>
          <w:szCs w:val="24"/>
        </w:rPr>
        <w:t xml:space="preserve"> pro všechny obyvatele ČR. </w:t>
      </w:r>
      <w:r w:rsidR="00785819">
        <w:t xml:space="preserve">Celkem však bylo </w:t>
      </w:r>
      <w:r w:rsidR="00785819">
        <w:rPr>
          <w:szCs w:val="24"/>
        </w:rPr>
        <w:t>k</w:t>
      </w:r>
      <w:r w:rsidR="00785819" w:rsidRPr="006C529A">
        <w:rPr>
          <w:szCs w:val="24"/>
        </w:rPr>
        <w:t>e konci roku 2023 ze</w:t>
      </w:r>
      <w:r w:rsidR="00520A71">
        <w:t> </w:t>
      </w:r>
      <w:r w:rsidR="00EF6891">
        <w:rPr>
          <w:szCs w:val="24"/>
        </w:rPr>
        <w:t>100</w:t>
      </w:r>
      <w:r w:rsidR="00EF6891" w:rsidRPr="006C529A">
        <w:rPr>
          <w:szCs w:val="24"/>
        </w:rPr>
        <w:t> </w:t>
      </w:r>
      <w:r w:rsidR="00785819" w:rsidRPr="006C529A">
        <w:rPr>
          <w:szCs w:val="24"/>
        </w:rPr>
        <w:t>plánovaných CDZ pro osoby se závažným duševním onemocněním v provozu pouze 31</w:t>
      </w:r>
      <w:r w:rsidR="004E4D67">
        <w:rPr>
          <w:szCs w:val="24"/>
        </w:rPr>
        <w:t xml:space="preserve">, z nichž 28 získalo podporu v rámci NKÚ </w:t>
      </w:r>
      <w:r w:rsidR="004E4D67" w:rsidRPr="00EC3CC0">
        <w:rPr>
          <w:szCs w:val="24"/>
        </w:rPr>
        <w:t>kontrolovaných projektů</w:t>
      </w:r>
      <w:r w:rsidR="00E85C46">
        <w:rPr>
          <w:szCs w:val="24"/>
        </w:rPr>
        <w:t xml:space="preserve"> (jedno</w:t>
      </w:r>
      <w:r w:rsidR="00277101">
        <w:rPr>
          <w:szCs w:val="24"/>
        </w:rPr>
        <w:t xml:space="preserve"> CDZ</w:t>
      </w:r>
      <w:r w:rsidR="00E85C46">
        <w:rPr>
          <w:szCs w:val="24"/>
        </w:rPr>
        <w:t xml:space="preserve"> po skončení projektu zaniklo)</w:t>
      </w:r>
      <w:r w:rsidR="004E4D67" w:rsidRPr="00EC3CC0">
        <w:rPr>
          <w:szCs w:val="24"/>
        </w:rPr>
        <w:t xml:space="preserve">. </w:t>
      </w:r>
      <w:r w:rsidR="00785819" w:rsidRPr="00B7682F">
        <w:rPr>
          <w:szCs w:val="24"/>
        </w:rPr>
        <w:t>Podle NKÚ není vznik sítě 100 CDZ ani v posunutém termínu do roku 2030</w:t>
      </w:r>
      <w:r w:rsidR="00785819" w:rsidRPr="00EC3CC0">
        <w:rPr>
          <w:rStyle w:val="Znakapoznpodarou"/>
        </w:rPr>
        <w:footnoteReference w:id="4"/>
      </w:r>
      <w:r w:rsidR="00785819" w:rsidRPr="00B7682F">
        <w:rPr>
          <w:szCs w:val="24"/>
        </w:rPr>
        <w:t xml:space="preserve"> reálný, a to z</w:t>
      </w:r>
      <w:r w:rsidR="00E90654" w:rsidRPr="00B7682F">
        <w:rPr>
          <w:szCs w:val="24"/>
        </w:rPr>
        <w:t> </w:t>
      </w:r>
      <w:r w:rsidR="00785819" w:rsidRPr="00B7682F">
        <w:rPr>
          <w:szCs w:val="24"/>
        </w:rPr>
        <w:t>důvodu</w:t>
      </w:r>
      <w:r w:rsidR="00E90654" w:rsidRPr="00B7682F">
        <w:rPr>
          <w:szCs w:val="24"/>
        </w:rPr>
        <w:t xml:space="preserve"> </w:t>
      </w:r>
      <w:r w:rsidR="00785819" w:rsidRPr="00B7682F">
        <w:rPr>
          <w:szCs w:val="24"/>
        </w:rPr>
        <w:t xml:space="preserve">nedostatku odborného personálu, </w:t>
      </w:r>
      <w:r w:rsidR="00F5191C" w:rsidRPr="00B7682F">
        <w:rPr>
          <w:szCs w:val="24"/>
        </w:rPr>
        <w:t>nezajištění udržitelného financování</w:t>
      </w:r>
      <w:r w:rsidR="00785819" w:rsidRPr="00B7682F">
        <w:rPr>
          <w:szCs w:val="24"/>
        </w:rPr>
        <w:t xml:space="preserve"> sociální části CDZ a</w:t>
      </w:r>
      <w:r w:rsidR="00520A71" w:rsidRPr="00EC3CC0">
        <w:t> </w:t>
      </w:r>
      <w:r w:rsidR="00F5191C" w:rsidRPr="00B7682F">
        <w:rPr>
          <w:szCs w:val="24"/>
        </w:rPr>
        <w:t>nedostatků v</w:t>
      </w:r>
      <w:r w:rsidR="009B0840">
        <w:rPr>
          <w:szCs w:val="24"/>
        </w:rPr>
        <w:t> </w:t>
      </w:r>
      <w:r w:rsidR="00EF6891">
        <w:rPr>
          <w:szCs w:val="24"/>
        </w:rPr>
        <w:t>právní</w:t>
      </w:r>
      <w:r w:rsidR="009B0840">
        <w:rPr>
          <w:szCs w:val="24"/>
        </w:rPr>
        <w:t>ch předpisech</w:t>
      </w:r>
      <w:r w:rsidR="00785819" w:rsidRPr="00EC3CC0">
        <w:rPr>
          <w:bCs/>
          <w:szCs w:val="24"/>
        </w:rPr>
        <w:t>.</w:t>
      </w:r>
      <w:r w:rsidR="00785819" w:rsidRPr="00481B6B">
        <w:rPr>
          <w:szCs w:val="24"/>
        </w:rPr>
        <w:t xml:space="preserve"> </w:t>
      </w:r>
      <w:r w:rsidR="009B0840">
        <w:rPr>
          <w:szCs w:val="24"/>
        </w:rPr>
        <w:t xml:space="preserve">Obtížná predikce podmínek </w:t>
      </w:r>
      <w:r w:rsidR="00785819" w:rsidRPr="00481B6B">
        <w:rPr>
          <w:szCs w:val="24"/>
        </w:rPr>
        <w:t xml:space="preserve">pro poskytování </w:t>
      </w:r>
      <w:r w:rsidR="009B0840">
        <w:rPr>
          <w:szCs w:val="24"/>
        </w:rPr>
        <w:t xml:space="preserve">daných </w:t>
      </w:r>
      <w:r w:rsidR="00785819" w:rsidRPr="00481B6B">
        <w:rPr>
          <w:szCs w:val="24"/>
        </w:rPr>
        <w:t>služeb</w:t>
      </w:r>
      <w:r w:rsidR="00785819" w:rsidRPr="00481B6B">
        <w:t xml:space="preserve"> ohrožuje provoz již</w:t>
      </w:r>
      <w:r w:rsidR="00785819" w:rsidRPr="00251F2A">
        <w:t xml:space="preserve"> existujících CDZ a</w:t>
      </w:r>
      <w:r w:rsidR="000768DC">
        <w:t> </w:t>
      </w:r>
      <w:r w:rsidR="00785819" w:rsidRPr="00251F2A">
        <w:t>působ</w:t>
      </w:r>
      <w:r w:rsidR="00785819">
        <w:t>í</w:t>
      </w:r>
      <w:r w:rsidR="00785819" w:rsidRPr="00251F2A">
        <w:t xml:space="preserve"> jako vážná překážka pro vznik nových</w:t>
      </w:r>
      <w:r w:rsidR="00785819" w:rsidRPr="00251F2A">
        <w:rPr>
          <w:szCs w:val="24"/>
        </w:rPr>
        <w:t>.</w:t>
      </w:r>
      <w:r w:rsidR="00785819">
        <w:rPr>
          <w:szCs w:val="24"/>
        </w:rPr>
        <w:t xml:space="preserve"> (</w:t>
      </w:r>
      <w:r w:rsidR="006050E2">
        <w:rPr>
          <w:szCs w:val="24"/>
        </w:rPr>
        <w:t>V</w:t>
      </w:r>
      <w:r w:rsidR="00785819">
        <w:rPr>
          <w:szCs w:val="24"/>
        </w:rPr>
        <w:t xml:space="preserve">iz </w:t>
      </w:r>
      <w:r w:rsidR="00695AF4">
        <w:rPr>
          <w:szCs w:val="24"/>
        </w:rPr>
        <w:t>odst. </w:t>
      </w:r>
      <w:r w:rsidR="00785819">
        <w:rPr>
          <w:szCs w:val="24"/>
        </w:rPr>
        <w:t>4.18 až 4.</w:t>
      </w:r>
      <w:r w:rsidR="006447DF">
        <w:rPr>
          <w:szCs w:val="24"/>
        </w:rPr>
        <w:t>29</w:t>
      </w:r>
      <w:r w:rsidR="006050E2">
        <w:rPr>
          <w:szCs w:val="24"/>
        </w:rPr>
        <w:t>.</w:t>
      </w:r>
      <w:r w:rsidR="00785819">
        <w:rPr>
          <w:szCs w:val="24"/>
        </w:rPr>
        <w:t>)</w:t>
      </w:r>
    </w:p>
    <w:p w:rsidR="006E2B8D" w:rsidRPr="00441615" w:rsidRDefault="00785819" w:rsidP="006E2B8D">
      <w:pPr>
        <w:rPr>
          <w:szCs w:val="24"/>
        </w:rPr>
      </w:pPr>
      <w:r>
        <w:t>1.</w:t>
      </w:r>
      <w:r w:rsidR="00251D7A">
        <w:t>8</w:t>
      </w:r>
      <w:r w:rsidRPr="00EC3CC0">
        <w:t xml:space="preserve"> </w:t>
      </w:r>
      <w:proofErr w:type="spellStart"/>
      <w:r w:rsidR="004C4A79" w:rsidRPr="00B7682F">
        <w:t>MZd</w:t>
      </w:r>
      <w:proofErr w:type="spellEnd"/>
      <w:r w:rsidR="004C4A79" w:rsidRPr="00B7682F">
        <w:t xml:space="preserve"> a MPSV nesplnil</w:t>
      </w:r>
      <w:r w:rsidR="00232A04" w:rsidRPr="00B7682F">
        <w:t>y</w:t>
      </w:r>
      <w:r w:rsidR="004C4A79" w:rsidRPr="00B7682F">
        <w:t xml:space="preserve"> některé úkoly </w:t>
      </w:r>
      <w:r w:rsidR="004C4A79" w:rsidRPr="00EC3CC0">
        <w:t>vyplývající ze Strategie reformy a</w:t>
      </w:r>
      <w:r w:rsidR="007D4121">
        <w:t>ni</w:t>
      </w:r>
      <w:r w:rsidR="004C4A79" w:rsidRPr="00EC3CC0">
        <w:t xml:space="preserve"> </w:t>
      </w:r>
      <w:r w:rsidR="00EF6891">
        <w:t xml:space="preserve">z </w:t>
      </w:r>
      <w:r w:rsidR="004C4A79" w:rsidRPr="00C20575">
        <w:rPr>
          <w:i/>
        </w:rPr>
        <w:t>Národního akčního plánu pro duševní zdraví 2020–2030</w:t>
      </w:r>
      <w:r w:rsidR="004C4A79" w:rsidRPr="00EC3CC0">
        <w:t xml:space="preserve"> </w:t>
      </w:r>
      <w:r w:rsidR="009D4825" w:rsidRPr="00441615">
        <w:t xml:space="preserve">(dále také „NAPDZ“) </w:t>
      </w:r>
      <w:r w:rsidR="004C4A79" w:rsidRPr="00441615">
        <w:t>a</w:t>
      </w:r>
      <w:r w:rsidR="00520A71" w:rsidRPr="00441615">
        <w:t> </w:t>
      </w:r>
      <w:r w:rsidR="004C4A79" w:rsidRPr="00441615">
        <w:t>jeho implementace</w:t>
      </w:r>
      <w:r w:rsidR="005C2A14">
        <w:br/>
      </w:r>
      <w:r w:rsidR="004C4A79" w:rsidRPr="00441615">
        <w:t>pro období 2020–2023</w:t>
      </w:r>
      <w:r w:rsidR="00D22C89">
        <w:rPr>
          <w:rStyle w:val="Znakapoznpodarou"/>
        </w:rPr>
        <w:footnoteReference w:id="5"/>
      </w:r>
      <w:r w:rsidR="007D4121">
        <w:t>, které byly</w:t>
      </w:r>
      <w:r w:rsidR="008C07A8">
        <w:t xml:space="preserve"> schváleny usneseními vlády České republiky</w:t>
      </w:r>
      <w:r w:rsidR="008C07A8">
        <w:rPr>
          <w:rStyle w:val="Znakapoznpodarou"/>
        </w:rPr>
        <w:footnoteReference w:id="6"/>
      </w:r>
      <w:r w:rsidR="004C4A79" w:rsidRPr="00441615">
        <w:t>.</w:t>
      </w:r>
      <w:r w:rsidR="00232A04" w:rsidRPr="00EC3CC0">
        <w:rPr>
          <w:szCs w:val="24"/>
        </w:rPr>
        <w:t xml:space="preserve"> Služby v přirozeném prostředí tak jsou i nadále dostupné jen části lidí s</w:t>
      </w:r>
      <w:r w:rsidR="00C168AE" w:rsidRPr="00EC3CC0">
        <w:rPr>
          <w:szCs w:val="24"/>
        </w:rPr>
        <w:t>e závažným</w:t>
      </w:r>
      <w:r w:rsidR="000768DC">
        <w:rPr>
          <w:szCs w:val="24"/>
        </w:rPr>
        <w:t xml:space="preserve"> </w:t>
      </w:r>
      <w:r w:rsidR="00232A04" w:rsidRPr="00EC3CC0">
        <w:rPr>
          <w:szCs w:val="24"/>
        </w:rPr>
        <w:t xml:space="preserve">duševním onemocněním, </w:t>
      </w:r>
      <w:r w:rsidR="00547AA0" w:rsidRPr="00EC3CC0">
        <w:rPr>
          <w:szCs w:val="24"/>
        </w:rPr>
        <w:t xml:space="preserve">přičemž </w:t>
      </w:r>
      <w:r w:rsidR="009728DA">
        <w:rPr>
          <w:szCs w:val="24"/>
        </w:rPr>
        <w:t xml:space="preserve">počet osob </w:t>
      </w:r>
      <w:r w:rsidR="00786701">
        <w:rPr>
          <w:szCs w:val="24"/>
        </w:rPr>
        <w:t xml:space="preserve">s duševním onemocněním v ČR </w:t>
      </w:r>
      <w:r w:rsidR="00547AA0" w:rsidRPr="00EC3CC0">
        <w:rPr>
          <w:szCs w:val="24"/>
        </w:rPr>
        <w:t>roste.</w:t>
      </w:r>
      <w:r w:rsidR="00780105" w:rsidRPr="00EC3CC0">
        <w:rPr>
          <w:szCs w:val="24"/>
        </w:rPr>
        <w:t xml:space="preserve"> </w:t>
      </w:r>
      <w:r w:rsidR="00780105" w:rsidRPr="00B7682F">
        <w:rPr>
          <w:szCs w:val="24"/>
        </w:rPr>
        <w:t>Dlouhodobé neplnění cílů reformy péče</w:t>
      </w:r>
      <w:r w:rsidR="00A3724A">
        <w:rPr>
          <w:szCs w:val="24"/>
        </w:rPr>
        <w:t xml:space="preserve"> o duševní zdraví</w:t>
      </w:r>
      <w:r w:rsidR="00780105" w:rsidRPr="00B7682F">
        <w:rPr>
          <w:szCs w:val="24"/>
        </w:rPr>
        <w:t xml:space="preserve"> nevedlo ke zvýšenému úsilí o jejich dosažení,</w:t>
      </w:r>
      <w:r w:rsidR="005C2A14">
        <w:rPr>
          <w:szCs w:val="24"/>
        </w:rPr>
        <w:br/>
      </w:r>
      <w:r w:rsidR="00780105" w:rsidRPr="00B7682F">
        <w:rPr>
          <w:szCs w:val="24"/>
        </w:rPr>
        <w:t>ale pouze k odsouvání termínů pro jejich splnění.</w:t>
      </w:r>
      <w:r w:rsidR="00286E37" w:rsidRPr="00EC3CC0">
        <w:rPr>
          <w:szCs w:val="24"/>
        </w:rPr>
        <w:t xml:space="preserve"> (</w:t>
      </w:r>
      <w:r w:rsidR="00695AF4">
        <w:rPr>
          <w:szCs w:val="24"/>
        </w:rPr>
        <w:t>V</w:t>
      </w:r>
      <w:r w:rsidR="00286E37" w:rsidRPr="00EC3CC0">
        <w:rPr>
          <w:szCs w:val="24"/>
        </w:rPr>
        <w:t>iz</w:t>
      </w:r>
      <w:r w:rsidR="00695AF4">
        <w:rPr>
          <w:szCs w:val="24"/>
        </w:rPr>
        <w:t xml:space="preserve"> odst.</w:t>
      </w:r>
      <w:r w:rsidR="00520A71" w:rsidRPr="00EC3CC0">
        <w:t> </w:t>
      </w:r>
      <w:r w:rsidR="00286E37" w:rsidRPr="00EC3CC0">
        <w:rPr>
          <w:szCs w:val="24"/>
        </w:rPr>
        <w:t>4.1</w:t>
      </w:r>
      <w:r w:rsidR="00BF724E">
        <w:rPr>
          <w:szCs w:val="24"/>
        </w:rPr>
        <w:t>4</w:t>
      </w:r>
      <w:r w:rsidR="00286E37" w:rsidRPr="00EC3CC0">
        <w:rPr>
          <w:szCs w:val="24"/>
        </w:rPr>
        <w:t xml:space="preserve"> až 4.1</w:t>
      </w:r>
      <w:r w:rsidR="006A5A6A" w:rsidRPr="00441615">
        <w:rPr>
          <w:szCs w:val="24"/>
        </w:rPr>
        <w:t>9</w:t>
      </w:r>
      <w:r w:rsidR="00695AF4">
        <w:rPr>
          <w:szCs w:val="24"/>
        </w:rPr>
        <w:t>.</w:t>
      </w:r>
      <w:r w:rsidR="00286E37" w:rsidRPr="00441615">
        <w:rPr>
          <w:szCs w:val="24"/>
        </w:rPr>
        <w:t>)</w:t>
      </w:r>
    </w:p>
    <w:p w:rsidR="004C4A79" w:rsidRDefault="00785819" w:rsidP="004C4A79">
      <w:pPr>
        <w:rPr>
          <w:szCs w:val="24"/>
        </w:rPr>
      </w:pPr>
      <w:r w:rsidRPr="00284085">
        <w:rPr>
          <w:szCs w:val="24"/>
        </w:rPr>
        <w:t>1.</w:t>
      </w:r>
      <w:r w:rsidR="00251D7A">
        <w:rPr>
          <w:szCs w:val="24"/>
        </w:rPr>
        <w:t>9</w:t>
      </w:r>
      <w:r w:rsidRPr="00284085">
        <w:rPr>
          <w:szCs w:val="24"/>
        </w:rPr>
        <w:t xml:space="preserve"> </w:t>
      </w:r>
      <w:r w:rsidR="006E2B8D">
        <w:t>MPSV se</w:t>
      </w:r>
      <w:r>
        <w:t xml:space="preserve"> podle NKÚ</w:t>
      </w:r>
      <w:r w:rsidR="006E2B8D">
        <w:t xml:space="preserve"> aktivně nezapojovalo do mezire</w:t>
      </w:r>
      <w:r w:rsidR="00695AF4">
        <w:t>s</w:t>
      </w:r>
      <w:r w:rsidR="006E2B8D">
        <w:t>ortní spolupráce v oblasti péče o</w:t>
      </w:r>
      <w:r w:rsidR="00520A71">
        <w:t> </w:t>
      </w:r>
      <w:r w:rsidR="006E2B8D">
        <w:t>duševní zdraví a soustavně neshromažďovalo, neanalyzovalo a nevyhodnocovalo data z oblasti sociálních služeb spojených s </w:t>
      </w:r>
      <w:r w:rsidR="006E2B8D" w:rsidRPr="00441615">
        <w:t xml:space="preserve">reformou. </w:t>
      </w:r>
      <w:r w:rsidR="00780105" w:rsidRPr="00B7682F">
        <w:t xml:space="preserve">MPSV </w:t>
      </w:r>
      <w:r w:rsidR="00296CAA" w:rsidRPr="00B7682F">
        <w:t xml:space="preserve">dle svého vyjádření </w:t>
      </w:r>
      <w:r w:rsidR="00780105" w:rsidRPr="00B7682F">
        <w:t xml:space="preserve">odmítalo nést finanční a věcnou odpovědnost </w:t>
      </w:r>
      <w:r w:rsidR="000429D1" w:rsidRPr="000429D1">
        <w:t>za zajištění reformy</w:t>
      </w:r>
      <w:r w:rsidR="00EB205A">
        <w:t>.</w:t>
      </w:r>
      <w:r w:rsidR="00E90654" w:rsidRPr="00B7682F">
        <w:t xml:space="preserve"> </w:t>
      </w:r>
      <w:r w:rsidR="00EB205A">
        <w:t>A</w:t>
      </w:r>
      <w:r w:rsidR="0043325D">
        <w:t xml:space="preserve">ktivní </w:t>
      </w:r>
      <w:r w:rsidR="008D687A">
        <w:t>spolupráci</w:t>
      </w:r>
      <w:r w:rsidR="0043325D">
        <w:t xml:space="preserve"> </w:t>
      </w:r>
      <w:r w:rsidR="000429D1">
        <w:t>zapojených re</w:t>
      </w:r>
      <w:r w:rsidR="00695AF4">
        <w:t>s</w:t>
      </w:r>
      <w:r w:rsidR="000429D1">
        <w:t>ortů</w:t>
      </w:r>
      <w:r w:rsidR="000212A3">
        <w:br/>
      </w:r>
      <w:r w:rsidR="0043325D">
        <w:t>při</w:t>
      </w:r>
      <w:r w:rsidR="00700FFC">
        <w:t xml:space="preserve"> </w:t>
      </w:r>
      <w:r w:rsidR="000429D1">
        <w:t>implementaci jednotlivých opatření</w:t>
      </w:r>
      <w:r w:rsidR="0043325D">
        <w:t xml:space="preserve"> </w:t>
      </w:r>
      <w:r w:rsidR="00B45A91" w:rsidRPr="00B45A91">
        <w:t>NAPDZ</w:t>
      </w:r>
      <w:r w:rsidR="00B45A91">
        <w:t xml:space="preserve"> </w:t>
      </w:r>
      <w:r w:rsidR="00EB205A">
        <w:t xml:space="preserve">přitom </w:t>
      </w:r>
      <w:r w:rsidR="0043325D">
        <w:t>uloži</w:t>
      </w:r>
      <w:r w:rsidR="00E90654" w:rsidRPr="00B7682F">
        <w:t>la vláda</w:t>
      </w:r>
      <w:r w:rsidR="00695AF4">
        <w:t xml:space="preserve"> </w:t>
      </w:r>
      <w:r w:rsidR="00E90654" w:rsidRPr="00B7682F">
        <w:t>svými usneseními. MPSV tak postupovalo v</w:t>
      </w:r>
      <w:r w:rsidR="00520A71" w:rsidRPr="00441615">
        <w:t> </w:t>
      </w:r>
      <w:r w:rsidR="00E90654" w:rsidRPr="00B7682F">
        <w:t>rozporu s kompetenčním zákonem</w:t>
      </w:r>
      <w:r w:rsidR="00E90654" w:rsidRPr="00441615">
        <w:rPr>
          <w:rStyle w:val="Znakapoznpodarou"/>
        </w:rPr>
        <w:footnoteReference w:id="7"/>
      </w:r>
      <w:r w:rsidR="00780105" w:rsidRPr="00B7682F">
        <w:t>.</w:t>
      </w:r>
      <w:r w:rsidR="00780105" w:rsidRPr="00441615">
        <w:t xml:space="preserve"> </w:t>
      </w:r>
      <w:r w:rsidR="00E36129" w:rsidRPr="00441615">
        <w:t>(</w:t>
      </w:r>
      <w:r w:rsidR="00695AF4">
        <w:t>V</w:t>
      </w:r>
      <w:r w:rsidR="00E36129" w:rsidRPr="00441615">
        <w:t xml:space="preserve">iz </w:t>
      </w:r>
      <w:r w:rsidR="00695AF4">
        <w:t>odst. </w:t>
      </w:r>
      <w:r w:rsidR="00E36129" w:rsidRPr="00441615">
        <w:t>4.2</w:t>
      </w:r>
      <w:r w:rsidR="006A5A6A" w:rsidRPr="00441615">
        <w:t>3</w:t>
      </w:r>
      <w:r w:rsidR="003A00D5" w:rsidRPr="007D6510">
        <w:t xml:space="preserve"> až</w:t>
      </w:r>
      <w:r w:rsidR="00E36129" w:rsidRPr="00441615">
        <w:t xml:space="preserve"> 4.2</w:t>
      </w:r>
      <w:r w:rsidR="006447DF" w:rsidRPr="00441615">
        <w:t>5</w:t>
      </w:r>
      <w:r w:rsidR="00E36129" w:rsidRPr="00441615">
        <w:t>, 4</w:t>
      </w:r>
      <w:r w:rsidR="00E36129">
        <w:t>.3</w:t>
      </w:r>
      <w:r w:rsidR="006447DF">
        <w:t>0</w:t>
      </w:r>
      <w:r w:rsidR="00E36129">
        <w:t xml:space="preserve"> až 4.3</w:t>
      </w:r>
      <w:r w:rsidR="00F74F05">
        <w:t>1</w:t>
      </w:r>
      <w:r w:rsidR="00695AF4">
        <w:t>.</w:t>
      </w:r>
      <w:r w:rsidR="00E36129">
        <w:t>)</w:t>
      </w:r>
    </w:p>
    <w:p w:rsidR="004C4A79" w:rsidRPr="00B7682F" w:rsidRDefault="00780105" w:rsidP="004C4A79">
      <w:r w:rsidRPr="00284085">
        <w:rPr>
          <w:szCs w:val="24"/>
        </w:rPr>
        <w:t>1.</w:t>
      </w:r>
      <w:r w:rsidR="00251D7A">
        <w:rPr>
          <w:szCs w:val="24"/>
        </w:rPr>
        <w:t>10</w:t>
      </w:r>
      <w:r w:rsidRPr="00EC3CC0">
        <w:rPr>
          <w:szCs w:val="24"/>
        </w:rPr>
        <w:t xml:space="preserve"> </w:t>
      </w:r>
      <w:r w:rsidRPr="00B7682F">
        <w:rPr>
          <w:szCs w:val="24"/>
        </w:rPr>
        <w:t>Pro plánovanou hustotu sítě</w:t>
      </w:r>
      <w:r w:rsidR="00F5191C" w:rsidRPr="00B7682F">
        <w:rPr>
          <w:szCs w:val="24"/>
        </w:rPr>
        <w:t xml:space="preserve"> CDZ</w:t>
      </w:r>
      <w:r w:rsidRPr="00B7682F">
        <w:rPr>
          <w:szCs w:val="24"/>
        </w:rPr>
        <w:t xml:space="preserve"> chybí v ČR</w:t>
      </w:r>
      <w:r w:rsidRPr="00B7682F">
        <w:t xml:space="preserve"> specialisté</w:t>
      </w:r>
      <w:r w:rsidR="00F5191C" w:rsidRPr="00B7682F">
        <w:t xml:space="preserve"> </w:t>
      </w:r>
      <w:r w:rsidRPr="00B7682F">
        <w:t>pro poskytování psychiatrické péče.</w:t>
      </w:r>
      <w:r w:rsidRPr="00EC3CC0">
        <w:t xml:space="preserve"> </w:t>
      </w:r>
      <w:r w:rsidRPr="00441615">
        <w:t xml:space="preserve">Podle zmíněné Strategie reformy mělo být </w:t>
      </w:r>
      <w:r w:rsidR="00933D05" w:rsidRPr="00441615">
        <w:t xml:space="preserve">v ČR </w:t>
      </w:r>
      <w:r w:rsidRPr="00441615">
        <w:t>do roku 2023 zajištěno 25 psychiatrů a</w:t>
      </w:r>
      <w:r w:rsidR="00520A71" w:rsidRPr="00EC3CC0">
        <w:t> </w:t>
      </w:r>
      <w:r w:rsidRPr="00EC3CC0">
        <w:t>30</w:t>
      </w:r>
      <w:r w:rsidR="00520A71" w:rsidRPr="00EC3CC0">
        <w:t> </w:t>
      </w:r>
      <w:r w:rsidRPr="00EC3CC0">
        <w:t>psychiatrických sester na 100 </w:t>
      </w:r>
      <w:r w:rsidR="00232A04" w:rsidRPr="00EC3CC0">
        <w:t>tis</w:t>
      </w:r>
      <w:r w:rsidR="000C1F0C">
        <w:t>íc</w:t>
      </w:r>
      <w:r w:rsidRPr="00EC3CC0">
        <w:t xml:space="preserve"> obyvatel</w:t>
      </w:r>
      <w:r w:rsidR="00F5191C" w:rsidRPr="00EC3CC0">
        <w:rPr>
          <w:rStyle w:val="Znakapoznpodarou"/>
        </w:rPr>
        <w:footnoteReference w:id="8"/>
      </w:r>
      <w:r w:rsidRPr="00EC3CC0">
        <w:t xml:space="preserve">. </w:t>
      </w:r>
      <w:r w:rsidR="00332748" w:rsidRPr="00EC3CC0">
        <w:t xml:space="preserve">Dosažené počty </w:t>
      </w:r>
      <w:r w:rsidR="00B11181" w:rsidRPr="00EC3CC0">
        <w:t>nejsou ani</w:t>
      </w:r>
      <w:r w:rsidRPr="00EC3CC0">
        <w:t xml:space="preserve"> poloviční – jen 12,25 psychiatrů a</w:t>
      </w:r>
      <w:r w:rsidR="00232A04" w:rsidRPr="00EC3CC0">
        <w:t> </w:t>
      </w:r>
      <w:r w:rsidRPr="00EC3CC0">
        <w:t>14,27 sester na 100 </w:t>
      </w:r>
      <w:r w:rsidR="00232A04" w:rsidRPr="00EC3CC0">
        <w:t>tis</w:t>
      </w:r>
      <w:r w:rsidR="000C1F0C">
        <w:t>íc</w:t>
      </w:r>
      <w:r w:rsidRPr="00EC3CC0">
        <w:t xml:space="preserve"> obyvatel</w:t>
      </w:r>
      <w:r w:rsidRPr="00EC3CC0">
        <w:rPr>
          <w:rStyle w:val="Znakapoznpodarou"/>
        </w:rPr>
        <w:footnoteReference w:id="9"/>
      </w:r>
      <w:r w:rsidRPr="00EC3CC0">
        <w:t xml:space="preserve">. </w:t>
      </w:r>
      <w:r w:rsidR="00332748" w:rsidRPr="00B7682F">
        <w:t xml:space="preserve">Podle NKÚ </w:t>
      </w:r>
      <w:proofErr w:type="spellStart"/>
      <w:r w:rsidRPr="00B7682F">
        <w:t>MZd</w:t>
      </w:r>
      <w:proofErr w:type="spellEnd"/>
      <w:r w:rsidRPr="00B7682F">
        <w:t xml:space="preserve"> nečinilo dostatečná opatření k naplnění stanovených cílů</w:t>
      </w:r>
      <w:r w:rsidR="00232A04" w:rsidRPr="00B7682F">
        <w:t>. V</w:t>
      </w:r>
      <w:r w:rsidRPr="00B7682F">
        <w:t> některých letech</w:t>
      </w:r>
      <w:r w:rsidR="00232A04" w:rsidRPr="00B7682F">
        <w:t xml:space="preserve"> např.</w:t>
      </w:r>
      <w:r w:rsidR="00332748" w:rsidRPr="00B7682F">
        <w:t xml:space="preserve"> v rámci</w:t>
      </w:r>
      <w:r w:rsidR="00232A04" w:rsidRPr="00B7682F">
        <w:t xml:space="preserve"> </w:t>
      </w:r>
      <w:r w:rsidR="00332748" w:rsidRPr="00B7682F">
        <w:t xml:space="preserve">specializačního vzdělávání lékařů </w:t>
      </w:r>
      <w:r w:rsidR="00232A04" w:rsidRPr="00B7682F">
        <w:t>vůbec nepodpořilo dotacemi</w:t>
      </w:r>
      <w:r w:rsidRPr="00B7682F">
        <w:t xml:space="preserve"> </w:t>
      </w:r>
      <w:r w:rsidR="00332748" w:rsidRPr="00B7682F">
        <w:t xml:space="preserve">na </w:t>
      </w:r>
      <w:r w:rsidR="00232A04" w:rsidRPr="00B7682F">
        <w:t>rezidenční míst</w:t>
      </w:r>
      <w:r w:rsidR="00332748" w:rsidRPr="00B7682F">
        <w:t>a</w:t>
      </w:r>
      <w:r w:rsidRPr="00B7682F">
        <w:rPr>
          <w:rStyle w:val="Znakapoznpodarou"/>
        </w:rPr>
        <w:footnoteReference w:id="10"/>
      </w:r>
      <w:r w:rsidR="00332748" w:rsidRPr="00B7682F">
        <w:t xml:space="preserve"> obor psychiatrie</w:t>
      </w:r>
      <w:r w:rsidRPr="00B7682F">
        <w:t>.</w:t>
      </w:r>
      <w:r w:rsidR="00E36129" w:rsidRPr="00B7682F">
        <w:t xml:space="preserve"> </w:t>
      </w:r>
      <w:r w:rsidR="00E36129" w:rsidRPr="00EC3CC0">
        <w:t>(</w:t>
      </w:r>
      <w:r w:rsidR="00695AF4">
        <w:t>V</w:t>
      </w:r>
      <w:r w:rsidR="00E36129" w:rsidRPr="00EC3CC0">
        <w:t>iz</w:t>
      </w:r>
      <w:r w:rsidR="00695AF4">
        <w:t xml:space="preserve"> odst.</w:t>
      </w:r>
      <w:r w:rsidR="00520A71" w:rsidRPr="00EC3CC0">
        <w:t> </w:t>
      </w:r>
      <w:r w:rsidR="00E36129" w:rsidRPr="00EC3CC0">
        <w:t>4.</w:t>
      </w:r>
      <w:r w:rsidR="006A5A6A" w:rsidRPr="00EC3CC0">
        <w:t>20</w:t>
      </w:r>
      <w:r w:rsidR="00E36129" w:rsidRPr="00EC3CC0">
        <w:t>, 4.</w:t>
      </w:r>
      <w:r w:rsidR="006A5A6A" w:rsidRPr="00EC3CC0">
        <w:t>21</w:t>
      </w:r>
      <w:r w:rsidR="00695AF4">
        <w:t>.</w:t>
      </w:r>
      <w:r w:rsidR="00E36129" w:rsidRPr="00EC3CC0">
        <w:t>)</w:t>
      </w:r>
    </w:p>
    <w:p w:rsidR="002D6616" w:rsidRPr="00EC3CC0" w:rsidRDefault="00780105" w:rsidP="008B7087">
      <w:pPr>
        <w:widowControl/>
        <w:rPr>
          <w:szCs w:val="24"/>
        </w:rPr>
      </w:pPr>
      <w:r>
        <w:rPr>
          <w:szCs w:val="24"/>
        </w:rPr>
        <w:t>1.</w:t>
      </w:r>
      <w:r w:rsidR="0019170A">
        <w:rPr>
          <w:szCs w:val="24"/>
        </w:rPr>
        <w:t>1</w:t>
      </w:r>
      <w:r w:rsidR="00251D7A">
        <w:rPr>
          <w:szCs w:val="24"/>
        </w:rPr>
        <w:t>1</w:t>
      </w:r>
      <w:r>
        <w:rPr>
          <w:szCs w:val="24"/>
        </w:rPr>
        <w:t xml:space="preserve"> </w:t>
      </w:r>
      <w:r w:rsidR="00232A04" w:rsidRPr="0046302D">
        <w:rPr>
          <w:szCs w:val="24"/>
        </w:rPr>
        <w:t xml:space="preserve">Financování zdravotní části CDZ je zajišťováno úhradami z </w:t>
      </w:r>
      <w:r w:rsidR="00232A04">
        <w:rPr>
          <w:szCs w:val="24"/>
        </w:rPr>
        <w:t>veřejného</w:t>
      </w:r>
      <w:r w:rsidR="00232A04" w:rsidRPr="0046302D">
        <w:rPr>
          <w:szCs w:val="24"/>
        </w:rPr>
        <w:t xml:space="preserve"> zdravotního</w:t>
      </w:r>
      <w:r w:rsidR="00232A04">
        <w:rPr>
          <w:szCs w:val="24"/>
        </w:rPr>
        <w:t xml:space="preserve"> </w:t>
      </w:r>
      <w:r w:rsidR="00232A04" w:rsidRPr="00EC3CC0">
        <w:rPr>
          <w:szCs w:val="24"/>
        </w:rPr>
        <w:t xml:space="preserve">pojištění. </w:t>
      </w:r>
      <w:r w:rsidR="00232A04" w:rsidRPr="00B7682F">
        <w:rPr>
          <w:rFonts w:ascii="Calibri-Bold" w:eastAsiaTheme="minorHAnsi" w:hAnsi="Calibri-Bold" w:cs="Calibri-Bold"/>
          <w:bCs/>
          <w:szCs w:val="24"/>
          <w:lang w:eastAsia="en-US"/>
        </w:rPr>
        <w:t xml:space="preserve">MPSV však v rozporu </w:t>
      </w:r>
      <w:r w:rsidR="005F0047">
        <w:rPr>
          <w:rFonts w:ascii="Calibri-Bold" w:eastAsiaTheme="minorHAnsi" w:hAnsi="Calibri-Bold" w:cs="Calibri-Bold"/>
          <w:bCs/>
          <w:szCs w:val="24"/>
          <w:lang w:eastAsia="en-US"/>
        </w:rPr>
        <w:t xml:space="preserve">s </w:t>
      </w:r>
      <w:r w:rsidR="007D4121">
        <w:rPr>
          <w:rFonts w:ascii="Calibri-Bold" w:eastAsiaTheme="minorHAnsi" w:hAnsi="Calibri-Bold" w:cs="Calibri-Bold"/>
          <w:bCs/>
          <w:szCs w:val="24"/>
          <w:lang w:eastAsia="en-US"/>
        </w:rPr>
        <w:t>NAPDZ</w:t>
      </w:r>
      <w:r w:rsidR="00232A04" w:rsidRPr="00B7682F">
        <w:rPr>
          <w:rFonts w:ascii="Calibri-Bold" w:eastAsiaTheme="minorHAnsi" w:hAnsi="Calibri-Bold" w:cs="Calibri-Bold"/>
          <w:bCs/>
          <w:szCs w:val="24"/>
          <w:lang w:eastAsia="en-US"/>
        </w:rPr>
        <w:t xml:space="preserve"> nenastavilo udržitelné financování sociální části služeb CDZ</w:t>
      </w:r>
      <w:r w:rsidR="00DF4B83" w:rsidRPr="00EC3CC0">
        <w:rPr>
          <w:rFonts w:ascii="Calibri-Bold" w:eastAsiaTheme="minorHAnsi" w:hAnsi="Calibri-Bold" w:cs="Calibri-Bold"/>
          <w:bCs/>
          <w:szCs w:val="24"/>
          <w:lang w:eastAsia="en-US"/>
        </w:rPr>
        <w:t>.</w:t>
      </w:r>
      <w:r w:rsidR="00232A04" w:rsidRPr="00EC3CC0">
        <w:rPr>
          <w:szCs w:val="24"/>
        </w:rPr>
        <w:t xml:space="preserve"> </w:t>
      </w:r>
      <w:r w:rsidR="009318B1">
        <w:rPr>
          <w:szCs w:val="24"/>
        </w:rPr>
        <w:t>V</w:t>
      </w:r>
      <w:r w:rsidR="00232A04" w:rsidRPr="00B13F50">
        <w:rPr>
          <w:szCs w:val="24"/>
        </w:rPr>
        <w:t xml:space="preserve">ytvoření CDZ </w:t>
      </w:r>
      <w:r w:rsidR="009318B1">
        <w:rPr>
          <w:szCs w:val="24"/>
        </w:rPr>
        <w:t xml:space="preserve">bylo zohledněno </w:t>
      </w:r>
      <w:r w:rsidR="00232A04" w:rsidRPr="00B13F50">
        <w:rPr>
          <w:szCs w:val="24"/>
        </w:rPr>
        <w:t>navýšení</w:t>
      </w:r>
      <w:r w:rsidR="009318B1">
        <w:rPr>
          <w:szCs w:val="24"/>
        </w:rPr>
        <w:t>m</w:t>
      </w:r>
      <w:r w:rsidR="00232A04" w:rsidRPr="00B13F50">
        <w:rPr>
          <w:szCs w:val="24"/>
        </w:rPr>
        <w:t xml:space="preserve"> celkového objemu </w:t>
      </w:r>
      <w:r w:rsidRPr="00B13F50">
        <w:rPr>
          <w:szCs w:val="24"/>
        </w:rPr>
        <w:t>transferů</w:t>
      </w:r>
      <w:r w:rsidR="00232A04" w:rsidRPr="00B13F50">
        <w:rPr>
          <w:szCs w:val="24"/>
        </w:rPr>
        <w:t xml:space="preserve"> poskytovaných krajům </w:t>
      </w:r>
      <w:r w:rsidRPr="00B13F50">
        <w:rPr>
          <w:szCs w:val="24"/>
        </w:rPr>
        <w:t>na</w:t>
      </w:r>
      <w:r w:rsidR="00232A04" w:rsidRPr="0046302D">
        <w:rPr>
          <w:szCs w:val="24"/>
        </w:rPr>
        <w:t xml:space="preserve"> sociální služby</w:t>
      </w:r>
      <w:r w:rsidR="00FE0A2C">
        <w:rPr>
          <w:szCs w:val="24"/>
        </w:rPr>
        <w:t>,</w:t>
      </w:r>
      <w:r w:rsidR="00C74EFC">
        <w:rPr>
          <w:szCs w:val="24"/>
        </w:rPr>
        <w:t xml:space="preserve"> </w:t>
      </w:r>
      <w:r w:rsidR="009318B1">
        <w:rPr>
          <w:szCs w:val="24"/>
        </w:rPr>
        <w:t>MPSV však nezajistilo účelové určení peněžních prostředků vyhrazených ve své rozpočtové kapitole na reformu péče o duševní zdraví</w:t>
      </w:r>
      <w:r w:rsidR="004A1AB3">
        <w:rPr>
          <w:szCs w:val="24"/>
        </w:rPr>
        <w:t xml:space="preserve">, a to </w:t>
      </w:r>
      <w:r w:rsidR="001A0965">
        <w:rPr>
          <w:szCs w:val="24"/>
        </w:rPr>
        <w:t>an</w:t>
      </w:r>
      <w:r w:rsidR="004A1AB3">
        <w:rPr>
          <w:szCs w:val="24"/>
        </w:rPr>
        <w:t>i přes doporučení</w:t>
      </w:r>
      <w:r w:rsidR="00A3724A">
        <w:rPr>
          <w:szCs w:val="24"/>
        </w:rPr>
        <w:t xml:space="preserve"> Ministerstv</w:t>
      </w:r>
      <w:r w:rsidR="00F65400">
        <w:rPr>
          <w:szCs w:val="24"/>
        </w:rPr>
        <w:t>a</w:t>
      </w:r>
      <w:r w:rsidR="00A3724A">
        <w:rPr>
          <w:szCs w:val="24"/>
        </w:rPr>
        <w:t xml:space="preserve"> financí</w:t>
      </w:r>
      <w:r w:rsidR="004A1AB3">
        <w:rPr>
          <w:szCs w:val="24"/>
        </w:rPr>
        <w:t xml:space="preserve">, jak </w:t>
      </w:r>
      <w:r w:rsidR="008B7415">
        <w:rPr>
          <w:szCs w:val="24"/>
        </w:rPr>
        <w:t>by m</w:t>
      </w:r>
      <w:r w:rsidR="00D578F3">
        <w:rPr>
          <w:szCs w:val="24"/>
        </w:rPr>
        <w:t>ohlo</w:t>
      </w:r>
      <w:r w:rsidR="008B7415">
        <w:rPr>
          <w:szCs w:val="24"/>
        </w:rPr>
        <w:t xml:space="preserve"> </w:t>
      </w:r>
      <w:r w:rsidR="004A1AB3">
        <w:rPr>
          <w:szCs w:val="24"/>
        </w:rPr>
        <w:t>v tomto případě postupovat</w:t>
      </w:r>
      <w:r w:rsidR="00123BDD">
        <w:rPr>
          <w:szCs w:val="24"/>
        </w:rPr>
        <w:t>. Pro získání</w:t>
      </w:r>
      <w:r w:rsidR="00123BDD" w:rsidRPr="00123BDD">
        <w:rPr>
          <w:szCs w:val="24"/>
        </w:rPr>
        <w:t xml:space="preserve"> </w:t>
      </w:r>
      <w:r w:rsidR="00123BDD">
        <w:rPr>
          <w:szCs w:val="24"/>
        </w:rPr>
        <w:t>prostředků</w:t>
      </w:r>
      <w:r w:rsidR="00123BDD" w:rsidRPr="002D6616">
        <w:rPr>
          <w:szCs w:val="24"/>
        </w:rPr>
        <w:t xml:space="preserve"> </w:t>
      </w:r>
      <w:r w:rsidR="008B7087">
        <w:rPr>
          <w:szCs w:val="24"/>
        </w:rPr>
        <w:t xml:space="preserve">z transferu krajům </w:t>
      </w:r>
      <w:r w:rsidR="00123BDD">
        <w:rPr>
          <w:szCs w:val="24"/>
        </w:rPr>
        <w:t xml:space="preserve">je zcela zásadní zařazení </w:t>
      </w:r>
      <w:r w:rsidR="008E055E">
        <w:rPr>
          <w:szCs w:val="24"/>
        </w:rPr>
        <w:t xml:space="preserve">CDZ </w:t>
      </w:r>
      <w:r w:rsidR="00123BDD">
        <w:rPr>
          <w:szCs w:val="24"/>
        </w:rPr>
        <w:t>do</w:t>
      </w:r>
      <w:r w:rsidRPr="0046302D">
        <w:rPr>
          <w:szCs w:val="24"/>
        </w:rPr>
        <w:t xml:space="preserve"> krajsk</w:t>
      </w:r>
      <w:r w:rsidR="00123BDD">
        <w:rPr>
          <w:szCs w:val="24"/>
        </w:rPr>
        <w:t>é</w:t>
      </w:r>
      <w:r w:rsidRPr="0046302D">
        <w:rPr>
          <w:szCs w:val="24"/>
        </w:rPr>
        <w:t xml:space="preserve"> sít</w:t>
      </w:r>
      <w:r w:rsidR="00123BDD">
        <w:rPr>
          <w:szCs w:val="24"/>
        </w:rPr>
        <w:t>ě</w:t>
      </w:r>
      <w:r w:rsidRPr="0046302D">
        <w:rPr>
          <w:szCs w:val="24"/>
        </w:rPr>
        <w:t xml:space="preserve"> sociálních služeb</w:t>
      </w:r>
      <w:r w:rsidR="008B7415">
        <w:rPr>
          <w:szCs w:val="24"/>
        </w:rPr>
        <w:t>, o němž rozhodují kraje</w:t>
      </w:r>
      <w:bookmarkStart w:id="6" w:name="_Hlk171681155"/>
      <w:r w:rsidR="00123BDD">
        <w:rPr>
          <w:szCs w:val="24"/>
        </w:rPr>
        <w:t>. MPSV</w:t>
      </w:r>
      <w:r w:rsidR="00BB475B">
        <w:rPr>
          <w:szCs w:val="24"/>
        </w:rPr>
        <w:t xml:space="preserve"> </w:t>
      </w:r>
      <w:r w:rsidR="00154871">
        <w:rPr>
          <w:szCs w:val="24"/>
        </w:rPr>
        <w:t>tak nemá nástroje, kterými by zajistilo</w:t>
      </w:r>
      <w:r w:rsidR="008B7087">
        <w:rPr>
          <w:szCs w:val="24"/>
        </w:rPr>
        <w:t xml:space="preserve"> udržitelné financování CDZ</w:t>
      </w:r>
      <w:r w:rsidR="00683486">
        <w:rPr>
          <w:szCs w:val="24"/>
        </w:rPr>
        <w:t>, za něž je dle usnesení vlády</w:t>
      </w:r>
      <w:r w:rsidR="00154871">
        <w:rPr>
          <w:szCs w:val="24"/>
        </w:rPr>
        <w:t xml:space="preserve"> </w:t>
      </w:r>
      <w:r w:rsidR="00683486" w:rsidRPr="00EC3CC0">
        <w:rPr>
          <w:szCs w:val="24"/>
        </w:rPr>
        <w:t>spoluzodpovědné</w:t>
      </w:r>
      <w:r w:rsidRPr="00EC3CC0">
        <w:rPr>
          <w:szCs w:val="24"/>
        </w:rPr>
        <w:t>.</w:t>
      </w:r>
      <w:bookmarkEnd w:id="6"/>
      <w:r w:rsidR="00E36129" w:rsidRPr="00441615">
        <w:rPr>
          <w:szCs w:val="24"/>
        </w:rPr>
        <w:t xml:space="preserve"> (</w:t>
      </w:r>
      <w:r w:rsidR="0055164F">
        <w:rPr>
          <w:szCs w:val="24"/>
        </w:rPr>
        <w:t>V</w:t>
      </w:r>
      <w:r w:rsidR="00E36129" w:rsidRPr="00441615">
        <w:rPr>
          <w:szCs w:val="24"/>
        </w:rPr>
        <w:t xml:space="preserve">iz </w:t>
      </w:r>
      <w:r w:rsidR="0055164F">
        <w:rPr>
          <w:szCs w:val="24"/>
        </w:rPr>
        <w:t>odst. </w:t>
      </w:r>
      <w:r w:rsidR="00E36129" w:rsidRPr="00441615">
        <w:rPr>
          <w:szCs w:val="24"/>
        </w:rPr>
        <w:t>4.2</w:t>
      </w:r>
      <w:r w:rsidR="006A5A6A" w:rsidRPr="00441615">
        <w:rPr>
          <w:szCs w:val="24"/>
        </w:rPr>
        <w:t>2</w:t>
      </w:r>
      <w:r w:rsidR="00E36129" w:rsidRPr="00441615">
        <w:rPr>
          <w:szCs w:val="24"/>
        </w:rPr>
        <w:t xml:space="preserve"> až 4.2</w:t>
      </w:r>
      <w:r w:rsidR="006447DF" w:rsidRPr="00EC3CC0">
        <w:rPr>
          <w:szCs w:val="24"/>
        </w:rPr>
        <w:t>5</w:t>
      </w:r>
      <w:r w:rsidR="0055164F">
        <w:rPr>
          <w:szCs w:val="24"/>
        </w:rPr>
        <w:t>.</w:t>
      </w:r>
      <w:r w:rsidR="00E36129" w:rsidRPr="00EC3CC0">
        <w:rPr>
          <w:szCs w:val="24"/>
        </w:rPr>
        <w:t>)</w:t>
      </w:r>
    </w:p>
    <w:p w:rsidR="004C4A79" w:rsidRPr="00EC3CC0" w:rsidRDefault="00780105" w:rsidP="004C4A79">
      <w:r w:rsidRPr="00EC3CC0">
        <w:rPr>
          <w:szCs w:val="24"/>
        </w:rPr>
        <w:t>1.</w:t>
      </w:r>
      <w:r w:rsidR="006E2B8D" w:rsidRPr="00EC3CC0">
        <w:rPr>
          <w:szCs w:val="24"/>
        </w:rPr>
        <w:t>1</w:t>
      </w:r>
      <w:r w:rsidR="00251D7A">
        <w:rPr>
          <w:szCs w:val="24"/>
        </w:rPr>
        <w:t>2</w:t>
      </w:r>
      <w:r w:rsidRPr="00EC3CC0">
        <w:rPr>
          <w:szCs w:val="24"/>
        </w:rPr>
        <w:t xml:space="preserve"> </w:t>
      </w:r>
      <w:proofErr w:type="spellStart"/>
      <w:r w:rsidRPr="00B7682F">
        <w:rPr>
          <w:szCs w:val="24"/>
        </w:rPr>
        <w:t>MZd</w:t>
      </w:r>
      <w:proofErr w:type="spellEnd"/>
      <w:r w:rsidRPr="00B7682F">
        <w:rPr>
          <w:szCs w:val="24"/>
        </w:rPr>
        <w:t xml:space="preserve"> a MPSV se nepodařilo </w:t>
      </w:r>
      <w:r w:rsidR="008C07A8">
        <w:rPr>
          <w:szCs w:val="24"/>
        </w:rPr>
        <w:t>s</w:t>
      </w:r>
      <w:r w:rsidR="00BD0EF2" w:rsidRPr="00B7682F">
        <w:rPr>
          <w:szCs w:val="24"/>
        </w:rPr>
        <w:t xml:space="preserve">plnit </w:t>
      </w:r>
      <w:r w:rsidR="008C07A8">
        <w:rPr>
          <w:szCs w:val="24"/>
        </w:rPr>
        <w:t>opatření NAPDZ</w:t>
      </w:r>
      <w:r w:rsidR="00BD0EF2" w:rsidRPr="00B7682F">
        <w:rPr>
          <w:szCs w:val="24"/>
        </w:rPr>
        <w:t xml:space="preserve">, </w:t>
      </w:r>
      <w:r w:rsidR="00DC0402" w:rsidRPr="00B7682F">
        <w:rPr>
          <w:szCs w:val="24"/>
        </w:rPr>
        <w:t>dle kterého nesly zodpovědnost za</w:t>
      </w:r>
      <w:r w:rsidR="00700FFC" w:rsidRPr="00441615">
        <w:t> </w:t>
      </w:r>
      <w:r w:rsidRPr="00B7682F">
        <w:rPr>
          <w:szCs w:val="24"/>
        </w:rPr>
        <w:t>ukotv</w:t>
      </w:r>
      <w:r w:rsidR="00DC0402" w:rsidRPr="00B7682F">
        <w:rPr>
          <w:szCs w:val="24"/>
        </w:rPr>
        <w:t>ení</w:t>
      </w:r>
      <w:r w:rsidRPr="00B7682F">
        <w:rPr>
          <w:szCs w:val="24"/>
        </w:rPr>
        <w:t xml:space="preserve"> CDZ v relevantních zákonech. </w:t>
      </w:r>
      <w:r w:rsidR="009724AE">
        <w:rPr>
          <w:szCs w:val="24"/>
        </w:rPr>
        <w:t>Obě ministerstva</w:t>
      </w:r>
      <w:r w:rsidR="00A21E47">
        <w:rPr>
          <w:szCs w:val="24"/>
        </w:rPr>
        <w:t xml:space="preserve"> </w:t>
      </w:r>
      <w:r w:rsidR="009724AE">
        <w:rPr>
          <w:szCs w:val="24"/>
        </w:rPr>
        <w:t xml:space="preserve">nepečovala o </w:t>
      </w:r>
      <w:r w:rsidR="003B6FC5">
        <w:rPr>
          <w:szCs w:val="24"/>
        </w:rPr>
        <w:t xml:space="preserve">náležitou </w:t>
      </w:r>
      <w:r w:rsidR="009724AE">
        <w:rPr>
          <w:szCs w:val="24"/>
        </w:rPr>
        <w:t>právní úpravu v oblast</w:t>
      </w:r>
      <w:r w:rsidR="003E670F">
        <w:rPr>
          <w:szCs w:val="24"/>
        </w:rPr>
        <w:t>ech</w:t>
      </w:r>
      <w:r w:rsidR="009724AE">
        <w:rPr>
          <w:szCs w:val="24"/>
        </w:rPr>
        <w:t xml:space="preserve"> </w:t>
      </w:r>
      <w:r w:rsidR="004E6F71">
        <w:rPr>
          <w:szCs w:val="24"/>
        </w:rPr>
        <w:t>zdravotních a sociálních služeb</w:t>
      </w:r>
      <w:r w:rsidR="009724AE">
        <w:rPr>
          <w:szCs w:val="24"/>
        </w:rPr>
        <w:t xml:space="preserve"> </w:t>
      </w:r>
      <w:r w:rsidR="004E6F71">
        <w:rPr>
          <w:szCs w:val="24"/>
        </w:rPr>
        <w:t xml:space="preserve">souvisejících s </w:t>
      </w:r>
      <w:r w:rsidR="009724AE">
        <w:rPr>
          <w:szCs w:val="24"/>
        </w:rPr>
        <w:t>reform</w:t>
      </w:r>
      <w:r w:rsidR="004E6F71">
        <w:rPr>
          <w:szCs w:val="24"/>
        </w:rPr>
        <w:t>ou</w:t>
      </w:r>
      <w:r w:rsidR="009724AE">
        <w:rPr>
          <w:szCs w:val="24"/>
        </w:rPr>
        <w:t xml:space="preserve"> péče o duševní zdraví</w:t>
      </w:r>
      <w:r w:rsidR="00393EFC">
        <w:rPr>
          <w:szCs w:val="24"/>
        </w:rPr>
        <w:t>, kter</w:t>
      </w:r>
      <w:r w:rsidR="004E6F71">
        <w:rPr>
          <w:szCs w:val="24"/>
        </w:rPr>
        <w:t>é</w:t>
      </w:r>
      <w:r w:rsidR="00393EFC">
        <w:rPr>
          <w:szCs w:val="24"/>
        </w:rPr>
        <w:t xml:space="preserve"> m</w:t>
      </w:r>
      <w:r w:rsidR="004E6F71">
        <w:rPr>
          <w:szCs w:val="24"/>
        </w:rPr>
        <w:t>ají</w:t>
      </w:r>
      <w:r w:rsidR="00393EFC">
        <w:rPr>
          <w:szCs w:val="24"/>
        </w:rPr>
        <w:t xml:space="preserve"> ve své působnosti, a nepostupovala tak v souladu s kompetenčním zákonem.</w:t>
      </w:r>
      <w:r w:rsidR="00393EFC">
        <w:rPr>
          <w:rStyle w:val="Znakapoznpodarou"/>
          <w:szCs w:val="24"/>
        </w:rPr>
        <w:footnoteReference w:id="11"/>
      </w:r>
      <w:r w:rsidR="00393EFC">
        <w:rPr>
          <w:szCs w:val="24"/>
        </w:rPr>
        <w:t xml:space="preserve"> </w:t>
      </w:r>
      <w:r w:rsidR="00E36129" w:rsidRPr="00EC3CC0">
        <w:rPr>
          <w:szCs w:val="24"/>
        </w:rPr>
        <w:t>(</w:t>
      </w:r>
      <w:r w:rsidR="0055164F">
        <w:rPr>
          <w:szCs w:val="24"/>
        </w:rPr>
        <w:t>V</w:t>
      </w:r>
      <w:r w:rsidR="00E36129" w:rsidRPr="00EC3CC0">
        <w:rPr>
          <w:szCs w:val="24"/>
        </w:rPr>
        <w:t xml:space="preserve">iz </w:t>
      </w:r>
      <w:r w:rsidR="0055164F">
        <w:rPr>
          <w:szCs w:val="24"/>
        </w:rPr>
        <w:t>odst. </w:t>
      </w:r>
      <w:r w:rsidR="00E36129" w:rsidRPr="00EC3CC0">
        <w:rPr>
          <w:szCs w:val="24"/>
        </w:rPr>
        <w:t>4.2</w:t>
      </w:r>
      <w:r w:rsidR="006447DF" w:rsidRPr="00EC3CC0">
        <w:rPr>
          <w:szCs w:val="24"/>
        </w:rPr>
        <w:t>6</w:t>
      </w:r>
      <w:r w:rsidR="00E36129" w:rsidRPr="00EC3CC0">
        <w:rPr>
          <w:szCs w:val="24"/>
        </w:rPr>
        <w:t xml:space="preserve"> až 4.</w:t>
      </w:r>
      <w:r w:rsidR="006447DF" w:rsidRPr="00EC3CC0">
        <w:rPr>
          <w:szCs w:val="24"/>
        </w:rPr>
        <w:t>29</w:t>
      </w:r>
      <w:r w:rsidR="0055164F">
        <w:rPr>
          <w:szCs w:val="24"/>
        </w:rPr>
        <w:t>.</w:t>
      </w:r>
      <w:r w:rsidR="00E36129" w:rsidRPr="00EC3CC0">
        <w:rPr>
          <w:szCs w:val="24"/>
        </w:rPr>
        <w:t>)</w:t>
      </w:r>
    </w:p>
    <w:p w:rsidR="004C4A79" w:rsidRDefault="00780105" w:rsidP="000768DC">
      <w:pPr>
        <w:spacing w:after="840"/>
      </w:pPr>
      <w:r w:rsidRPr="00EC3CC0">
        <w:t>1.1</w:t>
      </w:r>
      <w:r w:rsidR="00251D7A">
        <w:t>3</w:t>
      </w:r>
      <w:r w:rsidRPr="00EC3CC0">
        <w:t xml:space="preserve"> </w:t>
      </w:r>
      <w:r w:rsidRPr="00B7682F">
        <w:t xml:space="preserve">Zjištěné </w:t>
      </w:r>
      <w:r w:rsidR="00DC5FFD">
        <w:t>systémové</w:t>
      </w:r>
      <w:r w:rsidRPr="00B7682F">
        <w:t xml:space="preserve"> </w:t>
      </w:r>
      <w:r w:rsidR="00DC5FFD">
        <w:t xml:space="preserve">problémy </w:t>
      </w:r>
      <w:r w:rsidRPr="00B7682F">
        <w:t>potvrzuj</w:t>
      </w:r>
      <w:r w:rsidR="00FC1447">
        <w:t>í</w:t>
      </w:r>
      <w:r w:rsidR="00DC5FFD">
        <w:t xml:space="preserve"> i závěry</w:t>
      </w:r>
      <w:r w:rsidRPr="00B7682F">
        <w:t xml:space="preserve"> dotazníkového šetření NKÚ</w:t>
      </w:r>
      <w:r w:rsidR="00DC5FFD">
        <w:t xml:space="preserve">, ve kterém </w:t>
      </w:r>
      <w:r w:rsidR="00FC1447">
        <w:t xml:space="preserve">většina </w:t>
      </w:r>
      <w:r w:rsidR="00DC5FFD">
        <w:t>provozovatel</w:t>
      </w:r>
      <w:r w:rsidR="00FC1447">
        <w:t>ů</w:t>
      </w:r>
      <w:r w:rsidR="00DC5FFD">
        <w:t xml:space="preserve"> CDZ sdělil</w:t>
      </w:r>
      <w:r w:rsidR="00FC1447">
        <w:t>a</w:t>
      </w:r>
      <w:r w:rsidR="00DC5FFD">
        <w:t>, že vním</w:t>
      </w:r>
      <w:r w:rsidR="00FC1447">
        <w:t>á</w:t>
      </w:r>
      <w:r w:rsidR="00DC5FFD">
        <w:t xml:space="preserve"> existenci </w:t>
      </w:r>
      <w:r w:rsidR="00DB01EB">
        <w:t xml:space="preserve">překážek a </w:t>
      </w:r>
      <w:r w:rsidRPr="00441615">
        <w:t xml:space="preserve">rizik </w:t>
      </w:r>
      <w:r w:rsidR="00D34BAC">
        <w:t xml:space="preserve">pro dlouhodobou udržitelnost </w:t>
      </w:r>
      <w:r w:rsidR="00DB01EB">
        <w:t>své činnosti. Za největší rizika označili nedostatek odborného personálu</w:t>
      </w:r>
      <w:r w:rsidR="000212A3">
        <w:br/>
      </w:r>
      <w:r w:rsidR="00C27FC0">
        <w:t>pro zdravotní služby</w:t>
      </w:r>
      <w:r w:rsidR="00DB01EB">
        <w:t>, koncepční a legislativní překážky a nedostatečné financování služeb</w:t>
      </w:r>
      <w:r w:rsidR="00AE6CD6">
        <w:t xml:space="preserve">. </w:t>
      </w:r>
      <w:r w:rsidR="00647E8C">
        <w:t>(</w:t>
      </w:r>
      <w:r w:rsidR="0055164F">
        <w:t>V</w:t>
      </w:r>
      <w:r w:rsidR="00647E8C">
        <w:t xml:space="preserve">iz </w:t>
      </w:r>
      <w:r w:rsidR="0055164F">
        <w:t>p</w:t>
      </w:r>
      <w:r w:rsidR="00647E8C">
        <w:t>řílohu č. 1</w:t>
      </w:r>
      <w:r w:rsidR="0055164F">
        <w:t xml:space="preserve"> tohoto kontrolního závěru.</w:t>
      </w:r>
      <w:r w:rsidR="00647E8C">
        <w:t>)</w:t>
      </w:r>
    </w:p>
    <w:p w:rsidR="00C63D32" w:rsidRDefault="00780105" w:rsidP="00656E05">
      <w:pPr>
        <w:pStyle w:val="Nadpis1"/>
        <w:numPr>
          <w:ilvl w:val="0"/>
          <w:numId w:val="0"/>
        </w:numPr>
        <w:ind w:left="357"/>
      </w:pPr>
      <w:r>
        <w:t xml:space="preserve">II. </w:t>
      </w:r>
      <w:r w:rsidR="00E620F7" w:rsidRPr="006C54D7">
        <w:t>Informace o kontrolované oblasti</w:t>
      </w:r>
    </w:p>
    <w:p w:rsidR="00456AF7" w:rsidRDefault="00780105" w:rsidP="00456AF7">
      <w:r w:rsidRPr="00284085">
        <w:t>2.</w:t>
      </w:r>
      <w:r w:rsidRPr="006F50C1">
        <w:t xml:space="preserve">1 </w:t>
      </w:r>
      <w:r w:rsidR="004F7475" w:rsidRPr="00B447BA">
        <w:t xml:space="preserve">V roce 2013 vydalo </w:t>
      </w:r>
      <w:proofErr w:type="spellStart"/>
      <w:r w:rsidR="004F7475" w:rsidRPr="00B447BA">
        <w:t>MZ</w:t>
      </w:r>
      <w:r w:rsidR="00967A04" w:rsidRPr="00B447BA">
        <w:t>d</w:t>
      </w:r>
      <w:proofErr w:type="spellEnd"/>
      <w:r w:rsidR="004F7475" w:rsidRPr="00B447BA">
        <w:t xml:space="preserve"> </w:t>
      </w:r>
      <w:r w:rsidR="004F7475" w:rsidRPr="00C20575">
        <w:rPr>
          <w:i/>
        </w:rPr>
        <w:t>Strategii reformy</w:t>
      </w:r>
      <w:r w:rsidR="007C7C5A" w:rsidRPr="00C20575">
        <w:rPr>
          <w:i/>
        </w:rPr>
        <w:t xml:space="preserve"> </w:t>
      </w:r>
      <w:r w:rsidR="00677C1B" w:rsidRPr="00C20575">
        <w:rPr>
          <w:i/>
        </w:rPr>
        <w:t xml:space="preserve">psychiatrické péče </w:t>
      </w:r>
      <w:r w:rsidR="007C7C5A" w:rsidRPr="00C20575">
        <w:rPr>
          <w:i/>
        </w:rPr>
        <w:t>na roky 2014–2023</w:t>
      </w:r>
      <w:r w:rsidR="006A1F3C" w:rsidRPr="00B447BA">
        <w:t xml:space="preserve">, jíž byla formálně </w:t>
      </w:r>
      <w:r w:rsidR="00402896" w:rsidRPr="00B447BA">
        <w:t>zahájena reforma péče o</w:t>
      </w:r>
      <w:r w:rsidR="00EB67B8" w:rsidRPr="00B447BA">
        <w:t> </w:t>
      </w:r>
      <w:r w:rsidR="00402896" w:rsidRPr="00B447BA">
        <w:t>duševní zdraví v</w:t>
      </w:r>
      <w:r w:rsidR="00BF004B" w:rsidRPr="00B447BA">
        <w:t> </w:t>
      </w:r>
      <w:r w:rsidR="00402896" w:rsidRPr="00B447BA">
        <w:t>ČR</w:t>
      </w:r>
      <w:r w:rsidR="00BF004B" w:rsidRPr="006F50C1">
        <w:t xml:space="preserve">. </w:t>
      </w:r>
      <w:r w:rsidR="003D2E99" w:rsidRPr="006F50C1">
        <w:t>Ta p</w:t>
      </w:r>
      <w:r w:rsidR="00F05EF2" w:rsidRPr="006F50C1">
        <w:t>ředstav</w:t>
      </w:r>
      <w:r w:rsidR="007C7C5A" w:rsidRPr="006F50C1">
        <w:t>ovala</w:t>
      </w:r>
      <w:r w:rsidRPr="006F50C1">
        <w:t xml:space="preserve"> systémovou změnu poskytování psychiatrické</w:t>
      </w:r>
      <w:r>
        <w:t xml:space="preserve"> péče, jejímž</w:t>
      </w:r>
      <w:r w:rsidR="0055164F">
        <w:t xml:space="preserve"> </w:t>
      </w:r>
      <w:r>
        <w:t xml:space="preserve">hlavním cílem </w:t>
      </w:r>
      <w:r w:rsidR="007C7C5A">
        <w:t>bylo</w:t>
      </w:r>
      <w:r>
        <w:t xml:space="preserve"> zvýšení kvality a efektivity péče a</w:t>
      </w:r>
      <w:r w:rsidR="00520A71">
        <w:t> </w:t>
      </w:r>
      <w:r>
        <w:t>zejména zvýšení kvality života a</w:t>
      </w:r>
      <w:r w:rsidR="00EB67B8">
        <w:t> </w:t>
      </w:r>
      <w:r>
        <w:t xml:space="preserve">omezení stigmatizace lidí s duševním onemocněním. Díky reformě </w:t>
      </w:r>
      <w:r w:rsidR="007E2E0F">
        <w:t>m</w:t>
      </w:r>
      <w:r w:rsidR="007C7C5A">
        <w:t>ělo</w:t>
      </w:r>
      <w:r w:rsidR="00F05EF2">
        <w:t xml:space="preserve"> mj.</w:t>
      </w:r>
      <w:r>
        <w:t xml:space="preserve"> dojít k výraznému rozšíření komunitní péče, která byla v ČR do</w:t>
      </w:r>
      <w:r w:rsidR="007C7C5A">
        <w:t xml:space="preserve"> té doby</w:t>
      </w:r>
      <w:r>
        <w:t xml:space="preserve"> pouze okrajová. Vznik</w:t>
      </w:r>
      <w:r w:rsidR="00725805">
        <w:t>ly</w:t>
      </w:r>
      <w:r>
        <w:t xml:space="preserve"> nové typy služeb, jakými jsou </w:t>
      </w:r>
      <w:r w:rsidR="00F05EF2">
        <w:t>CDZ</w:t>
      </w:r>
      <w:r>
        <w:t xml:space="preserve"> nebo ambulance s rozšířenou péčí. Zejména díky těmto novým prvkům měla být postupně redukována dlouhodobá lůžková péče.</w:t>
      </w:r>
      <w:r w:rsidR="00EB0AC6">
        <w:t xml:space="preserve"> Pilíři Strategie reformy byly</w:t>
      </w:r>
      <w:r w:rsidR="004B0745">
        <w:t xml:space="preserve"> ambulance</w:t>
      </w:r>
      <w:r w:rsidR="00EB0AC6">
        <w:t>, CDZ, psychiatrická oddělení nemocnic</w:t>
      </w:r>
      <w:r w:rsidR="004B0745">
        <w:t xml:space="preserve"> a psychiatrické léčebny</w:t>
      </w:r>
      <w:r w:rsidR="00EB0AC6">
        <w:t>.</w:t>
      </w:r>
    </w:p>
    <w:p w:rsidR="00727E16" w:rsidRDefault="00780105" w:rsidP="00B7682F">
      <w:pPr>
        <w:widowControl/>
      </w:pPr>
      <w:r w:rsidRPr="00284085">
        <w:t>2.</w:t>
      </w:r>
      <w:r w:rsidRPr="00913C2A">
        <w:t xml:space="preserve">2 </w:t>
      </w:r>
      <w:r w:rsidR="00913C2A" w:rsidRPr="00B7682F">
        <w:rPr>
          <w:rFonts w:asciiTheme="minorHAnsi" w:hAnsiTheme="minorHAnsi" w:cstheme="minorHAnsi"/>
          <w:szCs w:val="24"/>
        </w:rPr>
        <w:t>Centrum duševního zdraví je ve Strategii reformy definován</w:t>
      </w:r>
      <w:r w:rsidR="004C2953">
        <w:rPr>
          <w:rFonts w:asciiTheme="minorHAnsi" w:hAnsiTheme="minorHAnsi" w:cstheme="minorHAnsi"/>
          <w:szCs w:val="24"/>
        </w:rPr>
        <w:t>o</w:t>
      </w:r>
      <w:r w:rsidR="00913C2A" w:rsidRPr="00B7682F">
        <w:rPr>
          <w:rFonts w:asciiTheme="minorHAnsi" w:hAnsiTheme="minorHAnsi" w:cstheme="minorHAnsi"/>
          <w:szCs w:val="24"/>
        </w:rPr>
        <w:t xml:space="preserve"> jako</w:t>
      </w:r>
      <w:r w:rsidR="00913C2A" w:rsidRPr="00B7682F">
        <w:rPr>
          <w:rFonts w:asciiTheme="minorHAnsi" w:eastAsia="MinionPro-Regular" w:hAnsiTheme="minorHAnsi" w:cstheme="minorHAnsi"/>
          <w:szCs w:val="24"/>
          <w:lang w:eastAsia="en-US"/>
        </w:rPr>
        <w:t xml:space="preserve"> </w:t>
      </w:r>
      <w:r w:rsidR="00701835">
        <w:rPr>
          <w:rFonts w:asciiTheme="minorHAnsi" w:eastAsia="MinionPro-Regular" w:hAnsiTheme="minorHAnsi" w:cstheme="minorHAnsi"/>
          <w:szCs w:val="24"/>
          <w:lang w:eastAsia="en-US"/>
        </w:rPr>
        <w:t>„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soubor vz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á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jemně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propojených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služeb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poskytovaných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jednou nebo v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ce organizacemi zajišťuj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c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ch v dan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é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m regionu služby osob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á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m s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vážným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psychickým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onemocněním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– </w:t>
      </w:r>
      <w:r w:rsidR="00913C2A" w:rsidRPr="00B7682F">
        <w:rPr>
          <w:rFonts w:asciiTheme="minorHAnsi" w:eastAsia="MinionPro-Regular" w:hAnsiTheme="minorHAnsi" w:cstheme="minorHAnsi"/>
          <w:i/>
          <w:iCs/>
          <w:szCs w:val="24"/>
          <w:lang w:eastAsia="en-US"/>
        </w:rPr>
        <w:t>Severe</w:t>
      </w:r>
      <w:r w:rsidR="00913C2A" w:rsidRPr="000A1E02">
        <w:rPr>
          <w:rFonts w:asciiTheme="minorHAnsi" w:eastAsia="MinionPro-Regular" w:hAnsiTheme="minorHAnsi" w:cstheme="minorHAnsi"/>
          <w:i/>
          <w:iCs/>
          <w:szCs w:val="24"/>
          <w:lang w:eastAsia="en-US"/>
        </w:rPr>
        <w:t xml:space="preserve"> </w:t>
      </w:r>
      <w:proofErr w:type="spellStart"/>
      <w:r w:rsidR="00913C2A" w:rsidRPr="00B7682F">
        <w:rPr>
          <w:rFonts w:asciiTheme="minorHAnsi" w:eastAsia="MinionPro-Regular" w:hAnsiTheme="minorHAnsi" w:cstheme="minorHAnsi"/>
          <w:i/>
          <w:iCs/>
          <w:szCs w:val="24"/>
          <w:lang w:eastAsia="en-US"/>
        </w:rPr>
        <w:t>Mental</w:t>
      </w:r>
      <w:proofErr w:type="spellEnd"/>
      <w:r w:rsidR="00913C2A" w:rsidRPr="00B7682F">
        <w:rPr>
          <w:rFonts w:asciiTheme="minorHAnsi" w:eastAsia="MinionPro-Regular" w:hAnsiTheme="minorHAnsi" w:cstheme="minorHAnsi"/>
          <w:i/>
          <w:iCs/>
          <w:szCs w:val="24"/>
          <w:lang w:eastAsia="en-US"/>
        </w:rPr>
        <w:t xml:space="preserve"> </w:t>
      </w:r>
      <w:proofErr w:type="spellStart"/>
      <w:r w:rsidR="00913C2A" w:rsidRPr="00B7682F">
        <w:rPr>
          <w:rFonts w:asciiTheme="minorHAnsi" w:eastAsia="MinionPro-Regular" w:hAnsiTheme="minorHAnsi" w:cstheme="minorHAnsi"/>
          <w:i/>
          <w:iCs/>
          <w:szCs w:val="24"/>
          <w:lang w:eastAsia="en-US"/>
        </w:rPr>
        <w:t>Illness</w:t>
      </w:r>
      <w:proofErr w:type="spellEnd"/>
      <w:r w:rsidR="00913C2A" w:rsidRPr="00B7682F">
        <w:rPr>
          <w:rFonts w:asciiTheme="minorHAnsi" w:eastAsia="MinionPro-Regular" w:hAnsiTheme="minorHAnsi" w:cstheme="minorHAnsi"/>
          <w:i/>
          <w:iCs/>
          <w:szCs w:val="24"/>
          <w:lang w:eastAsia="en-US"/>
        </w:rPr>
        <w:t xml:space="preserve"> 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(SMI).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Primárním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posl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á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n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m CDZ je poskytov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á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n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psychiatrických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zdravotnických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a </w:t>
      </w:r>
      <w:r w:rsidR="00700FFC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přímo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navazuj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c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ch soci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á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ln</w:t>
      </w:r>
      <w:r w:rsidR="00282AF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í</w:t>
      </w:r>
      <w:r w:rsidR="00913C2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ch služe</w:t>
      </w:r>
      <w:r w:rsidR="0011348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>b</w:t>
      </w:r>
      <w:r w:rsidRPr="00B7682F">
        <w:rPr>
          <w:rStyle w:val="Znakapoznpodarou"/>
          <w:i/>
        </w:rPr>
        <w:footnoteReference w:id="12"/>
      </w:r>
      <w:r w:rsidR="0011348A" w:rsidRPr="00B7682F">
        <w:rPr>
          <w:rFonts w:asciiTheme="minorHAnsi" w:eastAsia="MinionPro-Regular" w:hAnsiTheme="minorHAnsi" w:cstheme="minorHAnsi"/>
          <w:i/>
          <w:szCs w:val="24"/>
          <w:lang w:eastAsia="en-US"/>
        </w:rPr>
        <w:t xml:space="preserve"> s cílem maximální podpory začlenění klientů do jejich vlastního sociálního prostředí</w:t>
      </w:r>
      <w:r w:rsidR="00701835">
        <w:t xml:space="preserve">“. </w:t>
      </w:r>
      <w:r w:rsidR="00456AF7" w:rsidRPr="00BA6C1E">
        <w:t>Rozvoj sítě psychiatrické péče, kam patří i budování celorepublikové sítě</w:t>
      </w:r>
      <w:r w:rsidR="00725805">
        <w:t xml:space="preserve"> 100</w:t>
      </w:r>
      <w:r w:rsidR="00456AF7" w:rsidRPr="00BA6C1E">
        <w:t xml:space="preserve"> CDZ, je jednou z</w:t>
      </w:r>
      <w:r w:rsidR="00456AF7">
        <w:t xml:space="preserve"> klíčových </w:t>
      </w:r>
      <w:r w:rsidR="00456AF7" w:rsidRPr="00BA6C1E">
        <w:t xml:space="preserve">oblastí reformy péče </w:t>
      </w:r>
      <w:r w:rsidR="00456AF7">
        <w:t xml:space="preserve">o duševní zdraví v ČR. Jde o </w:t>
      </w:r>
      <w:r w:rsidR="00D6080B">
        <w:t>trvalou</w:t>
      </w:r>
      <w:r w:rsidR="00456AF7">
        <w:t xml:space="preserve"> prioritu zmiňovanou ve</w:t>
      </w:r>
      <w:r w:rsidR="00633E7D">
        <w:t xml:space="preserve"> </w:t>
      </w:r>
      <w:r w:rsidR="00456AF7" w:rsidRPr="00BA6C1E">
        <w:t>vládou schválených strategických dokument</w:t>
      </w:r>
      <w:r w:rsidR="00456AF7">
        <w:t>ech</w:t>
      </w:r>
      <w:r w:rsidR="00456AF7" w:rsidRPr="00BA6C1E">
        <w:t xml:space="preserve"> </w:t>
      </w:r>
      <w:r w:rsidR="00456AF7" w:rsidRPr="00C852A4">
        <w:rPr>
          <w:i/>
        </w:rPr>
        <w:t>Zdraví 2020</w:t>
      </w:r>
      <w:r w:rsidR="00456AF7">
        <w:rPr>
          <w:i/>
        </w:rPr>
        <w:t xml:space="preserve"> </w:t>
      </w:r>
      <w:r w:rsidR="00456AF7" w:rsidRPr="00C852A4">
        <w:rPr>
          <w:i/>
        </w:rPr>
        <w:t>– Národní strategie ochrany a</w:t>
      </w:r>
      <w:r w:rsidR="00116A5C">
        <w:rPr>
          <w:i/>
        </w:rPr>
        <w:t> </w:t>
      </w:r>
      <w:r w:rsidR="00456AF7" w:rsidRPr="00C852A4">
        <w:rPr>
          <w:i/>
        </w:rPr>
        <w:t>podpory zdraví</w:t>
      </w:r>
      <w:r w:rsidR="00456AF7">
        <w:t xml:space="preserve"> </w:t>
      </w:r>
      <w:r w:rsidR="00456AF7" w:rsidRPr="00DF7377">
        <w:rPr>
          <w:i/>
        </w:rPr>
        <w:t>a prevence nemocí</w:t>
      </w:r>
      <w:r w:rsidR="00456AF7" w:rsidRPr="00BA6C1E">
        <w:t xml:space="preserve"> a</w:t>
      </w:r>
      <w:r w:rsidR="00F05EF2">
        <w:t> </w:t>
      </w:r>
      <w:r w:rsidR="00456AF7" w:rsidRPr="00C852A4">
        <w:rPr>
          <w:i/>
        </w:rPr>
        <w:t>Zdraví 2030 – Strategickém rámci rozvoje péče o zdraví v České republice do roku 2030</w:t>
      </w:r>
      <w:r w:rsidR="00456AF7" w:rsidRPr="00BA6C1E">
        <w:t>.</w:t>
      </w:r>
      <w:r>
        <w:t xml:space="preserve"> Ve</w:t>
      </w:r>
      <w:r w:rsidR="003E0F37">
        <w:t> </w:t>
      </w:r>
      <w:r>
        <w:t>Strategii reformy byly definovány poskytované služby</w:t>
      </w:r>
      <w:r w:rsidR="003E0F37">
        <w:t xml:space="preserve"> CDZ</w:t>
      </w:r>
      <w:r>
        <w:t>, požadavky na jejich organizaci, dostupnost, financování atd.</w:t>
      </w:r>
    </w:p>
    <w:p w:rsidR="00456AF7" w:rsidRDefault="00780105" w:rsidP="00456AF7">
      <w:r>
        <w:t xml:space="preserve">2.3 Na Strategii reformy, jejíž platnost </w:t>
      </w:r>
      <w:r w:rsidR="008B7087">
        <w:t>skonči</w:t>
      </w:r>
      <w:r w:rsidR="00F05EF2">
        <w:t>la</w:t>
      </w:r>
      <w:r>
        <w:t xml:space="preserve"> v roce 2023, </w:t>
      </w:r>
      <w:r w:rsidR="00F05EF2">
        <w:t xml:space="preserve">průběžně </w:t>
      </w:r>
      <w:r>
        <w:t>nav</w:t>
      </w:r>
      <w:r w:rsidR="00F05EF2">
        <w:t>ázal NAPDZ, který</w:t>
      </w:r>
      <w:r w:rsidR="00D6080B">
        <w:t xml:space="preserve"> </w:t>
      </w:r>
      <w:r w:rsidR="00F05EF2">
        <w:t>byl dále rozpracován</w:t>
      </w:r>
      <w:r>
        <w:t xml:space="preserve"> v dokumentu </w:t>
      </w:r>
      <w:bookmarkStart w:id="7" w:name="_Hlk149824396"/>
      <w:r w:rsidRPr="00725805">
        <w:t xml:space="preserve">Implementace </w:t>
      </w:r>
      <w:bookmarkEnd w:id="7"/>
      <w:r w:rsidR="00966135">
        <w:t>NAPDZ</w:t>
      </w:r>
      <w:r w:rsidR="00F05EF2">
        <w:t xml:space="preserve">. </w:t>
      </w:r>
      <w:r>
        <w:t>V </w:t>
      </w:r>
      <w:r w:rsidR="00470BCC">
        <w:t>NAPDZ</w:t>
      </w:r>
      <w:r>
        <w:t xml:space="preserve"> </w:t>
      </w:r>
      <w:r w:rsidR="00470BCC">
        <w:t>byly</w:t>
      </w:r>
      <w:r>
        <w:t xml:space="preserve"> vymezeny</w:t>
      </w:r>
      <w:r w:rsidRPr="00E0339F">
        <w:t xml:space="preserve"> konkrétní postupy pro</w:t>
      </w:r>
      <w:r w:rsidR="00D6080B">
        <w:t xml:space="preserve"> </w:t>
      </w:r>
      <w:r w:rsidRPr="00E0339F">
        <w:t>naplňování těch částí Strategie reformy, u</w:t>
      </w:r>
      <w:r w:rsidR="00633E7D">
        <w:t xml:space="preserve"> </w:t>
      </w:r>
      <w:r w:rsidRPr="00E0339F">
        <w:t>kterých exist</w:t>
      </w:r>
      <w:r w:rsidR="00B643FB">
        <w:t>ovaly</w:t>
      </w:r>
      <w:r w:rsidRPr="00E0339F">
        <w:t xml:space="preserve"> zjevné implementační nedostatky</w:t>
      </w:r>
      <w:r>
        <w:t>.</w:t>
      </w:r>
      <w:r w:rsidR="00470BCC">
        <w:t xml:space="preserve"> Byly zde stanoveny také konkrétní odpovědnosti za plnění dílčích úkolů</w:t>
      </w:r>
      <w:r w:rsidR="00B11181">
        <w:t>, v</w:t>
      </w:r>
      <w:r w:rsidR="00470BCC">
        <w:t xml:space="preserve"> případě CDZ </w:t>
      </w:r>
      <w:r w:rsidR="00B11181">
        <w:t>byly nejvýznamnější z nich svěřeny</w:t>
      </w:r>
      <w:r w:rsidR="00470BCC">
        <w:t xml:space="preserve"> </w:t>
      </w:r>
      <w:proofErr w:type="spellStart"/>
      <w:r w:rsidR="00470BCC">
        <w:t>MZ</w:t>
      </w:r>
      <w:r w:rsidR="00A9215F">
        <w:t>d</w:t>
      </w:r>
      <w:proofErr w:type="spellEnd"/>
      <w:r w:rsidR="00470BCC">
        <w:t xml:space="preserve"> a MPSV.</w:t>
      </w:r>
    </w:p>
    <w:p w:rsidR="009968AB" w:rsidRDefault="00780105" w:rsidP="009968AB">
      <w:r>
        <w:t xml:space="preserve">2.4 V rámci reformy péče o duševní zdraví byla zřízena </w:t>
      </w:r>
      <w:r w:rsidRPr="00C20575">
        <w:rPr>
          <w:i/>
        </w:rPr>
        <w:t>R</w:t>
      </w:r>
      <w:r w:rsidRPr="00A65EC2">
        <w:rPr>
          <w:i/>
        </w:rPr>
        <w:t>ada vlády pro duševní zdraví</w:t>
      </w:r>
      <w:r w:rsidRPr="009968AB">
        <w:t xml:space="preserve"> </w:t>
      </w:r>
      <w:r>
        <w:t>jako stálý poradní, iniciační a koordinační orgán vlády ČR pro oblast komplexní podpory osob s</w:t>
      </w:r>
      <w:r w:rsidR="00D6080B">
        <w:t> </w:t>
      </w:r>
      <w:r>
        <w:t>duševním onemocněním a oblast prevence a včasné intervence. Měla 21 členů, přičemž jejím předsedou byl předseda vlády ČR, místopředsedou ministr zdravotnictví a mezi další členy patřil</w:t>
      </w:r>
      <w:r w:rsidR="008B7087">
        <w:t>i</w:t>
      </w:r>
      <w:r w:rsidR="000212A3">
        <w:br/>
      </w:r>
      <w:r>
        <w:t>mj. ministr práce a</w:t>
      </w:r>
      <w:r w:rsidR="00633E7D">
        <w:t xml:space="preserve"> </w:t>
      </w:r>
      <w:r>
        <w:t>sociálních věcí, zástupci zdravotních pojišťoven, poskytovatelů péče</w:t>
      </w:r>
      <w:r w:rsidR="000212A3">
        <w:br/>
      </w:r>
      <w:r>
        <w:t xml:space="preserve">či jejích uživatelů. V roce 2022 došlo k </w:t>
      </w:r>
      <w:r w:rsidR="0014083C">
        <w:t>p</w:t>
      </w:r>
      <w:r w:rsidR="002E3F5D">
        <w:t>ře</w:t>
      </w:r>
      <w:r>
        <w:t xml:space="preserve">měně </w:t>
      </w:r>
      <w:r w:rsidR="002E3F5D">
        <w:t xml:space="preserve">tohoto orgánu </w:t>
      </w:r>
      <w:r>
        <w:t xml:space="preserve">na </w:t>
      </w:r>
      <w:r w:rsidRPr="00C20575">
        <w:rPr>
          <w:i/>
        </w:rPr>
        <w:t>Národní radu pro duševní zdraví</w:t>
      </w:r>
      <w:r w:rsidR="002E3F5D">
        <w:t>, je</w:t>
      </w:r>
      <w:r w:rsidR="00431222">
        <w:t>jí</w:t>
      </w:r>
      <w:r w:rsidR="002E3F5D">
        <w:t xml:space="preserve"> p</w:t>
      </w:r>
      <w:r>
        <w:t>ůsobnost se</w:t>
      </w:r>
      <w:r w:rsidR="002E3F5D">
        <w:t xml:space="preserve"> však</w:t>
      </w:r>
      <w:r>
        <w:t xml:space="preserve"> významně nelišila. Nově měla</w:t>
      </w:r>
      <w:r w:rsidR="002E3F5D">
        <w:t xml:space="preserve"> rada</w:t>
      </w:r>
      <w:r>
        <w:t xml:space="preserve"> 25 členů a jejím předsedou </w:t>
      </w:r>
      <w:r w:rsidR="002E3F5D">
        <w:t>byl stanoven</w:t>
      </w:r>
      <w:r>
        <w:t xml:space="preserve"> ministr zdravotnictví.</w:t>
      </w:r>
    </w:p>
    <w:p w:rsidR="00A9215F" w:rsidRDefault="00780105" w:rsidP="00A9215F">
      <w:r>
        <w:t xml:space="preserve">2.5 V letech 2017 až 2022 </w:t>
      </w:r>
      <w:proofErr w:type="spellStart"/>
      <w:r>
        <w:t>MZd</w:t>
      </w:r>
      <w:proofErr w:type="spellEnd"/>
      <w:r>
        <w:t xml:space="preserve"> realizovalo tři klíčové projekty </w:t>
      </w:r>
      <w:r w:rsidR="00431222">
        <w:t xml:space="preserve">spolufinancované z EU prostřednictvím OPZ </w:t>
      </w:r>
      <w:r w:rsidR="003E0E09">
        <w:t>zaměřen</w:t>
      </w:r>
      <w:r w:rsidR="006D0C4A">
        <w:t>é na</w:t>
      </w:r>
      <w:r w:rsidR="003E0E09">
        <w:t xml:space="preserve"> </w:t>
      </w:r>
      <w:r>
        <w:t>podporu vzniku, nastavení fungování a stabilizaci CDZ v systému péče o duševně nemocné.</w:t>
      </w:r>
      <w:r w:rsidR="006A619F">
        <w:t xml:space="preserve"> T</w:t>
      </w:r>
      <w:r w:rsidR="006A619F" w:rsidRPr="006A619F">
        <w:t>yto projekty měly zabezpečit podporu vzniku a provozu pilotních CDZ a jejich společným cílem bylo vytvořit výchozí síť 30 CDZ, která měla zajistit dostupnost služeb poskytovaných CDZ pro lidi s</w:t>
      </w:r>
      <w:r w:rsidR="00C168AE">
        <w:t>e závažným</w:t>
      </w:r>
      <w:r w:rsidR="006A619F" w:rsidRPr="006A619F">
        <w:t xml:space="preserve"> duševním onemocněním</w:t>
      </w:r>
      <w:r w:rsidR="004B042A">
        <w:rPr>
          <w:rStyle w:val="Znakapoznpodarou"/>
        </w:rPr>
        <w:footnoteReference w:id="13"/>
      </w:r>
      <w:r w:rsidR="006A619F" w:rsidRPr="006A619F">
        <w:t xml:space="preserve"> v</w:t>
      </w:r>
      <w:r w:rsidR="00520A71">
        <w:t> </w:t>
      </w:r>
      <w:r w:rsidR="006A619F" w:rsidRPr="006A619F">
        <w:t>přirozeném prostředí.</w:t>
      </w:r>
      <w:r w:rsidR="006A619F">
        <w:t xml:space="preserve"> </w:t>
      </w:r>
      <w:r w:rsidR="00634FD2">
        <w:t xml:space="preserve">Na tyto projekty </w:t>
      </w:r>
      <w:proofErr w:type="spellStart"/>
      <w:r w:rsidR="00634FD2">
        <w:t>MZd</w:t>
      </w:r>
      <w:proofErr w:type="spellEnd"/>
      <w:r w:rsidR="00634FD2">
        <w:t xml:space="preserve"> vyčerpalo podporu v celkové výši </w:t>
      </w:r>
      <w:r w:rsidR="00634FD2" w:rsidRPr="00634FD2">
        <w:t>442,1</w:t>
      </w:r>
      <w:r w:rsidR="00634FD2">
        <w:t xml:space="preserve"> mil. Kč.</w:t>
      </w:r>
    </w:p>
    <w:p w:rsidR="00A9215F" w:rsidRDefault="00780105" w:rsidP="000768DC">
      <w:pPr>
        <w:pStyle w:val="Nzevtabulky"/>
        <w:spacing w:before="120" w:after="40"/>
      </w:pPr>
      <w:r>
        <w:t>Projekty podpory vzniku CDZ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835"/>
        <w:gridCol w:w="1155"/>
        <w:gridCol w:w="1157"/>
        <w:gridCol w:w="985"/>
        <w:gridCol w:w="943"/>
        <w:gridCol w:w="990"/>
      </w:tblGrid>
      <w:tr w:rsidR="000179EC" w:rsidTr="004077F9">
        <w:trPr>
          <w:jc w:val="center"/>
        </w:trPr>
        <w:tc>
          <w:tcPr>
            <w:tcW w:w="2116" w:type="pct"/>
            <w:vMerge w:val="restart"/>
            <w:shd w:val="clear" w:color="auto" w:fill="E6E6E6"/>
            <w:vAlign w:val="center"/>
          </w:tcPr>
          <w:p w:rsidR="002F3937" w:rsidRPr="000768DC" w:rsidRDefault="00780105" w:rsidP="00B7682F">
            <w:pPr>
              <w:pStyle w:val="Nadpis3"/>
              <w:outlineLvl w:val="2"/>
              <w:rPr>
                <w:u w:val="none"/>
              </w:rPr>
            </w:pPr>
            <w:r w:rsidRPr="000768DC">
              <w:rPr>
                <w:u w:val="none"/>
              </w:rPr>
              <w:t>Projekt</w:t>
            </w:r>
          </w:p>
        </w:tc>
        <w:tc>
          <w:tcPr>
            <w:tcW w:w="637" w:type="pct"/>
            <w:vMerge w:val="restart"/>
            <w:shd w:val="clear" w:color="auto" w:fill="E6E6E6"/>
            <w:vAlign w:val="center"/>
          </w:tcPr>
          <w:p w:rsidR="002F3937" w:rsidRPr="00A65719" w:rsidRDefault="00780105" w:rsidP="00572C0E">
            <w:pPr>
              <w:pStyle w:val="tabulka"/>
              <w:jc w:val="center"/>
              <w:rPr>
                <w:b/>
              </w:rPr>
            </w:pPr>
            <w:r w:rsidRPr="00A65719">
              <w:rPr>
                <w:b/>
              </w:rPr>
              <w:t>Zahájení</w:t>
            </w:r>
          </w:p>
        </w:tc>
        <w:tc>
          <w:tcPr>
            <w:tcW w:w="638" w:type="pct"/>
            <w:vMerge w:val="restart"/>
            <w:shd w:val="clear" w:color="auto" w:fill="E6E6E6"/>
            <w:vAlign w:val="center"/>
          </w:tcPr>
          <w:p w:rsidR="002F3937" w:rsidRPr="00A65719" w:rsidRDefault="00780105" w:rsidP="00572C0E">
            <w:pPr>
              <w:pStyle w:val="tabulka"/>
              <w:jc w:val="center"/>
              <w:rPr>
                <w:b/>
              </w:rPr>
            </w:pPr>
            <w:r w:rsidRPr="00A65719">
              <w:rPr>
                <w:b/>
              </w:rPr>
              <w:t>Ukončení</w:t>
            </w:r>
          </w:p>
        </w:tc>
        <w:tc>
          <w:tcPr>
            <w:tcW w:w="1609" w:type="pct"/>
            <w:gridSpan w:val="3"/>
            <w:shd w:val="clear" w:color="auto" w:fill="E6E6E6"/>
            <w:vAlign w:val="center"/>
          </w:tcPr>
          <w:p w:rsidR="002F3937" w:rsidRPr="00A65719" w:rsidRDefault="00780105" w:rsidP="00572C0E">
            <w:pPr>
              <w:pStyle w:val="tabulka"/>
              <w:jc w:val="center"/>
              <w:rPr>
                <w:b/>
              </w:rPr>
            </w:pPr>
            <w:r w:rsidRPr="00A65719">
              <w:rPr>
                <w:b/>
              </w:rPr>
              <w:t>Schválené výdaje</w:t>
            </w:r>
            <w:r w:rsidR="0058670B" w:rsidRPr="00A65719">
              <w:rPr>
                <w:b/>
              </w:rPr>
              <w:t xml:space="preserve"> (</w:t>
            </w:r>
            <w:r w:rsidR="004077F9">
              <w:rPr>
                <w:b/>
              </w:rPr>
              <w:t>v </w:t>
            </w:r>
            <w:r w:rsidR="0058670B" w:rsidRPr="00A65719">
              <w:rPr>
                <w:b/>
              </w:rPr>
              <w:t>mil. Kč)</w:t>
            </w:r>
          </w:p>
        </w:tc>
      </w:tr>
      <w:tr w:rsidR="000179EC" w:rsidTr="004077F9">
        <w:trPr>
          <w:jc w:val="center"/>
        </w:trPr>
        <w:tc>
          <w:tcPr>
            <w:tcW w:w="2116" w:type="pct"/>
            <w:vMerge/>
            <w:shd w:val="clear" w:color="auto" w:fill="E6E6E6"/>
            <w:vAlign w:val="center"/>
          </w:tcPr>
          <w:p w:rsidR="002F3937" w:rsidRPr="005B25D2" w:rsidRDefault="002F3937" w:rsidP="006A619F">
            <w:pPr>
              <w:pStyle w:val="tabulka"/>
              <w:jc w:val="center"/>
              <w:rPr>
                <w:b/>
              </w:rPr>
            </w:pPr>
          </w:p>
        </w:tc>
        <w:tc>
          <w:tcPr>
            <w:tcW w:w="637" w:type="pct"/>
            <w:vMerge/>
            <w:shd w:val="clear" w:color="auto" w:fill="E6E6E6"/>
            <w:vAlign w:val="center"/>
          </w:tcPr>
          <w:p w:rsidR="002F3937" w:rsidRPr="005B25D2" w:rsidRDefault="002F3937" w:rsidP="006A619F">
            <w:pPr>
              <w:pStyle w:val="tabulka"/>
              <w:jc w:val="center"/>
              <w:rPr>
                <w:b/>
              </w:rPr>
            </w:pPr>
          </w:p>
        </w:tc>
        <w:tc>
          <w:tcPr>
            <w:tcW w:w="638" w:type="pct"/>
            <w:vMerge/>
            <w:shd w:val="clear" w:color="auto" w:fill="E6E6E6"/>
            <w:vAlign w:val="center"/>
          </w:tcPr>
          <w:p w:rsidR="002F3937" w:rsidRPr="005B25D2" w:rsidRDefault="002F3937" w:rsidP="006A619F">
            <w:pPr>
              <w:pStyle w:val="tabulka"/>
              <w:jc w:val="center"/>
              <w:rPr>
                <w:b/>
              </w:rPr>
            </w:pPr>
          </w:p>
        </w:tc>
        <w:tc>
          <w:tcPr>
            <w:tcW w:w="543" w:type="pct"/>
            <w:shd w:val="clear" w:color="auto" w:fill="E6E6E6"/>
            <w:vAlign w:val="center"/>
          </w:tcPr>
          <w:p w:rsidR="002F3937" w:rsidRPr="005B25D2" w:rsidRDefault="00780105" w:rsidP="006A619F">
            <w:pPr>
              <w:pStyle w:val="tabulka"/>
              <w:jc w:val="center"/>
              <w:rPr>
                <w:b/>
              </w:rPr>
            </w:pPr>
            <w:r w:rsidRPr="005B25D2">
              <w:rPr>
                <w:b/>
              </w:rPr>
              <w:t>Rozpočet EU</w:t>
            </w:r>
          </w:p>
        </w:tc>
        <w:tc>
          <w:tcPr>
            <w:tcW w:w="520" w:type="pct"/>
            <w:shd w:val="clear" w:color="auto" w:fill="E6E6E6"/>
            <w:vAlign w:val="center"/>
          </w:tcPr>
          <w:p w:rsidR="002F3937" w:rsidRPr="005B25D2" w:rsidRDefault="00780105" w:rsidP="006A619F">
            <w:pPr>
              <w:pStyle w:val="tabulka"/>
              <w:jc w:val="center"/>
              <w:rPr>
                <w:b/>
              </w:rPr>
            </w:pPr>
            <w:r w:rsidRPr="005B25D2">
              <w:rPr>
                <w:b/>
              </w:rPr>
              <w:t>Státní rozpočet</w:t>
            </w:r>
          </w:p>
        </w:tc>
        <w:tc>
          <w:tcPr>
            <w:tcW w:w="546" w:type="pct"/>
            <w:shd w:val="clear" w:color="auto" w:fill="E6E6E6"/>
            <w:vAlign w:val="center"/>
          </w:tcPr>
          <w:p w:rsidR="002F3937" w:rsidRPr="005B25D2" w:rsidRDefault="00780105" w:rsidP="006A619F">
            <w:pPr>
              <w:pStyle w:val="tabulka"/>
              <w:jc w:val="center"/>
              <w:rPr>
                <w:b/>
              </w:rPr>
            </w:pPr>
            <w:r w:rsidRPr="005B25D2">
              <w:rPr>
                <w:b/>
              </w:rPr>
              <w:t>Celkem</w:t>
            </w:r>
          </w:p>
        </w:tc>
      </w:tr>
      <w:tr w:rsidR="000179EC" w:rsidTr="004077F9">
        <w:trPr>
          <w:jc w:val="center"/>
        </w:trPr>
        <w:tc>
          <w:tcPr>
            <w:tcW w:w="2116" w:type="pct"/>
            <w:vAlign w:val="center"/>
          </w:tcPr>
          <w:p w:rsidR="00572C0E" w:rsidRDefault="004077F9" w:rsidP="006A619F">
            <w:pPr>
              <w:pStyle w:val="tabulka"/>
              <w:jc w:val="left"/>
            </w:pPr>
            <w:proofErr w:type="spellStart"/>
            <w:r>
              <w:t>R</w:t>
            </w:r>
            <w:r w:rsidR="00780105" w:rsidRPr="006A619F">
              <w:t>eg</w:t>
            </w:r>
            <w:proofErr w:type="spellEnd"/>
            <w:r w:rsidR="00780105" w:rsidRPr="006A619F">
              <w:t xml:space="preserve">. č. CZ.03.2.63/0.0/0.0/15_039/0004672 </w:t>
            </w:r>
            <w:r w:rsidR="00780105" w:rsidRPr="00EA6271">
              <w:rPr>
                <w:i/>
              </w:rPr>
              <w:t>Podpora vzniku Center duševního zdraví I</w:t>
            </w:r>
            <w:r w:rsidR="00780105" w:rsidRPr="006A619F">
              <w:t xml:space="preserve"> (dále také „Projekt </w:t>
            </w:r>
            <w:r w:rsidR="00780105">
              <w:t>CDZ I</w:t>
            </w:r>
            <w:r w:rsidR="00780105" w:rsidRPr="006A619F">
              <w:t>“)</w:t>
            </w:r>
          </w:p>
        </w:tc>
        <w:tc>
          <w:tcPr>
            <w:tcW w:w="637" w:type="pct"/>
            <w:vAlign w:val="center"/>
          </w:tcPr>
          <w:p w:rsidR="00572C0E" w:rsidRDefault="00780105" w:rsidP="006A619F">
            <w:pPr>
              <w:pStyle w:val="tabulka"/>
              <w:jc w:val="center"/>
            </w:pPr>
            <w:r w:rsidRPr="005766D0">
              <w:t>1.</w:t>
            </w:r>
            <w:r w:rsidR="004077F9">
              <w:t> </w:t>
            </w:r>
            <w:r w:rsidRPr="005766D0">
              <w:t>2.</w:t>
            </w:r>
            <w:r w:rsidR="004077F9">
              <w:t> </w:t>
            </w:r>
            <w:r w:rsidRPr="005766D0">
              <w:t>2017</w:t>
            </w:r>
          </w:p>
        </w:tc>
        <w:tc>
          <w:tcPr>
            <w:tcW w:w="638" w:type="pct"/>
            <w:vAlign w:val="center"/>
          </w:tcPr>
          <w:p w:rsidR="00572C0E" w:rsidRDefault="00780105" w:rsidP="006A619F">
            <w:pPr>
              <w:pStyle w:val="tabulka"/>
              <w:jc w:val="center"/>
            </w:pPr>
            <w:r w:rsidRPr="005766D0">
              <w:t>30.</w:t>
            </w:r>
            <w:r w:rsidR="004077F9">
              <w:t> </w:t>
            </w:r>
            <w:r w:rsidRPr="005766D0">
              <w:t>6.</w:t>
            </w:r>
            <w:r w:rsidR="004077F9">
              <w:t> </w:t>
            </w:r>
            <w:r w:rsidRPr="005766D0">
              <w:t>2021</w:t>
            </w:r>
          </w:p>
        </w:tc>
        <w:tc>
          <w:tcPr>
            <w:tcW w:w="543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65,01</w:t>
            </w:r>
          </w:p>
        </w:tc>
        <w:tc>
          <w:tcPr>
            <w:tcW w:w="520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18,81</w:t>
            </w:r>
          </w:p>
        </w:tc>
        <w:tc>
          <w:tcPr>
            <w:tcW w:w="546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83,82</w:t>
            </w:r>
          </w:p>
        </w:tc>
      </w:tr>
      <w:tr w:rsidR="000179EC" w:rsidTr="004077F9">
        <w:trPr>
          <w:jc w:val="center"/>
        </w:trPr>
        <w:tc>
          <w:tcPr>
            <w:tcW w:w="2116" w:type="pct"/>
            <w:vAlign w:val="center"/>
          </w:tcPr>
          <w:p w:rsidR="00572C0E" w:rsidRDefault="004077F9" w:rsidP="006A619F">
            <w:pPr>
              <w:pStyle w:val="tabulka"/>
              <w:jc w:val="left"/>
            </w:pPr>
            <w:proofErr w:type="spellStart"/>
            <w:r>
              <w:t>R</w:t>
            </w:r>
            <w:r w:rsidR="00780105" w:rsidRPr="006A619F">
              <w:t>eg</w:t>
            </w:r>
            <w:proofErr w:type="spellEnd"/>
            <w:r w:rsidR="00780105" w:rsidRPr="006A619F">
              <w:t xml:space="preserve">. č. CZ.03.2.63/0.0/0.0/15_039/0007037 </w:t>
            </w:r>
            <w:r w:rsidR="00780105" w:rsidRPr="00EA6271">
              <w:rPr>
                <w:i/>
              </w:rPr>
              <w:t xml:space="preserve">Podpora vzniku Center duševního zdraví II </w:t>
            </w:r>
            <w:r w:rsidR="00780105" w:rsidRPr="006A619F">
              <w:t xml:space="preserve">(dále také „Projekt </w:t>
            </w:r>
            <w:r w:rsidR="00780105">
              <w:t>CDZ II</w:t>
            </w:r>
            <w:r w:rsidR="00780105" w:rsidRPr="006A619F">
              <w:t>“)</w:t>
            </w:r>
          </w:p>
        </w:tc>
        <w:tc>
          <w:tcPr>
            <w:tcW w:w="637" w:type="pct"/>
            <w:vAlign w:val="center"/>
          </w:tcPr>
          <w:p w:rsidR="00572C0E" w:rsidRDefault="00780105" w:rsidP="006A619F">
            <w:pPr>
              <w:pStyle w:val="tabulka"/>
              <w:jc w:val="center"/>
            </w:pPr>
            <w:r w:rsidRPr="005766D0">
              <w:t>1.</w:t>
            </w:r>
            <w:r w:rsidR="004077F9">
              <w:t> </w:t>
            </w:r>
            <w:r w:rsidRPr="005766D0">
              <w:t>10.</w:t>
            </w:r>
            <w:r w:rsidR="004077F9">
              <w:t> </w:t>
            </w:r>
            <w:r w:rsidRPr="005766D0">
              <w:t>2017</w:t>
            </w:r>
          </w:p>
        </w:tc>
        <w:tc>
          <w:tcPr>
            <w:tcW w:w="638" w:type="pct"/>
            <w:vAlign w:val="center"/>
          </w:tcPr>
          <w:p w:rsidR="00572C0E" w:rsidRDefault="00780105" w:rsidP="006A619F">
            <w:pPr>
              <w:pStyle w:val="tabulka"/>
              <w:jc w:val="center"/>
            </w:pPr>
            <w:r w:rsidRPr="005766D0">
              <w:t>31.</w:t>
            </w:r>
            <w:r w:rsidR="004077F9">
              <w:t> </w:t>
            </w:r>
            <w:r w:rsidRPr="005766D0">
              <w:t>1.</w:t>
            </w:r>
            <w:r w:rsidR="004077F9">
              <w:t> </w:t>
            </w:r>
            <w:r w:rsidRPr="005766D0">
              <w:t>2022</w:t>
            </w:r>
          </w:p>
        </w:tc>
        <w:tc>
          <w:tcPr>
            <w:tcW w:w="543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183,17</w:t>
            </w:r>
          </w:p>
        </w:tc>
        <w:tc>
          <w:tcPr>
            <w:tcW w:w="520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52,99</w:t>
            </w:r>
          </w:p>
        </w:tc>
        <w:tc>
          <w:tcPr>
            <w:tcW w:w="546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236,15</w:t>
            </w:r>
          </w:p>
        </w:tc>
      </w:tr>
      <w:tr w:rsidR="000179EC" w:rsidTr="004077F9">
        <w:trPr>
          <w:jc w:val="center"/>
        </w:trPr>
        <w:tc>
          <w:tcPr>
            <w:tcW w:w="2116" w:type="pct"/>
            <w:vAlign w:val="center"/>
          </w:tcPr>
          <w:p w:rsidR="00572C0E" w:rsidRDefault="004077F9" w:rsidP="006A619F">
            <w:pPr>
              <w:pStyle w:val="tabulka"/>
              <w:jc w:val="left"/>
            </w:pPr>
            <w:proofErr w:type="spellStart"/>
            <w:r>
              <w:t>R</w:t>
            </w:r>
            <w:r w:rsidR="00780105" w:rsidRPr="006A619F">
              <w:t>eg</w:t>
            </w:r>
            <w:proofErr w:type="spellEnd"/>
            <w:r w:rsidR="00780105" w:rsidRPr="006A619F">
              <w:t xml:space="preserve">. č. CZ.03.2.63/0.0/0.0/15_039/0009646 </w:t>
            </w:r>
            <w:r w:rsidR="00780105" w:rsidRPr="00EA6271">
              <w:rPr>
                <w:i/>
              </w:rPr>
              <w:t>Podpora vzniku Center duševního zdraví III</w:t>
            </w:r>
            <w:r w:rsidR="00780105" w:rsidRPr="006A619F">
              <w:t xml:space="preserve"> (dále také „Projekt </w:t>
            </w:r>
            <w:r w:rsidR="00780105">
              <w:t>CDZ III</w:t>
            </w:r>
            <w:r w:rsidR="00780105" w:rsidRPr="006A619F">
              <w:t>“)</w:t>
            </w:r>
          </w:p>
        </w:tc>
        <w:tc>
          <w:tcPr>
            <w:tcW w:w="637" w:type="pct"/>
            <w:vAlign w:val="center"/>
          </w:tcPr>
          <w:p w:rsidR="00572C0E" w:rsidRDefault="00780105" w:rsidP="006A619F">
            <w:pPr>
              <w:pStyle w:val="tabulka"/>
              <w:jc w:val="center"/>
            </w:pPr>
            <w:r w:rsidRPr="005766D0">
              <w:t>1.</w:t>
            </w:r>
            <w:r w:rsidR="004077F9">
              <w:t> </w:t>
            </w:r>
            <w:r w:rsidRPr="005766D0">
              <w:t>1.</w:t>
            </w:r>
            <w:r w:rsidR="004077F9">
              <w:t> </w:t>
            </w:r>
            <w:r w:rsidRPr="005766D0">
              <w:t>2019</w:t>
            </w:r>
          </w:p>
        </w:tc>
        <w:tc>
          <w:tcPr>
            <w:tcW w:w="638" w:type="pct"/>
            <w:vAlign w:val="center"/>
          </w:tcPr>
          <w:p w:rsidR="00572C0E" w:rsidRDefault="00780105" w:rsidP="006A619F">
            <w:pPr>
              <w:pStyle w:val="tabulka"/>
              <w:jc w:val="center"/>
            </w:pPr>
            <w:r w:rsidRPr="005766D0">
              <w:t>31.</w:t>
            </w:r>
            <w:r w:rsidR="004077F9">
              <w:t> </w:t>
            </w:r>
            <w:r w:rsidRPr="005766D0">
              <w:t>8.</w:t>
            </w:r>
            <w:r w:rsidR="004077F9">
              <w:t> </w:t>
            </w:r>
            <w:r w:rsidRPr="005766D0">
              <w:t>2022</w:t>
            </w:r>
          </w:p>
        </w:tc>
        <w:tc>
          <w:tcPr>
            <w:tcW w:w="543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94,76</w:t>
            </w:r>
          </w:p>
        </w:tc>
        <w:tc>
          <w:tcPr>
            <w:tcW w:w="520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27,41</w:t>
            </w:r>
          </w:p>
        </w:tc>
        <w:tc>
          <w:tcPr>
            <w:tcW w:w="546" w:type="pct"/>
            <w:vAlign w:val="center"/>
          </w:tcPr>
          <w:p w:rsidR="00572C0E" w:rsidRDefault="00780105" w:rsidP="004077F9">
            <w:pPr>
              <w:pStyle w:val="tabulka"/>
              <w:ind w:right="113"/>
            </w:pPr>
            <w:r>
              <w:t>122,17</w:t>
            </w:r>
          </w:p>
        </w:tc>
      </w:tr>
      <w:tr w:rsidR="00910DD1" w:rsidTr="004077F9">
        <w:trPr>
          <w:jc w:val="center"/>
        </w:trPr>
        <w:tc>
          <w:tcPr>
            <w:tcW w:w="4454" w:type="pct"/>
            <w:gridSpan w:val="5"/>
            <w:vAlign w:val="center"/>
          </w:tcPr>
          <w:p w:rsidR="00910DD1" w:rsidRDefault="00910DD1" w:rsidP="005B25D2">
            <w:pPr>
              <w:pStyle w:val="tabulka"/>
              <w:jc w:val="left"/>
            </w:pPr>
            <w:r>
              <w:t>Cel</w:t>
            </w:r>
            <w:r w:rsidR="0058670B">
              <w:t>kem</w:t>
            </w:r>
          </w:p>
        </w:tc>
        <w:tc>
          <w:tcPr>
            <w:tcW w:w="546" w:type="pct"/>
            <w:vAlign w:val="center"/>
          </w:tcPr>
          <w:p w:rsidR="00910DD1" w:rsidRDefault="00910DD1" w:rsidP="004077F9">
            <w:pPr>
              <w:pStyle w:val="tabulka"/>
              <w:ind w:right="113"/>
            </w:pPr>
            <w:r w:rsidRPr="00910DD1">
              <w:t>442,14</w:t>
            </w:r>
          </w:p>
        </w:tc>
      </w:tr>
    </w:tbl>
    <w:p w:rsidR="00A9215F" w:rsidRDefault="00780105" w:rsidP="000C1F0C">
      <w:pPr>
        <w:pStyle w:val="Poznmka"/>
      </w:pPr>
      <w:r w:rsidRPr="002F3937">
        <w:rPr>
          <w:b/>
        </w:rPr>
        <w:t>Zdroj:</w:t>
      </w:r>
      <w:r w:rsidR="00F93832">
        <w:t xml:space="preserve"> </w:t>
      </w:r>
      <w:r w:rsidR="004077F9">
        <w:t>d</w:t>
      </w:r>
      <w:r w:rsidR="002F3937">
        <w:t>okumentace projektů.</w:t>
      </w:r>
    </w:p>
    <w:p w:rsidR="003E0E09" w:rsidRDefault="00780105" w:rsidP="00EA718D">
      <w:pPr>
        <w:widowControl/>
        <w:spacing w:before="240"/>
      </w:pPr>
      <w:r>
        <w:t xml:space="preserve">2.6 </w:t>
      </w:r>
      <w:r w:rsidR="00B55B01">
        <w:t xml:space="preserve">Vznik jednotlivých CDZ v rámci projektů byl podpořen prostřednictvím dotací, které </w:t>
      </w:r>
      <w:proofErr w:type="spellStart"/>
      <w:r w:rsidR="00B55B01">
        <w:t>MZ</w:t>
      </w:r>
      <w:r w:rsidR="00F54C84">
        <w:t>d</w:t>
      </w:r>
      <w:proofErr w:type="spellEnd"/>
      <w:r w:rsidR="00B55B01">
        <w:t xml:space="preserve"> poskytovalo zvlášť na zdravotní část a zvlášť na sociální část služeb poskytovaných v CDZ.</w:t>
      </w:r>
      <w:r w:rsidR="002F3937">
        <w:t xml:space="preserve"> </w:t>
      </w:r>
      <w:r w:rsidR="00DB12B1">
        <w:t xml:space="preserve">CDZ mohla </w:t>
      </w:r>
      <w:r w:rsidR="006D0C4A">
        <w:t xml:space="preserve">být provozována </w:t>
      </w:r>
      <w:r w:rsidR="00DB12B1">
        <w:t xml:space="preserve">jedním subjektem disponujícím oprávněními k poskytování </w:t>
      </w:r>
      <w:r w:rsidR="006D0C4A">
        <w:t>obou typů služeb, sociálních i zdravotních,</w:t>
      </w:r>
      <w:r w:rsidR="00DB12B1">
        <w:t xml:space="preserve"> či</w:t>
      </w:r>
      <w:r w:rsidR="00F54C84">
        <w:t> </w:t>
      </w:r>
      <w:r w:rsidR="00DB12B1">
        <w:t>dvěma poskytovateli na základě smlouvy o spolupráci.</w:t>
      </w:r>
      <w:r>
        <w:t xml:space="preserve"> Nakonec v rámci projektů vzniklo 29 CDZ</w:t>
      </w:r>
      <w:r w:rsidR="00634FD2">
        <w:t xml:space="preserve">. </w:t>
      </w:r>
      <w:proofErr w:type="spellStart"/>
      <w:r w:rsidR="00634FD2">
        <w:t>MZd</w:t>
      </w:r>
      <w:proofErr w:type="spellEnd"/>
      <w:r w:rsidR="00634FD2">
        <w:t xml:space="preserve"> schválilo poskytnutí dotací v </w:t>
      </w:r>
      <w:r>
        <w:t>celkov</w:t>
      </w:r>
      <w:r w:rsidR="00634FD2">
        <w:t xml:space="preserve">é výši </w:t>
      </w:r>
      <w:r w:rsidR="00634FD2" w:rsidRPr="00634FD2">
        <w:t>423</w:t>
      </w:r>
      <w:r w:rsidR="00634FD2">
        <w:t>,9</w:t>
      </w:r>
      <w:r w:rsidR="000768DC">
        <w:t> </w:t>
      </w:r>
      <w:r w:rsidR="00634FD2">
        <w:t>mil.</w:t>
      </w:r>
      <w:r w:rsidR="000768DC">
        <w:t> </w:t>
      </w:r>
      <w:r w:rsidR="00634FD2">
        <w:t>Kč, z této částky bylo příjemci použito</w:t>
      </w:r>
      <w:r>
        <w:t xml:space="preserve"> 407,7 mil. Kč</w:t>
      </w:r>
      <w:r w:rsidR="001B0DE3">
        <w:t>, z </w:t>
      </w:r>
      <w:r w:rsidR="00634FD2">
        <w:t>nichž</w:t>
      </w:r>
      <w:r w:rsidR="001B0DE3">
        <w:t xml:space="preserve"> bylo z OPZ </w:t>
      </w:r>
      <w:r w:rsidR="00634FD2">
        <w:t>schváleno a</w:t>
      </w:r>
      <w:r w:rsidR="00520A71">
        <w:t> </w:t>
      </w:r>
      <w:r w:rsidR="001B0DE3">
        <w:t xml:space="preserve">proplaceno </w:t>
      </w:r>
      <w:r w:rsidR="001B0DE3" w:rsidRPr="001B0DE3">
        <w:t>406</w:t>
      </w:r>
      <w:r w:rsidR="001B0DE3">
        <w:t>,</w:t>
      </w:r>
      <w:r w:rsidR="001B0DE3" w:rsidRPr="001B0DE3">
        <w:t>7</w:t>
      </w:r>
      <w:r w:rsidR="001B0DE3">
        <w:t xml:space="preserve"> mil. Kč</w:t>
      </w:r>
      <w:r w:rsidR="00175E89">
        <w:t>.</w:t>
      </w:r>
      <w:r w:rsidR="00507D37">
        <w:t xml:space="preserve"> Jedno z CDZ po skončení </w:t>
      </w:r>
      <w:r w:rsidR="006D0C4A">
        <w:t>projektu</w:t>
      </w:r>
      <w:r w:rsidR="00507D37">
        <w:t xml:space="preserve"> zaniklo. Mimo </w:t>
      </w:r>
      <w:r w:rsidR="003B77CD">
        <w:t>P</w:t>
      </w:r>
      <w:r w:rsidR="00507D37">
        <w:t>rojekty</w:t>
      </w:r>
      <w:r w:rsidR="006D0C4A">
        <w:t xml:space="preserve"> CDZ I, II a</w:t>
      </w:r>
      <w:r w:rsidR="00D146AE">
        <w:t> </w:t>
      </w:r>
      <w:r w:rsidR="006D0C4A">
        <w:t>III</w:t>
      </w:r>
      <w:r w:rsidR="00507D37">
        <w:t xml:space="preserve"> v ČR vznikl</w:t>
      </w:r>
      <w:r w:rsidR="008B7087">
        <w:t xml:space="preserve">a a </w:t>
      </w:r>
      <w:r w:rsidR="00F93832">
        <w:t xml:space="preserve">ke </w:t>
      </w:r>
      <w:r w:rsidR="008B7087">
        <w:t>konc</w:t>
      </w:r>
      <w:r w:rsidR="00F93832">
        <w:t>i</w:t>
      </w:r>
      <w:r w:rsidR="008B7087">
        <w:t xml:space="preserve"> roku 2023 byla provozována </w:t>
      </w:r>
      <w:r w:rsidR="00F93832">
        <w:t xml:space="preserve">další </w:t>
      </w:r>
      <w:r w:rsidR="008B7087">
        <w:t>tři</w:t>
      </w:r>
      <w:r w:rsidR="00507D37">
        <w:t xml:space="preserve"> CDZ</w:t>
      </w:r>
      <w:r w:rsidR="008B7087">
        <w:t xml:space="preserve"> pro osoby se závažným duševním onemocněním</w:t>
      </w:r>
      <w:r w:rsidR="00507D37">
        <w:t>.</w:t>
      </w:r>
    </w:p>
    <w:p w:rsidR="00A9215F" w:rsidRDefault="00780105" w:rsidP="001A66B9">
      <w:pPr>
        <w:pStyle w:val="Nzevtabulky"/>
        <w:spacing w:before="120" w:after="40"/>
      </w:pPr>
      <w:r>
        <w:t>Dotace na pilotní provoz CDZ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2"/>
        <w:gridCol w:w="1318"/>
        <w:gridCol w:w="2020"/>
        <w:gridCol w:w="950"/>
        <w:gridCol w:w="1838"/>
        <w:gridCol w:w="1557"/>
      </w:tblGrid>
      <w:tr w:rsidR="000179EC" w:rsidTr="005B25D2">
        <w:tc>
          <w:tcPr>
            <w:tcW w:w="1382" w:type="dxa"/>
            <w:shd w:val="clear" w:color="auto" w:fill="E6E6E6"/>
            <w:vAlign w:val="center"/>
          </w:tcPr>
          <w:p w:rsidR="00E7063E" w:rsidRPr="00B55B01" w:rsidRDefault="00780105" w:rsidP="00B55B01">
            <w:pPr>
              <w:pStyle w:val="tabulka"/>
              <w:jc w:val="center"/>
              <w:rPr>
                <w:b/>
              </w:rPr>
            </w:pPr>
            <w:r w:rsidRPr="00B55B01">
              <w:rPr>
                <w:b/>
              </w:rPr>
              <w:t>Projekt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E7063E" w:rsidRPr="00B55B01" w:rsidRDefault="00780105" w:rsidP="00B55B01">
            <w:pPr>
              <w:pStyle w:val="tabulka"/>
              <w:jc w:val="center"/>
              <w:rPr>
                <w:b/>
              </w:rPr>
            </w:pPr>
            <w:r w:rsidRPr="00B55B01">
              <w:rPr>
                <w:b/>
              </w:rPr>
              <w:t>Počet</w:t>
            </w:r>
            <w:r>
              <w:rPr>
                <w:b/>
              </w:rPr>
              <w:t xml:space="preserve"> podpořených </w:t>
            </w:r>
            <w:r w:rsidRPr="00B55B01">
              <w:rPr>
                <w:b/>
              </w:rPr>
              <w:t>CDZ</w:t>
            </w:r>
          </w:p>
        </w:tc>
        <w:tc>
          <w:tcPr>
            <w:tcW w:w="2020" w:type="dxa"/>
            <w:shd w:val="clear" w:color="auto" w:fill="E6E6E6"/>
            <w:vAlign w:val="center"/>
          </w:tcPr>
          <w:p w:rsidR="00E7063E" w:rsidRPr="00B55B01" w:rsidRDefault="00780105" w:rsidP="00EA718D">
            <w:pPr>
              <w:pStyle w:val="tabulka"/>
              <w:jc w:val="center"/>
              <w:rPr>
                <w:b/>
              </w:rPr>
            </w:pPr>
            <w:r w:rsidRPr="00B55B01">
              <w:rPr>
                <w:b/>
              </w:rPr>
              <w:t>Počet vydaných rozhodnutí</w:t>
            </w:r>
            <w:r w:rsidR="00EA718D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EA718D">
              <w:rPr>
                <w:b/>
              </w:rPr>
              <w:t> </w:t>
            </w:r>
            <w:r>
              <w:rPr>
                <w:b/>
              </w:rPr>
              <w:t>poskytnutí dotace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E7063E" w:rsidRPr="00B55B01" w:rsidRDefault="00780105" w:rsidP="00B55B01">
            <w:pPr>
              <w:pStyle w:val="tabulka"/>
              <w:jc w:val="center"/>
              <w:rPr>
                <w:b/>
              </w:rPr>
            </w:pPr>
            <w:r w:rsidRPr="00B55B01">
              <w:rPr>
                <w:b/>
              </w:rPr>
              <w:t>Počet příjemců</w:t>
            </w:r>
            <w:r>
              <w:rPr>
                <w:b/>
              </w:rPr>
              <w:t xml:space="preserve"> dotace</w:t>
            </w:r>
          </w:p>
        </w:tc>
        <w:tc>
          <w:tcPr>
            <w:tcW w:w="1838" w:type="dxa"/>
            <w:shd w:val="clear" w:color="auto" w:fill="E6E6E6"/>
            <w:vAlign w:val="center"/>
          </w:tcPr>
          <w:p w:rsidR="00E7063E" w:rsidRDefault="00780105" w:rsidP="00B55B0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Poskytnuté dotace</w:t>
            </w:r>
          </w:p>
          <w:p w:rsidR="00E7063E" w:rsidRPr="00B55B01" w:rsidRDefault="00780105" w:rsidP="00B55B01">
            <w:pPr>
              <w:pStyle w:val="tabulka"/>
              <w:jc w:val="center"/>
              <w:rPr>
                <w:b/>
              </w:rPr>
            </w:pPr>
            <w:r w:rsidRPr="00B55B01">
              <w:rPr>
                <w:b/>
              </w:rPr>
              <w:t>(</w:t>
            </w:r>
            <w:r w:rsidR="00984DF6">
              <w:rPr>
                <w:b/>
              </w:rPr>
              <w:t xml:space="preserve">mil. </w:t>
            </w:r>
            <w:r w:rsidRPr="00B55B01">
              <w:rPr>
                <w:b/>
              </w:rPr>
              <w:t>Kč)</w:t>
            </w:r>
          </w:p>
        </w:tc>
        <w:tc>
          <w:tcPr>
            <w:tcW w:w="1557" w:type="dxa"/>
            <w:shd w:val="clear" w:color="auto" w:fill="E6E6E6"/>
          </w:tcPr>
          <w:p w:rsidR="00E7063E" w:rsidRDefault="00780105" w:rsidP="00B55B0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Schválené výdaje OPZ</w:t>
            </w:r>
          </w:p>
          <w:p w:rsidR="00E7063E" w:rsidRDefault="00780105" w:rsidP="00B55B01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984DF6">
              <w:rPr>
                <w:b/>
              </w:rPr>
              <w:t xml:space="preserve">mil. </w:t>
            </w:r>
            <w:r>
              <w:rPr>
                <w:b/>
              </w:rPr>
              <w:t>Kč)</w:t>
            </w:r>
          </w:p>
        </w:tc>
      </w:tr>
      <w:tr w:rsidR="000179EC" w:rsidTr="00E7063E">
        <w:tc>
          <w:tcPr>
            <w:tcW w:w="1382" w:type="dxa"/>
            <w:vAlign w:val="center"/>
          </w:tcPr>
          <w:p w:rsidR="00E7063E" w:rsidRDefault="00780105" w:rsidP="00E7063E">
            <w:pPr>
              <w:pStyle w:val="tabulka"/>
              <w:jc w:val="left"/>
            </w:pPr>
            <w:r>
              <w:t>Projekt CDZ I</w:t>
            </w:r>
          </w:p>
        </w:tc>
        <w:tc>
          <w:tcPr>
            <w:tcW w:w="1318" w:type="dxa"/>
            <w:vAlign w:val="center"/>
          </w:tcPr>
          <w:p w:rsidR="00E7063E" w:rsidRDefault="00780105" w:rsidP="00EA718D">
            <w:pPr>
              <w:pStyle w:val="tabulka"/>
              <w:ind w:right="285"/>
            </w:pPr>
            <w:r>
              <w:t>5</w:t>
            </w:r>
          </w:p>
        </w:tc>
        <w:tc>
          <w:tcPr>
            <w:tcW w:w="2020" w:type="dxa"/>
            <w:vAlign w:val="center"/>
          </w:tcPr>
          <w:p w:rsidR="00E7063E" w:rsidRDefault="00780105" w:rsidP="00EA718D">
            <w:pPr>
              <w:pStyle w:val="tabulka"/>
              <w:ind w:right="652"/>
            </w:pPr>
            <w:r>
              <w:t>10</w:t>
            </w:r>
          </w:p>
        </w:tc>
        <w:tc>
          <w:tcPr>
            <w:tcW w:w="950" w:type="dxa"/>
            <w:vAlign w:val="center"/>
          </w:tcPr>
          <w:p w:rsidR="00E7063E" w:rsidRDefault="00780105" w:rsidP="00EA718D">
            <w:pPr>
              <w:pStyle w:val="tabulka"/>
              <w:ind w:right="285"/>
            </w:pPr>
            <w:r>
              <w:t>10</w:t>
            </w:r>
          </w:p>
        </w:tc>
        <w:tc>
          <w:tcPr>
            <w:tcW w:w="1838" w:type="dxa"/>
            <w:vAlign w:val="center"/>
          </w:tcPr>
          <w:p w:rsidR="00E7063E" w:rsidRDefault="00780105" w:rsidP="00EA718D">
            <w:pPr>
              <w:pStyle w:val="tabulka"/>
              <w:ind w:right="113"/>
            </w:pPr>
            <w:r w:rsidRPr="00E7063E">
              <w:t>69</w:t>
            </w:r>
            <w:r w:rsidR="00984DF6">
              <w:t>,</w:t>
            </w:r>
            <w:r w:rsidRPr="00E7063E">
              <w:t>1</w:t>
            </w:r>
            <w:r w:rsidR="00984DF6">
              <w:t>7</w:t>
            </w:r>
          </w:p>
        </w:tc>
        <w:tc>
          <w:tcPr>
            <w:tcW w:w="1557" w:type="dxa"/>
            <w:vAlign w:val="center"/>
          </w:tcPr>
          <w:p w:rsidR="00E7063E" w:rsidRPr="00DB12B1" w:rsidRDefault="00780105" w:rsidP="00EA718D">
            <w:pPr>
              <w:pStyle w:val="tabulka"/>
              <w:ind w:right="113"/>
            </w:pPr>
            <w:r w:rsidRPr="00DB12B1">
              <w:t>68</w:t>
            </w:r>
            <w:r w:rsidR="00984DF6">
              <w:t>,</w:t>
            </w:r>
            <w:r w:rsidRPr="00DB12B1">
              <w:t>42</w:t>
            </w:r>
          </w:p>
        </w:tc>
      </w:tr>
      <w:tr w:rsidR="000179EC" w:rsidTr="00E7063E">
        <w:tc>
          <w:tcPr>
            <w:tcW w:w="1382" w:type="dxa"/>
            <w:vAlign w:val="center"/>
          </w:tcPr>
          <w:p w:rsidR="00E7063E" w:rsidRDefault="00780105" w:rsidP="00E7063E">
            <w:pPr>
              <w:pStyle w:val="tabulka"/>
              <w:jc w:val="left"/>
            </w:pPr>
            <w:r>
              <w:t>Projekt CDZ II</w:t>
            </w:r>
          </w:p>
        </w:tc>
        <w:tc>
          <w:tcPr>
            <w:tcW w:w="1318" w:type="dxa"/>
            <w:vAlign w:val="center"/>
          </w:tcPr>
          <w:p w:rsidR="00E7063E" w:rsidRDefault="00780105" w:rsidP="00EA718D">
            <w:pPr>
              <w:pStyle w:val="tabulka"/>
              <w:ind w:right="285"/>
            </w:pPr>
            <w:r>
              <w:t>16</w:t>
            </w:r>
          </w:p>
        </w:tc>
        <w:tc>
          <w:tcPr>
            <w:tcW w:w="2020" w:type="dxa"/>
            <w:vAlign w:val="center"/>
          </w:tcPr>
          <w:p w:rsidR="00E7063E" w:rsidRDefault="00780105" w:rsidP="00EA718D">
            <w:pPr>
              <w:pStyle w:val="tabulka"/>
              <w:ind w:right="652"/>
            </w:pPr>
            <w:r>
              <w:t>32</w:t>
            </w:r>
          </w:p>
        </w:tc>
        <w:tc>
          <w:tcPr>
            <w:tcW w:w="950" w:type="dxa"/>
            <w:vAlign w:val="center"/>
          </w:tcPr>
          <w:p w:rsidR="00E7063E" w:rsidRDefault="00780105" w:rsidP="00EA718D">
            <w:pPr>
              <w:pStyle w:val="tabulka"/>
              <w:ind w:right="285"/>
            </w:pPr>
            <w:r>
              <w:t>21</w:t>
            </w:r>
          </w:p>
        </w:tc>
        <w:tc>
          <w:tcPr>
            <w:tcW w:w="1838" w:type="dxa"/>
            <w:vAlign w:val="center"/>
          </w:tcPr>
          <w:p w:rsidR="00E7063E" w:rsidRDefault="00780105" w:rsidP="00EA718D">
            <w:pPr>
              <w:pStyle w:val="tabulka"/>
              <w:ind w:right="113"/>
            </w:pPr>
            <w:r w:rsidRPr="00E7063E">
              <w:t>224</w:t>
            </w:r>
            <w:r w:rsidR="00984DF6">
              <w:t>,</w:t>
            </w:r>
            <w:r w:rsidRPr="00E7063E">
              <w:t>94</w:t>
            </w:r>
          </w:p>
        </w:tc>
        <w:tc>
          <w:tcPr>
            <w:tcW w:w="1557" w:type="dxa"/>
            <w:vAlign w:val="center"/>
          </w:tcPr>
          <w:p w:rsidR="00E7063E" w:rsidRPr="00DB12B1" w:rsidRDefault="00780105" w:rsidP="00EA718D">
            <w:pPr>
              <w:pStyle w:val="tabulka"/>
              <w:ind w:right="113"/>
            </w:pPr>
            <w:r w:rsidRPr="00DB12B1">
              <w:t>224</w:t>
            </w:r>
            <w:r w:rsidR="00984DF6">
              <w:t>,</w:t>
            </w:r>
            <w:r w:rsidRPr="00DB12B1">
              <w:t>6</w:t>
            </w:r>
            <w:r w:rsidR="00984DF6">
              <w:t>8</w:t>
            </w:r>
          </w:p>
        </w:tc>
      </w:tr>
      <w:tr w:rsidR="000179EC" w:rsidTr="00E7063E">
        <w:tc>
          <w:tcPr>
            <w:tcW w:w="1382" w:type="dxa"/>
            <w:vAlign w:val="center"/>
          </w:tcPr>
          <w:p w:rsidR="00E7063E" w:rsidRDefault="00780105" w:rsidP="00E7063E">
            <w:pPr>
              <w:pStyle w:val="tabulka"/>
              <w:jc w:val="left"/>
            </w:pPr>
            <w:r>
              <w:t>Projekt CDZ III</w:t>
            </w:r>
          </w:p>
        </w:tc>
        <w:tc>
          <w:tcPr>
            <w:tcW w:w="1318" w:type="dxa"/>
            <w:vAlign w:val="center"/>
          </w:tcPr>
          <w:p w:rsidR="00E7063E" w:rsidRDefault="00780105" w:rsidP="00EA718D">
            <w:pPr>
              <w:pStyle w:val="tabulka"/>
              <w:ind w:right="285"/>
            </w:pPr>
            <w:r>
              <w:t>8</w:t>
            </w:r>
          </w:p>
        </w:tc>
        <w:tc>
          <w:tcPr>
            <w:tcW w:w="2020" w:type="dxa"/>
            <w:vAlign w:val="center"/>
          </w:tcPr>
          <w:p w:rsidR="00E7063E" w:rsidRDefault="00780105" w:rsidP="00EA718D">
            <w:pPr>
              <w:pStyle w:val="tabulka"/>
              <w:ind w:right="652"/>
            </w:pPr>
            <w:r>
              <w:t>16</w:t>
            </w:r>
          </w:p>
        </w:tc>
        <w:tc>
          <w:tcPr>
            <w:tcW w:w="950" w:type="dxa"/>
            <w:vAlign w:val="center"/>
          </w:tcPr>
          <w:p w:rsidR="00E7063E" w:rsidRDefault="00780105" w:rsidP="00EA718D">
            <w:pPr>
              <w:pStyle w:val="tabulka"/>
              <w:ind w:right="285"/>
            </w:pPr>
            <w:r>
              <w:t>13</w:t>
            </w:r>
          </w:p>
        </w:tc>
        <w:tc>
          <w:tcPr>
            <w:tcW w:w="1838" w:type="dxa"/>
            <w:vAlign w:val="center"/>
          </w:tcPr>
          <w:p w:rsidR="00E7063E" w:rsidRDefault="00780105" w:rsidP="00EA718D">
            <w:pPr>
              <w:pStyle w:val="tabulka"/>
              <w:ind w:right="113"/>
            </w:pPr>
            <w:r w:rsidRPr="00E7063E">
              <w:t>113</w:t>
            </w:r>
            <w:r w:rsidR="00984DF6">
              <w:t>,</w:t>
            </w:r>
            <w:r w:rsidRPr="00E7063E">
              <w:t>6</w:t>
            </w:r>
            <w:r w:rsidR="00984DF6">
              <w:t>2</w:t>
            </w:r>
          </w:p>
        </w:tc>
        <w:tc>
          <w:tcPr>
            <w:tcW w:w="1557" w:type="dxa"/>
            <w:vAlign w:val="center"/>
          </w:tcPr>
          <w:p w:rsidR="00E7063E" w:rsidRPr="00DB12B1" w:rsidRDefault="00780105" w:rsidP="00EA718D">
            <w:pPr>
              <w:pStyle w:val="tabulka"/>
              <w:ind w:right="113"/>
            </w:pPr>
            <w:r w:rsidRPr="00DB12B1">
              <w:t>113</w:t>
            </w:r>
            <w:r w:rsidR="00984DF6">
              <w:t>,</w:t>
            </w:r>
            <w:r w:rsidRPr="00DB12B1">
              <w:t>60</w:t>
            </w:r>
          </w:p>
        </w:tc>
      </w:tr>
      <w:tr w:rsidR="0058670B" w:rsidTr="00E7063E">
        <w:tc>
          <w:tcPr>
            <w:tcW w:w="1382" w:type="dxa"/>
            <w:vAlign w:val="center"/>
          </w:tcPr>
          <w:p w:rsidR="0058670B" w:rsidRDefault="0058670B" w:rsidP="00E7063E">
            <w:pPr>
              <w:pStyle w:val="tabulka"/>
              <w:jc w:val="left"/>
            </w:pPr>
            <w:r>
              <w:t>Celkem</w:t>
            </w:r>
          </w:p>
        </w:tc>
        <w:tc>
          <w:tcPr>
            <w:tcW w:w="1318" w:type="dxa"/>
            <w:vAlign w:val="center"/>
          </w:tcPr>
          <w:p w:rsidR="0058670B" w:rsidRDefault="0058670B" w:rsidP="00EA718D">
            <w:pPr>
              <w:pStyle w:val="tabulka"/>
              <w:ind w:right="285"/>
            </w:pPr>
            <w:r>
              <w:t>29</w:t>
            </w:r>
          </w:p>
        </w:tc>
        <w:tc>
          <w:tcPr>
            <w:tcW w:w="2020" w:type="dxa"/>
            <w:vAlign w:val="center"/>
          </w:tcPr>
          <w:p w:rsidR="0058670B" w:rsidRDefault="0058670B" w:rsidP="00EA718D">
            <w:pPr>
              <w:pStyle w:val="tabulka"/>
              <w:ind w:right="652"/>
            </w:pPr>
            <w:r>
              <w:t>58</w:t>
            </w:r>
          </w:p>
        </w:tc>
        <w:tc>
          <w:tcPr>
            <w:tcW w:w="950" w:type="dxa"/>
            <w:vAlign w:val="center"/>
          </w:tcPr>
          <w:p w:rsidR="0058670B" w:rsidRDefault="0058670B" w:rsidP="00EA718D">
            <w:pPr>
              <w:pStyle w:val="tabulka"/>
              <w:ind w:right="285"/>
            </w:pPr>
            <w:r>
              <w:t>43</w:t>
            </w:r>
          </w:p>
        </w:tc>
        <w:tc>
          <w:tcPr>
            <w:tcW w:w="1838" w:type="dxa"/>
            <w:vAlign w:val="center"/>
          </w:tcPr>
          <w:p w:rsidR="0058670B" w:rsidRPr="00E7063E" w:rsidRDefault="0058670B" w:rsidP="00EA718D">
            <w:pPr>
              <w:pStyle w:val="tabulka"/>
              <w:ind w:right="113"/>
            </w:pPr>
            <w:r w:rsidRPr="0058670B">
              <w:t>407</w:t>
            </w:r>
            <w:r w:rsidR="00984DF6">
              <w:t>,</w:t>
            </w:r>
            <w:r w:rsidRPr="0058670B">
              <w:t>7</w:t>
            </w:r>
            <w:r w:rsidR="00984DF6">
              <w:t>3</w:t>
            </w:r>
          </w:p>
        </w:tc>
        <w:tc>
          <w:tcPr>
            <w:tcW w:w="1557" w:type="dxa"/>
            <w:vAlign w:val="center"/>
          </w:tcPr>
          <w:p w:rsidR="0058670B" w:rsidRPr="00DB12B1" w:rsidRDefault="0058670B" w:rsidP="00EA718D">
            <w:pPr>
              <w:pStyle w:val="tabulka"/>
              <w:ind w:right="113"/>
            </w:pPr>
            <w:r w:rsidRPr="0058670B">
              <w:t>406</w:t>
            </w:r>
            <w:r w:rsidR="00984DF6">
              <w:t>,</w:t>
            </w:r>
            <w:r w:rsidRPr="0058670B">
              <w:t>70</w:t>
            </w:r>
          </w:p>
        </w:tc>
      </w:tr>
    </w:tbl>
    <w:p w:rsidR="00DB12B1" w:rsidRDefault="00780105" w:rsidP="000C1F0C">
      <w:pPr>
        <w:pStyle w:val="Poznmka"/>
      </w:pPr>
      <w:r w:rsidRPr="002F3937">
        <w:rPr>
          <w:b/>
        </w:rPr>
        <w:t>Zdroj:</w:t>
      </w:r>
      <w:r w:rsidR="00F93832">
        <w:rPr>
          <w:b/>
        </w:rPr>
        <w:t xml:space="preserve"> </w:t>
      </w:r>
      <w:r w:rsidR="00EA718D">
        <w:t>d</w:t>
      </w:r>
      <w:r>
        <w:t>okumentace projektů.</w:t>
      </w:r>
    </w:p>
    <w:p w:rsidR="00F90F5F" w:rsidRDefault="00780105" w:rsidP="00D340F5">
      <w:pPr>
        <w:spacing w:before="240"/>
      </w:pPr>
      <w:r>
        <w:t xml:space="preserve">2.7 </w:t>
      </w:r>
      <w:r w:rsidR="003A1085">
        <w:t xml:space="preserve">Počet klientů CDZ od </w:t>
      </w:r>
      <w:r>
        <w:t xml:space="preserve">počátku </w:t>
      </w:r>
      <w:r w:rsidR="003A1085">
        <w:t xml:space="preserve">jejich </w:t>
      </w:r>
      <w:r w:rsidR="0083332D">
        <w:t>vytvoření</w:t>
      </w:r>
      <w:r w:rsidR="003A1085">
        <w:t xml:space="preserve"> stoupá</w:t>
      </w:r>
      <w:r w:rsidR="00452295">
        <w:t xml:space="preserve"> a</w:t>
      </w:r>
      <w:r w:rsidR="003A1085">
        <w:t xml:space="preserve"> </w:t>
      </w:r>
      <w:r>
        <w:t>počet dlouhodobě hospitalizovaných psychiatrických pacientů</w:t>
      </w:r>
      <w:r w:rsidR="005F43B3">
        <w:t xml:space="preserve"> </w:t>
      </w:r>
      <w:r w:rsidR="00D42A75">
        <w:t>má</w:t>
      </w:r>
      <w:r w:rsidR="005F43B3">
        <w:t xml:space="preserve"> převážně klesající</w:t>
      </w:r>
      <w:r w:rsidR="00D42A75">
        <w:t xml:space="preserve"> trend</w:t>
      </w:r>
      <w:r>
        <w:t>. Důraz je kladen</w:t>
      </w:r>
      <w:r w:rsidR="000212A3">
        <w:br/>
      </w:r>
      <w:r>
        <w:t>na ambulantní a komunitní péči.</w:t>
      </w:r>
    </w:p>
    <w:p w:rsidR="003A1085" w:rsidRDefault="00780105" w:rsidP="00CF0A24">
      <w:pPr>
        <w:pStyle w:val="Nzevtabulky"/>
        <w:spacing w:before="120" w:after="40"/>
      </w:pPr>
      <w:r>
        <w:t>Vybrané ukazatele péče o psychiatrické pacienty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400"/>
        <w:gridCol w:w="1133"/>
        <w:gridCol w:w="1133"/>
        <w:gridCol w:w="1133"/>
        <w:gridCol w:w="1133"/>
        <w:gridCol w:w="1133"/>
      </w:tblGrid>
      <w:tr w:rsidR="000179EC" w:rsidTr="00EA718D">
        <w:tc>
          <w:tcPr>
            <w:tcW w:w="1875" w:type="pct"/>
            <w:shd w:val="clear" w:color="auto" w:fill="E6E6E6"/>
            <w:vAlign w:val="center"/>
          </w:tcPr>
          <w:p w:rsidR="00F90F5F" w:rsidRPr="004373E9" w:rsidRDefault="00F90F5F" w:rsidP="004373E9">
            <w:pPr>
              <w:pStyle w:val="tabulka"/>
              <w:jc w:val="center"/>
              <w:rPr>
                <w:b/>
              </w:rPr>
            </w:pPr>
          </w:p>
        </w:tc>
        <w:tc>
          <w:tcPr>
            <w:tcW w:w="625" w:type="pct"/>
            <w:shd w:val="clear" w:color="auto" w:fill="E6E6E6"/>
            <w:vAlign w:val="center"/>
          </w:tcPr>
          <w:p w:rsidR="00F90F5F" w:rsidRPr="004373E9" w:rsidRDefault="00780105" w:rsidP="004373E9">
            <w:pPr>
              <w:pStyle w:val="tabulka"/>
              <w:jc w:val="center"/>
              <w:rPr>
                <w:b/>
              </w:rPr>
            </w:pPr>
            <w:r w:rsidRPr="004373E9">
              <w:rPr>
                <w:b/>
              </w:rPr>
              <w:t>2018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F90F5F" w:rsidRPr="004373E9" w:rsidRDefault="00780105" w:rsidP="004373E9">
            <w:pPr>
              <w:pStyle w:val="tabulka"/>
              <w:jc w:val="center"/>
              <w:rPr>
                <w:b/>
              </w:rPr>
            </w:pPr>
            <w:r w:rsidRPr="004373E9">
              <w:rPr>
                <w:b/>
              </w:rPr>
              <w:t>2019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F90F5F" w:rsidRPr="004373E9" w:rsidRDefault="00780105" w:rsidP="004373E9">
            <w:pPr>
              <w:pStyle w:val="tabulka"/>
              <w:jc w:val="center"/>
              <w:rPr>
                <w:b/>
              </w:rPr>
            </w:pPr>
            <w:r w:rsidRPr="004373E9">
              <w:rPr>
                <w:b/>
              </w:rPr>
              <w:t>2020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F90F5F" w:rsidRPr="004373E9" w:rsidRDefault="00780105" w:rsidP="004373E9">
            <w:pPr>
              <w:pStyle w:val="tabulka"/>
              <w:jc w:val="center"/>
              <w:rPr>
                <w:b/>
              </w:rPr>
            </w:pPr>
            <w:r w:rsidRPr="004373E9">
              <w:rPr>
                <w:b/>
              </w:rPr>
              <w:t>2021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F90F5F" w:rsidRPr="004373E9" w:rsidRDefault="00780105" w:rsidP="004373E9">
            <w:pPr>
              <w:pStyle w:val="tabulka"/>
              <w:jc w:val="center"/>
              <w:rPr>
                <w:b/>
              </w:rPr>
            </w:pPr>
            <w:r w:rsidRPr="004373E9">
              <w:rPr>
                <w:b/>
              </w:rPr>
              <w:t>2022</w:t>
            </w:r>
          </w:p>
        </w:tc>
      </w:tr>
      <w:tr w:rsidR="000179EC" w:rsidTr="00EA718D">
        <w:tc>
          <w:tcPr>
            <w:tcW w:w="1875" w:type="pct"/>
            <w:vAlign w:val="center"/>
          </w:tcPr>
          <w:p w:rsidR="00F90F5F" w:rsidRDefault="00780105" w:rsidP="004373E9">
            <w:pPr>
              <w:pStyle w:val="tabulka"/>
              <w:jc w:val="left"/>
            </w:pPr>
            <w:r w:rsidRPr="00F90F5F">
              <w:t>Počet unikátních klientů CDZ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302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1 553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3 485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5 762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6 257</w:t>
            </w:r>
          </w:p>
        </w:tc>
      </w:tr>
      <w:tr w:rsidR="000179EC" w:rsidTr="00EA718D">
        <w:tc>
          <w:tcPr>
            <w:tcW w:w="1875" w:type="pct"/>
            <w:vAlign w:val="center"/>
          </w:tcPr>
          <w:p w:rsidR="00F90F5F" w:rsidRDefault="00780105" w:rsidP="004373E9">
            <w:pPr>
              <w:pStyle w:val="tabulka"/>
              <w:jc w:val="left"/>
            </w:pPr>
            <w:r>
              <w:t>P</w:t>
            </w:r>
            <w:r w:rsidRPr="00F90F5F">
              <w:t>očet dlouhodobě hospitalizovaných psychiatrických pacientů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30 294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29 679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24 288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25 975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25 318</w:t>
            </w:r>
          </w:p>
        </w:tc>
      </w:tr>
      <w:tr w:rsidR="000179EC" w:rsidTr="00EA718D">
        <w:tc>
          <w:tcPr>
            <w:tcW w:w="1875" w:type="pct"/>
            <w:vAlign w:val="center"/>
          </w:tcPr>
          <w:p w:rsidR="00F90F5F" w:rsidRDefault="00780105" w:rsidP="004373E9">
            <w:pPr>
              <w:pStyle w:val="tabulka"/>
              <w:jc w:val="left"/>
            </w:pPr>
            <w:r>
              <w:t>Dlouhodobá lůžková péče – počet ošetřovacích dní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2 658 212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2 652 502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2 574 627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2 768 430</w:t>
            </w:r>
          </w:p>
        </w:tc>
        <w:tc>
          <w:tcPr>
            <w:tcW w:w="625" w:type="pct"/>
            <w:vAlign w:val="center"/>
          </w:tcPr>
          <w:p w:rsidR="00F90F5F" w:rsidRDefault="00780105" w:rsidP="00EA718D">
            <w:pPr>
              <w:pStyle w:val="tabulka"/>
              <w:ind w:right="113"/>
            </w:pPr>
            <w:r>
              <w:t>2 417 366</w:t>
            </w:r>
          </w:p>
        </w:tc>
      </w:tr>
    </w:tbl>
    <w:p w:rsidR="004373E9" w:rsidRDefault="00780105" w:rsidP="000C1F0C">
      <w:pPr>
        <w:pStyle w:val="Poznmka"/>
      </w:pPr>
      <w:r w:rsidRPr="002F3937">
        <w:rPr>
          <w:b/>
        </w:rPr>
        <w:t>Zdroj:</w:t>
      </w:r>
      <w:r w:rsidR="00F93832">
        <w:t xml:space="preserve"> </w:t>
      </w:r>
      <w:r w:rsidR="007C7C5A">
        <w:t xml:space="preserve">ÚZIS, </w:t>
      </w:r>
      <w:r w:rsidRPr="000C1F0C">
        <w:t>Psychiatrická ročenka 2022</w:t>
      </w:r>
      <w:r>
        <w:t>.</w:t>
      </w:r>
    </w:p>
    <w:p w:rsidR="007C2CF7" w:rsidRDefault="00780105" w:rsidP="00D340F5">
      <w:pPr>
        <w:spacing w:before="240"/>
      </w:pPr>
      <w:r>
        <w:t>2.</w:t>
      </w:r>
      <w:r w:rsidR="0067698F">
        <w:t>8</w:t>
      </w:r>
      <w:r>
        <w:t xml:space="preserve"> </w:t>
      </w:r>
      <w:r w:rsidR="004373E9">
        <w:t xml:space="preserve">Počet osob s duševním onemocněním v posledních letech </w:t>
      </w:r>
      <w:r w:rsidR="003E0F37">
        <w:t xml:space="preserve">v české populaci </w:t>
      </w:r>
      <w:r w:rsidR="004373E9">
        <w:t>narůstá.</w:t>
      </w:r>
      <w:r w:rsidR="00D518F2">
        <w:t xml:space="preserve"> Od</w:t>
      </w:r>
      <w:r w:rsidR="00116A5C">
        <w:t> </w:t>
      </w:r>
      <w:r w:rsidR="00D518F2">
        <w:t>roku 201</w:t>
      </w:r>
      <w:r w:rsidR="00A07512">
        <w:t>2</w:t>
      </w:r>
      <w:r w:rsidR="00D518F2">
        <w:t xml:space="preserve"> do roku 2021 jejich počet vzrost</w:t>
      </w:r>
      <w:r w:rsidR="002A67C6">
        <w:t>l</w:t>
      </w:r>
      <w:r w:rsidR="00D518F2">
        <w:t xml:space="preserve"> téměř o 1</w:t>
      </w:r>
      <w:r w:rsidR="00B72651">
        <w:t>6</w:t>
      </w:r>
      <w:r w:rsidR="00D518F2">
        <w:t xml:space="preserve"> %. </w:t>
      </w:r>
      <w:r w:rsidR="00AA620C">
        <w:t>Na úhradu psychiatrick</w:t>
      </w:r>
      <w:r w:rsidR="00D518F2">
        <w:t>é</w:t>
      </w:r>
      <w:r w:rsidR="00AA620C">
        <w:t xml:space="preserve"> péč</w:t>
      </w:r>
      <w:r w:rsidR="00D518F2">
        <w:t>e</w:t>
      </w:r>
      <w:r w:rsidR="00AA620C">
        <w:t xml:space="preserve"> v souladu se stanovenými cíli směřuje více prostředků z veřejného zdravotního pojištění.</w:t>
      </w:r>
      <w:r w:rsidR="000212A3">
        <w:br/>
      </w:r>
      <w:r>
        <w:t>ČR se však dlouhodobě potýká s personální krizí ve zdravotnictví způsobenou nedostatkem příslušných specialistů. Nedostatečná kapacita služeb nejen psychiatrické péče, ale také psychologické či psychoterapeutické je stabilním nárůstem pacientů v této oblasti</w:t>
      </w:r>
      <w:r w:rsidR="008B0CD3">
        <w:t xml:space="preserve"> umocňována</w:t>
      </w:r>
      <w:r>
        <w:t>.</w:t>
      </w:r>
      <w:r w:rsidR="00B72651">
        <w:t xml:space="preserve"> </w:t>
      </w:r>
      <w:r w:rsidR="00B72651" w:rsidRPr="00B72651">
        <w:t xml:space="preserve">V ČR je </w:t>
      </w:r>
      <w:r w:rsidR="00B72651">
        <w:t>obecně</w:t>
      </w:r>
      <w:r w:rsidR="00B72651" w:rsidRPr="00B72651">
        <w:t xml:space="preserve"> nižší počet</w:t>
      </w:r>
      <w:r w:rsidR="00B72651">
        <w:t xml:space="preserve"> </w:t>
      </w:r>
      <w:r w:rsidR="00B72651" w:rsidRPr="00B72651">
        <w:t>specialistů</w:t>
      </w:r>
      <w:r w:rsidR="00B72651">
        <w:t xml:space="preserve"> </w:t>
      </w:r>
      <w:r w:rsidR="00B72651" w:rsidRPr="00B72651">
        <w:t>v této oblasti</w:t>
      </w:r>
      <w:r w:rsidR="00B72651">
        <w:t xml:space="preserve"> (např. psychiatrů)</w:t>
      </w:r>
      <w:r w:rsidR="00B72651" w:rsidRPr="00B72651">
        <w:t xml:space="preserve"> </w:t>
      </w:r>
      <w:r w:rsidR="00B72651">
        <w:t>vzhledem k počtu obyvatel</w:t>
      </w:r>
      <w:r w:rsidR="00B72651" w:rsidRPr="00B72651">
        <w:t>, než</w:t>
      </w:r>
      <w:r w:rsidR="00B72651">
        <w:t xml:space="preserve"> je tomu</w:t>
      </w:r>
      <w:r w:rsidR="00B72651" w:rsidRPr="00B72651">
        <w:t xml:space="preserve"> v řadě jiných států EU</w:t>
      </w:r>
      <w:r w:rsidR="00B72651">
        <w:t>.</w:t>
      </w:r>
    </w:p>
    <w:p w:rsidR="00A53733" w:rsidRDefault="00780105" w:rsidP="00CF0A24">
      <w:pPr>
        <w:pStyle w:val="Graf"/>
        <w:ind w:left="993" w:hanging="993"/>
      </w:pPr>
      <w:r>
        <w:t>Počet</w:t>
      </w:r>
      <w:r w:rsidR="00C77BDF">
        <w:t xml:space="preserve"> osob s </w:t>
      </w:r>
      <w:r>
        <w:t>duševn</w:t>
      </w:r>
      <w:r w:rsidR="00C77BDF">
        <w:t>ím</w:t>
      </w:r>
      <w:r>
        <w:t xml:space="preserve"> </w:t>
      </w:r>
      <w:r w:rsidR="00C77BDF">
        <w:t>o</w:t>
      </w:r>
      <w:r>
        <w:t>nemocn</w:t>
      </w:r>
      <w:r w:rsidR="00C77BDF">
        <w:t>ěním</w:t>
      </w:r>
      <w:r>
        <w:t xml:space="preserve"> v ČR</w:t>
      </w:r>
    </w:p>
    <w:p w:rsidR="00A53733" w:rsidRDefault="00780105" w:rsidP="00C4713C">
      <w:pPr>
        <w:keepNext/>
        <w:spacing w:after="0"/>
      </w:pPr>
      <w:r>
        <w:rPr>
          <w:noProof/>
        </w:rPr>
        <w:drawing>
          <wp:inline distT="0" distB="0" distL="0" distR="0">
            <wp:extent cx="6038215" cy="2428875"/>
            <wp:effectExtent l="0" t="0" r="635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E152E" w:rsidRDefault="00780105" w:rsidP="000C1F0C">
      <w:pPr>
        <w:pStyle w:val="Poznmka"/>
      </w:pPr>
      <w:r w:rsidRPr="00A53733">
        <w:rPr>
          <w:b/>
        </w:rPr>
        <w:t>Zdroj:</w:t>
      </w:r>
      <w:r w:rsidR="00F93832">
        <w:t xml:space="preserve"> </w:t>
      </w:r>
      <w:r w:rsidRPr="00A53733">
        <w:t>Národní zdravotnick</w:t>
      </w:r>
      <w:r>
        <w:t>ý</w:t>
      </w:r>
      <w:r w:rsidRPr="00A53733">
        <w:t xml:space="preserve"> informační portál</w:t>
      </w:r>
      <w:r>
        <w:t xml:space="preserve"> </w:t>
      </w:r>
      <w:r w:rsidR="00C4713C">
        <w:t>–</w:t>
      </w:r>
      <w:r>
        <w:t xml:space="preserve"> </w:t>
      </w:r>
      <w:proofErr w:type="spellStart"/>
      <w:r w:rsidR="00EA718D">
        <w:t>i</w:t>
      </w:r>
      <w:r>
        <w:t>nfografika</w:t>
      </w:r>
      <w:proofErr w:type="spellEnd"/>
      <w:r>
        <w:t xml:space="preserve"> </w:t>
      </w:r>
      <w:r w:rsidRPr="00C20575">
        <w:rPr>
          <w:i/>
        </w:rPr>
        <w:t>Duševní onemocnění v Česku</w:t>
      </w:r>
      <w:r w:rsidR="000C1F0C">
        <w:t>.</w:t>
      </w:r>
    </w:p>
    <w:p w:rsidR="009E152E" w:rsidRPr="00AA620C" w:rsidRDefault="00780105" w:rsidP="00CF0A24">
      <w:pPr>
        <w:pStyle w:val="Nzevtabulky"/>
        <w:tabs>
          <w:tab w:val="right" w:pos="9072"/>
        </w:tabs>
        <w:spacing w:before="120" w:after="40"/>
      </w:pPr>
      <w:r w:rsidRPr="00AA620C">
        <w:t>Vývoj nákladů</w:t>
      </w:r>
      <w:r>
        <w:t xml:space="preserve"> zdravotních pojišťoven na oblast psychiatrické péče v letech 2019 až 2022</w:t>
      </w:r>
      <w:r>
        <w:tab/>
        <w:t>(mil. Kč)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3"/>
        <w:gridCol w:w="1133"/>
        <w:gridCol w:w="1133"/>
        <w:gridCol w:w="1133"/>
        <w:gridCol w:w="1133"/>
      </w:tblGrid>
      <w:tr w:rsidR="000179EC" w:rsidTr="000C1F0C">
        <w:tc>
          <w:tcPr>
            <w:tcW w:w="2500" w:type="pct"/>
            <w:shd w:val="clear" w:color="auto" w:fill="E6E6E6"/>
            <w:vAlign w:val="center"/>
          </w:tcPr>
          <w:p w:rsidR="009E152E" w:rsidRPr="00AA620C" w:rsidRDefault="009E152E" w:rsidP="009E152E">
            <w:pPr>
              <w:pStyle w:val="tabulka"/>
              <w:jc w:val="left"/>
            </w:pPr>
          </w:p>
        </w:tc>
        <w:tc>
          <w:tcPr>
            <w:tcW w:w="625" w:type="pct"/>
            <w:shd w:val="clear" w:color="auto" w:fill="E6E6E6"/>
            <w:vAlign w:val="center"/>
          </w:tcPr>
          <w:p w:rsidR="009E152E" w:rsidRPr="00AA620C" w:rsidRDefault="00780105" w:rsidP="009E152E">
            <w:pPr>
              <w:pStyle w:val="tabulka"/>
              <w:jc w:val="center"/>
              <w:rPr>
                <w:b/>
              </w:rPr>
            </w:pPr>
            <w:r w:rsidRPr="00AA620C">
              <w:rPr>
                <w:b/>
              </w:rPr>
              <w:t>2019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9E152E" w:rsidRPr="00AA620C" w:rsidRDefault="00780105" w:rsidP="009E152E">
            <w:pPr>
              <w:pStyle w:val="tabulka"/>
              <w:jc w:val="center"/>
              <w:rPr>
                <w:b/>
              </w:rPr>
            </w:pPr>
            <w:r w:rsidRPr="00AA620C">
              <w:rPr>
                <w:b/>
              </w:rPr>
              <w:t>2020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9E152E" w:rsidRPr="00AA620C" w:rsidRDefault="00780105" w:rsidP="009E152E">
            <w:pPr>
              <w:pStyle w:val="tabulka"/>
              <w:jc w:val="center"/>
              <w:rPr>
                <w:b/>
              </w:rPr>
            </w:pPr>
            <w:r w:rsidRPr="00AA620C">
              <w:rPr>
                <w:b/>
              </w:rPr>
              <w:t>2021</w:t>
            </w:r>
          </w:p>
        </w:tc>
        <w:tc>
          <w:tcPr>
            <w:tcW w:w="625" w:type="pct"/>
            <w:shd w:val="clear" w:color="auto" w:fill="E6E6E6"/>
            <w:vAlign w:val="center"/>
          </w:tcPr>
          <w:p w:rsidR="009E152E" w:rsidRPr="00AA620C" w:rsidRDefault="00780105" w:rsidP="009E152E">
            <w:pPr>
              <w:pStyle w:val="tabulka"/>
              <w:jc w:val="center"/>
              <w:rPr>
                <w:b/>
              </w:rPr>
            </w:pPr>
            <w:r w:rsidRPr="00AA620C">
              <w:rPr>
                <w:b/>
              </w:rPr>
              <w:t>2022</w:t>
            </w:r>
          </w:p>
        </w:tc>
      </w:tr>
      <w:tr w:rsidR="000179EC" w:rsidTr="000C1F0C">
        <w:tc>
          <w:tcPr>
            <w:tcW w:w="2500" w:type="pct"/>
            <w:vAlign w:val="center"/>
          </w:tcPr>
          <w:p w:rsidR="009E152E" w:rsidRPr="00AA620C" w:rsidRDefault="00780105" w:rsidP="009E152E">
            <w:pPr>
              <w:pStyle w:val="tabulka"/>
              <w:jc w:val="left"/>
            </w:pPr>
            <w:r>
              <w:t>Náklady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10 990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12 136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13 394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14 924</w:t>
            </w:r>
          </w:p>
        </w:tc>
      </w:tr>
      <w:tr w:rsidR="000179EC" w:rsidTr="000C1F0C">
        <w:tc>
          <w:tcPr>
            <w:tcW w:w="2500" w:type="pct"/>
            <w:vAlign w:val="center"/>
          </w:tcPr>
          <w:p w:rsidR="009E152E" w:rsidRPr="00AA620C" w:rsidRDefault="00780105" w:rsidP="009E152E">
            <w:pPr>
              <w:pStyle w:val="tabulka"/>
              <w:jc w:val="left"/>
            </w:pPr>
            <w:r>
              <w:t>Náklady očištěné o vliv valorizace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-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11 370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12 449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13 693</w:t>
            </w:r>
          </w:p>
        </w:tc>
      </w:tr>
      <w:tr w:rsidR="000179EC" w:rsidTr="000C1F0C">
        <w:tc>
          <w:tcPr>
            <w:tcW w:w="2500" w:type="pct"/>
            <w:vAlign w:val="center"/>
          </w:tcPr>
          <w:p w:rsidR="009E152E" w:rsidRPr="00AA620C" w:rsidRDefault="00780105" w:rsidP="009E152E">
            <w:pPr>
              <w:pStyle w:val="tabulka"/>
              <w:jc w:val="left"/>
            </w:pPr>
            <w:r>
              <w:t>Meziroční nárůst očištěný o vliv valorizace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-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380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314</w:t>
            </w:r>
          </w:p>
        </w:tc>
        <w:tc>
          <w:tcPr>
            <w:tcW w:w="625" w:type="pct"/>
            <w:vAlign w:val="center"/>
          </w:tcPr>
          <w:p w:rsidR="009E152E" w:rsidRPr="00AA620C" w:rsidRDefault="00780105" w:rsidP="000C1F0C">
            <w:pPr>
              <w:pStyle w:val="tabulka"/>
              <w:ind w:right="113"/>
            </w:pPr>
            <w:r>
              <w:t>299</w:t>
            </w:r>
          </w:p>
        </w:tc>
      </w:tr>
    </w:tbl>
    <w:p w:rsidR="009E152E" w:rsidRDefault="00780105" w:rsidP="000C1F0C">
      <w:pPr>
        <w:pStyle w:val="Poznmka"/>
      </w:pPr>
      <w:r w:rsidRPr="002F3937">
        <w:rPr>
          <w:b/>
        </w:rPr>
        <w:t>Zdroj:</w:t>
      </w:r>
      <w:r w:rsidR="00F93832">
        <w:t xml:space="preserve"> </w:t>
      </w:r>
      <w:r w:rsidR="000C1F0C">
        <w:t>i</w:t>
      </w:r>
      <w:r>
        <w:t xml:space="preserve">nformace </w:t>
      </w:r>
      <w:proofErr w:type="spellStart"/>
      <w:r>
        <w:t>MZd</w:t>
      </w:r>
      <w:proofErr w:type="spellEnd"/>
      <w:r>
        <w:t>.</w:t>
      </w:r>
    </w:p>
    <w:p w:rsidR="009E152E" w:rsidRDefault="00780105" w:rsidP="000C1F0C">
      <w:pPr>
        <w:pStyle w:val="Poznmka"/>
      </w:pPr>
      <w:r>
        <w:rPr>
          <w:b/>
        </w:rPr>
        <w:t>Pozn</w:t>
      </w:r>
      <w:r w:rsidRPr="007C2CF7">
        <w:rPr>
          <w:b/>
        </w:rPr>
        <w:t>.:</w:t>
      </w:r>
      <w:r w:rsidR="00F93832">
        <w:t xml:space="preserve"> </w:t>
      </w:r>
      <w:r>
        <w:t>Jedná se o náklady na ambulantní péči u poskytovatelů ambulantních a lůžkových služeb, lůžkovou péči v nemocnicích a odborných léčebných ústavech.</w:t>
      </w:r>
    </w:p>
    <w:p w:rsidR="007C2CF7" w:rsidRPr="007C2CF7" w:rsidRDefault="00780105" w:rsidP="00D340F5">
      <w:pPr>
        <w:pStyle w:val="Graf"/>
        <w:spacing w:before="360"/>
        <w:ind w:left="992" w:hanging="992"/>
      </w:pPr>
      <w:r w:rsidRPr="007C2CF7">
        <w:t xml:space="preserve">Počet psychiatrů </w:t>
      </w:r>
      <w:r w:rsidR="008A1177" w:rsidRPr="008A1177">
        <w:t>na 100 tis</w:t>
      </w:r>
      <w:r w:rsidR="000C1F0C">
        <w:t>íc</w:t>
      </w:r>
      <w:r w:rsidR="008A1177" w:rsidRPr="008A1177">
        <w:t xml:space="preserve"> obyvatel ve vybraných zemích EU</w:t>
      </w:r>
    </w:p>
    <w:p w:rsidR="007C2CF7" w:rsidRDefault="00780105" w:rsidP="0085116C">
      <w:pPr>
        <w:pStyle w:val="Graf"/>
        <w:numPr>
          <w:ilvl w:val="0"/>
          <w:numId w:val="0"/>
        </w:numPr>
      </w:pPr>
      <w:r>
        <w:rPr>
          <w:b w:val="0"/>
          <w:noProof/>
        </w:rPr>
        <w:drawing>
          <wp:inline distT="0" distB="0" distL="0" distR="0">
            <wp:extent cx="5904412" cy="3935095"/>
            <wp:effectExtent l="0" t="0" r="1270" b="8255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D2422" w:rsidRDefault="00780105" w:rsidP="000C1F0C">
      <w:pPr>
        <w:pStyle w:val="Poznmka"/>
      </w:pPr>
      <w:r w:rsidRPr="002F3937">
        <w:rPr>
          <w:b/>
        </w:rPr>
        <w:t>Zdroj:</w:t>
      </w:r>
      <w:r w:rsidR="00F93832">
        <w:t xml:space="preserve"> </w:t>
      </w:r>
      <w:proofErr w:type="spellStart"/>
      <w:r>
        <w:t>Eurostat</w:t>
      </w:r>
      <w:proofErr w:type="spellEnd"/>
      <w:r>
        <w:t>.</w:t>
      </w:r>
    </w:p>
    <w:p w:rsidR="002D2422" w:rsidRDefault="00780105" w:rsidP="000C1F0C">
      <w:pPr>
        <w:pStyle w:val="Poznmka"/>
      </w:pPr>
      <w:r>
        <w:rPr>
          <w:b/>
        </w:rPr>
        <w:t>Pozn.</w:t>
      </w:r>
      <w:r w:rsidRPr="0085116C">
        <w:rPr>
          <w:b/>
        </w:rPr>
        <w:t>:</w:t>
      </w:r>
      <w:r w:rsidR="00F93832">
        <w:rPr>
          <w:b/>
        </w:rPr>
        <w:t xml:space="preserve"> </w:t>
      </w:r>
      <w:r w:rsidRPr="00DC209F">
        <w:t>Údaje za rok 2021. Údaje pro Dánsko, Finsko a Švédsko z</w:t>
      </w:r>
      <w:r>
        <w:t>a</w:t>
      </w:r>
      <w:r w:rsidRPr="00DC209F">
        <w:t> rok 2020</w:t>
      </w:r>
      <w:r w:rsidRPr="0085116C">
        <w:t>.</w:t>
      </w:r>
    </w:p>
    <w:p w:rsidR="006C54D7" w:rsidRDefault="00780105" w:rsidP="00CF0A24">
      <w:pPr>
        <w:pStyle w:val="Nadpis1"/>
        <w:numPr>
          <w:ilvl w:val="0"/>
          <w:numId w:val="0"/>
        </w:numPr>
        <w:spacing w:before="840"/>
        <w:ind w:left="357"/>
      </w:pPr>
      <w:r>
        <w:t xml:space="preserve">III. </w:t>
      </w:r>
      <w:r w:rsidR="00E620F7">
        <w:t>Rozsah kontroly</w:t>
      </w:r>
    </w:p>
    <w:p w:rsidR="004932AD" w:rsidRDefault="00780105" w:rsidP="00AF65FF">
      <w:r>
        <w:t xml:space="preserve">3.1 </w:t>
      </w:r>
      <w:r w:rsidR="004932AD">
        <w:t>Cílem této kontrolní akce NKÚ bylo p</w:t>
      </w:r>
      <w:r w:rsidR="004932AD" w:rsidRPr="004932AD">
        <w:t>rověřit, zda peněžní prostředky státního rozpočtu a</w:t>
      </w:r>
      <w:r w:rsidR="00520A71">
        <w:t> </w:t>
      </w:r>
      <w:r w:rsidR="004932AD" w:rsidRPr="004932AD">
        <w:t>Evropské unie určené na přesun těžiště psychiatrické péče do komunity byly vynakládány účelně a v souladu s právními předpisy</w:t>
      </w:r>
      <w:r w:rsidR="004932AD">
        <w:t>.</w:t>
      </w:r>
    </w:p>
    <w:p w:rsidR="00031F16" w:rsidRDefault="004932AD" w:rsidP="00AF65FF">
      <w:r>
        <w:t xml:space="preserve">3.2 </w:t>
      </w:r>
      <w:r w:rsidR="00CB376B">
        <w:t>NKÚ v kontrole prověřil činnosti kontrolovaných osob související s plněním části koncepce státu v oblasti péče o duševní zdraví spočívající ve vytvoření sítě CDZ, tj. základního nástroje pro přesun těžiště psychiatrické péče z institucionálního prostředí do komunity a jednoho z</w:t>
      </w:r>
      <w:r w:rsidR="00967A04">
        <w:t> </w:t>
      </w:r>
      <w:r w:rsidR="00CB376B">
        <w:t xml:space="preserve">klíčových pilířů probíhající reformy v této oblasti. </w:t>
      </w:r>
      <w:r w:rsidR="00780105">
        <w:t>Kontrola byla primárně zaměřena</w:t>
      </w:r>
      <w:r w:rsidR="000212A3">
        <w:br/>
      </w:r>
      <w:r w:rsidR="00780105">
        <w:t>na</w:t>
      </w:r>
      <w:r w:rsidR="00CF0A24">
        <w:t xml:space="preserve"> </w:t>
      </w:r>
      <w:r w:rsidR="00836E02">
        <w:t>peněžní prostředky v celkové výši 442,14 mil. Kč</w:t>
      </w:r>
      <w:r w:rsidR="00780105">
        <w:t xml:space="preserve"> vynaložené na </w:t>
      </w:r>
      <w:r w:rsidR="003B77CD">
        <w:t>P</w:t>
      </w:r>
      <w:r w:rsidR="00780105">
        <w:t>rojekty CDZ I, II a III</w:t>
      </w:r>
      <w:r w:rsidR="00836E02">
        <w:t xml:space="preserve">, </w:t>
      </w:r>
      <w:r w:rsidR="00967A04">
        <w:t>které</w:t>
      </w:r>
      <w:r w:rsidR="00CF0A24">
        <w:t xml:space="preserve"> </w:t>
      </w:r>
      <w:r w:rsidR="00836E02">
        <w:t>měl</w:t>
      </w:r>
      <w:r w:rsidR="00967A04">
        <w:t>y</w:t>
      </w:r>
      <w:r w:rsidR="00836E02">
        <w:t xml:space="preserve"> sloužit k založení a pilotnímu testování provozu CDZ jako zcela nového typu </w:t>
      </w:r>
      <w:bookmarkStart w:id="8" w:name="_Hlk172800078"/>
      <w:r w:rsidR="00471AB9" w:rsidRPr="00471AB9">
        <w:t xml:space="preserve">poskytovaných služeb klientům </w:t>
      </w:r>
      <w:bookmarkEnd w:id="8"/>
      <w:r w:rsidR="00836E02">
        <w:t xml:space="preserve">se závažným </w:t>
      </w:r>
      <w:r w:rsidR="005E0C50">
        <w:t>duševním</w:t>
      </w:r>
      <w:r w:rsidR="00836E02">
        <w:t xml:space="preserve"> onemocněním.</w:t>
      </w:r>
    </w:p>
    <w:p w:rsidR="006F069D" w:rsidRDefault="00780105" w:rsidP="006F069D">
      <w:r>
        <w:t>3.</w:t>
      </w:r>
      <w:r w:rsidR="004932AD">
        <w:t xml:space="preserve">3 </w:t>
      </w:r>
      <w:r>
        <w:t>NKÚ prověřoval, zda činnosti související s realizací výše uvedených projektů byly v souladu s</w:t>
      </w:r>
      <w:r w:rsidR="00BA59E3">
        <w:t> </w:t>
      </w:r>
      <w:r>
        <w:t xml:space="preserve">právními předpisy, podmínkami pro použití prostředků, přezkoumal jejich věcnou a formální správnost a posoudil naplnění stanovených cílů, resp. dopady jejich realizace. NKÚ se zaměřil na činnosti </w:t>
      </w:r>
      <w:r w:rsidR="00FE7F55">
        <w:t xml:space="preserve">jak </w:t>
      </w:r>
      <w:proofErr w:type="spellStart"/>
      <w:r>
        <w:t>MZ</w:t>
      </w:r>
      <w:r w:rsidR="003751B9">
        <w:t>d</w:t>
      </w:r>
      <w:proofErr w:type="spellEnd"/>
      <w:r>
        <w:t xml:space="preserve"> jakožto příjemce podpory</w:t>
      </w:r>
      <w:r w:rsidR="008A09A3">
        <w:t xml:space="preserve"> a poskytovatele dotací</w:t>
      </w:r>
      <w:r>
        <w:t>, tak MPSV jakožto řídicího orgánu zodpovědného za administraci a plnění cílů OPZ, resp. příslušné výzvy. V rámci těchto projektů bylo prostřednictvím dotací podpořeno celkem 29 CDZ. NKÚ provedl kontrolu u šesti z</w:t>
      </w:r>
      <w:r w:rsidR="005160F2">
        <w:t> </w:t>
      </w:r>
      <w:r>
        <w:t>nich</w:t>
      </w:r>
      <w:r w:rsidR="005160F2">
        <w:t>.</w:t>
      </w:r>
      <w:r>
        <w:t xml:space="preserve"> </w:t>
      </w:r>
      <w:r w:rsidR="005160F2">
        <w:t>P</w:t>
      </w:r>
      <w:r>
        <w:t>rověřil tak dvanáct dotací</w:t>
      </w:r>
      <w:r w:rsidR="0058670B">
        <w:rPr>
          <w:rStyle w:val="Znakapoznpodarou"/>
        </w:rPr>
        <w:footnoteReference w:id="14"/>
      </w:r>
      <w:r>
        <w:t xml:space="preserve"> poskytnutých devíti</w:t>
      </w:r>
      <w:r w:rsidR="006F069D">
        <w:rPr>
          <w:rStyle w:val="Znakapoznpodarou"/>
        </w:rPr>
        <w:footnoteReference w:id="15"/>
      </w:r>
      <w:r>
        <w:t xml:space="preserve"> příjemcům, poskytovatelům příslušné části služeb</w:t>
      </w:r>
      <w:r w:rsidR="00BA59E3">
        <w:t>,</w:t>
      </w:r>
      <w:r>
        <w:t xml:space="preserve"> v celkové výši </w:t>
      </w:r>
      <w:r w:rsidR="00CB376B">
        <w:t>80</w:t>
      </w:r>
      <w:r w:rsidRPr="00CB376B">
        <w:t>,</w:t>
      </w:r>
      <w:r w:rsidR="00CB376B" w:rsidRPr="00CB376B">
        <w:t>9</w:t>
      </w:r>
      <w:r w:rsidRPr="00CB376B">
        <w:t>9 mil. Kč</w:t>
      </w:r>
      <w:r>
        <w:t>, jejichž zdrojem byly tři výše uvedené projekty podpořené z</w:t>
      </w:r>
      <w:r w:rsidR="000E610E">
        <w:t> </w:t>
      </w:r>
      <w:r>
        <w:t>E</w:t>
      </w:r>
      <w:r w:rsidR="000E610E">
        <w:t>vropského sociálního fondu (dále také „ESF“</w:t>
      </w:r>
      <w:r w:rsidR="000E2506">
        <w:t>)</w:t>
      </w:r>
      <w:r>
        <w:t xml:space="preserve">. </w:t>
      </w:r>
      <w:bookmarkStart w:id="9" w:name="_Hlk171946081"/>
      <w:r w:rsidR="006F069D">
        <w:t>Vybraných šest CDZ bylo financováno z různých kontrolovaných dotační</w:t>
      </w:r>
      <w:r w:rsidR="00412E30">
        <w:t>ch</w:t>
      </w:r>
      <w:r w:rsidR="006F069D">
        <w:t xml:space="preserve"> program</w:t>
      </w:r>
      <w:r w:rsidR="00412E30">
        <w:t>ů</w:t>
      </w:r>
      <w:r w:rsidR="006F069D">
        <w:t xml:space="preserve"> </w:t>
      </w:r>
      <w:r w:rsidR="000B425F">
        <w:t>v rámci všech tří NKÚ kontrolovaných projektů</w:t>
      </w:r>
      <w:r w:rsidR="006F069D">
        <w:t xml:space="preserve">. </w:t>
      </w:r>
      <w:r w:rsidR="00412E30">
        <w:t>Kontrolovaná CDZ vznikla</w:t>
      </w:r>
      <w:r w:rsidR="006F069D">
        <w:t xml:space="preserve"> v šesti různých krajích ČR</w:t>
      </w:r>
      <w:r w:rsidR="00412E30">
        <w:t>.</w:t>
      </w:r>
      <w:r w:rsidR="006F069D">
        <w:t xml:space="preserve"> </w:t>
      </w:r>
      <w:r w:rsidR="00412E30">
        <w:t>NKÚ do</w:t>
      </w:r>
      <w:r w:rsidR="00520A71">
        <w:t> </w:t>
      </w:r>
      <w:r w:rsidR="00412E30">
        <w:t>vzorku zařadil jak CDZ, která mají prostřednictvím svého provozovatele přímé napojení na</w:t>
      </w:r>
      <w:r w:rsidR="00520A71">
        <w:t> </w:t>
      </w:r>
      <w:r w:rsidR="00412E30">
        <w:t>psychiatrické nemocnice, tak ta, u nichž tato vazba chybí.</w:t>
      </w:r>
      <w:bookmarkEnd w:id="9"/>
    </w:p>
    <w:p w:rsidR="00031F16" w:rsidRDefault="00780105" w:rsidP="00031F16">
      <w:r>
        <w:t>3.</w:t>
      </w:r>
      <w:r w:rsidR="004932AD">
        <w:t xml:space="preserve">4 </w:t>
      </w:r>
      <w:r>
        <w:t xml:space="preserve">Vedle uvedených projektů se NKÚ zabýval </w:t>
      </w:r>
      <w:r w:rsidR="008A09A3">
        <w:t xml:space="preserve">dalšími povinnostmi </w:t>
      </w:r>
      <w:r w:rsidR="004D6C85">
        <w:t xml:space="preserve">a spoluprací </w:t>
      </w:r>
      <w:r w:rsidR="008A09A3">
        <w:t>obou kontrolovaných</w:t>
      </w:r>
      <w:r>
        <w:t xml:space="preserve"> ministerstev v oblasti realizace jim svěřených úkolů v rámci probíhající reformy péče o duševní zdraví. V tomto kontextu bylo ze strany NKÚ na </w:t>
      </w:r>
      <w:proofErr w:type="spellStart"/>
      <w:r>
        <w:t>MZ</w:t>
      </w:r>
      <w:r w:rsidR="008A09A3">
        <w:t>d</w:t>
      </w:r>
      <w:proofErr w:type="spellEnd"/>
      <w:r>
        <w:t xml:space="preserve"> prověřováno a</w:t>
      </w:r>
      <w:r w:rsidR="008C2899">
        <w:t> </w:t>
      </w:r>
      <w:r>
        <w:t>posuzováno plnění jeho úkolů jakožto garanta této reformy.</w:t>
      </w:r>
    </w:p>
    <w:p w:rsidR="007D36BA" w:rsidRDefault="00780105" w:rsidP="00AF65FF">
      <w:r>
        <w:t>3.</w:t>
      </w:r>
      <w:r w:rsidR="004932AD">
        <w:t xml:space="preserve">5 </w:t>
      </w:r>
      <w:bookmarkStart w:id="10" w:name="_Hlk171937937"/>
      <w:r w:rsidR="00AF65FF">
        <w:t>Kritéria ke kontrole</w:t>
      </w:r>
      <w:r w:rsidR="00E96B89">
        <w:t xml:space="preserve"> použití peněžních prostředků</w:t>
      </w:r>
      <w:r w:rsidR="00AF65FF">
        <w:t xml:space="preserve"> </w:t>
      </w:r>
      <w:r w:rsidR="000B425F">
        <w:t xml:space="preserve">v rámci projektů </w:t>
      </w:r>
      <w:r w:rsidR="00AF65FF">
        <w:t xml:space="preserve">vycházela </w:t>
      </w:r>
      <w:bookmarkEnd w:id="10"/>
      <w:r w:rsidR="00AF65FF">
        <w:t>z právních předpisů, a</w:t>
      </w:r>
      <w:r w:rsidR="00520A71">
        <w:t> </w:t>
      </w:r>
      <w:r w:rsidR="00AF65FF">
        <w:t>to</w:t>
      </w:r>
      <w:r w:rsidR="00520A71">
        <w:t> </w:t>
      </w:r>
      <w:r w:rsidR="00AF65FF">
        <w:t>zejména zákona č. 218/2000 Sb.</w:t>
      </w:r>
      <w:r>
        <w:rPr>
          <w:rStyle w:val="Znakapoznpodarou"/>
        </w:rPr>
        <w:footnoteReference w:id="16"/>
      </w:r>
      <w:r w:rsidR="00AF65FF">
        <w:t>, zákona č. 134/2016 Sb.</w:t>
      </w:r>
      <w:r>
        <w:rPr>
          <w:rStyle w:val="Znakapoznpodarou"/>
        </w:rPr>
        <w:footnoteReference w:id="17"/>
      </w:r>
      <w:r w:rsidR="00AF65FF">
        <w:t>, zákona č.</w:t>
      </w:r>
      <w:r w:rsidR="00301E9A">
        <w:t> </w:t>
      </w:r>
      <w:r w:rsidR="00AF65FF">
        <w:t>320/2001 Sb. a</w:t>
      </w:r>
      <w:r w:rsidR="00E15C0B">
        <w:t> </w:t>
      </w:r>
      <w:r w:rsidR="00AF65FF">
        <w:t>souvisejících prováděcích předpisů, dále z podmínek použití podpory z OPZ, pravidel pro</w:t>
      </w:r>
      <w:r w:rsidR="00E15C0B">
        <w:t> </w:t>
      </w:r>
      <w:r w:rsidR="00AF65FF">
        <w:t>žadatele a příjemce v rámci OPZ, z metodik pro dotační řízení, resp. dotačních programů a z příslušných právních aktů, na jejichž základě byly peněžní prostředky poskytovány. Účelnost vynaložených prostředků byla posuzována ve vztahu k naplňování specifického cíle dané výzvy OPZ a</w:t>
      </w:r>
      <w:r w:rsidR="00E15C0B">
        <w:t> </w:t>
      </w:r>
      <w:r w:rsidR="00AF65FF">
        <w:t>účelu kontrolovaných projektů a programů, jímž bylo především zvýšení dostupnosti služeb v dané oblasti zdravotně-sociálního pomezí pro klienty v jejich přirozeném prostředí</w:t>
      </w:r>
      <w:r w:rsidR="00705D9A">
        <w:t>, a cílů schválených koncepčních dokumentů v oblasti péče o</w:t>
      </w:r>
      <w:r w:rsidR="00FE7F55">
        <w:t> </w:t>
      </w:r>
      <w:r w:rsidR="00705D9A">
        <w:t>duševní zdraví</w:t>
      </w:r>
      <w:r w:rsidR="00AF65FF">
        <w:t>.</w:t>
      </w:r>
      <w:r w:rsidR="00E96B89">
        <w:t xml:space="preserve"> </w:t>
      </w:r>
      <w:bookmarkStart w:id="11" w:name="_Hlk171946459"/>
      <w:bookmarkStart w:id="12" w:name="_Hlk171937912"/>
      <w:r w:rsidR="00E96B89">
        <w:t xml:space="preserve">Činnosti obou kontrolovaných ministerstev byly také prověřovány z hlediska </w:t>
      </w:r>
      <w:r w:rsidR="00E1613C">
        <w:t xml:space="preserve">plnění jednotlivých úkolů stanovených v koncepcích státu v oblasti péče o duševní zdraví, resp. plnění příslušných </w:t>
      </w:r>
      <w:r w:rsidR="00E96B89">
        <w:t>usnesení vlády</w:t>
      </w:r>
      <w:r w:rsidR="00FE7F55">
        <w:t>,</w:t>
      </w:r>
      <w:r w:rsidR="00E96B89">
        <w:t xml:space="preserve"> a souladu se zákonem České národní rady č. 2/1969 Sb.</w:t>
      </w:r>
      <w:bookmarkEnd w:id="11"/>
    </w:p>
    <w:bookmarkEnd w:id="12"/>
    <w:p w:rsidR="00C77BDF" w:rsidRDefault="00780105" w:rsidP="009526EB">
      <w:r>
        <w:t>3.</w:t>
      </w:r>
      <w:r w:rsidR="004932AD">
        <w:t xml:space="preserve">6 </w:t>
      </w:r>
      <w:r>
        <w:t>V průběhu kontrolní akce NKÚ provedl dotazníkové šetření</w:t>
      </w:r>
      <w:r w:rsidR="009526EB">
        <w:t>,</w:t>
      </w:r>
      <w:r w:rsidR="002E3F5D">
        <w:t xml:space="preserve"> jehož</w:t>
      </w:r>
      <w:r w:rsidR="009526EB">
        <w:t xml:space="preserve"> prostřednictvím oslovil provozovatele CDZ podpořen</w:t>
      </w:r>
      <w:r w:rsidR="002E3F5D">
        <w:t>ých</w:t>
      </w:r>
      <w:r w:rsidR="009526EB">
        <w:t xml:space="preserve"> dotacemi z </w:t>
      </w:r>
      <w:r w:rsidR="003B77CD">
        <w:t>P</w:t>
      </w:r>
      <w:r w:rsidR="009526EB">
        <w:t xml:space="preserve">rojektů CDZ I, II a III. </w:t>
      </w:r>
      <w:r w:rsidR="00FE7F55">
        <w:t>Ú</w:t>
      </w:r>
      <w:r>
        <w:rPr>
          <w:rFonts w:ascii="CIDFont+F1" w:eastAsiaTheme="minorHAnsi" w:hAnsi="CIDFont+F1" w:cs="CIDFont+F1"/>
          <w:szCs w:val="24"/>
          <w:lang w:eastAsia="en-US"/>
        </w:rPr>
        <w:t>čelem</w:t>
      </w:r>
      <w:r w:rsidR="009526EB">
        <w:rPr>
          <w:rFonts w:ascii="CIDFont+F1" w:eastAsiaTheme="minorHAnsi" w:hAnsi="CIDFont+F1" w:cs="CIDFont+F1"/>
          <w:szCs w:val="24"/>
          <w:lang w:eastAsia="en-US"/>
        </w:rPr>
        <w:t xml:space="preserve"> </w:t>
      </w:r>
      <w:r w:rsidR="00FE7F55">
        <w:rPr>
          <w:rFonts w:ascii="CIDFont+F1" w:eastAsiaTheme="minorHAnsi" w:hAnsi="CIDFont+F1" w:cs="CIDFont+F1"/>
          <w:szCs w:val="24"/>
          <w:lang w:eastAsia="en-US"/>
        </w:rPr>
        <w:t xml:space="preserve">šetření </w:t>
      </w:r>
      <w:r w:rsidR="009526EB">
        <w:rPr>
          <w:rFonts w:ascii="CIDFont+F1" w:eastAsiaTheme="minorHAnsi" w:hAnsi="CIDFont+F1" w:cs="CIDFont+F1"/>
          <w:szCs w:val="24"/>
          <w:lang w:eastAsia="en-US"/>
        </w:rPr>
        <w:t>bylo</w:t>
      </w:r>
      <w:r>
        <w:rPr>
          <w:rFonts w:ascii="CIDFont+F1" w:eastAsiaTheme="minorHAnsi" w:hAnsi="CIDFont+F1" w:cs="CIDFont+F1"/>
          <w:szCs w:val="24"/>
          <w:lang w:eastAsia="en-US"/>
        </w:rPr>
        <w:t xml:space="preserve"> získat doplňkové</w:t>
      </w:r>
      <w:r w:rsidR="009526EB">
        <w:rPr>
          <w:rFonts w:ascii="CIDFont+F1" w:eastAsiaTheme="minorHAnsi" w:hAnsi="CIDFont+F1" w:cs="CIDFont+F1"/>
          <w:szCs w:val="24"/>
          <w:lang w:eastAsia="en-US"/>
        </w:rPr>
        <w:t xml:space="preserve"> </w:t>
      </w:r>
      <w:r>
        <w:rPr>
          <w:rFonts w:ascii="CIDFont+F1" w:eastAsiaTheme="minorHAnsi" w:hAnsi="CIDFont+F1" w:cs="CIDFont+F1"/>
          <w:szCs w:val="24"/>
          <w:lang w:eastAsia="en-US"/>
        </w:rPr>
        <w:t xml:space="preserve">informace k fungování </w:t>
      </w:r>
      <w:r w:rsidR="009526EB">
        <w:rPr>
          <w:rFonts w:ascii="CIDFont+F1" w:eastAsiaTheme="minorHAnsi" w:hAnsi="CIDFont+F1" w:cs="CIDFont+F1"/>
          <w:szCs w:val="24"/>
          <w:lang w:eastAsia="en-US"/>
        </w:rPr>
        <w:t>CDZ</w:t>
      </w:r>
      <w:r>
        <w:rPr>
          <w:rFonts w:ascii="CIDFont+F1" w:eastAsiaTheme="minorHAnsi" w:hAnsi="CIDFont+F1" w:cs="CIDFont+F1"/>
          <w:szCs w:val="24"/>
          <w:lang w:eastAsia="en-US"/>
        </w:rPr>
        <w:t xml:space="preserve"> od</w:t>
      </w:r>
      <w:r w:rsidR="009526EB">
        <w:rPr>
          <w:rFonts w:ascii="CIDFont+F1" w:eastAsiaTheme="minorHAnsi" w:hAnsi="CIDFont+F1" w:cs="CIDFont+F1"/>
          <w:szCs w:val="24"/>
          <w:lang w:eastAsia="en-US"/>
        </w:rPr>
        <w:t xml:space="preserve"> samotných poskytovatelů služeb.</w:t>
      </w:r>
    </w:p>
    <w:p w:rsidR="00C36345" w:rsidRDefault="00780105" w:rsidP="00CF0A24">
      <w:pPr>
        <w:ind w:left="567" w:hanging="567"/>
        <w:rPr>
          <w:rFonts w:cs="Calibri"/>
          <w:sz w:val="20"/>
        </w:rPr>
      </w:pPr>
      <w:r>
        <w:rPr>
          <w:rFonts w:cs="Calibri"/>
          <w:b/>
          <w:sz w:val="20"/>
        </w:rPr>
        <w:t>Pozn.:</w:t>
      </w:r>
      <w:r>
        <w:rPr>
          <w:rFonts w:cs="Calibri"/>
          <w:b/>
          <w:sz w:val="20"/>
        </w:rPr>
        <w:tab/>
      </w:r>
      <w:r w:rsidRPr="00E1478E">
        <w:rPr>
          <w:rFonts w:cs="Calibri"/>
          <w:sz w:val="20"/>
        </w:rPr>
        <w:t>Právní předpisy uvedené v tomto kontrolním závěru jsou aplikovány ve znění účinném pro kontrolované období.</w:t>
      </w:r>
    </w:p>
    <w:p w:rsidR="004F7475" w:rsidRDefault="00780105" w:rsidP="00CF0A24">
      <w:pPr>
        <w:pStyle w:val="Nadpis1"/>
        <w:numPr>
          <w:ilvl w:val="0"/>
          <w:numId w:val="0"/>
        </w:numPr>
        <w:spacing w:before="840"/>
      </w:pPr>
      <w:r>
        <w:t xml:space="preserve">IV. </w:t>
      </w:r>
      <w:r w:rsidR="00E620F7">
        <w:t>Podrobné skutečnosti zjištěné kontrolou</w:t>
      </w:r>
    </w:p>
    <w:p w:rsidR="000649F8" w:rsidRPr="00727A1D" w:rsidRDefault="00780105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  <w:rPr>
          <w:b/>
        </w:rPr>
      </w:pPr>
      <w:r>
        <w:rPr>
          <w:b/>
        </w:rPr>
        <w:t>V</w:t>
      </w:r>
      <w:r w:rsidRPr="00727A1D">
        <w:rPr>
          <w:b/>
        </w:rPr>
        <w:t xml:space="preserve">zniklo </w:t>
      </w:r>
      <w:r w:rsidR="00E05D47" w:rsidRPr="00E05D47">
        <w:rPr>
          <w:b/>
        </w:rPr>
        <w:t xml:space="preserve">29 z 30 </w:t>
      </w:r>
      <w:r w:rsidRPr="00727A1D">
        <w:rPr>
          <w:b/>
        </w:rPr>
        <w:t>projektovaných CDZ</w:t>
      </w:r>
      <w:r w:rsidR="00677C1B">
        <w:rPr>
          <w:b/>
        </w:rPr>
        <w:t>, n</w:t>
      </w:r>
      <w:r>
        <w:rPr>
          <w:b/>
        </w:rPr>
        <w:t xml:space="preserve">áklady </w:t>
      </w:r>
      <w:r w:rsidR="005F7548" w:rsidRPr="005F7548">
        <w:rPr>
          <w:b/>
        </w:rPr>
        <w:t xml:space="preserve">na </w:t>
      </w:r>
      <w:r w:rsidR="00301E9A">
        <w:rPr>
          <w:b/>
        </w:rPr>
        <w:t xml:space="preserve">jejich </w:t>
      </w:r>
      <w:r w:rsidR="005F7548" w:rsidRPr="005F7548">
        <w:rPr>
          <w:b/>
        </w:rPr>
        <w:t>provoz</w:t>
      </w:r>
      <w:r w:rsidR="005F7548">
        <w:rPr>
          <w:b/>
        </w:rPr>
        <w:t xml:space="preserve"> </w:t>
      </w:r>
      <w:r>
        <w:rPr>
          <w:b/>
        </w:rPr>
        <w:t>byly nižší, než se plánovalo</w:t>
      </w:r>
    </w:p>
    <w:p w:rsidR="000649F8" w:rsidRDefault="00780105" w:rsidP="00FE3F55">
      <w:pPr>
        <w:widowControl/>
        <w:spacing w:before="120" w:after="120"/>
      </w:pPr>
      <w:r>
        <w:t>4.1 Společným cílem tří projektů</w:t>
      </w:r>
      <w:r w:rsidR="005F7548">
        <w:t xml:space="preserve">, </w:t>
      </w:r>
      <w:r w:rsidR="005F7548" w:rsidRPr="005F7548">
        <w:t>které NKÚ prověřil kontrolou</w:t>
      </w:r>
      <w:r w:rsidR="005F7548">
        <w:t>,</w:t>
      </w:r>
      <w:r>
        <w:t xml:space="preserve"> bylo vytvořit</w:t>
      </w:r>
      <w:r w:rsidR="008B0CD3">
        <w:t xml:space="preserve"> </w:t>
      </w:r>
      <w:r w:rsidR="007A5069">
        <w:t xml:space="preserve">výchozí </w:t>
      </w:r>
      <w:r>
        <w:t>síť 30</w:t>
      </w:r>
      <w:r w:rsidR="00520A71">
        <w:t> </w:t>
      </w:r>
      <w:r>
        <w:t>CDZ, která zajistí dostupnost služeb poskytovaných CDZ pro osoby s</w:t>
      </w:r>
      <w:r w:rsidR="00C168AE">
        <w:t>e závažným</w:t>
      </w:r>
      <w:r>
        <w:t xml:space="preserve"> duševním onemocněním v přirozeném prostředí. Přestože se tento cíl nepodařilo </w:t>
      </w:r>
      <w:proofErr w:type="spellStart"/>
      <w:r>
        <w:t>MZd</w:t>
      </w:r>
      <w:proofErr w:type="spellEnd"/>
      <w:r>
        <w:t xml:space="preserve"> bezezbytku naplnit, díky podpoře z OPZ vzniklo celkem 29 funkčních CDZ. Účelem této podpory bylo vytvoření základů pro dostupnou, efektivní, balancovanou a diferencovanou péči</w:t>
      </w:r>
      <w:r w:rsidR="000212A3">
        <w:t xml:space="preserve"> </w:t>
      </w:r>
      <w:r>
        <w:t xml:space="preserve">prostřednictvím zprovoznění a pilotního ověření provozu CDZ a zajištění dostupnosti jejich služeb pro lidi s duševním onemocněním v přirozeném prostředí. Tento </w:t>
      </w:r>
      <w:r w:rsidRPr="00182016">
        <w:t xml:space="preserve">účel </w:t>
      </w:r>
      <w:proofErr w:type="spellStart"/>
      <w:r w:rsidRPr="00182016">
        <w:t>MZd</w:t>
      </w:r>
      <w:proofErr w:type="spellEnd"/>
      <w:r w:rsidRPr="00182016">
        <w:t xml:space="preserve"> splnilo</w:t>
      </w:r>
      <w:r>
        <w:t xml:space="preserve"> za použití </w:t>
      </w:r>
      <w:r w:rsidR="00156AE8" w:rsidRPr="00156AE8">
        <w:t>nižšího objemu</w:t>
      </w:r>
      <w:r>
        <w:t xml:space="preserve"> prostředků, než bylo původně při přípravě projektů plánováno. </w:t>
      </w:r>
      <w:r w:rsidR="00AE4459">
        <w:t>Důvodem</w:t>
      </w:r>
      <w:r>
        <w:t xml:space="preserve"> nedočerpání prostředků OPZ byly především nižší náklady na provoz CDZ oproti původním plánům.</w:t>
      </w:r>
    </w:p>
    <w:p w:rsidR="000649F8" w:rsidRDefault="00780105" w:rsidP="00FE3F55">
      <w:pPr>
        <w:widowControl/>
        <w:spacing w:before="120" w:after="120"/>
      </w:pPr>
      <w:r>
        <w:t xml:space="preserve">4.2 </w:t>
      </w:r>
      <w:proofErr w:type="spellStart"/>
      <w:r>
        <w:t>MZd</w:t>
      </w:r>
      <w:proofErr w:type="spellEnd"/>
      <w:r>
        <w:t xml:space="preserve"> realizací projektových aktivit dosáhlo v rámci všech tří kontrolovaných projektů stanovených cílových hodnot pro všechny závazné indikátory, resp. tyto cílové hodnoty v řadě případů přesáhlo. </w:t>
      </w:r>
      <w:proofErr w:type="spellStart"/>
      <w:r>
        <w:t>MZd</w:t>
      </w:r>
      <w:proofErr w:type="spellEnd"/>
      <w:r>
        <w:t xml:space="preserve"> pravidelně sledovalo a vyhodnocovalo, zda naplňuje účel poskytnuté podpory a přispívá k dosažení stanoveného specifického cíle OPZ </w:t>
      </w:r>
      <w:r w:rsidR="00832D3E">
        <w:t>„</w:t>
      </w:r>
      <w:r w:rsidR="00506CEF">
        <w:rPr>
          <w:i/>
        </w:rPr>
        <w:t>z</w:t>
      </w:r>
      <w:r w:rsidRPr="00D72689">
        <w:rPr>
          <w:i/>
        </w:rPr>
        <w:t>výšit dostupnost a</w:t>
      </w:r>
      <w:r w:rsidR="00506CEF">
        <w:rPr>
          <w:i/>
        </w:rPr>
        <w:t> </w:t>
      </w:r>
      <w:r w:rsidRPr="00D72689">
        <w:rPr>
          <w:i/>
        </w:rPr>
        <w:t>efektivitu zdravotních služeb a umožnit přesun těžiště psychiatrické péče do komunity</w:t>
      </w:r>
      <w:r w:rsidR="00832D3E">
        <w:rPr>
          <w:i/>
        </w:rPr>
        <w:t>“</w:t>
      </w:r>
      <w:r>
        <w:t xml:space="preserve">. NKÚ v několika případech </w:t>
      </w:r>
      <w:r w:rsidR="00156AE8">
        <w:t xml:space="preserve">zjistil </w:t>
      </w:r>
      <w:r>
        <w:t>věcně nesprávně vykázané hodnoty indikátorů, tato pochybení však neměla zásadní vliv na možnost sledování výstupů a výsledků kontrolovaných projektů.</w:t>
      </w:r>
    </w:p>
    <w:p w:rsidR="000649F8" w:rsidRPr="00DD0545" w:rsidRDefault="00780105" w:rsidP="00FE3F55">
      <w:pPr>
        <w:widowControl/>
        <w:spacing w:before="120" w:after="120"/>
      </w:pPr>
      <w:r>
        <w:t xml:space="preserve">4.3 </w:t>
      </w:r>
      <w:r w:rsidRPr="00DD0545">
        <w:t>NKÚ u vybraných kontrolovaných osob ověřil, že výstupem projektů byl vznik služeb, které</w:t>
      </w:r>
      <w:r w:rsidR="00506CEF">
        <w:t xml:space="preserve"> </w:t>
      </w:r>
      <w:r w:rsidRPr="00DD0545">
        <w:t>jsou uvedeny ve Strategii reformy – CDZ poskytovala služby terénního týmu, služby denní péče, služby krizové, služby psychiatrické, služby klinického psychologa, služby psychoterapeutické</w:t>
      </w:r>
      <w:r w:rsidR="00182016">
        <w:t xml:space="preserve"> a</w:t>
      </w:r>
      <w:r w:rsidRPr="00DD0545">
        <w:t xml:space="preserve"> svépomocné činnosti. Celkem bylo v rámci projektů podpořeno 1</w:t>
      </w:r>
      <w:r w:rsidR="00520A71">
        <w:t> </w:t>
      </w:r>
      <w:r w:rsidRPr="00DD0545">
        <w:t>714</w:t>
      </w:r>
      <w:r w:rsidR="00520A71">
        <w:t> </w:t>
      </w:r>
      <w:r w:rsidRPr="00DD0545">
        <w:t>účastníků projektů, tj. osob které získaly podporu minimálně v rozsahu 40 hodin</w:t>
      </w:r>
      <w:r w:rsidR="00182016">
        <w:t>. D</w:t>
      </w:r>
      <w:r w:rsidRPr="00DD0545">
        <w:t>íky podpoře vznikly evaluační dokumenty za každý projekt dle požadavků dané výzvy a také doporučené postupy pro vnik nových CDZ. Klíčovým výstupem projektů je však vznik celkové okamžité kapacity 532 míst pro osoby s duševním onemocněním mimo standardní institucionální péči.</w:t>
      </w:r>
    </w:p>
    <w:p w:rsidR="000649F8" w:rsidRDefault="00780105" w:rsidP="00FE3F55">
      <w:pPr>
        <w:widowControl/>
        <w:spacing w:before="120" w:after="120"/>
      </w:pPr>
      <w:r>
        <w:t xml:space="preserve">4.4 </w:t>
      </w:r>
      <w:r w:rsidRPr="00DD0545">
        <w:t>Výsledkem projektů je pak samotné využívání podpořených služeb, resp. vzniklých kapacit. Po</w:t>
      </w:r>
      <w:r w:rsidR="00182016">
        <w:t> </w:t>
      </w:r>
      <w:r w:rsidRPr="00DD0545">
        <w:t xml:space="preserve">dobu pilotních provozů CDZ jejich služby využilo vedle výše uvedených účastníků projektů celkem 5 261 osob, celkem 284 pracovníků získalo novou </w:t>
      </w:r>
      <w:r w:rsidR="002E3F5D" w:rsidRPr="00DD0545">
        <w:t>kvalifikaci</w:t>
      </w:r>
      <w:r w:rsidR="002E3F5D">
        <w:t>, případně</w:t>
      </w:r>
      <w:r w:rsidRPr="00DD0545">
        <w:t xml:space="preserve"> si prohloubilo</w:t>
      </w:r>
      <w:r w:rsidR="002E3F5D">
        <w:t xml:space="preserve"> kvalifikaci</w:t>
      </w:r>
      <w:r w:rsidRPr="00DD0545">
        <w:t xml:space="preserve"> stávající.</w:t>
      </w:r>
    </w:p>
    <w:p w:rsidR="000649F8" w:rsidRDefault="00780105" w:rsidP="00721A03">
      <w:pPr>
        <w:widowControl/>
        <w:spacing w:before="120" w:after="200"/>
      </w:pPr>
      <w:r w:rsidRPr="00390BAD">
        <w:t xml:space="preserve">4.5 </w:t>
      </w:r>
      <w:proofErr w:type="spellStart"/>
      <w:r w:rsidRPr="00B447BA">
        <w:t>MZd</w:t>
      </w:r>
      <w:proofErr w:type="spellEnd"/>
      <w:r w:rsidRPr="00B447BA">
        <w:t xml:space="preserve"> použilo prostředky získané díky podpoře z OPZ na vznik CDZ, pilotní testování jejich provozu, nastavení procesů a standardů činnosti CDZ a evaluaci projektů, tedy činnosti, které umožnily nastartovat přesun těžiště psychiatrické péče do komunity. Vynaložení těchto prostředků NKÚ </w:t>
      </w:r>
      <w:r w:rsidR="00352B21" w:rsidRPr="00B447BA">
        <w:t xml:space="preserve">proto </w:t>
      </w:r>
      <w:r w:rsidRPr="00B447BA">
        <w:t>považuje za účelné.</w:t>
      </w:r>
      <w:r w:rsidRPr="00BF4BE8">
        <w:t xml:space="preserve"> </w:t>
      </w:r>
      <w:r w:rsidR="00506CEF">
        <w:t xml:space="preserve">Celkem </w:t>
      </w:r>
      <w:r w:rsidRPr="00BF4BE8">
        <w:t xml:space="preserve">28 </w:t>
      </w:r>
      <w:r w:rsidR="007A5069">
        <w:t xml:space="preserve">z 29 </w:t>
      </w:r>
      <w:r w:rsidRPr="00BF4BE8">
        <w:t>CDZ podpořených v rámci výše uvedených projektů bylo ke dni ukončení kontroly NKÚ plně funkčních, a to i přesto, že</w:t>
      </w:r>
      <w:r w:rsidR="00182016" w:rsidRPr="00BF4BE8">
        <w:t> </w:t>
      </w:r>
      <w:r w:rsidRPr="00BF4BE8">
        <w:t>udržitelnost CDZ</w:t>
      </w:r>
      <w:r>
        <w:t xml:space="preserve"> po skončení projektů nebyla</w:t>
      </w:r>
      <w:r w:rsidR="002E3F5D">
        <w:t xml:space="preserve"> v rámci dotačních podmínek</w:t>
      </w:r>
      <w:r>
        <w:t xml:space="preserve"> stanovena.</w:t>
      </w:r>
    </w:p>
    <w:p w:rsidR="000649F8" w:rsidRDefault="00780105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</w:pPr>
      <w:r w:rsidRPr="005B25D2">
        <w:rPr>
          <w:b/>
          <w:shd w:val="clear" w:color="auto" w:fill="E6E6E6"/>
        </w:rPr>
        <w:t xml:space="preserve">Část nákladů na provoz CDZ nebyla </w:t>
      </w:r>
      <w:r w:rsidR="00AB2547">
        <w:rPr>
          <w:b/>
          <w:shd w:val="clear" w:color="auto" w:fill="E6E6E6"/>
        </w:rPr>
        <w:t xml:space="preserve">řídícím orgánem </w:t>
      </w:r>
      <w:r w:rsidRPr="005B25D2">
        <w:rPr>
          <w:b/>
          <w:shd w:val="clear" w:color="auto" w:fill="E6E6E6"/>
        </w:rPr>
        <w:t xml:space="preserve">proplacena a </w:t>
      </w:r>
      <w:proofErr w:type="spellStart"/>
      <w:r w:rsidRPr="005B25D2">
        <w:rPr>
          <w:b/>
          <w:shd w:val="clear" w:color="auto" w:fill="E6E6E6"/>
        </w:rPr>
        <w:t>MZd</w:t>
      </w:r>
      <w:proofErr w:type="spellEnd"/>
      <w:r w:rsidRPr="005B25D2">
        <w:rPr>
          <w:b/>
          <w:shd w:val="clear" w:color="auto" w:fill="E6E6E6"/>
        </w:rPr>
        <w:t xml:space="preserve"> je muselo plně uhradit</w:t>
      </w:r>
      <w:r w:rsidRPr="00917358">
        <w:rPr>
          <w:b/>
        </w:rPr>
        <w:t xml:space="preserve"> ze státního rozpočtu</w:t>
      </w:r>
    </w:p>
    <w:p w:rsidR="000649F8" w:rsidRDefault="00780105" w:rsidP="00FE3F55">
      <w:pPr>
        <w:widowControl/>
        <w:spacing w:before="120" w:after="120"/>
      </w:pPr>
      <w:r>
        <w:t xml:space="preserve">4.6 V případě Projektu CDZ I část výdajů ve výši 426 tis. Kč byla ze strany MPSV jakožto ŘO shledána jako nezpůsobilá, o tuto částku byla celková podpora krácena. </w:t>
      </w:r>
      <w:r w:rsidRPr="00F5064C">
        <w:t xml:space="preserve">V případě Projektu </w:t>
      </w:r>
      <w:r>
        <w:t>CDZ II</w:t>
      </w:r>
      <w:r w:rsidRPr="00F5064C">
        <w:t xml:space="preserve"> </w:t>
      </w:r>
      <w:r>
        <w:t>nebyly kvůli nezpůsobilosti proplaceny</w:t>
      </w:r>
      <w:r w:rsidRPr="00F5064C">
        <w:t xml:space="preserve"> výdaj</w:t>
      </w:r>
      <w:r>
        <w:t>e</w:t>
      </w:r>
      <w:r w:rsidRPr="00F5064C">
        <w:t xml:space="preserve"> ve výši 264 </w:t>
      </w:r>
      <w:r>
        <w:t>tis.</w:t>
      </w:r>
      <w:r w:rsidRPr="00F5064C">
        <w:t xml:space="preserve"> </w:t>
      </w:r>
      <w:r>
        <w:t>Kč. NKÚ nezjistil u projektů jiné nezpůsobilé výdaje.</w:t>
      </w:r>
    </w:p>
    <w:p w:rsidR="000649F8" w:rsidRDefault="00780105" w:rsidP="00FE3F55">
      <w:pPr>
        <w:widowControl/>
        <w:spacing w:before="120" w:after="120"/>
      </w:pPr>
      <w:r>
        <w:t xml:space="preserve">4.7 NKÚ </w:t>
      </w:r>
      <w:r w:rsidR="00156AE8">
        <w:t>zjistil</w:t>
      </w:r>
      <w:r>
        <w:t xml:space="preserve">, že </w:t>
      </w:r>
      <w:proofErr w:type="spellStart"/>
      <w:r w:rsidRPr="008F077D">
        <w:t>MZ</w:t>
      </w:r>
      <w:r>
        <w:t>d</w:t>
      </w:r>
      <w:proofErr w:type="spellEnd"/>
      <w:r>
        <w:t xml:space="preserve"> v </w:t>
      </w:r>
      <w:r w:rsidRPr="008F077D">
        <w:t xml:space="preserve">rámci realizace Projektu </w:t>
      </w:r>
      <w:r>
        <w:t>CDZ II</w:t>
      </w:r>
      <w:r w:rsidRPr="008F077D">
        <w:t xml:space="preserve"> uskutečnilo výdaj ve výši 141 </w:t>
      </w:r>
      <w:r>
        <w:t>tis.</w:t>
      </w:r>
      <w:r w:rsidRPr="008F077D">
        <w:t xml:space="preserve"> Kč za</w:t>
      </w:r>
      <w:r>
        <w:t> </w:t>
      </w:r>
      <w:r w:rsidRPr="008F077D">
        <w:t>zpracování vstupní evaluační zprávy, který následně neuplatnilo v rámci způsobilých přímých výdajů,</w:t>
      </w:r>
      <w:r>
        <w:t xml:space="preserve"> přestože tento výdaj byl v rámci projektu plánován a splňoval všechny podmínky pro způsobilost. </w:t>
      </w:r>
      <w:proofErr w:type="spellStart"/>
      <w:r w:rsidRPr="00156AE8">
        <w:t>MZd</w:t>
      </w:r>
      <w:proofErr w:type="spellEnd"/>
      <w:r w:rsidRPr="00156AE8">
        <w:t xml:space="preserve"> tímto postupem zapříčinilo, že část výdajů tak nebyla proplacena z prostředků EU</w:t>
      </w:r>
      <w:r>
        <w:t>, přestože značný objem schválených prostředků projektu zůstal ned</w:t>
      </w:r>
      <w:r w:rsidR="004A6422">
        <w:t>o</w:t>
      </w:r>
      <w:r>
        <w:t>čerpán a předmětný výdaj šel plně na vrub státního rozpočtu</w:t>
      </w:r>
      <w:r w:rsidRPr="008F077D">
        <w:t>.</w:t>
      </w:r>
    </w:p>
    <w:p w:rsidR="000649F8" w:rsidRPr="00390BAD" w:rsidRDefault="00780105" w:rsidP="00721A03">
      <w:pPr>
        <w:widowControl/>
        <w:spacing w:before="120" w:after="200"/>
      </w:pPr>
      <w:r>
        <w:t xml:space="preserve">4.8 Při kontrole výdajů schválených ŘO a celkových výdajů proplacených </w:t>
      </w:r>
      <w:proofErr w:type="spellStart"/>
      <w:r>
        <w:t>MZd</w:t>
      </w:r>
      <w:proofErr w:type="spellEnd"/>
      <w:r>
        <w:t xml:space="preserve"> příjemcům dotací NKÚ zjistil v případě čtyř příjemců dotací nesoulad mezi částkami celkových výdajů, které </w:t>
      </w:r>
      <w:proofErr w:type="spellStart"/>
      <w:r>
        <w:t>MZd</w:t>
      </w:r>
      <w:proofErr w:type="spellEnd"/>
      <w:r>
        <w:t xml:space="preserve"> vykázalo v rámci předložených žádostí o platbu</w:t>
      </w:r>
      <w:r w:rsidR="00506CEF">
        <w:t>,</w:t>
      </w:r>
      <w:r>
        <w:t xml:space="preserve"> a skutečně vyplacených prostředků. Z pohledu OPZ sice nedošlo k porušení pravidel, nicméně </w:t>
      </w:r>
      <w:proofErr w:type="spellStart"/>
      <w:r w:rsidRPr="00F5064C">
        <w:t>MZ</w:t>
      </w:r>
      <w:r>
        <w:t>d</w:t>
      </w:r>
      <w:proofErr w:type="spellEnd"/>
      <w:r w:rsidRPr="00F5064C">
        <w:t xml:space="preserve"> v těchto případech nezajistilo důslednou kontrolu </w:t>
      </w:r>
      <w:r>
        <w:t>dle</w:t>
      </w:r>
      <w:r w:rsidRPr="00F5064C">
        <w:t xml:space="preserve"> zákona č. 320/</w:t>
      </w:r>
      <w:r w:rsidRPr="00390BAD">
        <w:t>2001 Sb.</w:t>
      </w:r>
      <w:r w:rsidRPr="00390BAD">
        <w:rPr>
          <w:rStyle w:val="Znakapoznpodarou"/>
        </w:rPr>
        <w:footnoteReference w:id="18"/>
      </w:r>
      <w:r w:rsidRPr="00390BAD">
        <w:t xml:space="preserve"> tím, že </w:t>
      </w:r>
      <w:r w:rsidRPr="00B447BA">
        <w:t>řádně neprověřilo dodržování stanovených podmínek a postupů</w:t>
      </w:r>
      <w:r w:rsidR="00506CEF">
        <w:t>,</w:t>
      </w:r>
      <w:r w:rsidRPr="00B447BA">
        <w:t xml:space="preserve"> a vyplatilo tak příjemcům dotací navíc v</w:t>
      </w:r>
      <w:r w:rsidR="00520A71" w:rsidRPr="00390BAD">
        <w:t> </w:t>
      </w:r>
      <w:r w:rsidRPr="00B447BA">
        <w:t>rozporu s</w:t>
      </w:r>
      <w:r w:rsidR="00CF0A24">
        <w:t> </w:t>
      </w:r>
      <w:r w:rsidR="00136490">
        <w:t xml:space="preserve">podmínkami </w:t>
      </w:r>
      <w:r w:rsidRPr="00B447BA">
        <w:t>dotace částku v celkové výši necelých 32 tis. Kč. Na základě zjištění z</w:t>
      </w:r>
      <w:r w:rsidR="00520A71" w:rsidRPr="00390BAD">
        <w:t> </w:t>
      </w:r>
      <w:r w:rsidRPr="00B447BA">
        <w:t xml:space="preserve">kontroly NKÚ začalo </w:t>
      </w:r>
      <w:proofErr w:type="spellStart"/>
      <w:r w:rsidRPr="00B447BA">
        <w:t>MZd</w:t>
      </w:r>
      <w:proofErr w:type="spellEnd"/>
      <w:r w:rsidRPr="00B447BA">
        <w:t xml:space="preserve"> peněžní prostředky v uvedené výši vymáhat od jejich příjemců zpět.</w:t>
      </w:r>
    </w:p>
    <w:p w:rsidR="000649F8" w:rsidRPr="00727A1D" w:rsidRDefault="00780105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  <w:rPr>
          <w:b/>
        </w:rPr>
      </w:pPr>
      <w:r w:rsidRPr="00727A1D">
        <w:rPr>
          <w:b/>
        </w:rPr>
        <w:t xml:space="preserve">MPSV </w:t>
      </w:r>
      <w:r>
        <w:rPr>
          <w:b/>
        </w:rPr>
        <w:t>i</w:t>
      </w:r>
      <w:r w:rsidRPr="00727A1D">
        <w:rPr>
          <w:b/>
        </w:rPr>
        <w:t xml:space="preserve"> </w:t>
      </w:r>
      <w:proofErr w:type="spellStart"/>
      <w:r w:rsidRPr="00727A1D">
        <w:rPr>
          <w:b/>
        </w:rPr>
        <w:t>MZd</w:t>
      </w:r>
      <w:proofErr w:type="spellEnd"/>
      <w:r w:rsidRPr="00727A1D">
        <w:rPr>
          <w:b/>
        </w:rPr>
        <w:t xml:space="preserve"> </w:t>
      </w:r>
      <w:r>
        <w:rPr>
          <w:b/>
        </w:rPr>
        <w:t>se dopustily</w:t>
      </w:r>
      <w:r w:rsidRPr="00727A1D">
        <w:rPr>
          <w:b/>
        </w:rPr>
        <w:t xml:space="preserve"> porušení </w:t>
      </w:r>
      <w:r>
        <w:rPr>
          <w:b/>
        </w:rPr>
        <w:t xml:space="preserve">několika </w:t>
      </w:r>
      <w:r w:rsidRPr="00727A1D">
        <w:rPr>
          <w:b/>
        </w:rPr>
        <w:t>pravidel při administraci projektů</w:t>
      </w:r>
    </w:p>
    <w:p w:rsidR="000649F8" w:rsidRPr="00390BAD" w:rsidRDefault="00780105" w:rsidP="00FE3F55">
      <w:pPr>
        <w:widowControl/>
        <w:spacing w:before="120" w:after="120"/>
      </w:pPr>
      <w:r w:rsidRPr="00284085">
        <w:t>4</w:t>
      </w:r>
      <w:r w:rsidRPr="00390BAD">
        <w:t xml:space="preserve">.9 </w:t>
      </w:r>
      <w:proofErr w:type="spellStart"/>
      <w:r w:rsidRPr="00B447BA">
        <w:t>MZd</w:t>
      </w:r>
      <w:proofErr w:type="spellEnd"/>
      <w:r w:rsidRPr="00B447BA">
        <w:t xml:space="preserve"> ohrozilo realizaci Projektu CDZ III, jehož </w:t>
      </w:r>
      <w:r w:rsidR="002F0E90" w:rsidRPr="00B447BA">
        <w:t xml:space="preserve">plánované </w:t>
      </w:r>
      <w:r w:rsidRPr="00B447BA">
        <w:t>celkové způsobilé výdaje činily</w:t>
      </w:r>
      <w:r w:rsidR="002F0E90" w:rsidRPr="00B447BA">
        <w:t xml:space="preserve"> 122</w:t>
      </w:r>
      <w:r w:rsidR="00280486">
        <w:t> </w:t>
      </w:r>
      <w:r w:rsidR="002F0E90" w:rsidRPr="00B447BA">
        <w:t>mil.</w:t>
      </w:r>
      <w:r w:rsidR="00280486">
        <w:t> </w:t>
      </w:r>
      <w:r w:rsidR="002F0E90" w:rsidRPr="00B447BA">
        <w:t>Kč</w:t>
      </w:r>
      <w:r w:rsidR="004A6422" w:rsidRPr="00B447BA">
        <w:t xml:space="preserve"> a</w:t>
      </w:r>
      <w:r w:rsidR="002F0E90" w:rsidRPr="00B447BA">
        <w:t xml:space="preserve"> skutečné nakonec</w:t>
      </w:r>
      <w:r w:rsidRPr="00B447BA">
        <w:t xml:space="preserve"> téměř 84 mil. Kč</w:t>
      </w:r>
      <w:r w:rsidRPr="00390BAD">
        <w:t>, když neprovedlo požadované úpravy žádosti, resp. nepředložilo</w:t>
      </w:r>
      <w:r>
        <w:t xml:space="preserve"> veškeré požadované doklady ani v náhradním termínu, který mu stanovil ŘO. </w:t>
      </w:r>
      <w:r w:rsidR="00D121A1" w:rsidRPr="00CD267A">
        <w:t xml:space="preserve">MPSV akceptovalo porušení pravidel ze strany </w:t>
      </w:r>
      <w:proofErr w:type="spellStart"/>
      <w:r w:rsidR="00D121A1" w:rsidRPr="00CD267A">
        <w:t>MZd</w:t>
      </w:r>
      <w:proofErr w:type="spellEnd"/>
      <w:r w:rsidR="00D121A1" w:rsidRPr="00CD267A">
        <w:t xml:space="preserve"> a</w:t>
      </w:r>
      <w:r w:rsidR="00D121A1" w:rsidRPr="00390BAD">
        <w:t> </w:t>
      </w:r>
      <w:r w:rsidR="00D121A1" w:rsidRPr="00CD267A">
        <w:t>opětovně jej vyzvalo k nápravě</w:t>
      </w:r>
      <w:r>
        <w:t xml:space="preserve"> </w:t>
      </w:r>
      <w:r w:rsidR="0076239F">
        <w:t>v</w:t>
      </w:r>
      <w:r w:rsidR="00136490">
        <w:t> rozporu s </w:t>
      </w:r>
      <w:r w:rsidR="003B77CD" w:rsidRPr="00633E7D">
        <w:rPr>
          <w:i/>
        </w:rPr>
        <w:t>O</w:t>
      </w:r>
      <w:r w:rsidR="00136490" w:rsidRPr="00633E7D">
        <w:rPr>
          <w:i/>
        </w:rPr>
        <w:t xml:space="preserve">becnou částí </w:t>
      </w:r>
      <w:r w:rsidRPr="00633E7D">
        <w:rPr>
          <w:i/>
        </w:rPr>
        <w:t>pravidel pro žadatele a příjemce v rámci OPZ</w:t>
      </w:r>
      <w:r>
        <w:rPr>
          <w:rStyle w:val="Znakapoznpodarou"/>
        </w:rPr>
        <w:footnoteReference w:id="19"/>
      </w:r>
      <w:r>
        <w:t xml:space="preserve"> v účinném znění </w:t>
      </w:r>
      <w:r w:rsidR="00156AE8">
        <w:t>(dále také „obecná pravidla OPZ“)</w:t>
      </w:r>
      <w:r w:rsidR="007A7F04" w:rsidRPr="00390BAD">
        <w:t>.</w:t>
      </w:r>
      <w:r w:rsidRPr="00390BAD">
        <w:t xml:space="preserve"> </w:t>
      </w:r>
      <w:r w:rsidR="005D0495" w:rsidRPr="00B447BA">
        <w:t>S</w:t>
      </w:r>
      <w:r w:rsidRPr="00B447BA">
        <w:t xml:space="preserve">amo </w:t>
      </w:r>
      <w:r w:rsidR="005D0495" w:rsidRPr="00B447BA">
        <w:t xml:space="preserve">tak </w:t>
      </w:r>
      <w:r w:rsidR="00237F72">
        <w:t xml:space="preserve">také </w:t>
      </w:r>
      <w:r w:rsidR="007A7F04" w:rsidRPr="00B447BA">
        <w:t>ne</w:t>
      </w:r>
      <w:r w:rsidRPr="00B447BA">
        <w:t>postupovalo</w:t>
      </w:r>
      <w:r w:rsidR="007A7F04" w:rsidRPr="00B447BA">
        <w:t xml:space="preserve"> </w:t>
      </w:r>
      <w:r w:rsidRPr="00B447BA">
        <w:t>v</w:t>
      </w:r>
      <w:r w:rsidR="007A7F04" w:rsidRPr="00B447BA">
        <w:t xml:space="preserve"> souladu</w:t>
      </w:r>
      <w:r w:rsidRPr="00B447BA">
        <w:t xml:space="preserve"> s</w:t>
      </w:r>
      <w:r w:rsidR="005D0495" w:rsidRPr="00B447BA">
        <w:t>e závaznými</w:t>
      </w:r>
      <w:r w:rsidR="00506CEF">
        <w:t xml:space="preserve"> </w:t>
      </w:r>
      <w:r w:rsidR="00156AE8" w:rsidRPr="00B447BA">
        <w:t>obecnými pravidly OPZ</w:t>
      </w:r>
      <w:r w:rsidRPr="00390BAD">
        <w:t>.</w:t>
      </w:r>
    </w:p>
    <w:p w:rsidR="000649F8" w:rsidRDefault="00780105" w:rsidP="00FE3F55">
      <w:pPr>
        <w:widowControl/>
        <w:spacing w:before="120" w:after="120"/>
      </w:pPr>
      <w:r>
        <w:t xml:space="preserve">4.10 U stejného projektu </w:t>
      </w:r>
      <w:proofErr w:type="spellStart"/>
      <w:r>
        <w:t>MZd</w:t>
      </w:r>
      <w:proofErr w:type="spellEnd"/>
      <w:r>
        <w:t xml:space="preserve"> předložilo žádost o změnu spočívající mj. ve změně cílové hodnoty jednoho z klíčových indikátorů</w:t>
      </w:r>
      <w:r w:rsidR="00214575">
        <w:t xml:space="preserve"> – </w:t>
      </w:r>
      <w:r>
        <w:t>počt</w:t>
      </w:r>
      <w:r w:rsidR="00214575">
        <w:t>u</w:t>
      </w:r>
      <w:r>
        <w:t xml:space="preserve"> podpořených osob</w:t>
      </w:r>
      <w:r w:rsidR="00D573A0">
        <w:t>,</w:t>
      </w:r>
      <w:r>
        <w:t xml:space="preserve"> s</w:t>
      </w:r>
      <w:r w:rsidR="007A7F04">
        <w:t> nedostatečným zdůvodněním</w:t>
      </w:r>
      <w:r w:rsidR="00214575">
        <w:t>.</w:t>
      </w:r>
      <w:r>
        <w:t xml:space="preserve"> </w:t>
      </w:r>
      <w:r w:rsidR="00214575">
        <w:t>P</w:t>
      </w:r>
      <w:r>
        <w:t xml:space="preserve">ostupovalo </w:t>
      </w:r>
      <w:r w:rsidR="00214575">
        <w:t xml:space="preserve">tak </w:t>
      </w:r>
      <w:r>
        <w:t>věcně nesprávně i v rozporu s ustanovením obecných pravidel</w:t>
      </w:r>
      <w:r w:rsidR="007A7F04">
        <w:t xml:space="preserve"> OPZ</w:t>
      </w:r>
      <w:r>
        <w:t>. MPSV v tomto případě schválilo změnu projektu spočívající ve snížení cílové hodnoty tohoto indikátoru z</w:t>
      </w:r>
      <w:r w:rsidR="002F55DE">
        <w:t> </w:t>
      </w:r>
      <w:r>
        <w:t>původní hodnoty 450 na 405 osob, přestože stanovení cílové hodnoty 450</w:t>
      </w:r>
      <w:r w:rsidR="00520A71">
        <w:t> </w:t>
      </w:r>
      <w:r>
        <w:t>osob bylo jednou z podmínek poskytnutí podpory na tento projekt. MPSV navíc v tomto případě schválilo snížení cílové hodnoty, přestože správně měla být hodnota vzhledem k</w:t>
      </w:r>
      <w:r w:rsidR="00116A5C">
        <w:t> </w:t>
      </w:r>
      <w:r>
        <w:t xml:space="preserve">navýšení cílové hodnoty jiného souvisejícího indikátoru naopak navýšena. </w:t>
      </w:r>
      <w:r w:rsidR="002F55DE">
        <w:t>Tento</w:t>
      </w:r>
      <w:r>
        <w:t xml:space="preserve"> postup MPSV nebyl dle NKÚ věcně ani formálně správný. MPSV dle NKÚ také neprovedlo kontrolu u</w:t>
      </w:r>
      <w:r w:rsidR="00116A5C">
        <w:t> </w:t>
      </w:r>
      <w:r>
        <w:t>příslušné žádosti o</w:t>
      </w:r>
      <w:r w:rsidR="002F55DE">
        <w:t> </w:t>
      </w:r>
      <w:r>
        <w:t>změnu řádně a nepostupovalo v souladu s obecnými pravidly OPZ.</w:t>
      </w:r>
    </w:p>
    <w:p w:rsidR="007A3D33" w:rsidRDefault="00780105" w:rsidP="00721A03">
      <w:pPr>
        <w:widowControl/>
        <w:spacing w:before="120" w:after="200"/>
      </w:pPr>
      <w:r>
        <w:t>4.11 NKÚ</w:t>
      </w:r>
      <w:r w:rsidR="002E216A">
        <w:t xml:space="preserve"> jak u </w:t>
      </w:r>
      <w:proofErr w:type="spellStart"/>
      <w:r w:rsidR="002E216A">
        <w:t>MZd</w:t>
      </w:r>
      <w:proofErr w:type="spellEnd"/>
      <w:r w:rsidR="002E216A">
        <w:t xml:space="preserve">, tak u MPSV </w:t>
      </w:r>
      <w:r>
        <w:t>zji</w:t>
      </w:r>
      <w:r w:rsidR="002E216A">
        <w:t>stil řadu dalších</w:t>
      </w:r>
      <w:r>
        <w:t xml:space="preserve"> </w:t>
      </w:r>
      <w:r w:rsidR="00CD4350">
        <w:t xml:space="preserve">formálních </w:t>
      </w:r>
      <w:r>
        <w:t>nedostatk</w:t>
      </w:r>
      <w:r w:rsidR="002E216A">
        <w:t>ů</w:t>
      </w:r>
      <w:r>
        <w:t xml:space="preserve"> související</w:t>
      </w:r>
      <w:r w:rsidR="00CD4350">
        <w:t>ch</w:t>
      </w:r>
      <w:r w:rsidR="000212A3">
        <w:br/>
      </w:r>
      <w:r>
        <w:t>se třemi kontrolovanými projekty</w:t>
      </w:r>
      <w:r w:rsidR="002E216A">
        <w:t>, tato zjištění však</w:t>
      </w:r>
      <w:r>
        <w:t xml:space="preserve"> neměl</w:t>
      </w:r>
      <w:r w:rsidR="002E216A">
        <w:t>a</w:t>
      </w:r>
      <w:r>
        <w:t xml:space="preserve"> závažný charakter.</w:t>
      </w:r>
    </w:p>
    <w:p w:rsidR="000649F8" w:rsidRPr="00727A1D" w:rsidRDefault="00CD4350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  <w:rPr>
          <w:b/>
        </w:rPr>
      </w:pPr>
      <w:r>
        <w:rPr>
          <w:b/>
        </w:rPr>
        <w:t>P</w:t>
      </w:r>
      <w:r w:rsidR="00780105" w:rsidRPr="00727A1D">
        <w:rPr>
          <w:b/>
        </w:rPr>
        <w:t>říjemc</w:t>
      </w:r>
      <w:r w:rsidR="00780105">
        <w:rPr>
          <w:b/>
        </w:rPr>
        <w:t>i</w:t>
      </w:r>
      <w:r w:rsidR="00780105" w:rsidRPr="00727A1D">
        <w:rPr>
          <w:b/>
        </w:rPr>
        <w:t xml:space="preserve"> </w:t>
      </w:r>
      <w:r w:rsidR="00780105">
        <w:rPr>
          <w:b/>
        </w:rPr>
        <w:t xml:space="preserve">v několika případech porušili pravidla </w:t>
      </w:r>
      <w:r w:rsidR="00D62464">
        <w:rPr>
          <w:b/>
        </w:rPr>
        <w:t xml:space="preserve">pro poskytování </w:t>
      </w:r>
      <w:r w:rsidR="00780105" w:rsidRPr="008F1E4F">
        <w:rPr>
          <w:b/>
        </w:rPr>
        <w:t>dotací</w:t>
      </w:r>
    </w:p>
    <w:p w:rsidR="008B0CD3" w:rsidRDefault="00780105" w:rsidP="00721A03">
      <w:pPr>
        <w:widowControl/>
        <w:spacing w:before="120" w:after="200"/>
      </w:pPr>
      <w:r>
        <w:t xml:space="preserve">4.12 </w:t>
      </w:r>
      <w:r w:rsidR="000649F8">
        <w:t xml:space="preserve">NKÚ vyhodnotil, že </w:t>
      </w:r>
      <w:r w:rsidR="006E506A">
        <w:t>v</w:t>
      </w:r>
      <w:r w:rsidR="000649F8">
        <w:t> několika případech postupovali příjemci</w:t>
      </w:r>
      <w:r w:rsidR="006E506A">
        <w:t xml:space="preserve"> dotací</w:t>
      </w:r>
      <w:r w:rsidR="000649F8">
        <w:t xml:space="preserve"> v rozporu s pravidly, za nichž jim byly prostředky poskytnuty. Např. dva z příjemců dotací při změně časového rámce projektu neprodloužili se spolupracujícím subjektem platnost smlouvy o spolupráci. Půl roku tak nebyla smluvně upravena vzájemná součinnost s organizacemi, které zajišťovaly část klíčových služeb v CDZ, jak to vyžadovaly podmínky dotace. Další z příjemců předložil k</w:t>
      </w:r>
      <w:r w:rsidR="00520A71">
        <w:t> </w:t>
      </w:r>
      <w:r w:rsidR="000649F8">
        <w:t>prokázání použití dotace duplicitně stejný doklad a uvedl ho ve vyúčtování výdajů ke dvěma zprávám o realizaci jak v</w:t>
      </w:r>
      <w:r w:rsidR="00AC2E5A">
        <w:t> </w:t>
      </w:r>
      <w:r w:rsidR="000649F8">
        <w:t>rámci dotací na zdravotní, tak na sociální část CDZ. Výše uvedené postupy příjemců dotací nasvědčují</w:t>
      </w:r>
      <w:r w:rsidR="000649F8" w:rsidRPr="00390BAD">
        <w:t xml:space="preserve">, že </w:t>
      </w:r>
      <w:r w:rsidR="000649F8" w:rsidRPr="00B447BA">
        <w:t>došlo k neoprávněnému použití části peněžních prostředků získaných z dotací, a NKÚ proto podal příslušnému finančnímu úřadu oznámení o</w:t>
      </w:r>
      <w:r w:rsidR="00280486">
        <w:t> </w:t>
      </w:r>
      <w:r w:rsidR="000649F8" w:rsidRPr="00B447BA">
        <w:t>porušení rozpočtové kázně</w:t>
      </w:r>
      <w:r w:rsidRPr="00390BAD">
        <w:rPr>
          <w:rStyle w:val="Znakapoznpodarou"/>
        </w:rPr>
        <w:footnoteReference w:id="20"/>
      </w:r>
      <w:r w:rsidR="002F55DE" w:rsidRPr="00390BAD">
        <w:t>.</w:t>
      </w:r>
      <w:r w:rsidR="000649F8" w:rsidRPr="00390BAD">
        <w:t xml:space="preserve"> NKÚ v těchto</w:t>
      </w:r>
      <w:r w:rsidR="000649F8">
        <w:t xml:space="preserve"> případech konstatoval účelnost při využití dotačních prostředků s mírnými nedostatky.</w:t>
      </w:r>
    </w:p>
    <w:p w:rsidR="00215D4F" w:rsidRPr="006C03E3" w:rsidRDefault="006E506A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  <w:rPr>
          <w:b/>
        </w:rPr>
      </w:pPr>
      <w:r>
        <w:rPr>
          <w:b/>
        </w:rPr>
        <w:t>V ČR d</w:t>
      </w:r>
      <w:r w:rsidR="00780105">
        <w:rPr>
          <w:b/>
        </w:rPr>
        <w:t xml:space="preserve">ochází k přesunu psychiatrické péče do komunity, </w:t>
      </w:r>
      <w:r>
        <w:rPr>
          <w:b/>
        </w:rPr>
        <w:t>počet</w:t>
      </w:r>
      <w:r w:rsidRPr="00C6509B">
        <w:rPr>
          <w:b/>
        </w:rPr>
        <w:t xml:space="preserve"> </w:t>
      </w:r>
      <w:r w:rsidR="00780105" w:rsidRPr="00C6509B">
        <w:rPr>
          <w:b/>
        </w:rPr>
        <w:t>lůžek dlouhodobé psychiatrické péče</w:t>
      </w:r>
      <w:r w:rsidR="00780105">
        <w:rPr>
          <w:b/>
        </w:rPr>
        <w:t xml:space="preserve"> se snižuje</w:t>
      </w:r>
    </w:p>
    <w:p w:rsidR="00215D4F" w:rsidRDefault="00780105" w:rsidP="00FE3F55">
      <w:pPr>
        <w:widowControl/>
        <w:spacing w:before="120" w:after="120"/>
      </w:pPr>
      <w:r>
        <w:t>4.</w:t>
      </w:r>
      <w:r w:rsidR="006A5A6A">
        <w:t>13</w:t>
      </w:r>
      <w:r>
        <w:t xml:space="preserve"> Přestože cílů v oblasti CDZ nebylo dosaženo, k přesunu psychiatrické péče do komunity postupně docház</w:t>
      </w:r>
      <w:r w:rsidR="006E506A">
        <w:t>elo</w:t>
      </w:r>
      <w:r>
        <w:t>. Dle dat uváděných v </w:t>
      </w:r>
      <w:r w:rsidR="005820FC">
        <w:t>p</w:t>
      </w:r>
      <w:r>
        <w:t>sychiatrické ročence</w:t>
      </w:r>
      <w:r w:rsidR="00FA6434">
        <w:t xml:space="preserve"> vydané ÚZIS</w:t>
      </w:r>
      <w:r>
        <w:t xml:space="preserve"> byl v roce 2022 vykázán o</w:t>
      </w:r>
      <w:r w:rsidR="00B465E0" w:rsidRPr="00110CD4">
        <w:t> </w:t>
      </w:r>
      <w:r>
        <w:t>10</w:t>
      </w:r>
      <w:r w:rsidR="00B465E0" w:rsidRPr="00110CD4">
        <w:t> </w:t>
      </w:r>
      <w:r>
        <w:t>% nižší počet ošetřovacích dní v dlouhodobé lůžkové péči než v roce 2013. Snížil se také počet lůžek dlouhodobé psychiatrické péče, a to o více než 16 %, přičemž počet akutních psychiatrických lůžek stoupá. S postupným zřizováním CDZ klienti těchto služeb přibývali</w:t>
      </w:r>
      <w:r w:rsidR="007A307B">
        <w:t>:</w:t>
      </w:r>
      <w:r w:rsidR="00B465E0">
        <w:t xml:space="preserve"> celkem měla CDZ v prvním roce své existence v ČR </w:t>
      </w:r>
      <w:r w:rsidR="007A307B">
        <w:t>302</w:t>
      </w:r>
      <w:r w:rsidR="00B465E0" w:rsidRPr="00110CD4">
        <w:t> </w:t>
      </w:r>
      <w:r w:rsidR="007A307B">
        <w:t>unikátních klientů</w:t>
      </w:r>
      <w:r w:rsidR="00B465E0">
        <w:t>,</w:t>
      </w:r>
      <w:r w:rsidR="007A307B">
        <w:t xml:space="preserve"> </w:t>
      </w:r>
      <w:r w:rsidR="00B465E0">
        <w:t>v pátém roce už to bylo</w:t>
      </w:r>
      <w:r w:rsidR="007A307B">
        <w:t xml:space="preserve"> 6</w:t>
      </w:r>
      <w:r w:rsidR="00B465E0">
        <w:t> </w:t>
      </w:r>
      <w:r w:rsidR="007A307B">
        <w:t>257</w:t>
      </w:r>
      <w:r w:rsidR="00B465E0">
        <w:t xml:space="preserve"> klientů</w:t>
      </w:r>
      <w:r w:rsidR="007A307B">
        <w:t>, viz tabulk</w:t>
      </w:r>
      <w:r w:rsidR="00834C10">
        <w:t>u</w:t>
      </w:r>
      <w:r w:rsidR="007A307B">
        <w:t xml:space="preserve"> č. 3</w:t>
      </w:r>
      <w:r>
        <w:t>.</w:t>
      </w:r>
      <w:r w:rsidR="006E506A">
        <w:t xml:space="preserve"> </w:t>
      </w:r>
      <w:bookmarkStart w:id="13" w:name="_Hlk171676910"/>
      <w:r w:rsidR="00B465E0">
        <w:t>Všechny t</w:t>
      </w:r>
      <w:r w:rsidR="006E506A">
        <w:t xml:space="preserve">yto trendy jsou v souladu s cíli </w:t>
      </w:r>
      <w:r w:rsidR="006E506A" w:rsidRPr="006E506A">
        <w:t>probíhající reformy péče o duševní zdraví</w:t>
      </w:r>
      <w:r w:rsidR="006E506A">
        <w:t>.</w:t>
      </w:r>
    </w:p>
    <w:bookmarkEnd w:id="13"/>
    <w:p w:rsidR="00215D4F" w:rsidRDefault="00780105" w:rsidP="00721A03">
      <w:pPr>
        <w:widowControl/>
        <w:spacing w:before="120" w:after="200"/>
      </w:pPr>
      <w:r>
        <w:t>4.</w:t>
      </w:r>
      <w:r w:rsidR="006A5A6A">
        <w:t>14</w:t>
      </w:r>
      <w:r>
        <w:t xml:space="preserve"> V ČR však nadále chybí plán rozvoje služeb CDZ, </w:t>
      </w:r>
      <w:r w:rsidR="00374F7F">
        <w:t xml:space="preserve">za </w:t>
      </w:r>
      <w:r w:rsidR="009A7761">
        <w:t xml:space="preserve">jeho zpracování </w:t>
      </w:r>
      <w:r w:rsidR="00374F7F">
        <w:t xml:space="preserve">jsou dle Implementace NAPDZ zodpovědné </w:t>
      </w:r>
      <w:proofErr w:type="spellStart"/>
      <w:r>
        <w:t>MZd</w:t>
      </w:r>
      <w:proofErr w:type="spellEnd"/>
      <w:r w:rsidR="00374F7F">
        <w:t xml:space="preserve"> a</w:t>
      </w:r>
      <w:r>
        <w:t xml:space="preserve"> MPSV.</w:t>
      </w:r>
    </w:p>
    <w:p w:rsidR="008B0CD3" w:rsidRPr="00727A1D" w:rsidRDefault="00780105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120" w:after="120"/>
        <w:rPr>
          <w:b/>
        </w:rPr>
      </w:pPr>
      <w:r>
        <w:rPr>
          <w:b/>
        </w:rPr>
        <w:t>Tempo uskutečňování změn v systému péče o duševní zdraví je v ČR pomalé</w:t>
      </w:r>
    </w:p>
    <w:p w:rsidR="006355CC" w:rsidRDefault="00780105" w:rsidP="00FE3F55">
      <w:pPr>
        <w:widowControl/>
        <w:spacing w:before="120" w:after="120"/>
      </w:pPr>
      <w:r>
        <w:t>4.1</w:t>
      </w:r>
      <w:r w:rsidR="006A5A6A">
        <w:t>5</w:t>
      </w:r>
      <w:r>
        <w:t xml:space="preserve"> Již v</w:t>
      </w:r>
      <w:r w:rsidR="00116A5C">
        <w:t> </w:t>
      </w:r>
      <w:r>
        <w:t>koncepci zdravotnictví pro první dekádu 21. století</w:t>
      </w:r>
      <w:r>
        <w:rPr>
          <w:rStyle w:val="Znakapoznpodarou"/>
        </w:rPr>
        <w:footnoteReference w:id="21"/>
      </w:r>
      <w:r>
        <w:t xml:space="preserve"> </w:t>
      </w:r>
      <w:r w:rsidR="00A34135">
        <w:t xml:space="preserve">z roku 2002 vláda </w:t>
      </w:r>
      <w:r>
        <w:t>jednoznačně vymezil</w:t>
      </w:r>
      <w:r w:rsidR="00A34135">
        <w:t>a</w:t>
      </w:r>
      <w:r>
        <w:t xml:space="preserve">, že péče ve velkých psychiatrických zařízeních a léčebnách musí být nahrazena vyváženou kombinací nemocniční a </w:t>
      </w:r>
      <w:r w:rsidRPr="00390BAD">
        <w:t>komunitní péč</w:t>
      </w:r>
      <w:r w:rsidR="000E377E" w:rsidRPr="00390BAD">
        <w:t>e</w:t>
      </w:r>
      <w:r w:rsidRPr="00390BAD">
        <w:t xml:space="preserve">. </w:t>
      </w:r>
      <w:r w:rsidRPr="00B447BA">
        <w:t>K dosažení tohoto stavu však nestanovil</w:t>
      </w:r>
      <w:r w:rsidR="007A3D33" w:rsidRPr="00B447BA">
        <w:t>a</w:t>
      </w:r>
      <w:r w:rsidRPr="00B447BA">
        <w:t xml:space="preserve"> konkrétní postup plnění, </w:t>
      </w:r>
      <w:bookmarkStart w:id="14" w:name="_Hlk171677187"/>
      <w:r w:rsidR="003638AC" w:rsidRPr="00B447BA">
        <w:t xml:space="preserve">na což </w:t>
      </w:r>
      <w:r w:rsidRPr="00B447BA">
        <w:t xml:space="preserve">mj. NKÚ </w:t>
      </w:r>
      <w:r w:rsidR="003638AC" w:rsidRPr="00B447BA">
        <w:t>poukázal</w:t>
      </w:r>
      <w:r w:rsidRPr="00B447BA">
        <w:t xml:space="preserve"> </w:t>
      </w:r>
      <w:bookmarkEnd w:id="14"/>
      <w:r w:rsidRPr="00B447BA">
        <w:t xml:space="preserve">v rámci své kontrolní akce </w:t>
      </w:r>
      <w:r w:rsidR="00B465E0" w:rsidRPr="00B447BA">
        <w:t xml:space="preserve">už </w:t>
      </w:r>
      <w:r w:rsidRPr="00B447BA">
        <w:t>v roce 2012</w:t>
      </w:r>
      <w:r w:rsidRPr="00390BAD">
        <w:rPr>
          <w:rStyle w:val="Znakapoznpodarou"/>
        </w:rPr>
        <w:footnoteReference w:id="22"/>
      </w:r>
      <w:r w:rsidRPr="00390BAD">
        <w:t xml:space="preserve">. </w:t>
      </w:r>
      <w:bookmarkStart w:id="15" w:name="_Hlk171677464"/>
      <w:bookmarkStart w:id="16" w:name="_Hlk171677487"/>
      <w:r w:rsidR="003638AC" w:rsidRPr="00390BAD">
        <w:t xml:space="preserve">Záměr do značné míry </w:t>
      </w:r>
      <w:proofErr w:type="spellStart"/>
      <w:r w:rsidR="003638AC" w:rsidRPr="00390BAD">
        <w:t>deinstitucionalizovat</w:t>
      </w:r>
      <w:proofErr w:type="spellEnd"/>
      <w:r w:rsidR="003638AC">
        <w:t xml:space="preserve"> psychiatrickou péči</w:t>
      </w:r>
      <w:r>
        <w:t xml:space="preserve"> </w:t>
      </w:r>
      <w:bookmarkEnd w:id="15"/>
      <w:r>
        <w:t>se postupně opakuj</w:t>
      </w:r>
      <w:r w:rsidR="003638AC">
        <w:t>e</w:t>
      </w:r>
      <w:bookmarkEnd w:id="16"/>
      <w:r>
        <w:t xml:space="preserve"> i</w:t>
      </w:r>
      <w:r w:rsidR="000E377E">
        <w:t> </w:t>
      </w:r>
      <w:r>
        <w:t>v dalších koncepčních a strategických materiálech pro tuto oblast. I přes již konkrétněji definované postupy a kroky se k žádoucímu stavu ČR přibližuje pomalu.</w:t>
      </w:r>
    </w:p>
    <w:p w:rsidR="00483DD8" w:rsidRDefault="00780105" w:rsidP="00FE3F55">
      <w:pPr>
        <w:widowControl/>
        <w:spacing w:before="120" w:after="120"/>
      </w:pPr>
      <w:r>
        <w:t>4.1</w:t>
      </w:r>
      <w:r w:rsidR="006A5A6A">
        <w:t>6</w:t>
      </w:r>
      <w:r>
        <w:t xml:space="preserve"> Ve Strategii reformy </w:t>
      </w:r>
      <w:proofErr w:type="spellStart"/>
      <w:r>
        <w:t>MZd</w:t>
      </w:r>
      <w:proofErr w:type="spellEnd"/>
      <w:r>
        <w:t xml:space="preserve"> v roce 2013 vytyčilo řadu cílů, jichž chtělo v této oblast</w:t>
      </w:r>
      <w:r w:rsidR="00A34135">
        <w:t>i</w:t>
      </w:r>
      <w:r>
        <w:t xml:space="preserve"> dosáhnout</w:t>
      </w:r>
      <w:r w:rsidR="0020512D">
        <w:t xml:space="preserve"> v období let 2014 až 2023</w:t>
      </w:r>
      <w:r>
        <w:t xml:space="preserve">. </w:t>
      </w:r>
      <w:r w:rsidR="00CE2A03">
        <w:t>Mezi klíčová opatření</w:t>
      </w:r>
      <w:r w:rsidR="00FC0964">
        <w:t xml:space="preserve"> k jejich dosažení</w:t>
      </w:r>
      <w:r w:rsidR="00CE2A03">
        <w:t xml:space="preserve"> patřil i vznik CDZ</w:t>
      </w:r>
      <w:r w:rsidR="00537911">
        <w:t xml:space="preserve"> pro osoby </w:t>
      </w:r>
      <w:r w:rsidR="0022191F" w:rsidRPr="0022191F">
        <w:t>se závažným duševním onemocněním</w:t>
      </w:r>
      <w:r w:rsidR="00CE2A03">
        <w:t xml:space="preserve"> jako nového pilíře</w:t>
      </w:r>
      <w:r w:rsidR="0020512D">
        <w:t xml:space="preserve"> </w:t>
      </w:r>
      <w:r w:rsidR="00CE2A03">
        <w:t>poskytování psychiatrické péče s návazností na</w:t>
      </w:r>
      <w:r w:rsidR="0020512D">
        <w:t> </w:t>
      </w:r>
      <w:r w:rsidR="00CE2A03">
        <w:t xml:space="preserve">sociální oblast a </w:t>
      </w:r>
      <w:r w:rsidR="00226B3B">
        <w:t xml:space="preserve">další </w:t>
      </w:r>
      <w:r w:rsidR="00CE2A03">
        <w:t>rozvoj této péče.</w:t>
      </w:r>
      <w:r w:rsidR="00A8701E">
        <w:t xml:space="preserve"> V roce 2020 byl</w:t>
      </w:r>
      <w:r w:rsidR="006355CC">
        <w:t xml:space="preserve"> následně</w:t>
      </w:r>
      <w:r w:rsidR="00A8701E">
        <w:t xml:space="preserve"> schválen NAPDZ, který</w:t>
      </w:r>
      <w:r w:rsidR="006355CC">
        <w:t> </w:t>
      </w:r>
      <w:r w:rsidR="00A8701E">
        <w:t>mj. přebíral úkoly ze Strategie reformy, které se nedařilo plnit.</w:t>
      </w:r>
    </w:p>
    <w:p w:rsidR="005C3F5D" w:rsidRPr="005C3F5D" w:rsidRDefault="00780105" w:rsidP="00721A03">
      <w:pPr>
        <w:widowControl/>
        <w:spacing w:before="120" w:after="200"/>
      </w:pPr>
      <w:r>
        <w:t>4.1</w:t>
      </w:r>
      <w:r w:rsidR="006A5A6A">
        <w:t>7</w:t>
      </w:r>
      <w:r>
        <w:t xml:space="preserve"> </w:t>
      </w:r>
      <w:r w:rsidR="00A472B9">
        <w:t>Nový prvek systému péče o duševní zdraví, kterým jsou CDZ, byl v ČR vytvořen.</w:t>
      </w:r>
      <w:r w:rsidR="007D1B9C">
        <w:t xml:space="preserve"> Byly nastaveny standardy poskytování péče v</w:t>
      </w:r>
      <w:r w:rsidR="00A472B9">
        <w:t> </w:t>
      </w:r>
      <w:r w:rsidR="007D1B9C">
        <w:t xml:space="preserve">CDZ definující jejich fungování, byly vymezeny mechanismy financování zdravotní části služeb a vytvořené </w:t>
      </w:r>
      <w:r w:rsidR="007D1B9C" w:rsidRPr="005C3F5D">
        <w:t xml:space="preserve">kapacity center jsou využívány. Budoucnost CDZ je však podle NKÚ nejistá. </w:t>
      </w:r>
      <w:r w:rsidR="005C3F5D" w:rsidRPr="00B7682F">
        <w:t>Řada problémů je dle NKÚ zapříčiněna nízkou</w:t>
      </w:r>
      <w:r w:rsidR="00C41DF7">
        <w:t xml:space="preserve"> </w:t>
      </w:r>
      <w:r w:rsidR="005C3F5D" w:rsidRPr="00B7682F">
        <w:t>mírou spolupráce dvou hlavních zapojených re</w:t>
      </w:r>
      <w:r w:rsidR="00C41DF7">
        <w:t>s</w:t>
      </w:r>
      <w:r w:rsidR="005C3F5D" w:rsidRPr="00B7682F">
        <w:t>ortů.</w:t>
      </w:r>
    </w:p>
    <w:p w:rsidR="0089422C" w:rsidRPr="006C03E3" w:rsidRDefault="00BC158C" w:rsidP="006776A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b/>
        </w:rPr>
      </w:pPr>
      <w:bookmarkStart w:id="17" w:name="_Hlk172800893"/>
      <w:r w:rsidRPr="00B7682F">
        <w:rPr>
          <w:b/>
        </w:rPr>
        <w:t xml:space="preserve">Nevznikla </w:t>
      </w:r>
      <w:r w:rsidRPr="00BC158C">
        <w:rPr>
          <w:b/>
        </w:rPr>
        <w:t>a</w:t>
      </w:r>
      <w:r>
        <w:rPr>
          <w:b/>
        </w:rPr>
        <w:t xml:space="preserve">ni třetina </w:t>
      </w:r>
      <w:bookmarkStart w:id="18" w:name="_Hlk171677931"/>
      <w:r w:rsidR="00780105">
        <w:rPr>
          <w:b/>
        </w:rPr>
        <w:t>CDZ</w:t>
      </w:r>
      <w:r w:rsidR="0029524C">
        <w:rPr>
          <w:b/>
        </w:rPr>
        <w:t xml:space="preserve"> </w:t>
      </w:r>
      <w:r>
        <w:rPr>
          <w:b/>
        </w:rPr>
        <w:t>plánovaných ve</w:t>
      </w:r>
      <w:r w:rsidR="00582A1E">
        <w:rPr>
          <w:b/>
        </w:rPr>
        <w:t xml:space="preserve"> Strategi</w:t>
      </w:r>
      <w:r>
        <w:rPr>
          <w:b/>
        </w:rPr>
        <w:t>i</w:t>
      </w:r>
      <w:r w:rsidR="00582A1E">
        <w:rPr>
          <w:b/>
        </w:rPr>
        <w:t xml:space="preserve"> reformy</w:t>
      </w:r>
    </w:p>
    <w:bookmarkEnd w:id="17"/>
    <w:bookmarkEnd w:id="18"/>
    <w:p w:rsidR="002E496D" w:rsidRDefault="00780105" w:rsidP="00685CFA">
      <w:pPr>
        <w:spacing w:after="120"/>
      </w:pPr>
      <w:r w:rsidRPr="00284085">
        <w:t>4.1</w:t>
      </w:r>
      <w:r w:rsidR="006A5A6A">
        <w:t>8</w:t>
      </w:r>
      <w:r w:rsidRPr="00284085">
        <w:t xml:space="preserve"> </w:t>
      </w:r>
      <w:r w:rsidR="0020512D" w:rsidRPr="00110CD4">
        <w:t>Cílová dostupnost tohoto nového prvku byla stanovena na jedno CDZ na cca 100</w:t>
      </w:r>
      <w:r w:rsidR="00280486">
        <w:t> </w:t>
      </w:r>
      <w:r w:rsidR="0020512D" w:rsidRPr="00110CD4">
        <w:t>tis</w:t>
      </w:r>
      <w:r w:rsidR="000C1F0C">
        <w:t xml:space="preserve">íc </w:t>
      </w:r>
      <w:r w:rsidR="0020512D" w:rsidRPr="00110CD4">
        <w:t>obyvatel, v některých regionech dokonce jedno CDZ na 80 tis</w:t>
      </w:r>
      <w:r w:rsidR="000C1F0C">
        <w:t>íc</w:t>
      </w:r>
      <w:r w:rsidR="0020512D" w:rsidRPr="00110CD4">
        <w:t xml:space="preserve"> obyvatel. Na konci roku 2023 však </w:t>
      </w:r>
      <w:r w:rsidR="00895436">
        <w:t>bylo provozováno</w:t>
      </w:r>
      <w:r w:rsidR="00C168AE">
        <w:t xml:space="preserve">, resp. </w:t>
      </w:r>
      <w:r w:rsidR="0020512D" w:rsidRPr="00110CD4">
        <w:t>bylo zdravotními pojišťovnami nasmlouváno</w:t>
      </w:r>
      <w:r w:rsidR="00895436">
        <w:t>,</w:t>
      </w:r>
      <w:r w:rsidR="0020512D" w:rsidRPr="00110CD4">
        <w:t xml:space="preserve"> pouze 31 CDZ</w:t>
      </w:r>
      <w:r w:rsidR="000212A3">
        <w:br/>
      </w:r>
      <w:r w:rsidR="0020512D" w:rsidRPr="00110CD4">
        <w:t>pro osoby se</w:t>
      </w:r>
      <w:r w:rsidR="00B465E0" w:rsidRPr="00110CD4">
        <w:t> </w:t>
      </w:r>
      <w:r w:rsidR="0020512D" w:rsidRPr="00110CD4">
        <w:t xml:space="preserve">závažným duševním onemocněním, což odpovídalo tomu, že jedno CDZ bylo k dispozici pro </w:t>
      </w:r>
      <w:r w:rsidR="001350C2" w:rsidRPr="00110CD4">
        <w:t>více než</w:t>
      </w:r>
      <w:r w:rsidR="0020512D" w:rsidRPr="00110CD4">
        <w:t xml:space="preserve"> </w:t>
      </w:r>
      <w:r w:rsidR="001350C2" w:rsidRPr="00110CD4">
        <w:t xml:space="preserve">tři sta padesát </w:t>
      </w:r>
      <w:r w:rsidR="0020512D" w:rsidRPr="00110CD4">
        <w:t>tis</w:t>
      </w:r>
      <w:r w:rsidR="001350C2" w:rsidRPr="00110CD4">
        <w:t>íc</w:t>
      </w:r>
      <w:r w:rsidR="0020512D" w:rsidRPr="00110CD4">
        <w:t xml:space="preserve"> obyvatel.</w:t>
      </w:r>
      <w:r w:rsidR="001350C2" w:rsidRPr="00110CD4">
        <w:t xml:space="preserve"> </w:t>
      </w:r>
      <w:r w:rsidR="00226B3B" w:rsidRPr="00110CD4">
        <w:t>Analogicky tak</w:t>
      </w:r>
      <w:r w:rsidRPr="00110CD4">
        <w:t xml:space="preserve"> nebylo dosaženo ani časové dostupnosti</w:t>
      </w:r>
      <w:r w:rsidR="00226B3B" w:rsidRPr="00110CD4">
        <w:t xml:space="preserve"> dojezdu</w:t>
      </w:r>
      <w:r w:rsidRPr="00110CD4">
        <w:t xml:space="preserve"> 30 minut veřejnou dopravou</w:t>
      </w:r>
      <w:r w:rsidR="0029524C" w:rsidRPr="00110CD4">
        <w:t xml:space="preserve"> pro všechny obyvatele ČR</w:t>
      </w:r>
      <w:r>
        <w:t>.</w:t>
      </w:r>
    </w:p>
    <w:p w:rsidR="007D1B9C" w:rsidRPr="00110CD4" w:rsidRDefault="00780105" w:rsidP="00721A03">
      <w:pPr>
        <w:spacing w:after="200"/>
        <w:rPr>
          <w:b/>
        </w:rPr>
      </w:pPr>
      <w:r>
        <w:t>4.1</w:t>
      </w:r>
      <w:r w:rsidR="006A5A6A">
        <w:t>9</w:t>
      </w:r>
      <w:r w:rsidR="00A8701E">
        <w:t xml:space="preserve"> </w:t>
      </w:r>
      <w:r w:rsidR="00A8701E" w:rsidRPr="00E27640">
        <w:t>Přes zjevné obtíže s dosažením záměru 100 CDZ neprovedlo</w:t>
      </w:r>
      <w:r w:rsidR="00C41DF7" w:rsidRPr="00C41DF7">
        <w:t xml:space="preserve"> </w:t>
      </w:r>
      <w:proofErr w:type="spellStart"/>
      <w:r w:rsidR="00C41DF7" w:rsidRPr="00E27640">
        <w:t>MZ</w:t>
      </w:r>
      <w:r w:rsidR="00C41DF7">
        <w:t>d</w:t>
      </w:r>
      <w:proofErr w:type="spellEnd"/>
      <w:r w:rsidR="00A8701E" w:rsidRPr="00E27640">
        <w:t xml:space="preserve"> zhodnocení reálných možností </w:t>
      </w:r>
      <w:r w:rsidR="008B49C8">
        <w:t>a</w:t>
      </w:r>
      <w:r w:rsidR="00582A1E" w:rsidRPr="00E27640">
        <w:t xml:space="preserve"> </w:t>
      </w:r>
      <w:r w:rsidR="00A8701E" w:rsidRPr="00F72D64">
        <w:t>potřeb systému</w:t>
      </w:r>
      <w:r w:rsidR="00266AE6">
        <w:t xml:space="preserve"> a</w:t>
      </w:r>
      <w:r w:rsidR="00A8701E" w:rsidRPr="00F72D64">
        <w:t xml:space="preserve"> </w:t>
      </w:r>
      <w:r w:rsidR="00266AE6">
        <w:t>s</w:t>
      </w:r>
      <w:r w:rsidR="00714AA5" w:rsidRPr="00B447BA">
        <w:t>p</w:t>
      </w:r>
      <w:r w:rsidR="00A8701E" w:rsidRPr="00B447BA">
        <w:t xml:space="preserve">lnění tohoto za současných podmínek zcela nerealistického cíle </w:t>
      </w:r>
      <w:r w:rsidR="00714AA5" w:rsidRPr="00B447BA">
        <w:t xml:space="preserve">bylo v NAPDZ pouze odsunuto </w:t>
      </w:r>
      <w:r w:rsidR="00A8701E" w:rsidRPr="00B447BA">
        <w:t>do roku 2030.</w:t>
      </w:r>
    </w:p>
    <w:p w:rsidR="007D1B9C" w:rsidRPr="006C03E3" w:rsidRDefault="00780105" w:rsidP="00677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b/>
        </w:rPr>
      </w:pPr>
      <w:r>
        <w:rPr>
          <w:b/>
        </w:rPr>
        <w:t>V ČR se nedaří dosáhnout optimálních personálních kapacit pro poskytování péče</w:t>
      </w:r>
      <w:r w:rsidR="00B13F50">
        <w:rPr>
          <w:b/>
        </w:rPr>
        <w:t>,</w:t>
      </w:r>
      <w:r>
        <w:rPr>
          <w:b/>
        </w:rPr>
        <w:t xml:space="preserve"> </w:t>
      </w:r>
      <w:r w:rsidR="00B13F50">
        <w:rPr>
          <w:b/>
        </w:rPr>
        <w:t>s</w:t>
      </w:r>
      <w:r>
        <w:rPr>
          <w:b/>
        </w:rPr>
        <w:t>tále chybí více než polovina potřebných specialistů v oboru psychiatrie</w:t>
      </w:r>
    </w:p>
    <w:p w:rsidR="007D1B9C" w:rsidRDefault="00780105" w:rsidP="00685CFA">
      <w:pPr>
        <w:spacing w:after="120"/>
      </w:pPr>
      <w:r>
        <w:t>4.</w:t>
      </w:r>
      <w:r w:rsidR="006A5A6A">
        <w:t>20</w:t>
      </w:r>
      <w:r>
        <w:t xml:space="preserve"> Ve Strategii reformy byla dostupnost </w:t>
      </w:r>
      <w:r w:rsidR="00725A47">
        <w:t xml:space="preserve">psychiatrické péče </w:t>
      </w:r>
      <w:r>
        <w:t>definována také počty specialistů v příslušných oborech</w:t>
      </w:r>
      <w:r w:rsidR="002E3F5D">
        <w:t>,</w:t>
      </w:r>
      <w:r>
        <w:t xml:space="preserve"> jako jsou např. psychiatři, specialisté v oboru dětská a dorostová psychiatrie, </w:t>
      </w:r>
      <w:proofErr w:type="spellStart"/>
      <w:r>
        <w:t>gerontopsychiatrie</w:t>
      </w:r>
      <w:proofErr w:type="spellEnd"/>
      <w:r>
        <w:t xml:space="preserve">, klinická </w:t>
      </w:r>
      <w:r w:rsidRPr="00110CD4">
        <w:t>psychologie/psychoterapie, psychiatrické sestry. Stanoveného počtu specialistů nebylo dosaženo</w:t>
      </w:r>
      <w:r w:rsidR="00D83DE1">
        <w:t xml:space="preserve"> </w:t>
      </w:r>
      <w:r w:rsidR="007F2157">
        <w:t>nejen</w:t>
      </w:r>
      <w:r w:rsidR="00D83DE1">
        <w:t xml:space="preserve"> v rámci CDZ, </w:t>
      </w:r>
      <w:r w:rsidR="007F2157">
        <w:t xml:space="preserve">ale </w:t>
      </w:r>
      <w:r w:rsidR="00D83DE1">
        <w:t>ani celkově v ČR</w:t>
      </w:r>
      <w:r w:rsidRPr="00110CD4">
        <w:t>.</w:t>
      </w:r>
    </w:p>
    <w:p w:rsidR="00D41671" w:rsidRDefault="00D41671" w:rsidP="00280486">
      <w:pPr>
        <w:pStyle w:val="Nzevtabulky"/>
        <w:numPr>
          <w:ilvl w:val="0"/>
          <w:numId w:val="0"/>
        </w:numPr>
        <w:spacing w:before="240" w:after="40"/>
      </w:pPr>
      <w:r>
        <w:t>Tabulka č. 5: Cílový počet vybraných specialistů v CDZ na 100 tis</w:t>
      </w:r>
      <w:r w:rsidR="000C1F0C">
        <w:t>íc</w:t>
      </w:r>
      <w:r>
        <w:t xml:space="preserve"> obyvatel</w:t>
      </w:r>
    </w:p>
    <w:tbl>
      <w:tblPr>
        <w:tblStyle w:val="Mkatabulky"/>
        <w:tblW w:w="5032" w:type="pct"/>
        <w:jc w:val="center"/>
        <w:tblLook w:val="04A0" w:firstRow="1" w:lastRow="0" w:firstColumn="1" w:lastColumn="0" w:noHBand="0" w:noVBand="1"/>
      </w:tblPr>
      <w:tblGrid>
        <w:gridCol w:w="2438"/>
        <w:gridCol w:w="1810"/>
        <w:gridCol w:w="4875"/>
      </w:tblGrid>
      <w:tr w:rsidR="00685CFA" w:rsidRPr="006847B6" w:rsidTr="00B0516A">
        <w:trPr>
          <w:jc w:val="center"/>
        </w:trPr>
        <w:tc>
          <w:tcPr>
            <w:tcW w:w="1336" w:type="pct"/>
            <w:shd w:val="clear" w:color="auto" w:fill="E6E6E6"/>
            <w:vAlign w:val="center"/>
          </w:tcPr>
          <w:p w:rsidR="00D41671" w:rsidRPr="006847B6" w:rsidRDefault="00D41671" w:rsidP="00EC3CC0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Specialisté</w:t>
            </w:r>
          </w:p>
        </w:tc>
        <w:tc>
          <w:tcPr>
            <w:tcW w:w="992" w:type="pct"/>
            <w:shd w:val="clear" w:color="auto" w:fill="E6E6E6"/>
            <w:vAlign w:val="center"/>
          </w:tcPr>
          <w:p w:rsidR="00D41671" w:rsidRPr="006847B6" w:rsidRDefault="00D41671" w:rsidP="00EC3CC0">
            <w:pPr>
              <w:pStyle w:val="tabulka"/>
              <w:jc w:val="center"/>
              <w:rPr>
                <w:b/>
              </w:rPr>
            </w:pPr>
            <w:r w:rsidRPr="006847B6">
              <w:rPr>
                <w:b/>
              </w:rPr>
              <w:t>Plánovaný stav dle Strategie reformy</w:t>
            </w:r>
            <w:r>
              <w:rPr>
                <w:b/>
              </w:rPr>
              <w:t>, pilíř CDZ</w:t>
            </w:r>
          </w:p>
        </w:tc>
        <w:tc>
          <w:tcPr>
            <w:tcW w:w="2672" w:type="pct"/>
            <w:shd w:val="clear" w:color="auto" w:fill="E6E6E6"/>
            <w:vAlign w:val="center"/>
          </w:tcPr>
          <w:p w:rsidR="00D41671" w:rsidRPr="006847B6" w:rsidRDefault="00D41671" w:rsidP="00EC3CC0">
            <w:pPr>
              <w:pStyle w:val="tabulka"/>
              <w:jc w:val="center"/>
              <w:rPr>
                <w:b/>
              </w:rPr>
            </w:pPr>
            <w:r w:rsidRPr="006847B6">
              <w:rPr>
                <w:b/>
              </w:rPr>
              <w:t>Skutečnost</w:t>
            </w:r>
          </w:p>
          <w:p w:rsidR="00D41671" w:rsidRPr="006847B6" w:rsidRDefault="00D41671" w:rsidP="00EC3CC0">
            <w:pPr>
              <w:pStyle w:val="tabulka"/>
              <w:jc w:val="center"/>
              <w:rPr>
                <w:b/>
              </w:rPr>
            </w:pPr>
            <w:r w:rsidRPr="006847B6">
              <w:rPr>
                <w:b/>
              </w:rPr>
              <w:t>(stav k 30. 9. 2023)</w:t>
            </w:r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>Psychiatři</w:t>
            </w:r>
          </w:p>
        </w:tc>
        <w:tc>
          <w:tcPr>
            <w:tcW w:w="992" w:type="pct"/>
            <w:vAlign w:val="center"/>
          </w:tcPr>
          <w:p w:rsidR="00CD4350" w:rsidRDefault="00D41671" w:rsidP="00EC3CC0">
            <w:pPr>
              <w:pStyle w:val="tabulka"/>
              <w:jc w:val="center"/>
            </w:pPr>
            <w:r w:rsidRPr="006847B6">
              <w:t>1</w:t>
            </w:r>
          </w:p>
          <w:p w:rsidR="00D41671" w:rsidRPr="006847B6" w:rsidRDefault="00CD4350" w:rsidP="00EC3CC0">
            <w:pPr>
              <w:pStyle w:val="tabulka"/>
              <w:jc w:val="center"/>
            </w:pPr>
            <w:r>
              <w:t>(</w:t>
            </w:r>
            <w:r w:rsidR="00D41671" w:rsidRPr="006847B6">
              <w:t>po stabilizaci</w:t>
            </w:r>
            <w:r w:rsidR="005C2A14">
              <w:t xml:space="preserve"> </w:t>
            </w:r>
            <w:r w:rsidR="00D41671" w:rsidRPr="006847B6">
              <w:t>a</w:t>
            </w:r>
            <w:r w:rsidR="00280486">
              <w:t> </w:t>
            </w:r>
            <w:r w:rsidR="00D41671" w:rsidRPr="006847B6">
              <w:t>dalším rozvoji nově vzniklých</w:t>
            </w:r>
            <w:r w:rsidR="005C2A14">
              <w:t xml:space="preserve"> </w:t>
            </w:r>
            <w:r w:rsidR="00D41671" w:rsidRPr="006847B6">
              <w:t xml:space="preserve">CDZ </w:t>
            </w:r>
            <w:r>
              <w:t xml:space="preserve">navýšení na </w:t>
            </w:r>
            <w:r w:rsidR="00D41671" w:rsidRPr="006847B6">
              <w:t>2</w:t>
            </w:r>
            <w:r w:rsidR="00CD3384">
              <w:t>)</w:t>
            </w:r>
          </w:p>
        </w:tc>
        <w:tc>
          <w:tcPr>
            <w:tcW w:w="267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>0,66</w:t>
            </w:r>
            <w:r w:rsidRPr="006847B6">
              <w:t xml:space="preserve"> lékař</w:t>
            </w:r>
            <w:r w:rsidR="009A7761">
              <w:t>e</w:t>
            </w:r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>Specialisté v oboru dětská a</w:t>
            </w:r>
            <w:r w:rsidR="00280486">
              <w:t> </w:t>
            </w:r>
            <w:r w:rsidRPr="006847B6">
              <w:t>dorostová psychiatrie</w:t>
            </w:r>
          </w:p>
        </w:tc>
        <w:tc>
          <w:tcPr>
            <w:tcW w:w="99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 w:rsidRPr="006847B6">
              <w:t>0,5</w:t>
            </w:r>
          </w:p>
        </w:tc>
        <w:tc>
          <w:tcPr>
            <w:tcW w:w="267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>0,06</w:t>
            </w:r>
            <w:r w:rsidRPr="006847B6">
              <w:t xml:space="preserve"> lékař</w:t>
            </w:r>
            <w:r w:rsidR="009A7761">
              <w:t>e</w:t>
            </w:r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 xml:space="preserve">Specialisté v oboru </w:t>
            </w:r>
            <w:proofErr w:type="spellStart"/>
            <w:r w:rsidRPr="006847B6">
              <w:t>gerontopsychiatrie</w:t>
            </w:r>
            <w:proofErr w:type="spellEnd"/>
          </w:p>
        </w:tc>
        <w:tc>
          <w:tcPr>
            <w:tcW w:w="99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 w:rsidRPr="006847B6">
              <w:t>0,5</w:t>
            </w:r>
          </w:p>
        </w:tc>
        <w:tc>
          <w:tcPr>
            <w:tcW w:w="267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 w:rsidRPr="006847B6">
              <w:t>0,</w:t>
            </w:r>
            <w:r>
              <w:t>01</w:t>
            </w:r>
            <w:r w:rsidRPr="006847B6">
              <w:t xml:space="preserve"> lékař</w:t>
            </w:r>
            <w:r w:rsidR="009A7761">
              <w:t>e</w:t>
            </w:r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>Specialisté v oboru sexuologie</w:t>
            </w:r>
          </w:p>
        </w:tc>
        <w:tc>
          <w:tcPr>
            <w:tcW w:w="99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 w:rsidRPr="006847B6">
              <w:t>1</w:t>
            </w:r>
          </w:p>
        </w:tc>
        <w:tc>
          <w:tcPr>
            <w:tcW w:w="267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>0,02</w:t>
            </w:r>
            <w:r w:rsidRPr="006847B6">
              <w:t xml:space="preserve"> lékaře</w:t>
            </w:r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 xml:space="preserve">Specialisté v oboru </w:t>
            </w:r>
            <w:proofErr w:type="spellStart"/>
            <w:r w:rsidRPr="006847B6">
              <w:t>adiktologie</w:t>
            </w:r>
            <w:proofErr w:type="spellEnd"/>
          </w:p>
        </w:tc>
        <w:tc>
          <w:tcPr>
            <w:tcW w:w="992" w:type="pct"/>
            <w:vAlign w:val="center"/>
          </w:tcPr>
          <w:p w:rsidR="00D41671" w:rsidRPr="006847B6" w:rsidRDefault="00D41671" w:rsidP="00B0516A">
            <w:pPr>
              <w:pStyle w:val="tabulka"/>
              <w:ind w:left="-283" w:firstLine="283"/>
              <w:jc w:val="center"/>
            </w:pPr>
            <w:r w:rsidRPr="006847B6">
              <w:t>1</w:t>
            </w:r>
          </w:p>
        </w:tc>
        <w:tc>
          <w:tcPr>
            <w:tcW w:w="2672" w:type="pct"/>
            <w:vAlign w:val="center"/>
          </w:tcPr>
          <w:p w:rsidR="00D41671" w:rsidRDefault="00D41671" w:rsidP="00EC3CC0">
            <w:pPr>
              <w:pStyle w:val="tabulka"/>
              <w:jc w:val="center"/>
            </w:pPr>
            <w:r>
              <w:t>O</w:t>
            </w:r>
            <w:r w:rsidRPr="006847B6">
              <w:t>bor psychiatrie s nástavbovým vzděláváním v</w:t>
            </w:r>
            <w:r w:rsidR="00280486">
              <w:t> </w:t>
            </w:r>
            <w:r w:rsidRPr="006847B6">
              <w:t xml:space="preserve">oblasti návykových nemocí </w:t>
            </w:r>
            <w:r w:rsidR="00C41DF7">
              <w:t>–</w:t>
            </w:r>
            <w:r>
              <w:t xml:space="preserve"> </w:t>
            </w:r>
            <w:r w:rsidRPr="006847B6">
              <w:t>0,</w:t>
            </w:r>
            <w:r>
              <w:t>04</w:t>
            </w:r>
            <w:r w:rsidRPr="006847B6">
              <w:t xml:space="preserve"> lékaře</w:t>
            </w:r>
            <w:r>
              <w:t>;</w:t>
            </w:r>
          </w:p>
          <w:p w:rsidR="00D41671" w:rsidRPr="006847B6" w:rsidRDefault="0043384E" w:rsidP="00EC3CC0">
            <w:pPr>
              <w:pStyle w:val="tabulka"/>
              <w:jc w:val="center"/>
            </w:pPr>
            <w:r>
              <w:t>o</w:t>
            </w:r>
            <w:r w:rsidR="00D41671" w:rsidRPr="006847B6">
              <w:t xml:space="preserve">bor </w:t>
            </w:r>
            <w:proofErr w:type="spellStart"/>
            <w:r w:rsidR="00D41671" w:rsidRPr="006847B6">
              <w:t>adiktologie</w:t>
            </w:r>
            <w:proofErr w:type="spellEnd"/>
            <w:r w:rsidR="00D41671" w:rsidRPr="006847B6">
              <w:t xml:space="preserve"> (nelékařského povolání) </w:t>
            </w:r>
            <w:r w:rsidR="00C41DF7">
              <w:t>–</w:t>
            </w:r>
            <w:r w:rsidR="00D41671" w:rsidRPr="006847B6">
              <w:t xml:space="preserve"> </w:t>
            </w:r>
            <w:r w:rsidR="00B0516A">
              <w:br/>
            </w:r>
            <w:r w:rsidR="00D41671" w:rsidRPr="006847B6">
              <w:t>0,</w:t>
            </w:r>
            <w:r w:rsidR="00D41671">
              <w:t>1</w:t>
            </w:r>
            <w:r w:rsidR="00D41671" w:rsidRPr="006847B6">
              <w:t xml:space="preserve"> </w:t>
            </w:r>
            <w:proofErr w:type="spellStart"/>
            <w:r>
              <w:t>a</w:t>
            </w:r>
            <w:r w:rsidR="00D41671" w:rsidRPr="006847B6">
              <w:t>diktologa</w:t>
            </w:r>
            <w:proofErr w:type="spellEnd"/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 xml:space="preserve">Specialisté v oboru klinická </w:t>
            </w:r>
            <w:r>
              <w:t>p</w:t>
            </w:r>
            <w:r w:rsidRPr="006847B6">
              <w:t>sychologie/psychoterapie</w:t>
            </w:r>
          </w:p>
        </w:tc>
        <w:tc>
          <w:tcPr>
            <w:tcW w:w="99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>2</w:t>
            </w:r>
          </w:p>
        </w:tc>
        <w:tc>
          <w:tcPr>
            <w:tcW w:w="267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>V o</w:t>
            </w:r>
            <w:r w:rsidRPr="00DC4932">
              <w:t>borech navazujících na vzdělání psychologa</w:t>
            </w:r>
            <w:r w:rsidR="00B0516A">
              <w:t xml:space="preserve"> </w:t>
            </w:r>
            <w:r w:rsidR="00B0516A">
              <w:br/>
            </w:r>
            <w:r w:rsidRPr="00DC4932">
              <w:t>ve zdravotnictví (tedy klinická psychologie, systematická psychoterapie, psychologická laboratoř, psychoterapie)</w:t>
            </w:r>
            <w:r>
              <w:t xml:space="preserve"> –</w:t>
            </w:r>
            <w:r w:rsidRPr="00DC4932">
              <w:t xml:space="preserve"> </w:t>
            </w:r>
            <w:r>
              <w:t>0,82</w:t>
            </w:r>
            <w:r w:rsidRPr="00DC4932">
              <w:t xml:space="preserve"> psychologa</w:t>
            </w:r>
          </w:p>
        </w:tc>
      </w:tr>
      <w:tr w:rsidR="00685CFA" w:rsidRPr="006847B6" w:rsidTr="00B0516A">
        <w:trPr>
          <w:jc w:val="center"/>
        </w:trPr>
        <w:tc>
          <w:tcPr>
            <w:tcW w:w="1336" w:type="pct"/>
            <w:vAlign w:val="center"/>
          </w:tcPr>
          <w:p w:rsidR="00D41671" w:rsidRPr="006847B6" w:rsidRDefault="00D41671" w:rsidP="00EC3CC0">
            <w:pPr>
              <w:pStyle w:val="tabulka"/>
              <w:jc w:val="left"/>
            </w:pPr>
            <w:r w:rsidRPr="006847B6">
              <w:t>Psychiatrické sestry</w:t>
            </w:r>
          </w:p>
        </w:tc>
        <w:tc>
          <w:tcPr>
            <w:tcW w:w="99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>13</w:t>
            </w:r>
          </w:p>
        </w:tc>
        <w:tc>
          <w:tcPr>
            <w:tcW w:w="2672" w:type="pct"/>
            <w:vAlign w:val="center"/>
          </w:tcPr>
          <w:p w:rsidR="00D41671" w:rsidRPr="006847B6" w:rsidRDefault="00D41671" w:rsidP="00EC3CC0">
            <w:pPr>
              <w:pStyle w:val="tabulka"/>
              <w:jc w:val="center"/>
            </w:pPr>
            <w:r>
              <w:t xml:space="preserve">1,34 sester </w:t>
            </w:r>
            <w:r w:rsidRPr="00DC4932">
              <w:t>se specializací působících na psychiatrických a</w:t>
            </w:r>
            <w:r>
              <w:t> </w:t>
            </w:r>
            <w:r w:rsidRPr="00DC4932">
              <w:t>psychologických pracovištích</w:t>
            </w:r>
          </w:p>
        </w:tc>
      </w:tr>
    </w:tbl>
    <w:p w:rsidR="00D41671" w:rsidRDefault="00D41671" w:rsidP="000C1F0C">
      <w:pPr>
        <w:pStyle w:val="Poznmka"/>
      </w:pPr>
      <w:r w:rsidRPr="00B7682F">
        <w:rPr>
          <w:b/>
        </w:rPr>
        <w:t>Zdroj:</w:t>
      </w:r>
      <w:r w:rsidR="00F93832">
        <w:t xml:space="preserve"> </w:t>
      </w:r>
      <w:r w:rsidR="00C41DF7">
        <w:t>i</w:t>
      </w:r>
      <w:r>
        <w:t xml:space="preserve">nformace </w:t>
      </w:r>
      <w:proofErr w:type="spellStart"/>
      <w:r>
        <w:t>M</w:t>
      </w:r>
      <w:r w:rsidR="00A4168B">
        <w:t>Z</w:t>
      </w:r>
      <w:r w:rsidR="0005108F">
        <w:t>d</w:t>
      </w:r>
      <w:proofErr w:type="spellEnd"/>
      <w:r>
        <w:t>, Strategie reformy.</w:t>
      </w:r>
    </w:p>
    <w:p w:rsidR="007C1F5E" w:rsidRDefault="007C1F5E" w:rsidP="00B0516A">
      <w:pPr>
        <w:spacing w:before="240"/>
      </w:pPr>
      <w:r w:rsidRPr="00284085">
        <w:t>4.</w:t>
      </w:r>
      <w:r>
        <w:t>21</w:t>
      </w:r>
      <w:r w:rsidRPr="00284085">
        <w:t xml:space="preserve"> </w:t>
      </w:r>
      <w:r w:rsidRPr="00110CD4">
        <w:t xml:space="preserve">V oblasti personálního zabezpečení příslušnými specialisty v ČR </w:t>
      </w:r>
      <w:r w:rsidR="00D83DE1">
        <w:t xml:space="preserve">se </w:t>
      </w:r>
      <w:r w:rsidRPr="00110CD4">
        <w:t>dlouhodobě nedaří dosáhnout uspokojivého stavu.</w:t>
      </w:r>
      <w:r w:rsidR="00777FF6">
        <w:t xml:space="preserve"> </w:t>
      </w:r>
      <w:r w:rsidRPr="00110CD4">
        <w:t>Přestože</w:t>
      </w:r>
      <w:r>
        <w:t xml:space="preserve"> počty vytyčené ve Strategii reformy byly uváděny jako doporučení vycházející ze stavu v době její přípravy, např. u psychiatrů nebylo doposud </w:t>
      </w:r>
      <w:r w:rsidRPr="00F72D64">
        <w:t xml:space="preserve">dosaženo ani polovičního počtu těchto specialistů, což je i podle samotného </w:t>
      </w:r>
      <w:proofErr w:type="spellStart"/>
      <w:r w:rsidRPr="00F72D64">
        <w:t>MZd</w:t>
      </w:r>
      <w:proofErr w:type="spellEnd"/>
      <w:r w:rsidRPr="00F72D64">
        <w:t xml:space="preserve"> zcela neuspokojivé. </w:t>
      </w:r>
      <w:proofErr w:type="spellStart"/>
      <w:r w:rsidRPr="00B447BA">
        <w:t>MZd</w:t>
      </w:r>
      <w:proofErr w:type="spellEnd"/>
      <w:r w:rsidRPr="00B447BA">
        <w:t xml:space="preserve"> však nečinilo dostatečné kroky k dosažení tohoto cíle, když např. v letech 2021 a 2023 vůbec nepodpořilo prostřednictvím rezidenčních míst specializační vzdělávání lékařů v tomto oboru</w:t>
      </w:r>
      <w:r w:rsidRPr="00F72D64">
        <w:rPr>
          <w:rStyle w:val="Znakapoznpodarou"/>
        </w:rPr>
        <w:footnoteReference w:id="23"/>
      </w:r>
      <w:r w:rsidRPr="00B447BA">
        <w:t xml:space="preserve">. </w:t>
      </w:r>
      <w:r w:rsidRPr="00F72D64">
        <w:t xml:space="preserve">Právě tyto dotace na specializační vzdělávání lékařů jsou jedním z mála nástrojů </w:t>
      </w:r>
      <w:proofErr w:type="spellStart"/>
      <w:r w:rsidRPr="00F72D64">
        <w:t>MZd</w:t>
      </w:r>
      <w:proofErr w:type="spellEnd"/>
      <w:r w:rsidRPr="00F72D64">
        <w:t xml:space="preserve"> k podpoře zvýšení počtu specialistů v příslušných oborech. </w:t>
      </w:r>
      <w:proofErr w:type="spellStart"/>
      <w:r w:rsidRPr="00F72D64">
        <w:t>MZd</w:t>
      </w:r>
      <w:proofErr w:type="spellEnd"/>
      <w:r w:rsidRPr="00F72D64">
        <w:t xml:space="preserve"> tak nečinilo opatření k řešení této otázky, jak mu ukládá </w:t>
      </w:r>
      <w:r w:rsidR="00646B5D" w:rsidRPr="00F72D64">
        <w:t xml:space="preserve">kompetenční </w:t>
      </w:r>
      <w:r w:rsidRPr="00F72D64">
        <w:t>zákon</w:t>
      </w:r>
      <w:r w:rsidRPr="00F72D64">
        <w:rPr>
          <w:rStyle w:val="Znakapoznpodarou"/>
        </w:rPr>
        <w:footnoteReference w:id="24"/>
      </w:r>
      <w:r w:rsidRPr="00F72D64">
        <w:t xml:space="preserve">. </w:t>
      </w:r>
      <w:r w:rsidRPr="00B447BA">
        <w:t>Bez zajištění dostatečných personálních kapacit v příslušných oborech není možné dosáhnout plánované péče pro osoby s duševním onemocněním.</w:t>
      </w:r>
    </w:p>
    <w:p w:rsidR="007D1B9C" w:rsidRDefault="007C1F5E" w:rsidP="00280486">
      <w:pPr>
        <w:keepNext/>
        <w:widowControl/>
        <w:spacing w:before="120" w:after="40"/>
        <w:ind w:left="1418" w:hanging="1418"/>
      </w:pPr>
      <w:r w:rsidRPr="00B7682F">
        <w:rPr>
          <w:b/>
        </w:rPr>
        <w:t xml:space="preserve">Tabulka č. 6: </w:t>
      </w:r>
      <w:r w:rsidR="00280486">
        <w:rPr>
          <w:b/>
        </w:rPr>
        <w:tab/>
      </w:r>
      <w:r w:rsidR="004A602D" w:rsidRPr="00B7682F">
        <w:rPr>
          <w:b/>
        </w:rPr>
        <w:t>Cílový p</w:t>
      </w:r>
      <w:r w:rsidR="00780105" w:rsidRPr="00B7682F">
        <w:rPr>
          <w:b/>
        </w:rPr>
        <w:t xml:space="preserve">očet vybraných specialistů </w:t>
      </w:r>
      <w:r w:rsidR="00D41671" w:rsidRPr="00B7682F">
        <w:rPr>
          <w:b/>
        </w:rPr>
        <w:t xml:space="preserve">celkem </w:t>
      </w:r>
      <w:r w:rsidR="00780105" w:rsidRPr="00B7682F">
        <w:rPr>
          <w:b/>
        </w:rPr>
        <w:t>na 100 tis</w:t>
      </w:r>
      <w:r w:rsidR="003A3C49">
        <w:rPr>
          <w:b/>
        </w:rPr>
        <w:t>íc</w:t>
      </w:r>
      <w:r w:rsidR="00780105" w:rsidRPr="00B7682F">
        <w:rPr>
          <w:b/>
        </w:rPr>
        <w:t xml:space="preserve"> obyvatel </w:t>
      </w:r>
      <w:r w:rsidR="004A602D" w:rsidRPr="00B7682F">
        <w:rPr>
          <w:b/>
        </w:rPr>
        <w:t>dle</w:t>
      </w:r>
      <w:r w:rsidR="00780105" w:rsidRPr="00B7682F">
        <w:rPr>
          <w:b/>
        </w:rPr>
        <w:t xml:space="preserve"> Strategi</w:t>
      </w:r>
      <w:r w:rsidR="004A602D" w:rsidRPr="00B7682F">
        <w:rPr>
          <w:b/>
        </w:rPr>
        <w:t>e</w:t>
      </w:r>
      <w:r w:rsidR="00780105" w:rsidRPr="00B7682F">
        <w:rPr>
          <w:b/>
        </w:rPr>
        <w:t xml:space="preserve"> reformy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06"/>
        <w:gridCol w:w="1418"/>
        <w:gridCol w:w="5241"/>
      </w:tblGrid>
      <w:tr w:rsidR="000179EC" w:rsidTr="00C851EB">
        <w:tc>
          <w:tcPr>
            <w:tcW w:w="1327" w:type="pct"/>
            <w:shd w:val="clear" w:color="auto" w:fill="E6E6E6"/>
            <w:vAlign w:val="center"/>
          </w:tcPr>
          <w:p w:rsidR="007D1B9C" w:rsidRPr="006847B6" w:rsidRDefault="00780105" w:rsidP="006318DA">
            <w:pPr>
              <w:pStyle w:val="tabulka"/>
              <w:jc w:val="center"/>
              <w:rPr>
                <w:b/>
              </w:rPr>
            </w:pPr>
            <w:r>
              <w:rPr>
                <w:b/>
              </w:rPr>
              <w:t>Specialisté</w:t>
            </w:r>
          </w:p>
        </w:tc>
        <w:tc>
          <w:tcPr>
            <w:tcW w:w="782" w:type="pct"/>
            <w:shd w:val="clear" w:color="auto" w:fill="E6E6E6"/>
            <w:vAlign w:val="center"/>
          </w:tcPr>
          <w:p w:rsidR="007D1B9C" w:rsidRPr="006847B6" w:rsidRDefault="00780105" w:rsidP="006318DA">
            <w:pPr>
              <w:pStyle w:val="tabulka"/>
              <w:jc w:val="center"/>
              <w:rPr>
                <w:b/>
              </w:rPr>
            </w:pPr>
            <w:r w:rsidRPr="006847B6">
              <w:rPr>
                <w:b/>
              </w:rPr>
              <w:t>Plánovaný stav</w:t>
            </w:r>
          </w:p>
        </w:tc>
        <w:tc>
          <w:tcPr>
            <w:tcW w:w="2891" w:type="pct"/>
            <w:shd w:val="clear" w:color="auto" w:fill="E6E6E6"/>
            <w:vAlign w:val="center"/>
          </w:tcPr>
          <w:p w:rsidR="007D1B9C" w:rsidRPr="006847B6" w:rsidRDefault="00780105" w:rsidP="006318DA">
            <w:pPr>
              <w:pStyle w:val="tabulka"/>
              <w:jc w:val="center"/>
              <w:rPr>
                <w:b/>
              </w:rPr>
            </w:pPr>
            <w:r w:rsidRPr="006847B6">
              <w:rPr>
                <w:b/>
              </w:rPr>
              <w:t>Skutečnost</w:t>
            </w:r>
          </w:p>
          <w:p w:rsidR="007D1B9C" w:rsidRPr="006847B6" w:rsidRDefault="00780105" w:rsidP="006318DA">
            <w:pPr>
              <w:pStyle w:val="tabulka"/>
              <w:jc w:val="center"/>
              <w:rPr>
                <w:b/>
              </w:rPr>
            </w:pPr>
            <w:r w:rsidRPr="006847B6">
              <w:rPr>
                <w:b/>
              </w:rPr>
              <w:t>(stav k 30. 9. 2023)</w:t>
            </w:r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>Psychiatři</w:t>
            </w:r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25</w:t>
            </w:r>
          </w:p>
        </w:tc>
        <w:tc>
          <w:tcPr>
            <w:tcW w:w="2891" w:type="pct"/>
            <w:vAlign w:val="center"/>
          </w:tcPr>
          <w:p w:rsidR="007D1B9C" w:rsidRPr="006847B6" w:rsidRDefault="00780105" w:rsidP="006318DA">
            <w:pPr>
              <w:pStyle w:val="tabulka"/>
              <w:jc w:val="center"/>
            </w:pPr>
            <w:r w:rsidRPr="006847B6">
              <w:t>12,25 lékař</w:t>
            </w:r>
            <w:r w:rsidR="00044862">
              <w:t>e</w:t>
            </w:r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>Specialisté v oboru dětská a</w:t>
            </w:r>
            <w:r w:rsidR="00280486">
              <w:t> </w:t>
            </w:r>
            <w:r w:rsidRPr="006847B6">
              <w:t>dorostová psychiatrie</w:t>
            </w:r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4</w:t>
            </w:r>
            <w:r w:rsidRPr="006847B6">
              <w:t>,5</w:t>
            </w:r>
          </w:p>
        </w:tc>
        <w:tc>
          <w:tcPr>
            <w:tcW w:w="2891" w:type="pct"/>
            <w:vAlign w:val="center"/>
          </w:tcPr>
          <w:p w:rsidR="007D1B9C" w:rsidRPr="006847B6" w:rsidRDefault="00780105" w:rsidP="006318DA">
            <w:pPr>
              <w:pStyle w:val="tabulka"/>
              <w:jc w:val="center"/>
            </w:pPr>
            <w:r w:rsidRPr="006847B6">
              <w:t>2,15 lékař</w:t>
            </w:r>
            <w:r w:rsidR="00044862">
              <w:t>e</w:t>
            </w:r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 xml:space="preserve">Specialisté v oboru </w:t>
            </w:r>
            <w:proofErr w:type="spellStart"/>
            <w:r w:rsidRPr="006847B6">
              <w:t>gerontopsychiatrie</w:t>
            </w:r>
            <w:proofErr w:type="spellEnd"/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3</w:t>
            </w:r>
            <w:r w:rsidRPr="006847B6">
              <w:t>,5</w:t>
            </w:r>
          </w:p>
        </w:tc>
        <w:tc>
          <w:tcPr>
            <w:tcW w:w="2891" w:type="pct"/>
            <w:vAlign w:val="center"/>
          </w:tcPr>
          <w:p w:rsidR="007D1B9C" w:rsidRPr="006847B6" w:rsidRDefault="00780105" w:rsidP="006318DA">
            <w:pPr>
              <w:pStyle w:val="tabulka"/>
              <w:jc w:val="center"/>
            </w:pPr>
            <w:r w:rsidRPr="006847B6">
              <w:t>0,55 lékař</w:t>
            </w:r>
            <w:r w:rsidR="009A7761">
              <w:t>e</w:t>
            </w:r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>Specialisté v oboru sexuologie</w:t>
            </w:r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3</w:t>
            </w:r>
          </w:p>
        </w:tc>
        <w:tc>
          <w:tcPr>
            <w:tcW w:w="2891" w:type="pct"/>
            <w:vAlign w:val="center"/>
          </w:tcPr>
          <w:p w:rsidR="007D1B9C" w:rsidRPr="006847B6" w:rsidRDefault="00780105" w:rsidP="006318DA">
            <w:pPr>
              <w:pStyle w:val="tabulka"/>
              <w:jc w:val="center"/>
            </w:pPr>
            <w:r w:rsidRPr="006847B6">
              <w:t>1,3 lékař</w:t>
            </w:r>
            <w:r w:rsidR="00044862">
              <w:t>e</w:t>
            </w:r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 xml:space="preserve">Specialisté v oboru </w:t>
            </w:r>
            <w:proofErr w:type="spellStart"/>
            <w:r w:rsidRPr="006847B6">
              <w:t>adiktologie</w:t>
            </w:r>
            <w:proofErr w:type="spellEnd"/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4</w:t>
            </w:r>
          </w:p>
        </w:tc>
        <w:tc>
          <w:tcPr>
            <w:tcW w:w="2891" w:type="pct"/>
            <w:vAlign w:val="center"/>
          </w:tcPr>
          <w:p w:rsidR="007D1B9C" w:rsidRDefault="00780105" w:rsidP="006318DA">
            <w:pPr>
              <w:pStyle w:val="tabulka"/>
              <w:jc w:val="center"/>
            </w:pPr>
            <w:r>
              <w:t>O</w:t>
            </w:r>
            <w:r w:rsidRPr="006847B6">
              <w:t xml:space="preserve">bor psychiatrie s nástavbovým vzděláváním v oblasti návykových nemocí </w:t>
            </w:r>
            <w:r w:rsidR="00044862">
              <w:t>–</w:t>
            </w:r>
            <w:r>
              <w:t xml:space="preserve"> </w:t>
            </w:r>
            <w:r w:rsidRPr="006847B6">
              <w:t>0,95 lékaře</w:t>
            </w:r>
            <w:r>
              <w:t>;</w:t>
            </w:r>
          </w:p>
          <w:p w:rsidR="007D1B9C" w:rsidRPr="006847B6" w:rsidRDefault="00044862" w:rsidP="006318DA">
            <w:pPr>
              <w:pStyle w:val="tabulka"/>
              <w:jc w:val="center"/>
            </w:pPr>
            <w:r>
              <w:t>o</w:t>
            </w:r>
            <w:r w:rsidR="00780105" w:rsidRPr="006847B6">
              <w:t xml:space="preserve">bor </w:t>
            </w:r>
            <w:proofErr w:type="spellStart"/>
            <w:r w:rsidR="00780105" w:rsidRPr="006847B6">
              <w:t>adiktologie</w:t>
            </w:r>
            <w:proofErr w:type="spellEnd"/>
            <w:r w:rsidR="00780105" w:rsidRPr="006847B6">
              <w:t xml:space="preserve"> (nelékařského povolání) </w:t>
            </w:r>
            <w:r>
              <w:t>–</w:t>
            </w:r>
            <w:r w:rsidR="00780105" w:rsidRPr="006847B6">
              <w:t xml:space="preserve"> 0,4 </w:t>
            </w:r>
            <w:proofErr w:type="spellStart"/>
            <w:r w:rsidR="00780105" w:rsidRPr="006847B6">
              <w:t>adiktologa</w:t>
            </w:r>
            <w:proofErr w:type="spellEnd"/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 xml:space="preserve">Specialisté v oboru klinická </w:t>
            </w:r>
            <w:r>
              <w:t>p</w:t>
            </w:r>
            <w:r w:rsidRPr="006847B6">
              <w:t>sychologie/psychoterapie</w:t>
            </w:r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19</w:t>
            </w:r>
          </w:p>
        </w:tc>
        <w:tc>
          <w:tcPr>
            <w:tcW w:w="2891" w:type="pct"/>
            <w:vAlign w:val="center"/>
          </w:tcPr>
          <w:p w:rsidR="007D1B9C" w:rsidRPr="006847B6" w:rsidRDefault="00780105" w:rsidP="006318DA">
            <w:pPr>
              <w:pStyle w:val="tabulka"/>
              <w:jc w:val="center"/>
            </w:pPr>
            <w:r>
              <w:t>V o</w:t>
            </w:r>
            <w:r w:rsidRPr="00DC4932">
              <w:t>borech navazujících na vzdělání psychologa</w:t>
            </w:r>
            <w:r w:rsidR="0043384E">
              <w:br/>
            </w:r>
            <w:r w:rsidRPr="00DC4932">
              <w:t>ve zdravotnictví (tedy klinická psychologie, systematická psychoterapie, psychologická laboratoř, psychoterapie)</w:t>
            </w:r>
            <w:r w:rsidR="00B0516A">
              <w:t xml:space="preserve"> </w:t>
            </w:r>
            <w:r w:rsidR="00044862">
              <w:t>–</w:t>
            </w:r>
            <w:r w:rsidRPr="00DC4932">
              <w:t xml:space="preserve"> 16,41 psycholog</w:t>
            </w:r>
            <w:r w:rsidR="0043384E">
              <w:t>a</w:t>
            </w:r>
          </w:p>
        </w:tc>
      </w:tr>
      <w:tr w:rsidR="000179EC" w:rsidTr="00C851EB">
        <w:tc>
          <w:tcPr>
            <w:tcW w:w="1327" w:type="pct"/>
            <w:vAlign w:val="center"/>
          </w:tcPr>
          <w:p w:rsidR="007D1B9C" w:rsidRPr="006847B6" w:rsidRDefault="00780105" w:rsidP="006318DA">
            <w:pPr>
              <w:pStyle w:val="tabulka"/>
              <w:jc w:val="left"/>
            </w:pPr>
            <w:r w:rsidRPr="006847B6">
              <w:t>Psychiatrické sestry</w:t>
            </w:r>
          </w:p>
        </w:tc>
        <w:tc>
          <w:tcPr>
            <w:tcW w:w="782" w:type="pct"/>
            <w:vAlign w:val="center"/>
          </w:tcPr>
          <w:p w:rsidR="007D1B9C" w:rsidRPr="006847B6" w:rsidRDefault="00780105" w:rsidP="00A65EC2">
            <w:pPr>
              <w:pStyle w:val="tabulka"/>
              <w:jc w:val="center"/>
            </w:pPr>
            <w:r>
              <w:t>30</w:t>
            </w:r>
          </w:p>
        </w:tc>
        <w:tc>
          <w:tcPr>
            <w:tcW w:w="2891" w:type="pct"/>
            <w:vAlign w:val="center"/>
          </w:tcPr>
          <w:p w:rsidR="007D1B9C" w:rsidRPr="006847B6" w:rsidRDefault="00780105" w:rsidP="006318DA">
            <w:pPr>
              <w:pStyle w:val="tabulka"/>
              <w:jc w:val="center"/>
            </w:pPr>
            <w:r>
              <w:t xml:space="preserve">14,27 sester </w:t>
            </w:r>
            <w:r w:rsidRPr="00DC4932">
              <w:t>se specializací působících na psychiatrických a</w:t>
            </w:r>
            <w:r>
              <w:t> </w:t>
            </w:r>
            <w:r w:rsidRPr="00DC4932">
              <w:t>psychologických pracovištích</w:t>
            </w:r>
          </w:p>
        </w:tc>
      </w:tr>
    </w:tbl>
    <w:p w:rsidR="007D1B9C" w:rsidRDefault="00780105" w:rsidP="000C1F0C">
      <w:pPr>
        <w:pStyle w:val="Poznmka"/>
      </w:pPr>
      <w:r w:rsidRPr="002F3937">
        <w:rPr>
          <w:b/>
        </w:rPr>
        <w:t>Zdroj:</w:t>
      </w:r>
      <w:r w:rsidR="00F93832">
        <w:t xml:space="preserve"> </w:t>
      </w:r>
      <w:r w:rsidR="00044862">
        <w:t>i</w:t>
      </w:r>
      <w:r>
        <w:t xml:space="preserve">nformace </w:t>
      </w:r>
      <w:proofErr w:type="spellStart"/>
      <w:r>
        <w:t>MZd</w:t>
      </w:r>
      <w:proofErr w:type="spellEnd"/>
      <w:r>
        <w:t>, Strategie reformy.</w:t>
      </w:r>
    </w:p>
    <w:p w:rsidR="00FF075F" w:rsidRDefault="00FF075F" w:rsidP="00C851EB">
      <w:pPr>
        <w:spacing w:after="120"/>
      </w:pPr>
    </w:p>
    <w:p w:rsidR="00102090" w:rsidRDefault="00780105" w:rsidP="00D340F5">
      <w:pPr>
        <w:spacing w:after="360"/>
      </w:pPr>
      <w:r>
        <w:rPr>
          <w:noProof/>
        </w:rPr>
        <mc:AlternateContent>
          <mc:Choice Requires="wps">
            <w:drawing>
              <wp:inline distT="0" distB="0" distL="0" distR="0">
                <wp:extent cx="5748337" cy="1404620"/>
                <wp:effectExtent l="0" t="0" r="24130" b="23495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337" cy="1404620"/>
                        </a:xfrm>
                        <a:prstGeom prst="rect">
                          <a:avLst/>
                        </a:prstGeom>
                        <a:solidFill>
                          <a:srgbClr val="E2F1EE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84" w:rsidRPr="00FE2405" w:rsidRDefault="00AD7884" w:rsidP="008C58D0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884" w:rsidRDefault="00AD7884" w:rsidP="008C58D0">
                            <w:pPr>
                              <w:spacing w:after="0"/>
                              <w:rPr>
                                <w:i/>
                              </w:rPr>
                            </w:pPr>
                            <w:bookmarkStart w:id="19" w:name="_Hlk171680273"/>
                            <w:r>
                              <w:rPr>
                                <w:i/>
                              </w:rPr>
                              <w:t>Nedostatek odborného personálu vnímá jako překážku či riziko v dlouhodobé udržitelnosti fungování CDZ naprostá většina provozovatelů CDZ, kteří odpovídali v dotazníkovém šetření provedeném NKÚ.</w:t>
                            </w:r>
                          </w:p>
                          <w:bookmarkEnd w:id="19"/>
                          <w:p w:rsidR="00AD7884" w:rsidRDefault="00AD7884" w:rsidP="008C58D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Nedostatek odborného </w:t>
                            </w:r>
                            <w:r w:rsidRPr="00110CD4">
                              <w:rPr>
                                <w:i/>
                              </w:rPr>
                              <w:t>personálu pro poskytování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10CD4">
                              <w:rPr>
                                <w:b/>
                                <w:i/>
                              </w:rPr>
                              <w:t>zdravotní</w:t>
                            </w:r>
                            <w:r>
                              <w:rPr>
                                <w:b/>
                                <w:i/>
                              </w:rPr>
                              <w:t>ch</w:t>
                            </w:r>
                            <w:r w:rsidRPr="00110CD4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služeb</w:t>
                            </w:r>
                            <w:r w:rsidRPr="00110CD4">
                              <w:rPr>
                                <w:i/>
                              </w:rPr>
                              <w:t xml:space="preserve"> svého CDZ </w:t>
                            </w:r>
                            <w:r>
                              <w:rPr>
                                <w:i/>
                              </w:rPr>
                              <w:t>označilo 35 % respondentů jako rozhodně velké riziko, 43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 jako spíše velké, 9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 jako spíše malé a 13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 neoznačilo jako riziko. Jako nejčastější zmínila CDZ potíže se zajištěním sester</w:t>
                            </w:r>
                            <w:r>
                              <w:rPr>
                                <w:i/>
                              </w:rPr>
                              <w:br/>
                              <w:t>pro péči v psychiatrii, psychiatrů a klinických psychologů.</w:t>
                            </w:r>
                          </w:p>
                          <w:p w:rsidR="00AD7884" w:rsidRDefault="00AD7884" w:rsidP="008C58D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Nedostatek odborného personálu pro poskytování </w:t>
                            </w:r>
                            <w:r w:rsidRPr="00110CD4">
                              <w:rPr>
                                <w:b/>
                                <w:i/>
                              </w:rPr>
                              <w:t>sociálních služeb</w:t>
                            </w:r>
                            <w:r>
                              <w:rPr>
                                <w:i/>
                              </w:rPr>
                              <w:t xml:space="preserve"> svého CDZ označilo 13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 respondentů jako rozhodně velké riziko, 17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 jako spíše velké, 44 % jako spíše malé</w:t>
                            </w:r>
                            <w:r>
                              <w:rPr>
                                <w:i/>
                              </w:rPr>
                              <w:br/>
                              <w:t>a 26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 neoznačilo jako riziko.</w:t>
                            </w:r>
                          </w:p>
                          <w:p w:rsidR="00AD7884" w:rsidRPr="00FE2405" w:rsidRDefault="00AD7884" w:rsidP="008C58D0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ové pole 2" o:spid="_x0000_s1049" type="#_x0000_t202" style="width:452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" fillcolor="#e2f1ee" strokecolor="black [3213]" strokeweight=".5pt">
                <v:textbox style="mso-fit-shape-to-text:t" inset="2mm,0,2mm,0">
                  <w:txbxContent>
                    <w:p w:rsidR="00AD7884" w:rsidRPr="00FE2405" w:rsidRDefault="00AD7884" w:rsidP="008C58D0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884" w:rsidRDefault="00AD7884" w:rsidP="008C58D0">
                      <w:pPr>
                        <w:spacing w:after="0"/>
                        <w:rPr>
                          <w:i/>
                        </w:rPr>
                      </w:pPr>
                      <w:bookmarkStart w:id="19" w:name="_Hlk171680273"/>
                      <w:r>
                        <w:rPr>
                          <w:i/>
                        </w:rPr>
                        <w:t>Nedostatek odborného personálu vnímá jako překážku či riziko v dlouhodobé udržitelnosti fungování CDZ naprostá většina provozovatelů CDZ, kteří odpovídali v dotazníkovém šetření provedeném NKÚ.</w:t>
                      </w:r>
                    </w:p>
                    <w:bookmarkEnd w:id="19"/>
                    <w:p w:rsidR="00AD7884" w:rsidRDefault="00AD7884" w:rsidP="008C58D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Nedostatek odborného </w:t>
                      </w:r>
                      <w:r w:rsidRPr="00110CD4">
                        <w:rPr>
                          <w:i/>
                        </w:rPr>
                        <w:t>personálu pro poskytování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110CD4">
                        <w:rPr>
                          <w:b/>
                          <w:i/>
                        </w:rPr>
                        <w:t>zdravotní</w:t>
                      </w:r>
                      <w:r>
                        <w:rPr>
                          <w:b/>
                          <w:i/>
                        </w:rPr>
                        <w:t>ch</w:t>
                      </w:r>
                      <w:r w:rsidRPr="00110CD4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služeb</w:t>
                      </w:r>
                      <w:r w:rsidRPr="00110CD4">
                        <w:rPr>
                          <w:i/>
                        </w:rPr>
                        <w:t xml:space="preserve"> svého CDZ </w:t>
                      </w:r>
                      <w:r>
                        <w:rPr>
                          <w:i/>
                        </w:rPr>
                        <w:t>označilo 35 % respondentů jako rozhodně velké riziko, 43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 jako spíše velké, 9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 jako spíše malé a 13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 neoznačilo jako riziko. Jako nejčastější zmínila CDZ potíže se zajištěním sester</w:t>
                      </w:r>
                      <w:r>
                        <w:rPr>
                          <w:i/>
                        </w:rPr>
                        <w:br/>
                        <w:t>pro péči v psychiatrii, psychiatrů a klinických psychologů.</w:t>
                      </w:r>
                    </w:p>
                    <w:p w:rsidR="00AD7884" w:rsidRDefault="00AD7884" w:rsidP="008C58D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Nedostatek odborného personálu pro poskytování </w:t>
                      </w:r>
                      <w:r w:rsidRPr="00110CD4">
                        <w:rPr>
                          <w:b/>
                          <w:i/>
                        </w:rPr>
                        <w:t>sociálních služeb</w:t>
                      </w:r>
                      <w:r>
                        <w:rPr>
                          <w:i/>
                        </w:rPr>
                        <w:t xml:space="preserve"> svého CDZ označilo 13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 respondentů jako rozhodně velké riziko, 17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 jako spíše velké, 44 % jako spíše malé</w:t>
                      </w:r>
                      <w:r>
                        <w:rPr>
                          <w:i/>
                        </w:rPr>
                        <w:br/>
                        <w:t>a 26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 neoznačilo jako riziko.</w:t>
                      </w:r>
                    </w:p>
                    <w:p w:rsidR="00AD7884" w:rsidRPr="00FE2405" w:rsidRDefault="00AD7884" w:rsidP="008C58D0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13F50" w:rsidRPr="006C03E3" w:rsidRDefault="00780105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b/>
        </w:rPr>
      </w:pPr>
      <w:r>
        <w:rPr>
          <w:b/>
        </w:rPr>
        <w:t>Ani šest let po vzniku prvních CDZ v</w:t>
      </w:r>
      <w:r w:rsidR="00945BC4">
        <w:rPr>
          <w:b/>
        </w:rPr>
        <w:t> </w:t>
      </w:r>
      <w:r>
        <w:rPr>
          <w:b/>
        </w:rPr>
        <w:t xml:space="preserve">ČR není </w:t>
      </w:r>
      <w:r w:rsidR="000578CE">
        <w:rPr>
          <w:b/>
        </w:rPr>
        <w:t>upraveno</w:t>
      </w:r>
      <w:r w:rsidR="00EF598C">
        <w:rPr>
          <w:b/>
        </w:rPr>
        <w:t xml:space="preserve"> </w:t>
      </w:r>
      <w:r>
        <w:rPr>
          <w:b/>
        </w:rPr>
        <w:t>financování jejich sociální části</w:t>
      </w:r>
    </w:p>
    <w:p w:rsidR="00BE414C" w:rsidRDefault="00780105" w:rsidP="00FE3F55">
      <w:pPr>
        <w:spacing w:after="120"/>
      </w:pPr>
      <w:r>
        <w:t>4.2</w:t>
      </w:r>
      <w:r w:rsidR="006A5A6A">
        <w:t>2</w:t>
      </w:r>
      <w:r>
        <w:t xml:space="preserve"> Mechanismy financování zdravotní části CDZ byly v</w:t>
      </w:r>
      <w:r w:rsidR="00945BC4">
        <w:t> </w:t>
      </w:r>
      <w:r>
        <w:t>průběhu pilotních projektů nastaveny a postupně začaly být tyto služby hrazeny z</w:t>
      </w:r>
      <w:r w:rsidR="00945BC4">
        <w:t> </w:t>
      </w:r>
      <w:r>
        <w:t xml:space="preserve">prostředků veřejného zdravotního pojištění. Problematická </w:t>
      </w:r>
      <w:r w:rsidR="002E3F5D">
        <w:t xml:space="preserve">zůstala </w:t>
      </w:r>
      <w:r>
        <w:t>po skončení dotovaného pilotního provozu úhrada sociálních služeb poskytovaných v</w:t>
      </w:r>
      <w:r w:rsidR="00945BC4">
        <w:t> </w:t>
      </w:r>
      <w:r>
        <w:t>CDZ.</w:t>
      </w:r>
    </w:p>
    <w:p w:rsidR="00BE414C" w:rsidRPr="00F72D64" w:rsidRDefault="00780105" w:rsidP="00FE3F55">
      <w:pPr>
        <w:spacing w:after="120"/>
      </w:pPr>
      <w:r>
        <w:t>4.2</w:t>
      </w:r>
      <w:r w:rsidR="006A5A6A">
        <w:t>3</w:t>
      </w:r>
      <w:r>
        <w:t xml:space="preserve"> V</w:t>
      </w:r>
      <w:r w:rsidR="00945BC4">
        <w:t> </w:t>
      </w:r>
      <w:r>
        <w:t>NAPDZ, resp. i Implementaci NAPDZ</w:t>
      </w:r>
      <w:r w:rsidR="00296B4C">
        <w:t>,</w:t>
      </w:r>
      <w:r>
        <w:t xml:space="preserve"> byla stanovena částka ve výši 1 800 mil. Kč určená na </w:t>
      </w:r>
      <w:r w:rsidR="00D5528D">
        <w:t xml:space="preserve">zajištění </w:t>
      </w:r>
      <w:r>
        <w:t>sociální</w:t>
      </w:r>
      <w:r w:rsidR="00D5528D">
        <w:t>ch</w:t>
      </w:r>
      <w:r>
        <w:t xml:space="preserve"> služ</w:t>
      </w:r>
      <w:r w:rsidR="00D5528D">
        <w:t>e</w:t>
      </w:r>
      <w:r>
        <w:t>b v</w:t>
      </w:r>
      <w:r w:rsidR="00945BC4">
        <w:t> </w:t>
      </w:r>
      <w:r>
        <w:t>oblasti duševního zdraví v</w:t>
      </w:r>
      <w:r w:rsidR="00945BC4">
        <w:t> </w:t>
      </w:r>
      <w:r>
        <w:t xml:space="preserve">letech 2020 až 2023, přičemž jako zodpovědné za </w:t>
      </w:r>
      <w:r w:rsidR="00D5528D">
        <w:t>její poskytnutí</w:t>
      </w:r>
      <w:r>
        <w:t xml:space="preserve"> bylo určeno MPSV. </w:t>
      </w:r>
      <w:r w:rsidR="00841424">
        <w:t xml:space="preserve">Tyto peníze </w:t>
      </w:r>
      <w:r w:rsidR="00841424" w:rsidRPr="00841424">
        <w:t>měly být účelově vázány na</w:t>
      </w:r>
      <w:r w:rsidR="00D5528D">
        <w:t> </w:t>
      </w:r>
      <w:r w:rsidR="00841424" w:rsidRPr="00841424">
        <w:t>podporu služeb v</w:t>
      </w:r>
      <w:r w:rsidR="00945BC4">
        <w:t> </w:t>
      </w:r>
      <w:r w:rsidR="00841424" w:rsidRPr="00841424">
        <w:t xml:space="preserve">oblasti duševního zdraví, nikoliv sloužit </w:t>
      </w:r>
      <w:r w:rsidR="00841424">
        <w:t xml:space="preserve">pouze </w:t>
      </w:r>
      <w:r w:rsidR="00841424" w:rsidRPr="00841424">
        <w:t>k</w:t>
      </w:r>
      <w:r w:rsidR="00945BC4">
        <w:t> </w:t>
      </w:r>
      <w:r w:rsidR="00841424" w:rsidRPr="00841424">
        <w:t xml:space="preserve">obecnému navýšení </w:t>
      </w:r>
      <w:r w:rsidR="00D5528D">
        <w:t>objemu prostředků</w:t>
      </w:r>
      <w:r w:rsidR="00841424" w:rsidRPr="00841424">
        <w:t xml:space="preserve"> na </w:t>
      </w:r>
      <w:r w:rsidR="00D5528D">
        <w:t xml:space="preserve">všechny </w:t>
      </w:r>
      <w:r w:rsidR="00841424" w:rsidRPr="00841424">
        <w:t xml:space="preserve">sociální služby bez </w:t>
      </w:r>
      <w:r w:rsidR="00D5528D">
        <w:t>vazby na</w:t>
      </w:r>
      <w:r w:rsidR="00841424" w:rsidRPr="00841424">
        <w:t xml:space="preserve"> reform</w:t>
      </w:r>
      <w:r w:rsidR="00D5528D">
        <w:t>u</w:t>
      </w:r>
      <w:r w:rsidR="00841424" w:rsidRPr="00841424">
        <w:t xml:space="preserve"> péče o duševní zdraví</w:t>
      </w:r>
      <w:r w:rsidR="00841424">
        <w:t xml:space="preserve">. </w:t>
      </w:r>
      <w:r>
        <w:t>Skutečná částka, kterou MPSV v</w:t>
      </w:r>
      <w:r w:rsidR="00945BC4">
        <w:t> </w:t>
      </w:r>
      <w:r>
        <w:t>tomto období ze své kapitoly vynaložilo na sociální služby spojené s</w:t>
      </w:r>
      <w:r w:rsidR="00945BC4">
        <w:t> </w:t>
      </w:r>
      <w:r>
        <w:t>reformou péče o duševní zdraví, byla necelých 1 546 mil</w:t>
      </w:r>
      <w:r w:rsidRPr="00F72D64">
        <w:t xml:space="preserve">. Kč. </w:t>
      </w:r>
      <w:r w:rsidR="002E3F5D" w:rsidRPr="00F72D64">
        <w:t>S</w:t>
      </w:r>
      <w:r w:rsidR="00945BC4" w:rsidRPr="00F72D64">
        <w:t> </w:t>
      </w:r>
      <w:r w:rsidR="002E3F5D" w:rsidRPr="00F72D64">
        <w:t>reformou spojené</w:t>
      </w:r>
      <w:r w:rsidRPr="00F72D64">
        <w:t xml:space="preserve"> peněžní prostředky byly </w:t>
      </w:r>
      <w:r w:rsidR="00644F13" w:rsidRPr="00F72D64">
        <w:t>M</w:t>
      </w:r>
      <w:r w:rsidR="00841424" w:rsidRPr="00F72D64">
        <w:t xml:space="preserve">PSV </w:t>
      </w:r>
      <w:r w:rsidRPr="00F72D64">
        <w:t>rozdělovány</w:t>
      </w:r>
      <w:r w:rsidR="00644F13" w:rsidRPr="00F72D64">
        <w:t xml:space="preserve"> krajům</w:t>
      </w:r>
      <w:r w:rsidRPr="00F72D64">
        <w:t xml:space="preserve"> společně s</w:t>
      </w:r>
      <w:r w:rsidR="00945BC4" w:rsidRPr="00F72D64">
        <w:t> </w:t>
      </w:r>
      <w:r w:rsidRPr="00F72D64">
        <w:t>ostatními financemi určenými na</w:t>
      </w:r>
      <w:r w:rsidR="004F43C2" w:rsidRPr="00F72D64">
        <w:t> </w:t>
      </w:r>
      <w:r w:rsidRPr="00F72D64">
        <w:t xml:space="preserve">sociální služby, přestože např. ze strany Ministerstva financí bylo </w:t>
      </w:r>
      <w:r w:rsidR="002E3F5D" w:rsidRPr="00F72D64">
        <w:t xml:space="preserve">MPSV </w:t>
      </w:r>
      <w:r w:rsidRPr="00F72D64">
        <w:t>předloženo několik návrhů</w:t>
      </w:r>
      <w:r w:rsidR="00D5528D" w:rsidRPr="00F72D64">
        <w:t xml:space="preserve"> na</w:t>
      </w:r>
      <w:r w:rsidRPr="00F72D64">
        <w:t xml:space="preserve"> zaji</w:t>
      </w:r>
      <w:r w:rsidR="00D5528D" w:rsidRPr="00F72D64">
        <w:t>štění</w:t>
      </w:r>
      <w:r w:rsidRPr="00F72D64">
        <w:t xml:space="preserve"> </w:t>
      </w:r>
      <w:r w:rsidR="00D5528D" w:rsidRPr="00F72D64">
        <w:t xml:space="preserve">jejich </w:t>
      </w:r>
      <w:r w:rsidRPr="00F72D64">
        <w:t>účelovost</w:t>
      </w:r>
      <w:r w:rsidR="00D5528D" w:rsidRPr="00F72D64">
        <w:t xml:space="preserve">i. </w:t>
      </w:r>
      <w:r w:rsidR="00E43BEF" w:rsidRPr="00F72D64">
        <w:t>MPSV tak</w:t>
      </w:r>
      <w:r w:rsidR="00C270FA" w:rsidRPr="00F72D64">
        <w:t xml:space="preserve"> následně n</w:t>
      </w:r>
      <w:r w:rsidR="00D5528D" w:rsidRPr="00F72D64">
        <w:t xml:space="preserve">emělo </w:t>
      </w:r>
      <w:r w:rsidRPr="00F72D64">
        <w:t>možnost nijak ovlivnit výši poskytnuté podpory příjemcům</w:t>
      </w:r>
      <w:r w:rsidR="00841424" w:rsidRPr="00F72D64">
        <w:t xml:space="preserve"> včetně CDZ</w:t>
      </w:r>
      <w:r w:rsidRPr="00F72D64">
        <w:t>, zkontrolovat, zda díky těmto prostředkům dochází k</w:t>
      </w:r>
      <w:r w:rsidR="00945BC4" w:rsidRPr="00F72D64">
        <w:t> </w:t>
      </w:r>
      <w:r w:rsidRPr="00F72D64">
        <w:t>pozitivním změnám v</w:t>
      </w:r>
      <w:r w:rsidR="00945BC4" w:rsidRPr="00F72D64">
        <w:t> </w:t>
      </w:r>
      <w:r w:rsidRPr="00F72D64">
        <w:t xml:space="preserve">oblasti péče o duševní zdraví, ani provádět následné vyhodnocení účelnosti a efektivnosti vynaložení těchto prostředků. </w:t>
      </w:r>
      <w:r w:rsidR="00D85CEB" w:rsidRPr="00F72D64">
        <w:t>Rozhodnutí</w:t>
      </w:r>
      <w:r w:rsidR="00841424" w:rsidRPr="00F72D64">
        <w:t xml:space="preserve"> </w:t>
      </w:r>
      <w:r w:rsidR="00841424" w:rsidRPr="00B447BA">
        <w:t>MPSV o</w:t>
      </w:r>
      <w:r w:rsidR="00841424" w:rsidRPr="00F72D64">
        <w:t> </w:t>
      </w:r>
      <w:r w:rsidR="00841424" w:rsidRPr="00B447BA">
        <w:t>nezavedení účelového vázání prostředků ze státního rozpočtu na služby v</w:t>
      </w:r>
      <w:r w:rsidR="00945BC4" w:rsidRPr="00B447BA">
        <w:t> </w:t>
      </w:r>
      <w:r w:rsidR="00841424" w:rsidRPr="00B447BA">
        <w:t>oblasti duševního zdraví</w:t>
      </w:r>
      <w:r w:rsidR="00D85CEB" w:rsidRPr="00B447BA">
        <w:t xml:space="preserve"> bylo </w:t>
      </w:r>
      <w:r w:rsidR="00841424" w:rsidRPr="00B447BA">
        <w:t>v</w:t>
      </w:r>
      <w:r w:rsidR="00945BC4" w:rsidRPr="00B447BA">
        <w:t> </w:t>
      </w:r>
      <w:r w:rsidR="00841424" w:rsidRPr="00B447BA">
        <w:t>rozporu se strategickými dokumenty reformy</w:t>
      </w:r>
      <w:r w:rsidR="00841424" w:rsidRPr="00F72D64">
        <w:t xml:space="preserve"> péče o duševní zdraví. MPSV tím porušilo </w:t>
      </w:r>
      <w:r w:rsidR="00EA5185" w:rsidRPr="00F72D64">
        <w:t xml:space="preserve">kompetenční </w:t>
      </w:r>
      <w:r w:rsidR="00841424" w:rsidRPr="00F72D64">
        <w:t>zákon</w:t>
      </w:r>
      <w:r w:rsidR="00841424" w:rsidRPr="00F72D64">
        <w:rPr>
          <w:rStyle w:val="Znakapoznpodarou"/>
        </w:rPr>
        <w:footnoteReference w:id="25"/>
      </w:r>
      <w:r w:rsidR="00841424" w:rsidRPr="00F72D64">
        <w:t xml:space="preserve">, protože se neřídilo usneseními vlády ČR, kterými mu bylo uloženo aktivně spolupracovat </w:t>
      </w:r>
      <w:r w:rsidR="00133B5E" w:rsidRPr="00F72D64">
        <w:t xml:space="preserve">s </w:t>
      </w:r>
      <w:proofErr w:type="spellStart"/>
      <w:r w:rsidR="00133B5E" w:rsidRPr="00F72D64">
        <w:t>MZd</w:t>
      </w:r>
      <w:proofErr w:type="spellEnd"/>
      <w:r w:rsidR="00841424" w:rsidRPr="00F72D64">
        <w:t xml:space="preserve"> při implementaci aktivit definovaných v</w:t>
      </w:r>
      <w:r w:rsidR="00945BC4" w:rsidRPr="00F72D64">
        <w:t> </w:t>
      </w:r>
      <w:r w:rsidR="00841424" w:rsidRPr="00F72D64">
        <w:t>NAPDZ,</w:t>
      </w:r>
      <w:r w:rsidR="000212A3">
        <w:br/>
      </w:r>
      <w:r w:rsidR="00841424" w:rsidRPr="00F72D64">
        <w:t>resp. Implementac</w:t>
      </w:r>
      <w:r w:rsidR="00EA5185" w:rsidRPr="00F72D64">
        <w:t>i</w:t>
      </w:r>
      <w:r w:rsidR="00841424" w:rsidRPr="00F72D64">
        <w:t xml:space="preserve"> NAPDZ</w:t>
      </w:r>
      <w:r w:rsidR="005A4011">
        <w:t>,</w:t>
      </w:r>
      <w:r w:rsidR="00841424" w:rsidRPr="00F72D64">
        <w:t xml:space="preserve"> a podílet se tak na realizaci stanovených cílů. </w:t>
      </w:r>
      <w:r w:rsidRPr="00B447BA">
        <w:t>MPSV</w:t>
      </w:r>
      <w:r w:rsidR="00943B31" w:rsidRPr="00B447BA">
        <w:t xml:space="preserve"> </w:t>
      </w:r>
      <w:r w:rsidR="007B2F1C" w:rsidRPr="00B447BA">
        <w:t>tak</w:t>
      </w:r>
      <w:r w:rsidRPr="00B447BA">
        <w:t xml:space="preserve"> svým postupem také značně zvýšilo riziko, že dojde </w:t>
      </w:r>
      <w:r w:rsidR="00544F0B" w:rsidRPr="00B447BA">
        <w:t xml:space="preserve">i </w:t>
      </w:r>
      <w:r w:rsidRPr="00B447BA">
        <w:t>ke ztrátě či</w:t>
      </w:r>
      <w:r w:rsidR="005A4011">
        <w:t xml:space="preserve"> </w:t>
      </w:r>
      <w:r w:rsidRPr="00B447BA">
        <w:t>omezení kapacit služeb, které</w:t>
      </w:r>
      <w:r w:rsidR="005A4011">
        <w:t xml:space="preserve"> </w:t>
      </w:r>
      <w:r w:rsidRPr="00B447BA">
        <w:t xml:space="preserve">vznikly </w:t>
      </w:r>
      <w:r w:rsidR="00544F0B" w:rsidRPr="00B447BA">
        <w:t>díky</w:t>
      </w:r>
      <w:r w:rsidRPr="00B447BA">
        <w:t xml:space="preserve"> podpo</w:t>
      </w:r>
      <w:r w:rsidR="00544F0B" w:rsidRPr="00B447BA">
        <w:t>ře</w:t>
      </w:r>
      <w:r w:rsidRPr="00B447BA">
        <w:t xml:space="preserve"> z</w:t>
      </w:r>
      <w:r w:rsidR="00945BC4" w:rsidRPr="00F72D64">
        <w:t> </w:t>
      </w:r>
      <w:r w:rsidRPr="00B447BA">
        <w:t>ESF</w:t>
      </w:r>
      <w:r w:rsidRPr="00F72D64">
        <w:t>.</w:t>
      </w:r>
    </w:p>
    <w:p w:rsidR="00BE414C" w:rsidRPr="00B447BA" w:rsidRDefault="00780105" w:rsidP="00FE3F55">
      <w:pPr>
        <w:spacing w:after="120"/>
      </w:pPr>
      <w:r>
        <w:t>4.2</w:t>
      </w:r>
      <w:r w:rsidR="006A5A6A">
        <w:t>4</w:t>
      </w:r>
      <w:r>
        <w:t xml:space="preserve"> V</w:t>
      </w:r>
      <w:r w:rsidR="00945BC4">
        <w:t> </w:t>
      </w:r>
      <w:r>
        <w:t>roce 2022, kdy už byla v</w:t>
      </w:r>
      <w:r w:rsidR="00945BC4">
        <w:t> </w:t>
      </w:r>
      <w:r>
        <w:t xml:space="preserve">ostrém provozu </w:t>
      </w:r>
      <w:r w:rsidR="004F43C2">
        <w:t>CDZ původně</w:t>
      </w:r>
      <w:r>
        <w:t xml:space="preserve"> podpořená </w:t>
      </w:r>
      <w:r w:rsidR="004F43C2">
        <w:t>v</w:t>
      </w:r>
      <w:r w:rsidR="00945BC4">
        <w:t> </w:t>
      </w:r>
      <w:r w:rsidR="004F43C2">
        <w:t>rámci OPZ</w:t>
      </w:r>
      <w:r>
        <w:t>, byly navíc financovány služby sociální části CDZ a multidisciplinárních týmů pro</w:t>
      </w:r>
      <w:r w:rsidR="00EF39E5">
        <w:t xml:space="preserve"> </w:t>
      </w:r>
      <w:r>
        <w:t>cílové skupiny dětí, lidí s</w:t>
      </w:r>
      <w:r w:rsidR="00945BC4">
        <w:t> </w:t>
      </w:r>
      <w:r>
        <w:t>demencí a lidí s</w:t>
      </w:r>
      <w:r w:rsidR="00945BC4">
        <w:t> </w:t>
      </w:r>
      <w:r>
        <w:t>problematikou závislosti s</w:t>
      </w:r>
      <w:r w:rsidR="00945BC4">
        <w:t> </w:t>
      </w:r>
      <w:r>
        <w:t>nařízeným ochranným léčením</w:t>
      </w:r>
      <w:r w:rsidR="004F43C2">
        <w:t xml:space="preserve"> formou zcela nesystémových dotací</w:t>
      </w:r>
      <w:r>
        <w:t xml:space="preserve"> z</w:t>
      </w:r>
      <w:r w:rsidR="005A4011">
        <w:t> </w:t>
      </w:r>
      <w:r w:rsidR="004F43C2">
        <w:t>rozpočtové</w:t>
      </w:r>
      <w:r w:rsidR="005A4011">
        <w:t xml:space="preserve"> </w:t>
      </w:r>
      <w:r>
        <w:t xml:space="preserve">kapitoly </w:t>
      </w:r>
      <w:proofErr w:type="spellStart"/>
      <w:r>
        <w:t>MZd</w:t>
      </w:r>
      <w:proofErr w:type="spellEnd"/>
      <w:r>
        <w:t>. Při</w:t>
      </w:r>
      <w:r w:rsidR="005A4011">
        <w:t xml:space="preserve"> </w:t>
      </w:r>
      <w:r>
        <w:t xml:space="preserve">řešení způsobu financování těchto služeb na jednání </w:t>
      </w:r>
      <w:r w:rsidRPr="00C20575">
        <w:rPr>
          <w:i/>
        </w:rPr>
        <w:t>R</w:t>
      </w:r>
      <w:r w:rsidRPr="001D0EDB">
        <w:rPr>
          <w:i/>
        </w:rPr>
        <w:t>ady vlády pro duševní zdraví</w:t>
      </w:r>
      <w:r>
        <w:t xml:space="preserve"> byl jako nejvhodnější varianta</w:t>
      </w:r>
      <w:r w:rsidR="008433BD">
        <w:t>, kterou podporovalo</w:t>
      </w:r>
      <w:r w:rsidR="00B12458">
        <w:t xml:space="preserve"> i</w:t>
      </w:r>
      <w:r w:rsidR="008433BD">
        <w:t xml:space="preserve"> MPSV</w:t>
      </w:r>
      <w:r w:rsidR="00133B5E">
        <w:t>,</w:t>
      </w:r>
      <w:r>
        <w:t xml:space="preserve"> zvolen</w:t>
      </w:r>
      <w:r w:rsidR="004F43C2">
        <w:t xml:space="preserve"> právě tento mimořádný</w:t>
      </w:r>
      <w:r>
        <w:t xml:space="preserve"> </w:t>
      </w:r>
      <w:r w:rsidRPr="000134B1">
        <w:t xml:space="preserve">dotační program. </w:t>
      </w:r>
      <w:proofErr w:type="spellStart"/>
      <w:r w:rsidRPr="00B447BA">
        <w:t>MZd</w:t>
      </w:r>
      <w:proofErr w:type="spellEnd"/>
      <w:r w:rsidRPr="00B447BA">
        <w:t xml:space="preserve"> v</w:t>
      </w:r>
      <w:r w:rsidR="00945BC4" w:rsidRPr="00B447BA">
        <w:t> </w:t>
      </w:r>
      <w:r w:rsidRPr="00B447BA">
        <w:t>roce 2022 poskytlo na služby sociální části CDZ a dalších multidisciplinárních týmů dotace v</w:t>
      </w:r>
      <w:r w:rsidR="00945BC4" w:rsidRPr="00B447BA">
        <w:t> </w:t>
      </w:r>
      <w:r w:rsidRPr="00B447BA">
        <w:t>částce přesahující 182 mil. Kč</w:t>
      </w:r>
      <w:bookmarkStart w:id="20" w:name="_Hlk171682210"/>
      <w:r w:rsidRPr="00B447BA">
        <w:t>.</w:t>
      </w:r>
    </w:p>
    <w:bookmarkEnd w:id="20"/>
    <w:p w:rsidR="002715EE" w:rsidRDefault="00780105" w:rsidP="00B0516A">
      <w:pPr>
        <w:spacing w:after="0"/>
      </w:pPr>
      <w:r>
        <w:t>4.2</w:t>
      </w:r>
      <w:r w:rsidR="006A5A6A">
        <w:t>5</w:t>
      </w:r>
      <w:r>
        <w:t xml:space="preserve"> </w:t>
      </w:r>
      <w:r w:rsidR="00BE414C">
        <w:t xml:space="preserve">Sociální část služeb CDZ je nyní financována </w:t>
      </w:r>
      <w:r w:rsidR="00945BC4">
        <w:t xml:space="preserve">zejména </w:t>
      </w:r>
      <w:r w:rsidR="004E43FF">
        <w:t>formou</w:t>
      </w:r>
      <w:r w:rsidR="00BE414C">
        <w:t xml:space="preserve"> dotací poskytovaných příslušným krajem, resp. hl. m. Prahou, vždy na příslušný kalendářní rok po předchozím úspěšném zařazení </w:t>
      </w:r>
      <w:r w:rsidR="00BA5C50">
        <w:t xml:space="preserve">CDZ </w:t>
      </w:r>
      <w:r w:rsidR="00BE414C">
        <w:t xml:space="preserve">do krajské sítě sociálních služeb. </w:t>
      </w:r>
      <w:r w:rsidR="00792BB8">
        <w:t>Do krajské sítě sociálních služeb nakonec nebylo zařazeno j</w:t>
      </w:r>
      <w:r w:rsidR="00BE414C">
        <w:t>edno</w:t>
      </w:r>
      <w:r w:rsidR="00792BB8">
        <w:t xml:space="preserve"> </w:t>
      </w:r>
      <w:r w:rsidR="00BE414C">
        <w:t xml:space="preserve">CDZ, </w:t>
      </w:r>
      <w:r w:rsidR="00321D6E">
        <w:t xml:space="preserve">které získalo dotaci na pilotní provoz. </w:t>
      </w:r>
      <w:r w:rsidR="00792BB8">
        <w:t>Do</w:t>
      </w:r>
      <w:r w:rsidR="00BE414C">
        <w:t xml:space="preserve"> ostrého provozu</w:t>
      </w:r>
      <w:r w:rsidR="00792BB8">
        <w:t xml:space="preserve"> tak</w:t>
      </w:r>
      <w:r w:rsidR="00BE414C">
        <w:t xml:space="preserve"> nepřešlo</w:t>
      </w:r>
      <w:r w:rsidR="00792BB8">
        <w:t xml:space="preserve"> a</w:t>
      </w:r>
      <w:r w:rsidR="00BE414C">
        <w:t xml:space="preserve"> zaniklo.</w:t>
      </w:r>
    </w:p>
    <w:p w:rsidR="002232C6" w:rsidRDefault="002232C6" w:rsidP="008C58D0">
      <w:pPr>
        <w:spacing w:after="40"/>
      </w:pPr>
    </w:p>
    <w:p w:rsidR="00EF6254" w:rsidRDefault="00780105" w:rsidP="00EF39E5">
      <w:pPr>
        <w:spacing w:after="360"/>
      </w:pPr>
      <w:r>
        <w:rPr>
          <w:noProof/>
        </w:rPr>
        <mc:AlternateContent>
          <mc:Choice Requires="wps">
            <w:drawing>
              <wp:inline distT="0" distB="0" distL="0" distR="0">
                <wp:extent cx="5753100" cy="1404620"/>
                <wp:effectExtent l="0" t="0" r="19050" b="10160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E2F1EE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84" w:rsidRPr="00FE2405" w:rsidRDefault="00AD7884" w:rsidP="008C58D0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884" w:rsidRDefault="00AD7884" w:rsidP="008C58D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Financování CDZ považuje za problematické také velká část provozovatelů CDZ. Nedostatečné financování sociálních služeb z pohledu svého CDZ označilo 22 % respondentů dotazníkového šetření NKÚ jako rozhodně velké riziko, 26 % jako spíše velké, 39 % jako spíše malé a 13 % neoznačilo jako riziko. Ve svých odpovědích např. uvedli, že roční dotační období nezaručuje zajištění rozvoje služeb a udržitelnost pracovních pozic v příštích letech nebo vyjádřili obavy z odchodů potřebných kvalifikovaných pracovníků z důvodu jejich nízkého mzdového ohodnocení.</w:t>
                            </w:r>
                          </w:p>
                          <w:p w:rsidR="00AD7884" w:rsidRPr="00FE2405" w:rsidRDefault="00AD7884" w:rsidP="008C58D0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50" type="#_x0000_t202" style="width:45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" fillcolor="#e2f1ee" strokecolor="black [3213]" strokeweight=".5pt">
                <v:textbox style="mso-fit-shape-to-text:t" inset="2mm,0,2mm,0">
                  <w:txbxContent>
                    <w:p w:rsidR="00AD7884" w:rsidRPr="00FE2405" w:rsidRDefault="00AD7884" w:rsidP="008C58D0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884" w:rsidRDefault="00AD7884" w:rsidP="008C58D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Financování CDZ považuje za problematické také velká část provozovatelů CDZ. Nedostatečné financování sociálních služeb z pohledu svého CDZ označilo 22 % respondentů dotazníkového šetření NKÚ jako rozhodně velké riziko, 26 % jako spíše velké, 39 % jako spíše malé a 13 % neoznačilo jako riziko. Ve svých odpovědích např. uvedli, že roční dotační období nezaručuje zajištění rozvoje služeb a udržitelnost pracovních pozic v příštích letech nebo vyjádřili obavy z odchodů potřebných kvalifikovaných pracovníků z důvodu jejich nízkého mzdového ohodnocení.</w:t>
                      </w:r>
                    </w:p>
                    <w:p w:rsidR="00AD7884" w:rsidRPr="00FE2405" w:rsidRDefault="00AD7884" w:rsidP="008C58D0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E414C" w:rsidRPr="006C03E3" w:rsidRDefault="004E2766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b/>
        </w:rPr>
      </w:pPr>
      <w:r>
        <w:rPr>
          <w:b/>
        </w:rPr>
        <w:t xml:space="preserve">Právní </w:t>
      </w:r>
      <w:r w:rsidR="00C31949">
        <w:rPr>
          <w:b/>
        </w:rPr>
        <w:t>předpisy</w:t>
      </w:r>
      <w:r w:rsidR="00780105">
        <w:rPr>
          <w:b/>
        </w:rPr>
        <w:t xml:space="preserve"> spojen</w:t>
      </w:r>
      <w:r w:rsidR="00C31949">
        <w:rPr>
          <w:b/>
        </w:rPr>
        <w:t>é</w:t>
      </w:r>
      <w:r w:rsidR="00780105">
        <w:rPr>
          <w:b/>
        </w:rPr>
        <w:t xml:space="preserve"> s CDZ </w:t>
      </w:r>
      <w:r w:rsidR="00C609DA">
        <w:rPr>
          <w:b/>
        </w:rPr>
        <w:t>ne</w:t>
      </w:r>
      <w:r w:rsidR="00C31949">
        <w:rPr>
          <w:b/>
        </w:rPr>
        <w:t>jsou</w:t>
      </w:r>
      <w:r w:rsidR="00C609DA">
        <w:rPr>
          <w:b/>
        </w:rPr>
        <w:t xml:space="preserve"> účinn</w:t>
      </w:r>
      <w:r w:rsidR="00C31949">
        <w:rPr>
          <w:b/>
        </w:rPr>
        <w:t>é</w:t>
      </w:r>
      <w:r w:rsidR="00CA1133">
        <w:rPr>
          <w:b/>
        </w:rPr>
        <w:t>,</w:t>
      </w:r>
      <w:r w:rsidR="00780105">
        <w:rPr>
          <w:b/>
        </w:rPr>
        <w:t xml:space="preserve"> </w:t>
      </w:r>
      <w:r w:rsidR="00CA1133">
        <w:rPr>
          <w:b/>
        </w:rPr>
        <w:t>n</w:t>
      </w:r>
      <w:r w:rsidR="00780105">
        <w:rPr>
          <w:b/>
        </w:rPr>
        <w:t>ejasnosti v plánovaných změnách klíčových zákonů ohrožují fungování jejich služeb</w:t>
      </w:r>
    </w:p>
    <w:p w:rsidR="00BE414C" w:rsidRPr="00F72D64" w:rsidRDefault="00780105" w:rsidP="00FE3F55">
      <w:pPr>
        <w:widowControl/>
        <w:spacing w:after="120"/>
      </w:pPr>
      <w:r>
        <w:t>4.2</w:t>
      </w:r>
      <w:r w:rsidR="00841424">
        <w:t>6</w:t>
      </w:r>
      <w:r>
        <w:t xml:space="preserve"> </w:t>
      </w:r>
      <w:r w:rsidR="00916847">
        <w:t xml:space="preserve">Jako jedno z opatření pro splnění </w:t>
      </w:r>
      <w:r>
        <w:t xml:space="preserve">cíle </w:t>
      </w:r>
      <w:r w:rsidR="00930DF7">
        <w:t xml:space="preserve">NAPDZ </w:t>
      </w:r>
      <w:r>
        <w:t xml:space="preserve">rozvinout do roku 2030 multidisciplinární týmy jako </w:t>
      </w:r>
      <w:r w:rsidRPr="00A83339">
        <w:t>stěže</w:t>
      </w:r>
      <w:r w:rsidR="002B3525" w:rsidRPr="00A83339">
        <w:t>j</w:t>
      </w:r>
      <w:r w:rsidRPr="00A83339">
        <w:t>ní</w:t>
      </w:r>
      <w:r>
        <w:t xml:space="preserve"> služby zajišťující potřebnou péči v komunitě </w:t>
      </w:r>
      <w:r w:rsidR="00930DF7">
        <w:t xml:space="preserve">bylo ukotvení </w:t>
      </w:r>
      <w:r>
        <w:t xml:space="preserve">CDZ v </w:t>
      </w:r>
      <w:r w:rsidR="00930DF7">
        <w:t xml:space="preserve">příslušných </w:t>
      </w:r>
      <w:r w:rsidR="00792BB8">
        <w:t>právních předpisech</w:t>
      </w:r>
      <w:r>
        <w:t xml:space="preserve">. </w:t>
      </w:r>
      <w:r w:rsidR="008031DA">
        <w:t>Jako nejzazší term</w:t>
      </w:r>
      <w:r>
        <w:t>ín pro účinnost zákonů k ukotvení CDZ pro závažně duševně nemocné v zákoně o zdravotních službách</w:t>
      </w:r>
      <w:r w:rsidR="00A15034">
        <w:rPr>
          <w:rStyle w:val="Znakapoznpodarou"/>
        </w:rPr>
        <w:footnoteReference w:id="26"/>
      </w:r>
      <w:r>
        <w:t xml:space="preserve"> a v zákoně o sociálních službách</w:t>
      </w:r>
      <w:r w:rsidR="00A15034">
        <w:rPr>
          <w:rStyle w:val="Znakapoznpodarou"/>
        </w:rPr>
        <w:footnoteReference w:id="27"/>
      </w:r>
      <w:r>
        <w:t xml:space="preserve"> byl stanoven</w:t>
      </w:r>
      <w:r w:rsidR="008031DA">
        <w:t xml:space="preserve"> </w:t>
      </w:r>
      <w:r w:rsidR="00E13777">
        <w:t>prosin</w:t>
      </w:r>
      <w:r w:rsidR="008031DA">
        <w:t>e</w:t>
      </w:r>
      <w:r w:rsidR="00E13777">
        <w:t xml:space="preserve">c </w:t>
      </w:r>
      <w:r>
        <w:t xml:space="preserve">2020. V dokumentu Implementace NAPDZ schváleném v březnu 2021, tedy již po uplynutí stanovené lhůty, byla účinnost nové právní úpravy </w:t>
      </w:r>
      <w:r w:rsidR="008031DA">
        <w:t>plánována</w:t>
      </w:r>
      <w:r>
        <w:t xml:space="preserve"> od </w:t>
      </w:r>
      <w:r w:rsidR="00E13777">
        <w:t xml:space="preserve">ledna </w:t>
      </w:r>
      <w:r>
        <w:t>2022</w:t>
      </w:r>
      <w:r w:rsidRPr="00C609DA">
        <w:t xml:space="preserve">. </w:t>
      </w:r>
      <w:r w:rsidR="009B68CE" w:rsidRPr="005B25D2">
        <w:t xml:space="preserve">Ani v době ukončení kontroly </w:t>
      </w:r>
      <w:r w:rsidR="00F01523" w:rsidRPr="005B25D2">
        <w:t>však</w:t>
      </w:r>
      <w:r w:rsidR="009B68CE" w:rsidRPr="005B25D2">
        <w:t xml:space="preserve"> ukotvení CDZ v</w:t>
      </w:r>
      <w:r w:rsidR="001252B8">
        <w:t xml:space="preserve">e výše uvedených </w:t>
      </w:r>
      <w:r w:rsidR="009B68CE" w:rsidRPr="005B25D2">
        <w:t>právních předpisech účinné ne</w:t>
      </w:r>
      <w:r w:rsidR="00F01523" w:rsidRPr="005B25D2">
        <w:t>bylo</w:t>
      </w:r>
      <w:r w:rsidR="00192DD1">
        <w:t>,</w:t>
      </w:r>
      <w:r w:rsidR="009B68CE">
        <w:t xml:space="preserve"> </w:t>
      </w:r>
      <w:r w:rsidR="00192DD1" w:rsidRPr="00F72D64">
        <w:t>ú</w:t>
      </w:r>
      <w:r w:rsidR="009B68CE" w:rsidRPr="00F72D64">
        <w:t xml:space="preserve">činnost ustanovení týkajících se CDZ byla </w:t>
      </w:r>
      <w:r w:rsidR="00192DD1" w:rsidRPr="00F72D64">
        <w:t xml:space="preserve">Parlamentem ČR </w:t>
      </w:r>
      <w:r w:rsidR="009B68CE" w:rsidRPr="00F72D64">
        <w:t>s</w:t>
      </w:r>
      <w:r w:rsidR="00192DD1" w:rsidRPr="00F72D64">
        <w:t>tanovena</w:t>
      </w:r>
      <w:r w:rsidR="000212A3">
        <w:br/>
      </w:r>
      <w:r w:rsidR="009B68CE" w:rsidRPr="00F72D64">
        <w:t>až</w:t>
      </w:r>
      <w:r w:rsidR="00EF39E5">
        <w:t xml:space="preserve"> </w:t>
      </w:r>
      <w:r w:rsidR="009B68CE" w:rsidRPr="00F72D64">
        <w:t>od</w:t>
      </w:r>
      <w:r w:rsidR="00EF39E5">
        <w:t xml:space="preserve"> </w:t>
      </w:r>
      <w:r w:rsidR="009B68CE" w:rsidRPr="00F72D64">
        <w:t>roku 2025.</w:t>
      </w:r>
      <w:r w:rsidR="008031DA" w:rsidRPr="00B447BA">
        <w:t xml:space="preserve"> </w:t>
      </w:r>
      <w:r w:rsidR="00054F91" w:rsidRPr="00B447BA">
        <w:t>P</w:t>
      </w:r>
      <w:r w:rsidR="008031DA" w:rsidRPr="00B447BA">
        <w:t>říslušn</w:t>
      </w:r>
      <w:r w:rsidR="00054F91" w:rsidRPr="00B447BA">
        <w:t>á</w:t>
      </w:r>
      <w:r w:rsidR="008031DA" w:rsidRPr="00B447BA">
        <w:t xml:space="preserve"> opatření Implementace NAPDZ, resp. NAPDZ, </w:t>
      </w:r>
      <w:r w:rsidR="00054F91" w:rsidRPr="00B447BA">
        <w:t xml:space="preserve">za něž bylo </w:t>
      </w:r>
      <w:proofErr w:type="spellStart"/>
      <w:r w:rsidR="00054F91" w:rsidRPr="00B447BA">
        <w:t>MZd</w:t>
      </w:r>
      <w:proofErr w:type="spellEnd"/>
      <w:r w:rsidR="00054F91" w:rsidRPr="00B447BA">
        <w:t xml:space="preserve"> a</w:t>
      </w:r>
      <w:r w:rsidR="00EF39E5">
        <w:t> </w:t>
      </w:r>
      <w:r w:rsidR="00054F91" w:rsidRPr="00B447BA">
        <w:t>MPSV</w:t>
      </w:r>
      <w:r w:rsidR="00A83E0A" w:rsidRPr="00B447BA">
        <w:t xml:space="preserve"> v těchto dokumentech schvalovaných vládou ČR </w:t>
      </w:r>
      <w:r w:rsidR="00054F91" w:rsidRPr="00B447BA">
        <w:t>zodpovědné, nebyla naplněna</w:t>
      </w:r>
      <w:r w:rsidR="00A83E0A" w:rsidRPr="00F72D64">
        <w:t xml:space="preserve">. </w:t>
      </w:r>
      <w:proofErr w:type="spellStart"/>
      <w:r w:rsidR="00A83E0A" w:rsidRPr="00F72D64">
        <w:t>MZd</w:t>
      </w:r>
      <w:proofErr w:type="spellEnd"/>
      <w:r w:rsidR="008031DA" w:rsidRPr="00F72D64">
        <w:t xml:space="preserve"> při plánování opatření v NAPDZ a</w:t>
      </w:r>
      <w:r w:rsidR="00A83E0A" w:rsidRPr="00F72D64">
        <w:t> </w:t>
      </w:r>
      <w:r w:rsidR="008031DA" w:rsidRPr="00F72D64">
        <w:t>Implementaci NAPDZ dostatečně</w:t>
      </w:r>
      <w:r w:rsidR="00A83E0A" w:rsidRPr="00F72D64">
        <w:t xml:space="preserve"> nezohlednilo</w:t>
      </w:r>
      <w:r w:rsidR="008031DA" w:rsidRPr="00F72D64">
        <w:t xml:space="preserve"> legislativní proces, který leží mimo kompetence</w:t>
      </w:r>
      <w:r w:rsidR="00A83E0A" w:rsidRPr="00F72D64">
        <w:t xml:space="preserve"> ministerstev</w:t>
      </w:r>
      <w:r w:rsidR="008031DA" w:rsidRPr="00F72D64">
        <w:t>, a</w:t>
      </w:r>
      <w:r w:rsidR="00B465E0" w:rsidRPr="00F72D64">
        <w:t> </w:t>
      </w:r>
      <w:r w:rsidR="008031DA" w:rsidRPr="00B447BA">
        <w:t>nevhodně nastavilo indikátor v podobě účinnosti zákonů k</w:t>
      </w:r>
      <w:r w:rsidR="00A83E0A" w:rsidRPr="00B447BA">
        <w:t> </w:t>
      </w:r>
      <w:r w:rsidR="008031DA" w:rsidRPr="00B447BA">
        <w:t>ukotvení CDZ</w:t>
      </w:r>
      <w:r w:rsidR="008031DA" w:rsidRPr="00F72D64">
        <w:t>.</w:t>
      </w:r>
    </w:p>
    <w:p w:rsidR="00BE414C" w:rsidRPr="00110CD4" w:rsidRDefault="00780105" w:rsidP="00FE3F55">
      <w:pPr>
        <w:widowControl/>
        <w:spacing w:after="120"/>
      </w:pPr>
      <w:r>
        <w:t>4.2</w:t>
      </w:r>
      <w:r w:rsidR="00841424">
        <w:t>7</w:t>
      </w:r>
      <w:r>
        <w:t xml:space="preserve"> V uvedené právní úpravě</w:t>
      </w:r>
      <w:r w:rsidR="004E43FF">
        <w:t>, která nab</w:t>
      </w:r>
      <w:r w:rsidR="00A52280">
        <w:t>u</w:t>
      </w:r>
      <w:r w:rsidR="004E43FF">
        <w:t>de účinnosti v roce 2025</w:t>
      </w:r>
      <w:r w:rsidR="00647BD1">
        <w:t>,</w:t>
      </w:r>
      <w:r w:rsidR="004E43FF">
        <w:t xml:space="preserve"> je</w:t>
      </w:r>
      <w:r>
        <w:t xml:space="preserve"> stanoveno, že služby CDZ může poskytovat výhradně jeden subjekt disponující příslušnými oprávněními</w:t>
      </w:r>
      <w:r w:rsidR="000212A3">
        <w:br/>
      </w:r>
      <w:r>
        <w:t>pro zdravotní a</w:t>
      </w:r>
      <w:r w:rsidR="004E43FF">
        <w:t> </w:t>
      </w:r>
      <w:r>
        <w:t>sociální služby. To neodpovíd</w:t>
      </w:r>
      <w:r w:rsidR="004E43FF">
        <w:t>á</w:t>
      </w:r>
      <w:r>
        <w:t xml:space="preserve"> zavedené praxi, kdy mohou být služby CDZ poskytovány i</w:t>
      </w:r>
      <w:r w:rsidR="004E43FF">
        <w:t> </w:t>
      </w:r>
      <w:r>
        <w:t>dvěma subjekty na základě smlouvy. V</w:t>
      </w:r>
      <w:r w:rsidR="007B2F1C">
        <w:t> době ukončení kontroly NKÚ</w:t>
      </w:r>
      <w:r>
        <w:t xml:space="preserve"> na tomto principu fung</w:t>
      </w:r>
      <w:r w:rsidR="007B2F1C">
        <w:t>ovala</w:t>
      </w:r>
      <w:r>
        <w:t xml:space="preserve"> </w:t>
      </w:r>
      <w:r w:rsidR="00F01BCD">
        <w:t>přibližně</w:t>
      </w:r>
      <w:r>
        <w:t xml:space="preserve"> polovina </w:t>
      </w:r>
      <w:r w:rsidRPr="00110CD4">
        <w:t>CDZ.</w:t>
      </w:r>
    </w:p>
    <w:p w:rsidR="00BE414C" w:rsidRDefault="00780105" w:rsidP="00FE3F55">
      <w:pPr>
        <w:widowControl/>
        <w:spacing w:after="120"/>
      </w:pPr>
      <w:r w:rsidRPr="00284085">
        <w:t>4.</w:t>
      </w:r>
      <w:r w:rsidRPr="00F72D64">
        <w:t>2</w:t>
      </w:r>
      <w:r w:rsidR="00841424" w:rsidRPr="00F72D64">
        <w:t>8</w:t>
      </w:r>
      <w:r w:rsidRPr="00F72D64">
        <w:t xml:space="preserve"> </w:t>
      </w:r>
      <w:r w:rsidRPr="00B447BA">
        <w:t xml:space="preserve">Přestože nově schválená právní úprava ještě ani nenabyla účinnosti, </w:t>
      </w:r>
      <w:proofErr w:type="spellStart"/>
      <w:r w:rsidRPr="00B447BA">
        <w:t>MZd</w:t>
      </w:r>
      <w:proofErr w:type="spellEnd"/>
      <w:r w:rsidRPr="00B447BA">
        <w:t xml:space="preserve"> a MPSV připravily další legislativní změny zásadně ovlivňující tuto oblast</w:t>
      </w:r>
      <w:r w:rsidRPr="00F72D64">
        <w:t>. Patří k nim mj. opětovné umožnění poskytování služeb CDZ dvěma subjekty za splnění stanovených podmínek. V</w:t>
      </w:r>
      <w:r w:rsidR="00F01523" w:rsidRPr="00F72D64">
        <w:t> době ukončení kontroly ta</w:t>
      </w:r>
      <w:r w:rsidRPr="00F72D64">
        <w:t xml:space="preserve">k není možné s jistotu říci, </w:t>
      </w:r>
      <w:r w:rsidR="00F01523" w:rsidRPr="00F72D64">
        <w:t>za jakých podmínek</w:t>
      </w:r>
      <w:r w:rsidRPr="00F72D64">
        <w:t xml:space="preserve"> </w:t>
      </w:r>
      <w:r w:rsidR="00F01523" w:rsidRPr="00F72D64">
        <w:t>budou</w:t>
      </w:r>
      <w:r w:rsidRPr="00F72D64">
        <w:t xml:space="preserve"> CDZ od </w:t>
      </w:r>
      <w:r w:rsidR="00F01523" w:rsidRPr="00F72D64">
        <w:t>roku 2025 provozována</w:t>
      </w:r>
      <w:r w:rsidRPr="00F72D64">
        <w:t>. Nepřehledná legislativa upravující oblast CDZ tak ovliv</w:t>
      </w:r>
      <w:r w:rsidR="00F01523" w:rsidRPr="00F72D64">
        <w:t>ňuje</w:t>
      </w:r>
      <w:r w:rsidRPr="00F72D64">
        <w:t xml:space="preserve"> nejenom současné poskytovatele služeb CDZ, ale i subjekty, které vytvoření nových CDZ plánují či zvažují. </w:t>
      </w:r>
      <w:r w:rsidRPr="00B447BA">
        <w:t>Dotčené re</w:t>
      </w:r>
      <w:r w:rsidR="00647BD1">
        <w:t>s</w:t>
      </w:r>
      <w:r w:rsidRPr="00B447BA">
        <w:t>orty svým jednání vytvář</w:t>
      </w:r>
      <w:r w:rsidR="00507E77" w:rsidRPr="00B447BA">
        <w:t>ely</w:t>
      </w:r>
      <w:r w:rsidRPr="00B447BA">
        <w:t xml:space="preserve"> nestabilní podmínky pro vznik, udržitelné fungování a</w:t>
      </w:r>
      <w:r w:rsidR="00B465E0" w:rsidRPr="00F72D64">
        <w:t> </w:t>
      </w:r>
      <w:r w:rsidRPr="00B447BA">
        <w:t>další rozvoj CDZ</w:t>
      </w:r>
      <w:r w:rsidR="00544F0B" w:rsidRPr="00B447BA">
        <w:t xml:space="preserve"> a také</w:t>
      </w:r>
      <w:r w:rsidRPr="00F72D64">
        <w:t xml:space="preserve"> </w:t>
      </w:r>
      <w:r w:rsidR="00544F0B" w:rsidRPr="00F72D64">
        <w:t>zv</w:t>
      </w:r>
      <w:r w:rsidR="006447DF" w:rsidRPr="00F72D64">
        <w:t>ý</w:t>
      </w:r>
      <w:r w:rsidR="00544F0B" w:rsidRPr="00F72D64">
        <w:t>š</w:t>
      </w:r>
      <w:r w:rsidR="00507E77" w:rsidRPr="00F72D64">
        <w:t>ily</w:t>
      </w:r>
      <w:r w:rsidR="00544F0B" w:rsidRPr="00544F0B">
        <w:t xml:space="preserve"> riziko, že dojde ke ztrátě či omezení kapacit služeb, které vznikly </w:t>
      </w:r>
      <w:r w:rsidR="00507E77">
        <w:t>díky</w:t>
      </w:r>
      <w:r w:rsidR="00544F0B" w:rsidRPr="00544F0B">
        <w:t xml:space="preserve"> podpo</w:t>
      </w:r>
      <w:r w:rsidR="00507E77">
        <w:t>ře</w:t>
      </w:r>
      <w:r w:rsidR="00544F0B" w:rsidRPr="00544F0B">
        <w:t xml:space="preserve"> z ESF.</w:t>
      </w:r>
    </w:p>
    <w:p w:rsidR="00ED2426" w:rsidRDefault="00780105" w:rsidP="00FE3F55">
      <w:pPr>
        <w:widowControl/>
        <w:spacing w:after="200"/>
      </w:pPr>
      <w:r>
        <w:t>4.</w:t>
      </w:r>
      <w:r w:rsidR="00841424">
        <w:t xml:space="preserve">29 </w:t>
      </w:r>
      <w:bookmarkStart w:id="21" w:name="_Hlk172982675"/>
      <w:r w:rsidR="00544F0B">
        <w:t>Dle NKÚ d</w:t>
      </w:r>
      <w:r>
        <w:t xml:space="preserve">otčená ministerstva </w:t>
      </w:r>
      <w:r w:rsidR="00544F0B">
        <w:t>výše uvedeným postupem</w:t>
      </w:r>
      <w:r>
        <w:t xml:space="preserve"> nepečovala o </w:t>
      </w:r>
      <w:r w:rsidR="00277F08">
        <w:t xml:space="preserve">náležitou </w:t>
      </w:r>
      <w:r>
        <w:t>právní úpravu v oblast</w:t>
      </w:r>
      <w:r w:rsidR="003E670F">
        <w:t>ech</w:t>
      </w:r>
      <w:r>
        <w:t xml:space="preserve"> </w:t>
      </w:r>
      <w:r w:rsidR="004E6F71">
        <w:rPr>
          <w:szCs w:val="24"/>
        </w:rPr>
        <w:t>zdravotních a sociálních služeb</w:t>
      </w:r>
      <w:r w:rsidR="00DA568D">
        <w:rPr>
          <w:szCs w:val="24"/>
        </w:rPr>
        <w:t xml:space="preserve"> </w:t>
      </w:r>
      <w:r w:rsidR="004E6F71">
        <w:t xml:space="preserve">souvisejících s </w:t>
      </w:r>
      <w:r>
        <w:t>reform</w:t>
      </w:r>
      <w:r w:rsidR="004E6F71">
        <w:t>ou</w:t>
      </w:r>
      <w:r>
        <w:t xml:space="preserve"> péče o duševní zdraví, kter</w:t>
      </w:r>
      <w:r w:rsidR="004E6F71">
        <w:t>é</w:t>
      </w:r>
      <w:r>
        <w:t xml:space="preserve"> mají ve své působnosti,</w:t>
      </w:r>
      <w:r w:rsidR="00ED6DB4">
        <w:t xml:space="preserve"> a nepostupovala tak </w:t>
      </w:r>
      <w:r w:rsidR="0099343C">
        <w:t>v souladu s</w:t>
      </w:r>
      <w:r w:rsidR="00F01BCD">
        <w:t> kompetenčním z</w:t>
      </w:r>
      <w:r>
        <w:t>ákon</w:t>
      </w:r>
      <w:r w:rsidR="0099343C">
        <w:t>em</w:t>
      </w:r>
      <w:r>
        <w:rPr>
          <w:rStyle w:val="Znakapoznpodarou"/>
        </w:rPr>
        <w:footnoteReference w:id="28"/>
      </w:r>
      <w:r>
        <w:t>.</w:t>
      </w:r>
      <w:bookmarkEnd w:id="21"/>
    </w:p>
    <w:p w:rsidR="00104462" w:rsidRPr="006C03E3" w:rsidRDefault="00780105" w:rsidP="00FE3F55">
      <w:pPr>
        <w:keepNext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120"/>
        <w:rPr>
          <w:b/>
        </w:rPr>
      </w:pPr>
      <w:r>
        <w:rPr>
          <w:b/>
        </w:rPr>
        <w:t>Pasivita MPSV a nízká míra spolupráce obou klíčových re</w:t>
      </w:r>
      <w:r w:rsidR="00647BD1">
        <w:rPr>
          <w:b/>
        </w:rPr>
        <w:t>s</w:t>
      </w:r>
      <w:r>
        <w:rPr>
          <w:b/>
        </w:rPr>
        <w:t>ortů zpomalují pokrok v přesunu těžiště psychiatrické péče do komunity, a tím brzdí i postup celé reformy péče o duševní zdraví v</w:t>
      </w:r>
      <w:r w:rsidR="00552DF3">
        <w:rPr>
          <w:b/>
        </w:rPr>
        <w:t> </w:t>
      </w:r>
      <w:r>
        <w:rPr>
          <w:b/>
        </w:rPr>
        <w:t>ČR</w:t>
      </w:r>
    </w:p>
    <w:p w:rsidR="00104462" w:rsidRDefault="00780105" w:rsidP="00B0516A">
      <w:pPr>
        <w:widowControl/>
        <w:spacing w:after="120"/>
      </w:pPr>
      <w:r>
        <w:t>4.</w:t>
      </w:r>
      <w:r w:rsidR="00CA1133">
        <w:t>3</w:t>
      </w:r>
      <w:r w:rsidR="00841424">
        <w:t>0</w:t>
      </w:r>
      <w:r>
        <w:t xml:space="preserve"> MPSV nedostatečně spoluprac</w:t>
      </w:r>
      <w:r w:rsidR="00CA1133">
        <w:t>ovalo</w:t>
      </w:r>
      <w:r>
        <w:t xml:space="preserve"> s </w:t>
      </w:r>
      <w:proofErr w:type="spellStart"/>
      <w:r>
        <w:t>MZd</w:t>
      </w:r>
      <w:proofErr w:type="spellEnd"/>
      <w:r>
        <w:t xml:space="preserve"> na plnění cílů reformy péče o duševní zdraví, přestože mu to </w:t>
      </w:r>
      <w:r w:rsidR="00CA1133">
        <w:t xml:space="preserve">bylo </w:t>
      </w:r>
      <w:r>
        <w:t xml:space="preserve">opakovaně </w:t>
      </w:r>
      <w:r w:rsidR="00513461">
        <w:t>při schvalování strategických dokumentů</w:t>
      </w:r>
      <w:r>
        <w:t xml:space="preserve"> </w:t>
      </w:r>
      <w:r w:rsidR="001252B8">
        <w:t xml:space="preserve">v příslušných usneseních </w:t>
      </w:r>
      <w:r w:rsidR="00513461">
        <w:t xml:space="preserve">vlády ČR </w:t>
      </w:r>
      <w:r>
        <w:t>ukládáno.</w:t>
      </w:r>
      <w:r w:rsidR="00CF1C5D">
        <w:t xml:space="preserve"> Postup</w:t>
      </w:r>
      <w:r w:rsidR="00CA1133">
        <w:t>ovalo</w:t>
      </w:r>
      <w:r w:rsidR="00CF1C5D">
        <w:t xml:space="preserve"> tak v rozporu s</w:t>
      </w:r>
      <w:r w:rsidR="00E14004">
        <w:t xml:space="preserve"> kompetenčním zákonem</w:t>
      </w:r>
      <w:r>
        <w:rPr>
          <w:rStyle w:val="Znakapoznpodarou"/>
        </w:rPr>
        <w:footnoteReference w:id="29"/>
      </w:r>
      <w:r w:rsidR="00E14004">
        <w:t>.</w:t>
      </w:r>
      <w:r>
        <w:t xml:space="preserve"> MPSV nepřistupovalo v některých ohledech k implementaci reformy péče o duševní zdraví odpovědně</w:t>
      </w:r>
      <w:r w:rsidR="001C769D">
        <w:t xml:space="preserve"> a</w:t>
      </w:r>
      <w:r w:rsidR="001C769D" w:rsidRPr="001C769D">
        <w:t xml:space="preserve"> aktivně </w:t>
      </w:r>
      <w:r w:rsidR="001C769D">
        <w:t xml:space="preserve">se </w:t>
      </w:r>
      <w:r w:rsidR="001C769D" w:rsidRPr="001C769D">
        <w:t>nezapojovalo do mezire</w:t>
      </w:r>
      <w:r w:rsidR="00774F01">
        <w:t>s</w:t>
      </w:r>
      <w:r w:rsidR="001C769D" w:rsidRPr="001C769D">
        <w:t>ortní spolupráce v oblasti reformy péče o</w:t>
      </w:r>
      <w:r w:rsidR="00EF39E5">
        <w:t> </w:t>
      </w:r>
      <w:r w:rsidR="001C769D" w:rsidRPr="001C769D">
        <w:t>duševní zdraví</w:t>
      </w:r>
      <w:r w:rsidR="001C769D">
        <w:t>,</w:t>
      </w:r>
      <w:r>
        <w:t xml:space="preserve"> což vyplývá ze stavu plnění některých úkolů, za něž bylo zodpovědné.</w:t>
      </w:r>
      <w:r w:rsidR="00D70A41">
        <w:t xml:space="preserve"> </w:t>
      </w:r>
      <w:r w:rsidR="00703C2C" w:rsidRPr="00703C2C">
        <w:t xml:space="preserve">MPSV nemělo </w:t>
      </w:r>
      <w:r w:rsidR="00440C49">
        <w:t xml:space="preserve">ani </w:t>
      </w:r>
      <w:r w:rsidR="00703C2C" w:rsidRPr="00703C2C">
        <w:t>do doby ukončení kontroly NKÚ nastavenou řídicí strukturu pro tvorbu a</w:t>
      </w:r>
      <w:r w:rsidR="00EF39E5">
        <w:t> </w:t>
      </w:r>
      <w:r w:rsidR="00703C2C" w:rsidRPr="00703C2C">
        <w:t xml:space="preserve">naplňování </w:t>
      </w:r>
      <w:r w:rsidR="001C769D">
        <w:t xml:space="preserve">příslušné </w:t>
      </w:r>
      <w:r w:rsidR="00703C2C" w:rsidRPr="00703C2C">
        <w:t>části reformy péče o duševní zdraví tak, aby bylo zajištěno její plynulé řízení, koordinace, kontrola a průběžné hodnocení plnění opatření</w:t>
      </w:r>
      <w:r w:rsidR="00703C2C">
        <w:t>. A</w:t>
      </w:r>
      <w:r w:rsidR="00703C2C" w:rsidRPr="00703C2C">
        <w:t>genda implementace reformy ne</w:t>
      </w:r>
      <w:r w:rsidR="00983CC5">
        <w:t>byla</w:t>
      </w:r>
      <w:r w:rsidR="00703C2C" w:rsidRPr="00703C2C">
        <w:t xml:space="preserve"> na MPSV dostatečně personálně zabezpečena</w:t>
      </w:r>
      <w:r w:rsidR="00703C2C">
        <w:t xml:space="preserve">. </w:t>
      </w:r>
      <w:r w:rsidR="00710147">
        <w:t xml:space="preserve">Mezi </w:t>
      </w:r>
      <w:r w:rsidR="00983CC5">
        <w:t>oběma re</w:t>
      </w:r>
      <w:r w:rsidR="00647BD1">
        <w:t>s</w:t>
      </w:r>
      <w:r w:rsidR="00983CC5">
        <w:t xml:space="preserve">orty </w:t>
      </w:r>
      <w:r w:rsidR="00710147">
        <w:t xml:space="preserve">nedocházelo </w:t>
      </w:r>
      <w:r w:rsidR="00703C2C" w:rsidRPr="00703C2C">
        <w:t>k</w:t>
      </w:r>
      <w:r w:rsidR="00983CC5">
        <w:t> </w:t>
      </w:r>
      <w:r w:rsidR="00703C2C" w:rsidRPr="00703C2C">
        <w:t>potřebné výměně informací a podkladů tak, aby byla zajištěna implementace reformy péče o duševní zdraví</w:t>
      </w:r>
      <w:r w:rsidR="0033013B">
        <w:t xml:space="preserve"> a plněny stanovené cíle,</w:t>
      </w:r>
      <w:r w:rsidR="00703C2C" w:rsidRPr="00703C2C">
        <w:t xml:space="preserve"> </w:t>
      </w:r>
      <w:r w:rsidR="00983CC5">
        <w:t xml:space="preserve">což je rovněž </w:t>
      </w:r>
      <w:r w:rsidR="00703C2C" w:rsidRPr="00703C2C">
        <w:t>v rozporu s</w:t>
      </w:r>
      <w:r w:rsidR="00983CC5">
        <w:t> kompetenčním zákonem</w:t>
      </w:r>
      <w:r w:rsidR="00983CC5">
        <w:rPr>
          <w:rStyle w:val="Znakapoznpodarou"/>
        </w:rPr>
        <w:footnoteReference w:id="30"/>
      </w:r>
      <w:r w:rsidR="00703C2C" w:rsidRPr="00703C2C">
        <w:t>.</w:t>
      </w:r>
    </w:p>
    <w:p w:rsidR="00832D59" w:rsidRDefault="00780105" w:rsidP="00832D59">
      <w:pPr>
        <w:spacing w:after="0"/>
      </w:pPr>
      <w:r w:rsidRPr="00284085">
        <w:t>4.</w:t>
      </w:r>
      <w:r w:rsidR="00841424" w:rsidRPr="00110CD4">
        <w:t>3</w:t>
      </w:r>
      <w:r w:rsidR="00841424">
        <w:t>1</w:t>
      </w:r>
      <w:r w:rsidR="00841424" w:rsidRPr="00110CD4">
        <w:t xml:space="preserve"> </w:t>
      </w:r>
      <w:r w:rsidRPr="00110CD4">
        <w:t xml:space="preserve">Bez komplexní spolupráce </w:t>
      </w:r>
      <w:proofErr w:type="spellStart"/>
      <w:r w:rsidRPr="00110CD4">
        <w:t>MZd</w:t>
      </w:r>
      <w:proofErr w:type="spellEnd"/>
      <w:r w:rsidRPr="00110CD4">
        <w:t xml:space="preserve"> a MPSV</w:t>
      </w:r>
      <w:r w:rsidR="007810B5">
        <w:t xml:space="preserve"> nelze</w:t>
      </w:r>
      <w:r w:rsidRPr="00110CD4">
        <w:t xml:space="preserve"> v oblasti řízení a uskutečňování příslušných částí reformy péče o duševní zdraví v ČR efektivně dosáhnout stanovených cílů, zejména</w:t>
      </w:r>
      <w:r w:rsidR="004E43FF" w:rsidRPr="00110CD4">
        <w:t xml:space="preserve"> zajistit</w:t>
      </w:r>
      <w:r w:rsidRPr="00110CD4">
        <w:t xml:space="preserve"> zlepšení kvality života osob s duševním onemocněním.</w:t>
      </w:r>
      <w:r w:rsidRPr="00110CD4">
        <w:rPr>
          <w:noProof/>
        </w:rPr>
        <w:t xml:space="preserve"> </w:t>
      </w:r>
      <w:r w:rsidR="001C769D">
        <w:t>V</w:t>
      </w:r>
      <w:r w:rsidR="001C769D" w:rsidRPr="00983CC5">
        <w:t xml:space="preserve"> letech 2021−2023 </w:t>
      </w:r>
      <w:r w:rsidR="001C769D">
        <w:t xml:space="preserve">např. vůbec </w:t>
      </w:r>
      <w:r w:rsidR="001C769D" w:rsidRPr="00983CC5">
        <w:t>neprobíhal</w:t>
      </w:r>
      <w:r w:rsidR="001C769D">
        <w:t>a</w:t>
      </w:r>
      <w:r w:rsidR="001C769D" w:rsidRPr="00983CC5">
        <w:t xml:space="preserve"> jednání mezi </w:t>
      </w:r>
      <w:proofErr w:type="spellStart"/>
      <w:r w:rsidR="001C769D" w:rsidRPr="00983CC5">
        <w:t>MZ</w:t>
      </w:r>
      <w:r w:rsidR="001C769D">
        <w:t>d</w:t>
      </w:r>
      <w:proofErr w:type="spellEnd"/>
      <w:r w:rsidR="001C769D" w:rsidRPr="00983CC5">
        <w:t xml:space="preserve"> a</w:t>
      </w:r>
      <w:r w:rsidR="00440C49" w:rsidRPr="00110CD4">
        <w:t> </w:t>
      </w:r>
      <w:r w:rsidR="001C769D" w:rsidRPr="00983CC5">
        <w:t>MPSV</w:t>
      </w:r>
      <w:r w:rsidR="001C769D">
        <w:t xml:space="preserve"> </w:t>
      </w:r>
      <w:r w:rsidR="001C769D" w:rsidRPr="00983CC5">
        <w:t>zaměřen</w:t>
      </w:r>
      <w:r w:rsidR="001C769D">
        <w:t>á</w:t>
      </w:r>
      <w:r w:rsidR="001C769D" w:rsidRPr="00983CC5">
        <w:t xml:space="preserve"> na propojení zdravotní a</w:t>
      </w:r>
      <w:r w:rsidR="00647BD1">
        <w:t> </w:t>
      </w:r>
      <w:r w:rsidR="001C769D" w:rsidRPr="00983CC5">
        <w:t>sociální péče poskytované osobám sociálně vyloučeným a sociálním vyloučením ohroženým</w:t>
      </w:r>
      <w:r w:rsidR="001C769D">
        <w:rPr>
          <w:rStyle w:val="Znakapoznpodarou"/>
        </w:rPr>
        <w:footnoteReference w:id="31"/>
      </w:r>
      <w:r w:rsidR="001C769D">
        <w:t>. Jejich předmětem měla být mj. i p</w:t>
      </w:r>
      <w:r w:rsidR="001C769D" w:rsidRPr="00983CC5">
        <w:t xml:space="preserve">odpora </w:t>
      </w:r>
      <w:proofErr w:type="spellStart"/>
      <w:r w:rsidR="001C769D" w:rsidRPr="00983CC5">
        <w:t>deinstitucionalizace</w:t>
      </w:r>
      <w:proofErr w:type="spellEnd"/>
      <w:r w:rsidR="001C769D" w:rsidRPr="00983CC5">
        <w:t xml:space="preserve"> psychiatrické péče</w:t>
      </w:r>
      <w:r w:rsidR="001C769D">
        <w:t xml:space="preserve"> či</w:t>
      </w:r>
      <w:r w:rsidR="001C769D" w:rsidRPr="00983CC5">
        <w:t xml:space="preserve"> zvýšení dostupnosti péče na </w:t>
      </w:r>
      <w:r w:rsidR="00BC158C" w:rsidRPr="00BC158C">
        <w:t>zdravotně-sociálním</w:t>
      </w:r>
      <w:r w:rsidR="001C769D" w:rsidRPr="00983CC5">
        <w:t xml:space="preserve"> pomezí.</w:t>
      </w:r>
    </w:p>
    <w:p w:rsidR="00E10066" w:rsidRDefault="00E10066" w:rsidP="008C58D0">
      <w:pPr>
        <w:spacing w:after="120"/>
      </w:pPr>
    </w:p>
    <w:p w:rsidR="00014FF7" w:rsidRDefault="00014FF7" w:rsidP="00104462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65D97E1D" wp14:editId="63C80C27">
                <wp:extent cx="5762625" cy="1333941"/>
                <wp:effectExtent l="0" t="0" r="28575" b="24765"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333941"/>
                        </a:xfrm>
                        <a:prstGeom prst="rect">
                          <a:avLst/>
                        </a:prstGeom>
                        <a:solidFill>
                          <a:srgbClr val="E2F1EE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884" w:rsidRPr="00FE2405" w:rsidRDefault="00AD7884" w:rsidP="008C58D0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7884" w:rsidRDefault="00AD7884" w:rsidP="008C58D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Koncepční a legislativní překážky vnímají i provozovatelé CDZ. Jako rozhodně velké riziko</w:t>
                            </w:r>
                            <w:r>
                              <w:rPr>
                                <w:i/>
                              </w:rPr>
                              <w:br/>
                              <w:t>pro své CDZ je označilo 26</w:t>
                            </w:r>
                            <w:r w:rsidRPr="00110CD4">
                              <w:t> </w:t>
                            </w:r>
                            <w:r w:rsidRPr="00CC4399">
                              <w:rPr>
                                <w:i/>
                              </w:rPr>
                              <w:t>% respondentů</w:t>
                            </w:r>
                            <w:r>
                              <w:rPr>
                                <w:i/>
                              </w:rPr>
                              <w:t xml:space="preserve"> dotazníkového šetření NKÚ, jako spíše velké 44</w:t>
                            </w:r>
                            <w:r w:rsidRPr="00CC4399">
                              <w:rPr>
                                <w:i/>
                              </w:rPr>
                              <w:t xml:space="preserve"> %</w:t>
                            </w:r>
                            <w:r>
                              <w:rPr>
                                <w:i/>
                              </w:rPr>
                              <w:t>, jako spíše malé 17</w:t>
                            </w:r>
                            <w:r w:rsidRPr="00110CD4">
                              <w:t> </w:t>
                            </w:r>
                            <w:r w:rsidRPr="00CC4399">
                              <w:rPr>
                                <w:i/>
                              </w:rPr>
                              <w:t>%</w:t>
                            </w:r>
                            <w:r>
                              <w:rPr>
                                <w:i/>
                              </w:rPr>
                              <w:t xml:space="preserve"> a 13</w:t>
                            </w:r>
                            <w:r w:rsidRPr="00110CD4">
                              <w:t> </w:t>
                            </w:r>
                            <w:r>
                              <w:rPr>
                                <w:i/>
                              </w:rPr>
                              <w:t>% neoznačilo jako riziko.</w:t>
                            </w:r>
                          </w:p>
                          <w:p w:rsidR="00AD7884" w:rsidRDefault="00AD7884" w:rsidP="008C58D0">
                            <w:pPr>
                              <w:spacing w:after="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Respondenti za problematické označili např. chybějící ukotvení v legislativě, nedostatečnou meziresortní komunikaci a spolupráci, rozpad multidisciplinárních řídících struktur reformy, nenaplňování strategických dokumentů či nejistou politickou podporu.</w:t>
                            </w:r>
                          </w:p>
                          <w:p w:rsidR="00AD7884" w:rsidRPr="00FE2405" w:rsidRDefault="00AD7884" w:rsidP="008C58D0">
                            <w:pPr>
                              <w:spacing w:after="0"/>
                              <w:rPr>
                                <w:i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72000" bIns="0" anchor="ctr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D97E1D" id="_x0000_s1051" type="#_x0000_t202" style="width:453.75pt;height:10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" fillcolor="#e2f1ee" strokecolor="black [3213]" strokeweight=".5pt">
                <v:textbox style="mso-fit-shape-to-text:t" inset="2mm,0,2mm,0">
                  <w:txbxContent>
                    <w:p w:rsidR="00AD7884" w:rsidRPr="00FE2405" w:rsidRDefault="00AD7884" w:rsidP="008C58D0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</w:p>
                    <w:p w:rsidR="00AD7884" w:rsidRDefault="00AD7884" w:rsidP="008C58D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Koncepční a legislativní překážky vnímají i provozovatelé CDZ. Jako rozhodně velké riziko</w:t>
                      </w:r>
                      <w:r>
                        <w:rPr>
                          <w:i/>
                        </w:rPr>
                        <w:br/>
                        <w:t>pro své CDZ je označilo 26</w:t>
                      </w:r>
                      <w:r w:rsidRPr="00110CD4">
                        <w:t> </w:t>
                      </w:r>
                      <w:r w:rsidRPr="00CC4399">
                        <w:rPr>
                          <w:i/>
                        </w:rPr>
                        <w:t>% respondentů</w:t>
                      </w:r>
                      <w:r>
                        <w:rPr>
                          <w:i/>
                        </w:rPr>
                        <w:t xml:space="preserve"> dotazníkového šetření NKÚ, jako spíše velké 44</w:t>
                      </w:r>
                      <w:r w:rsidRPr="00CC4399">
                        <w:rPr>
                          <w:i/>
                        </w:rPr>
                        <w:t xml:space="preserve"> %</w:t>
                      </w:r>
                      <w:r>
                        <w:rPr>
                          <w:i/>
                        </w:rPr>
                        <w:t>, jako spíše malé 17</w:t>
                      </w:r>
                      <w:r w:rsidRPr="00110CD4">
                        <w:t> </w:t>
                      </w:r>
                      <w:r w:rsidRPr="00CC4399">
                        <w:rPr>
                          <w:i/>
                        </w:rPr>
                        <w:t>%</w:t>
                      </w:r>
                      <w:r>
                        <w:rPr>
                          <w:i/>
                        </w:rPr>
                        <w:t xml:space="preserve"> a 13</w:t>
                      </w:r>
                      <w:r w:rsidRPr="00110CD4">
                        <w:t> </w:t>
                      </w:r>
                      <w:r>
                        <w:rPr>
                          <w:i/>
                        </w:rPr>
                        <w:t>% neoznačilo jako riziko.</w:t>
                      </w:r>
                    </w:p>
                    <w:p w:rsidR="00AD7884" w:rsidRDefault="00AD7884" w:rsidP="008C58D0">
                      <w:pPr>
                        <w:spacing w:after="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Respondenti za problematické označili např. chybějící ukotvení v legislativě, nedostatečnou meziresortní komunikaci a spolupráci, rozpad multidisciplinárních řídících struktur reformy, nenaplňování strategických dokumentů či nejistou politickou podporu.</w:t>
                      </w:r>
                    </w:p>
                    <w:p w:rsidR="00AD7884" w:rsidRPr="00FE2405" w:rsidRDefault="00AD7884" w:rsidP="008C58D0">
                      <w:pPr>
                        <w:spacing w:after="0"/>
                        <w:rPr>
                          <w:i/>
                          <w:sz w:val="12"/>
                          <w:szCs w:val="1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14FF7" w:rsidRDefault="00014FF7" w:rsidP="00104462">
      <w:pPr>
        <w:rPr>
          <w:noProof/>
        </w:rPr>
      </w:pPr>
    </w:p>
    <w:p w:rsidR="00ED2426" w:rsidRDefault="00ED2426" w:rsidP="00104462">
      <w:pPr>
        <w:rPr>
          <w:noProof/>
        </w:rPr>
      </w:pPr>
    </w:p>
    <w:p w:rsidR="00E5265F" w:rsidRDefault="00780105" w:rsidP="00832D59">
      <w:pPr>
        <w:keepNext/>
        <w:widowControl/>
        <w:autoSpaceDE/>
        <w:autoSpaceDN/>
        <w:adjustRightInd/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Seznam zkratek</w:t>
      </w:r>
    </w:p>
    <w:p w:rsidR="0008277F" w:rsidRDefault="0008277F" w:rsidP="00832D59">
      <w:pPr>
        <w:pStyle w:val="Bezmezer"/>
        <w:keepNext/>
        <w:spacing w:after="120" w:line="264" w:lineRule="auto"/>
        <w:ind w:left="2552" w:hanging="2552"/>
        <w:jc w:val="left"/>
      </w:pPr>
      <w:r>
        <w:t>CDZ</w:t>
      </w:r>
      <w:r>
        <w:tab/>
        <w:t>centrum duševního zdraví</w:t>
      </w:r>
    </w:p>
    <w:p w:rsidR="002512F6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ČR</w:t>
      </w:r>
      <w:r>
        <w:tab/>
        <w:t>Česká republika</w:t>
      </w:r>
    </w:p>
    <w:p w:rsidR="000E2506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ESF</w:t>
      </w:r>
      <w:r>
        <w:tab/>
        <w:t>Evropský sociální fond</w:t>
      </w:r>
    </w:p>
    <w:p w:rsidR="000740B5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EU</w:t>
      </w:r>
      <w:r w:rsidR="00B86617">
        <w:tab/>
      </w:r>
      <w:r>
        <w:t>Evropská unie</w:t>
      </w:r>
    </w:p>
    <w:p w:rsidR="00AF65FF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Implementace NAPDZ</w:t>
      </w:r>
      <w:r>
        <w:tab/>
      </w:r>
      <w:r w:rsidRPr="00D90BCC">
        <w:rPr>
          <w:i/>
        </w:rPr>
        <w:t xml:space="preserve">Implementace Národního akčního plánu pro duševní zdraví </w:t>
      </w:r>
      <w:r w:rsidR="008A3761">
        <w:rPr>
          <w:i/>
        </w:rPr>
        <w:br/>
      </w:r>
      <w:r w:rsidRPr="00D90BCC">
        <w:rPr>
          <w:i/>
        </w:rPr>
        <w:t>2020–2030 pro období 202</w:t>
      </w:r>
      <w:r w:rsidR="00CA6B6B" w:rsidRPr="00D90BCC">
        <w:rPr>
          <w:i/>
        </w:rPr>
        <w:t>0</w:t>
      </w:r>
      <w:r w:rsidRPr="00D90BCC">
        <w:rPr>
          <w:i/>
        </w:rPr>
        <w:t>–2023</w:t>
      </w:r>
    </w:p>
    <w:p w:rsidR="007D36BA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MPSV</w:t>
      </w:r>
      <w:r w:rsidR="00B86617">
        <w:tab/>
      </w:r>
      <w:r>
        <w:t>Ministerstvo práce a sociálních věcí</w:t>
      </w:r>
    </w:p>
    <w:p w:rsidR="00E5265F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proofErr w:type="spellStart"/>
      <w:r>
        <w:t>MZ</w:t>
      </w:r>
      <w:r w:rsidR="008049FB">
        <w:t>d</w:t>
      </w:r>
      <w:proofErr w:type="spellEnd"/>
      <w:r>
        <w:tab/>
        <w:t>Ministerstvo zdravotnictví</w:t>
      </w:r>
    </w:p>
    <w:p w:rsidR="00AF65FF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NAPDZ</w:t>
      </w:r>
      <w:r>
        <w:tab/>
      </w:r>
      <w:r w:rsidRPr="00D90BCC">
        <w:rPr>
          <w:i/>
        </w:rPr>
        <w:t>Národní akční plán pro duševní zdraví 2020–2030</w:t>
      </w:r>
    </w:p>
    <w:p w:rsidR="00E5265F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NKÚ</w:t>
      </w:r>
      <w:r>
        <w:tab/>
        <w:t>Nejvyšší kontrolní úřad</w:t>
      </w:r>
    </w:p>
    <w:p w:rsidR="00156AE8" w:rsidRDefault="007A3415" w:rsidP="00832D59">
      <w:pPr>
        <w:pStyle w:val="Bezmezer"/>
        <w:keepNext/>
        <w:spacing w:after="120" w:line="264" w:lineRule="auto"/>
        <w:ind w:left="2552" w:hanging="2552"/>
        <w:jc w:val="left"/>
      </w:pPr>
      <w:r>
        <w:t>o</w:t>
      </w:r>
      <w:r w:rsidR="00156AE8" w:rsidRPr="00156AE8">
        <w:t>becná pravidla OPZ</w:t>
      </w:r>
      <w:r w:rsidR="00156AE8">
        <w:tab/>
      </w:r>
      <w:r w:rsidR="00B77399" w:rsidRPr="00AD7884">
        <w:rPr>
          <w:i/>
        </w:rPr>
        <w:t>O</w:t>
      </w:r>
      <w:r w:rsidR="00156AE8" w:rsidRPr="00AD7884">
        <w:rPr>
          <w:i/>
        </w:rPr>
        <w:t>becná část pravidel pro žadatele a příjemce v rámci OPZ</w:t>
      </w:r>
    </w:p>
    <w:p w:rsidR="003439A7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OPZ</w:t>
      </w:r>
      <w:r>
        <w:tab/>
      </w:r>
      <w:r w:rsidR="00B77399" w:rsidRPr="004C4808">
        <w:rPr>
          <w:i/>
        </w:rPr>
        <w:t>O</w:t>
      </w:r>
      <w:r w:rsidRPr="004C4808">
        <w:rPr>
          <w:i/>
        </w:rPr>
        <w:t>perační program</w:t>
      </w:r>
      <w:r w:rsidRPr="00B77399">
        <w:t xml:space="preserve"> </w:t>
      </w:r>
      <w:r w:rsidRPr="004C4808">
        <w:rPr>
          <w:i/>
        </w:rPr>
        <w:t>Zaměstnanost</w:t>
      </w:r>
    </w:p>
    <w:p w:rsidR="00CA6B6B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Projekt CDZ I</w:t>
      </w:r>
      <w:r>
        <w:tab/>
      </w:r>
      <w:proofErr w:type="spellStart"/>
      <w:r w:rsidRPr="00CA6B6B">
        <w:t>reg</w:t>
      </w:r>
      <w:proofErr w:type="spellEnd"/>
      <w:r w:rsidRPr="00CA6B6B">
        <w:t>. č. CZ.03.2.63/0.0/0.0/15_039/0004672</w:t>
      </w:r>
      <w:r>
        <w:t xml:space="preserve"> –</w:t>
      </w:r>
      <w:r w:rsidRPr="00CA6B6B">
        <w:t xml:space="preserve"> </w:t>
      </w:r>
      <w:r w:rsidRPr="00D90BCC">
        <w:rPr>
          <w:i/>
        </w:rPr>
        <w:t>Podpora vzniku Center duševního zdraví I</w:t>
      </w:r>
    </w:p>
    <w:p w:rsidR="00CA6B6B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Projekt CDZ II</w:t>
      </w:r>
      <w:r>
        <w:tab/>
      </w:r>
      <w:proofErr w:type="spellStart"/>
      <w:r w:rsidRPr="00CA6B6B">
        <w:t>reg</w:t>
      </w:r>
      <w:proofErr w:type="spellEnd"/>
      <w:r w:rsidRPr="00CA6B6B">
        <w:t>. č. CZ.03.2.63/0.0/0.0/15_039/000</w:t>
      </w:r>
      <w:r>
        <w:t>7037 –</w:t>
      </w:r>
      <w:r w:rsidRPr="00CA6B6B">
        <w:t xml:space="preserve"> </w:t>
      </w:r>
      <w:r w:rsidRPr="00D90BCC">
        <w:rPr>
          <w:i/>
        </w:rPr>
        <w:t>Podpora vzniku Center duševního zdraví II</w:t>
      </w:r>
    </w:p>
    <w:p w:rsidR="00CA6B6B" w:rsidRPr="00CA6B6B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Projekt CDZ III</w:t>
      </w:r>
      <w:r>
        <w:tab/>
      </w:r>
      <w:proofErr w:type="spellStart"/>
      <w:r w:rsidRPr="00CA6B6B">
        <w:t>reg</w:t>
      </w:r>
      <w:proofErr w:type="spellEnd"/>
      <w:r w:rsidRPr="00CA6B6B">
        <w:t>. č. CZ.03.2.63/0.0/0.0/15_039/000</w:t>
      </w:r>
      <w:r>
        <w:t>96</w:t>
      </w:r>
      <w:r w:rsidRPr="00CA6B6B">
        <w:t>46</w:t>
      </w:r>
      <w:r>
        <w:t xml:space="preserve"> –</w:t>
      </w:r>
      <w:r w:rsidRPr="00CA6B6B">
        <w:t xml:space="preserve"> </w:t>
      </w:r>
      <w:r w:rsidRPr="00D90BCC">
        <w:rPr>
          <w:i/>
        </w:rPr>
        <w:t>Podpora vzniku Center duševního zdraví III</w:t>
      </w:r>
    </w:p>
    <w:p w:rsidR="00F803D9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ŘO</w:t>
      </w:r>
      <w:r>
        <w:tab/>
        <w:t>řídicí orgán</w:t>
      </w:r>
    </w:p>
    <w:p w:rsidR="00B86617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Strategie reformy</w:t>
      </w:r>
      <w:r>
        <w:tab/>
      </w:r>
      <w:r w:rsidRPr="00D90BCC">
        <w:rPr>
          <w:i/>
        </w:rPr>
        <w:t>Strategie reformy psychiatrické péče</w:t>
      </w:r>
    </w:p>
    <w:p w:rsidR="007C7C5A" w:rsidRDefault="00780105" w:rsidP="00832D59">
      <w:pPr>
        <w:pStyle w:val="Bezmezer"/>
        <w:keepNext/>
        <w:spacing w:after="120" w:line="264" w:lineRule="auto"/>
        <w:ind w:left="2552" w:hanging="2552"/>
        <w:jc w:val="left"/>
      </w:pPr>
      <w:r>
        <w:t>ÚZIS</w:t>
      </w:r>
      <w:r>
        <w:tab/>
        <w:t>Ústav zdravotnických informací a statistiky ČR</w:t>
      </w:r>
    </w:p>
    <w:p w:rsidR="00A82806" w:rsidRDefault="00A82806" w:rsidP="00832D59">
      <w:pPr>
        <w:keepNext/>
        <w:widowControl/>
        <w:autoSpaceDE/>
        <w:autoSpaceDN/>
        <w:adjustRightInd/>
        <w:spacing w:after="120" w:line="259" w:lineRule="auto"/>
        <w:jc w:val="left"/>
      </w:pPr>
    </w:p>
    <w:p w:rsidR="00A82806" w:rsidRDefault="00A82806" w:rsidP="00832D59">
      <w:pPr>
        <w:keepNext/>
        <w:widowControl/>
        <w:autoSpaceDE/>
        <w:autoSpaceDN/>
        <w:adjustRightInd/>
        <w:spacing w:after="120" w:line="259" w:lineRule="auto"/>
        <w:jc w:val="left"/>
      </w:pPr>
    </w:p>
    <w:p w:rsidR="00A82806" w:rsidRDefault="00780105" w:rsidP="00EF39E5">
      <w:pPr>
        <w:keepNext/>
        <w:jc w:val="left"/>
        <w:outlineLvl w:val="0"/>
        <w:rPr>
          <w:b/>
        </w:rPr>
      </w:pPr>
      <w:r w:rsidRPr="007605E6">
        <w:rPr>
          <w:b/>
        </w:rPr>
        <w:t xml:space="preserve">Seznam </w:t>
      </w:r>
      <w:r>
        <w:rPr>
          <w:b/>
        </w:rPr>
        <w:t>příloh</w:t>
      </w:r>
    </w:p>
    <w:p w:rsidR="00A82806" w:rsidRPr="007234B8" w:rsidRDefault="00780105" w:rsidP="00832D59">
      <w:pPr>
        <w:spacing w:after="120"/>
        <w:ind w:left="1247" w:hanging="1247"/>
        <w:jc w:val="left"/>
        <w:rPr>
          <w:rFonts w:cstheme="minorHAnsi"/>
        </w:rPr>
      </w:pPr>
      <w:r w:rsidRPr="007234B8">
        <w:t>Příloha č. 1</w:t>
      </w:r>
      <w:r>
        <w:t xml:space="preserve">: </w:t>
      </w:r>
      <w:r>
        <w:tab/>
        <w:t>Dotazníkové šetření NKÚ</w:t>
      </w:r>
    </w:p>
    <w:p w:rsidR="004E43FF" w:rsidRDefault="004E43FF">
      <w:pPr>
        <w:widowControl/>
        <w:autoSpaceDE/>
        <w:autoSpaceDN/>
        <w:adjustRightInd/>
        <w:spacing w:after="160" w:line="259" w:lineRule="auto"/>
        <w:jc w:val="left"/>
      </w:pPr>
    </w:p>
    <w:p w:rsidR="006776A5" w:rsidRDefault="006776A5">
      <w:pPr>
        <w:widowControl/>
        <w:autoSpaceDE/>
        <w:autoSpaceDN/>
        <w:adjustRightInd/>
        <w:spacing w:after="160" w:line="259" w:lineRule="auto"/>
        <w:jc w:val="left"/>
        <w:rPr>
          <w:rFonts w:asciiTheme="minorHAnsi" w:hAnsiTheme="minorHAnsi"/>
          <w:b/>
          <w:szCs w:val="24"/>
          <w:lang w:eastAsia="en-US"/>
        </w:rPr>
      </w:pPr>
      <w:r>
        <w:rPr>
          <w:b/>
        </w:rPr>
        <w:br w:type="page"/>
      </w:r>
    </w:p>
    <w:p w:rsidR="004E43FF" w:rsidRPr="004E43FF" w:rsidRDefault="00780105" w:rsidP="00832D59">
      <w:pPr>
        <w:pStyle w:val="Bezmezer"/>
        <w:spacing w:after="240"/>
        <w:ind w:left="1418" w:hanging="1418"/>
        <w:jc w:val="right"/>
        <w:rPr>
          <w:b/>
        </w:rPr>
      </w:pPr>
      <w:r w:rsidRPr="004E43FF">
        <w:rPr>
          <w:b/>
        </w:rPr>
        <w:t>Příloha č. 1</w:t>
      </w:r>
    </w:p>
    <w:p w:rsidR="004E43FF" w:rsidRDefault="004E43FF" w:rsidP="00832D59">
      <w:pPr>
        <w:pStyle w:val="Bezmezer"/>
        <w:spacing w:after="240"/>
        <w:ind w:left="1418" w:hanging="1418"/>
      </w:pPr>
    </w:p>
    <w:p w:rsidR="006318DA" w:rsidRPr="002B1527" w:rsidRDefault="00780105" w:rsidP="006318DA">
      <w:pPr>
        <w:spacing w:before="120"/>
        <w:jc w:val="center"/>
        <w:rPr>
          <w:b/>
        </w:rPr>
      </w:pPr>
      <w:r>
        <w:rPr>
          <w:b/>
        </w:rPr>
        <w:t>Dotazníkové šetření NKÚ</w:t>
      </w:r>
    </w:p>
    <w:p w:rsidR="006318DA" w:rsidRDefault="00780105" w:rsidP="006318DA">
      <w:pPr>
        <w:spacing w:before="120"/>
      </w:pPr>
      <w:r>
        <w:t>NKÚ provedl v rámci kontrolní akce č. 23/</w:t>
      </w:r>
      <w:r w:rsidR="001D2130">
        <w:t>22 dotazníkové šetření. Jeho ú</w:t>
      </w:r>
      <w:r w:rsidR="001D2130">
        <w:rPr>
          <w:rFonts w:ascii="CIDFont+F1" w:eastAsiaTheme="minorHAnsi" w:hAnsi="CIDFont+F1" w:cs="CIDFont+F1"/>
          <w:szCs w:val="24"/>
          <w:lang w:eastAsia="en-US"/>
        </w:rPr>
        <w:t>čelem bylo získat doplň</w:t>
      </w:r>
      <w:r w:rsidR="00CA1133">
        <w:rPr>
          <w:rFonts w:ascii="CIDFont+F1" w:eastAsiaTheme="minorHAnsi" w:hAnsi="CIDFont+F1" w:cs="CIDFont+F1"/>
          <w:szCs w:val="24"/>
          <w:lang w:eastAsia="en-US"/>
        </w:rPr>
        <w:t>ující</w:t>
      </w:r>
      <w:r w:rsidR="001D2130">
        <w:rPr>
          <w:rFonts w:ascii="CIDFont+F1" w:eastAsiaTheme="minorHAnsi" w:hAnsi="CIDFont+F1" w:cs="CIDFont+F1"/>
          <w:szCs w:val="24"/>
          <w:lang w:eastAsia="en-US"/>
        </w:rPr>
        <w:t xml:space="preserve"> informace k fungování CDZ od samotných poskytovatelů služeb. </w:t>
      </w:r>
      <w:r w:rsidR="001D2130">
        <w:t>NKÚ prostřednictvím datové schránky oslovil všech 28 stále provozovaných CDZ, která získala dotace na pilotní provoz z </w:t>
      </w:r>
      <w:r w:rsidR="00860D11">
        <w:t>P</w:t>
      </w:r>
      <w:r w:rsidR="001D2130">
        <w:t xml:space="preserve">rojektů CDZ I, II a III. Dotazník vyplnilo </w:t>
      </w:r>
      <w:r>
        <w:t xml:space="preserve">celkem </w:t>
      </w:r>
      <w:r w:rsidR="001D2130">
        <w:t>23 responde</w:t>
      </w:r>
      <w:r>
        <w:t xml:space="preserve">ntů (návratnost </w:t>
      </w:r>
      <w:r w:rsidR="001D2130">
        <w:t>8</w:t>
      </w:r>
      <w:r>
        <w:t>2 %).</w:t>
      </w:r>
    </w:p>
    <w:p w:rsidR="001D2130" w:rsidRDefault="00780105" w:rsidP="006318DA">
      <w:pPr>
        <w:spacing w:before="120"/>
      </w:pPr>
      <w:r>
        <w:t>Dotazník obsahoval uzavřené otázky, které bylo v některých případech možné doplnit vyjádřením respondenta k dané problematice.</w:t>
      </w:r>
    </w:p>
    <w:p w:rsidR="006318DA" w:rsidRDefault="00780105" w:rsidP="006318DA">
      <w:pPr>
        <w:spacing w:before="120"/>
      </w:pPr>
      <w:r>
        <w:t xml:space="preserve">Dotazníkové šetření probíhalo v období od </w:t>
      </w:r>
      <w:r w:rsidR="001D2130">
        <w:t>6</w:t>
      </w:r>
      <w:r>
        <w:t xml:space="preserve">. </w:t>
      </w:r>
      <w:r w:rsidR="001D2130">
        <w:t>břez</w:t>
      </w:r>
      <w:r>
        <w:t xml:space="preserve">na do </w:t>
      </w:r>
      <w:r w:rsidR="001D2130">
        <w:t>31</w:t>
      </w:r>
      <w:r>
        <w:t xml:space="preserve">. </w:t>
      </w:r>
      <w:r w:rsidR="001D2130">
        <w:t>března</w:t>
      </w:r>
      <w:r>
        <w:t xml:space="preserve"> 202</w:t>
      </w:r>
      <w:r w:rsidR="001D2130">
        <w:t>4</w:t>
      </w:r>
      <w:r>
        <w:t>.</w:t>
      </w:r>
    </w:p>
    <w:p w:rsidR="001D2130" w:rsidRDefault="00780105" w:rsidP="00110CD4">
      <w:pPr>
        <w:spacing w:before="120"/>
      </w:pPr>
      <w:r>
        <w:t>Interaktivní zobrazení dat zjištěných v kontrole je dostupn</w:t>
      </w:r>
      <w:r w:rsidR="008C1019">
        <w:t xml:space="preserve">é na tomto odkazu </w:t>
      </w:r>
      <w:hyperlink r:id="rId19" w:history="1">
        <w:r>
          <w:rPr>
            <w:rStyle w:val="Hypertextovodkaz"/>
          </w:rPr>
          <w:t>https://www.nku.cz/scripts/detail.php?id=14056</w:t>
        </w:r>
      </w:hyperlink>
      <w:r w:rsidR="008C1019" w:rsidRPr="00D90BCC">
        <w:rPr>
          <w:rStyle w:val="Hypertextovodkaz"/>
          <w:color w:val="000000" w:themeColor="text1"/>
          <w:u w:val="none"/>
        </w:rPr>
        <w:t xml:space="preserve"> </w:t>
      </w:r>
      <w:r w:rsidR="008C1019">
        <w:t>nebo prostřednictvím následujícího QR kódu</w:t>
      </w:r>
      <w:r w:rsidR="00B57297">
        <w:t>:</w:t>
      </w:r>
    </w:p>
    <w:p w:rsidR="006942F3" w:rsidRPr="001D0EDB" w:rsidRDefault="00780105" w:rsidP="00110CD4">
      <w:r>
        <w:rPr>
          <w:noProof/>
        </w:rPr>
        <w:drawing>
          <wp:inline distT="0" distB="0" distL="0" distR="0">
            <wp:extent cx="700087" cy="700087"/>
            <wp:effectExtent l="0" t="0" r="508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10205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66" cy="704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2F3" w:rsidRPr="001D0EDB" w:rsidSect="00753FD1">
      <w:footerReference w:type="default" r:id="rId21"/>
      <w:pgSz w:w="11909" w:h="16838" w:code="9"/>
      <w:pgMar w:top="1417" w:right="1417" w:bottom="1417" w:left="1417" w:header="709" w:footer="709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884" w:rsidRDefault="00AD7884">
      <w:pPr>
        <w:spacing w:after="0"/>
      </w:pPr>
      <w:r>
        <w:separator/>
      </w:r>
    </w:p>
  </w:endnote>
  <w:endnote w:type="continuationSeparator" w:id="0">
    <w:p w:rsidR="00AD7884" w:rsidRDefault="00AD7884">
      <w:pPr>
        <w:spacing w:after="0"/>
      </w:pPr>
      <w:r>
        <w:continuationSeparator/>
      </w:r>
    </w:p>
  </w:endnote>
  <w:endnote w:type="continuationNotice" w:id="1">
    <w:p w:rsidR="00AD7884" w:rsidRDefault="00AD78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7389559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:rsidR="00AD7884" w:rsidRPr="00753FD1" w:rsidRDefault="00AD7884" w:rsidP="00753FD1">
        <w:pPr>
          <w:pStyle w:val="Zpat"/>
          <w:jc w:val="center"/>
          <w:rPr>
            <w:color w:val="000000" w:themeColor="text1"/>
          </w:rPr>
        </w:pPr>
        <w:r w:rsidRPr="00753FD1">
          <w:rPr>
            <w:color w:val="000000" w:themeColor="text1"/>
          </w:rPr>
          <w:fldChar w:fldCharType="begin"/>
        </w:r>
        <w:r w:rsidRPr="00753FD1">
          <w:rPr>
            <w:color w:val="000000" w:themeColor="text1"/>
          </w:rPr>
          <w:instrText>PAGE   \* MERGEFORMAT</w:instrText>
        </w:r>
        <w:r w:rsidRPr="00753FD1">
          <w:rPr>
            <w:color w:val="000000" w:themeColor="text1"/>
          </w:rPr>
          <w:fldChar w:fldCharType="separate"/>
        </w:r>
        <w:r w:rsidRPr="00753FD1">
          <w:rPr>
            <w:color w:val="000000" w:themeColor="text1"/>
          </w:rPr>
          <w:t>2</w:t>
        </w:r>
        <w:r w:rsidRPr="00753FD1">
          <w:rPr>
            <w:color w:val="000000" w:themeColor="text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884" w:rsidRDefault="00AD7884" w:rsidP="00E41375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1376205"/>
      <w:docPartObj>
        <w:docPartGallery w:val="Page Numbers (Bottom of Page)"/>
        <w:docPartUnique/>
      </w:docPartObj>
    </w:sdtPr>
    <w:sdtEndPr/>
    <w:sdtContent>
      <w:p w:rsidR="00AD7884" w:rsidRDefault="00AD7884" w:rsidP="0079582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884" w:rsidRDefault="00AD7884" w:rsidP="00CD7A37">
      <w:pPr>
        <w:spacing w:after="0"/>
      </w:pPr>
      <w:r>
        <w:separator/>
      </w:r>
    </w:p>
  </w:footnote>
  <w:footnote w:type="continuationSeparator" w:id="0">
    <w:p w:rsidR="00AD7884" w:rsidRDefault="00AD7884" w:rsidP="00FE5C8F">
      <w:r>
        <w:continuationSeparator/>
      </w:r>
    </w:p>
  </w:footnote>
  <w:footnote w:type="continuationNotice" w:id="1">
    <w:p w:rsidR="00AD7884" w:rsidRDefault="00AD7884">
      <w:pPr>
        <w:spacing w:after="0"/>
      </w:pPr>
    </w:p>
  </w:footnote>
  <w:footnote w:id="2">
    <w:p w:rsidR="00AD7884" w:rsidRDefault="00AD7884" w:rsidP="00B7682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E6E09">
        <w:t>Centrum duševního zdraví</w:t>
      </w:r>
      <w:r>
        <w:t xml:space="preserve"> </w:t>
      </w:r>
      <w:r w:rsidRPr="00080972">
        <w:t>(dále také „CDZ“)</w:t>
      </w:r>
      <w:r w:rsidRPr="001E6E09">
        <w:t xml:space="preserve"> je zdravotně</w:t>
      </w:r>
      <w:r>
        <w:t>-</w:t>
      </w:r>
      <w:r w:rsidRPr="001E6E09">
        <w:t>sociální služba</w:t>
      </w:r>
      <w:r>
        <w:t xml:space="preserve"> poskytovaná jedním multidisciplinárním týmem</w:t>
      </w:r>
      <w:r w:rsidRPr="001E6E09">
        <w:t>, která pomáhá lidem se závažným duševním onemocněním</w:t>
      </w:r>
      <w:r>
        <w:t>. Jeho h</w:t>
      </w:r>
      <w:r w:rsidRPr="001E6E09">
        <w:t>lavním úkolem je přesun péče o</w:t>
      </w:r>
      <w:r>
        <w:rPr>
          <w:szCs w:val="24"/>
        </w:rPr>
        <w:t> </w:t>
      </w:r>
      <w:r w:rsidRPr="001E6E09">
        <w:t>klienty do jejich přirozeného prostředí.</w:t>
      </w:r>
    </w:p>
  </w:footnote>
  <w:footnote w:id="3">
    <w:p w:rsidR="00AD7884" w:rsidRDefault="00AD7884" w:rsidP="00A332D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320/2001 Sb., o finanční kontrole ve veřejné správě a o změně některých zákonů (zákon o finanční kontrole).</w:t>
      </w:r>
    </w:p>
  </w:footnote>
  <w:footnote w:id="4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20575">
        <w:rPr>
          <w:i/>
        </w:rPr>
        <w:t>Národní akční plán pro duševní zdraví 2020–2030</w:t>
      </w:r>
      <w:r>
        <w:t>.</w:t>
      </w:r>
    </w:p>
  </w:footnote>
  <w:footnote w:id="5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20575">
        <w:rPr>
          <w:i/>
        </w:rPr>
        <w:t>Implementace Národního akčního plánu pro duševní zdraví 2020–2030 pro období 2020–2023</w:t>
      </w:r>
      <w:r>
        <w:t xml:space="preserve"> (dále také „Implementace NAPDZ“).</w:t>
      </w:r>
    </w:p>
  </w:footnote>
  <w:footnote w:id="6">
    <w:p w:rsidR="00AD7884" w:rsidRPr="00701835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3325D">
        <w:t xml:space="preserve">Usnesení vlády ČR ze dne 27. ledna </w:t>
      </w:r>
      <w:r w:rsidRPr="00701835">
        <w:t xml:space="preserve">2020 č. 76, </w:t>
      </w:r>
      <w:r w:rsidRPr="00AD7884">
        <w:rPr>
          <w:i/>
        </w:rPr>
        <w:t>o Národním akčním plánu pro duševní zdraví 2020–2030 a</w:t>
      </w:r>
      <w:r w:rsidRPr="00AD7884">
        <w:rPr>
          <w:rFonts w:ascii="Calibri-Bold" w:hAnsi="Calibri-Bold"/>
          <w:i/>
        </w:rPr>
        <w:t> </w:t>
      </w:r>
      <w:r w:rsidRPr="00AD7884">
        <w:rPr>
          <w:i/>
        </w:rPr>
        <w:t>o</w:t>
      </w:r>
      <w:r w:rsidRPr="00AD7884">
        <w:rPr>
          <w:rFonts w:ascii="Calibri-Bold" w:hAnsi="Calibri-Bold"/>
          <w:i/>
        </w:rPr>
        <w:t> </w:t>
      </w:r>
      <w:r w:rsidRPr="00AD7884">
        <w:rPr>
          <w:i/>
        </w:rPr>
        <w:t>změně usnesení vlády ze dne 8. října 2019 č. 713, o zřízení Rady vlády pro duševní zdraví</w:t>
      </w:r>
      <w:r w:rsidRPr="00701835">
        <w:t xml:space="preserve">; usnesení vlády ČR ze dne 8. března 2021 č. 263, </w:t>
      </w:r>
      <w:r w:rsidRPr="00AD7884">
        <w:rPr>
          <w:i/>
        </w:rPr>
        <w:t>o Implementaci Národního akčního plánu pro duševní zdraví 2020–2030 pro období 2020–2023</w:t>
      </w:r>
      <w:r w:rsidRPr="00701835">
        <w:t>.</w:t>
      </w:r>
    </w:p>
  </w:footnote>
  <w:footnote w:id="7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7A307B">
        <w:t>Ustanovení § 21 zákona</w:t>
      </w:r>
      <w:r>
        <w:t xml:space="preserve"> </w:t>
      </w:r>
      <w:r w:rsidRPr="0040130A">
        <w:t>České národní rady</w:t>
      </w:r>
      <w:r>
        <w:t xml:space="preserve"> č. </w:t>
      </w:r>
      <w:r w:rsidRPr="00303A87">
        <w:t>2/1969 Sb.</w:t>
      </w:r>
      <w:r>
        <w:t xml:space="preserve">, </w:t>
      </w:r>
      <w:r w:rsidRPr="00303A87">
        <w:t>o zřízení ministerstev a jiných ústředních orgánů státní správy České republiky</w:t>
      </w:r>
      <w:r>
        <w:t>.</w:t>
      </w:r>
    </w:p>
  </w:footnote>
  <w:footnote w:id="8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Podle účinného standardu služeb poskytovaných v centrech duševního zdraví pro osoby se závažným chronickým duševním onemocněním (SMI) by v každém CDZ měl být minimálně jeden plný úvazek psychiatra a sedm plných úvazků sester (v</w:t>
      </w:r>
      <w:r w:rsidRPr="004E5594">
        <w:t xml:space="preserve">šeobecná sestra / </w:t>
      </w:r>
      <w:r>
        <w:t>s</w:t>
      </w:r>
      <w:r w:rsidRPr="004E5594">
        <w:t>estra pro péči v</w:t>
      </w:r>
      <w:r>
        <w:t> </w:t>
      </w:r>
      <w:r w:rsidRPr="004E5594">
        <w:t>psychiatrii</w:t>
      </w:r>
      <w:r>
        <w:t>).</w:t>
      </w:r>
    </w:p>
  </w:footnote>
  <w:footnote w:id="9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 30. 9. 2023. Data ÚZIS poskytnutá v rámci kontrolní akce prostřednictvím </w:t>
      </w:r>
      <w:proofErr w:type="spellStart"/>
      <w:r>
        <w:t>MZd</w:t>
      </w:r>
      <w:proofErr w:type="spellEnd"/>
      <w:r>
        <w:t>.</w:t>
      </w:r>
    </w:p>
  </w:footnote>
  <w:footnote w:id="10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Dotační program </w:t>
      </w:r>
      <w:proofErr w:type="spellStart"/>
      <w:r>
        <w:t>MZd</w:t>
      </w:r>
      <w:proofErr w:type="spellEnd"/>
      <w:r>
        <w:t xml:space="preserve"> na rezidenční místa pro lékařské obory – p</w:t>
      </w:r>
      <w:r w:rsidRPr="00332748">
        <w:t>rogram č. 2</w:t>
      </w:r>
      <w:r>
        <w:t>.</w:t>
      </w:r>
    </w:p>
  </w:footnote>
  <w:footnote w:id="11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24 zákona </w:t>
      </w:r>
      <w:r w:rsidRPr="00913609">
        <w:t>České národní rady</w:t>
      </w:r>
      <w:r>
        <w:t xml:space="preserve"> č. 2/1969 Sb.</w:t>
      </w:r>
    </w:p>
  </w:footnote>
  <w:footnote w:id="12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818A5">
        <w:t xml:space="preserve">Služby terénního týmu, </w:t>
      </w:r>
      <w:r>
        <w:t>krizového centra,</w:t>
      </w:r>
      <w:r w:rsidRPr="004818A5">
        <w:t xml:space="preserve"> denní péče, psychiatrické</w:t>
      </w:r>
      <w:r>
        <w:t xml:space="preserve"> ambulantní péče</w:t>
      </w:r>
      <w:r w:rsidRPr="004818A5">
        <w:t xml:space="preserve">, služby klinického psychologa, </w:t>
      </w:r>
      <w:r>
        <w:t xml:space="preserve">dětského klinického psychologa a </w:t>
      </w:r>
      <w:r w:rsidRPr="004818A5">
        <w:t>svépomocné</w:t>
      </w:r>
      <w:r>
        <w:t xml:space="preserve"> programy (uživatelé, rodinní příslušníci).</w:t>
      </w:r>
    </w:p>
  </w:footnote>
  <w:footnote w:id="13">
    <w:p w:rsidR="00AD7884" w:rsidRDefault="00AD7884" w:rsidP="000768D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Cílovou skupinou CDZ vzniklých v rámci těchto projektů byly osoby s diagnózou z následujících skupin: </w:t>
      </w:r>
      <w:proofErr w:type="gramStart"/>
      <w:r>
        <w:t>schizofrenie‚ poruchy</w:t>
      </w:r>
      <w:proofErr w:type="gramEnd"/>
      <w:r>
        <w:t xml:space="preserve"> </w:t>
      </w:r>
      <w:proofErr w:type="spellStart"/>
      <w:r>
        <w:t>schizotypální</w:t>
      </w:r>
      <w:proofErr w:type="spellEnd"/>
      <w:r>
        <w:t xml:space="preserve"> a poruchy s bludy; afektivní poruchy (poruchy nálady); obsedantně-</w:t>
      </w:r>
      <w:r>
        <w:br/>
        <w:t>-nutkavá porucha; poruchy osobnosti a chování u dospělých.</w:t>
      </w:r>
    </w:p>
  </w:footnote>
  <w:footnote w:id="14">
    <w:p w:rsidR="00AD7884" w:rsidRDefault="00AD7884" w:rsidP="00CF0A2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Dotace byla poskytována vždy zvlášť na zdravotní a sociální část služeb CDZ.</w:t>
      </w:r>
    </w:p>
  </w:footnote>
  <w:footnote w:id="15">
    <w:p w:rsidR="00AD7884" w:rsidRDefault="00AD7884" w:rsidP="00CF0A2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případě tří subjektů příjemce dotace zajišťoval jak zdravotní, tak sociální část služeb CDZ.</w:t>
      </w:r>
    </w:p>
  </w:footnote>
  <w:footnote w:id="16">
    <w:p w:rsidR="00AD7884" w:rsidRDefault="00AD7884" w:rsidP="00CF0A2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pravidla).</w:t>
      </w:r>
    </w:p>
  </w:footnote>
  <w:footnote w:id="17">
    <w:p w:rsidR="00AD7884" w:rsidRDefault="00AD7884" w:rsidP="00CF0A2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134/2016 Sb., </w:t>
      </w:r>
      <w:r w:rsidRPr="00A66EE2">
        <w:t>o zadávání veřejných zakázek</w:t>
      </w:r>
      <w:r>
        <w:t>.</w:t>
      </w:r>
    </w:p>
  </w:footnote>
  <w:footnote w:id="18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F5064C">
        <w:t>§ 27 zákona č. 320/2001 Sb</w:t>
      </w:r>
      <w:r>
        <w:t>.</w:t>
      </w:r>
    </w:p>
  </w:footnote>
  <w:footnote w:id="19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DD0545">
        <w:t xml:space="preserve">stanovení čl. 12.2 </w:t>
      </w:r>
      <w:r w:rsidRPr="004C4808">
        <w:rPr>
          <w:i/>
        </w:rPr>
        <w:t>Obecné části pravidel pro žadatele a příjemce v rámci OPZ</w:t>
      </w:r>
      <w:r w:rsidRPr="00DD0545">
        <w:t xml:space="preserve"> v účinném znění</w:t>
      </w:r>
      <w:r>
        <w:t>.</w:t>
      </w:r>
    </w:p>
  </w:footnote>
  <w:footnote w:id="20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</w:t>
      </w:r>
      <w:r w:rsidRPr="002F55DE">
        <w:t xml:space="preserve">odle </w:t>
      </w:r>
      <w:r>
        <w:t xml:space="preserve">ustanovení </w:t>
      </w:r>
      <w:r w:rsidRPr="002F55DE">
        <w:t>§ 44 odst. 1 písm. b) zákona č. 218/2000 Sb.</w:t>
      </w:r>
    </w:p>
  </w:footnote>
  <w:footnote w:id="21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F0821">
        <w:t>Dlouhodob</w:t>
      </w:r>
      <w:r>
        <w:t>ý</w:t>
      </w:r>
      <w:r w:rsidRPr="003F0821">
        <w:t xml:space="preserve"> program zlepšování zdravotního stavu obyvatelstva ČR – </w:t>
      </w:r>
      <w:r w:rsidRPr="00C20575">
        <w:rPr>
          <w:i/>
        </w:rPr>
        <w:t>Zdraví pro všechny v 21. století</w:t>
      </w:r>
      <w:r>
        <w:t>.</w:t>
      </w:r>
    </w:p>
  </w:footnote>
  <w:footnote w:id="22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Kontrolní akce č. 12/07 </w:t>
      </w:r>
      <w:r w:rsidRPr="003F0821">
        <w:t>–</w:t>
      </w:r>
      <w:r>
        <w:t xml:space="preserve"> </w:t>
      </w:r>
      <w:r w:rsidRPr="00C20575">
        <w:rPr>
          <w:i/>
        </w:rPr>
        <w:t>Majetek a peněžní prostředky státu, se kterými jsou příslušné hospodařit vybrané psychiatrické léčebny</w:t>
      </w:r>
      <w:r>
        <w:t xml:space="preserve"> (kontrolní závěr byl publikován v částce 4/2012 </w:t>
      </w:r>
      <w:r>
        <w:rPr>
          <w:i/>
        </w:rPr>
        <w:t>Věstníku NKÚ</w:t>
      </w:r>
      <w:r>
        <w:t>).</w:t>
      </w:r>
    </w:p>
  </w:footnote>
  <w:footnote w:id="23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332748">
        <w:t xml:space="preserve">Program č. 2 </w:t>
      </w:r>
      <w:r>
        <w:t>(</w:t>
      </w:r>
      <w:r w:rsidRPr="00332748">
        <w:t>dotace na specializační vzdělávání u vybraných lékařských oborů</w:t>
      </w:r>
      <w:r>
        <w:t>).</w:t>
      </w:r>
    </w:p>
  </w:footnote>
  <w:footnote w:id="24">
    <w:p w:rsidR="00AD7884" w:rsidRDefault="00AD7884" w:rsidP="0028048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22 zákona </w:t>
      </w:r>
      <w:r w:rsidRPr="00913609">
        <w:t>České národní rady</w:t>
      </w:r>
      <w:r>
        <w:t xml:space="preserve"> č. 2/1969 Sb.</w:t>
      </w:r>
    </w:p>
  </w:footnote>
  <w:footnote w:id="25">
    <w:p w:rsidR="00AD7884" w:rsidRDefault="00AD7884" w:rsidP="00EF39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21 zákona </w:t>
      </w:r>
      <w:r w:rsidRPr="00913609">
        <w:t>České národní rady</w:t>
      </w:r>
      <w:r>
        <w:t xml:space="preserve"> č. 2/1969 Sb.</w:t>
      </w:r>
    </w:p>
  </w:footnote>
  <w:footnote w:id="26">
    <w:p w:rsidR="00AD7884" w:rsidRDefault="00AD7884" w:rsidP="00EF39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372/2011 Sb. o zdravotních službách a podmínkách jejich poskytování (zákon o zdravotních službách).</w:t>
      </w:r>
    </w:p>
  </w:footnote>
  <w:footnote w:id="27">
    <w:p w:rsidR="00AD7884" w:rsidRDefault="00AD7884" w:rsidP="00EF39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108/2006 Sb., o sociálních službách.</w:t>
      </w:r>
    </w:p>
  </w:footnote>
  <w:footnote w:id="28">
    <w:p w:rsidR="00AD7884" w:rsidRDefault="00AD7884" w:rsidP="00EF39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24 zákona </w:t>
      </w:r>
      <w:r w:rsidRPr="00913609">
        <w:t>České národní rady</w:t>
      </w:r>
      <w:r>
        <w:t xml:space="preserve"> č. 2/1969 Sb.</w:t>
      </w:r>
    </w:p>
  </w:footnote>
  <w:footnote w:id="29">
    <w:p w:rsidR="00AD7884" w:rsidRDefault="00AD7884" w:rsidP="00EF39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§ 21 zákona </w:t>
      </w:r>
      <w:r w:rsidRPr="00930B3A">
        <w:t>České národní rady</w:t>
      </w:r>
      <w:r>
        <w:t xml:space="preserve"> č. 2/1969 Sb.</w:t>
      </w:r>
    </w:p>
  </w:footnote>
  <w:footnote w:id="30">
    <w:p w:rsidR="00AD7884" w:rsidRDefault="00AD7884" w:rsidP="00D34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83CC5">
        <w:t>Ustanovení § 2</w:t>
      </w:r>
      <w:r>
        <w:t>7</w:t>
      </w:r>
      <w:r w:rsidRPr="00983CC5">
        <w:t xml:space="preserve"> zákona České národní rady č. 2/1969 Sb.</w:t>
      </w:r>
    </w:p>
  </w:footnote>
  <w:footnote w:id="31">
    <w:p w:rsidR="00AD7884" w:rsidRDefault="00AD7884" w:rsidP="00D340F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Pravidelná jednání s touto tématikou byla ustanovena v </w:t>
      </w:r>
      <w:r w:rsidRPr="00D90BCC">
        <w:rPr>
          <w:i/>
        </w:rPr>
        <w:t>Akčním plánu 2021−2023 Strategie sociálního začleňování 2021–2030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218D"/>
    <w:multiLevelType w:val="hybridMultilevel"/>
    <w:tmpl w:val="D0A4C636"/>
    <w:lvl w:ilvl="0" w:tplc="81448CA8">
      <w:start w:val="1"/>
      <w:numFmt w:val="decimal"/>
      <w:pStyle w:val="Obrzek"/>
      <w:lvlText w:val="Obrázek č. %1:"/>
      <w:lvlJc w:val="right"/>
      <w:pPr>
        <w:ind w:left="447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87BCDC80" w:tentative="1">
      <w:start w:val="1"/>
      <w:numFmt w:val="lowerLetter"/>
      <w:lvlText w:val="%2."/>
      <w:lvlJc w:val="left"/>
      <w:pPr>
        <w:ind w:left="5190" w:hanging="360"/>
      </w:pPr>
    </w:lvl>
    <w:lvl w:ilvl="2" w:tplc="98A43A48" w:tentative="1">
      <w:start w:val="1"/>
      <w:numFmt w:val="lowerRoman"/>
      <w:lvlText w:val="%3."/>
      <w:lvlJc w:val="right"/>
      <w:pPr>
        <w:ind w:left="5910" w:hanging="180"/>
      </w:pPr>
    </w:lvl>
    <w:lvl w:ilvl="3" w:tplc="6D523D94" w:tentative="1">
      <w:start w:val="1"/>
      <w:numFmt w:val="decimal"/>
      <w:lvlText w:val="%4."/>
      <w:lvlJc w:val="left"/>
      <w:pPr>
        <w:ind w:left="6630" w:hanging="360"/>
      </w:pPr>
    </w:lvl>
    <w:lvl w:ilvl="4" w:tplc="D69815DE" w:tentative="1">
      <w:start w:val="1"/>
      <w:numFmt w:val="lowerLetter"/>
      <w:lvlText w:val="%5."/>
      <w:lvlJc w:val="left"/>
      <w:pPr>
        <w:ind w:left="7350" w:hanging="360"/>
      </w:pPr>
    </w:lvl>
    <w:lvl w:ilvl="5" w:tplc="40D0DAB6" w:tentative="1">
      <w:start w:val="1"/>
      <w:numFmt w:val="lowerRoman"/>
      <w:lvlText w:val="%6."/>
      <w:lvlJc w:val="right"/>
      <w:pPr>
        <w:ind w:left="8070" w:hanging="180"/>
      </w:pPr>
    </w:lvl>
    <w:lvl w:ilvl="6" w:tplc="F7B0A6C0" w:tentative="1">
      <w:start w:val="1"/>
      <w:numFmt w:val="decimal"/>
      <w:lvlText w:val="%7."/>
      <w:lvlJc w:val="left"/>
      <w:pPr>
        <w:ind w:left="8790" w:hanging="360"/>
      </w:pPr>
    </w:lvl>
    <w:lvl w:ilvl="7" w:tplc="90D007C0" w:tentative="1">
      <w:start w:val="1"/>
      <w:numFmt w:val="lowerLetter"/>
      <w:lvlText w:val="%8."/>
      <w:lvlJc w:val="left"/>
      <w:pPr>
        <w:ind w:left="9510" w:hanging="360"/>
      </w:pPr>
    </w:lvl>
    <w:lvl w:ilvl="8" w:tplc="D08E744A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" w15:restartNumberingAfterBreak="0">
    <w:nsid w:val="02DB4870"/>
    <w:multiLevelType w:val="hybridMultilevel"/>
    <w:tmpl w:val="6AF6BF54"/>
    <w:lvl w:ilvl="0" w:tplc="9CC83E92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F08604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5666D74" w:tentative="1">
      <w:start w:val="1"/>
      <w:numFmt w:val="lowerRoman"/>
      <w:lvlText w:val="%3."/>
      <w:lvlJc w:val="right"/>
      <w:pPr>
        <w:ind w:left="2160" w:hanging="180"/>
      </w:pPr>
    </w:lvl>
    <w:lvl w:ilvl="3" w:tplc="98C2CD64" w:tentative="1">
      <w:start w:val="1"/>
      <w:numFmt w:val="decimal"/>
      <w:lvlText w:val="%4."/>
      <w:lvlJc w:val="left"/>
      <w:pPr>
        <w:ind w:left="2880" w:hanging="360"/>
      </w:pPr>
    </w:lvl>
    <w:lvl w:ilvl="4" w:tplc="1B9E0722" w:tentative="1">
      <w:start w:val="1"/>
      <w:numFmt w:val="lowerLetter"/>
      <w:lvlText w:val="%5."/>
      <w:lvlJc w:val="left"/>
      <w:pPr>
        <w:ind w:left="3600" w:hanging="360"/>
      </w:pPr>
    </w:lvl>
    <w:lvl w:ilvl="5" w:tplc="DC9CFC52" w:tentative="1">
      <w:start w:val="1"/>
      <w:numFmt w:val="lowerRoman"/>
      <w:lvlText w:val="%6."/>
      <w:lvlJc w:val="right"/>
      <w:pPr>
        <w:ind w:left="4320" w:hanging="180"/>
      </w:pPr>
    </w:lvl>
    <w:lvl w:ilvl="6" w:tplc="A198B0D0" w:tentative="1">
      <w:start w:val="1"/>
      <w:numFmt w:val="decimal"/>
      <w:lvlText w:val="%7."/>
      <w:lvlJc w:val="left"/>
      <w:pPr>
        <w:ind w:left="5040" w:hanging="360"/>
      </w:pPr>
    </w:lvl>
    <w:lvl w:ilvl="7" w:tplc="94061DDC" w:tentative="1">
      <w:start w:val="1"/>
      <w:numFmt w:val="lowerLetter"/>
      <w:lvlText w:val="%8."/>
      <w:lvlJc w:val="left"/>
      <w:pPr>
        <w:ind w:left="5760" w:hanging="360"/>
      </w:pPr>
    </w:lvl>
    <w:lvl w:ilvl="8" w:tplc="F06E4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210C"/>
    <w:multiLevelType w:val="hybridMultilevel"/>
    <w:tmpl w:val="267CE134"/>
    <w:lvl w:ilvl="0" w:tplc="52F4E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C2C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401B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AA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0BA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0E3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9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A0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A2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55BB"/>
    <w:multiLevelType w:val="hybridMultilevel"/>
    <w:tmpl w:val="68DE7826"/>
    <w:lvl w:ilvl="0" w:tplc="17266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2C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6B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48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EAF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329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AB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8B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DAA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16592"/>
    <w:multiLevelType w:val="hybridMultilevel"/>
    <w:tmpl w:val="F9EC5C1A"/>
    <w:lvl w:ilvl="0" w:tplc="EF6233D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84DE9A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8F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4D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6A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C86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6C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A0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6EF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32B11"/>
    <w:multiLevelType w:val="hybridMultilevel"/>
    <w:tmpl w:val="F2C6531A"/>
    <w:lvl w:ilvl="0" w:tplc="583A04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24F9C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8CA4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267F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044D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88999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5C224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0864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2ABE2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13050E"/>
    <w:multiLevelType w:val="hybridMultilevel"/>
    <w:tmpl w:val="1D86075E"/>
    <w:lvl w:ilvl="0" w:tplc="BFA6D9D4">
      <w:start w:val="1"/>
      <w:numFmt w:val="decimal"/>
      <w:lvlText w:val="%1."/>
      <w:lvlJc w:val="left"/>
      <w:pPr>
        <w:ind w:left="360" w:hanging="360"/>
      </w:pPr>
    </w:lvl>
    <w:lvl w:ilvl="1" w:tplc="23B40322" w:tentative="1">
      <w:start w:val="1"/>
      <w:numFmt w:val="lowerLetter"/>
      <w:lvlText w:val="%2."/>
      <w:lvlJc w:val="left"/>
      <w:pPr>
        <w:ind w:left="1080" w:hanging="360"/>
      </w:pPr>
    </w:lvl>
    <w:lvl w:ilvl="2" w:tplc="8F4240C0" w:tentative="1">
      <w:start w:val="1"/>
      <w:numFmt w:val="lowerRoman"/>
      <w:lvlText w:val="%3."/>
      <w:lvlJc w:val="right"/>
      <w:pPr>
        <w:ind w:left="1800" w:hanging="180"/>
      </w:pPr>
    </w:lvl>
    <w:lvl w:ilvl="3" w:tplc="7744E216" w:tentative="1">
      <w:start w:val="1"/>
      <w:numFmt w:val="decimal"/>
      <w:lvlText w:val="%4."/>
      <w:lvlJc w:val="left"/>
      <w:pPr>
        <w:ind w:left="2520" w:hanging="360"/>
      </w:pPr>
    </w:lvl>
    <w:lvl w:ilvl="4" w:tplc="203AAF84" w:tentative="1">
      <w:start w:val="1"/>
      <w:numFmt w:val="lowerLetter"/>
      <w:lvlText w:val="%5."/>
      <w:lvlJc w:val="left"/>
      <w:pPr>
        <w:ind w:left="3240" w:hanging="360"/>
      </w:pPr>
    </w:lvl>
    <w:lvl w:ilvl="5" w:tplc="000C084E" w:tentative="1">
      <w:start w:val="1"/>
      <w:numFmt w:val="lowerRoman"/>
      <w:lvlText w:val="%6."/>
      <w:lvlJc w:val="right"/>
      <w:pPr>
        <w:ind w:left="3960" w:hanging="180"/>
      </w:pPr>
    </w:lvl>
    <w:lvl w:ilvl="6" w:tplc="12C8F4A8" w:tentative="1">
      <w:start w:val="1"/>
      <w:numFmt w:val="decimal"/>
      <w:lvlText w:val="%7."/>
      <w:lvlJc w:val="left"/>
      <w:pPr>
        <w:ind w:left="4680" w:hanging="360"/>
      </w:pPr>
    </w:lvl>
    <w:lvl w:ilvl="7" w:tplc="8886FCCA" w:tentative="1">
      <w:start w:val="1"/>
      <w:numFmt w:val="lowerLetter"/>
      <w:lvlText w:val="%8."/>
      <w:lvlJc w:val="left"/>
      <w:pPr>
        <w:ind w:left="5400" w:hanging="360"/>
      </w:pPr>
    </w:lvl>
    <w:lvl w:ilvl="8" w:tplc="660EB4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1D2874"/>
    <w:multiLevelType w:val="hybridMultilevel"/>
    <w:tmpl w:val="61F0B3F6"/>
    <w:lvl w:ilvl="0" w:tplc="1728D8A0">
      <w:start w:val="1"/>
      <w:numFmt w:val="decimal"/>
      <w:pStyle w:val="Nzevtabulky"/>
      <w:lvlText w:val="Tabulka č. %1:"/>
      <w:lvlJc w:val="left"/>
      <w:pPr>
        <w:ind w:left="4897" w:hanging="360"/>
      </w:pPr>
      <w:rPr>
        <w:rFonts w:hint="default"/>
      </w:rPr>
    </w:lvl>
    <w:lvl w:ilvl="1" w:tplc="01021108" w:tentative="1">
      <w:start w:val="1"/>
      <w:numFmt w:val="lowerLetter"/>
      <w:lvlText w:val="%2."/>
      <w:lvlJc w:val="left"/>
      <w:pPr>
        <w:ind w:left="1440" w:hanging="360"/>
      </w:pPr>
    </w:lvl>
    <w:lvl w:ilvl="2" w:tplc="DCA41226" w:tentative="1">
      <w:start w:val="1"/>
      <w:numFmt w:val="lowerRoman"/>
      <w:lvlText w:val="%3."/>
      <w:lvlJc w:val="right"/>
      <w:pPr>
        <w:ind w:left="2160" w:hanging="180"/>
      </w:pPr>
    </w:lvl>
    <w:lvl w:ilvl="3" w:tplc="BD005A4C" w:tentative="1">
      <w:start w:val="1"/>
      <w:numFmt w:val="decimal"/>
      <w:lvlText w:val="%4."/>
      <w:lvlJc w:val="left"/>
      <w:pPr>
        <w:ind w:left="2880" w:hanging="360"/>
      </w:pPr>
    </w:lvl>
    <w:lvl w:ilvl="4" w:tplc="8AF67648" w:tentative="1">
      <w:start w:val="1"/>
      <w:numFmt w:val="lowerLetter"/>
      <w:lvlText w:val="%5."/>
      <w:lvlJc w:val="left"/>
      <w:pPr>
        <w:ind w:left="3600" w:hanging="360"/>
      </w:pPr>
    </w:lvl>
    <w:lvl w:ilvl="5" w:tplc="045EE866" w:tentative="1">
      <w:start w:val="1"/>
      <w:numFmt w:val="lowerRoman"/>
      <w:lvlText w:val="%6."/>
      <w:lvlJc w:val="right"/>
      <w:pPr>
        <w:ind w:left="4320" w:hanging="180"/>
      </w:pPr>
    </w:lvl>
    <w:lvl w:ilvl="6" w:tplc="180E1C84" w:tentative="1">
      <w:start w:val="1"/>
      <w:numFmt w:val="decimal"/>
      <w:lvlText w:val="%7."/>
      <w:lvlJc w:val="left"/>
      <w:pPr>
        <w:ind w:left="5040" w:hanging="360"/>
      </w:pPr>
    </w:lvl>
    <w:lvl w:ilvl="7" w:tplc="79F29CEC" w:tentative="1">
      <w:start w:val="1"/>
      <w:numFmt w:val="lowerLetter"/>
      <w:lvlText w:val="%8."/>
      <w:lvlJc w:val="left"/>
      <w:pPr>
        <w:ind w:left="5760" w:hanging="360"/>
      </w:pPr>
    </w:lvl>
    <w:lvl w:ilvl="8" w:tplc="86F4A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3D5A"/>
    <w:multiLevelType w:val="hybridMultilevel"/>
    <w:tmpl w:val="BE429B74"/>
    <w:lvl w:ilvl="0" w:tplc="A1909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40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4F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7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C2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6A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AC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AA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B4E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9727E"/>
    <w:multiLevelType w:val="hybridMultilevel"/>
    <w:tmpl w:val="02F0F816"/>
    <w:lvl w:ilvl="0" w:tplc="29564D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5745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AB7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E4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02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FAF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2E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46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B2B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21483"/>
    <w:multiLevelType w:val="hybridMultilevel"/>
    <w:tmpl w:val="B3565872"/>
    <w:lvl w:ilvl="0" w:tplc="AF26B1B8">
      <w:start w:val="1"/>
      <w:numFmt w:val="decimal"/>
      <w:lvlText w:val="Tabulka č. %1: X"/>
      <w:lvlJc w:val="left"/>
      <w:pPr>
        <w:ind w:left="720" w:hanging="360"/>
      </w:pPr>
      <w:rPr>
        <w:rFonts w:hint="default"/>
      </w:rPr>
    </w:lvl>
    <w:lvl w:ilvl="1" w:tplc="8FAA191E">
      <w:start w:val="1"/>
      <w:numFmt w:val="decimal"/>
      <w:suff w:val="space"/>
      <w:lvlText w:val="Tabulka č. %2:"/>
      <w:lvlJc w:val="left"/>
      <w:pPr>
        <w:ind w:left="567" w:hanging="567"/>
      </w:pPr>
      <w:rPr>
        <w:rFonts w:hint="default"/>
      </w:rPr>
    </w:lvl>
    <w:lvl w:ilvl="2" w:tplc="08F29FD2">
      <w:start w:val="1"/>
      <w:numFmt w:val="lowerRoman"/>
      <w:lvlText w:val="%3."/>
      <w:lvlJc w:val="right"/>
      <w:pPr>
        <w:ind w:left="2160" w:hanging="180"/>
      </w:pPr>
    </w:lvl>
    <w:lvl w:ilvl="3" w:tplc="E4B470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9904EB8" w:tentative="1">
      <w:start w:val="1"/>
      <w:numFmt w:val="lowerLetter"/>
      <w:lvlText w:val="%5."/>
      <w:lvlJc w:val="left"/>
      <w:pPr>
        <w:ind w:left="3600" w:hanging="360"/>
      </w:pPr>
    </w:lvl>
    <w:lvl w:ilvl="5" w:tplc="7FE29C3E" w:tentative="1">
      <w:start w:val="1"/>
      <w:numFmt w:val="lowerRoman"/>
      <w:lvlText w:val="%6."/>
      <w:lvlJc w:val="right"/>
      <w:pPr>
        <w:ind w:left="4320" w:hanging="180"/>
      </w:pPr>
    </w:lvl>
    <w:lvl w:ilvl="6" w:tplc="74BCD858" w:tentative="1">
      <w:start w:val="1"/>
      <w:numFmt w:val="decimal"/>
      <w:lvlText w:val="%7."/>
      <w:lvlJc w:val="left"/>
      <w:pPr>
        <w:ind w:left="5040" w:hanging="360"/>
      </w:pPr>
    </w:lvl>
    <w:lvl w:ilvl="7" w:tplc="444EBEBA" w:tentative="1">
      <w:start w:val="1"/>
      <w:numFmt w:val="lowerLetter"/>
      <w:lvlText w:val="%8."/>
      <w:lvlJc w:val="left"/>
      <w:pPr>
        <w:ind w:left="5760" w:hanging="360"/>
      </w:pPr>
    </w:lvl>
    <w:lvl w:ilvl="8" w:tplc="9BF0D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85C09"/>
    <w:multiLevelType w:val="hybridMultilevel"/>
    <w:tmpl w:val="796A7D10"/>
    <w:lvl w:ilvl="0" w:tplc="058295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79252D0" w:tentative="1">
      <w:start w:val="1"/>
      <w:numFmt w:val="lowerLetter"/>
      <w:lvlText w:val="%2."/>
      <w:lvlJc w:val="left"/>
      <w:pPr>
        <w:ind w:left="1440" w:hanging="360"/>
      </w:pPr>
    </w:lvl>
    <w:lvl w:ilvl="2" w:tplc="83143082" w:tentative="1">
      <w:start w:val="1"/>
      <w:numFmt w:val="lowerRoman"/>
      <w:lvlText w:val="%3."/>
      <w:lvlJc w:val="right"/>
      <w:pPr>
        <w:ind w:left="2160" w:hanging="180"/>
      </w:pPr>
    </w:lvl>
    <w:lvl w:ilvl="3" w:tplc="43BCFEE2" w:tentative="1">
      <w:start w:val="1"/>
      <w:numFmt w:val="decimal"/>
      <w:lvlText w:val="%4."/>
      <w:lvlJc w:val="left"/>
      <w:pPr>
        <w:ind w:left="2880" w:hanging="360"/>
      </w:pPr>
    </w:lvl>
    <w:lvl w:ilvl="4" w:tplc="E1B44794" w:tentative="1">
      <w:start w:val="1"/>
      <w:numFmt w:val="lowerLetter"/>
      <w:lvlText w:val="%5."/>
      <w:lvlJc w:val="left"/>
      <w:pPr>
        <w:ind w:left="3600" w:hanging="360"/>
      </w:pPr>
    </w:lvl>
    <w:lvl w:ilvl="5" w:tplc="60D44370" w:tentative="1">
      <w:start w:val="1"/>
      <w:numFmt w:val="lowerRoman"/>
      <w:lvlText w:val="%6."/>
      <w:lvlJc w:val="right"/>
      <w:pPr>
        <w:ind w:left="4320" w:hanging="180"/>
      </w:pPr>
    </w:lvl>
    <w:lvl w:ilvl="6" w:tplc="6AF6F8E4" w:tentative="1">
      <w:start w:val="1"/>
      <w:numFmt w:val="decimal"/>
      <w:lvlText w:val="%7."/>
      <w:lvlJc w:val="left"/>
      <w:pPr>
        <w:ind w:left="5040" w:hanging="360"/>
      </w:pPr>
    </w:lvl>
    <w:lvl w:ilvl="7" w:tplc="E68C1F48" w:tentative="1">
      <w:start w:val="1"/>
      <w:numFmt w:val="lowerLetter"/>
      <w:lvlText w:val="%8."/>
      <w:lvlJc w:val="left"/>
      <w:pPr>
        <w:ind w:left="5760" w:hanging="360"/>
      </w:pPr>
    </w:lvl>
    <w:lvl w:ilvl="8" w:tplc="56E64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56"/>
    <w:multiLevelType w:val="hybridMultilevel"/>
    <w:tmpl w:val="54581EA8"/>
    <w:lvl w:ilvl="0" w:tplc="3B2E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40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8B6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98B0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E4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2E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502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128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A5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17B44"/>
    <w:multiLevelType w:val="hybridMultilevel"/>
    <w:tmpl w:val="5C0E10D2"/>
    <w:lvl w:ilvl="0" w:tplc="74045096">
      <w:start w:val="1"/>
      <w:numFmt w:val="decimal"/>
      <w:pStyle w:val="Graf"/>
      <w:lvlText w:val="Graf č. %1:"/>
      <w:lvlJc w:val="left"/>
      <w:pPr>
        <w:ind w:left="2152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04E64230" w:tentative="1">
      <w:start w:val="1"/>
      <w:numFmt w:val="lowerLetter"/>
      <w:lvlText w:val="%2."/>
      <w:lvlJc w:val="left"/>
      <w:pPr>
        <w:ind w:left="3232" w:hanging="360"/>
      </w:pPr>
    </w:lvl>
    <w:lvl w:ilvl="2" w:tplc="91CA60B6" w:tentative="1">
      <w:start w:val="1"/>
      <w:numFmt w:val="lowerRoman"/>
      <w:lvlText w:val="%3."/>
      <w:lvlJc w:val="right"/>
      <w:pPr>
        <w:ind w:left="3952" w:hanging="180"/>
      </w:pPr>
    </w:lvl>
    <w:lvl w:ilvl="3" w:tplc="879E502C" w:tentative="1">
      <w:start w:val="1"/>
      <w:numFmt w:val="decimal"/>
      <w:lvlText w:val="%4."/>
      <w:lvlJc w:val="left"/>
      <w:pPr>
        <w:ind w:left="4672" w:hanging="360"/>
      </w:pPr>
    </w:lvl>
    <w:lvl w:ilvl="4" w:tplc="3EE06D78" w:tentative="1">
      <w:start w:val="1"/>
      <w:numFmt w:val="lowerLetter"/>
      <w:lvlText w:val="%5."/>
      <w:lvlJc w:val="left"/>
      <w:pPr>
        <w:ind w:left="5392" w:hanging="360"/>
      </w:pPr>
    </w:lvl>
    <w:lvl w:ilvl="5" w:tplc="1A42D892" w:tentative="1">
      <w:start w:val="1"/>
      <w:numFmt w:val="lowerRoman"/>
      <w:lvlText w:val="%6."/>
      <w:lvlJc w:val="right"/>
      <w:pPr>
        <w:ind w:left="6112" w:hanging="180"/>
      </w:pPr>
    </w:lvl>
    <w:lvl w:ilvl="6" w:tplc="0A5494B4" w:tentative="1">
      <w:start w:val="1"/>
      <w:numFmt w:val="decimal"/>
      <w:lvlText w:val="%7."/>
      <w:lvlJc w:val="left"/>
      <w:pPr>
        <w:ind w:left="6832" w:hanging="360"/>
      </w:pPr>
    </w:lvl>
    <w:lvl w:ilvl="7" w:tplc="54523A2A" w:tentative="1">
      <w:start w:val="1"/>
      <w:numFmt w:val="lowerLetter"/>
      <w:lvlText w:val="%8."/>
      <w:lvlJc w:val="left"/>
      <w:pPr>
        <w:ind w:left="7552" w:hanging="360"/>
      </w:pPr>
    </w:lvl>
    <w:lvl w:ilvl="8" w:tplc="BC163DE2" w:tentative="1">
      <w:start w:val="1"/>
      <w:numFmt w:val="lowerRoman"/>
      <w:lvlText w:val="%9."/>
      <w:lvlJc w:val="right"/>
      <w:pPr>
        <w:ind w:left="8272" w:hanging="180"/>
      </w:pPr>
    </w:lvl>
  </w:abstractNum>
  <w:abstractNum w:abstractNumId="14" w15:restartNumberingAfterBreak="0">
    <w:nsid w:val="3CA953BE"/>
    <w:multiLevelType w:val="hybridMultilevel"/>
    <w:tmpl w:val="CB60DC60"/>
    <w:lvl w:ilvl="0" w:tplc="4FAAAEB0">
      <w:start w:val="1"/>
      <w:numFmt w:val="upperLetter"/>
      <w:lvlText w:val="%1."/>
      <w:lvlJc w:val="left"/>
      <w:pPr>
        <w:ind w:left="720" w:hanging="360"/>
      </w:pPr>
    </w:lvl>
    <w:lvl w:ilvl="1" w:tplc="3A100464" w:tentative="1">
      <w:start w:val="1"/>
      <w:numFmt w:val="lowerLetter"/>
      <w:lvlText w:val="%2."/>
      <w:lvlJc w:val="left"/>
      <w:pPr>
        <w:ind w:left="1440" w:hanging="360"/>
      </w:pPr>
    </w:lvl>
    <w:lvl w:ilvl="2" w:tplc="D47C580E" w:tentative="1">
      <w:start w:val="1"/>
      <w:numFmt w:val="lowerRoman"/>
      <w:lvlText w:val="%3."/>
      <w:lvlJc w:val="right"/>
      <w:pPr>
        <w:ind w:left="2160" w:hanging="180"/>
      </w:pPr>
    </w:lvl>
    <w:lvl w:ilvl="3" w:tplc="7A407C56" w:tentative="1">
      <w:start w:val="1"/>
      <w:numFmt w:val="decimal"/>
      <w:lvlText w:val="%4."/>
      <w:lvlJc w:val="left"/>
      <w:pPr>
        <w:ind w:left="2880" w:hanging="360"/>
      </w:pPr>
    </w:lvl>
    <w:lvl w:ilvl="4" w:tplc="586A3A3E" w:tentative="1">
      <w:start w:val="1"/>
      <w:numFmt w:val="lowerLetter"/>
      <w:lvlText w:val="%5."/>
      <w:lvlJc w:val="left"/>
      <w:pPr>
        <w:ind w:left="3600" w:hanging="360"/>
      </w:pPr>
    </w:lvl>
    <w:lvl w:ilvl="5" w:tplc="D370EEB8" w:tentative="1">
      <w:start w:val="1"/>
      <w:numFmt w:val="lowerRoman"/>
      <w:lvlText w:val="%6."/>
      <w:lvlJc w:val="right"/>
      <w:pPr>
        <w:ind w:left="4320" w:hanging="180"/>
      </w:pPr>
    </w:lvl>
    <w:lvl w:ilvl="6" w:tplc="CE04208A" w:tentative="1">
      <w:start w:val="1"/>
      <w:numFmt w:val="decimal"/>
      <w:lvlText w:val="%7."/>
      <w:lvlJc w:val="left"/>
      <w:pPr>
        <w:ind w:left="5040" w:hanging="360"/>
      </w:pPr>
    </w:lvl>
    <w:lvl w:ilvl="7" w:tplc="932434C0" w:tentative="1">
      <w:start w:val="1"/>
      <w:numFmt w:val="lowerLetter"/>
      <w:lvlText w:val="%8."/>
      <w:lvlJc w:val="left"/>
      <w:pPr>
        <w:ind w:left="5760" w:hanging="360"/>
      </w:pPr>
    </w:lvl>
    <w:lvl w:ilvl="8" w:tplc="24FC2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47C9A"/>
    <w:multiLevelType w:val="hybridMultilevel"/>
    <w:tmpl w:val="E7C2A592"/>
    <w:lvl w:ilvl="0" w:tplc="47C6FE44">
      <w:start w:val="1"/>
      <w:numFmt w:val="decimal"/>
      <w:lvlText w:val="%1."/>
      <w:lvlJc w:val="left"/>
      <w:pPr>
        <w:ind w:left="720" w:hanging="360"/>
      </w:pPr>
    </w:lvl>
    <w:lvl w:ilvl="1" w:tplc="43D48724" w:tentative="1">
      <w:start w:val="1"/>
      <w:numFmt w:val="lowerLetter"/>
      <w:lvlText w:val="%2."/>
      <w:lvlJc w:val="left"/>
      <w:pPr>
        <w:ind w:left="1440" w:hanging="360"/>
      </w:pPr>
    </w:lvl>
    <w:lvl w:ilvl="2" w:tplc="DC400B26" w:tentative="1">
      <w:start w:val="1"/>
      <w:numFmt w:val="lowerRoman"/>
      <w:lvlText w:val="%3."/>
      <w:lvlJc w:val="right"/>
      <w:pPr>
        <w:ind w:left="2160" w:hanging="180"/>
      </w:pPr>
    </w:lvl>
    <w:lvl w:ilvl="3" w:tplc="23109344" w:tentative="1">
      <w:start w:val="1"/>
      <w:numFmt w:val="decimal"/>
      <w:lvlText w:val="%4."/>
      <w:lvlJc w:val="left"/>
      <w:pPr>
        <w:ind w:left="2880" w:hanging="360"/>
      </w:pPr>
    </w:lvl>
    <w:lvl w:ilvl="4" w:tplc="2DCC389C" w:tentative="1">
      <w:start w:val="1"/>
      <w:numFmt w:val="lowerLetter"/>
      <w:lvlText w:val="%5."/>
      <w:lvlJc w:val="left"/>
      <w:pPr>
        <w:ind w:left="3600" w:hanging="360"/>
      </w:pPr>
    </w:lvl>
    <w:lvl w:ilvl="5" w:tplc="2AC40024" w:tentative="1">
      <w:start w:val="1"/>
      <w:numFmt w:val="lowerRoman"/>
      <w:lvlText w:val="%6."/>
      <w:lvlJc w:val="right"/>
      <w:pPr>
        <w:ind w:left="4320" w:hanging="180"/>
      </w:pPr>
    </w:lvl>
    <w:lvl w:ilvl="6" w:tplc="C38A1F26" w:tentative="1">
      <w:start w:val="1"/>
      <w:numFmt w:val="decimal"/>
      <w:lvlText w:val="%7."/>
      <w:lvlJc w:val="left"/>
      <w:pPr>
        <w:ind w:left="5040" w:hanging="360"/>
      </w:pPr>
    </w:lvl>
    <w:lvl w:ilvl="7" w:tplc="478E66CC" w:tentative="1">
      <w:start w:val="1"/>
      <w:numFmt w:val="lowerLetter"/>
      <w:lvlText w:val="%8."/>
      <w:lvlJc w:val="left"/>
      <w:pPr>
        <w:ind w:left="5760" w:hanging="360"/>
      </w:pPr>
    </w:lvl>
    <w:lvl w:ilvl="8" w:tplc="33163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83E05"/>
    <w:multiLevelType w:val="hybridMultilevel"/>
    <w:tmpl w:val="2940019A"/>
    <w:lvl w:ilvl="0" w:tplc="4224A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E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20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9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8A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4CC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6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84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E2A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133AE"/>
    <w:multiLevelType w:val="hybridMultilevel"/>
    <w:tmpl w:val="BFD86F44"/>
    <w:lvl w:ilvl="0" w:tplc="062C0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630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EEE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08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C1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8C4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CA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80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AEE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3298"/>
    <w:multiLevelType w:val="hybridMultilevel"/>
    <w:tmpl w:val="46B27184"/>
    <w:lvl w:ilvl="0" w:tplc="C70CB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E7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60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69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00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2EA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8E7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C27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46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A11BC"/>
    <w:multiLevelType w:val="hybridMultilevel"/>
    <w:tmpl w:val="3A02D29A"/>
    <w:lvl w:ilvl="0" w:tplc="0CEAB61C">
      <w:start w:val="1"/>
      <w:numFmt w:val="decimal"/>
      <w:suff w:val="space"/>
      <w:lvlText w:val="Tabulka č. %1:"/>
      <w:lvlJc w:val="left"/>
      <w:pPr>
        <w:ind w:left="567" w:hanging="567"/>
      </w:pPr>
      <w:rPr>
        <w:rFonts w:hint="default"/>
      </w:rPr>
    </w:lvl>
    <w:lvl w:ilvl="1" w:tplc="C784A13C">
      <w:start w:val="1"/>
      <w:numFmt w:val="lowerLetter"/>
      <w:lvlText w:val="%2."/>
      <w:lvlJc w:val="left"/>
      <w:pPr>
        <w:ind w:left="1440" w:hanging="360"/>
      </w:pPr>
    </w:lvl>
    <w:lvl w:ilvl="2" w:tplc="2B0CE8DE" w:tentative="1">
      <w:start w:val="1"/>
      <w:numFmt w:val="lowerRoman"/>
      <w:lvlText w:val="%3."/>
      <w:lvlJc w:val="right"/>
      <w:pPr>
        <w:ind w:left="2160" w:hanging="180"/>
      </w:pPr>
    </w:lvl>
    <w:lvl w:ilvl="3" w:tplc="3B2C5E34" w:tentative="1">
      <w:start w:val="1"/>
      <w:numFmt w:val="decimal"/>
      <w:lvlText w:val="%4."/>
      <w:lvlJc w:val="left"/>
      <w:pPr>
        <w:ind w:left="2880" w:hanging="360"/>
      </w:pPr>
    </w:lvl>
    <w:lvl w:ilvl="4" w:tplc="570A8D2C" w:tentative="1">
      <w:start w:val="1"/>
      <w:numFmt w:val="lowerLetter"/>
      <w:lvlText w:val="%5."/>
      <w:lvlJc w:val="left"/>
      <w:pPr>
        <w:ind w:left="3600" w:hanging="360"/>
      </w:pPr>
    </w:lvl>
    <w:lvl w:ilvl="5" w:tplc="412A4538" w:tentative="1">
      <w:start w:val="1"/>
      <w:numFmt w:val="lowerRoman"/>
      <w:lvlText w:val="%6."/>
      <w:lvlJc w:val="right"/>
      <w:pPr>
        <w:ind w:left="4320" w:hanging="180"/>
      </w:pPr>
    </w:lvl>
    <w:lvl w:ilvl="6" w:tplc="E9ECA0E8" w:tentative="1">
      <w:start w:val="1"/>
      <w:numFmt w:val="decimal"/>
      <w:lvlText w:val="%7."/>
      <w:lvlJc w:val="left"/>
      <w:pPr>
        <w:ind w:left="5040" w:hanging="360"/>
      </w:pPr>
    </w:lvl>
    <w:lvl w:ilvl="7" w:tplc="82E06396" w:tentative="1">
      <w:start w:val="1"/>
      <w:numFmt w:val="lowerLetter"/>
      <w:lvlText w:val="%8."/>
      <w:lvlJc w:val="left"/>
      <w:pPr>
        <w:ind w:left="5760" w:hanging="360"/>
      </w:pPr>
    </w:lvl>
    <w:lvl w:ilvl="8" w:tplc="DEB44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43E2A"/>
    <w:multiLevelType w:val="hybridMultilevel"/>
    <w:tmpl w:val="7D3E1ECC"/>
    <w:lvl w:ilvl="0" w:tplc="A1BC3792">
      <w:start w:val="1"/>
      <w:numFmt w:val="decimal"/>
      <w:lvlText w:val="%1."/>
      <w:lvlJc w:val="left"/>
      <w:pPr>
        <w:ind w:left="720" w:hanging="360"/>
      </w:pPr>
    </w:lvl>
    <w:lvl w:ilvl="1" w:tplc="51C8D338">
      <w:start w:val="1"/>
      <w:numFmt w:val="decimal"/>
      <w:pStyle w:val="Nadpis2"/>
      <w:lvlText w:val="%2."/>
      <w:lvlJc w:val="left"/>
      <w:pPr>
        <w:ind w:left="1440" w:hanging="360"/>
      </w:pPr>
    </w:lvl>
    <w:lvl w:ilvl="2" w:tplc="C096ACF6">
      <w:start w:val="1"/>
      <w:numFmt w:val="lowerRoman"/>
      <w:lvlText w:val="%3."/>
      <w:lvlJc w:val="right"/>
      <w:pPr>
        <w:ind w:left="2160" w:hanging="180"/>
      </w:pPr>
    </w:lvl>
    <w:lvl w:ilvl="3" w:tplc="FB684AF6" w:tentative="1">
      <w:start w:val="1"/>
      <w:numFmt w:val="decimal"/>
      <w:lvlText w:val="%4."/>
      <w:lvlJc w:val="left"/>
      <w:pPr>
        <w:ind w:left="2880" w:hanging="360"/>
      </w:pPr>
    </w:lvl>
    <w:lvl w:ilvl="4" w:tplc="524ED2C2" w:tentative="1">
      <w:start w:val="1"/>
      <w:numFmt w:val="lowerLetter"/>
      <w:lvlText w:val="%5."/>
      <w:lvlJc w:val="left"/>
      <w:pPr>
        <w:ind w:left="3600" w:hanging="360"/>
      </w:pPr>
    </w:lvl>
    <w:lvl w:ilvl="5" w:tplc="F9409918" w:tentative="1">
      <w:start w:val="1"/>
      <w:numFmt w:val="lowerRoman"/>
      <w:lvlText w:val="%6."/>
      <w:lvlJc w:val="right"/>
      <w:pPr>
        <w:ind w:left="4320" w:hanging="180"/>
      </w:pPr>
    </w:lvl>
    <w:lvl w:ilvl="6" w:tplc="A768D61E" w:tentative="1">
      <w:start w:val="1"/>
      <w:numFmt w:val="decimal"/>
      <w:lvlText w:val="%7."/>
      <w:lvlJc w:val="left"/>
      <w:pPr>
        <w:ind w:left="5040" w:hanging="360"/>
      </w:pPr>
    </w:lvl>
    <w:lvl w:ilvl="7" w:tplc="B6E4BE6C" w:tentative="1">
      <w:start w:val="1"/>
      <w:numFmt w:val="lowerLetter"/>
      <w:lvlText w:val="%8."/>
      <w:lvlJc w:val="left"/>
      <w:pPr>
        <w:ind w:left="5760" w:hanging="360"/>
      </w:pPr>
    </w:lvl>
    <w:lvl w:ilvl="8" w:tplc="BAC6B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F6A06"/>
    <w:multiLevelType w:val="hybridMultilevel"/>
    <w:tmpl w:val="6A76A090"/>
    <w:lvl w:ilvl="0" w:tplc="98BAB35E">
      <w:start w:val="1"/>
      <w:numFmt w:val="decimal"/>
      <w:lvlText w:val="%1)"/>
      <w:lvlJc w:val="left"/>
      <w:pPr>
        <w:ind w:left="4613" w:hanging="360"/>
      </w:pPr>
    </w:lvl>
    <w:lvl w:ilvl="1" w:tplc="9A3451C8" w:tentative="1">
      <w:start w:val="1"/>
      <w:numFmt w:val="lowerLetter"/>
      <w:lvlText w:val="%2."/>
      <w:lvlJc w:val="left"/>
      <w:pPr>
        <w:ind w:left="2782" w:hanging="360"/>
      </w:pPr>
    </w:lvl>
    <w:lvl w:ilvl="2" w:tplc="F15E4766" w:tentative="1">
      <w:start w:val="1"/>
      <w:numFmt w:val="lowerRoman"/>
      <w:lvlText w:val="%3."/>
      <w:lvlJc w:val="right"/>
      <w:pPr>
        <w:ind w:left="3502" w:hanging="180"/>
      </w:pPr>
    </w:lvl>
    <w:lvl w:ilvl="3" w:tplc="749AAF46" w:tentative="1">
      <w:start w:val="1"/>
      <w:numFmt w:val="decimal"/>
      <w:lvlText w:val="%4."/>
      <w:lvlJc w:val="left"/>
      <w:pPr>
        <w:ind w:left="4222" w:hanging="360"/>
      </w:pPr>
    </w:lvl>
    <w:lvl w:ilvl="4" w:tplc="AB404398" w:tentative="1">
      <w:start w:val="1"/>
      <w:numFmt w:val="lowerLetter"/>
      <w:lvlText w:val="%5."/>
      <w:lvlJc w:val="left"/>
      <w:pPr>
        <w:ind w:left="4942" w:hanging="360"/>
      </w:pPr>
    </w:lvl>
    <w:lvl w:ilvl="5" w:tplc="709A2CD4" w:tentative="1">
      <w:start w:val="1"/>
      <w:numFmt w:val="lowerRoman"/>
      <w:lvlText w:val="%6."/>
      <w:lvlJc w:val="right"/>
      <w:pPr>
        <w:ind w:left="5662" w:hanging="180"/>
      </w:pPr>
    </w:lvl>
    <w:lvl w:ilvl="6" w:tplc="134EFE14" w:tentative="1">
      <w:start w:val="1"/>
      <w:numFmt w:val="decimal"/>
      <w:lvlText w:val="%7."/>
      <w:lvlJc w:val="left"/>
      <w:pPr>
        <w:ind w:left="6382" w:hanging="360"/>
      </w:pPr>
    </w:lvl>
    <w:lvl w:ilvl="7" w:tplc="0B66B3EC" w:tentative="1">
      <w:start w:val="1"/>
      <w:numFmt w:val="lowerLetter"/>
      <w:lvlText w:val="%8."/>
      <w:lvlJc w:val="left"/>
      <w:pPr>
        <w:ind w:left="7102" w:hanging="360"/>
      </w:pPr>
    </w:lvl>
    <w:lvl w:ilvl="8" w:tplc="0A6078A6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6C635B3E"/>
    <w:multiLevelType w:val="hybridMultilevel"/>
    <w:tmpl w:val="41EA2092"/>
    <w:lvl w:ilvl="0" w:tplc="58F40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C07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08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0A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241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A2F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AA7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3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11A35"/>
    <w:multiLevelType w:val="hybridMultilevel"/>
    <w:tmpl w:val="232A47AA"/>
    <w:lvl w:ilvl="0" w:tplc="CB8E9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A8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CE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A2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3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C0E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6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DA2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430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B11EB"/>
    <w:multiLevelType w:val="hybridMultilevel"/>
    <w:tmpl w:val="7340FCF6"/>
    <w:lvl w:ilvl="0" w:tplc="DA44EC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E953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7E66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AFC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4023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F25EB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4665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7210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54CAE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9278BE"/>
    <w:multiLevelType w:val="hybridMultilevel"/>
    <w:tmpl w:val="AA4005A2"/>
    <w:lvl w:ilvl="0" w:tplc="B6D002FE">
      <w:start w:val="1"/>
      <w:numFmt w:val="decimal"/>
      <w:pStyle w:val="Nadpisshrnut"/>
      <w:lvlText w:val="%1."/>
      <w:lvlJc w:val="left"/>
      <w:pPr>
        <w:ind w:left="720" w:hanging="360"/>
      </w:pPr>
    </w:lvl>
    <w:lvl w:ilvl="1" w:tplc="1DB8761C" w:tentative="1">
      <w:start w:val="1"/>
      <w:numFmt w:val="lowerLetter"/>
      <w:lvlText w:val="%2."/>
      <w:lvlJc w:val="left"/>
      <w:pPr>
        <w:ind w:left="1440" w:hanging="360"/>
      </w:pPr>
    </w:lvl>
    <w:lvl w:ilvl="2" w:tplc="999217AA" w:tentative="1">
      <w:start w:val="1"/>
      <w:numFmt w:val="lowerRoman"/>
      <w:lvlText w:val="%3."/>
      <w:lvlJc w:val="right"/>
      <w:pPr>
        <w:ind w:left="2160" w:hanging="180"/>
      </w:pPr>
    </w:lvl>
    <w:lvl w:ilvl="3" w:tplc="49B64A20" w:tentative="1">
      <w:start w:val="1"/>
      <w:numFmt w:val="decimal"/>
      <w:lvlText w:val="%4."/>
      <w:lvlJc w:val="left"/>
      <w:pPr>
        <w:ind w:left="2880" w:hanging="360"/>
      </w:pPr>
    </w:lvl>
    <w:lvl w:ilvl="4" w:tplc="3760E9BA" w:tentative="1">
      <w:start w:val="1"/>
      <w:numFmt w:val="lowerLetter"/>
      <w:lvlText w:val="%5."/>
      <w:lvlJc w:val="left"/>
      <w:pPr>
        <w:ind w:left="3600" w:hanging="360"/>
      </w:pPr>
    </w:lvl>
    <w:lvl w:ilvl="5" w:tplc="03B4723E" w:tentative="1">
      <w:start w:val="1"/>
      <w:numFmt w:val="lowerRoman"/>
      <w:lvlText w:val="%6."/>
      <w:lvlJc w:val="right"/>
      <w:pPr>
        <w:ind w:left="4320" w:hanging="180"/>
      </w:pPr>
    </w:lvl>
    <w:lvl w:ilvl="6" w:tplc="4C6AE1CE" w:tentative="1">
      <w:start w:val="1"/>
      <w:numFmt w:val="decimal"/>
      <w:lvlText w:val="%7."/>
      <w:lvlJc w:val="left"/>
      <w:pPr>
        <w:ind w:left="5040" w:hanging="360"/>
      </w:pPr>
    </w:lvl>
    <w:lvl w:ilvl="7" w:tplc="5A4ED4D4" w:tentative="1">
      <w:start w:val="1"/>
      <w:numFmt w:val="lowerLetter"/>
      <w:lvlText w:val="%8."/>
      <w:lvlJc w:val="left"/>
      <w:pPr>
        <w:ind w:left="5760" w:hanging="360"/>
      </w:pPr>
    </w:lvl>
    <w:lvl w:ilvl="8" w:tplc="5F7EF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62CE1"/>
    <w:multiLevelType w:val="multilevel"/>
    <w:tmpl w:val="B6EC0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06532E"/>
    <w:multiLevelType w:val="hybridMultilevel"/>
    <w:tmpl w:val="B99ADAA6"/>
    <w:lvl w:ilvl="0" w:tplc="CDB89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42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E6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AF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8E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4AC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207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C4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B21E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0"/>
  </w:num>
  <w:num w:numId="4">
    <w:abstractNumId w:val="7"/>
  </w:num>
  <w:num w:numId="5">
    <w:abstractNumId w:val="26"/>
  </w:num>
  <w:num w:numId="6">
    <w:abstractNumId w:val="10"/>
  </w:num>
  <w:num w:numId="7">
    <w:abstractNumId w:val="25"/>
  </w:num>
  <w:num w:numId="8">
    <w:abstractNumId w:val="4"/>
  </w:num>
  <w:num w:numId="9">
    <w:abstractNumId w:val="8"/>
  </w:num>
  <w:num w:numId="10">
    <w:abstractNumId w:val="3"/>
  </w:num>
  <w:num w:numId="11">
    <w:abstractNumId w:val="19"/>
  </w:num>
  <w:num w:numId="12">
    <w:abstractNumId w:val="14"/>
  </w:num>
  <w:num w:numId="13">
    <w:abstractNumId w:val="0"/>
  </w:num>
  <w:num w:numId="14">
    <w:abstractNumId w:val="13"/>
    <w:lvlOverride w:ilvl="0">
      <w:startOverride w:val="1"/>
    </w:lvlOverride>
  </w:num>
  <w:num w:numId="15">
    <w:abstractNumId w:val="24"/>
  </w:num>
  <w:num w:numId="16">
    <w:abstractNumId w:val="22"/>
  </w:num>
  <w:num w:numId="17">
    <w:abstractNumId w:val="7"/>
  </w:num>
  <w:num w:numId="18">
    <w:abstractNumId w:val="16"/>
  </w:num>
  <w:num w:numId="19">
    <w:abstractNumId w:val="27"/>
  </w:num>
  <w:num w:numId="20">
    <w:abstractNumId w:val="17"/>
  </w:num>
  <w:num w:numId="21">
    <w:abstractNumId w:val="23"/>
  </w:num>
  <w:num w:numId="22">
    <w:abstractNumId w:val="2"/>
  </w:num>
  <w:num w:numId="23">
    <w:abstractNumId w:val="21"/>
  </w:num>
  <w:num w:numId="24">
    <w:abstractNumId w:val="9"/>
  </w:num>
  <w:num w:numId="25">
    <w:abstractNumId w:val="25"/>
  </w:num>
  <w:num w:numId="26">
    <w:abstractNumId w:val="25"/>
  </w:num>
  <w:num w:numId="27">
    <w:abstractNumId w:val="11"/>
  </w:num>
  <w:num w:numId="28">
    <w:abstractNumId w:val="15"/>
  </w:num>
  <w:num w:numId="29">
    <w:abstractNumId w:val="5"/>
  </w:num>
  <w:num w:numId="30">
    <w:abstractNumId w:val="18"/>
  </w:num>
  <w:num w:numId="31">
    <w:abstractNumId w:val="12"/>
  </w:num>
  <w:num w:numId="32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896"/>
  <w:hyphenationZone w:val="425"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8F"/>
    <w:rsid w:val="00000413"/>
    <w:rsid w:val="00000FFE"/>
    <w:rsid w:val="000015CC"/>
    <w:rsid w:val="00001D11"/>
    <w:rsid w:val="00002DB8"/>
    <w:rsid w:val="00003B12"/>
    <w:rsid w:val="00003D96"/>
    <w:rsid w:val="00004A61"/>
    <w:rsid w:val="000060D1"/>
    <w:rsid w:val="00006620"/>
    <w:rsid w:val="000073B1"/>
    <w:rsid w:val="00007D91"/>
    <w:rsid w:val="00010034"/>
    <w:rsid w:val="00010B73"/>
    <w:rsid w:val="000115FD"/>
    <w:rsid w:val="00011F90"/>
    <w:rsid w:val="000121BC"/>
    <w:rsid w:val="0001294F"/>
    <w:rsid w:val="000134B1"/>
    <w:rsid w:val="00014FF7"/>
    <w:rsid w:val="0001599B"/>
    <w:rsid w:val="00015C98"/>
    <w:rsid w:val="00016357"/>
    <w:rsid w:val="00017687"/>
    <w:rsid w:val="0001797C"/>
    <w:rsid w:val="000179EC"/>
    <w:rsid w:val="000212A3"/>
    <w:rsid w:val="000216FB"/>
    <w:rsid w:val="0002178C"/>
    <w:rsid w:val="00021C82"/>
    <w:rsid w:val="0002274A"/>
    <w:rsid w:val="00022DEC"/>
    <w:rsid w:val="0002556E"/>
    <w:rsid w:val="00025E8E"/>
    <w:rsid w:val="00026069"/>
    <w:rsid w:val="0003105F"/>
    <w:rsid w:val="00031CCB"/>
    <w:rsid w:val="00031F16"/>
    <w:rsid w:val="00032629"/>
    <w:rsid w:val="00032ED4"/>
    <w:rsid w:val="000330A4"/>
    <w:rsid w:val="00036AB8"/>
    <w:rsid w:val="00037AF8"/>
    <w:rsid w:val="00040565"/>
    <w:rsid w:val="000408D6"/>
    <w:rsid w:val="0004155C"/>
    <w:rsid w:val="000429D1"/>
    <w:rsid w:val="00042BE4"/>
    <w:rsid w:val="00042F65"/>
    <w:rsid w:val="000437E9"/>
    <w:rsid w:val="000446F9"/>
    <w:rsid w:val="00044862"/>
    <w:rsid w:val="00046147"/>
    <w:rsid w:val="0004687D"/>
    <w:rsid w:val="00050212"/>
    <w:rsid w:val="0005072A"/>
    <w:rsid w:val="00050917"/>
    <w:rsid w:val="0005095D"/>
    <w:rsid w:val="00050C66"/>
    <w:rsid w:val="0005108F"/>
    <w:rsid w:val="00051831"/>
    <w:rsid w:val="00053A07"/>
    <w:rsid w:val="00053A95"/>
    <w:rsid w:val="00054A06"/>
    <w:rsid w:val="00054F91"/>
    <w:rsid w:val="00055AC4"/>
    <w:rsid w:val="000567B6"/>
    <w:rsid w:val="000574AB"/>
    <w:rsid w:val="00057731"/>
    <w:rsid w:val="000578CE"/>
    <w:rsid w:val="0006049B"/>
    <w:rsid w:val="0006108D"/>
    <w:rsid w:val="00061A83"/>
    <w:rsid w:val="00062685"/>
    <w:rsid w:val="00063AD6"/>
    <w:rsid w:val="00063EC0"/>
    <w:rsid w:val="000640EC"/>
    <w:rsid w:val="0006484E"/>
    <w:rsid w:val="000649F8"/>
    <w:rsid w:val="00064B59"/>
    <w:rsid w:val="00064EFB"/>
    <w:rsid w:val="00065116"/>
    <w:rsid w:val="000657F7"/>
    <w:rsid w:val="0006583D"/>
    <w:rsid w:val="00065A46"/>
    <w:rsid w:val="00065C6E"/>
    <w:rsid w:val="00065CCB"/>
    <w:rsid w:val="000662AD"/>
    <w:rsid w:val="00066E28"/>
    <w:rsid w:val="00067A13"/>
    <w:rsid w:val="0007011A"/>
    <w:rsid w:val="00070402"/>
    <w:rsid w:val="00071C44"/>
    <w:rsid w:val="00071EFA"/>
    <w:rsid w:val="00072350"/>
    <w:rsid w:val="00072DCB"/>
    <w:rsid w:val="00073931"/>
    <w:rsid w:val="00073F69"/>
    <w:rsid w:val="000740B5"/>
    <w:rsid w:val="00074231"/>
    <w:rsid w:val="00074540"/>
    <w:rsid w:val="000747D8"/>
    <w:rsid w:val="00074C5C"/>
    <w:rsid w:val="000759F3"/>
    <w:rsid w:val="00075B4D"/>
    <w:rsid w:val="00075BBE"/>
    <w:rsid w:val="00075DA8"/>
    <w:rsid w:val="00075FD8"/>
    <w:rsid w:val="000768DC"/>
    <w:rsid w:val="00077227"/>
    <w:rsid w:val="00077509"/>
    <w:rsid w:val="000778F8"/>
    <w:rsid w:val="00077933"/>
    <w:rsid w:val="00080972"/>
    <w:rsid w:val="00080991"/>
    <w:rsid w:val="00080ED0"/>
    <w:rsid w:val="000821C1"/>
    <w:rsid w:val="0008277F"/>
    <w:rsid w:val="00083C67"/>
    <w:rsid w:val="0008409D"/>
    <w:rsid w:val="00084E35"/>
    <w:rsid w:val="0008544F"/>
    <w:rsid w:val="000858B8"/>
    <w:rsid w:val="00085F31"/>
    <w:rsid w:val="0008633C"/>
    <w:rsid w:val="00086E22"/>
    <w:rsid w:val="00087257"/>
    <w:rsid w:val="000878F5"/>
    <w:rsid w:val="00087900"/>
    <w:rsid w:val="00087AB1"/>
    <w:rsid w:val="00090C71"/>
    <w:rsid w:val="00090D5D"/>
    <w:rsid w:val="00091117"/>
    <w:rsid w:val="0009124C"/>
    <w:rsid w:val="00091341"/>
    <w:rsid w:val="000918E2"/>
    <w:rsid w:val="00091AA6"/>
    <w:rsid w:val="00091B1D"/>
    <w:rsid w:val="00093208"/>
    <w:rsid w:val="000938EA"/>
    <w:rsid w:val="00093E75"/>
    <w:rsid w:val="0009451E"/>
    <w:rsid w:val="000945CA"/>
    <w:rsid w:val="000952F4"/>
    <w:rsid w:val="00095478"/>
    <w:rsid w:val="0009551D"/>
    <w:rsid w:val="000962B3"/>
    <w:rsid w:val="0009651C"/>
    <w:rsid w:val="000965D8"/>
    <w:rsid w:val="000971D8"/>
    <w:rsid w:val="00097307"/>
    <w:rsid w:val="0009738D"/>
    <w:rsid w:val="00097B44"/>
    <w:rsid w:val="00097D28"/>
    <w:rsid w:val="000A0E9E"/>
    <w:rsid w:val="000A1DCD"/>
    <w:rsid w:val="000A1E02"/>
    <w:rsid w:val="000A26EA"/>
    <w:rsid w:val="000A4761"/>
    <w:rsid w:val="000A476F"/>
    <w:rsid w:val="000A4BB5"/>
    <w:rsid w:val="000A6378"/>
    <w:rsid w:val="000A64D4"/>
    <w:rsid w:val="000A6F64"/>
    <w:rsid w:val="000A73D3"/>
    <w:rsid w:val="000A7434"/>
    <w:rsid w:val="000A772D"/>
    <w:rsid w:val="000A791D"/>
    <w:rsid w:val="000B0373"/>
    <w:rsid w:val="000B0A0A"/>
    <w:rsid w:val="000B0F10"/>
    <w:rsid w:val="000B1323"/>
    <w:rsid w:val="000B1BB8"/>
    <w:rsid w:val="000B20D3"/>
    <w:rsid w:val="000B2980"/>
    <w:rsid w:val="000B3263"/>
    <w:rsid w:val="000B362A"/>
    <w:rsid w:val="000B3E3F"/>
    <w:rsid w:val="000B3F8D"/>
    <w:rsid w:val="000B425F"/>
    <w:rsid w:val="000B4501"/>
    <w:rsid w:val="000B5949"/>
    <w:rsid w:val="000B6611"/>
    <w:rsid w:val="000B6C2F"/>
    <w:rsid w:val="000C1D2D"/>
    <w:rsid w:val="000C1F0C"/>
    <w:rsid w:val="000C21A4"/>
    <w:rsid w:val="000C3859"/>
    <w:rsid w:val="000C470A"/>
    <w:rsid w:val="000C4F6A"/>
    <w:rsid w:val="000C5B31"/>
    <w:rsid w:val="000C65F4"/>
    <w:rsid w:val="000C6A5E"/>
    <w:rsid w:val="000C6AFE"/>
    <w:rsid w:val="000C75B2"/>
    <w:rsid w:val="000D052B"/>
    <w:rsid w:val="000D05E7"/>
    <w:rsid w:val="000D169F"/>
    <w:rsid w:val="000D19E4"/>
    <w:rsid w:val="000D210D"/>
    <w:rsid w:val="000D237F"/>
    <w:rsid w:val="000D2B6A"/>
    <w:rsid w:val="000D4934"/>
    <w:rsid w:val="000D4D4E"/>
    <w:rsid w:val="000D66DA"/>
    <w:rsid w:val="000E03CD"/>
    <w:rsid w:val="000E1206"/>
    <w:rsid w:val="000E180C"/>
    <w:rsid w:val="000E2506"/>
    <w:rsid w:val="000E271D"/>
    <w:rsid w:val="000E2DD2"/>
    <w:rsid w:val="000E341D"/>
    <w:rsid w:val="000E377E"/>
    <w:rsid w:val="000E3E83"/>
    <w:rsid w:val="000E492F"/>
    <w:rsid w:val="000E5070"/>
    <w:rsid w:val="000E54A6"/>
    <w:rsid w:val="000E571E"/>
    <w:rsid w:val="000E610E"/>
    <w:rsid w:val="000E65ED"/>
    <w:rsid w:val="000E67E2"/>
    <w:rsid w:val="000E68D1"/>
    <w:rsid w:val="000E6E38"/>
    <w:rsid w:val="000E7260"/>
    <w:rsid w:val="000F02A7"/>
    <w:rsid w:val="000F0BAA"/>
    <w:rsid w:val="000F1587"/>
    <w:rsid w:val="000F15E0"/>
    <w:rsid w:val="000F2AC5"/>
    <w:rsid w:val="000F36E1"/>
    <w:rsid w:val="000F47EB"/>
    <w:rsid w:val="000F4867"/>
    <w:rsid w:val="000F52D7"/>
    <w:rsid w:val="000F5846"/>
    <w:rsid w:val="000F6176"/>
    <w:rsid w:val="00102090"/>
    <w:rsid w:val="00102421"/>
    <w:rsid w:val="001030E8"/>
    <w:rsid w:val="00103342"/>
    <w:rsid w:val="00103434"/>
    <w:rsid w:val="00103837"/>
    <w:rsid w:val="00103C7E"/>
    <w:rsid w:val="00104462"/>
    <w:rsid w:val="001053E8"/>
    <w:rsid w:val="00106423"/>
    <w:rsid w:val="00107200"/>
    <w:rsid w:val="001106ED"/>
    <w:rsid w:val="00110938"/>
    <w:rsid w:val="00110CD4"/>
    <w:rsid w:val="00110FF4"/>
    <w:rsid w:val="00111B81"/>
    <w:rsid w:val="00111C39"/>
    <w:rsid w:val="001130AA"/>
    <w:rsid w:val="0011348A"/>
    <w:rsid w:val="00113B37"/>
    <w:rsid w:val="00114029"/>
    <w:rsid w:val="00114194"/>
    <w:rsid w:val="00114F5E"/>
    <w:rsid w:val="00116961"/>
    <w:rsid w:val="00116A5C"/>
    <w:rsid w:val="00117D9A"/>
    <w:rsid w:val="001205D5"/>
    <w:rsid w:val="00121197"/>
    <w:rsid w:val="00121600"/>
    <w:rsid w:val="001217CA"/>
    <w:rsid w:val="00122308"/>
    <w:rsid w:val="00123728"/>
    <w:rsid w:val="00123BDD"/>
    <w:rsid w:val="00123C85"/>
    <w:rsid w:val="001247C0"/>
    <w:rsid w:val="001252B8"/>
    <w:rsid w:val="00126D3F"/>
    <w:rsid w:val="001274E3"/>
    <w:rsid w:val="001279A7"/>
    <w:rsid w:val="00130329"/>
    <w:rsid w:val="001305A0"/>
    <w:rsid w:val="001333DD"/>
    <w:rsid w:val="00133B5E"/>
    <w:rsid w:val="001349AD"/>
    <w:rsid w:val="00134A7C"/>
    <w:rsid w:val="001350C2"/>
    <w:rsid w:val="00135541"/>
    <w:rsid w:val="00136490"/>
    <w:rsid w:val="001371FA"/>
    <w:rsid w:val="00137F31"/>
    <w:rsid w:val="001407E7"/>
    <w:rsid w:val="0014083C"/>
    <w:rsid w:val="001409EA"/>
    <w:rsid w:val="00141A4D"/>
    <w:rsid w:val="00141E87"/>
    <w:rsid w:val="00143D7C"/>
    <w:rsid w:val="00143F1E"/>
    <w:rsid w:val="00144BEF"/>
    <w:rsid w:val="001456CD"/>
    <w:rsid w:val="0014578A"/>
    <w:rsid w:val="001472B7"/>
    <w:rsid w:val="00147878"/>
    <w:rsid w:val="0015014E"/>
    <w:rsid w:val="00150998"/>
    <w:rsid w:val="00150CC4"/>
    <w:rsid w:val="001516DD"/>
    <w:rsid w:val="00151AD0"/>
    <w:rsid w:val="00151C17"/>
    <w:rsid w:val="001520E1"/>
    <w:rsid w:val="001531A2"/>
    <w:rsid w:val="0015478D"/>
    <w:rsid w:val="00154871"/>
    <w:rsid w:val="00155EBD"/>
    <w:rsid w:val="00155EC4"/>
    <w:rsid w:val="00156013"/>
    <w:rsid w:val="00156AE8"/>
    <w:rsid w:val="00156C2D"/>
    <w:rsid w:val="00157646"/>
    <w:rsid w:val="00160558"/>
    <w:rsid w:val="00163BD0"/>
    <w:rsid w:val="00164990"/>
    <w:rsid w:val="00165383"/>
    <w:rsid w:val="001659D6"/>
    <w:rsid w:val="00166387"/>
    <w:rsid w:val="00167909"/>
    <w:rsid w:val="00171221"/>
    <w:rsid w:val="00171F77"/>
    <w:rsid w:val="00172A89"/>
    <w:rsid w:val="00172DAC"/>
    <w:rsid w:val="001747B8"/>
    <w:rsid w:val="00175C8B"/>
    <w:rsid w:val="00175E89"/>
    <w:rsid w:val="0017660C"/>
    <w:rsid w:val="00176F0C"/>
    <w:rsid w:val="0017776F"/>
    <w:rsid w:val="00177A3E"/>
    <w:rsid w:val="001803F5"/>
    <w:rsid w:val="001812B6"/>
    <w:rsid w:val="00181AF1"/>
    <w:rsid w:val="00181B28"/>
    <w:rsid w:val="00182016"/>
    <w:rsid w:val="00182307"/>
    <w:rsid w:val="00182E32"/>
    <w:rsid w:val="00183ACB"/>
    <w:rsid w:val="0018490E"/>
    <w:rsid w:val="00184BBC"/>
    <w:rsid w:val="00185291"/>
    <w:rsid w:val="001857FE"/>
    <w:rsid w:val="00186051"/>
    <w:rsid w:val="00187065"/>
    <w:rsid w:val="00187AA2"/>
    <w:rsid w:val="0019032D"/>
    <w:rsid w:val="0019170A"/>
    <w:rsid w:val="00191D5C"/>
    <w:rsid w:val="00192C15"/>
    <w:rsid w:val="00192DD1"/>
    <w:rsid w:val="0019495E"/>
    <w:rsid w:val="00195B70"/>
    <w:rsid w:val="00195E1E"/>
    <w:rsid w:val="00195F40"/>
    <w:rsid w:val="001960DD"/>
    <w:rsid w:val="001A0965"/>
    <w:rsid w:val="001A1586"/>
    <w:rsid w:val="001A2176"/>
    <w:rsid w:val="001A2F1D"/>
    <w:rsid w:val="001A3787"/>
    <w:rsid w:val="001A40F0"/>
    <w:rsid w:val="001A432B"/>
    <w:rsid w:val="001A4FE3"/>
    <w:rsid w:val="001A66B9"/>
    <w:rsid w:val="001A69FA"/>
    <w:rsid w:val="001A7D02"/>
    <w:rsid w:val="001B0C71"/>
    <w:rsid w:val="001B0CED"/>
    <w:rsid w:val="001B0DE3"/>
    <w:rsid w:val="001B23F5"/>
    <w:rsid w:val="001B31FD"/>
    <w:rsid w:val="001B3310"/>
    <w:rsid w:val="001B45EF"/>
    <w:rsid w:val="001B4DF6"/>
    <w:rsid w:val="001B5387"/>
    <w:rsid w:val="001B5ABA"/>
    <w:rsid w:val="001B6624"/>
    <w:rsid w:val="001B7100"/>
    <w:rsid w:val="001B7D8B"/>
    <w:rsid w:val="001C096D"/>
    <w:rsid w:val="001C135E"/>
    <w:rsid w:val="001C1A50"/>
    <w:rsid w:val="001C1F75"/>
    <w:rsid w:val="001C2003"/>
    <w:rsid w:val="001C2518"/>
    <w:rsid w:val="001C2DD1"/>
    <w:rsid w:val="001C61DB"/>
    <w:rsid w:val="001C769D"/>
    <w:rsid w:val="001D0145"/>
    <w:rsid w:val="001D09DB"/>
    <w:rsid w:val="001D0EDB"/>
    <w:rsid w:val="001D2130"/>
    <w:rsid w:val="001D44F9"/>
    <w:rsid w:val="001D61C9"/>
    <w:rsid w:val="001D7239"/>
    <w:rsid w:val="001D7BDD"/>
    <w:rsid w:val="001E0434"/>
    <w:rsid w:val="001E1506"/>
    <w:rsid w:val="001E16C5"/>
    <w:rsid w:val="001E26CE"/>
    <w:rsid w:val="001E2EC0"/>
    <w:rsid w:val="001E2F6C"/>
    <w:rsid w:val="001E4863"/>
    <w:rsid w:val="001E5C83"/>
    <w:rsid w:val="001E64D7"/>
    <w:rsid w:val="001E6E09"/>
    <w:rsid w:val="001E757E"/>
    <w:rsid w:val="001E7809"/>
    <w:rsid w:val="001E7BCE"/>
    <w:rsid w:val="001E7DC9"/>
    <w:rsid w:val="001F0D69"/>
    <w:rsid w:val="001F21BE"/>
    <w:rsid w:val="001F2289"/>
    <w:rsid w:val="001F325D"/>
    <w:rsid w:val="001F3B10"/>
    <w:rsid w:val="001F4451"/>
    <w:rsid w:val="001F4AE7"/>
    <w:rsid w:val="001F7A2F"/>
    <w:rsid w:val="001F7B5B"/>
    <w:rsid w:val="00203EB0"/>
    <w:rsid w:val="00203F77"/>
    <w:rsid w:val="00204203"/>
    <w:rsid w:val="0020427E"/>
    <w:rsid w:val="002044A8"/>
    <w:rsid w:val="00204BBD"/>
    <w:rsid w:val="00204C5B"/>
    <w:rsid w:val="0020512D"/>
    <w:rsid w:val="002111F5"/>
    <w:rsid w:val="00211449"/>
    <w:rsid w:val="00212165"/>
    <w:rsid w:val="00212890"/>
    <w:rsid w:val="00214015"/>
    <w:rsid w:val="00214575"/>
    <w:rsid w:val="00214CD8"/>
    <w:rsid w:val="002155B3"/>
    <w:rsid w:val="00215787"/>
    <w:rsid w:val="00215D4F"/>
    <w:rsid w:val="00215FA5"/>
    <w:rsid w:val="002160C5"/>
    <w:rsid w:val="00216687"/>
    <w:rsid w:val="00216893"/>
    <w:rsid w:val="00216BDB"/>
    <w:rsid w:val="0021741F"/>
    <w:rsid w:val="0021784A"/>
    <w:rsid w:val="0022028B"/>
    <w:rsid w:val="0022038C"/>
    <w:rsid w:val="00220A24"/>
    <w:rsid w:val="00220BD7"/>
    <w:rsid w:val="0022173B"/>
    <w:rsid w:val="0022191F"/>
    <w:rsid w:val="00221BE4"/>
    <w:rsid w:val="0022221D"/>
    <w:rsid w:val="00222EFA"/>
    <w:rsid w:val="00222F37"/>
    <w:rsid w:val="002232C6"/>
    <w:rsid w:val="00223565"/>
    <w:rsid w:val="00223758"/>
    <w:rsid w:val="00223C57"/>
    <w:rsid w:val="00223E77"/>
    <w:rsid w:val="00225000"/>
    <w:rsid w:val="00225241"/>
    <w:rsid w:val="0022597F"/>
    <w:rsid w:val="00226B3B"/>
    <w:rsid w:val="00227643"/>
    <w:rsid w:val="002278DA"/>
    <w:rsid w:val="0022799B"/>
    <w:rsid w:val="00227ED9"/>
    <w:rsid w:val="00230B24"/>
    <w:rsid w:val="00230D72"/>
    <w:rsid w:val="002316B3"/>
    <w:rsid w:val="00231A14"/>
    <w:rsid w:val="00231C8B"/>
    <w:rsid w:val="00231FBD"/>
    <w:rsid w:val="00232298"/>
    <w:rsid w:val="00232A04"/>
    <w:rsid w:val="00232B42"/>
    <w:rsid w:val="00232DA8"/>
    <w:rsid w:val="00233EF6"/>
    <w:rsid w:val="00235795"/>
    <w:rsid w:val="00236EB3"/>
    <w:rsid w:val="00237F35"/>
    <w:rsid w:val="00237F72"/>
    <w:rsid w:val="002400A8"/>
    <w:rsid w:val="00240436"/>
    <w:rsid w:val="0024176E"/>
    <w:rsid w:val="00241E74"/>
    <w:rsid w:val="002420A9"/>
    <w:rsid w:val="002426A1"/>
    <w:rsid w:val="00243441"/>
    <w:rsid w:val="0024390E"/>
    <w:rsid w:val="00243BD7"/>
    <w:rsid w:val="00243FAA"/>
    <w:rsid w:val="00247DF3"/>
    <w:rsid w:val="0025129C"/>
    <w:rsid w:val="002512F6"/>
    <w:rsid w:val="002513CB"/>
    <w:rsid w:val="0025156A"/>
    <w:rsid w:val="0025156E"/>
    <w:rsid w:val="00251D7A"/>
    <w:rsid w:val="00251F2A"/>
    <w:rsid w:val="00252898"/>
    <w:rsid w:val="00252A2E"/>
    <w:rsid w:val="00252FC9"/>
    <w:rsid w:val="0025324F"/>
    <w:rsid w:val="00253C07"/>
    <w:rsid w:val="002543EE"/>
    <w:rsid w:val="00254E97"/>
    <w:rsid w:val="00255A8B"/>
    <w:rsid w:val="00256F88"/>
    <w:rsid w:val="002603C2"/>
    <w:rsid w:val="00260734"/>
    <w:rsid w:val="00260922"/>
    <w:rsid w:val="00261B7C"/>
    <w:rsid w:val="00263932"/>
    <w:rsid w:val="00264B36"/>
    <w:rsid w:val="00265F9B"/>
    <w:rsid w:val="002667A1"/>
    <w:rsid w:val="00266AE6"/>
    <w:rsid w:val="00266DDE"/>
    <w:rsid w:val="0026707C"/>
    <w:rsid w:val="0026789D"/>
    <w:rsid w:val="002702BB"/>
    <w:rsid w:val="00270771"/>
    <w:rsid w:val="002708F1"/>
    <w:rsid w:val="002715EE"/>
    <w:rsid w:val="00271C92"/>
    <w:rsid w:val="0027214B"/>
    <w:rsid w:val="00272C1C"/>
    <w:rsid w:val="002737CA"/>
    <w:rsid w:val="0027391B"/>
    <w:rsid w:val="0027558E"/>
    <w:rsid w:val="00277101"/>
    <w:rsid w:val="00277F08"/>
    <w:rsid w:val="00280486"/>
    <w:rsid w:val="00280710"/>
    <w:rsid w:val="0028126B"/>
    <w:rsid w:val="00281681"/>
    <w:rsid w:val="00282569"/>
    <w:rsid w:val="002826B8"/>
    <w:rsid w:val="00282AFA"/>
    <w:rsid w:val="00284085"/>
    <w:rsid w:val="002858B4"/>
    <w:rsid w:val="00286442"/>
    <w:rsid w:val="0028663E"/>
    <w:rsid w:val="00286E37"/>
    <w:rsid w:val="0028757A"/>
    <w:rsid w:val="002878D7"/>
    <w:rsid w:val="00291397"/>
    <w:rsid w:val="00291503"/>
    <w:rsid w:val="00292171"/>
    <w:rsid w:val="00292BC0"/>
    <w:rsid w:val="002931CD"/>
    <w:rsid w:val="00293606"/>
    <w:rsid w:val="00293868"/>
    <w:rsid w:val="0029524C"/>
    <w:rsid w:val="00295D32"/>
    <w:rsid w:val="002961DE"/>
    <w:rsid w:val="00296B4C"/>
    <w:rsid w:val="00296CAA"/>
    <w:rsid w:val="00297609"/>
    <w:rsid w:val="00297C7B"/>
    <w:rsid w:val="002A00C5"/>
    <w:rsid w:val="002A1EEC"/>
    <w:rsid w:val="002A269A"/>
    <w:rsid w:val="002A284B"/>
    <w:rsid w:val="002A30CF"/>
    <w:rsid w:val="002A5221"/>
    <w:rsid w:val="002A55FB"/>
    <w:rsid w:val="002A60B9"/>
    <w:rsid w:val="002A647F"/>
    <w:rsid w:val="002A67C6"/>
    <w:rsid w:val="002A6899"/>
    <w:rsid w:val="002A73DA"/>
    <w:rsid w:val="002A782E"/>
    <w:rsid w:val="002A7B9A"/>
    <w:rsid w:val="002B1527"/>
    <w:rsid w:val="002B1615"/>
    <w:rsid w:val="002B186D"/>
    <w:rsid w:val="002B1A1A"/>
    <w:rsid w:val="002B1AC3"/>
    <w:rsid w:val="002B2424"/>
    <w:rsid w:val="002B2475"/>
    <w:rsid w:val="002B3525"/>
    <w:rsid w:val="002B3572"/>
    <w:rsid w:val="002B3C34"/>
    <w:rsid w:val="002B4926"/>
    <w:rsid w:val="002B4E35"/>
    <w:rsid w:val="002B4E7B"/>
    <w:rsid w:val="002B509C"/>
    <w:rsid w:val="002B5A88"/>
    <w:rsid w:val="002B5FD5"/>
    <w:rsid w:val="002B60A2"/>
    <w:rsid w:val="002B75D8"/>
    <w:rsid w:val="002C0360"/>
    <w:rsid w:val="002C0D5F"/>
    <w:rsid w:val="002C17D0"/>
    <w:rsid w:val="002C1A8A"/>
    <w:rsid w:val="002C1AEE"/>
    <w:rsid w:val="002C4768"/>
    <w:rsid w:val="002C4C1A"/>
    <w:rsid w:val="002C548A"/>
    <w:rsid w:val="002C63B7"/>
    <w:rsid w:val="002D017E"/>
    <w:rsid w:val="002D1679"/>
    <w:rsid w:val="002D1C73"/>
    <w:rsid w:val="002D2422"/>
    <w:rsid w:val="002D25F8"/>
    <w:rsid w:val="002D38D6"/>
    <w:rsid w:val="002D3AF1"/>
    <w:rsid w:val="002D6616"/>
    <w:rsid w:val="002D7C90"/>
    <w:rsid w:val="002D7D46"/>
    <w:rsid w:val="002E0604"/>
    <w:rsid w:val="002E14BA"/>
    <w:rsid w:val="002E1938"/>
    <w:rsid w:val="002E1E8B"/>
    <w:rsid w:val="002E216A"/>
    <w:rsid w:val="002E33A7"/>
    <w:rsid w:val="002E3F5D"/>
    <w:rsid w:val="002E496D"/>
    <w:rsid w:val="002E4D68"/>
    <w:rsid w:val="002E506F"/>
    <w:rsid w:val="002E6207"/>
    <w:rsid w:val="002E626E"/>
    <w:rsid w:val="002E6368"/>
    <w:rsid w:val="002E6D91"/>
    <w:rsid w:val="002E7539"/>
    <w:rsid w:val="002F0E90"/>
    <w:rsid w:val="002F2022"/>
    <w:rsid w:val="002F22AA"/>
    <w:rsid w:val="002F2CFC"/>
    <w:rsid w:val="002F36F4"/>
    <w:rsid w:val="002F3937"/>
    <w:rsid w:val="002F44DF"/>
    <w:rsid w:val="002F47BC"/>
    <w:rsid w:val="002F4BA3"/>
    <w:rsid w:val="002F4FE4"/>
    <w:rsid w:val="002F55DE"/>
    <w:rsid w:val="002F5C7F"/>
    <w:rsid w:val="002F606F"/>
    <w:rsid w:val="002F6DB5"/>
    <w:rsid w:val="003006CC"/>
    <w:rsid w:val="00301092"/>
    <w:rsid w:val="00301252"/>
    <w:rsid w:val="0030181A"/>
    <w:rsid w:val="00301E9A"/>
    <w:rsid w:val="003026D9"/>
    <w:rsid w:val="00302D1B"/>
    <w:rsid w:val="00302EB9"/>
    <w:rsid w:val="00303A87"/>
    <w:rsid w:val="00304A22"/>
    <w:rsid w:val="003052AB"/>
    <w:rsid w:val="003063CC"/>
    <w:rsid w:val="003065A7"/>
    <w:rsid w:val="00306AC5"/>
    <w:rsid w:val="0030716F"/>
    <w:rsid w:val="00310326"/>
    <w:rsid w:val="0031246F"/>
    <w:rsid w:val="00312F50"/>
    <w:rsid w:val="00313DEA"/>
    <w:rsid w:val="00315026"/>
    <w:rsid w:val="00315D82"/>
    <w:rsid w:val="0031606C"/>
    <w:rsid w:val="00316D6A"/>
    <w:rsid w:val="003179C2"/>
    <w:rsid w:val="003217A6"/>
    <w:rsid w:val="00321D6E"/>
    <w:rsid w:val="00322CD9"/>
    <w:rsid w:val="00322F9D"/>
    <w:rsid w:val="00323EE6"/>
    <w:rsid w:val="00325DBF"/>
    <w:rsid w:val="00326761"/>
    <w:rsid w:val="0032677F"/>
    <w:rsid w:val="00326CD4"/>
    <w:rsid w:val="00326EB8"/>
    <w:rsid w:val="003270AE"/>
    <w:rsid w:val="003271F0"/>
    <w:rsid w:val="00327F0C"/>
    <w:rsid w:val="00330012"/>
    <w:rsid w:val="0033013B"/>
    <w:rsid w:val="00330164"/>
    <w:rsid w:val="0033192A"/>
    <w:rsid w:val="00331AC6"/>
    <w:rsid w:val="00331C42"/>
    <w:rsid w:val="00332748"/>
    <w:rsid w:val="00332EA4"/>
    <w:rsid w:val="0033358E"/>
    <w:rsid w:val="003337F0"/>
    <w:rsid w:val="00334B41"/>
    <w:rsid w:val="003356F3"/>
    <w:rsid w:val="003359F6"/>
    <w:rsid w:val="00335CE9"/>
    <w:rsid w:val="00335DF5"/>
    <w:rsid w:val="0033720B"/>
    <w:rsid w:val="00337399"/>
    <w:rsid w:val="003402E1"/>
    <w:rsid w:val="003407E1"/>
    <w:rsid w:val="00340831"/>
    <w:rsid w:val="003409C6"/>
    <w:rsid w:val="003418D3"/>
    <w:rsid w:val="00342814"/>
    <w:rsid w:val="00342F42"/>
    <w:rsid w:val="0034352E"/>
    <w:rsid w:val="00343823"/>
    <w:rsid w:val="003439A7"/>
    <w:rsid w:val="00343B86"/>
    <w:rsid w:val="00344CC2"/>
    <w:rsid w:val="00345176"/>
    <w:rsid w:val="003459DB"/>
    <w:rsid w:val="00345B65"/>
    <w:rsid w:val="0034687B"/>
    <w:rsid w:val="00346A36"/>
    <w:rsid w:val="00346BE2"/>
    <w:rsid w:val="0034708C"/>
    <w:rsid w:val="00347634"/>
    <w:rsid w:val="0035020A"/>
    <w:rsid w:val="00352B21"/>
    <w:rsid w:val="00352D75"/>
    <w:rsid w:val="0035373A"/>
    <w:rsid w:val="00354044"/>
    <w:rsid w:val="003543A6"/>
    <w:rsid w:val="00355A1E"/>
    <w:rsid w:val="00355A96"/>
    <w:rsid w:val="00355F50"/>
    <w:rsid w:val="00356277"/>
    <w:rsid w:val="00356503"/>
    <w:rsid w:val="00357066"/>
    <w:rsid w:val="003572B2"/>
    <w:rsid w:val="003576A0"/>
    <w:rsid w:val="0035789B"/>
    <w:rsid w:val="00357EE5"/>
    <w:rsid w:val="00361CEA"/>
    <w:rsid w:val="00361CEF"/>
    <w:rsid w:val="003638AC"/>
    <w:rsid w:val="00363D17"/>
    <w:rsid w:val="0036486B"/>
    <w:rsid w:val="003653D7"/>
    <w:rsid w:val="00365CC4"/>
    <w:rsid w:val="00367EB8"/>
    <w:rsid w:val="0037059A"/>
    <w:rsid w:val="003708DE"/>
    <w:rsid w:val="00371E87"/>
    <w:rsid w:val="00373DA6"/>
    <w:rsid w:val="00373FC1"/>
    <w:rsid w:val="00374660"/>
    <w:rsid w:val="00374F7F"/>
    <w:rsid w:val="003751B9"/>
    <w:rsid w:val="00376B56"/>
    <w:rsid w:val="00376FAB"/>
    <w:rsid w:val="003774A6"/>
    <w:rsid w:val="00377E8D"/>
    <w:rsid w:val="0038001B"/>
    <w:rsid w:val="0038169B"/>
    <w:rsid w:val="00382755"/>
    <w:rsid w:val="0038312C"/>
    <w:rsid w:val="003831DC"/>
    <w:rsid w:val="00383582"/>
    <w:rsid w:val="00384C64"/>
    <w:rsid w:val="00384CC9"/>
    <w:rsid w:val="00384EFC"/>
    <w:rsid w:val="003874E4"/>
    <w:rsid w:val="00390584"/>
    <w:rsid w:val="003905E0"/>
    <w:rsid w:val="00390AC4"/>
    <w:rsid w:val="00390BAA"/>
    <w:rsid w:val="00390BAD"/>
    <w:rsid w:val="00390D57"/>
    <w:rsid w:val="003916EF"/>
    <w:rsid w:val="00392404"/>
    <w:rsid w:val="00392980"/>
    <w:rsid w:val="0039347B"/>
    <w:rsid w:val="00393D7A"/>
    <w:rsid w:val="00393EFC"/>
    <w:rsid w:val="00394916"/>
    <w:rsid w:val="00394AA8"/>
    <w:rsid w:val="00394EFF"/>
    <w:rsid w:val="00395450"/>
    <w:rsid w:val="003959CA"/>
    <w:rsid w:val="0039640F"/>
    <w:rsid w:val="00396937"/>
    <w:rsid w:val="00396EA5"/>
    <w:rsid w:val="003973E5"/>
    <w:rsid w:val="003A00D5"/>
    <w:rsid w:val="003A034B"/>
    <w:rsid w:val="003A1085"/>
    <w:rsid w:val="003A112B"/>
    <w:rsid w:val="003A18C4"/>
    <w:rsid w:val="003A279B"/>
    <w:rsid w:val="003A3420"/>
    <w:rsid w:val="003A3C49"/>
    <w:rsid w:val="003A3C53"/>
    <w:rsid w:val="003A5C7F"/>
    <w:rsid w:val="003A5CDD"/>
    <w:rsid w:val="003A5D59"/>
    <w:rsid w:val="003A655E"/>
    <w:rsid w:val="003A656C"/>
    <w:rsid w:val="003A6960"/>
    <w:rsid w:val="003A6A91"/>
    <w:rsid w:val="003A76EC"/>
    <w:rsid w:val="003A78F3"/>
    <w:rsid w:val="003A7D25"/>
    <w:rsid w:val="003B0352"/>
    <w:rsid w:val="003B1074"/>
    <w:rsid w:val="003B110A"/>
    <w:rsid w:val="003B1D7B"/>
    <w:rsid w:val="003B1F3E"/>
    <w:rsid w:val="003B1FD7"/>
    <w:rsid w:val="003B2BB9"/>
    <w:rsid w:val="003B304D"/>
    <w:rsid w:val="003B30B9"/>
    <w:rsid w:val="003B3E44"/>
    <w:rsid w:val="003B40AF"/>
    <w:rsid w:val="003B4694"/>
    <w:rsid w:val="003B503B"/>
    <w:rsid w:val="003B5118"/>
    <w:rsid w:val="003B559D"/>
    <w:rsid w:val="003B56F0"/>
    <w:rsid w:val="003B5702"/>
    <w:rsid w:val="003B6041"/>
    <w:rsid w:val="003B6FC5"/>
    <w:rsid w:val="003B77CD"/>
    <w:rsid w:val="003B7A22"/>
    <w:rsid w:val="003C0D65"/>
    <w:rsid w:val="003C104E"/>
    <w:rsid w:val="003C1372"/>
    <w:rsid w:val="003C2F8F"/>
    <w:rsid w:val="003C32E1"/>
    <w:rsid w:val="003C4380"/>
    <w:rsid w:val="003C4AF2"/>
    <w:rsid w:val="003C4E63"/>
    <w:rsid w:val="003C5A48"/>
    <w:rsid w:val="003C5C41"/>
    <w:rsid w:val="003C63FD"/>
    <w:rsid w:val="003C6A1A"/>
    <w:rsid w:val="003C6EDF"/>
    <w:rsid w:val="003C70E4"/>
    <w:rsid w:val="003C7776"/>
    <w:rsid w:val="003D01C7"/>
    <w:rsid w:val="003D17E4"/>
    <w:rsid w:val="003D1AB6"/>
    <w:rsid w:val="003D2E99"/>
    <w:rsid w:val="003D3618"/>
    <w:rsid w:val="003D5E63"/>
    <w:rsid w:val="003D6612"/>
    <w:rsid w:val="003E0054"/>
    <w:rsid w:val="003E05C7"/>
    <w:rsid w:val="003E07DD"/>
    <w:rsid w:val="003E0E09"/>
    <w:rsid w:val="003E0F37"/>
    <w:rsid w:val="003E1F39"/>
    <w:rsid w:val="003E20E7"/>
    <w:rsid w:val="003E2590"/>
    <w:rsid w:val="003E2BFA"/>
    <w:rsid w:val="003E33EA"/>
    <w:rsid w:val="003E3547"/>
    <w:rsid w:val="003E64EB"/>
    <w:rsid w:val="003E670F"/>
    <w:rsid w:val="003E6D37"/>
    <w:rsid w:val="003E6D5E"/>
    <w:rsid w:val="003E79E0"/>
    <w:rsid w:val="003E7A16"/>
    <w:rsid w:val="003E7B2D"/>
    <w:rsid w:val="003F0821"/>
    <w:rsid w:val="003F0F50"/>
    <w:rsid w:val="003F10BB"/>
    <w:rsid w:val="003F1315"/>
    <w:rsid w:val="003F164A"/>
    <w:rsid w:val="003F1803"/>
    <w:rsid w:val="003F22D9"/>
    <w:rsid w:val="003F23AF"/>
    <w:rsid w:val="003F2B2C"/>
    <w:rsid w:val="003F339C"/>
    <w:rsid w:val="003F33D1"/>
    <w:rsid w:val="003F3B76"/>
    <w:rsid w:val="003F646A"/>
    <w:rsid w:val="003F66D1"/>
    <w:rsid w:val="003F6772"/>
    <w:rsid w:val="003F6B23"/>
    <w:rsid w:val="003F6CE5"/>
    <w:rsid w:val="003F769D"/>
    <w:rsid w:val="003F7F29"/>
    <w:rsid w:val="0040130A"/>
    <w:rsid w:val="00401533"/>
    <w:rsid w:val="00401AB3"/>
    <w:rsid w:val="004020CA"/>
    <w:rsid w:val="00402896"/>
    <w:rsid w:val="00402E03"/>
    <w:rsid w:val="0040398F"/>
    <w:rsid w:val="00405459"/>
    <w:rsid w:val="004056B2"/>
    <w:rsid w:val="00406003"/>
    <w:rsid w:val="004077F9"/>
    <w:rsid w:val="004120D0"/>
    <w:rsid w:val="00412E30"/>
    <w:rsid w:val="00412F8C"/>
    <w:rsid w:val="0041306F"/>
    <w:rsid w:val="004132CF"/>
    <w:rsid w:val="0041364C"/>
    <w:rsid w:val="00413A49"/>
    <w:rsid w:val="00414104"/>
    <w:rsid w:val="004156B3"/>
    <w:rsid w:val="0041658D"/>
    <w:rsid w:val="00417049"/>
    <w:rsid w:val="00417100"/>
    <w:rsid w:val="00420327"/>
    <w:rsid w:val="0042098C"/>
    <w:rsid w:val="00421C70"/>
    <w:rsid w:val="00422358"/>
    <w:rsid w:val="00422483"/>
    <w:rsid w:val="0042286E"/>
    <w:rsid w:val="00422EC8"/>
    <w:rsid w:val="00423644"/>
    <w:rsid w:val="0042368A"/>
    <w:rsid w:val="0042530B"/>
    <w:rsid w:val="00425553"/>
    <w:rsid w:val="0042646F"/>
    <w:rsid w:val="004272C0"/>
    <w:rsid w:val="0043099A"/>
    <w:rsid w:val="00431222"/>
    <w:rsid w:val="00431B26"/>
    <w:rsid w:val="00431C7E"/>
    <w:rsid w:val="0043325D"/>
    <w:rsid w:val="0043384E"/>
    <w:rsid w:val="00433D81"/>
    <w:rsid w:val="00434516"/>
    <w:rsid w:val="00435A86"/>
    <w:rsid w:val="00436B21"/>
    <w:rsid w:val="00437335"/>
    <w:rsid w:val="004373E9"/>
    <w:rsid w:val="00437E1C"/>
    <w:rsid w:val="00440363"/>
    <w:rsid w:val="00440C49"/>
    <w:rsid w:val="00441578"/>
    <w:rsid w:val="00441615"/>
    <w:rsid w:val="00442AB3"/>
    <w:rsid w:val="00443988"/>
    <w:rsid w:val="00443E29"/>
    <w:rsid w:val="004443BC"/>
    <w:rsid w:val="00445566"/>
    <w:rsid w:val="00445EB8"/>
    <w:rsid w:val="00446FAA"/>
    <w:rsid w:val="00452295"/>
    <w:rsid w:val="004528E0"/>
    <w:rsid w:val="00453F1E"/>
    <w:rsid w:val="004547B0"/>
    <w:rsid w:val="0045530C"/>
    <w:rsid w:val="00456AF7"/>
    <w:rsid w:val="0045712F"/>
    <w:rsid w:val="00457601"/>
    <w:rsid w:val="00460757"/>
    <w:rsid w:val="004609EB"/>
    <w:rsid w:val="00461D4B"/>
    <w:rsid w:val="0046259A"/>
    <w:rsid w:val="00462E43"/>
    <w:rsid w:val="00462FB6"/>
    <w:rsid w:val="0046302D"/>
    <w:rsid w:val="00463DD0"/>
    <w:rsid w:val="00463E11"/>
    <w:rsid w:val="0046426C"/>
    <w:rsid w:val="00464AE8"/>
    <w:rsid w:val="00464FD4"/>
    <w:rsid w:val="00467719"/>
    <w:rsid w:val="00467E18"/>
    <w:rsid w:val="004707E7"/>
    <w:rsid w:val="00470962"/>
    <w:rsid w:val="00470BCC"/>
    <w:rsid w:val="004712AF"/>
    <w:rsid w:val="00471832"/>
    <w:rsid w:val="004719D5"/>
    <w:rsid w:val="00471AB9"/>
    <w:rsid w:val="0047212F"/>
    <w:rsid w:val="004725B7"/>
    <w:rsid w:val="0047267B"/>
    <w:rsid w:val="00472A97"/>
    <w:rsid w:val="00473F31"/>
    <w:rsid w:val="00474506"/>
    <w:rsid w:val="00475A33"/>
    <w:rsid w:val="00481563"/>
    <w:rsid w:val="004818A5"/>
    <w:rsid w:val="00481B6B"/>
    <w:rsid w:val="004839DE"/>
    <w:rsid w:val="00483DD8"/>
    <w:rsid w:val="00485875"/>
    <w:rsid w:val="00486096"/>
    <w:rsid w:val="004860A5"/>
    <w:rsid w:val="00486826"/>
    <w:rsid w:val="004878A8"/>
    <w:rsid w:val="00487BCE"/>
    <w:rsid w:val="0049122D"/>
    <w:rsid w:val="0049135F"/>
    <w:rsid w:val="00491D55"/>
    <w:rsid w:val="00492019"/>
    <w:rsid w:val="004920DF"/>
    <w:rsid w:val="004929F7"/>
    <w:rsid w:val="0049314F"/>
    <w:rsid w:val="004932AD"/>
    <w:rsid w:val="004938B7"/>
    <w:rsid w:val="00493BC7"/>
    <w:rsid w:val="00493E98"/>
    <w:rsid w:val="00495885"/>
    <w:rsid w:val="00495BB1"/>
    <w:rsid w:val="00495E65"/>
    <w:rsid w:val="00495FA4"/>
    <w:rsid w:val="00496694"/>
    <w:rsid w:val="004969CF"/>
    <w:rsid w:val="00497F39"/>
    <w:rsid w:val="004A095B"/>
    <w:rsid w:val="004A09E7"/>
    <w:rsid w:val="004A0A32"/>
    <w:rsid w:val="004A0A89"/>
    <w:rsid w:val="004A0D74"/>
    <w:rsid w:val="004A13C1"/>
    <w:rsid w:val="004A1AB3"/>
    <w:rsid w:val="004A3D8D"/>
    <w:rsid w:val="004A602D"/>
    <w:rsid w:val="004A6422"/>
    <w:rsid w:val="004A6657"/>
    <w:rsid w:val="004A74ED"/>
    <w:rsid w:val="004A77E9"/>
    <w:rsid w:val="004B042A"/>
    <w:rsid w:val="004B04E7"/>
    <w:rsid w:val="004B0745"/>
    <w:rsid w:val="004B09BD"/>
    <w:rsid w:val="004B0BB3"/>
    <w:rsid w:val="004B0F97"/>
    <w:rsid w:val="004B10FD"/>
    <w:rsid w:val="004B1D24"/>
    <w:rsid w:val="004B3036"/>
    <w:rsid w:val="004B38C9"/>
    <w:rsid w:val="004B4DCB"/>
    <w:rsid w:val="004B633E"/>
    <w:rsid w:val="004B6576"/>
    <w:rsid w:val="004B7F0F"/>
    <w:rsid w:val="004C031F"/>
    <w:rsid w:val="004C0375"/>
    <w:rsid w:val="004C04A0"/>
    <w:rsid w:val="004C10E2"/>
    <w:rsid w:val="004C1B39"/>
    <w:rsid w:val="004C1D90"/>
    <w:rsid w:val="004C2272"/>
    <w:rsid w:val="004C23C8"/>
    <w:rsid w:val="004C2953"/>
    <w:rsid w:val="004C2E3C"/>
    <w:rsid w:val="004C321A"/>
    <w:rsid w:val="004C38AE"/>
    <w:rsid w:val="004C4573"/>
    <w:rsid w:val="004C4808"/>
    <w:rsid w:val="004C4A79"/>
    <w:rsid w:val="004C53ED"/>
    <w:rsid w:val="004C668D"/>
    <w:rsid w:val="004C6BB3"/>
    <w:rsid w:val="004C774D"/>
    <w:rsid w:val="004C7D0D"/>
    <w:rsid w:val="004C7D47"/>
    <w:rsid w:val="004D0A56"/>
    <w:rsid w:val="004D3221"/>
    <w:rsid w:val="004D33F6"/>
    <w:rsid w:val="004D390D"/>
    <w:rsid w:val="004D5942"/>
    <w:rsid w:val="004D6814"/>
    <w:rsid w:val="004D6C85"/>
    <w:rsid w:val="004E062A"/>
    <w:rsid w:val="004E2766"/>
    <w:rsid w:val="004E2E1D"/>
    <w:rsid w:val="004E300D"/>
    <w:rsid w:val="004E384F"/>
    <w:rsid w:val="004E393C"/>
    <w:rsid w:val="004E43FF"/>
    <w:rsid w:val="004E4D67"/>
    <w:rsid w:val="004E5369"/>
    <w:rsid w:val="004E5594"/>
    <w:rsid w:val="004E5A69"/>
    <w:rsid w:val="004E5FB0"/>
    <w:rsid w:val="004E607E"/>
    <w:rsid w:val="004E62FB"/>
    <w:rsid w:val="004E6F71"/>
    <w:rsid w:val="004E7726"/>
    <w:rsid w:val="004F04D7"/>
    <w:rsid w:val="004F0536"/>
    <w:rsid w:val="004F064A"/>
    <w:rsid w:val="004F06A3"/>
    <w:rsid w:val="004F21B4"/>
    <w:rsid w:val="004F2935"/>
    <w:rsid w:val="004F3D3A"/>
    <w:rsid w:val="004F41A6"/>
    <w:rsid w:val="004F43C2"/>
    <w:rsid w:val="004F5485"/>
    <w:rsid w:val="004F6A43"/>
    <w:rsid w:val="004F6CFE"/>
    <w:rsid w:val="004F7475"/>
    <w:rsid w:val="004F77A7"/>
    <w:rsid w:val="004F7943"/>
    <w:rsid w:val="004F7D03"/>
    <w:rsid w:val="00500207"/>
    <w:rsid w:val="00500BB4"/>
    <w:rsid w:val="00501D4B"/>
    <w:rsid w:val="00502ECC"/>
    <w:rsid w:val="00502F78"/>
    <w:rsid w:val="0050395F"/>
    <w:rsid w:val="0050494A"/>
    <w:rsid w:val="00504CAD"/>
    <w:rsid w:val="00505037"/>
    <w:rsid w:val="00506CEF"/>
    <w:rsid w:val="0050744C"/>
    <w:rsid w:val="0050744F"/>
    <w:rsid w:val="0050784C"/>
    <w:rsid w:val="005079EE"/>
    <w:rsid w:val="00507D37"/>
    <w:rsid w:val="00507E77"/>
    <w:rsid w:val="0051049D"/>
    <w:rsid w:val="00510852"/>
    <w:rsid w:val="0051155E"/>
    <w:rsid w:val="00511811"/>
    <w:rsid w:val="00512467"/>
    <w:rsid w:val="00512665"/>
    <w:rsid w:val="00512FF0"/>
    <w:rsid w:val="00513461"/>
    <w:rsid w:val="00513540"/>
    <w:rsid w:val="005136A6"/>
    <w:rsid w:val="005139DA"/>
    <w:rsid w:val="00514497"/>
    <w:rsid w:val="005160F2"/>
    <w:rsid w:val="005176F7"/>
    <w:rsid w:val="00517A0B"/>
    <w:rsid w:val="00520A58"/>
    <w:rsid w:val="00520A71"/>
    <w:rsid w:val="00521517"/>
    <w:rsid w:val="005218B5"/>
    <w:rsid w:val="005222A6"/>
    <w:rsid w:val="00522E08"/>
    <w:rsid w:val="005231FB"/>
    <w:rsid w:val="00524F89"/>
    <w:rsid w:val="00525BD9"/>
    <w:rsid w:val="00526333"/>
    <w:rsid w:val="0053013C"/>
    <w:rsid w:val="00530417"/>
    <w:rsid w:val="00530B11"/>
    <w:rsid w:val="00530BE6"/>
    <w:rsid w:val="00531795"/>
    <w:rsid w:val="00531E8D"/>
    <w:rsid w:val="005324DF"/>
    <w:rsid w:val="0053273C"/>
    <w:rsid w:val="00532BF9"/>
    <w:rsid w:val="00532D9F"/>
    <w:rsid w:val="0053358B"/>
    <w:rsid w:val="005342C6"/>
    <w:rsid w:val="00534FC3"/>
    <w:rsid w:val="00535186"/>
    <w:rsid w:val="005359B8"/>
    <w:rsid w:val="005363CB"/>
    <w:rsid w:val="00536A2C"/>
    <w:rsid w:val="00536FA5"/>
    <w:rsid w:val="00537911"/>
    <w:rsid w:val="00537BA9"/>
    <w:rsid w:val="00537CDD"/>
    <w:rsid w:val="00540B97"/>
    <w:rsid w:val="005418CC"/>
    <w:rsid w:val="00541EE9"/>
    <w:rsid w:val="0054276A"/>
    <w:rsid w:val="0054283F"/>
    <w:rsid w:val="00543D1E"/>
    <w:rsid w:val="00544050"/>
    <w:rsid w:val="00544F0B"/>
    <w:rsid w:val="00546682"/>
    <w:rsid w:val="0054780F"/>
    <w:rsid w:val="00547AA0"/>
    <w:rsid w:val="00547FDF"/>
    <w:rsid w:val="005502FE"/>
    <w:rsid w:val="00550957"/>
    <w:rsid w:val="0055164F"/>
    <w:rsid w:val="00551CC9"/>
    <w:rsid w:val="00552DF3"/>
    <w:rsid w:val="00553AB2"/>
    <w:rsid w:val="00553E0B"/>
    <w:rsid w:val="00554C7E"/>
    <w:rsid w:val="00555C22"/>
    <w:rsid w:val="00555E03"/>
    <w:rsid w:val="00556A0A"/>
    <w:rsid w:val="00556AFA"/>
    <w:rsid w:val="00556DB0"/>
    <w:rsid w:val="00557793"/>
    <w:rsid w:val="005579E6"/>
    <w:rsid w:val="005600B6"/>
    <w:rsid w:val="005607DD"/>
    <w:rsid w:val="005615B5"/>
    <w:rsid w:val="0056160B"/>
    <w:rsid w:val="00563A9D"/>
    <w:rsid w:val="00563F42"/>
    <w:rsid w:val="00564162"/>
    <w:rsid w:val="00565D0A"/>
    <w:rsid w:val="005663C8"/>
    <w:rsid w:val="00567757"/>
    <w:rsid w:val="00567B1E"/>
    <w:rsid w:val="005709EF"/>
    <w:rsid w:val="005716BE"/>
    <w:rsid w:val="00572C0E"/>
    <w:rsid w:val="00574814"/>
    <w:rsid w:val="00574FD3"/>
    <w:rsid w:val="005754CE"/>
    <w:rsid w:val="00575660"/>
    <w:rsid w:val="00575A7D"/>
    <w:rsid w:val="00575BC3"/>
    <w:rsid w:val="00575F80"/>
    <w:rsid w:val="005766D0"/>
    <w:rsid w:val="005776ED"/>
    <w:rsid w:val="00580759"/>
    <w:rsid w:val="00580842"/>
    <w:rsid w:val="005808B1"/>
    <w:rsid w:val="00580C5E"/>
    <w:rsid w:val="00580CBC"/>
    <w:rsid w:val="005818DA"/>
    <w:rsid w:val="00581FAC"/>
    <w:rsid w:val="005820FC"/>
    <w:rsid w:val="00582A1E"/>
    <w:rsid w:val="00583192"/>
    <w:rsid w:val="005844B8"/>
    <w:rsid w:val="0058487D"/>
    <w:rsid w:val="005858FC"/>
    <w:rsid w:val="00585C75"/>
    <w:rsid w:val="00585E62"/>
    <w:rsid w:val="0058670B"/>
    <w:rsid w:val="005872C0"/>
    <w:rsid w:val="00591B94"/>
    <w:rsid w:val="00591CB5"/>
    <w:rsid w:val="00591FDD"/>
    <w:rsid w:val="00592CD4"/>
    <w:rsid w:val="00594364"/>
    <w:rsid w:val="00594F35"/>
    <w:rsid w:val="00595526"/>
    <w:rsid w:val="00597075"/>
    <w:rsid w:val="00597161"/>
    <w:rsid w:val="00597961"/>
    <w:rsid w:val="005A18D4"/>
    <w:rsid w:val="005A2344"/>
    <w:rsid w:val="005A2D53"/>
    <w:rsid w:val="005A330B"/>
    <w:rsid w:val="005A33A0"/>
    <w:rsid w:val="005A3540"/>
    <w:rsid w:val="005A38BA"/>
    <w:rsid w:val="005A39BD"/>
    <w:rsid w:val="005A3A41"/>
    <w:rsid w:val="005A3F85"/>
    <w:rsid w:val="005A4011"/>
    <w:rsid w:val="005A680F"/>
    <w:rsid w:val="005A6B3B"/>
    <w:rsid w:val="005A6BFA"/>
    <w:rsid w:val="005A770C"/>
    <w:rsid w:val="005A7CC8"/>
    <w:rsid w:val="005B000D"/>
    <w:rsid w:val="005B25D2"/>
    <w:rsid w:val="005B2702"/>
    <w:rsid w:val="005B36C5"/>
    <w:rsid w:val="005B4205"/>
    <w:rsid w:val="005B4DF4"/>
    <w:rsid w:val="005B4EEE"/>
    <w:rsid w:val="005B5C93"/>
    <w:rsid w:val="005B76EF"/>
    <w:rsid w:val="005B7EA6"/>
    <w:rsid w:val="005C1CED"/>
    <w:rsid w:val="005C2912"/>
    <w:rsid w:val="005C2A14"/>
    <w:rsid w:val="005C3F5D"/>
    <w:rsid w:val="005C4047"/>
    <w:rsid w:val="005C5BA9"/>
    <w:rsid w:val="005C5CD4"/>
    <w:rsid w:val="005C7BF9"/>
    <w:rsid w:val="005D0495"/>
    <w:rsid w:val="005D0861"/>
    <w:rsid w:val="005D1BF1"/>
    <w:rsid w:val="005D2362"/>
    <w:rsid w:val="005D2AEB"/>
    <w:rsid w:val="005D2C1D"/>
    <w:rsid w:val="005D50F0"/>
    <w:rsid w:val="005D5547"/>
    <w:rsid w:val="005D6F38"/>
    <w:rsid w:val="005D7197"/>
    <w:rsid w:val="005E07FD"/>
    <w:rsid w:val="005E0C50"/>
    <w:rsid w:val="005E0EF9"/>
    <w:rsid w:val="005E19E2"/>
    <w:rsid w:val="005E1C06"/>
    <w:rsid w:val="005E284B"/>
    <w:rsid w:val="005E4047"/>
    <w:rsid w:val="005E5081"/>
    <w:rsid w:val="005E524A"/>
    <w:rsid w:val="005E5F8A"/>
    <w:rsid w:val="005E606F"/>
    <w:rsid w:val="005E620A"/>
    <w:rsid w:val="005E67B6"/>
    <w:rsid w:val="005E7B94"/>
    <w:rsid w:val="005F0047"/>
    <w:rsid w:val="005F0349"/>
    <w:rsid w:val="005F43B3"/>
    <w:rsid w:val="005F640B"/>
    <w:rsid w:val="005F7323"/>
    <w:rsid w:val="005F7544"/>
    <w:rsid w:val="005F7548"/>
    <w:rsid w:val="00600C4D"/>
    <w:rsid w:val="00602673"/>
    <w:rsid w:val="00602D0E"/>
    <w:rsid w:val="0060319D"/>
    <w:rsid w:val="006036C9"/>
    <w:rsid w:val="00603FB7"/>
    <w:rsid w:val="00604AC4"/>
    <w:rsid w:val="006050E2"/>
    <w:rsid w:val="006055A1"/>
    <w:rsid w:val="0060583C"/>
    <w:rsid w:val="00605B26"/>
    <w:rsid w:val="006064A6"/>
    <w:rsid w:val="00606568"/>
    <w:rsid w:val="00606649"/>
    <w:rsid w:val="00607C26"/>
    <w:rsid w:val="00607D38"/>
    <w:rsid w:val="0061017E"/>
    <w:rsid w:val="00610573"/>
    <w:rsid w:val="006105AE"/>
    <w:rsid w:val="00611164"/>
    <w:rsid w:val="006118F0"/>
    <w:rsid w:val="00611B00"/>
    <w:rsid w:val="00613171"/>
    <w:rsid w:val="006142DE"/>
    <w:rsid w:val="00614805"/>
    <w:rsid w:val="00614971"/>
    <w:rsid w:val="00615883"/>
    <w:rsid w:val="00615C45"/>
    <w:rsid w:val="006160C5"/>
    <w:rsid w:val="00616D82"/>
    <w:rsid w:val="00617D3A"/>
    <w:rsid w:val="00620444"/>
    <w:rsid w:val="00620A27"/>
    <w:rsid w:val="006213E8"/>
    <w:rsid w:val="006238E2"/>
    <w:rsid w:val="00623AA0"/>
    <w:rsid w:val="006254F8"/>
    <w:rsid w:val="00626A8F"/>
    <w:rsid w:val="006275C4"/>
    <w:rsid w:val="00630637"/>
    <w:rsid w:val="00630836"/>
    <w:rsid w:val="006318DA"/>
    <w:rsid w:val="006324F7"/>
    <w:rsid w:val="00632833"/>
    <w:rsid w:val="00633BE1"/>
    <w:rsid w:val="00633E7D"/>
    <w:rsid w:val="00633EF1"/>
    <w:rsid w:val="00634108"/>
    <w:rsid w:val="006343FB"/>
    <w:rsid w:val="0063495E"/>
    <w:rsid w:val="00634DA8"/>
    <w:rsid w:val="00634FD2"/>
    <w:rsid w:val="006354FA"/>
    <w:rsid w:val="006355CC"/>
    <w:rsid w:val="0064054A"/>
    <w:rsid w:val="00640C19"/>
    <w:rsid w:val="006426F3"/>
    <w:rsid w:val="00643B77"/>
    <w:rsid w:val="00643CB7"/>
    <w:rsid w:val="006444E4"/>
    <w:rsid w:val="006447DF"/>
    <w:rsid w:val="00644F13"/>
    <w:rsid w:val="00645AA4"/>
    <w:rsid w:val="00646B5D"/>
    <w:rsid w:val="00647A01"/>
    <w:rsid w:val="00647BD1"/>
    <w:rsid w:val="00647E8C"/>
    <w:rsid w:val="00650E27"/>
    <w:rsid w:val="00651373"/>
    <w:rsid w:val="006514C8"/>
    <w:rsid w:val="0065205E"/>
    <w:rsid w:val="006521F1"/>
    <w:rsid w:val="006525AC"/>
    <w:rsid w:val="00652606"/>
    <w:rsid w:val="00653636"/>
    <w:rsid w:val="0065373F"/>
    <w:rsid w:val="00653782"/>
    <w:rsid w:val="006547A5"/>
    <w:rsid w:val="00654BC3"/>
    <w:rsid w:val="00656E05"/>
    <w:rsid w:val="0066015F"/>
    <w:rsid w:val="00661133"/>
    <w:rsid w:val="006614AD"/>
    <w:rsid w:val="00661FC2"/>
    <w:rsid w:val="00664535"/>
    <w:rsid w:val="00665F7E"/>
    <w:rsid w:val="0066723A"/>
    <w:rsid w:val="00670C8F"/>
    <w:rsid w:val="00670F76"/>
    <w:rsid w:val="00671458"/>
    <w:rsid w:val="00673380"/>
    <w:rsid w:val="006740AF"/>
    <w:rsid w:val="00675498"/>
    <w:rsid w:val="006754AE"/>
    <w:rsid w:val="00675D1B"/>
    <w:rsid w:val="00675D39"/>
    <w:rsid w:val="00675E44"/>
    <w:rsid w:val="006760AE"/>
    <w:rsid w:val="0067698F"/>
    <w:rsid w:val="00676EBE"/>
    <w:rsid w:val="006770F8"/>
    <w:rsid w:val="0067723C"/>
    <w:rsid w:val="006776A5"/>
    <w:rsid w:val="006777BB"/>
    <w:rsid w:val="00677C1B"/>
    <w:rsid w:val="00680CD4"/>
    <w:rsid w:val="00681470"/>
    <w:rsid w:val="00681ECE"/>
    <w:rsid w:val="00683486"/>
    <w:rsid w:val="00684260"/>
    <w:rsid w:val="006847B6"/>
    <w:rsid w:val="0068546E"/>
    <w:rsid w:val="00685CFA"/>
    <w:rsid w:val="00686C58"/>
    <w:rsid w:val="00687365"/>
    <w:rsid w:val="00690CE2"/>
    <w:rsid w:val="00690E0F"/>
    <w:rsid w:val="00691253"/>
    <w:rsid w:val="0069128A"/>
    <w:rsid w:val="0069205A"/>
    <w:rsid w:val="006921D7"/>
    <w:rsid w:val="00693E4D"/>
    <w:rsid w:val="006942F3"/>
    <w:rsid w:val="006948F9"/>
    <w:rsid w:val="006949B9"/>
    <w:rsid w:val="00695022"/>
    <w:rsid w:val="00695AF4"/>
    <w:rsid w:val="00696710"/>
    <w:rsid w:val="006977C6"/>
    <w:rsid w:val="00697A86"/>
    <w:rsid w:val="00697B8C"/>
    <w:rsid w:val="00697DBB"/>
    <w:rsid w:val="006A0AA4"/>
    <w:rsid w:val="006A0E5C"/>
    <w:rsid w:val="006A1F3C"/>
    <w:rsid w:val="006A22F4"/>
    <w:rsid w:val="006A52FE"/>
    <w:rsid w:val="006A542A"/>
    <w:rsid w:val="006A569E"/>
    <w:rsid w:val="006A59B1"/>
    <w:rsid w:val="006A5A6A"/>
    <w:rsid w:val="006A5C92"/>
    <w:rsid w:val="006A5F70"/>
    <w:rsid w:val="006A619F"/>
    <w:rsid w:val="006A7E8A"/>
    <w:rsid w:val="006A7F36"/>
    <w:rsid w:val="006A7F3B"/>
    <w:rsid w:val="006B044B"/>
    <w:rsid w:val="006B0C3D"/>
    <w:rsid w:val="006B1EC0"/>
    <w:rsid w:val="006B2C91"/>
    <w:rsid w:val="006B360F"/>
    <w:rsid w:val="006B3C36"/>
    <w:rsid w:val="006B4E1C"/>
    <w:rsid w:val="006B6621"/>
    <w:rsid w:val="006B6E15"/>
    <w:rsid w:val="006B761D"/>
    <w:rsid w:val="006B7F8F"/>
    <w:rsid w:val="006C03E3"/>
    <w:rsid w:val="006C0C78"/>
    <w:rsid w:val="006C11EE"/>
    <w:rsid w:val="006C2C4B"/>
    <w:rsid w:val="006C3B64"/>
    <w:rsid w:val="006C4CA3"/>
    <w:rsid w:val="006C529A"/>
    <w:rsid w:val="006C54D7"/>
    <w:rsid w:val="006C6C58"/>
    <w:rsid w:val="006C7463"/>
    <w:rsid w:val="006C746A"/>
    <w:rsid w:val="006D0C0D"/>
    <w:rsid w:val="006D0C4A"/>
    <w:rsid w:val="006D0DB3"/>
    <w:rsid w:val="006D0DBD"/>
    <w:rsid w:val="006D1C31"/>
    <w:rsid w:val="006D231C"/>
    <w:rsid w:val="006D26A6"/>
    <w:rsid w:val="006D39EE"/>
    <w:rsid w:val="006D493C"/>
    <w:rsid w:val="006D4BCE"/>
    <w:rsid w:val="006D507E"/>
    <w:rsid w:val="006D595D"/>
    <w:rsid w:val="006D672C"/>
    <w:rsid w:val="006D6E9C"/>
    <w:rsid w:val="006D7447"/>
    <w:rsid w:val="006D76F2"/>
    <w:rsid w:val="006D7D68"/>
    <w:rsid w:val="006E0232"/>
    <w:rsid w:val="006E1F31"/>
    <w:rsid w:val="006E20CA"/>
    <w:rsid w:val="006E2B8D"/>
    <w:rsid w:val="006E3BF3"/>
    <w:rsid w:val="006E4C93"/>
    <w:rsid w:val="006E4DAC"/>
    <w:rsid w:val="006E506A"/>
    <w:rsid w:val="006E5C32"/>
    <w:rsid w:val="006E61F2"/>
    <w:rsid w:val="006E6BAC"/>
    <w:rsid w:val="006E7466"/>
    <w:rsid w:val="006F069D"/>
    <w:rsid w:val="006F080A"/>
    <w:rsid w:val="006F0ABE"/>
    <w:rsid w:val="006F0B99"/>
    <w:rsid w:val="006F179D"/>
    <w:rsid w:val="006F1AEC"/>
    <w:rsid w:val="006F2081"/>
    <w:rsid w:val="006F2BFB"/>
    <w:rsid w:val="006F34BD"/>
    <w:rsid w:val="006F41EB"/>
    <w:rsid w:val="006F4697"/>
    <w:rsid w:val="006F4F86"/>
    <w:rsid w:val="006F50C1"/>
    <w:rsid w:val="006F54AB"/>
    <w:rsid w:val="006F5FF4"/>
    <w:rsid w:val="006F710F"/>
    <w:rsid w:val="006F7AE7"/>
    <w:rsid w:val="00700607"/>
    <w:rsid w:val="00700FFC"/>
    <w:rsid w:val="0070119D"/>
    <w:rsid w:val="007016D7"/>
    <w:rsid w:val="00701835"/>
    <w:rsid w:val="00701E0C"/>
    <w:rsid w:val="00702808"/>
    <w:rsid w:val="00703C2C"/>
    <w:rsid w:val="007042EB"/>
    <w:rsid w:val="0070490A"/>
    <w:rsid w:val="00704971"/>
    <w:rsid w:val="00705D9A"/>
    <w:rsid w:val="00706737"/>
    <w:rsid w:val="00707293"/>
    <w:rsid w:val="00707C04"/>
    <w:rsid w:val="00707FDE"/>
    <w:rsid w:val="00710147"/>
    <w:rsid w:val="007119D8"/>
    <w:rsid w:val="00712992"/>
    <w:rsid w:val="007129A1"/>
    <w:rsid w:val="007135DC"/>
    <w:rsid w:val="00713CB6"/>
    <w:rsid w:val="00713E76"/>
    <w:rsid w:val="00714AA5"/>
    <w:rsid w:val="00714AD4"/>
    <w:rsid w:val="007153B4"/>
    <w:rsid w:val="00715C02"/>
    <w:rsid w:val="00717461"/>
    <w:rsid w:val="00717713"/>
    <w:rsid w:val="00717FC8"/>
    <w:rsid w:val="00720598"/>
    <w:rsid w:val="007207D3"/>
    <w:rsid w:val="00721668"/>
    <w:rsid w:val="00721A03"/>
    <w:rsid w:val="00723265"/>
    <w:rsid w:val="0072334E"/>
    <w:rsid w:val="007234B8"/>
    <w:rsid w:val="007245E3"/>
    <w:rsid w:val="00725805"/>
    <w:rsid w:val="00725A47"/>
    <w:rsid w:val="0072668B"/>
    <w:rsid w:val="00726CDC"/>
    <w:rsid w:val="00726E55"/>
    <w:rsid w:val="007275FE"/>
    <w:rsid w:val="00727A1D"/>
    <w:rsid w:val="00727E16"/>
    <w:rsid w:val="00727EC5"/>
    <w:rsid w:val="007310F9"/>
    <w:rsid w:val="00731C26"/>
    <w:rsid w:val="00732A3F"/>
    <w:rsid w:val="007331F4"/>
    <w:rsid w:val="00733903"/>
    <w:rsid w:val="00733A0A"/>
    <w:rsid w:val="00734EC5"/>
    <w:rsid w:val="007360AA"/>
    <w:rsid w:val="00737B76"/>
    <w:rsid w:val="007400FE"/>
    <w:rsid w:val="0074229F"/>
    <w:rsid w:val="00743025"/>
    <w:rsid w:val="00743C55"/>
    <w:rsid w:val="007459D2"/>
    <w:rsid w:val="00745C17"/>
    <w:rsid w:val="00750E38"/>
    <w:rsid w:val="00751020"/>
    <w:rsid w:val="00751206"/>
    <w:rsid w:val="00751305"/>
    <w:rsid w:val="00751A8B"/>
    <w:rsid w:val="00752D35"/>
    <w:rsid w:val="0075376A"/>
    <w:rsid w:val="00753FD1"/>
    <w:rsid w:val="0075571E"/>
    <w:rsid w:val="00755785"/>
    <w:rsid w:val="007562CA"/>
    <w:rsid w:val="00756AE6"/>
    <w:rsid w:val="00756D82"/>
    <w:rsid w:val="007578A4"/>
    <w:rsid w:val="007605E6"/>
    <w:rsid w:val="00760898"/>
    <w:rsid w:val="00760922"/>
    <w:rsid w:val="00760F5A"/>
    <w:rsid w:val="007618FC"/>
    <w:rsid w:val="00761ABC"/>
    <w:rsid w:val="0076239F"/>
    <w:rsid w:val="00763915"/>
    <w:rsid w:val="00764B33"/>
    <w:rsid w:val="007651BD"/>
    <w:rsid w:val="00765239"/>
    <w:rsid w:val="00765E04"/>
    <w:rsid w:val="007664CF"/>
    <w:rsid w:val="00766588"/>
    <w:rsid w:val="00767729"/>
    <w:rsid w:val="0077043E"/>
    <w:rsid w:val="00771A3C"/>
    <w:rsid w:val="00771B92"/>
    <w:rsid w:val="00771BB1"/>
    <w:rsid w:val="00771FDC"/>
    <w:rsid w:val="0077200B"/>
    <w:rsid w:val="0077205B"/>
    <w:rsid w:val="007727C4"/>
    <w:rsid w:val="007736DB"/>
    <w:rsid w:val="00773E95"/>
    <w:rsid w:val="00774253"/>
    <w:rsid w:val="00774F01"/>
    <w:rsid w:val="00776644"/>
    <w:rsid w:val="00776B61"/>
    <w:rsid w:val="0077725D"/>
    <w:rsid w:val="007775ED"/>
    <w:rsid w:val="007776CC"/>
    <w:rsid w:val="00777D95"/>
    <w:rsid w:val="00777E7F"/>
    <w:rsid w:val="00777FF6"/>
    <w:rsid w:val="00780105"/>
    <w:rsid w:val="00780980"/>
    <w:rsid w:val="007810B5"/>
    <w:rsid w:val="007817BB"/>
    <w:rsid w:val="00781A4D"/>
    <w:rsid w:val="00784D73"/>
    <w:rsid w:val="00784DBF"/>
    <w:rsid w:val="00785819"/>
    <w:rsid w:val="0078659D"/>
    <w:rsid w:val="00786701"/>
    <w:rsid w:val="00786B75"/>
    <w:rsid w:val="00791798"/>
    <w:rsid w:val="00791C53"/>
    <w:rsid w:val="00792BB8"/>
    <w:rsid w:val="007933B6"/>
    <w:rsid w:val="0079359F"/>
    <w:rsid w:val="00793974"/>
    <w:rsid w:val="0079459D"/>
    <w:rsid w:val="00794C09"/>
    <w:rsid w:val="00795034"/>
    <w:rsid w:val="00795825"/>
    <w:rsid w:val="00795C4C"/>
    <w:rsid w:val="0079775C"/>
    <w:rsid w:val="007977BB"/>
    <w:rsid w:val="007A0B77"/>
    <w:rsid w:val="007A307B"/>
    <w:rsid w:val="007A3415"/>
    <w:rsid w:val="007A3D33"/>
    <w:rsid w:val="007A3DDA"/>
    <w:rsid w:val="007A480A"/>
    <w:rsid w:val="007A5069"/>
    <w:rsid w:val="007A5C8B"/>
    <w:rsid w:val="007A6948"/>
    <w:rsid w:val="007A70C2"/>
    <w:rsid w:val="007A7568"/>
    <w:rsid w:val="007A7618"/>
    <w:rsid w:val="007A7F04"/>
    <w:rsid w:val="007B0786"/>
    <w:rsid w:val="007B0A5B"/>
    <w:rsid w:val="007B1586"/>
    <w:rsid w:val="007B15E0"/>
    <w:rsid w:val="007B2043"/>
    <w:rsid w:val="007B214D"/>
    <w:rsid w:val="007B260F"/>
    <w:rsid w:val="007B2F1C"/>
    <w:rsid w:val="007B30BE"/>
    <w:rsid w:val="007B35E9"/>
    <w:rsid w:val="007B372B"/>
    <w:rsid w:val="007B37F9"/>
    <w:rsid w:val="007B3F7D"/>
    <w:rsid w:val="007B469C"/>
    <w:rsid w:val="007B50F6"/>
    <w:rsid w:val="007B5100"/>
    <w:rsid w:val="007B567A"/>
    <w:rsid w:val="007B5F9E"/>
    <w:rsid w:val="007B5FF0"/>
    <w:rsid w:val="007B601E"/>
    <w:rsid w:val="007B6600"/>
    <w:rsid w:val="007B7B34"/>
    <w:rsid w:val="007C0369"/>
    <w:rsid w:val="007C1770"/>
    <w:rsid w:val="007C1F5E"/>
    <w:rsid w:val="007C20FA"/>
    <w:rsid w:val="007C27B2"/>
    <w:rsid w:val="007C2CF7"/>
    <w:rsid w:val="007C2DCF"/>
    <w:rsid w:val="007C3966"/>
    <w:rsid w:val="007C4928"/>
    <w:rsid w:val="007C4E24"/>
    <w:rsid w:val="007C6E9C"/>
    <w:rsid w:val="007C6FD1"/>
    <w:rsid w:val="007C7C5A"/>
    <w:rsid w:val="007C7EBB"/>
    <w:rsid w:val="007D1492"/>
    <w:rsid w:val="007D1B9C"/>
    <w:rsid w:val="007D1E85"/>
    <w:rsid w:val="007D2070"/>
    <w:rsid w:val="007D2894"/>
    <w:rsid w:val="007D36BA"/>
    <w:rsid w:val="007D4121"/>
    <w:rsid w:val="007D51F9"/>
    <w:rsid w:val="007D5C7E"/>
    <w:rsid w:val="007D5E53"/>
    <w:rsid w:val="007D6510"/>
    <w:rsid w:val="007D6D40"/>
    <w:rsid w:val="007D6F7D"/>
    <w:rsid w:val="007E0EA0"/>
    <w:rsid w:val="007E15E0"/>
    <w:rsid w:val="007E1C38"/>
    <w:rsid w:val="007E2E0F"/>
    <w:rsid w:val="007E3D36"/>
    <w:rsid w:val="007E3DC2"/>
    <w:rsid w:val="007E3DD8"/>
    <w:rsid w:val="007E43EE"/>
    <w:rsid w:val="007E4CE6"/>
    <w:rsid w:val="007E4E13"/>
    <w:rsid w:val="007E5739"/>
    <w:rsid w:val="007E5BC0"/>
    <w:rsid w:val="007E6A69"/>
    <w:rsid w:val="007F0175"/>
    <w:rsid w:val="007F0966"/>
    <w:rsid w:val="007F0F87"/>
    <w:rsid w:val="007F1327"/>
    <w:rsid w:val="007F1512"/>
    <w:rsid w:val="007F2157"/>
    <w:rsid w:val="007F2E68"/>
    <w:rsid w:val="007F3027"/>
    <w:rsid w:val="007F30C3"/>
    <w:rsid w:val="007F3FF7"/>
    <w:rsid w:val="007F550C"/>
    <w:rsid w:val="007F563F"/>
    <w:rsid w:val="007F581C"/>
    <w:rsid w:val="007F6484"/>
    <w:rsid w:val="007F6ADF"/>
    <w:rsid w:val="007F717D"/>
    <w:rsid w:val="00800CDE"/>
    <w:rsid w:val="00802120"/>
    <w:rsid w:val="008024B6"/>
    <w:rsid w:val="00802AD3"/>
    <w:rsid w:val="00802E41"/>
    <w:rsid w:val="00802FA7"/>
    <w:rsid w:val="008031DA"/>
    <w:rsid w:val="008032DC"/>
    <w:rsid w:val="008036AB"/>
    <w:rsid w:val="00803C1B"/>
    <w:rsid w:val="008044DF"/>
    <w:rsid w:val="00804542"/>
    <w:rsid w:val="00804764"/>
    <w:rsid w:val="008049FB"/>
    <w:rsid w:val="00804A5B"/>
    <w:rsid w:val="00804C37"/>
    <w:rsid w:val="00804CDF"/>
    <w:rsid w:val="008053F5"/>
    <w:rsid w:val="00805539"/>
    <w:rsid w:val="00805DEF"/>
    <w:rsid w:val="00806D6A"/>
    <w:rsid w:val="00810107"/>
    <w:rsid w:val="00810CCF"/>
    <w:rsid w:val="00811EB7"/>
    <w:rsid w:val="00812B1A"/>
    <w:rsid w:val="00812B3E"/>
    <w:rsid w:val="00812D7B"/>
    <w:rsid w:val="0081325C"/>
    <w:rsid w:val="008136C2"/>
    <w:rsid w:val="00814FFA"/>
    <w:rsid w:val="00815014"/>
    <w:rsid w:val="0081633D"/>
    <w:rsid w:val="00816579"/>
    <w:rsid w:val="00816A35"/>
    <w:rsid w:val="00817415"/>
    <w:rsid w:val="00820FCA"/>
    <w:rsid w:val="00821756"/>
    <w:rsid w:val="00821781"/>
    <w:rsid w:val="00822583"/>
    <w:rsid w:val="0082276C"/>
    <w:rsid w:val="008227C3"/>
    <w:rsid w:val="00822E25"/>
    <w:rsid w:val="00822EE4"/>
    <w:rsid w:val="00822F41"/>
    <w:rsid w:val="0082466B"/>
    <w:rsid w:val="008260EE"/>
    <w:rsid w:val="008264DD"/>
    <w:rsid w:val="00826B13"/>
    <w:rsid w:val="00830382"/>
    <w:rsid w:val="00831FF6"/>
    <w:rsid w:val="00832633"/>
    <w:rsid w:val="0083270C"/>
    <w:rsid w:val="00832D3E"/>
    <w:rsid w:val="00832D59"/>
    <w:rsid w:val="0083332D"/>
    <w:rsid w:val="00833D08"/>
    <w:rsid w:val="00834C10"/>
    <w:rsid w:val="00836989"/>
    <w:rsid w:val="00836992"/>
    <w:rsid w:val="00836E02"/>
    <w:rsid w:val="0083740E"/>
    <w:rsid w:val="00837457"/>
    <w:rsid w:val="008407AD"/>
    <w:rsid w:val="008411C2"/>
    <w:rsid w:val="008411D3"/>
    <w:rsid w:val="00841424"/>
    <w:rsid w:val="0084275B"/>
    <w:rsid w:val="008433BD"/>
    <w:rsid w:val="00843AC0"/>
    <w:rsid w:val="008466DC"/>
    <w:rsid w:val="008468EF"/>
    <w:rsid w:val="008477EF"/>
    <w:rsid w:val="00847F2B"/>
    <w:rsid w:val="00850481"/>
    <w:rsid w:val="0085116C"/>
    <w:rsid w:val="008519F2"/>
    <w:rsid w:val="00852461"/>
    <w:rsid w:val="00852899"/>
    <w:rsid w:val="008532AB"/>
    <w:rsid w:val="008533CC"/>
    <w:rsid w:val="00855C80"/>
    <w:rsid w:val="00855FA7"/>
    <w:rsid w:val="008560E8"/>
    <w:rsid w:val="00857F6B"/>
    <w:rsid w:val="008604E1"/>
    <w:rsid w:val="00860D11"/>
    <w:rsid w:val="00861A7E"/>
    <w:rsid w:val="00862733"/>
    <w:rsid w:val="00863464"/>
    <w:rsid w:val="00863CF9"/>
    <w:rsid w:val="00863D58"/>
    <w:rsid w:val="00864B70"/>
    <w:rsid w:val="0086526B"/>
    <w:rsid w:val="008655FF"/>
    <w:rsid w:val="00867EF4"/>
    <w:rsid w:val="0087019B"/>
    <w:rsid w:val="0087075B"/>
    <w:rsid w:val="00870D39"/>
    <w:rsid w:val="00872101"/>
    <w:rsid w:val="00872F05"/>
    <w:rsid w:val="00873C98"/>
    <w:rsid w:val="008750C9"/>
    <w:rsid w:val="00875C4B"/>
    <w:rsid w:val="00875C70"/>
    <w:rsid w:val="0087673B"/>
    <w:rsid w:val="00876D58"/>
    <w:rsid w:val="00877079"/>
    <w:rsid w:val="008776BE"/>
    <w:rsid w:val="00877820"/>
    <w:rsid w:val="00877877"/>
    <w:rsid w:val="0088160B"/>
    <w:rsid w:val="00884472"/>
    <w:rsid w:val="0088462B"/>
    <w:rsid w:val="008862DA"/>
    <w:rsid w:val="00886711"/>
    <w:rsid w:val="00887618"/>
    <w:rsid w:val="008903CD"/>
    <w:rsid w:val="008910F6"/>
    <w:rsid w:val="008912B8"/>
    <w:rsid w:val="00893124"/>
    <w:rsid w:val="0089422C"/>
    <w:rsid w:val="00895149"/>
    <w:rsid w:val="00895436"/>
    <w:rsid w:val="008956BF"/>
    <w:rsid w:val="00895ACC"/>
    <w:rsid w:val="00895CB7"/>
    <w:rsid w:val="00895F28"/>
    <w:rsid w:val="00896DB7"/>
    <w:rsid w:val="00897658"/>
    <w:rsid w:val="0089766B"/>
    <w:rsid w:val="00897897"/>
    <w:rsid w:val="0089799D"/>
    <w:rsid w:val="00897E79"/>
    <w:rsid w:val="00897F54"/>
    <w:rsid w:val="008A00E5"/>
    <w:rsid w:val="008A09A3"/>
    <w:rsid w:val="008A1177"/>
    <w:rsid w:val="008A1A37"/>
    <w:rsid w:val="008A27F8"/>
    <w:rsid w:val="008A2957"/>
    <w:rsid w:val="008A315F"/>
    <w:rsid w:val="008A3761"/>
    <w:rsid w:val="008A3C20"/>
    <w:rsid w:val="008A4167"/>
    <w:rsid w:val="008A5248"/>
    <w:rsid w:val="008A536A"/>
    <w:rsid w:val="008A74A4"/>
    <w:rsid w:val="008A7E5D"/>
    <w:rsid w:val="008B0A3F"/>
    <w:rsid w:val="008B0CD3"/>
    <w:rsid w:val="008B12AB"/>
    <w:rsid w:val="008B132B"/>
    <w:rsid w:val="008B2124"/>
    <w:rsid w:val="008B49C8"/>
    <w:rsid w:val="008B4B31"/>
    <w:rsid w:val="008B5202"/>
    <w:rsid w:val="008B5BA6"/>
    <w:rsid w:val="008B63DC"/>
    <w:rsid w:val="008B7087"/>
    <w:rsid w:val="008B718A"/>
    <w:rsid w:val="008B7415"/>
    <w:rsid w:val="008C07A8"/>
    <w:rsid w:val="008C0AA9"/>
    <w:rsid w:val="008C0F6F"/>
    <w:rsid w:val="008C1019"/>
    <w:rsid w:val="008C1BD2"/>
    <w:rsid w:val="008C1CDF"/>
    <w:rsid w:val="008C2505"/>
    <w:rsid w:val="008C2899"/>
    <w:rsid w:val="008C2A4C"/>
    <w:rsid w:val="008C3189"/>
    <w:rsid w:val="008C347D"/>
    <w:rsid w:val="008C446E"/>
    <w:rsid w:val="008C58D0"/>
    <w:rsid w:val="008C6401"/>
    <w:rsid w:val="008C6A45"/>
    <w:rsid w:val="008C6ACF"/>
    <w:rsid w:val="008C6D8B"/>
    <w:rsid w:val="008C7D20"/>
    <w:rsid w:val="008D0687"/>
    <w:rsid w:val="008D0ECA"/>
    <w:rsid w:val="008D15C8"/>
    <w:rsid w:val="008D1AC0"/>
    <w:rsid w:val="008D1D45"/>
    <w:rsid w:val="008D2B58"/>
    <w:rsid w:val="008D41B5"/>
    <w:rsid w:val="008D4B37"/>
    <w:rsid w:val="008D5700"/>
    <w:rsid w:val="008D6595"/>
    <w:rsid w:val="008D687A"/>
    <w:rsid w:val="008D68B9"/>
    <w:rsid w:val="008D6E18"/>
    <w:rsid w:val="008D7016"/>
    <w:rsid w:val="008D7023"/>
    <w:rsid w:val="008E055E"/>
    <w:rsid w:val="008E085D"/>
    <w:rsid w:val="008E149F"/>
    <w:rsid w:val="008E18CA"/>
    <w:rsid w:val="008E1CD8"/>
    <w:rsid w:val="008E284A"/>
    <w:rsid w:val="008E3A28"/>
    <w:rsid w:val="008E431F"/>
    <w:rsid w:val="008E489B"/>
    <w:rsid w:val="008E63A3"/>
    <w:rsid w:val="008E66BA"/>
    <w:rsid w:val="008E7F79"/>
    <w:rsid w:val="008F05CC"/>
    <w:rsid w:val="008F077D"/>
    <w:rsid w:val="008F07EB"/>
    <w:rsid w:val="008F1E4F"/>
    <w:rsid w:val="008F3801"/>
    <w:rsid w:val="008F467F"/>
    <w:rsid w:val="008F4B6F"/>
    <w:rsid w:val="008F4D29"/>
    <w:rsid w:val="008F5F65"/>
    <w:rsid w:val="008F5F66"/>
    <w:rsid w:val="008F6893"/>
    <w:rsid w:val="008F7832"/>
    <w:rsid w:val="008F7ABF"/>
    <w:rsid w:val="009011C5"/>
    <w:rsid w:val="0090140A"/>
    <w:rsid w:val="00902074"/>
    <w:rsid w:val="009035C3"/>
    <w:rsid w:val="0090386F"/>
    <w:rsid w:val="009038E3"/>
    <w:rsid w:val="00903BBE"/>
    <w:rsid w:val="009049FA"/>
    <w:rsid w:val="00904DDA"/>
    <w:rsid w:val="009058E2"/>
    <w:rsid w:val="009064D9"/>
    <w:rsid w:val="00907340"/>
    <w:rsid w:val="009073EE"/>
    <w:rsid w:val="00907AF8"/>
    <w:rsid w:val="00907BD2"/>
    <w:rsid w:val="00907CFC"/>
    <w:rsid w:val="009102FB"/>
    <w:rsid w:val="00910875"/>
    <w:rsid w:val="00910DD1"/>
    <w:rsid w:val="009113BC"/>
    <w:rsid w:val="00912AE0"/>
    <w:rsid w:val="00913609"/>
    <w:rsid w:val="00913703"/>
    <w:rsid w:val="00913C2A"/>
    <w:rsid w:val="009145FE"/>
    <w:rsid w:val="0091561B"/>
    <w:rsid w:val="00915AE8"/>
    <w:rsid w:val="009161CC"/>
    <w:rsid w:val="00916847"/>
    <w:rsid w:val="00917358"/>
    <w:rsid w:val="00917A19"/>
    <w:rsid w:val="00917CF3"/>
    <w:rsid w:val="00917EBB"/>
    <w:rsid w:val="00920565"/>
    <w:rsid w:val="0092098E"/>
    <w:rsid w:val="009212E7"/>
    <w:rsid w:val="0092138B"/>
    <w:rsid w:val="009213B2"/>
    <w:rsid w:val="00921A9A"/>
    <w:rsid w:val="009232EF"/>
    <w:rsid w:val="00923837"/>
    <w:rsid w:val="0092397A"/>
    <w:rsid w:val="00924392"/>
    <w:rsid w:val="009244E7"/>
    <w:rsid w:val="009262EA"/>
    <w:rsid w:val="0092651A"/>
    <w:rsid w:val="00926B7A"/>
    <w:rsid w:val="009272A1"/>
    <w:rsid w:val="00927A07"/>
    <w:rsid w:val="00927CF3"/>
    <w:rsid w:val="00930096"/>
    <w:rsid w:val="00930B3A"/>
    <w:rsid w:val="00930DF7"/>
    <w:rsid w:val="00930F9D"/>
    <w:rsid w:val="009318B1"/>
    <w:rsid w:val="00931C23"/>
    <w:rsid w:val="0093235A"/>
    <w:rsid w:val="00932AE4"/>
    <w:rsid w:val="00933A3E"/>
    <w:rsid w:val="00933BD0"/>
    <w:rsid w:val="00933D05"/>
    <w:rsid w:val="00934725"/>
    <w:rsid w:val="00935DD6"/>
    <w:rsid w:val="00936853"/>
    <w:rsid w:val="00936A8C"/>
    <w:rsid w:val="00937B68"/>
    <w:rsid w:val="00937F92"/>
    <w:rsid w:val="00940F6E"/>
    <w:rsid w:val="00941466"/>
    <w:rsid w:val="00941CA6"/>
    <w:rsid w:val="009425A5"/>
    <w:rsid w:val="009439C9"/>
    <w:rsid w:val="00943B31"/>
    <w:rsid w:val="0094425D"/>
    <w:rsid w:val="0094449D"/>
    <w:rsid w:val="00944FB4"/>
    <w:rsid w:val="009450D3"/>
    <w:rsid w:val="00945477"/>
    <w:rsid w:val="00945BC4"/>
    <w:rsid w:val="00945C61"/>
    <w:rsid w:val="0094636F"/>
    <w:rsid w:val="00946506"/>
    <w:rsid w:val="00946586"/>
    <w:rsid w:val="009470BB"/>
    <w:rsid w:val="009472D6"/>
    <w:rsid w:val="0094776A"/>
    <w:rsid w:val="009478D5"/>
    <w:rsid w:val="00947D84"/>
    <w:rsid w:val="00950EE9"/>
    <w:rsid w:val="00952155"/>
    <w:rsid w:val="009526EB"/>
    <w:rsid w:val="00952ABD"/>
    <w:rsid w:val="00952C53"/>
    <w:rsid w:val="00954198"/>
    <w:rsid w:val="009557E1"/>
    <w:rsid w:val="00955B84"/>
    <w:rsid w:val="00957628"/>
    <w:rsid w:val="009603BC"/>
    <w:rsid w:val="009612A5"/>
    <w:rsid w:val="00961BA0"/>
    <w:rsid w:val="009650F1"/>
    <w:rsid w:val="00965B3A"/>
    <w:rsid w:val="00965DFF"/>
    <w:rsid w:val="00965E75"/>
    <w:rsid w:val="00966135"/>
    <w:rsid w:val="009663EC"/>
    <w:rsid w:val="00966CC5"/>
    <w:rsid w:val="00966FCA"/>
    <w:rsid w:val="0096780A"/>
    <w:rsid w:val="0096786E"/>
    <w:rsid w:val="00967A04"/>
    <w:rsid w:val="00967F42"/>
    <w:rsid w:val="009708D0"/>
    <w:rsid w:val="009709C9"/>
    <w:rsid w:val="00971070"/>
    <w:rsid w:val="009724AE"/>
    <w:rsid w:val="009728DA"/>
    <w:rsid w:val="009735CE"/>
    <w:rsid w:val="009747A8"/>
    <w:rsid w:val="00974B9B"/>
    <w:rsid w:val="00974FF8"/>
    <w:rsid w:val="00980D33"/>
    <w:rsid w:val="00982029"/>
    <w:rsid w:val="009825CB"/>
    <w:rsid w:val="00982BBF"/>
    <w:rsid w:val="00983CC5"/>
    <w:rsid w:val="00984DF6"/>
    <w:rsid w:val="00985DA8"/>
    <w:rsid w:val="009866C0"/>
    <w:rsid w:val="009867D7"/>
    <w:rsid w:val="0098709A"/>
    <w:rsid w:val="009873CD"/>
    <w:rsid w:val="009906B7"/>
    <w:rsid w:val="00990F18"/>
    <w:rsid w:val="00992896"/>
    <w:rsid w:val="00992F3E"/>
    <w:rsid w:val="0099343C"/>
    <w:rsid w:val="00994707"/>
    <w:rsid w:val="00994D20"/>
    <w:rsid w:val="00995485"/>
    <w:rsid w:val="00995AB9"/>
    <w:rsid w:val="009968AB"/>
    <w:rsid w:val="0099784A"/>
    <w:rsid w:val="00997CA2"/>
    <w:rsid w:val="009A03C0"/>
    <w:rsid w:val="009A11DB"/>
    <w:rsid w:val="009A2EE8"/>
    <w:rsid w:val="009A3123"/>
    <w:rsid w:val="009A36A2"/>
    <w:rsid w:val="009A37C6"/>
    <w:rsid w:val="009A4462"/>
    <w:rsid w:val="009A5B12"/>
    <w:rsid w:val="009A7761"/>
    <w:rsid w:val="009B0654"/>
    <w:rsid w:val="009B0840"/>
    <w:rsid w:val="009B117E"/>
    <w:rsid w:val="009B16C9"/>
    <w:rsid w:val="009B17C8"/>
    <w:rsid w:val="009B1DB1"/>
    <w:rsid w:val="009B1E50"/>
    <w:rsid w:val="009B21E5"/>
    <w:rsid w:val="009B289B"/>
    <w:rsid w:val="009B2ED2"/>
    <w:rsid w:val="009B3279"/>
    <w:rsid w:val="009B3333"/>
    <w:rsid w:val="009B34E0"/>
    <w:rsid w:val="009B3CED"/>
    <w:rsid w:val="009B44A3"/>
    <w:rsid w:val="009B68CE"/>
    <w:rsid w:val="009B7C62"/>
    <w:rsid w:val="009B7F41"/>
    <w:rsid w:val="009C082F"/>
    <w:rsid w:val="009C1182"/>
    <w:rsid w:val="009C11D0"/>
    <w:rsid w:val="009C1F85"/>
    <w:rsid w:val="009C3853"/>
    <w:rsid w:val="009C4507"/>
    <w:rsid w:val="009C59B6"/>
    <w:rsid w:val="009C5FCC"/>
    <w:rsid w:val="009C7D62"/>
    <w:rsid w:val="009D0449"/>
    <w:rsid w:val="009D0ABA"/>
    <w:rsid w:val="009D13DF"/>
    <w:rsid w:val="009D1B1F"/>
    <w:rsid w:val="009D1E0A"/>
    <w:rsid w:val="009D327E"/>
    <w:rsid w:val="009D3463"/>
    <w:rsid w:val="009D3E12"/>
    <w:rsid w:val="009D4825"/>
    <w:rsid w:val="009D68FA"/>
    <w:rsid w:val="009D7533"/>
    <w:rsid w:val="009D783D"/>
    <w:rsid w:val="009E1218"/>
    <w:rsid w:val="009E152E"/>
    <w:rsid w:val="009E2D22"/>
    <w:rsid w:val="009E2DCC"/>
    <w:rsid w:val="009E366B"/>
    <w:rsid w:val="009E4593"/>
    <w:rsid w:val="009E4635"/>
    <w:rsid w:val="009E4AFC"/>
    <w:rsid w:val="009E4D76"/>
    <w:rsid w:val="009E5345"/>
    <w:rsid w:val="009E57B8"/>
    <w:rsid w:val="009E5FED"/>
    <w:rsid w:val="009E6823"/>
    <w:rsid w:val="009E7103"/>
    <w:rsid w:val="009E7F13"/>
    <w:rsid w:val="009F34FC"/>
    <w:rsid w:val="009F3D24"/>
    <w:rsid w:val="009F421F"/>
    <w:rsid w:val="009F4590"/>
    <w:rsid w:val="009F4AA3"/>
    <w:rsid w:val="009F5AB2"/>
    <w:rsid w:val="009F6111"/>
    <w:rsid w:val="009F6260"/>
    <w:rsid w:val="009F6925"/>
    <w:rsid w:val="009F6A41"/>
    <w:rsid w:val="009F76DB"/>
    <w:rsid w:val="009F7B52"/>
    <w:rsid w:val="00A00403"/>
    <w:rsid w:val="00A004C1"/>
    <w:rsid w:val="00A00787"/>
    <w:rsid w:val="00A0093D"/>
    <w:rsid w:val="00A011DB"/>
    <w:rsid w:val="00A012E1"/>
    <w:rsid w:val="00A02C06"/>
    <w:rsid w:val="00A040B2"/>
    <w:rsid w:val="00A055A6"/>
    <w:rsid w:val="00A058A5"/>
    <w:rsid w:val="00A05D58"/>
    <w:rsid w:val="00A0600E"/>
    <w:rsid w:val="00A06219"/>
    <w:rsid w:val="00A06C53"/>
    <w:rsid w:val="00A07512"/>
    <w:rsid w:val="00A0782D"/>
    <w:rsid w:val="00A0789C"/>
    <w:rsid w:val="00A07F90"/>
    <w:rsid w:val="00A100EF"/>
    <w:rsid w:val="00A113EE"/>
    <w:rsid w:val="00A114D9"/>
    <w:rsid w:val="00A120B0"/>
    <w:rsid w:val="00A1259D"/>
    <w:rsid w:val="00A12766"/>
    <w:rsid w:val="00A12E43"/>
    <w:rsid w:val="00A13246"/>
    <w:rsid w:val="00A137EF"/>
    <w:rsid w:val="00A13A0B"/>
    <w:rsid w:val="00A15034"/>
    <w:rsid w:val="00A1523C"/>
    <w:rsid w:val="00A165F4"/>
    <w:rsid w:val="00A17509"/>
    <w:rsid w:val="00A2003D"/>
    <w:rsid w:val="00A21B3C"/>
    <w:rsid w:val="00A21E47"/>
    <w:rsid w:val="00A230EC"/>
    <w:rsid w:val="00A25039"/>
    <w:rsid w:val="00A254FD"/>
    <w:rsid w:val="00A259E1"/>
    <w:rsid w:val="00A25E24"/>
    <w:rsid w:val="00A26B8D"/>
    <w:rsid w:val="00A277F0"/>
    <w:rsid w:val="00A27AF5"/>
    <w:rsid w:val="00A30442"/>
    <w:rsid w:val="00A306DE"/>
    <w:rsid w:val="00A307B7"/>
    <w:rsid w:val="00A325EE"/>
    <w:rsid w:val="00A32CF2"/>
    <w:rsid w:val="00A332D7"/>
    <w:rsid w:val="00A34116"/>
    <w:rsid w:val="00A34135"/>
    <w:rsid w:val="00A3445D"/>
    <w:rsid w:val="00A34AF0"/>
    <w:rsid w:val="00A34C6C"/>
    <w:rsid w:val="00A362DB"/>
    <w:rsid w:val="00A365C1"/>
    <w:rsid w:val="00A3724A"/>
    <w:rsid w:val="00A373DB"/>
    <w:rsid w:val="00A377B1"/>
    <w:rsid w:val="00A379C4"/>
    <w:rsid w:val="00A4168B"/>
    <w:rsid w:val="00A429F7"/>
    <w:rsid w:val="00A43552"/>
    <w:rsid w:val="00A439AF"/>
    <w:rsid w:val="00A43CBB"/>
    <w:rsid w:val="00A443CE"/>
    <w:rsid w:val="00A4452E"/>
    <w:rsid w:val="00A45010"/>
    <w:rsid w:val="00A45112"/>
    <w:rsid w:val="00A4517F"/>
    <w:rsid w:val="00A459D0"/>
    <w:rsid w:val="00A45A00"/>
    <w:rsid w:val="00A45DBD"/>
    <w:rsid w:val="00A472B9"/>
    <w:rsid w:val="00A504CA"/>
    <w:rsid w:val="00A5091B"/>
    <w:rsid w:val="00A50A50"/>
    <w:rsid w:val="00A50E75"/>
    <w:rsid w:val="00A52280"/>
    <w:rsid w:val="00A53733"/>
    <w:rsid w:val="00A53E7E"/>
    <w:rsid w:val="00A5480A"/>
    <w:rsid w:val="00A5481D"/>
    <w:rsid w:val="00A54AB2"/>
    <w:rsid w:val="00A54FFC"/>
    <w:rsid w:val="00A56F5E"/>
    <w:rsid w:val="00A57787"/>
    <w:rsid w:val="00A579D7"/>
    <w:rsid w:val="00A57BB7"/>
    <w:rsid w:val="00A60BDC"/>
    <w:rsid w:val="00A610A0"/>
    <w:rsid w:val="00A6209F"/>
    <w:rsid w:val="00A624E4"/>
    <w:rsid w:val="00A625E6"/>
    <w:rsid w:val="00A65719"/>
    <w:rsid w:val="00A6579D"/>
    <w:rsid w:val="00A658AF"/>
    <w:rsid w:val="00A65EC2"/>
    <w:rsid w:val="00A66326"/>
    <w:rsid w:val="00A66404"/>
    <w:rsid w:val="00A669F0"/>
    <w:rsid w:val="00A66EE2"/>
    <w:rsid w:val="00A67D02"/>
    <w:rsid w:val="00A71B35"/>
    <w:rsid w:val="00A71ECC"/>
    <w:rsid w:val="00A73978"/>
    <w:rsid w:val="00A75403"/>
    <w:rsid w:val="00A75483"/>
    <w:rsid w:val="00A75860"/>
    <w:rsid w:val="00A76477"/>
    <w:rsid w:val="00A76BE7"/>
    <w:rsid w:val="00A76DCE"/>
    <w:rsid w:val="00A77B43"/>
    <w:rsid w:val="00A77C14"/>
    <w:rsid w:val="00A808FF"/>
    <w:rsid w:val="00A81951"/>
    <w:rsid w:val="00A81AD2"/>
    <w:rsid w:val="00A820F7"/>
    <w:rsid w:val="00A8212D"/>
    <w:rsid w:val="00A82806"/>
    <w:rsid w:val="00A82821"/>
    <w:rsid w:val="00A83339"/>
    <w:rsid w:val="00A83561"/>
    <w:rsid w:val="00A83566"/>
    <w:rsid w:val="00A83E0A"/>
    <w:rsid w:val="00A83FDB"/>
    <w:rsid w:val="00A84672"/>
    <w:rsid w:val="00A84AAB"/>
    <w:rsid w:val="00A8577B"/>
    <w:rsid w:val="00A8701E"/>
    <w:rsid w:val="00A90CF9"/>
    <w:rsid w:val="00A9215F"/>
    <w:rsid w:val="00A93120"/>
    <w:rsid w:val="00A94750"/>
    <w:rsid w:val="00A95CED"/>
    <w:rsid w:val="00A963E4"/>
    <w:rsid w:val="00AA0988"/>
    <w:rsid w:val="00AA0EC1"/>
    <w:rsid w:val="00AA2467"/>
    <w:rsid w:val="00AA2C88"/>
    <w:rsid w:val="00AA326A"/>
    <w:rsid w:val="00AA37B1"/>
    <w:rsid w:val="00AA475D"/>
    <w:rsid w:val="00AA483F"/>
    <w:rsid w:val="00AA4C76"/>
    <w:rsid w:val="00AA620C"/>
    <w:rsid w:val="00AA6A91"/>
    <w:rsid w:val="00AA7159"/>
    <w:rsid w:val="00AB02F9"/>
    <w:rsid w:val="00AB11C9"/>
    <w:rsid w:val="00AB24E1"/>
    <w:rsid w:val="00AB2547"/>
    <w:rsid w:val="00AB26CD"/>
    <w:rsid w:val="00AB371A"/>
    <w:rsid w:val="00AB3B9C"/>
    <w:rsid w:val="00AB3C11"/>
    <w:rsid w:val="00AB5F6D"/>
    <w:rsid w:val="00AB62B6"/>
    <w:rsid w:val="00AB6342"/>
    <w:rsid w:val="00AB7148"/>
    <w:rsid w:val="00AB7B5A"/>
    <w:rsid w:val="00AC1D7F"/>
    <w:rsid w:val="00AC24F5"/>
    <w:rsid w:val="00AC271A"/>
    <w:rsid w:val="00AC2E5A"/>
    <w:rsid w:val="00AC3549"/>
    <w:rsid w:val="00AC376D"/>
    <w:rsid w:val="00AC4334"/>
    <w:rsid w:val="00AC446C"/>
    <w:rsid w:val="00AC4A97"/>
    <w:rsid w:val="00AC5071"/>
    <w:rsid w:val="00AC5E65"/>
    <w:rsid w:val="00AC797B"/>
    <w:rsid w:val="00AD0B6B"/>
    <w:rsid w:val="00AD30D8"/>
    <w:rsid w:val="00AD3C1B"/>
    <w:rsid w:val="00AD4240"/>
    <w:rsid w:val="00AD6BB3"/>
    <w:rsid w:val="00AD7884"/>
    <w:rsid w:val="00AD7932"/>
    <w:rsid w:val="00AD7A7D"/>
    <w:rsid w:val="00AD7AD3"/>
    <w:rsid w:val="00AD7AFC"/>
    <w:rsid w:val="00AD7EBD"/>
    <w:rsid w:val="00AD7F0F"/>
    <w:rsid w:val="00AD7F6B"/>
    <w:rsid w:val="00AE0573"/>
    <w:rsid w:val="00AE064A"/>
    <w:rsid w:val="00AE0CAF"/>
    <w:rsid w:val="00AE1512"/>
    <w:rsid w:val="00AE20E3"/>
    <w:rsid w:val="00AE2374"/>
    <w:rsid w:val="00AE2E2C"/>
    <w:rsid w:val="00AE3CB6"/>
    <w:rsid w:val="00AE3D85"/>
    <w:rsid w:val="00AE3DAC"/>
    <w:rsid w:val="00AE4459"/>
    <w:rsid w:val="00AE57C6"/>
    <w:rsid w:val="00AE6CD6"/>
    <w:rsid w:val="00AE6F04"/>
    <w:rsid w:val="00AE70AC"/>
    <w:rsid w:val="00AE71FA"/>
    <w:rsid w:val="00AE7E41"/>
    <w:rsid w:val="00AF0DFA"/>
    <w:rsid w:val="00AF1B11"/>
    <w:rsid w:val="00AF203F"/>
    <w:rsid w:val="00AF2621"/>
    <w:rsid w:val="00AF26CD"/>
    <w:rsid w:val="00AF2B86"/>
    <w:rsid w:val="00AF2BCA"/>
    <w:rsid w:val="00AF3806"/>
    <w:rsid w:val="00AF383E"/>
    <w:rsid w:val="00AF40A0"/>
    <w:rsid w:val="00AF5326"/>
    <w:rsid w:val="00AF60D4"/>
    <w:rsid w:val="00AF6222"/>
    <w:rsid w:val="00AF644A"/>
    <w:rsid w:val="00AF65FF"/>
    <w:rsid w:val="00AF663B"/>
    <w:rsid w:val="00AF7C17"/>
    <w:rsid w:val="00AF7C70"/>
    <w:rsid w:val="00AF7F9B"/>
    <w:rsid w:val="00B008DE"/>
    <w:rsid w:val="00B00AF2"/>
    <w:rsid w:val="00B01DA5"/>
    <w:rsid w:val="00B02D44"/>
    <w:rsid w:val="00B0516A"/>
    <w:rsid w:val="00B059D3"/>
    <w:rsid w:val="00B05B14"/>
    <w:rsid w:val="00B05FDE"/>
    <w:rsid w:val="00B0620A"/>
    <w:rsid w:val="00B06775"/>
    <w:rsid w:val="00B06A9C"/>
    <w:rsid w:val="00B06B0F"/>
    <w:rsid w:val="00B10650"/>
    <w:rsid w:val="00B10B26"/>
    <w:rsid w:val="00B110B7"/>
    <w:rsid w:val="00B11181"/>
    <w:rsid w:val="00B11409"/>
    <w:rsid w:val="00B12458"/>
    <w:rsid w:val="00B13703"/>
    <w:rsid w:val="00B13B7F"/>
    <w:rsid w:val="00B13E62"/>
    <w:rsid w:val="00B13F50"/>
    <w:rsid w:val="00B14D52"/>
    <w:rsid w:val="00B16601"/>
    <w:rsid w:val="00B1674D"/>
    <w:rsid w:val="00B1677F"/>
    <w:rsid w:val="00B16C44"/>
    <w:rsid w:val="00B171E4"/>
    <w:rsid w:val="00B20654"/>
    <w:rsid w:val="00B2071C"/>
    <w:rsid w:val="00B208B9"/>
    <w:rsid w:val="00B20A32"/>
    <w:rsid w:val="00B2271E"/>
    <w:rsid w:val="00B2287B"/>
    <w:rsid w:val="00B23B13"/>
    <w:rsid w:val="00B242FA"/>
    <w:rsid w:val="00B24389"/>
    <w:rsid w:val="00B247DD"/>
    <w:rsid w:val="00B24916"/>
    <w:rsid w:val="00B26212"/>
    <w:rsid w:val="00B2645C"/>
    <w:rsid w:val="00B2709C"/>
    <w:rsid w:val="00B2723F"/>
    <w:rsid w:val="00B3078A"/>
    <w:rsid w:val="00B3174E"/>
    <w:rsid w:val="00B319DB"/>
    <w:rsid w:val="00B31FF4"/>
    <w:rsid w:val="00B322FC"/>
    <w:rsid w:val="00B32568"/>
    <w:rsid w:val="00B32A2A"/>
    <w:rsid w:val="00B3395A"/>
    <w:rsid w:val="00B344D9"/>
    <w:rsid w:val="00B34997"/>
    <w:rsid w:val="00B34C74"/>
    <w:rsid w:val="00B357A4"/>
    <w:rsid w:val="00B3642E"/>
    <w:rsid w:val="00B364EC"/>
    <w:rsid w:val="00B371B4"/>
    <w:rsid w:val="00B37224"/>
    <w:rsid w:val="00B3783B"/>
    <w:rsid w:val="00B37891"/>
    <w:rsid w:val="00B4035D"/>
    <w:rsid w:val="00B408F8"/>
    <w:rsid w:val="00B40A66"/>
    <w:rsid w:val="00B40BC6"/>
    <w:rsid w:val="00B434D8"/>
    <w:rsid w:val="00B436BD"/>
    <w:rsid w:val="00B4456E"/>
    <w:rsid w:val="00B447BA"/>
    <w:rsid w:val="00B45A91"/>
    <w:rsid w:val="00B45E18"/>
    <w:rsid w:val="00B46413"/>
    <w:rsid w:val="00B465E0"/>
    <w:rsid w:val="00B46A2C"/>
    <w:rsid w:val="00B47C5E"/>
    <w:rsid w:val="00B50A6D"/>
    <w:rsid w:val="00B51207"/>
    <w:rsid w:val="00B53E32"/>
    <w:rsid w:val="00B54424"/>
    <w:rsid w:val="00B553BF"/>
    <w:rsid w:val="00B559B4"/>
    <w:rsid w:val="00B55A5B"/>
    <w:rsid w:val="00B55B01"/>
    <w:rsid w:val="00B56DA6"/>
    <w:rsid w:val="00B57297"/>
    <w:rsid w:val="00B57CA2"/>
    <w:rsid w:val="00B57E3A"/>
    <w:rsid w:val="00B6171E"/>
    <w:rsid w:val="00B61815"/>
    <w:rsid w:val="00B62039"/>
    <w:rsid w:val="00B625BD"/>
    <w:rsid w:val="00B63200"/>
    <w:rsid w:val="00B633D0"/>
    <w:rsid w:val="00B6343C"/>
    <w:rsid w:val="00B63914"/>
    <w:rsid w:val="00B63B41"/>
    <w:rsid w:val="00B63D19"/>
    <w:rsid w:val="00B63F0B"/>
    <w:rsid w:val="00B643FB"/>
    <w:rsid w:val="00B646D0"/>
    <w:rsid w:val="00B6509E"/>
    <w:rsid w:val="00B65405"/>
    <w:rsid w:val="00B65678"/>
    <w:rsid w:val="00B65A61"/>
    <w:rsid w:val="00B65E1D"/>
    <w:rsid w:val="00B72651"/>
    <w:rsid w:val="00B72987"/>
    <w:rsid w:val="00B72EDD"/>
    <w:rsid w:val="00B74D84"/>
    <w:rsid w:val="00B750D4"/>
    <w:rsid w:val="00B75C18"/>
    <w:rsid w:val="00B75DD2"/>
    <w:rsid w:val="00B76082"/>
    <w:rsid w:val="00B7682F"/>
    <w:rsid w:val="00B77399"/>
    <w:rsid w:val="00B779B7"/>
    <w:rsid w:val="00B77CD8"/>
    <w:rsid w:val="00B8218A"/>
    <w:rsid w:val="00B82590"/>
    <w:rsid w:val="00B82AB5"/>
    <w:rsid w:val="00B83572"/>
    <w:rsid w:val="00B83A32"/>
    <w:rsid w:val="00B83E17"/>
    <w:rsid w:val="00B841BC"/>
    <w:rsid w:val="00B85151"/>
    <w:rsid w:val="00B8553B"/>
    <w:rsid w:val="00B86617"/>
    <w:rsid w:val="00B86AC6"/>
    <w:rsid w:val="00B87044"/>
    <w:rsid w:val="00B8741A"/>
    <w:rsid w:val="00B8782B"/>
    <w:rsid w:val="00B903D8"/>
    <w:rsid w:val="00B9093E"/>
    <w:rsid w:val="00B9118A"/>
    <w:rsid w:val="00B91790"/>
    <w:rsid w:val="00B93FDA"/>
    <w:rsid w:val="00B9510E"/>
    <w:rsid w:val="00B97000"/>
    <w:rsid w:val="00B979AC"/>
    <w:rsid w:val="00BA08BE"/>
    <w:rsid w:val="00BA1D9E"/>
    <w:rsid w:val="00BA20C6"/>
    <w:rsid w:val="00BA2F3C"/>
    <w:rsid w:val="00BA533D"/>
    <w:rsid w:val="00BA59E3"/>
    <w:rsid w:val="00BA5C50"/>
    <w:rsid w:val="00BA5DE9"/>
    <w:rsid w:val="00BA66B2"/>
    <w:rsid w:val="00BA6C1E"/>
    <w:rsid w:val="00BA710B"/>
    <w:rsid w:val="00BA74DA"/>
    <w:rsid w:val="00BA7747"/>
    <w:rsid w:val="00BB03D5"/>
    <w:rsid w:val="00BB0609"/>
    <w:rsid w:val="00BB083A"/>
    <w:rsid w:val="00BB0971"/>
    <w:rsid w:val="00BB09D6"/>
    <w:rsid w:val="00BB0AC8"/>
    <w:rsid w:val="00BB1616"/>
    <w:rsid w:val="00BB1952"/>
    <w:rsid w:val="00BB21FB"/>
    <w:rsid w:val="00BB475B"/>
    <w:rsid w:val="00BB4795"/>
    <w:rsid w:val="00BB4C71"/>
    <w:rsid w:val="00BB5E9C"/>
    <w:rsid w:val="00BB63A5"/>
    <w:rsid w:val="00BB6714"/>
    <w:rsid w:val="00BB673E"/>
    <w:rsid w:val="00BB739C"/>
    <w:rsid w:val="00BB7484"/>
    <w:rsid w:val="00BB77B9"/>
    <w:rsid w:val="00BB7A3E"/>
    <w:rsid w:val="00BC01B1"/>
    <w:rsid w:val="00BC072A"/>
    <w:rsid w:val="00BC12C7"/>
    <w:rsid w:val="00BC158C"/>
    <w:rsid w:val="00BC1C8A"/>
    <w:rsid w:val="00BC210F"/>
    <w:rsid w:val="00BC30CF"/>
    <w:rsid w:val="00BC3A46"/>
    <w:rsid w:val="00BC408D"/>
    <w:rsid w:val="00BC41AF"/>
    <w:rsid w:val="00BC4760"/>
    <w:rsid w:val="00BC4973"/>
    <w:rsid w:val="00BC6099"/>
    <w:rsid w:val="00BC638B"/>
    <w:rsid w:val="00BC6D1C"/>
    <w:rsid w:val="00BC7056"/>
    <w:rsid w:val="00BD0843"/>
    <w:rsid w:val="00BD09E8"/>
    <w:rsid w:val="00BD0EF2"/>
    <w:rsid w:val="00BD26A5"/>
    <w:rsid w:val="00BD2BDE"/>
    <w:rsid w:val="00BD2C99"/>
    <w:rsid w:val="00BD3454"/>
    <w:rsid w:val="00BD39C9"/>
    <w:rsid w:val="00BD3F9E"/>
    <w:rsid w:val="00BD4527"/>
    <w:rsid w:val="00BD5849"/>
    <w:rsid w:val="00BD5D8F"/>
    <w:rsid w:val="00BD5DB5"/>
    <w:rsid w:val="00BD67CF"/>
    <w:rsid w:val="00BD685E"/>
    <w:rsid w:val="00BD70CB"/>
    <w:rsid w:val="00BD7110"/>
    <w:rsid w:val="00BE0135"/>
    <w:rsid w:val="00BE0D26"/>
    <w:rsid w:val="00BE1713"/>
    <w:rsid w:val="00BE29F7"/>
    <w:rsid w:val="00BE2F41"/>
    <w:rsid w:val="00BE414C"/>
    <w:rsid w:val="00BE448E"/>
    <w:rsid w:val="00BE5415"/>
    <w:rsid w:val="00BE7345"/>
    <w:rsid w:val="00BE7CA5"/>
    <w:rsid w:val="00BF004B"/>
    <w:rsid w:val="00BF09B9"/>
    <w:rsid w:val="00BF2437"/>
    <w:rsid w:val="00BF29BA"/>
    <w:rsid w:val="00BF3786"/>
    <w:rsid w:val="00BF3D22"/>
    <w:rsid w:val="00BF4024"/>
    <w:rsid w:val="00BF4BE8"/>
    <w:rsid w:val="00BF6E2B"/>
    <w:rsid w:val="00BF724E"/>
    <w:rsid w:val="00C0197B"/>
    <w:rsid w:val="00C02771"/>
    <w:rsid w:val="00C028F0"/>
    <w:rsid w:val="00C03164"/>
    <w:rsid w:val="00C04212"/>
    <w:rsid w:val="00C05BF3"/>
    <w:rsid w:val="00C06F96"/>
    <w:rsid w:val="00C077E9"/>
    <w:rsid w:val="00C07E4C"/>
    <w:rsid w:val="00C10C53"/>
    <w:rsid w:val="00C116E6"/>
    <w:rsid w:val="00C11F5B"/>
    <w:rsid w:val="00C126BC"/>
    <w:rsid w:val="00C12CBD"/>
    <w:rsid w:val="00C13293"/>
    <w:rsid w:val="00C13809"/>
    <w:rsid w:val="00C13D8A"/>
    <w:rsid w:val="00C14AE1"/>
    <w:rsid w:val="00C14AFB"/>
    <w:rsid w:val="00C15B5F"/>
    <w:rsid w:val="00C15F36"/>
    <w:rsid w:val="00C168AE"/>
    <w:rsid w:val="00C17B65"/>
    <w:rsid w:val="00C17EF5"/>
    <w:rsid w:val="00C17F72"/>
    <w:rsid w:val="00C20539"/>
    <w:rsid w:val="00C20575"/>
    <w:rsid w:val="00C20A1A"/>
    <w:rsid w:val="00C21219"/>
    <w:rsid w:val="00C21FC4"/>
    <w:rsid w:val="00C225FB"/>
    <w:rsid w:val="00C227AD"/>
    <w:rsid w:val="00C23315"/>
    <w:rsid w:val="00C24A5B"/>
    <w:rsid w:val="00C25BFA"/>
    <w:rsid w:val="00C260E3"/>
    <w:rsid w:val="00C26855"/>
    <w:rsid w:val="00C26C36"/>
    <w:rsid w:val="00C270FA"/>
    <w:rsid w:val="00C274F7"/>
    <w:rsid w:val="00C27ED8"/>
    <w:rsid w:val="00C27FC0"/>
    <w:rsid w:val="00C30734"/>
    <w:rsid w:val="00C31949"/>
    <w:rsid w:val="00C31D3C"/>
    <w:rsid w:val="00C32497"/>
    <w:rsid w:val="00C32801"/>
    <w:rsid w:val="00C32A85"/>
    <w:rsid w:val="00C3301A"/>
    <w:rsid w:val="00C338AB"/>
    <w:rsid w:val="00C338FF"/>
    <w:rsid w:val="00C33C92"/>
    <w:rsid w:val="00C33F18"/>
    <w:rsid w:val="00C33F5D"/>
    <w:rsid w:val="00C34260"/>
    <w:rsid w:val="00C3476C"/>
    <w:rsid w:val="00C347AC"/>
    <w:rsid w:val="00C3512B"/>
    <w:rsid w:val="00C359C7"/>
    <w:rsid w:val="00C36345"/>
    <w:rsid w:val="00C40307"/>
    <w:rsid w:val="00C40850"/>
    <w:rsid w:val="00C408C4"/>
    <w:rsid w:val="00C40B3F"/>
    <w:rsid w:val="00C40B9A"/>
    <w:rsid w:val="00C40F4A"/>
    <w:rsid w:val="00C414FE"/>
    <w:rsid w:val="00C41DF7"/>
    <w:rsid w:val="00C42390"/>
    <w:rsid w:val="00C42DDB"/>
    <w:rsid w:val="00C42EFF"/>
    <w:rsid w:val="00C43304"/>
    <w:rsid w:val="00C43CE2"/>
    <w:rsid w:val="00C44873"/>
    <w:rsid w:val="00C44FC6"/>
    <w:rsid w:val="00C45602"/>
    <w:rsid w:val="00C46173"/>
    <w:rsid w:val="00C461CF"/>
    <w:rsid w:val="00C4713C"/>
    <w:rsid w:val="00C47909"/>
    <w:rsid w:val="00C509ED"/>
    <w:rsid w:val="00C5266B"/>
    <w:rsid w:val="00C53147"/>
    <w:rsid w:val="00C53727"/>
    <w:rsid w:val="00C53892"/>
    <w:rsid w:val="00C540F0"/>
    <w:rsid w:val="00C54905"/>
    <w:rsid w:val="00C54FE7"/>
    <w:rsid w:val="00C5520A"/>
    <w:rsid w:val="00C555C9"/>
    <w:rsid w:val="00C55B06"/>
    <w:rsid w:val="00C56F18"/>
    <w:rsid w:val="00C6033F"/>
    <w:rsid w:val="00C609DA"/>
    <w:rsid w:val="00C61879"/>
    <w:rsid w:val="00C622AF"/>
    <w:rsid w:val="00C625A4"/>
    <w:rsid w:val="00C627C6"/>
    <w:rsid w:val="00C63D32"/>
    <w:rsid w:val="00C6482A"/>
    <w:rsid w:val="00C65099"/>
    <w:rsid w:val="00C6509B"/>
    <w:rsid w:val="00C651BE"/>
    <w:rsid w:val="00C6554F"/>
    <w:rsid w:val="00C66B99"/>
    <w:rsid w:val="00C66C8A"/>
    <w:rsid w:val="00C66D02"/>
    <w:rsid w:val="00C67CED"/>
    <w:rsid w:val="00C67F23"/>
    <w:rsid w:val="00C70465"/>
    <w:rsid w:val="00C714D7"/>
    <w:rsid w:val="00C71663"/>
    <w:rsid w:val="00C73868"/>
    <w:rsid w:val="00C74011"/>
    <w:rsid w:val="00C74EFC"/>
    <w:rsid w:val="00C756E7"/>
    <w:rsid w:val="00C7654E"/>
    <w:rsid w:val="00C76BBA"/>
    <w:rsid w:val="00C775E9"/>
    <w:rsid w:val="00C77BDF"/>
    <w:rsid w:val="00C8021C"/>
    <w:rsid w:val="00C81C5A"/>
    <w:rsid w:val="00C82708"/>
    <w:rsid w:val="00C836A5"/>
    <w:rsid w:val="00C83833"/>
    <w:rsid w:val="00C84DBA"/>
    <w:rsid w:val="00C851EB"/>
    <w:rsid w:val="00C852A4"/>
    <w:rsid w:val="00C87EBC"/>
    <w:rsid w:val="00C9163D"/>
    <w:rsid w:val="00C91649"/>
    <w:rsid w:val="00C92874"/>
    <w:rsid w:val="00C92C92"/>
    <w:rsid w:val="00C92FEA"/>
    <w:rsid w:val="00C93BB9"/>
    <w:rsid w:val="00C94F86"/>
    <w:rsid w:val="00C95AFF"/>
    <w:rsid w:val="00C96ACA"/>
    <w:rsid w:val="00CA04EE"/>
    <w:rsid w:val="00CA0748"/>
    <w:rsid w:val="00CA0E1E"/>
    <w:rsid w:val="00CA1133"/>
    <w:rsid w:val="00CA249B"/>
    <w:rsid w:val="00CA3CB4"/>
    <w:rsid w:val="00CA4C5A"/>
    <w:rsid w:val="00CA6B6B"/>
    <w:rsid w:val="00CA7985"/>
    <w:rsid w:val="00CA7F1C"/>
    <w:rsid w:val="00CB0183"/>
    <w:rsid w:val="00CB03D3"/>
    <w:rsid w:val="00CB08B4"/>
    <w:rsid w:val="00CB17E6"/>
    <w:rsid w:val="00CB2E41"/>
    <w:rsid w:val="00CB304A"/>
    <w:rsid w:val="00CB3202"/>
    <w:rsid w:val="00CB376B"/>
    <w:rsid w:val="00CB3B25"/>
    <w:rsid w:val="00CB51C5"/>
    <w:rsid w:val="00CB533B"/>
    <w:rsid w:val="00CB542F"/>
    <w:rsid w:val="00CB58F9"/>
    <w:rsid w:val="00CB6050"/>
    <w:rsid w:val="00CB7D3E"/>
    <w:rsid w:val="00CB7D5C"/>
    <w:rsid w:val="00CC09E7"/>
    <w:rsid w:val="00CC0B5F"/>
    <w:rsid w:val="00CC0F47"/>
    <w:rsid w:val="00CC11FE"/>
    <w:rsid w:val="00CC2C1D"/>
    <w:rsid w:val="00CC3514"/>
    <w:rsid w:val="00CC366C"/>
    <w:rsid w:val="00CC4145"/>
    <w:rsid w:val="00CC4399"/>
    <w:rsid w:val="00CC5E8E"/>
    <w:rsid w:val="00CC63EA"/>
    <w:rsid w:val="00CC6B75"/>
    <w:rsid w:val="00CC7A8E"/>
    <w:rsid w:val="00CD117C"/>
    <w:rsid w:val="00CD17FE"/>
    <w:rsid w:val="00CD1BBF"/>
    <w:rsid w:val="00CD2E54"/>
    <w:rsid w:val="00CD3384"/>
    <w:rsid w:val="00CD3DB9"/>
    <w:rsid w:val="00CD3E18"/>
    <w:rsid w:val="00CD4350"/>
    <w:rsid w:val="00CD4A59"/>
    <w:rsid w:val="00CD67FD"/>
    <w:rsid w:val="00CD6C90"/>
    <w:rsid w:val="00CD788E"/>
    <w:rsid w:val="00CD7A37"/>
    <w:rsid w:val="00CD7B65"/>
    <w:rsid w:val="00CE0912"/>
    <w:rsid w:val="00CE171E"/>
    <w:rsid w:val="00CE2528"/>
    <w:rsid w:val="00CE2A03"/>
    <w:rsid w:val="00CE4139"/>
    <w:rsid w:val="00CE46C2"/>
    <w:rsid w:val="00CE58E5"/>
    <w:rsid w:val="00CE644B"/>
    <w:rsid w:val="00CE669C"/>
    <w:rsid w:val="00CE735F"/>
    <w:rsid w:val="00CE75EC"/>
    <w:rsid w:val="00CE7B19"/>
    <w:rsid w:val="00CF000E"/>
    <w:rsid w:val="00CF04E3"/>
    <w:rsid w:val="00CF0A24"/>
    <w:rsid w:val="00CF1C5D"/>
    <w:rsid w:val="00CF2075"/>
    <w:rsid w:val="00CF2442"/>
    <w:rsid w:val="00CF3742"/>
    <w:rsid w:val="00CF3A14"/>
    <w:rsid w:val="00CF4071"/>
    <w:rsid w:val="00CF4DAB"/>
    <w:rsid w:val="00CF5591"/>
    <w:rsid w:val="00CF58C9"/>
    <w:rsid w:val="00CF5E69"/>
    <w:rsid w:val="00CF761D"/>
    <w:rsid w:val="00D00EB7"/>
    <w:rsid w:val="00D00EBB"/>
    <w:rsid w:val="00D01C47"/>
    <w:rsid w:val="00D01D84"/>
    <w:rsid w:val="00D027A9"/>
    <w:rsid w:val="00D03420"/>
    <w:rsid w:val="00D0548D"/>
    <w:rsid w:val="00D057DC"/>
    <w:rsid w:val="00D05916"/>
    <w:rsid w:val="00D05BD8"/>
    <w:rsid w:val="00D05C94"/>
    <w:rsid w:val="00D0688C"/>
    <w:rsid w:val="00D06D92"/>
    <w:rsid w:val="00D078F6"/>
    <w:rsid w:val="00D07BBE"/>
    <w:rsid w:val="00D110DA"/>
    <w:rsid w:val="00D11D24"/>
    <w:rsid w:val="00D121A1"/>
    <w:rsid w:val="00D146AE"/>
    <w:rsid w:val="00D14B4F"/>
    <w:rsid w:val="00D15996"/>
    <w:rsid w:val="00D16ACA"/>
    <w:rsid w:val="00D16B7E"/>
    <w:rsid w:val="00D175B5"/>
    <w:rsid w:val="00D17E33"/>
    <w:rsid w:val="00D20222"/>
    <w:rsid w:val="00D20328"/>
    <w:rsid w:val="00D205E5"/>
    <w:rsid w:val="00D211BA"/>
    <w:rsid w:val="00D22830"/>
    <w:rsid w:val="00D2285E"/>
    <w:rsid w:val="00D22C89"/>
    <w:rsid w:val="00D23C0E"/>
    <w:rsid w:val="00D24B58"/>
    <w:rsid w:val="00D25AC9"/>
    <w:rsid w:val="00D25E38"/>
    <w:rsid w:val="00D2653F"/>
    <w:rsid w:val="00D27945"/>
    <w:rsid w:val="00D27ECB"/>
    <w:rsid w:val="00D31531"/>
    <w:rsid w:val="00D31A17"/>
    <w:rsid w:val="00D31D29"/>
    <w:rsid w:val="00D32193"/>
    <w:rsid w:val="00D3256B"/>
    <w:rsid w:val="00D325BA"/>
    <w:rsid w:val="00D3398F"/>
    <w:rsid w:val="00D339AF"/>
    <w:rsid w:val="00D33F94"/>
    <w:rsid w:val="00D340F5"/>
    <w:rsid w:val="00D34BAC"/>
    <w:rsid w:val="00D34F0E"/>
    <w:rsid w:val="00D3586A"/>
    <w:rsid w:val="00D36B67"/>
    <w:rsid w:val="00D412A8"/>
    <w:rsid w:val="00D41671"/>
    <w:rsid w:val="00D41E20"/>
    <w:rsid w:val="00D41F29"/>
    <w:rsid w:val="00D428C9"/>
    <w:rsid w:val="00D42A75"/>
    <w:rsid w:val="00D42C76"/>
    <w:rsid w:val="00D43F11"/>
    <w:rsid w:val="00D4423C"/>
    <w:rsid w:val="00D45913"/>
    <w:rsid w:val="00D46339"/>
    <w:rsid w:val="00D46C92"/>
    <w:rsid w:val="00D4718A"/>
    <w:rsid w:val="00D47857"/>
    <w:rsid w:val="00D47F11"/>
    <w:rsid w:val="00D51521"/>
    <w:rsid w:val="00D515A4"/>
    <w:rsid w:val="00D518F2"/>
    <w:rsid w:val="00D5199B"/>
    <w:rsid w:val="00D53B02"/>
    <w:rsid w:val="00D548CD"/>
    <w:rsid w:val="00D5497C"/>
    <w:rsid w:val="00D54AA7"/>
    <w:rsid w:val="00D54FB5"/>
    <w:rsid w:val="00D5518D"/>
    <w:rsid w:val="00D5528D"/>
    <w:rsid w:val="00D5586D"/>
    <w:rsid w:val="00D55D9D"/>
    <w:rsid w:val="00D573A0"/>
    <w:rsid w:val="00D578F3"/>
    <w:rsid w:val="00D6080B"/>
    <w:rsid w:val="00D60C4D"/>
    <w:rsid w:val="00D60EEE"/>
    <w:rsid w:val="00D60F7B"/>
    <w:rsid w:val="00D61065"/>
    <w:rsid w:val="00D62464"/>
    <w:rsid w:val="00D624C1"/>
    <w:rsid w:val="00D62DFA"/>
    <w:rsid w:val="00D6452F"/>
    <w:rsid w:val="00D647DB"/>
    <w:rsid w:val="00D64DE3"/>
    <w:rsid w:val="00D66013"/>
    <w:rsid w:val="00D66797"/>
    <w:rsid w:val="00D66E24"/>
    <w:rsid w:val="00D679F7"/>
    <w:rsid w:val="00D7099D"/>
    <w:rsid w:val="00D70A41"/>
    <w:rsid w:val="00D70C31"/>
    <w:rsid w:val="00D7174C"/>
    <w:rsid w:val="00D719A6"/>
    <w:rsid w:val="00D720D5"/>
    <w:rsid w:val="00D72689"/>
    <w:rsid w:val="00D726DB"/>
    <w:rsid w:val="00D72EB6"/>
    <w:rsid w:val="00D72F8A"/>
    <w:rsid w:val="00D7301B"/>
    <w:rsid w:val="00D73369"/>
    <w:rsid w:val="00D77037"/>
    <w:rsid w:val="00D772E3"/>
    <w:rsid w:val="00D779B6"/>
    <w:rsid w:val="00D8070A"/>
    <w:rsid w:val="00D807E6"/>
    <w:rsid w:val="00D80843"/>
    <w:rsid w:val="00D80F6D"/>
    <w:rsid w:val="00D81946"/>
    <w:rsid w:val="00D82566"/>
    <w:rsid w:val="00D82AD7"/>
    <w:rsid w:val="00D82F38"/>
    <w:rsid w:val="00D8306A"/>
    <w:rsid w:val="00D834EF"/>
    <w:rsid w:val="00D83543"/>
    <w:rsid w:val="00D83DE1"/>
    <w:rsid w:val="00D84706"/>
    <w:rsid w:val="00D84F64"/>
    <w:rsid w:val="00D85CEB"/>
    <w:rsid w:val="00D87696"/>
    <w:rsid w:val="00D90160"/>
    <w:rsid w:val="00D901EB"/>
    <w:rsid w:val="00D903CE"/>
    <w:rsid w:val="00D90BCC"/>
    <w:rsid w:val="00D90DBD"/>
    <w:rsid w:val="00D91871"/>
    <w:rsid w:val="00D92178"/>
    <w:rsid w:val="00D93052"/>
    <w:rsid w:val="00D9388F"/>
    <w:rsid w:val="00D93DBC"/>
    <w:rsid w:val="00D94084"/>
    <w:rsid w:val="00D942D8"/>
    <w:rsid w:val="00D94696"/>
    <w:rsid w:val="00D94BCC"/>
    <w:rsid w:val="00D94CF1"/>
    <w:rsid w:val="00D9506B"/>
    <w:rsid w:val="00D95329"/>
    <w:rsid w:val="00D95701"/>
    <w:rsid w:val="00D96144"/>
    <w:rsid w:val="00D9617B"/>
    <w:rsid w:val="00D9637A"/>
    <w:rsid w:val="00D97037"/>
    <w:rsid w:val="00D97D8A"/>
    <w:rsid w:val="00DA05E0"/>
    <w:rsid w:val="00DA096A"/>
    <w:rsid w:val="00DA38B3"/>
    <w:rsid w:val="00DA568D"/>
    <w:rsid w:val="00DA61D9"/>
    <w:rsid w:val="00DA70E1"/>
    <w:rsid w:val="00DA7D4C"/>
    <w:rsid w:val="00DB01EB"/>
    <w:rsid w:val="00DB12B1"/>
    <w:rsid w:val="00DB2687"/>
    <w:rsid w:val="00DB41C9"/>
    <w:rsid w:val="00DB43F2"/>
    <w:rsid w:val="00DB5937"/>
    <w:rsid w:val="00DB5C26"/>
    <w:rsid w:val="00DC01BD"/>
    <w:rsid w:val="00DC0402"/>
    <w:rsid w:val="00DC09D9"/>
    <w:rsid w:val="00DC0C53"/>
    <w:rsid w:val="00DC0D17"/>
    <w:rsid w:val="00DC209F"/>
    <w:rsid w:val="00DC2881"/>
    <w:rsid w:val="00DC4543"/>
    <w:rsid w:val="00DC4932"/>
    <w:rsid w:val="00DC4A84"/>
    <w:rsid w:val="00DC4DDB"/>
    <w:rsid w:val="00DC556F"/>
    <w:rsid w:val="00DC5FFD"/>
    <w:rsid w:val="00DC663F"/>
    <w:rsid w:val="00DC6CA2"/>
    <w:rsid w:val="00DC741A"/>
    <w:rsid w:val="00DD0545"/>
    <w:rsid w:val="00DD067F"/>
    <w:rsid w:val="00DD1499"/>
    <w:rsid w:val="00DD1C78"/>
    <w:rsid w:val="00DD1FF5"/>
    <w:rsid w:val="00DD21A7"/>
    <w:rsid w:val="00DD28A4"/>
    <w:rsid w:val="00DD39F8"/>
    <w:rsid w:val="00DD41C4"/>
    <w:rsid w:val="00DD4EA2"/>
    <w:rsid w:val="00DD4FAD"/>
    <w:rsid w:val="00DD5399"/>
    <w:rsid w:val="00DD54FB"/>
    <w:rsid w:val="00DD6BB4"/>
    <w:rsid w:val="00DD6FDF"/>
    <w:rsid w:val="00DE072B"/>
    <w:rsid w:val="00DE3057"/>
    <w:rsid w:val="00DE3FB3"/>
    <w:rsid w:val="00DE509E"/>
    <w:rsid w:val="00DE5C63"/>
    <w:rsid w:val="00DE61CD"/>
    <w:rsid w:val="00DE6489"/>
    <w:rsid w:val="00DE6BD1"/>
    <w:rsid w:val="00DE7593"/>
    <w:rsid w:val="00DF03B2"/>
    <w:rsid w:val="00DF0A54"/>
    <w:rsid w:val="00DF155D"/>
    <w:rsid w:val="00DF1705"/>
    <w:rsid w:val="00DF1916"/>
    <w:rsid w:val="00DF2BBF"/>
    <w:rsid w:val="00DF3EEC"/>
    <w:rsid w:val="00DF469A"/>
    <w:rsid w:val="00DF4B39"/>
    <w:rsid w:val="00DF4B83"/>
    <w:rsid w:val="00DF5C73"/>
    <w:rsid w:val="00DF5F02"/>
    <w:rsid w:val="00DF6B72"/>
    <w:rsid w:val="00DF702E"/>
    <w:rsid w:val="00DF706D"/>
    <w:rsid w:val="00DF7377"/>
    <w:rsid w:val="00E00792"/>
    <w:rsid w:val="00E00900"/>
    <w:rsid w:val="00E01043"/>
    <w:rsid w:val="00E01559"/>
    <w:rsid w:val="00E01752"/>
    <w:rsid w:val="00E02265"/>
    <w:rsid w:val="00E0339F"/>
    <w:rsid w:val="00E033F9"/>
    <w:rsid w:val="00E05030"/>
    <w:rsid w:val="00E0525F"/>
    <w:rsid w:val="00E05C91"/>
    <w:rsid w:val="00E05D47"/>
    <w:rsid w:val="00E070B5"/>
    <w:rsid w:val="00E07563"/>
    <w:rsid w:val="00E07702"/>
    <w:rsid w:val="00E07FBB"/>
    <w:rsid w:val="00E10066"/>
    <w:rsid w:val="00E101C5"/>
    <w:rsid w:val="00E11E17"/>
    <w:rsid w:val="00E13777"/>
    <w:rsid w:val="00E13CC9"/>
    <w:rsid w:val="00E13E8F"/>
    <w:rsid w:val="00E14004"/>
    <w:rsid w:val="00E1478E"/>
    <w:rsid w:val="00E14B04"/>
    <w:rsid w:val="00E1598B"/>
    <w:rsid w:val="00E15C0B"/>
    <w:rsid w:val="00E160EF"/>
    <w:rsid w:val="00E1613C"/>
    <w:rsid w:val="00E1749E"/>
    <w:rsid w:val="00E17A5A"/>
    <w:rsid w:val="00E17CFB"/>
    <w:rsid w:val="00E20F1D"/>
    <w:rsid w:val="00E2114B"/>
    <w:rsid w:val="00E219B9"/>
    <w:rsid w:val="00E22450"/>
    <w:rsid w:val="00E23784"/>
    <w:rsid w:val="00E25431"/>
    <w:rsid w:val="00E25BD5"/>
    <w:rsid w:val="00E2751E"/>
    <w:rsid w:val="00E27640"/>
    <w:rsid w:val="00E27F58"/>
    <w:rsid w:val="00E30716"/>
    <w:rsid w:val="00E30D9C"/>
    <w:rsid w:val="00E30F45"/>
    <w:rsid w:val="00E30FC7"/>
    <w:rsid w:val="00E31069"/>
    <w:rsid w:val="00E31596"/>
    <w:rsid w:val="00E32D12"/>
    <w:rsid w:val="00E32F95"/>
    <w:rsid w:val="00E33E33"/>
    <w:rsid w:val="00E35466"/>
    <w:rsid w:val="00E35C1B"/>
    <w:rsid w:val="00E35DDC"/>
    <w:rsid w:val="00E36129"/>
    <w:rsid w:val="00E37F68"/>
    <w:rsid w:val="00E40A0F"/>
    <w:rsid w:val="00E41375"/>
    <w:rsid w:val="00E414ED"/>
    <w:rsid w:val="00E42ECB"/>
    <w:rsid w:val="00E43BEF"/>
    <w:rsid w:val="00E43C23"/>
    <w:rsid w:val="00E44B24"/>
    <w:rsid w:val="00E46C18"/>
    <w:rsid w:val="00E478FC"/>
    <w:rsid w:val="00E50815"/>
    <w:rsid w:val="00E510DF"/>
    <w:rsid w:val="00E51E94"/>
    <w:rsid w:val="00E5265F"/>
    <w:rsid w:val="00E53209"/>
    <w:rsid w:val="00E54A8E"/>
    <w:rsid w:val="00E54CD5"/>
    <w:rsid w:val="00E54F91"/>
    <w:rsid w:val="00E557FA"/>
    <w:rsid w:val="00E558BC"/>
    <w:rsid w:val="00E56F7E"/>
    <w:rsid w:val="00E57C5E"/>
    <w:rsid w:val="00E60948"/>
    <w:rsid w:val="00E618CD"/>
    <w:rsid w:val="00E620F7"/>
    <w:rsid w:val="00E6391E"/>
    <w:rsid w:val="00E66C00"/>
    <w:rsid w:val="00E66D04"/>
    <w:rsid w:val="00E70493"/>
    <w:rsid w:val="00E7063E"/>
    <w:rsid w:val="00E7105A"/>
    <w:rsid w:val="00E710D3"/>
    <w:rsid w:val="00E7182D"/>
    <w:rsid w:val="00E71E76"/>
    <w:rsid w:val="00E72394"/>
    <w:rsid w:val="00E72B84"/>
    <w:rsid w:val="00E72EAD"/>
    <w:rsid w:val="00E72F66"/>
    <w:rsid w:val="00E73A72"/>
    <w:rsid w:val="00E757BA"/>
    <w:rsid w:val="00E76D02"/>
    <w:rsid w:val="00E77971"/>
    <w:rsid w:val="00E80BAA"/>
    <w:rsid w:val="00E80E40"/>
    <w:rsid w:val="00E81696"/>
    <w:rsid w:val="00E81D19"/>
    <w:rsid w:val="00E81DB0"/>
    <w:rsid w:val="00E82CA7"/>
    <w:rsid w:val="00E831C5"/>
    <w:rsid w:val="00E83840"/>
    <w:rsid w:val="00E84E85"/>
    <w:rsid w:val="00E85102"/>
    <w:rsid w:val="00E85C46"/>
    <w:rsid w:val="00E85F52"/>
    <w:rsid w:val="00E86C33"/>
    <w:rsid w:val="00E879E2"/>
    <w:rsid w:val="00E90654"/>
    <w:rsid w:val="00E90EC9"/>
    <w:rsid w:val="00E917B7"/>
    <w:rsid w:val="00E9249B"/>
    <w:rsid w:val="00E92647"/>
    <w:rsid w:val="00E92AE1"/>
    <w:rsid w:val="00E92E6B"/>
    <w:rsid w:val="00E93832"/>
    <w:rsid w:val="00E94061"/>
    <w:rsid w:val="00E9599F"/>
    <w:rsid w:val="00E9654A"/>
    <w:rsid w:val="00E96B89"/>
    <w:rsid w:val="00E96D67"/>
    <w:rsid w:val="00EA0D45"/>
    <w:rsid w:val="00EA0EB2"/>
    <w:rsid w:val="00EA1B24"/>
    <w:rsid w:val="00EA339D"/>
    <w:rsid w:val="00EA5185"/>
    <w:rsid w:val="00EA6271"/>
    <w:rsid w:val="00EA718D"/>
    <w:rsid w:val="00EA7995"/>
    <w:rsid w:val="00EB0AC6"/>
    <w:rsid w:val="00EB0EED"/>
    <w:rsid w:val="00EB1768"/>
    <w:rsid w:val="00EB205A"/>
    <w:rsid w:val="00EB2285"/>
    <w:rsid w:val="00EB2C79"/>
    <w:rsid w:val="00EB3B06"/>
    <w:rsid w:val="00EB3BEF"/>
    <w:rsid w:val="00EB67B8"/>
    <w:rsid w:val="00EB6CA6"/>
    <w:rsid w:val="00EB7114"/>
    <w:rsid w:val="00EC196F"/>
    <w:rsid w:val="00EC1A5E"/>
    <w:rsid w:val="00EC23F8"/>
    <w:rsid w:val="00EC2555"/>
    <w:rsid w:val="00EC30FF"/>
    <w:rsid w:val="00EC31BC"/>
    <w:rsid w:val="00EC3235"/>
    <w:rsid w:val="00EC3342"/>
    <w:rsid w:val="00EC3CC0"/>
    <w:rsid w:val="00EC3DDB"/>
    <w:rsid w:val="00EC3F2B"/>
    <w:rsid w:val="00EC403D"/>
    <w:rsid w:val="00EC428B"/>
    <w:rsid w:val="00EC4A1F"/>
    <w:rsid w:val="00EC64A2"/>
    <w:rsid w:val="00EC65FF"/>
    <w:rsid w:val="00EC7011"/>
    <w:rsid w:val="00ED004D"/>
    <w:rsid w:val="00ED0C7F"/>
    <w:rsid w:val="00ED2426"/>
    <w:rsid w:val="00ED25F1"/>
    <w:rsid w:val="00ED2F55"/>
    <w:rsid w:val="00ED3B16"/>
    <w:rsid w:val="00ED44CB"/>
    <w:rsid w:val="00ED52D9"/>
    <w:rsid w:val="00ED56E5"/>
    <w:rsid w:val="00ED5C18"/>
    <w:rsid w:val="00ED6901"/>
    <w:rsid w:val="00ED6DB4"/>
    <w:rsid w:val="00ED6EFB"/>
    <w:rsid w:val="00ED7016"/>
    <w:rsid w:val="00ED704B"/>
    <w:rsid w:val="00EE1FF0"/>
    <w:rsid w:val="00EE2189"/>
    <w:rsid w:val="00EE38F6"/>
    <w:rsid w:val="00EE3D9B"/>
    <w:rsid w:val="00EE4D34"/>
    <w:rsid w:val="00EE55C0"/>
    <w:rsid w:val="00EE70A7"/>
    <w:rsid w:val="00EE7366"/>
    <w:rsid w:val="00EF09A7"/>
    <w:rsid w:val="00EF0D64"/>
    <w:rsid w:val="00EF1640"/>
    <w:rsid w:val="00EF1ED5"/>
    <w:rsid w:val="00EF2497"/>
    <w:rsid w:val="00EF2F8F"/>
    <w:rsid w:val="00EF39CB"/>
    <w:rsid w:val="00EF39E5"/>
    <w:rsid w:val="00EF42EA"/>
    <w:rsid w:val="00EF4B56"/>
    <w:rsid w:val="00EF598C"/>
    <w:rsid w:val="00EF6254"/>
    <w:rsid w:val="00EF6891"/>
    <w:rsid w:val="00EF6FEA"/>
    <w:rsid w:val="00EF74B7"/>
    <w:rsid w:val="00EF76A0"/>
    <w:rsid w:val="00EF79D1"/>
    <w:rsid w:val="00EF7E26"/>
    <w:rsid w:val="00F01523"/>
    <w:rsid w:val="00F01BCD"/>
    <w:rsid w:val="00F01E3D"/>
    <w:rsid w:val="00F02649"/>
    <w:rsid w:val="00F02897"/>
    <w:rsid w:val="00F04FED"/>
    <w:rsid w:val="00F05EF2"/>
    <w:rsid w:val="00F07098"/>
    <w:rsid w:val="00F07761"/>
    <w:rsid w:val="00F0778A"/>
    <w:rsid w:val="00F07C94"/>
    <w:rsid w:val="00F11305"/>
    <w:rsid w:val="00F11B73"/>
    <w:rsid w:val="00F11F70"/>
    <w:rsid w:val="00F12AC4"/>
    <w:rsid w:val="00F13760"/>
    <w:rsid w:val="00F149DE"/>
    <w:rsid w:val="00F14A23"/>
    <w:rsid w:val="00F15712"/>
    <w:rsid w:val="00F17EE8"/>
    <w:rsid w:val="00F20158"/>
    <w:rsid w:val="00F203A7"/>
    <w:rsid w:val="00F218FA"/>
    <w:rsid w:val="00F23063"/>
    <w:rsid w:val="00F23751"/>
    <w:rsid w:val="00F23C21"/>
    <w:rsid w:val="00F247E7"/>
    <w:rsid w:val="00F24ABF"/>
    <w:rsid w:val="00F25294"/>
    <w:rsid w:val="00F25A4E"/>
    <w:rsid w:val="00F26425"/>
    <w:rsid w:val="00F26B8F"/>
    <w:rsid w:val="00F27141"/>
    <w:rsid w:val="00F2794E"/>
    <w:rsid w:val="00F32123"/>
    <w:rsid w:val="00F3290E"/>
    <w:rsid w:val="00F32C52"/>
    <w:rsid w:val="00F335B3"/>
    <w:rsid w:val="00F3388E"/>
    <w:rsid w:val="00F34285"/>
    <w:rsid w:val="00F369E3"/>
    <w:rsid w:val="00F36DF8"/>
    <w:rsid w:val="00F3770F"/>
    <w:rsid w:val="00F37EED"/>
    <w:rsid w:val="00F37F68"/>
    <w:rsid w:val="00F40163"/>
    <w:rsid w:val="00F4060B"/>
    <w:rsid w:val="00F40648"/>
    <w:rsid w:val="00F40EB9"/>
    <w:rsid w:val="00F4141B"/>
    <w:rsid w:val="00F418B6"/>
    <w:rsid w:val="00F41D91"/>
    <w:rsid w:val="00F41E55"/>
    <w:rsid w:val="00F42802"/>
    <w:rsid w:val="00F458A7"/>
    <w:rsid w:val="00F46E59"/>
    <w:rsid w:val="00F4778B"/>
    <w:rsid w:val="00F5064C"/>
    <w:rsid w:val="00F5099D"/>
    <w:rsid w:val="00F50A62"/>
    <w:rsid w:val="00F51098"/>
    <w:rsid w:val="00F51613"/>
    <w:rsid w:val="00F5191C"/>
    <w:rsid w:val="00F53B44"/>
    <w:rsid w:val="00F54269"/>
    <w:rsid w:val="00F542E8"/>
    <w:rsid w:val="00F54C84"/>
    <w:rsid w:val="00F552DC"/>
    <w:rsid w:val="00F55A9D"/>
    <w:rsid w:val="00F56770"/>
    <w:rsid w:val="00F568A2"/>
    <w:rsid w:val="00F57669"/>
    <w:rsid w:val="00F60DFE"/>
    <w:rsid w:val="00F6111C"/>
    <w:rsid w:val="00F6161E"/>
    <w:rsid w:val="00F61FF7"/>
    <w:rsid w:val="00F628E8"/>
    <w:rsid w:val="00F629D2"/>
    <w:rsid w:val="00F62E64"/>
    <w:rsid w:val="00F63043"/>
    <w:rsid w:val="00F63715"/>
    <w:rsid w:val="00F639AD"/>
    <w:rsid w:val="00F64C4E"/>
    <w:rsid w:val="00F64E4C"/>
    <w:rsid w:val="00F65400"/>
    <w:rsid w:val="00F6634D"/>
    <w:rsid w:val="00F66737"/>
    <w:rsid w:val="00F6702D"/>
    <w:rsid w:val="00F701DB"/>
    <w:rsid w:val="00F7167A"/>
    <w:rsid w:val="00F71B99"/>
    <w:rsid w:val="00F72D64"/>
    <w:rsid w:val="00F73E84"/>
    <w:rsid w:val="00F74ABA"/>
    <w:rsid w:val="00F74D52"/>
    <w:rsid w:val="00F74F05"/>
    <w:rsid w:val="00F75177"/>
    <w:rsid w:val="00F7553D"/>
    <w:rsid w:val="00F7684C"/>
    <w:rsid w:val="00F7725F"/>
    <w:rsid w:val="00F77CB6"/>
    <w:rsid w:val="00F77CC1"/>
    <w:rsid w:val="00F803D9"/>
    <w:rsid w:val="00F80B71"/>
    <w:rsid w:val="00F80F20"/>
    <w:rsid w:val="00F81CEB"/>
    <w:rsid w:val="00F82956"/>
    <w:rsid w:val="00F82A64"/>
    <w:rsid w:val="00F82E8F"/>
    <w:rsid w:val="00F8357A"/>
    <w:rsid w:val="00F8449C"/>
    <w:rsid w:val="00F8552B"/>
    <w:rsid w:val="00F85758"/>
    <w:rsid w:val="00F85CCD"/>
    <w:rsid w:val="00F86B6E"/>
    <w:rsid w:val="00F875B9"/>
    <w:rsid w:val="00F879F8"/>
    <w:rsid w:val="00F90C10"/>
    <w:rsid w:val="00F90F5F"/>
    <w:rsid w:val="00F911EA"/>
    <w:rsid w:val="00F91B89"/>
    <w:rsid w:val="00F91E58"/>
    <w:rsid w:val="00F91EEE"/>
    <w:rsid w:val="00F93832"/>
    <w:rsid w:val="00F93E92"/>
    <w:rsid w:val="00F940A5"/>
    <w:rsid w:val="00F9572A"/>
    <w:rsid w:val="00F961F2"/>
    <w:rsid w:val="00F9673C"/>
    <w:rsid w:val="00FA0836"/>
    <w:rsid w:val="00FA1DB9"/>
    <w:rsid w:val="00FA2D2A"/>
    <w:rsid w:val="00FA465B"/>
    <w:rsid w:val="00FA534C"/>
    <w:rsid w:val="00FA6434"/>
    <w:rsid w:val="00FA6635"/>
    <w:rsid w:val="00FA6AFF"/>
    <w:rsid w:val="00FB05AE"/>
    <w:rsid w:val="00FB080C"/>
    <w:rsid w:val="00FB0CE0"/>
    <w:rsid w:val="00FB1250"/>
    <w:rsid w:val="00FB1961"/>
    <w:rsid w:val="00FB19AE"/>
    <w:rsid w:val="00FB23C4"/>
    <w:rsid w:val="00FB519C"/>
    <w:rsid w:val="00FB5488"/>
    <w:rsid w:val="00FB5C2F"/>
    <w:rsid w:val="00FB643F"/>
    <w:rsid w:val="00FB7332"/>
    <w:rsid w:val="00FB7393"/>
    <w:rsid w:val="00FC02E2"/>
    <w:rsid w:val="00FC0773"/>
    <w:rsid w:val="00FC0964"/>
    <w:rsid w:val="00FC0D6A"/>
    <w:rsid w:val="00FC1340"/>
    <w:rsid w:val="00FC1447"/>
    <w:rsid w:val="00FC1878"/>
    <w:rsid w:val="00FC213B"/>
    <w:rsid w:val="00FC2B71"/>
    <w:rsid w:val="00FC33D5"/>
    <w:rsid w:val="00FC4138"/>
    <w:rsid w:val="00FC49A3"/>
    <w:rsid w:val="00FC7632"/>
    <w:rsid w:val="00FC7CC3"/>
    <w:rsid w:val="00FC7D39"/>
    <w:rsid w:val="00FC7D78"/>
    <w:rsid w:val="00FD11CA"/>
    <w:rsid w:val="00FD17E3"/>
    <w:rsid w:val="00FD1D94"/>
    <w:rsid w:val="00FD2431"/>
    <w:rsid w:val="00FD296F"/>
    <w:rsid w:val="00FD34E2"/>
    <w:rsid w:val="00FD38E2"/>
    <w:rsid w:val="00FD39AD"/>
    <w:rsid w:val="00FD41E3"/>
    <w:rsid w:val="00FD4DE0"/>
    <w:rsid w:val="00FD4E18"/>
    <w:rsid w:val="00FD66C0"/>
    <w:rsid w:val="00FD708C"/>
    <w:rsid w:val="00FD71CF"/>
    <w:rsid w:val="00FD72E0"/>
    <w:rsid w:val="00FD7579"/>
    <w:rsid w:val="00FD7647"/>
    <w:rsid w:val="00FD7BF0"/>
    <w:rsid w:val="00FD7C67"/>
    <w:rsid w:val="00FE0A2C"/>
    <w:rsid w:val="00FE119E"/>
    <w:rsid w:val="00FE122A"/>
    <w:rsid w:val="00FE2405"/>
    <w:rsid w:val="00FE2729"/>
    <w:rsid w:val="00FE31ED"/>
    <w:rsid w:val="00FE3F55"/>
    <w:rsid w:val="00FE5C8F"/>
    <w:rsid w:val="00FE5F0B"/>
    <w:rsid w:val="00FE6CC9"/>
    <w:rsid w:val="00FE7085"/>
    <w:rsid w:val="00FE7125"/>
    <w:rsid w:val="00FE76B9"/>
    <w:rsid w:val="00FE7F34"/>
    <w:rsid w:val="00FE7F55"/>
    <w:rsid w:val="00FF075F"/>
    <w:rsid w:val="00FF24B4"/>
    <w:rsid w:val="00FF4DA1"/>
    <w:rsid w:val="00FF5858"/>
    <w:rsid w:val="00FF5DFE"/>
    <w:rsid w:val="00FF6D81"/>
    <w:rsid w:val="00FF7424"/>
    <w:rsid w:val="00FF79DD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chartTrackingRefBased/>
  <w15:docId w15:val="{188C079F-C69C-4325-8676-CEB26446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2A89"/>
    <w:pPr>
      <w:widowControl w:val="0"/>
      <w:autoSpaceDE w:val="0"/>
      <w:autoSpaceDN w:val="0"/>
      <w:adjustRightInd w:val="0"/>
      <w:spacing w:after="240" w:line="240" w:lineRule="auto"/>
      <w:jc w:val="both"/>
    </w:pPr>
    <w:rPr>
      <w:rFonts w:ascii="Calibri" w:eastAsia="Times New Roman" w:hAnsi="Calibri" w:cs="Arial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F0E90"/>
    <w:pPr>
      <w:keepNext/>
      <w:numPr>
        <w:numId w:val="2"/>
      </w:numPr>
      <w:ind w:left="714" w:hanging="357"/>
      <w:jc w:val="center"/>
      <w:outlineLvl w:val="0"/>
    </w:pPr>
    <w:rPr>
      <w:rFonts w:cs="Calibr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16BE"/>
    <w:pPr>
      <w:keepNext/>
      <w:numPr>
        <w:ilvl w:val="1"/>
        <w:numId w:val="3"/>
      </w:numPr>
      <w:spacing w:after="120"/>
      <w:ind w:left="357" w:hanging="357"/>
      <w:outlineLvl w:val="1"/>
    </w:pPr>
    <w:rPr>
      <w:rFonts w:cs="Calibri"/>
      <w:b/>
      <w:bCs/>
      <w:color w:val="000000"/>
      <w:sz w:val="26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F0E90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43552"/>
    <w:pPr>
      <w:keepNext/>
      <w:outlineLvl w:val="3"/>
    </w:pPr>
    <w:rPr>
      <w:b/>
      <w:u w:val="singl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38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raf">
    <w:name w:val="Graf"/>
    <w:basedOn w:val="Normln"/>
    <w:qFormat/>
    <w:rsid w:val="00C4713C"/>
    <w:pPr>
      <w:keepNext/>
      <w:numPr>
        <w:numId w:val="1"/>
      </w:numPr>
      <w:spacing w:after="0"/>
      <w:ind w:left="1134" w:hanging="1134"/>
    </w:pPr>
    <w:rPr>
      <w:b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2F0E90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716BE"/>
    <w:rPr>
      <w:rFonts w:ascii="Calibri" w:eastAsia="Times New Roman" w:hAnsi="Calibri" w:cs="Calibri"/>
      <w:b/>
      <w:bCs/>
      <w:color w:val="000000"/>
      <w:sz w:val="2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F0E90"/>
    <w:rPr>
      <w:rFonts w:ascii="Calibri" w:eastAsia="Times New Roman" w:hAnsi="Calibri" w:cs="Arial"/>
      <w:b/>
      <w:sz w:val="24"/>
      <w:szCs w:val="20"/>
      <w:u w:val="single"/>
      <w:lang w:eastAsia="cs-CZ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fn Char,pozn. pod čarou Char"/>
    <w:link w:val="Textpoznpodarou"/>
    <w:uiPriority w:val="99"/>
    <w:qFormat/>
    <w:locked/>
    <w:rsid w:val="00553AB2"/>
    <w:rPr>
      <w:rFonts w:cs="Times New Roman"/>
      <w:sz w:val="20"/>
    </w:rPr>
  </w:style>
  <w:style w:type="paragraph" w:styleId="Textpoznpodarou">
    <w:name w:val="footnote text"/>
    <w:aliases w:val="Footnote,Podrozdzia3,Podrozdział,Schriftart: 10 pt,Schriftart: 8 pt,Schriftart: 9 pt,fn,pozn. pod čarou"/>
    <w:basedOn w:val="Normln"/>
    <w:link w:val="TextpoznpodarouChar"/>
    <w:uiPriority w:val="99"/>
    <w:unhideWhenUsed/>
    <w:qFormat/>
    <w:rsid w:val="00553AB2"/>
    <w:pPr>
      <w:widowControl/>
      <w:autoSpaceDE/>
      <w:autoSpaceDN/>
      <w:adjustRightInd/>
      <w:spacing w:after="0"/>
    </w:pPr>
    <w:rPr>
      <w:rFonts w:asciiTheme="minorHAnsi" w:eastAsiaTheme="minorHAnsi" w:hAnsiTheme="minorHAnsi" w:cs="Times New Roman"/>
      <w:sz w:val="20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E5C8F"/>
    <w:rPr>
      <w:rFonts w:ascii="Calibri" w:eastAsia="Times New Roman" w:hAnsi="Calibri" w:cs="Arial"/>
      <w:sz w:val="20"/>
      <w:szCs w:val="20"/>
      <w:lang w:eastAsia="cs-CZ"/>
    </w:rPr>
  </w:style>
  <w:style w:type="character" w:styleId="Znakapoznpodarou">
    <w:name w:val="footnote reference"/>
    <w:aliases w:val="12 b.,EN Footnote Reference,PGI Fußnote Ziffer,PGI Fußnote Ziffer + Times New Roman,Zúžené o ..."/>
    <w:uiPriority w:val="99"/>
    <w:qFormat/>
    <w:rsid w:val="00FE5C8F"/>
    <w:rPr>
      <w:rFonts w:cs="Times New Roman"/>
      <w:vertAlign w:val="superscript"/>
    </w:rPr>
  </w:style>
  <w:style w:type="paragraph" w:styleId="Odstavecseseznamem">
    <w:name w:val="List Paragraph"/>
    <w:aliases w:val="A-Odrážky1,Barevný seznam – zvýraznění 11,List Paragraph (Czech Tourism),List Paragraph1,List Paragraph_0,List Paragraph_1,List Paragraph_2,Nad,Nadpis pro KZ,Odrážky,Odstavec se seznamem1,Odstavec se seznamem2,můj Nadpis 2,odrážky"/>
    <w:basedOn w:val="Normln"/>
    <w:link w:val="OdstavecseseznamemChar"/>
    <w:uiPriority w:val="34"/>
    <w:qFormat/>
    <w:rsid w:val="00C6554F"/>
    <w:pPr>
      <w:widowControl/>
      <w:autoSpaceDE/>
      <w:autoSpaceDN/>
      <w:adjustRightInd/>
      <w:contextualSpacing/>
    </w:pPr>
    <w:rPr>
      <w:rFonts w:cs="Times New Roman"/>
      <w:szCs w:val="22"/>
      <w:lang w:eastAsia="en-US"/>
    </w:rPr>
  </w:style>
  <w:style w:type="character" w:customStyle="1" w:styleId="OdstavecseseznamemChar">
    <w:name w:val="Odstavec se seznamem Char"/>
    <w:aliases w:val="A-Odrážky1 Char,Barevný seznam – zvýraznění 11 Char,List Paragraph (Czech Tourism) Char,List Paragraph1 Char,List Paragraph_0 Char,List Paragraph_1 Char,List Paragraph_2 Char,Nad Char,Nadpis pro KZ Char,Odrážky Char"/>
    <w:link w:val="Odstavecseseznamem"/>
    <w:uiPriority w:val="34"/>
    <w:qFormat/>
    <w:locked/>
    <w:rsid w:val="00C6554F"/>
    <w:rPr>
      <w:rFonts w:ascii="Calibri" w:eastAsia="Times New Roman" w:hAnsi="Calibri" w:cs="Times New Roman"/>
      <w:sz w:val="24"/>
    </w:rPr>
  </w:style>
  <w:style w:type="table" w:styleId="Mkatabulky">
    <w:name w:val="Table Grid"/>
    <w:basedOn w:val="Normlntabulka"/>
    <w:uiPriority w:val="59"/>
    <w:rsid w:val="00FE5C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E5C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5C8F"/>
    <w:rPr>
      <w:rFonts w:ascii="Calibri" w:eastAsia="Times New Roman" w:hAnsi="Calibri" w:cs="Arial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5C8F"/>
    <w:pPr>
      <w:widowControl/>
      <w:autoSpaceDE/>
      <w:autoSpaceDN/>
      <w:adjustRightInd/>
      <w:spacing w:after="120"/>
      <w:ind w:left="283"/>
    </w:pPr>
    <w:rPr>
      <w:rFonts w:cs="Times New Roman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5C8F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tabulka">
    <w:name w:val="tabulka"/>
    <w:basedOn w:val="Normln"/>
    <w:link w:val="tabulkaChar"/>
    <w:qFormat/>
    <w:rsid w:val="00D36B67"/>
    <w:pPr>
      <w:keepNext/>
      <w:widowControl/>
      <w:autoSpaceDE/>
      <w:autoSpaceDN/>
      <w:adjustRightInd/>
      <w:spacing w:after="0"/>
      <w:jc w:val="right"/>
    </w:pPr>
    <w:rPr>
      <w:sz w:val="20"/>
      <w:lang w:eastAsia="en-US"/>
    </w:rPr>
  </w:style>
  <w:style w:type="character" w:customStyle="1" w:styleId="tabulkaChar">
    <w:name w:val="tabulka Char"/>
    <w:link w:val="tabulka"/>
    <w:rsid w:val="00D36B67"/>
    <w:rPr>
      <w:rFonts w:ascii="Calibri" w:eastAsia="Times New Roman" w:hAnsi="Calibri" w:cs="Arial"/>
      <w:sz w:val="20"/>
      <w:szCs w:val="20"/>
    </w:rPr>
  </w:style>
  <w:style w:type="paragraph" w:customStyle="1" w:styleId="Poznmka">
    <w:name w:val="Poznámka"/>
    <w:basedOn w:val="Normln"/>
    <w:link w:val="PoznmkaChar"/>
    <w:autoRedefine/>
    <w:qFormat/>
    <w:rsid w:val="000C1F0C"/>
    <w:pPr>
      <w:widowControl/>
      <w:autoSpaceDE/>
      <w:autoSpaceDN/>
      <w:adjustRightInd/>
      <w:spacing w:before="40" w:after="0"/>
      <w:ind w:left="567" w:hanging="567"/>
    </w:pPr>
    <w:rPr>
      <w:rFonts w:asciiTheme="minorHAnsi" w:hAnsiTheme="minorHAnsi" w:cstheme="minorHAnsi"/>
      <w:sz w:val="20"/>
      <w:szCs w:val="18"/>
    </w:rPr>
  </w:style>
  <w:style w:type="character" w:customStyle="1" w:styleId="PoznmkaChar">
    <w:name w:val="Poznámka Char"/>
    <w:link w:val="Poznmka"/>
    <w:rsid w:val="000C1F0C"/>
    <w:rPr>
      <w:rFonts w:eastAsia="Times New Roman" w:cstheme="minorHAnsi"/>
      <w:sz w:val="20"/>
      <w:szCs w:val="18"/>
      <w:lang w:eastAsia="cs-CZ"/>
    </w:rPr>
  </w:style>
  <w:style w:type="paragraph" w:customStyle="1" w:styleId="Nzevtabulky">
    <w:name w:val="Název tabulky"/>
    <w:basedOn w:val="Normln"/>
    <w:qFormat/>
    <w:rsid w:val="004F5485"/>
    <w:pPr>
      <w:keepNext/>
      <w:widowControl/>
      <w:numPr>
        <w:numId w:val="4"/>
      </w:numPr>
      <w:autoSpaceDE/>
      <w:autoSpaceDN/>
      <w:adjustRightInd/>
      <w:spacing w:after="0"/>
      <w:ind w:left="1349" w:hanging="1349"/>
    </w:pPr>
    <w:rPr>
      <w:b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3636"/>
    <w:rPr>
      <w:rFonts w:ascii="Arial" w:hAnsi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636"/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F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1512"/>
    <w:rPr>
      <w:rFonts w:ascii="Calibri" w:eastAsia="Times New Roman" w:hAnsi="Calibri" w:cs="Arial"/>
      <w:sz w:val="24"/>
      <w:szCs w:val="20"/>
      <w:lang w:eastAsia="cs-CZ"/>
    </w:rPr>
  </w:style>
  <w:style w:type="paragraph" w:customStyle="1" w:styleId="Obrzek">
    <w:name w:val="Obrázek"/>
    <w:basedOn w:val="Graf"/>
    <w:qFormat/>
    <w:rsid w:val="00D9506B"/>
    <w:pPr>
      <w:numPr>
        <w:numId w:val="13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9678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780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780A"/>
    <w:rPr>
      <w:rFonts w:ascii="Calibri" w:eastAsia="Times New Roman" w:hAnsi="Calibri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0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0F97"/>
    <w:rPr>
      <w:rFonts w:ascii="Calibri" w:eastAsia="Times New Roman" w:hAnsi="Calibri" w:cs="Arial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E02265"/>
    <w:pPr>
      <w:spacing w:after="0" w:line="240" w:lineRule="auto"/>
      <w:jc w:val="both"/>
    </w:pPr>
    <w:rPr>
      <w:rFonts w:eastAsia="Times New Roman" w:cs="Arial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43552"/>
    <w:rPr>
      <w:rFonts w:ascii="Calibri" w:eastAsia="Times New Roman" w:hAnsi="Calibri" w:cs="Arial"/>
      <w:b/>
      <w:sz w:val="24"/>
      <w:szCs w:val="20"/>
      <w:u w:val="single"/>
      <w:lang w:eastAsia="cs-CZ"/>
    </w:rPr>
  </w:style>
  <w:style w:type="character" w:styleId="Siln">
    <w:name w:val="Strong"/>
    <w:uiPriority w:val="22"/>
    <w:qFormat/>
    <w:rsid w:val="0034352E"/>
    <w:rPr>
      <w:b/>
      <w:bCs/>
    </w:rPr>
  </w:style>
  <w:style w:type="paragraph" w:customStyle="1" w:styleId="Nadpisshrnut">
    <w:name w:val="Nadpis shrnutí"/>
    <w:basedOn w:val="Normln"/>
    <w:qFormat/>
    <w:rsid w:val="004F7475"/>
    <w:pPr>
      <w:numPr>
        <w:numId w:val="7"/>
      </w:numPr>
      <w:spacing w:after="60"/>
      <w:ind w:left="426"/>
    </w:pPr>
    <w:rPr>
      <w:b/>
      <w:szCs w:val="25"/>
    </w:rPr>
  </w:style>
  <w:style w:type="character" w:customStyle="1" w:styleId="Nadpis6Char">
    <w:name w:val="Nadpis 6 Char"/>
    <w:basedOn w:val="Standardnpsmoodstavce"/>
    <w:link w:val="Nadpis6"/>
    <w:uiPriority w:val="9"/>
    <w:rsid w:val="004E384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27AD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40545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30442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51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86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1">
    <w:name w:val="A1"/>
    <w:uiPriority w:val="99"/>
    <w:rsid w:val="00F8449C"/>
    <w:rPr>
      <w:color w:val="000000"/>
      <w:sz w:val="28"/>
      <w:szCs w:val="2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3EFC"/>
    <w:pPr>
      <w:spacing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3EFC"/>
    <w:rPr>
      <w:rFonts w:ascii="Calibri" w:eastAsia="Times New Roman" w:hAnsi="Calibri" w:cs="Arial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93E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nku.cz/scripts/detail.php?id=1405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emf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OKRDA\KZ%20p&#345;ipom&#237;nky%20a%20&#250;pravy\23-22%20Graf%20-%20psychiatrick&#225;%20p&#233;&#269;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844227539696812E-2"/>
          <c:y val="6.8264194248446233E-4"/>
          <c:w val="0.96769265691283146"/>
          <c:h val="0.69113269932167565"/>
        </c:manualLayout>
      </c:layout>
      <c:lineChart>
        <c:grouping val="stacked"/>
        <c:varyColors val="0"/>
        <c:ser>
          <c:idx val="2"/>
          <c:order val="0"/>
          <c:tx>
            <c:strRef>
              <c:f>List1!$A$5</c:f>
              <c:strCache>
                <c:ptCount val="1"/>
                <c:pt idx="0">
                  <c:v>Počet dlouhodobě hospitalizovaných psychiatrických pacientů</c:v>
                </c:pt>
              </c:strCache>
            </c:strRef>
          </c:tx>
          <c:spPr>
            <a:ln w="28575" cap="rnd">
              <a:solidFill>
                <a:srgbClr val="2EB3A1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2EB3A1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List1!$B$3:$F$3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List1!$B$5:$F$5</c:f>
              <c:numCache>
                <c:formatCode>General</c:formatCode>
                <c:ptCount val="5"/>
                <c:pt idx="0">
                  <c:v>30294</c:v>
                </c:pt>
                <c:pt idx="1">
                  <c:v>29679</c:v>
                </c:pt>
                <c:pt idx="2">
                  <c:v>24288</c:v>
                </c:pt>
                <c:pt idx="3">
                  <c:v>25975</c:v>
                </c:pt>
                <c:pt idx="4">
                  <c:v>25318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47C-410D-8FE7-BFB6F6370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64826608"/>
        <c:axId val="1127130240"/>
      </c:lineChart>
      <c:lineChart>
        <c:grouping val="stacked"/>
        <c:varyColors val="0"/>
        <c:ser>
          <c:idx val="0"/>
          <c:order val="1"/>
          <c:tx>
            <c:strRef>
              <c:f>List1!$A$4</c:f>
              <c:strCache>
                <c:ptCount val="1"/>
                <c:pt idx="0">
                  <c:v>Počet unikátních klientů CDZ</c:v>
                </c:pt>
              </c:strCache>
            </c:strRef>
          </c:tx>
          <c:spPr>
            <a:ln w="28575" cap="rnd">
              <a:solidFill>
                <a:srgbClr val="FDC300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FDC300"/>
              </a:solidFill>
              <a:ln w="28575" cap="sq">
                <a:noFill/>
                <a:round/>
                <a:headEnd type="triangle"/>
              </a:ln>
              <a:effectLst/>
            </c:spPr>
          </c:marker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List1!$B$4:$F$4</c:f>
              <c:numCache>
                <c:formatCode>General</c:formatCode>
                <c:ptCount val="5"/>
                <c:pt idx="0">
                  <c:v>302</c:v>
                </c:pt>
                <c:pt idx="1">
                  <c:v>1553</c:v>
                </c:pt>
                <c:pt idx="2">
                  <c:v>3485</c:v>
                </c:pt>
                <c:pt idx="3">
                  <c:v>5762</c:v>
                </c:pt>
                <c:pt idx="4">
                  <c:v>6257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7C-410D-8FE7-BFB6F6370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5648111"/>
        <c:axId val="1660285391"/>
      </c:lineChart>
      <c:catAx>
        <c:axId val="126482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27130240"/>
        <c:crosses val="autoZero"/>
        <c:auto val="1"/>
        <c:lblAlgn val="ctr"/>
        <c:lblOffset val="100"/>
        <c:noMultiLvlLbl val="0"/>
      </c:catAx>
      <c:valAx>
        <c:axId val="1127130240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1264826608"/>
        <c:crosses val="autoZero"/>
        <c:crossBetween val="between"/>
      </c:valAx>
      <c:valAx>
        <c:axId val="1660285391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1815648111"/>
        <c:crosses val="max"/>
        <c:crossBetween val="between"/>
      </c:valAx>
      <c:catAx>
        <c:axId val="1815648111"/>
        <c:scaling>
          <c:orientation val="minMax"/>
        </c:scaling>
        <c:delete val="1"/>
        <c:axPos val="b"/>
        <c:majorTickMark val="out"/>
        <c:minorTickMark val="none"/>
        <c:tickLblPos val="nextTo"/>
        <c:crossAx val="1660285391"/>
        <c:crosses val="autoZero"/>
        <c:auto val="1"/>
        <c:lblAlgn val="ctr"/>
        <c:lblOffset val="100"/>
        <c:noMultiLvlLbl val="0"/>
      </c:cat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5.4082195173001356E-2"/>
          <c:y val="0.83431616502482642"/>
          <c:w val="0.89654783464566934"/>
          <c:h val="0.1599118292031677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355403873495726E-4"/>
          <c:y val="3.0479818129808341E-3"/>
          <c:w val="0.96751738717485214"/>
          <c:h val="0.909166905045091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Počet duševně nemocných</c:v>
                </c:pt>
              </c:strCache>
            </c:strRef>
          </c:tx>
          <c:spPr>
            <a:solidFill>
              <a:srgbClr val="FDC300"/>
            </a:solidFill>
            <a:ln>
              <a:noFill/>
            </a:ln>
            <a:effectLst/>
          </c:spPr>
          <c:invertIfNegative val="0"/>
          <c:dLbls>
            <c:dLbl>
              <c:idx val="9"/>
              <c:layout>
                <c:manualLayout>
                  <c:x val="-1.5423806118455181E-16"/>
                  <c:y val="-1.91204588910133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54-4798-9E21-B737F94E1367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91440" tIns="45720" rIns="91440" bIns="108000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trendline>
            <c:spPr>
              <a:ln w="19050" cap="rnd">
                <a:solidFill>
                  <a:srgbClr val="2EB3A1"/>
                </a:solidFill>
                <a:prstDash val="sysDot"/>
                <a:headEnd/>
                <a:tailEnd type="triangle"/>
              </a:ln>
              <a:effectLst/>
            </c:spPr>
            <c:trendlineType val="linear"/>
            <c:dispRSqr val="0"/>
            <c:dispEq val="0"/>
          </c:trendline>
          <c:cat>
            <c:numRef>
              <c:f>List1!$A$2:$A$11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List1!$B$2:$B$11</c:f>
              <c:numCache>
                <c:formatCode>General</c:formatCode>
                <c:ptCount val="10"/>
                <c:pt idx="0">
                  <c:v>652363</c:v>
                </c:pt>
                <c:pt idx="1">
                  <c:v>670031</c:v>
                </c:pt>
                <c:pt idx="2">
                  <c:v>687053</c:v>
                </c:pt>
                <c:pt idx="3">
                  <c:v>701135</c:v>
                </c:pt>
                <c:pt idx="4">
                  <c:v>718383</c:v>
                </c:pt>
                <c:pt idx="5">
                  <c:v>730063</c:v>
                </c:pt>
                <c:pt idx="6">
                  <c:v>739972</c:v>
                </c:pt>
                <c:pt idx="7">
                  <c:v>755319</c:v>
                </c:pt>
                <c:pt idx="8">
                  <c:v>739860</c:v>
                </c:pt>
                <c:pt idx="9">
                  <c:v>756115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D9-46A9-AE73-492A79F5C11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5"/>
        <c:axId val="740848016"/>
        <c:axId val="731873088"/>
      </c:barChart>
      <c:catAx>
        <c:axId val="740848016"/>
        <c:scaling>
          <c:orientation val="minMax"/>
        </c:scaling>
        <c:delete val="0"/>
        <c:axPos val="b"/>
        <c:title>
          <c:overlay val="0"/>
        </c:title>
        <c:numFmt formatCode="General" sourceLinked="1"/>
        <c:majorTickMark val="out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31873088"/>
        <c:crossesAt val="0"/>
        <c:auto val="1"/>
        <c:lblAlgn val="ctr"/>
        <c:lblOffset val="100"/>
        <c:noMultiLvlLbl val="0"/>
      </c:catAx>
      <c:valAx>
        <c:axId val="731873088"/>
        <c:scaling>
          <c:orientation val="minMax"/>
          <c:max val="850000"/>
          <c:min val="0"/>
        </c:scaling>
        <c:delete val="0"/>
        <c:axPos val="l"/>
        <c:title>
          <c:overlay val="0"/>
        </c:title>
        <c:numFmt formatCode="General" sourceLinked="1"/>
        <c:majorTickMark val="none"/>
        <c:minorTickMark val="none"/>
        <c:tickLblPos val="none"/>
        <c:spPr>
          <a:noFill/>
          <a:ln>
            <a:noFill/>
          </a:ln>
        </c:spPr>
        <c:crossAx val="740848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>
          <a:noFill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Psychiatři na 100 tis. obyv.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rgbClr val="AF195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7860-43AB-8A7E-ED10ABAB8CCB}"/>
              </c:ext>
            </c:extLst>
          </c:dPt>
          <c:cat>
            <c:strRef>
              <c:f>List1!$A$2:$A$26</c:f>
              <c:strCache>
                <c:ptCount val="25"/>
                <c:pt idx="0">
                  <c:v>Bulharsko</c:v>
                </c:pt>
                <c:pt idx="1">
                  <c:v>Španělsko</c:v>
                </c:pt>
                <c:pt idx="2">
                  <c:v>Polsko</c:v>
                </c:pt>
                <c:pt idx="3">
                  <c:v>Kypr</c:v>
                </c:pt>
                <c:pt idx="4">
                  <c:v>Malta</c:v>
                </c:pt>
                <c:pt idx="5">
                  <c:v>Maďarsko</c:v>
                </c:pt>
                <c:pt idx="6">
                  <c:v>Portugalsko</c:v>
                </c:pt>
                <c:pt idx="7">
                  <c:v>Lotyšsko</c:v>
                </c:pt>
                <c:pt idx="8">
                  <c:v>Rumunsko</c:v>
                </c:pt>
                <c:pt idx="9">
                  <c:v>Slovinsko</c:v>
                </c:pt>
                <c:pt idx="10">
                  <c:v>Česko</c:v>
                </c:pt>
                <c:pt idx="11">
                  <c:v>Chorvatsko</c:v>
                </c:pt>
                <c:pt idx="12">
                  <c:v>Belgie</c:v>
                </c:pt>
                <c:pt idx="13">
                  <c:v>Irsko</c:v>
                </c:pt>
                <c:pt idx="14">
                  <c:v>Dánsko</c:v>
                </c:pt>
                <c:pt idx="15">
                  <c:v>Estonsko</c:v>
                </c:pt>
                <c:pt idx="16">
                  <c:v>Itálie</c:v>
                </c:pt>
                <c:pt idx="17">
                  <c:v>Rakousko</c:v>
                </c:pt>
                <c:pt idx="18">
                  <c:v>Švédsko</c:v>
                </c:pt>
                <c:pt idx="19">
                  <c:v>Francie</c:v>
                </c:pt>
                <c:pt idx="20">
                  <c:v>Litva</c:v>
                </c:pt>
                <c:pt idx="21">
                  <c:v>Řecko</c:v>
                </c:pt>
                <c:pt idx="22">
                  <c:v>Finsko</c:v>
                </c:pt>
                <c:pt idx="23">
                  <c:v>Nizozemsko</c:v>
                </c:pt>
                <c:pt idx="24">
                  <c:v>Německo</c:v>
                </c:pt>
              </c:strCache>
            </c:strRef>
          </c:cat>
          <c:val>
            <c:numRef>
              <c:f>List1!$B$2:$B$26</c:f>
              <c:numCache>
                <c:formatCode>0.00</c:formatCode>
                <c:ptCount val="25"/>
                <c:pt idx="0">
                  <c:v>10.19</c:v>
                </c:pt>
                <c:pt idx="1">
                  <c:v>12.58</c:v>
                </c:pt>
                <c:pt idx="2">
                  <c:v>13.02</c:v>
                </c:pt>
                <c:pt idx="3">
                  <c:v>13.55</c:v>
                </c:pt>
                <c:pt idx="4">
                  <c:v>13.89</c:v>
                </c:pt>
                <c:pt idx="5">
                  <c:v>14.36</c:v>
                </c:pt>
                <c:pt idx="6">
                  <c:v>14.64</c:v>
                </c:pt>
                <c:pt idx="7">
                  <c:v>14.81</c:v>
                </c:pt>
                <c:pt idx="8">
                  <c:v>15.27</c:v>
                </c:pt>
                <c:pt idx="9">
                  <c:v>16.37</c:v>
                </c:pt>
                <c:pt idx="10">
                  <c:v>16.61</c:v>
                </c:pt>
                <c:pt idx="11">
                  <c:v>17.34</c:v>
                </c:pt>
                <c:pt idx="12">
                  <c:v>17.36</c:v>
                </c:pt>
                <c:pt idx="13">
                  <c:v>19.07</c:v>
                </c:pt>
                <c:pt idx="14">
                  <c:v>19.190000000000001</c:v>
                </c:pt>
                <c:pt idx="15">
                  <c:v>19.23</c:v>
                </c:pt>
                <c:pt idx="16">
                  <c:v>19.36</c:v>
                </c:pt>
                <c:pt idx="17">
                  <c:v>21.52</c:v>
                </c:pt>
                <c:pt idx="18">
                  <c:v>21.98</c:v>
                </c:pt>
                <c:pt idx="19">
                  <c:v>22.74</c:v>
                </c:pt>
                <c:pt idx="20">
                  <c:v>24.67</c:v>
                </c:pt>
                <c:pt idx="21">
                  <c:v>24.94</c:v>
                </c:pt>
                <c:pt idx="22">
                  <c:v>25.05</c:v>
                </c:pt>
                <c:pt idx="23">
                  <c:v>25.06</c:v>
                </c:pt>
                <c:pt idx="24">
                  <c:v>28.56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60-43AB-8A7E-ED10ABAB8C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axId val="1667472975"/>
        <c:axId val="1952974511"/>
      </c:barChart>
      <c:catAx>
        <c:axId val="1667472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52974511"/>
        <c:crosses val="autoZero"/>
        <c:auto val="1"/>
        <c:lblAlgn val="ctr"/>
        <c:lblOffset val="100"/>
        <c:noMultiLvlLbl val="0"/>
      </c:catAx>
      <c:valAx>
        <c:axId val="1952974511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667472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41ef85cfa56222539d111f4b1ed271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835b98b50f7b97a7aacca622fbbc4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3210A-D2C2-457D-AC90-347EB5D56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B9FC85-9480-420F-B53F-1F5360BAE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1AA7C-0434-4684-86DB-0FDC8F1C5AEF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4620CE-2D45-49D0-95A6-A0181E5F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6180</Words>
  <Characters>36465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23/22 - Peněžní prostředky státního rozpočtu a Evropské unie vynakládané v souvislosti s přesunem těžiště psychiatrické péče do komunity</vt:lpstr>
    </vt:vector>
  </TitlesOfParts>
  <Company>NKÚ</Company>
  <LinksUpToDate>false</LinksUpToDate>
  <CharactersWithSpaces>42560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23/22 - Peněžní prostředky státního rozpočtu a Evropské unie vynakládané v souvislosti s přesunem těžiště psychiatrické péče do komunity</dc:title>
  <dc:subject>Kontrolní závěr z kontrolní akce NKÚ č. 23/22 - Peněžní prostředky státního rozpočtu a Evropské unie vynakládané v souvislosti s přesunem těžiště psychiatrické péče do komunity</dc:subject>
  <dc:creator>Nejvyšší kontrolní úřad</dc:creator>
  <cp:keywords>kontrolní závěr; psychiatrie; psychiatrická péče; komunita</cp:keywords>
  <cp:lastModifiedBy>KOKRDA Daniel</cp:lastModifiedBy>
  <cp:revision>4</cp:revision>
  <cp:lastPrinted>2024-08-27T07:53:00Z</cp:lastPrinted>
  <dcterms:created xsi:type="dcterms:W3CDTF">2024-09-02T10:16:00Z</dcterms:created>
  <dcterms:modified xsi:type="dcterms:W3CDTF">2024-09-02T10:21:00Z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23/22-NKU30/616/24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30/1082/22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0x0101002F7A625AE9F5AB4A939F92BCAA7FEC02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1.7.2024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&lt;TABLE&gt;&lt;TR&gt;&lt;TD&gt;Č.j.:&lt;/TD&gt;&lt;TD&gt;23/22-NKU30/616/24&lt;/TD&gt;&lt;/TR&gt;&lt;TR&gt;&lt;TD&gt;&lt;/TD&gt;&lt;TD&gt;&lt;/TD&gt;&lt;/TR&gt;&lt;/TABLE&gt;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Členové Úřadu</vt:lpwstr>
  </property>
  <property fmtid="{D5CDD505-2E9C-101B-9397-08002B2CF9AE}" pid="17" name="DisplayName_UserPoriz_Pisemnost">
    <vt:lpwstr>Bc. Monika Hoffmannová, DiS.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24-8879/NKU</vt:lpwstr>
  </property>
  <property fmtid="{D5CDD505-2E9C-101B-9397-08002B2CF9AE}" pid="20" name="Key_BarCode_Pisemnost">
    <vt:lpwstr>*B000475601*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SIP_Label_577fbee6-ebd8-4412-8950-2ac0a4298383_ActionId">
    <vt:lpwstr>b0b786fe-81b6-41e8-a8cc-d2d34aa8c8f6</vt:lpwstr>
  </property>
  <property fmtid="{D5CDD505-2E9C-101B-9397-08002B2CF9AE}" pid="24" name="MSIP_Label_577fbee6-ebd8-4412-8950-2ac0a4298383_ContentBits">
    <vt:lpwstr>0</vt:lpwstr>
  </property>
  <property fmtid="{D5CDD505-2E9C-101B-9397-08002B2CF9AE}" pid="25" name="MSIP_Label_577fbee6-ebd8-4412-8950-2ac0a4298383_Enabled">
    <vt:lpwstr>true</vt:lpwstr>
  </property>
  <property fmtid="{D5CDD505-2E9C-101B-9397-08002B2CF9AE}" pid="26" name="MSIP_Label_577fbee6-ebd8-4412-8950-2ac0a4298383_Method">
    <vt:lpwstr>Standard</vt:lpwstr>
  </property>
  <property fmtid="{D5CDD505-2E9C-101B-9397-08002B2CF9AE}" pid="27" name="MSIP_Label_577fbee6-ebd8-4412-8950-2ac0a4298383_Name">
    <vt:lpwstr>Střední</vt:lpwstr>
  </property>
  <property fmtid="{D5CDD505-2E9C-101B-9397-08002B2CF9AE}" pid="28" name="MSIP_Label_577fbee6-ebd8-4412-8950-2ac0a4298383_SetDate">
    <vt:lpwstr>2024-06-30T22:08:03Z</vt:lpwstr>
  </property>
  <property fmtid="{D5CDD505-2E9C-101B-9397-08002B2CF9AE}" pid="29" name="MSIP_Label_577fbee6-ebd8-4412-8950-2ac0a4298383_SiteId">
    <vt:lpwstr>e6d36204-fa0a-4bdb-9b60-80f84bb090cf</vt:lpwstr>
  </property>
  <property fmtid="{D5CDD505-2E9C-101B-9397-08002B2CF9AE}" pid="30" name="NameAddress_Contact_SpisovyUzel_PoziceZodpo_Pisemnost">
    <vt:lpwstr>ADRESÁT SU...</vt:lpwstr>
  </property>
  <property fmtid="{D5CDD505-2E9C-101B-9397-08002B2CF9AE}" pid="31" name="NamePostalAddress_Contact_PostaOdes">
    <vt:lpwstr>{NameAddress_Contact_PostaOdes}
{PostalAddress_Contact_PostaOdes}</vt:lpwstr>
  </property>
  <property fmtid="{D5CDD505-2E9C-101B-9397-08002B2CF9AE}" pid="32" name="Odkaz">
    <vt:lpwstr>ODKAZ</vt:lpwstr>
  </property>
  <property fmtid="{D5CDD505-2E9C-101B-9397-08002B2CF9AE}" pid="33" name="Password_PisemnostTypZpristupneniInformaciZOSZ_Pisemnost">
    <vt:lpwstr>ZOSZ_Password</vt:lpwstr>
  </property>
  <property fmtid="{D5CDD505-2E9C-101B-9397-08002B2CF9AE}" pid="34" name="PocetListuDokumentu_Pisemnost">
    <vt:lpwstr>1</vt:lpwstr>
  </property>
  <property fmtid="{D5CDD505-2E9C-101B-9397-08002B2CF9AE}" pid="35" name="PocetListu_Pisemnost">
    <vt:lpwstr>1</vt:lpwstr>
  </property>
  <property fmtid="{D5CDD505-2E9C-101B-9397-08002B2CF9AE}" pid="36" name="PocetPriloh_Pisemnost">
    <vt:lpwstr>POČET PŘÍLOH</vt:lpwstr>
  </property>
  <property fmtid="{D5CDD505-2E9C-101B-9397-08002B2CF9AE}" pid="37" name="Podpis">
    <vt:lpwstr/>
  </property>
  <property fmtid="{D5CDD505-2E9C-101B-9397-08002B2CF9AE}" pid="38" name="PoleVlastnost">
    <vt:lpwstr/>
  </property>
  <property fmtid="{D5CDD505-2E9C-101B-9397-08002B2CF9AE}" pid="39" name="PostalAddress_Contact_SpisovyUzel_PoziceZodpo_Pisemnost">
    <vt:lpwstr>ADRESA SU...</vt:lpwstr>
  </property>
  <property fmtid="{D5CDD505-2E9C-101B-9397-08002B2CF9AE}" pid="40" name="QREC_Pisemnost">
    <vt:lpwstr>24-8879/NKU</vt:lpwstr>
  </property>
  <property fmtid="{D5CDD505-2E9C-101B-9397-08002B2CF9AE}" pid="41" name="RC">
    <vt:lpwstr/>
  </property>
  <property fmtid="{D5CDD505-2E9C-101B-9397-08002B2CF9AE}" pid="42" name="SkartacniZnakLhuta_PisemnostZnak">
    <vt:lpwstr>?/?</vt:lpwstr>
  </property>
  <property fmtid="{D5CDD505-2E9C-101B-9397-08002B2CF9AE}" pid="43" name="SmlouvaCislo">
    <vt:lpwstr>ČÍSLO SMLOUVY</vt:lpwstr>
  </property>
  <property fmtid="{D5CDD505-2E9C-101B-9397-08002B2CF9AE}" pid="44" name="SZ_Spis_Pisemnost">
    <vt:lpwstr>23/22</vt:lpwstr>
  </property>
  <property fmtid="{D5CDD505-2E9C-101B-9397-08002B2CF9AE}" pid="45" name="TEST">
    <vt:lpwstr>testovací pole</vt:lpwstr>
  </property>
  <property fmtid="{D5CDD505-2E9C-101B-9397-08002B2CF9AE}" pid="46" name="TypPrilohy_Pisemnost">
    <vt:lpwstr>TYP PŘÍLOHY</vt:lpwstr>
  </property>
  <property fmtid="{D5CDD505-2E9C-101B-9397-08002B2CF9AE}" pid="47" name="UserName_PisemnostTypZpristupneniInformaciZOSZ_Pisemnost">
    <vt:lpwstr>ZOSZ_UserName</vt:lpwstr>
  </property>
  <property fmtid="{D5CDD505-2E9C-101B-9397-08002B2CF9AE}" pid="48" name="Vec_Pisemnost">
    <vt:lpwstr>Návrh kontrolního závěru z KA č. 23/22 do PŘ</vt:lpwstr>
  </property>
  <property fmtid="{D5CDD505-2E9C-101B-9397-08002B2CF9AE}" pid="49" name="Zkratka_SpisovyUzel_PoziceZodpo_Pisemnost">
    <vt:lpwstr>30</vt:lpwstr>
  </property>
</Properties>
</file>