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B5496" w14:textId="77777777" w:rsidR="00291417" w:rsidRPr="004F6F5D" w:rsidRDefault="00AA65B4" w:rsidP="00AA65B4">
      <w:pPr>
        <w:tabs>
          <w:tab w:val="center" w:pos="11650"/>
          <w:tab w:val="left" w:pos="19110"/>
        </w:tabs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E4B1F91" wp14:editId="3306D75E">
            <wp:extent cx="827405" cy="713740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8D064" w14:textId="77777777" w:rsidR="00291417" w:rsidRPr="004F6F5D" w:rsidRDefault="00291417" w:rsidP="00291417">
      <w:pPr>
        <w:spacing w:after="0"/>
        <w:jc w:val="center"/>
      </w:pPr>
    </w:p>
    <w:p w14:paraId="489F5442" w14:textId="77777777" w:rsidR="00291417" w:rsidRDefault="00291417" w:rsidP="00291417">
      <w:pPr>
        <w:spacing w:after="0"/>
        <w:jc w:val="center"/>
      </w:pPr>
    </w:p>
    <w:p w14:paraId="26C1A7C5" w14:textId="77777777" w:rsidR="00D0329E" w:rsidRPr="004F6F5D" w:rsidRDefault="00D0329E" w:rsidP="00291417">
      <w:pPr>
        <w:spacing w:after="0"/>
        <w:jc w:val="center"/>
      </w:pPr>
    </w:p>
    <w:p w14:paraId="6E4DF1FA" w14:textId="77777777" w:rsidR="00291417" w:rsidRPr="004F6F5D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4F6F5D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3F48F39D" w14:textId="77777777" w:rsidR="00031FF6" w:rsidRPr="004F6F5D" w:rsidRDefault="00031FF6" w:rsidP="00031FF6">
      <w:pPr>
        <w:spacing w:after="0"/>
        <w:jc w:val="center"/>
      </w:pPr>
    </w:p>
    <w:p w14:paraId="6CB6A82C" w14:textId="77777777" w:rsidR="00EC3A0D" w:rsidRPr="004F6F5D" w:rsidRDefault="004F6F5D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4F6F5D">
        <w:rPr>
          <w:rFonts w:asciiTheme="minorHAnsi" w:eastAsiaTheme="minorHAnsi" w:hAnsiTheme="minorHAnsi" w:cstheme="minorHAnsi"/>
          <w:b/>
          <w:sz w:val="28"/>
          <w:szCs w:val="28"/>
        </w:rPr>
        <w:t>23</w:t>
      </w:r>
      <w:r w:rsidR="007A67D6" w:rsidRPr="004F6F5D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Pr="004F6F5D">
        <w:rPr>
          <w:rFonts w:asciiTheme="minorHAnsi" w:eastAsiaTheme="minorHAnsi" w:hAnsiTheme="minorHAnsi" w:cstheme="minorHAnsi"/>
          <w:b/>
          <w:sz w:val="28"/>
          <w:szCs w:val="28"/>
        </w:rPr>
        <w:t>20</w:t>
      </w:r>
    </w:p>
    <w:p w14:paraId="365E8D88" w14:textId="77777777" w:rsidR="00031FF6" w:rsidRPr="004F6F5D" w:rsidRDefault="00031FF6" w:rsidP="00031FF6">
      <w:pPr>
        <w:spacing w:after="0"/>
        <w:jc w:val="center"/>
      </w:pPr>
    </w:p>
    <w:p w14:paraId="64686376" w14:textId="77777777" w:rsidR="000849FE" w:rsidRPr="004F6F5D" w:rsidRDefault="00AA65B4" w:rsidP="000849FE">
      <w:pPr>
        <w:spacing w:line="200" w:lineRule="atLeast"/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  <w:r w:rsidRPr="00AA65B4">
        <w:rPr>
          <w:rFonts w:ascii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C8396D">
        <w:rPr>
          <w:rFonts w:asciiTheme="minorHAnsi" w:hAnsiTheme="minorHAnsi" w:cstheme="minorHAnsi"/>
          <w:b/>
          <w:i/>
          <w:sz w:val="28"/>
          <w:szCs w:val="28"/>
        </w:rPr>
        <w:t>Ministerstvo pro místní rozvoj</w:t>
      </w:r>
      <w:r w:rsidRPr="00AA65B4">
        <w:rPr>
          <w:rFonts w:asciiTheme="minorHAnsi" w:hAnsiTheme="minorHAnsi" w:cstheme="minorHAnsi"/>
          <w:b/>
          <w:sz w:val="28"/>
          <w:szCs w:val="28"/>
        </w:rPr>
        <w:t xml:space="preserve"> za rok 2023, účetní závěrka Ministerstva pro místní rozvoj za rok 2023 a údaje předkládané Ministerstvem pro místní rozvoj pro hodnocení plnění státního rozpočtu za rok 2023</w:t>
      </w:r>
    </w:p>
    <w:p w14:paraId="13BC8388" w14:textId="77777777" w:rsidR="000849FE" w:rsidRPr="004F6F5D" w:rsidRDefault="000849FE" w:rsidP="000849FE">
      <w:pPr>
        <w:spacing w:after="0"/>
        <w:jc w:val="both"/>
        <w:rPr>
          <w:highlight w:val="yellow"/>
        </w:rPr>
      </w:pPr>
    </w:p>
    <w:p w14:paraId="420EADD5" w14:textId="77777777" w:rsidR="000849FE" w:rsidRPr="004F6F5D" w:rsidRDefault="000849FE" w:rsidP="000849FE">
      <w:pPr>
        <w:spacing w:after="0"/>
        <w:jc w:val="both"/>
        <w:rPr>
          <w:highlight w:val="yellow"/>
        </w:rPr>
      </w:pPr>
    </w:p>
    <w:p w14:paraId="482F8B69" w14:textId="77777777" w:rsidR="000849FE" w:rsidRPr="00AA65B4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AA65B4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také „NKÚ“) na rok </w:t>
      </w:r>
      <w:r w:rsidR="00AA65B4" w:rsidRPr="00AA65B4">
        <w:rPr>
          <w:rFonts w:asciiTheme="minorHAnsi" w:eastAsiaTheme="minorHAnsi" w:hAnsiTheme="minorHAnsi" w:cstheme="minorHAnsi"/>
        </w:rPr>
        <w:t>2023</w:t>
      </w:r>
      <w:r w:rsidRPr="00AA65B4">
        <w:rPr>
          <w:rFonts w:asciiTheme="minorHAnsi" w:eastAsiaTheme="minorHAnsi" w:hAnsiTheme="minorHAnsi" w:cstheme="minorHAnsi"/>
        </w:rPr>
        <w:t xml:space="preserve"> pod číslem 2</w:t>
      </w:r>
      <w:r w:rsidR="00AA65B4" w:rsidRPr="00AA65B4">
        <w:rPr>
          <w:rFonts w:asciiTheme="minorHAnsi" w:eastAsiaTheme="minorHAnsi" w:hAnsiTheme="minorHAnsi" w:cstheme="minorHAnsi"/>
        </w:rPr>
        <w:t>3</w:t>
      </w:r>
      <w:r w:rsidRPr="00AA65B4">
        <w:rPr>
          <w:rFonts w:asciiTheme="minorHAnsi" w:eastAsiaTheme="minorHAnsi" w:hAnsiTheme="minorHAnsi" w:cstheme="minorHAnsi"/>
        </w:rPr>
        <w:t>/</w:t>
      </w:r>
      <w:r w:rsidR="00AA65B4" w:rsidRPr="00AA65B4">
        <w:rPr>
          <w:rFonts w:asciiTheme="minorHAnsi" w:eastAsiaTheme="minorHAnsi" w:hAnsiTheme="minorHAnsi" w:cstheme="minorHAnsi"/>
        </w:rPr>
        <w:t>20</w:t>
      </w:r>
      <w:r w:rsidRPr="00AA65B4">
        <w:rPr>
          <w:rFonts w:asciiTheme="minorHAnsi" w:eastAsiaTheme="minorHAnsi" w:hAnsiTheme="minorHAnsi" w:cstheme="minorHAnsi"/>
        </w:rPr>
        <w:t xml:space="preserve">. Kontrolní akci řídila a kontrolní závěr vypracovala členka NKÚ Ing. Jaromíra </w:t>
      </w:r>
      <w:proofErr w:type="spellStart"/>
      <w:r w:rsidRPr="00AA65B4">
        <w:rPr>
          <w:rFonts w:asciiTheme="minorHAnsi" w:eastAsiaTheme="minorHAnsi" w:hAnsiTheme="minorHAnsi" w:cstheme="minorHAnsi"/>
        </w:rPr>
        <w:t>Steidlová</w:t>
      </w:r>
      <w:proofErr w:type="spellEnd"/>
      <w:r w:rsidRPr="00AA65B4">
        <w:rPr>
          <w:rFonts w:asciiTheme="minorHAnsi" w:eastAsiaTheme="minorHAnsi" w:hAnsiTheme="minorHAnsi" w:cstheme="minorHAnsi"/>
        </w:rPr>
        <w:t>.</w:t>
      </w:r>
    </w:p>
    <w:p w14:paraId="63041C79" w14:textId="77777777" w:rsidR="000849FE" w:rsidRPr="004F6F5D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FC54C4A" w14:textId="77777777" w:rsidR="000849FE" w:rsidRPr="004F6F5D" w:rsidRDefault="000849FE" w:rsidP="000849FE">
      <w:pPr>
        <w:spacing w:before="120" w:line="200" w:lineRule="atLeast"/>
        <w:jc w:val="both"/>
        <w:rPr>
          <w:rFonts w:asciiTheme="minorHAnsi" w:hAnsiTheme="minorHAnsi" w:cstheme="minorHAnsi"/>
          <w:bCs/>
          <w:highlight w:val="yellow"/>
        </w:rPr>
      </w:pPr>
      <w:r w:rsidRPr="00AA65B4">
        <w:rPr>
          <w:rFonts w:asciiTheme="minorHAnsi" w:eastAsiaTheme="minorHAnsi" w:hAnsiTheme="minorHAnsi" w:cstheme="minorHAnsi"/>
        </w:rPr>
        <w:t xml:space="preserve">Cílem kontroly bylo prověřit, </w:t>
      </w:r>
      <w:bookmarkStart w:id="1" w:name="_Hlk134018975"/>
      <w:r w:rsidRPr="00AA65B4">
        <w:rPr>
          <w:rFonts w:asciiTheme="minorHAnsi" w:hAnsiTheme="minorHAnsi" w:cstheme="minorHAnsi"/>
          <w:bCs/>
        </w:rPr>
        <w:t xml:space="preserve">zda </w:t>
      </w:r>
      <w:r w:rsidR="00AA65B4" w:rsidRPr="00AA65B4">
        <w:rPr>
          <w:rFonts w:asciiTheme="minorHAnsi" w:hAnsiTheme="minorHAnsi" w:cstheme="minorHAnsi"/>
          <w:bCs/>
        </w:rPr>
        <w:t>Ministerstvo pro místní rozvoj při sestavení závěrečného účtu a při vedení účetnictví a sestavení účetní závěrky a předkládání údajů pro hodnocení plnění státního rozpočtu za rok 2023 postupovalo v souladu s příslušnými právními předpisy.</w:t>
      </w:r>
    </w:p>
    <w:bookmarkEnd w:id="1"/>
    <w:p w14:paraId="3F0C6FCD" w14:textId="77777777" w:rsidR="000849FE" w:rsidRPr="004F6F5D" w:rsidRDefault="000849FE" w:rsidP="000849FE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5B29D8CC" w14:textId="77777777" w:rsidR="000849FE" w:rsidRPr="00AA65B4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AA65B4">
        <w:rPr>
          <w:rFonts w:asciiTheme="minorHAnsi" w:eastAsiaTheme="minorHAnsi" w:hAnsiTheme="minorHAnsi" w:cstheme="minorHAnsi"/>
          <w:b/>
        </w:rPr>
        <w:t>Kontrolovaná osoba:</w:t>
      </w:r>
    </w:p>
    <w:p w14:paraId="6F6EF554" w14:textId="77777777" w:rsidR="000849FE" w:rsidRPr="00AA65B4" w:rsidRDefault="000849FE" w:rsidP="000849FE">
      <w:pPr>
        <w:rPr>
          <w:rFonts w:cs="Calibri"/>
        </w:rPr>
      </w:pPr>
      <w:r w:rsidRPr="00AA65B4">
        <w:rPr>
          <w:rFonts w:cs="Calibri"/>
          <w:iCs/>
        </w:rPr>
        <w:t>M</w:t>
      </w:r>
      <w:r w:rsidR="00AA65B4" w:rsidRPr="00AA65B4">
        <w:rPr>
          <w:rFonts w:cs="Calibri"/>
          <w:iCs/>
        </w:rPr>
        <w:t>inisterstvo pro místní rozvoj</w:t>
      </w:r>
      <w:r w:rsidRPr="00AA65B4">
        <w:rPr>
          <w:rFonts w:cs="Calibri"/>
        </w:rPr>
        <w:t xml:space="preserve"> (dále také „M</w:t>
      </w:r>
      <w:r w:rsidR="00AA65B4" w:rsidRPr="00AA65B4">
        <w:rPr>
          <w:rFonts w:cs="Calibri"/>
        </w:rPr>
        <w:t>MR</w:t>
      </w:r>
      <w:r w:rsidRPr="00AA65B4">
        <w:rPr>
          <w:rFonts w:cs="Calibri"/>
        </w:rPr>
        <w:t>“).</w:t>
      </w:r>
    </w:p>
    <w:p w14:paraId="0EC694F3" w14:textId="77777777" w:rsidR="000849FE" w:rsidRPr="004F6F5D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734CE473" w14:textId="77777777" w:rsidR="000849FE" w:rsidRPr="00AA65B4" w:rsidRDefault="000849FE" w:rsidP="00DF6AD0">
      <w:pPr>
        <w:jc w:val="both"/>
        <w:rPr>
          <w:rFonts w:asciiTheme="minorHAnsi" w:eastAsiaTheme="minorHAnsi" w:hAnsiTheme="minorHAnsi" w:cstheme="minorHAnsi"/>
        </w:rPr>
      </w:pPr>
      <w:r w:rsidRPr="00AA65B4">
        <w:rPr>
          <w:rFonts w:asciiTheme="minorHAnsi" w:eastAsiaTheme="minorHAnsi" w:hAnsiTheme="minorHAnsi" w:cstheme="minorHAnsi"/>
        </w:rPr>
        <w:t xml:space="preserve">Kontrolováno bylo období roku </w:t>
      </w:r>
      <w:r w:rsidR="00AA65B4" w:rsidRPr="00AA65B4">
        <w:rPr>
          <w:rFonts w:asciiTheme="minorHAnsi" w:eastAsiaTheme="minorHAnsi" w:hAnsiTheme="minorHAnsi" w:cstheme="minorHAnsi"/>
        </w:rPr>
        <w:t>2023</w:t>
      </w:r>
      <w:r w:rsidRPr="00AA65B4">
        <w:rPr>
          <w:rFonts w:asciiTheme="minorHAnsi" w:eastAsiaTheme="minorHAnsi" w:hAnsiTheme="minorHAnsi" w:cstheme="minorHAnsi"/>
        </w:rPr>
        <w:t xml:space="preserve"> včetně souvisejících skutečností </w:t>
      </w:r>
      <w:r w:rsidRPr="00AA65B4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AA65B4">
        <w:rPr>
          <w:rFonts w:asciiTheme="minorHAnsi" w:eastAsiaTheme="minorHAnsi" w:hAnsiTheme="minorHAnsi" w:cstheme="minorHAnsi"/>
        </w:rPr>
        <w:t>.</w:t>
      </w:r>
    </w:p>
    <w:p w14:paraId="67E4F621" w14:textId="77777777" w:rsidR="000849FE" w:rsidRPr="004F6F5D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55C32E9F" w14:textId="77777777" w:rsidR="000849FE" w:rsidRPr="00AA65B4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AA65B4">
        <w:rPr>
          <w:rFonts w:asciiTheme="minorHAnsi" w:eastAsiaTheme="minorHAnsi" w:hAnsiTheme="minorHAnsi" w:cstheme="minorHAnsi"/>
        </w:rPr>
        <w:t xml:space="preserve">Kontrola byla prováděna u kontrolované osoby v době od srpna </w:t>
      </w:r>
      <w:r w:rsidR="00AA65B4" w:rsidRPr="00AA65B4">
        <w:rPr>
          <w:rFonts w:asciiTheme="minorHAnsi" w:eastAsiaTheme="minorHAnsi" w:hAnsiTheme="minorHAnsi" w:cstheme="minorHAnsi"/>
        </w:rPr>
        <w:t>2023</w:t>
      </w:r>
      <w:r w:rsidRPr="00AA65B4">
        <w:rPr>
          <w:rFonts w:asciiTheme="minorHAnsi" w:eastAsiaTheme="minorHAnsi" w:hAnsiTheme="minorHAnsi" w:cstheme="minorHAnsi"/>
        </w:rPr>
        <w:t xml:space="preserve"> do </w:t>
      </w:r>
      <w:r w:rsidR="00AA65B4" w:rsidRPr="00AA65B4">
        <w:rPr>
          <w:rFonts w:asciiTheme="minorHAnsi" w:eastAsiaTheme="minorHAnsi" w:hAnsiTheme="minorHAnsi" w:cstheme="minorHAnsi"/>
        </w:rPr>
        <w:t>května</w:t>
      </w:r>
      <w:r w:rsidRPr="00AA65B4">
        <w:rPr>
          <w:rFonts w:asciiTheme="minorHAnsi" w:eastAsiaTheme="minorHAnsi" w:hAnsiTheme="minorHAnsi" w:cstheme="minorHAnsi"/>
        </w:rPr>
        <w:t xml:space="preserve"> 202</w:t>
      </w:r>
      <w:r w:rsidR="00AA65B4" w:rsidRPr="00AA65B4">
        <w:rPr>
          <w:rFonts w:asciiTheme="minorHAnsi" w:eastAsiaTheme="minorHAnsi" w:hAnsiTheme="minorHAnsi" w:cstheme="minorHAnsi"/>
        </w:rPr>
        <w:t>4</w:t>
      </w:r>
      <w:r w:rsidRPr="00AA65B4">
        <w:rPr>
          <w:rFonts w:asciiTheme="minorHAnsi" w:eastAsiaTheme="minorHAnsi" w:hAnsiTheme="minorHAnsi" w:cstheme="minorHAnsi"/>
        </w:rPr>
        <w:t>.</w:t>
      </w:r>
    </w:p>
    <w:p w14:paraId="3BE07369" w14:textId="77777777" w:rsidR="000849FE" w:rsidRPr="004F6F5D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CB86155" w14:textId="77777777" w:rsidR="000849FE" w:rsidRPr="004F6F5D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87AB9B8" w14:textId="31F6DFD7" w:rsidR="000849FE" w:rsidRPr="00FB51E9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AA65B4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AA65B4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AA65B4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AA65B4">
        <w:rPr>
          <w:rFonts w:asciiTheme="minorHAnsi" w:eastAsiaTheme="minorHAnsi" w:hAnsiTheme="minorHAnsi" w:cstheme="minorHAnsi"/>
        </w:rPr>
        <w:t xml:space="preserve">   na </w:t>
      </w:r>
      <w:r w:rsidRPr="00FB51E9">
        <w:rPr>
          <w:rFonts w:asciiTheme="minorHAnsi" w:eastAsiaTheme="minorHAnsi" w:hAnsiTheme="minorHAnsi" w:cstheme="minorHAnsi"/>
        </w:rPr>
        <w:t xml:space="preserve">svém </w:t>
      </w:r>
      <w:r w:rsidR="00FB51E9" w:rsidRPr="00FB51E9">
        <w:rPr>
          <w:rFonts w:asciiTheme="minorHAnsi" w:eastAsiaTheme="minorHAnsi" w:hAnsiTheme="minorHAnsi" w:cstheme="minorHAnsi"/>
        </w:rPr>
        <w:t>XII</w:t>
      </w:r>
      <w:r w:rsidRPr="00FB51E9">
        <w:rPr>
          <w:rFonts w:asciiTheme="minorHAnsi" w:eastAsiaTheme="minorHAnsi" w:hAnsiTheme="minorHAnsi" w:cstheme="minorHAnsi"/>
        </w:rPr>
        <w:t xml:space="preserve">. jednání, které se konalo dne </w:t>
      </w:r>
      <w:r w:rsidR="00FB51E9" w:rsidRPr="00FB51E9">
        <w:rPr>
          <w:rFonts w:asciiTheme="minorHAnsi" w:eastAsiaTheme="minorHAnsi" w:hAnsiTheme="minorHAnsi" w:cstheme="minorHAnsi"/>
        </w:rPr>
        <w:t>19</w:t>
      </w:r>
      <w:r w:rsidR="00AA65B4" w:rsidRPr="00FB51E9">
        <w:rPr>
          <w:rFonts w:asciiTheme="minorHAnsi" w:eastAsiaTheme="minorHAnsi" w:hAnsiTheme="minorHAnsi" w:cstheme="minorHAnsi"/>
        </w:rPr>
        <w:t xml:space="preserve">. </w:t>
      </w:r>
      <w:r w:rsidR="00FB51E9" w:rsidRPr="00FB51E9">
        <w:rPr>
          <w:rFonts w:asciiTheme="minorHAnsi" w:eastAsiaTheme="minorHAnsi" w:hAnsiTheme="minorHAnsi" w:cstheme="minorHAnsi"/>
        </w:rPr>
        <w:t>srpna</w:t>
      </w:r>
      <w:r w:rsidR="00094EF0" w:rsidRPr="00FB51E9">
        <w:rPr>
          <w:rFonts w:asciiTheme="minorHAnsi" w:eastAsiaTheme="minorHAnsi" w:hAnsiTheme="minorHAnsi" w:cstheme="minorHAnsi"/>
        </w:rPr>
        <w:t xml:space="preserve"> </w:t>
      </w:r>
      <w:r w:rsidR="00AA65B4" w:rsidRPr="00FB51E9">
        <w:rPr>
          <w:rFonts w:asciiTheme="minorHAnsi" w:eastAsiaTheme="minorHAnsi" w:hAnsiTheme="minorHAnsi" w:cstheme="minorHAnsi"/>
        </w:rPr>
        <w:t>2024</w:t>
      </w:r>
      <w:r w:rsidRPr="00FB51E9">
        <w:rPr>
          <w:rFonts w:asciiTheme="minorHAnsi" w:eastAsiaTheme="minorHAnsi" w:hAnsiTheme="minorHAnsi" w:cstheme="minorHAnsi"/>
        </w:rPr>
        <w:t>,</w:t>
      </w:r>
    </w:p>
    <w:p w14:paraId="57339864" w14:textId="2A749707" w:rsidR="000849FE" w:rsidRPr="00FB51E9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FB51E9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FB51E9">
        <w:rPr>
          <w:rFonts w:asciiTheme="minorHAnsi" w:eastAsiaTheme="minorHAnsi" w:hAnsiTheme="minorHAnsi" w:cstheme="minorHAnsi"/>
        </w:rPr>
        <w:t xml:space="preserve">   usnesením č</w:t>
      </w:r>
      <w:r w:rsidR="00094EF0" w:rsidRPr="00FB51E9">
        <w:rPr>
          <w:rFonts w:asciiTheme="minorHAnsi" w:eastAsiaTheme="minorHAnsi" w:hAnsiTheme="minorHAnsi" w:cstheme="minorHAnsi"/>
        </w:rPr>
        <w:t xml:space="preserve">. </w:t>
      </w:r>
      <w:r w:rsidR="00F30621">
        <w:rPr>
          <w:rFonts w:asciiTheme="minorHAnsi" w:eastAsiaTheme="minorHAnsi" w:hAnsiTheme="minorHAnsi" w:cstheme="minorHAnsi"/>
        </w:rPr>
        <w:t>5</w:t>
      </w:r>
      <w:r w:rsidR="00094EF0" w:rsidRPr="00FB51E9">
        <w:rPr>
          <w:rFonts w:asciiTheme="minorHAnsi" w:eastAsiaTheme="minorHAnsi" w:hAnsiTheme="minorHAnsi" w:cstheme="minorHAnsi"/>
        </w:rPr>
        <w:t>/</w:t>
      </w:r>
      <w:r w:rsidR="00FB51E9" w:rsidRPr="00FB51E9">
        <w:rPr>
          <w:rFonts w:asciiTheme="minorHAnsi" w:eastAsiaTheme="minorHAnsi" w:hAnsiTheme="minorHAnsi" w:cstheme="minorHAnsi"/>
        </w:rPr>
        <w:t>XII</w:t>
      </w:r>
      <w:r w:rsidR="00094EF0" w:rsidRPr="00FB51E9">
        <w:rPr>
          <w:rFonts w:asciiTheme="minorHAnsi" w:eastAsiaTheme="minorHAnsi" w:hAnsiTheme="minorHAnsi" w:cstheme="minorHAnsi"/>
        </w:rPr>
        <w:t>/202</w:t>
      </w:r>
      <w:r w:rsidR="00AA65B4" w:rsidRPr="00FB51E9">
        <w:rPr>
          <w:rFonts w:asciiTheme="minorHAnsi" w:eastAsiaTheme="minorHAnsi" w:hAnsiTheme="minorHAnsi" w:cstheme="minorHAnsi"/>
        </w:rPr>
        <w:t>4</w:t>
      </w:r>
    </w:p>
    <w:p w14:paraId="716A1848" w14:textId="77777777" w:rsidR="000849FE" w:rsidRPr="00AA65B4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AA65B4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AA65B4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AA65B4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AA65B4">
        <w:rPr>
          <w:rFonts w:asciiTheme="minorHAnsi" w:eastAsiaTheme="minorHAnsi" w:hAnsiTheme="minorHAnsi" w:cstheme="minorHAnsi"/>
        </w:rPr>
        <w:t xml:space="preserve">   v tomto znění:</w:t>
      </w:r>
    </w:p>
    <w:p w14:paraId="0E3267D6" w14:textId="77777777" w:rsidR="00CA5B95" w:rsidRPr="004F6F5D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EC642F3" w14:textId="77777777" w:rsidR="00F20716" w:rsidRPr="00D0329E" w:rsidRDefault="00CA5B95" w:rsidP="00AF15FA">
      <w:pPr>
        <w:jc w:val="center"/>
        <w:rPr>
          <w:rStyle w:val="A4"/>
          <w:rFonts w:eastAsiaTheme="majorEastAsia"/>
          <w:b/>
          <w:sz w:val="32"/>
          <w:szCs w:val="32"/>
        </w:rPr>
      </w:pPr>
      <w:r w:rsidRPr="004F6F5D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  <w:br w:type="page"/>
      </w:r>
      <w:r w:rsidR="00F20716" w:rsidRPr="00D0329E">
        <w:rPr>
          <w:rStyle w:val="A4"/>
          <w:rFonts w:eastAsiaTheme="majorEastAsia"/>
          <w:b/>
          <w:sz w:val="32"/>
          <w:szCs w:val="32"/>
        </w:rPr>
        <w:lastRenderedPageBreak/>
        <w:t>Účetní závěrka, výkaz pro hodnocení plnění rozpočtu</w:t>
      </w:r>
      <w:r w:rsidR="00AA65B4" w:rsidRPr="00D0329E">
        <w:rPr>
          <w:rStyle w:val="A4"/>
          <w:rFonts w:eastAsiaTheme="majorEastAsia"/>
          <w:b/>
          <w:sz w:val="32"/>
          <w:szCs w:val="32"/>
        </w:rPr>
        <w:t>, závěrečný účet</w:t>
      </w:r>
      <w:r w:rsidR="005006B3">
        <w:rPr>
          <w:rStyle w:val="A4"/>
          <w:rFonts w:eastAsiaTheme="majorEastAsia"/>
          <w:b/>
          <w:sz w:val="32"/>
          <w:szCs w:val="32"/>
        </w:rPr>
        <w:t xml:space="preserve"> </w:t>
      </w:r>
      <w:r w:rsidR="00F20716" w:rsidRPr="00D0329E">
        <w:rPr>
          <w:rStyle w:val="A4"/>
          <w:rFonts w:eastAsiaTheme="majorEastAsia"/>
          <w:b/>
          <w:sz w:val="32"/>
          <w:szCs w:val="32"/>
        </w:rPr>
        <w:t>a vnitřní kontrolní systém M</w:t>
      </w:r>
      <w:r w:rsidR="00D0329E" w:rsidRPr="00D0329E">
        <w:rPr>
          <w:rStyle w:val="A4"/>
          <w:rFonts w:eastAsiaTheme="majorEastAsia"/>
          <w:b/>
          <w:sz w:val="32"/>
          <w:szCs w:val="32"/>
        </w:rPr>
        <w:t>MR</w:t>
      </w:r>
      <w:r w:rsidR="00F20716" w:rsidRPr="00D0329E">
        <w:rPr>
          <w:rStyle w:val="A4"/>
          <w:rFonts w:eastAsiaTheme="majorEastAsia"/>
          <w:b/>
          <w:sz w:val="32"/>
          <w:szCs w:val="32"/>
        </w:rPr>
        <w:t xml:space="preserve"> za rok 202</w:t>
      </w:r>
      <w:r w:rsidR="00D0329E" w:rsidRPr="00D0329E">
        <w:rPr>
          <w:rStyle w:val="A4"/>
          <w:rFonts w:eastAsiaTheme="majorEastAsia"/>
          <w:b/>
          <w:sz w:val="32"/>
          <w:szCs w:val="32"/>
        </w:rPr>
        <w:t>3</w:t>
      </w:r>
    </w:p>
    <w:p w14:paraId="570345AF" w14:textId="77777777" w:rsidR="00F20716" w:rsidRPr="004F6F5D" w:rsidRDefault="00F20716" w:rsidP="00F20716">
      <w:pPr>
        <w:jc w:val="center"/>
        <w:rPr>
          <w:rStyle w:val="A5"/>
          <w:rFonts w:cs="Calibri"/>
          <w:sz w:val="32"/>
          <w:szCs w:val="32"/>
          <w:highlight w:val="yellow"/>
        </w:rPr>
      </w:pPr>
    </w:p>
    <w:p w14:paraId="33952982" w14:textId="77777777" w:rsidR="00F20716" w:rsidRPr="00D0329E" w:rsidRDefault="00F20716" w:rsidP="006E0AFD">
      <w:pPr>
        <w:jc w:val="both"/>
        <w:rPr>
          <w:rStyle w:val="A4"/>
          <w:rFonts w:eastAsiaTheme="majorEastAsia"/>
          <w:sz w:val="24"/>
          <w:szCs w:val="24"/>
        </w:rPr>
      </w:pPr>
      <w:r w:rsidRPr="00D0329E">
        <w:rPr>
          <w:rStyle w:val="A5"/>
          <w:rFonts w:cs="Calibri"/>
          <w:sz w:val="24"/>
          <w:szCs w:val="24"/>
        </w:rPr>
        <w:t xml:space="preserve">NKÚ zahájil kontrolu </w:t>
      </w:r>
      <w:r w:rsidR="001B6F75" w:rsidRPr="00D0329E">
        <w:rPr>
          <w:rStyle w:val="A5"/>
          <w:rFonts w:cs="Calibri"/>
          <w:sz w:val="24"/>
          <w:szCs w:val="24"/>
        </w:rPr>
        <w:t>v průběhu kontrolovaného období</w:t>
      </w:r>
      <w:r w:rsidR="00D0329E" w:rsidRPr="00D0329E">
        <w:rPr>
          <w:rStyle w:val="A5"/>
          <w:rFonts w:cs="Calibri"/>
          <w:sz w:val="24"/>
          <w:szCs w:val="24"/>
        </w:rPr>
        <w:t xml:space="preserve"> 2023</w:t>
      </w:r>
      <w:r w:rsidR="002F321A" w:rsidRPr="00D0329E">
        <w:rPr>
          <w:rStyle w:val="A5"/>
          <w:rFonts w:cs="Calibri"/>
          <w:sz w:val="24"/>
          <w:szCs w:val="24"/>
        </w:rPr>
        <w:t xml:space="preserve">. </w:t>
      </w:r>
      <w:r w:rsidR="00D0329E" w:rsidRPr="00D0329E">
        <w:rPr>
          <w:rStyle w:val="A5"/>
          <w:rFonts w:cs="Calibri"/>
          <w:sz w:val="24"/>
          <w:szCs w:val="24"/>
        </w:rPr>
        <w:t xml:space="preserve">Ministerstvo pro místní rozvoj </w:t>
      </w:r>
      <w:r w:rsidRPr="00D0329E">
        <w:rPr>
          <w:rStyle w:val="A5"/>
          <w:rFonts w:cs="Calibri"/>
          <w:sz w:val="24"/>
          <w:szCs w:val="24"/>
        </w:rPr>
        <w:t>tak mohl</w:t>
      </w:r>
      <w:r w:rsidR="00D0329E" w:rsidRPr="00D0329E">
        <w:rPr>
          <w:rStyle w:val="A5"/>
          <w:rFonts w:cs="Calibri"/>
          <w:sz w:val="24"/>
          <w:szCs w:val="24"/>
        </w:rPr>
        <w:t>o</w:t>
      </w:r>
      <w:r w:rsidRPr="00D0329E">
        <w:rPr>
          <w:rStyle w:val="A5"/>
          <w:rFonts w:cs="Calibri"/>
          <w:sz w:val="24"/>
          <w:szCs w:val="24"/>
        </w:rPr>
        <w:t xml:space="preserve"> zjištěné nedostatky průběžně opravovat.</w:t>
      </w:r>
    </w:p>
    <w:p w14:paraId="7C663F62" w14:textId="77777777" w:rsidR="002F321A" w:rsidRPr="004F6F5D" w:rsidRDefault="002F321A" w:rsidP="002F321A">
      <w:pPr>
        <w:rPr>
          <w:rFonts w:asciiTheme="minorHAnsi" w:hAnsiTheme="minorHAnsi"/>
          <w:szCs w:val="22"/>
          <w:highlight w:val="yellow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2F321A" w:rsidRPr="004F6F5D" w14:paraId="447FF685" w14:textId="77777777" w:rsidTr="002F321A">
        <w:tc>
          <w:tcPr>
            <w:tcW w:w="2835" w:type="dxa"/>
            <w:vAlign w:val="center"/>
          </w:tcPr>
          <w:p w14:paraId="799A86AA" w14:textId="77777777" w:rsidR="002F321A" w:rsidRPr="004F6F5D" w:rsidRDefault="002F321A">
            <w:pPr>
              <w:spacing w:after="0"/>
              <w:rPr>
                <w:b/>
                <w:sz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82D0F89" w14:textId="77777777" w:rsidR="002F321A" w:rsidRPr="004F6F5D" w:rsidRDefault="002F321A">
            <w:pPr>
              <w:rPr>
                <w:b/>
                <w:highlight w:val="yellow"/>
              </w:rPr>
            </w:pPr>
          </w:p>
        </w:tc>
        <w:tc>
          <w:tcPr>
            <w:tcW w:w="2405" w:type="dxa"/>
            <w:vAlign w:val="center"/>
            <w:hideMark/>
          </w:tcPr>
          <w:p w14:paraId="33B9C446" w14:textId="77777777" w:rsidR="002F321A" w:rsidRPr="0001734F" w:rsidRDefault="002F321A">
            <w:pPr>
              <w:spacing w:after="240"/>
              <w:jc w:val="center"/>
              <w:rPr>
                <w:b/>
                <w:sz w:val="28"/>
              </w:rPr>
            </w:pPr>
            <w:r w:rsidRPr="0001734F">
              <w:rPr>
                <w:b/>
              </w:rPr>
              <w:t xml:space="preserve">Opravy v průběhu </w:t>
            </w:r>
            <w:r w:rsidRPr="0001734F">
              <w:rPr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78AB9289" w14:textId="77777777" w:rsidR="002F321A" w:rsidRPr="0001734F" w:rsidRDefault="002F321A">
            <w:pPr>
              <w:rPr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69217B31" w14:textId="77777777" w:rsidR="002F321A" w:rsidRPr="0001734F" w:rsidRDefault="002F321A">
            <w:pPr>
              <w:spacing w:after="240"/>
              <w:jc w:val="center"/>
              <w:rPr>
                <w:b/>
              </w:rPr>
            </w:pPr>
            <w:r w:rsidRPr="0001734F">
              <w:rPr>
                <w:b/>
              </w:rPr>
              <w:t>Výsledný stav po provedených opravách</w:t>
            </w:r>
          </w:p>
        </w:tc>
      </w:tr>
    </w:tbl>
    <w:p w14:paraId="7C211F7C" w14:textId="77777777" w:rsidR="002F321A" w:rsidRPr="0001734F" w:rsidRDefault="002F321A" w:rsidP="002F321A">
      <w:pPr>
        <w:rPr>
          <w:rFonts w:asciiTheme="minorHAnsi" w:hAnsiTheme="minorHAnsi" w:cstheme="minorBidi"/>
          <w:sz w:val="22"/>
          <w:szCs w:val="22"/>
        </w:rPr>
      </w:pPr>
      <w:r w:rsidRPr="0001734F">
        <w:rPr>
          <w:noProof/>
        </w:rPr>
        <w:drawing>
          <wp:inline distT="0" distB="0" distL="0" distR="0" wp14:anchorId="2880F4E3" wp14:editId="763F63BB">
            <wp:extent cx="5771515" cy="716915"/>
            <wp:effectExtent l="38100" t="0" r="19685" b="2603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DC1C9B7" w14:textId="77777777" w:rsidR="002F321A" w:rsidRPr="0001734F" w:rsidRDefault="002F321A" w:rsidP="002F321A">
      <w:r w:rsidRPr="0001734F">
        <w:rPr>
          <w:noProof/>
        </w:rPr>
        <w:drawing>
          <wp:inline distT="0" distB="0" distL="0" distR="0" wp14:anchorId="78E1F0C5" wp14:editId="0EDEAEE1">
            <wp:extent cx="5771515" cy="716915"/>
            <wp:effectExtent l="38100" t="0" r="19685" b="2603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E643A16" w14:textId="77777777" w:rsidR="002F321A" w:rsidRPr="0001734F" w:rsidRDefault="002F321A" w:rsidP="002F321A">
      <w:r w:rsidRPr="0001734F">
        <w:rPr>
          <w:noProof/>
        </w:rPr>
        <w:drawing>
          <wp:inline distT="0" distB="0" distL="0" distR="0" wp14:anchorId="0FE7A437" wp14:editId="4493877B">
            <wp:extent cx="5771515" cy="716915"/>
            <wp:effectExtent l="38100" t="0" r="19685" b="2603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56153834" w14:textId="77777777" w:rsidR="0001734F" w:rsidRPr="0001734F" w:rsidRDefault="0001734F" w:rsidP="0001734F">
      <w:r w:rsidRPr="0001734F">
        <w:rPr>
          <w:noProof/>
        </w:rPr>
        <w:drawing>
          <wp:inline distT="0" distB="0" distL="0" distR="0" wp14:anchorId="6AC147AF" wp14:editId="13E7E1CA">
            <wp:extent cx="5771515" cy="716915"/>
            <wp:effectExtent l="38100" t="0" r="19685" b="2603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071A1768" w14:textId="77777777" w:rsidR="002F321A" w:rsidRPr="004F6F5D" w:rsidRDefault="002F321A" w:rsidP="002F321A">
      <w:pPr>
        <w:rPr>
          <w:b/>
          <w:highlight w:val="yellow"/>
        </w:rPr>
      </w:pPr>
    </w:p>
    <w:p w14:paraId="0F00B592" w14:textId="1290E7A2" w:rsidR="002F321A" w:rsidRPr="00C32936" w:rsidRDefault="002F321A" w:rsidP="003B7324">
      <w:r w:rsidRPr="00C329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1CDB45C" wp14:editId="29F02BDC">
                <wp:simplePos x="0" y="0"/>
                <wp:positionH relativeFrom="column">
                  <wp:posOffset>-3175</wp:posOffset>
                </wp:positionH>
                <wp:positionV relativeFrom="paragraph">
                  <wp:posOffset>3175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4F999" id="Obdélník: se zakulacenými rohy 10" o:spid="_x0000_s1026" style="position:absolute;margin-left:-.25pt;margin-top:.25pt;width:14.15pt;height:1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" fillcolor="#2eb3a1" stroked="f" strokeweight="1pt">
                <v:stroke joinstyle="miter"/>
                <w10:wrap type="tight"/>
              </v:roundrect>
            </w:pict>
          </mc:Fallback>
        </mc:AlternateContent>
      </w:r>
      <w:r w:rsidRPr="00C32936">
        <w:t>Nebyly zjištěny významné nesprávnosti</w:t>
      </w:r>
      <w:r w:rsidR="00814E30" w:rsidRPr="00C32936">
        <w:t>/nedostatky</w:t>
      </w:r>
      <w:r w:rsidR="00BA7667">
        <w:t>.</w:t>
      </w:r>
    </w:p>
    <w:p w14:paraId="29424BC7" w14:textId="5C2753A3" w:rsidR="002F321A" w:rsidRPr="00C32936" w:rsidRDefault="002F321A">
      <w:r w:rsidRPr="00C329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D3F7CCC" wp14:editId="47A364D7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EBEF94D" id="Obdélník: se zakulacenými rohy 6" o:spid="_x0000_s1026" style="position:absolute;margin-left:-.35pt;margin-top:.35pt;width:14.15pt;height:14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" fillcolor="#fdc300" stroked="f" strokeweight="1pt">
                <v:stroke joinstyle="miter"/>
                <w10:wrap type="tight"/>
              </v:roundrect>
            </w:pict>
          </mc:Fallback>
        </mc:AlternateContent>
      </w:r>
      <w:r w:rsidRPr="00C32936">
        <w:t>Byly zjištěny významné nesprávnosti</w:t>
      </w:r>
      <w:r w:rsidR="00814E30" w:rsidRPr="00C32936">
        <w:t>/nedostatky</w:t>
      </w:r>
      <w:r w:rsidR="00B61D07">
        <w:t>.</w:t>
      </w:r>
    </w:p>
    <w:p w14:paraId="6F61CB6F" w14:textId="6BC079AA" w:rsidR="002F321A" w:rsidRPr="00C32936" w:rsidRDefault="002F321A" w:rsidP="00B61D07">
      <w:pPr>
        <w:jc w:val="both"/>
      </w:pPr>
      <w:r w:rsidRPr="00B61D07"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26077ED" wp14:editId="29E5A78D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3EB05ED" id="Obdélník: se zakulacenými rohy 7" o:spid="_x0000_s1026" style="position:absolute;margin-left:-.35pt;margin-top:-.2pt;width:14.15pt;height:1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" fillcolor="#af1953" stroked="f" strokeweight="1pt">
                <v:stroke joinstyle="miter"/>
                <w10:wrap type="tight"/>
              </v:roundrect>
            </w:pict>
          </mc:Fallback>
        </mc:AlternateContent>
      </w:r>
      <w:r w:rsidRPr="00B61D07">
        <w:rPr>
          <w:spacing w:val="-2"/>
        </w:rPr>
        <w:t>Byly zjištěny významné nesprávnosti</w:t>
      </w:r>
      <w:r w:rsidR="00814E30" w:rsidRPr="00B61D07">
        <w:rPr>
          <w:spacing w:val="-2"/>
        </w:rPr>
        <w:t>/nedostatky</w:t>
      </w:r>
      <w:r w:rsidRPr="00B61D07">
        <w:rPr>
          <w:spacing w:val="-2"/>
        </w:rPr>
        <w:t xml:space="preserve"> s rozsáhlým dopadem na oblast</w:t>
      </w:r>
      <w:r w:rsidR="003B7324" w:rsidRPr="00B61D07">
        <w:rPr>
          <w:spacing w:val="-2"/>
        </w:rPr>
        <w:t xml:space="preserve"> </w:t>
      </w:r>
      <w:r w:rsidRPr="00B61D07">
        <w:rPr>
          <w:spacing w:val="-2"/>
        </w:rPr>
        <w:t>kontrol</w:t>
      </w:r>
      <w:r w:rsidR="003B7324" w:rsidRPr="00B61D07">
        <w:rPr>
          <w:spacing w:val="-2"/>
        </w:rPr>
        <w:t>y</w:t>
      </w:r>
      <w:r w:rsidR="00B61D07">
        <w:t>.</w:t>
      </w:r>
    </w:p>
    <w:p w14:paraId="5FFFA840" w14:textId="77777777" w:rsidR="00F20716" w:rsidRPr="004F6F5D" w:rsidRDefault="00F20716" w:rsidP="00876A96">
      <w:pPr>
        <w:spacing w:after="160" w:line="259" w:lineRule="auto"/>
        <w:rPr>
          <w:highlight w:val="yellow"/>
        </w:rPr>
      </w:pPr>
    </w:p>
    <w:p w14:paraId="6DE687EC" w14:textId="77777777" w:rsidR="00F20716" w:rsidRPr="004F6F5D" w:rsidRDefault="00F20716" w:rsidP="00876A96">
      <w:pPr>
        <w:spacing w:after="160" w:line="259" w:lineRule="auto"/>
        <w:rPr>
          <w:highlight w:val="yellow"/>
        </w:rPr>
      </w:pPr>
    </w:p>
    <w:p w14:paraId="3FF95F6C" w14:textId="77777777" w:rsidR="00752399" w:rsidRPr="004F6F5D" w:rsidRDefault="00F057C7" w:rsidP="00876A96">
      <w:pPr>
        <w:spacing w:after="160" w:line="259" w:lineRule="auto"/>
        <w:rPr>
          <w:highlight w:val="yellow"/>
        </w:rPr>
      </w:pPr>
      <w:r w:rsidRPr="004F6F5D">
        <w:rPr>
          <w:highlight w:val="yellow"/>
        </w:rPr>
        <w:br w:type="page"/>
      </w:r>
    </w:p>
    <w:p w14:paraId="5CCE8148" w14:textId="77777777" w:rsidR="0033466E" w:rsidRPr="001E3826" w:rsidRDefault="00A640AE" w:rsidP="00D10727">
      <w:pPr>
        <w:pStyle w:val="Styl1"/>
        <w:ind w:left="414" w:hanging="57"/>
      </w:pPr>
      <w:r w:rsidRPr="001E3826">
        <w:lastRenderedPageBreak/>
        <w:t>Shrnutí a vyhodnocení</w:t>
      </w:r>
    </w:p>
    <w:p w14:paraId="79429932" w14:textId="77777777" w:rsidR="00183D64" w:rsidRPr="004F6F5D" w:rsidRDefault="00183D64" w:rsidP="00183D64">
      <w:pPr>
        <w:spacing w:after="0"/>
        <w:jc w:val="both"/>
        <w:rPr>
          <w:highlight w:val="yellow"/>
        </w:rPr>
      </w:pPr>
    </w:p>
    <w:p w14:paraId="0AFBFE8A" w14:textId="77777777" w:rsidR="003E3D74" w:rsidRPr="004F6F5D" w:rsidRDefault="003E3D74" w:rsidP="005F4282">
      <w:pPr>
        <w:spacing w:before="120" w:line="200" w:lineRule="atLeast"/>
        <w:jc w:val="both"/>
        <w:rPr>
          <w:rFonts w:asciiTheme="minorHAnsi" w:hAnsiTheme="minorHAnsi" w:cstheme="minorHAnsi"/>
          <w:bCs/>
          <w:highlight w:val="yellow"/>
        </w:rPr>
      </w:pPr>
      <w:r w:rsidRPr="001E3826">
        <w:rPr>
          <w:rFonts w:asciiTheme="minorHAnsi" w:eastAsiaTheme="minorHAnsi" w:hAnsiTheme="minorHAnsi" w:cstheme="minorHAnsi"/>
        </w:rPr>
        <w:t xml:space="preserve">Cílem kontroly bylo prověřit, zda </w:t>
      </w:r>
      <w:r w:rsidR="001E3826" w:rsidRPr="001E3826">
        <w:rPr>
          <w:rFonts w:asciiTheme="minorHAnsi" w:eastAsiaTheme="minorHAnsi" w:hAnsiTheme="minorHAnsi" w:cstheme="minorHAnsi"/>
        </w:rPr>
        <w:t>M</w:t>
      </w:r>
      <w:r w:rsidR="001E3826">
        <w:rPr>
          <w:rFonts w:asciiTheme="minorHAnsi" w:eastAsiaTheme="minorHAnsi" w:hAnsiTheme="minorHAnsi" w:cstheme="minorHAnsi"/>
        </w:rPr>
        <w:t>MR</w:t>
      </w:r>
      <w:r w:rsidR="001E3826" w:rsidRPr="001E3826">
        <w:rPr>
          <w:rFonts w:asciiTheme="minorHAnsi" w:eastAsiaTheme="minorHAnsi" w:hAnsiTheme="minorHAnsi" w:cstheme="minorHAnsi"/>
        </w:rPr>
        <w:t xml:space="preserve"> při sestavení závěrečného účtu</w:t>
      </w:r>
      <w:r w:rsidR="00B75F34">
        <w:rPr>
          <w:rFonts w:asciiTheme="minorHAnsi" w:eastAsiaTheme="minorHAnsi" w:hAnsiTheme="minorHAnsi" w:cstheme="minorHAnsi"/>
        </w:rPr>
        <w:t xml:space="preserve"> a</w:t>
      </w:r>
      <w:r w:rsidR="001E3826" w:rsidRPr="001E3826">
        <w:rPr>
          <w:rFonts w:asciiTheme="minorHAnsi" w:eastAsiaTheme="minorHAnsi" w:hAnsiTheme="minorHAnsi" w:cstheme="minorHAnsi"/>
        </w:rPr>
        <w:t xml:space="preserve"> při vedení účetnictví</w:t>
      </w:r>
      <w:r w:rsidR="00B75F34">
        <w:rPr>
          <w:rFonts w:asciiTheme="minorHAnsi" w:eastAsiaTheme="minorHAnsi" w:hAnsiTheme="minorHAnsi" w:cstheme="minorHAnsi"/>
        </w:rPr>
        <w:t xml:space="preserve"> a</w:t>
      </w:r>
      <w:r w:rsidR="001E3826" w:rsidRPr="001E3826">
        <w:rPr>
          <w:rFonts w:asciiTheme="minorHAnsi" w:eastAsiaTheme="minorHAnsi" w:hAnsiTheme="minorHAnsi" w:cstheme="minorHAnsi"/>
        </w:rPr>
        <w:t xml:space="preserve"> sestavení účetní závěrky a předkládání údajů pro hodnocení plnění státního rozpočtu za rok 2023 postupovalo v souladu s příslušnými právními předpisy.</w:t>
      </w:r>
      <w:r w:rsidR="009B7DCB" w:rsidRPr="004F6F5D">
        <w:rPr>
          <w:rFonts w:asciiTheme="minorHAnsi" w:eastAsiaTheme="minorHAnsi" w:hAnsiTheme="minorHAnsi" w:cstheme="minorHAnsi"/>
          <w:highlight w:val="yellow"/>
        </w:rPr>
        <w:t xml:space="preserve"> </w:t>
      </w:r>
    </w:p>
    <w:p w14:paraId="0060B2DA" w14:textId="77777777" w:rsidR="00EA4390" w:rsidRPr="001E3826" w:rsidRDefault="00EA4390" w:rsidP="005F4282">
      <w:pPr>
        <w:spacing w:before="120" w:after="0"/>
        <w:jc w:val="both"/>
        <w:rPr>
          <w:rFonts w:eastAsiaTheme="minorHAnsi" w:cs="Calibri"/>
        </w:rPr>
      </w:pPr>
      <w:r w:rsidRPr="001E3826">
        <w:rPr>
          <w:rFonts w:eastAsiaTheme="minorHAnsi" w:cs="Calibri"/>
        </w:rPr>
        <w:t>K</w:t>
      </w:r>
      <w:r w:rsidR="005006B3">
        <w:rPr>
          <w:rFonts w:eastAsiaTheme="minorHAnsi" w:cs="Calibri"/>
        </w:rPr>
        <w:t>ontrolní akce</w:t>
      </w:r>
      <w:r w:rsidR="00F7140E" w:rsidRPr="001E3826">
        <w:rPr>
          <w:rFonts w:eastAsiaTheme="minorHAnsi" w:cs="Calibri"/>
        </w:rPr>
        <w:t xml:space="preserve"> byla zahájena v průběhu kontrolovaného účetního a rozpočtového období </w:t>
      </w:r>
      <w:r w:rsidR="001E3826" w:rsidRPr="001E3826">
        <w:rPr>
          <w:rFonts w:eastAsiaTheme="minorHAnsi" w:cs="Calibri"/>
        </w:rPr>
        <w:t>2023</w:t>
      </w:r>
      <w:r w:rsidR="00F7140E" w:rsidRPr="001E3826">
        <w:rPr>
          <w:rFonts w:eastAsiaTheme="minorHAnsi" w:cs="Calibri"/>
        </w:rPr>
        <w:t>.</w:t>
      </w:r>
      <w:r w:rsidRPr="001E3826">
        <w:rPr>
          <w:rFonts w:eastAsiaTheme="minorHAnsi" w:cs="Calibri"/>
        </w:rPr>
        <w:t xml:space="preserve"> </w:t>
      </w:r>
    </w:p>
    <w:p w14:paraId="18BA09F3" w14:textId="77777777" w:rsidR="002B70D5" w:rsidRPr="004F6F5D" w:rsidRDefault="002B70D5" w:rsidP="00A7348F">
      <w:pPr>
        <w:spacing w:after="0"/>
        <w:rPr>
          <w:highlight w:val="yellow"/>
        </w:rPr>
      </w:pPr>
    </w:p>
    <w:p w14:paraId="341C5DF6" w14:textId="77777777" w:rsidR="0029520A" w:rsidRPr="001E3826" w:rsidRDefault="00D966F6" w:rsidP="00F23245">
      <w:pPr>
        <w:pStyle w:val="Styl2"/>
        <w:numPr>
          <w:ilvl w:val="0"/>
          <w:numId w:val="6"/>
        </w:numPr>
        <w:ind w:left="340" w:hanging="340"/>
      </w:pPr>
      <w:r w:rsidRPr="001E3826">
        <w:t>Vedení účetnictví</w:t>
      </w:r>
      <w:r w:rsidR="00E45844" w:rsidRPr="001E3826">
        <w:t xml:space="preserve"> a účetní závěrka</w:t>
      </w:r>
    </w:p>
    <w:tbl>
      <w:tblPr>
        <w:tblStyle w:val="Mkatabulky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84"/>
      </w:tblGrid>
      <w:tr w:rsidR="005F1C00" w:rsidRPr="004F6F5D" w14:paraId="189249A1" w14:textId="77777777" w:rsidTr="00076416">
        <w:trPr>
          <w:trHeight w:val="1189"/>
        </w:trPr>
        <w:tc>
          <w:tcPr>
            <w:tcW w:w="9084" w:type="dxa"/>
            <w:shd w:val="clear" w:color="auto" w:fill="E6E6E6"/>
            <w:tcMar>
              <w:left w:w="142" w:type="dxa"/>
              <w:right w:w="227" w:type="dxa"/>
            </w:tcMar>
          </w:tcPr>
          <w:p w14:paraId="3F4D6E6E" w14:textId="0E94D13A" w:rsidR="00487F34" w:rsidRPr="004F6F5D" w:rsidRDefault="00487F34">
            <w:pPr>
              <w:spacing w:before="120"/>
              <w:ind w:right="-102"/>
              <w:jc w:val="both"/>
              <w:rPr>
                <w:rFonts w:asciiTheme="minorHAnsi" w:hAnsiTheme="minorHAnsi" w:cs="Calibri"/>
                <w:b/>
                <w:highlight w:val="yellow"/>
              </w:rPr>
            </w:pPr>
            <w:bookmarkStart w:id="2" w:name="_Hlk79663883"/>
            <w:r w:rsidRPr="001E3826">
              <w:rPr>
                <w:rFonts w:asciiTheme="minorHAnsi" w:hAnsiTheme="minorHAnsi" w:cs="Calibri"/>
                <w:b/>
              </w:rPr>
              <w:t xml:space="preserve">Účetní závěrka </w:t>
            </w:r>
            <w:r w:rsidR="001E3826" w:rsidRPr="001E3826">
              <w:rPr>
                <w:rFonts w:asciiTheme="minorHAnsi" w:hAnsiTheme="minorHAnsi" w:cs="Calibri"/>
                <w:b/>
              </w:rPr>
              <w:t>MMR</w:t>
            </w:r>
            <w:r w:rsidRPr="001E3826">
              <w:rPr>
                <w:rFonts w:asciiTheme="minorHAnsi" w:hAnsiTheme="minorHAnsi" w:cs="Calibri"/>
                <w:b/>
              </w:rPr>
              <w:t xml:space="preserve"> k 31. prosinci 202</w:t>
            </w:r>
            <w:r w:rsidR="001E3826" w:rsidRPr="001E3826">
              <w:rPr>
                <w:rFonts w:asciiTheme="minorHAnsi" w:hAnsiTheme="minorHAnsi" w:cs="Calibri"/>
                <w:b/>
              </w:rPr>
              <w:t>3</w:t>
            </w:r>
            <w:r w:rsidR="00A53EBF" w:rsidRPr="001E3826">
              <w:rPr>
                <w:rFonts w:asciiTheme="minorHAnsi" w:hAnsiTheme="minorHAnsi" w:cs="Calibri"/>
                <w:b/>
              </w:rPr>
              <w:t xml:space="preserve"> (dále také „ÚZ“)</w:t>
            </w:r>
            <w:r w:rsidRPr="001E3826">
              <w:rPr>
                <w:rFonts w:asciiTheme="minorHAnsi" w:hAnsiTheme="minorHAnsi" w:cs="Calibri"/>
                <w:b/>
              </w:rPr>
              <w:t xml:space="preserve"> podává dle NKÚ ve všech významných ohledech věrný a poctivý obraz předmětu účetnictví a finanční situace účetní jednotky</w:t>
            </w:r>
            <w:r w:rsidR="000878BC" w:rsidRPr="001E3826">
              <w:rPr>
                <w:rFonts w:asciiTheme="minorHAnsi" w:hAnsiTheme="minorHAnsi" w:cs="Calibri"/>
                <w:b/>
              </w:rPr>
              <w:t>, a to</w:t>
            </w:r>
            <w:r w:rsidRPr="001E3826">
              <w:rPr>
                <w:rFonts w:asciiTheme="minorHAnsi" w:hAnsiTheme="minorHAnsi" w:cs="Calibri"/>
                <w:b/>
              </w:rPr>
              <w:t xml:space="preserve"> dle účetních předpisů pro některé vybrané účetní jednotky</w:t>
            </w:r>
            <w:r w:rsidRPr="001E3826">
              <w:rPr>
                <w:rStyle w:val="Znakapoznpodarou"/>
                <w:rFonts w:asciiTheme="minorHAnsi" w:hAnsiTheme="minorHAnsi" w:cs="Calibri"/>
                <w:b/>
              </w:rPr>
              <w:footnoteReference w:id="2"/>
            </w:r>
            <w:r w:rsidRPr="001E3826">
              <w:rPr>
                <w:rFonts w:asciiTheme="minorHAnsi" w:hAnsiTheme="minorHAnsi" w:cs="Calibri"/>
                <w:b/>
              </w:rPr>
              <w:t>.</w:t>
            </w:r>
          </w:p>
        </w:tc>
      </w:tr>
    </w:tbl>
    <w:bookmarkEnd w:id="2"/>
    <w:p w14:paraId="3F1F6CE5" w14:textId="3B00D868" w:rsidR="00743A4E" w:rsidRPr="00B75F34" w:rsidRDefault="00603A22" w:rsidP="005F4282">
      <w:pPr>
        <w:pStyle w:val="Odstavecseseznamem"/>
        <w:spacing w:before="120" w:after="0"/>
        <w:ind w:left="0"/>
        <w:jc w:val="both"/>
        <w:rPr>
          <w:rFonts w:eastAsiaTheme="minorHAnsi" w:cs="Calibri"/>
        </w:rPr>
      </w:pPr>
      <w:r w:rsidRPr="00166166">
        <w:rPr>
          <w:rFonts w:eastAsiaTheme="minorHAnsi" w:cs="Calibri"/>
        </w:rPr>
        <w:t>NKÚ v průběhu kontroly identifikoval nedostatky ve vedení účetnictví</w:t>
      </w:r>
      <w:r w:rsidR="00B20632" w:rsidRPr="00166166">
        <w:rPr>
          <w:rFonts w:eastAsiaTheme="minorHAnsi" w:cs="Calibri"/>
        </w:rPr>
        <w:t>. Tyto nedostatky</w:t>
      </w:r>
      <w:r w:rsidRPr="00166166">
        <w:rPr>
          <w:rFonts w:eastAsiaTheme="minorHAnsi" w:cs="Calibri"/>
        </w:rPr>
        <w:t xml:space="preserve"> by měly </w:t>
      </w:r>
      <w:r w:rsidR="00166166" w:rsidRPr="00166166">
        <w:rPr>
          <w:rFonts w:eastAsiaTheme="minorHAnsi" w:cs="Calibri"/>
        </w:rPr>
        <w:t xml:space="preserve">významný </w:t>
      </w:r>
      <w:r w:rsidR="00B20632" w:rsidRPr="00166166">
        <w:rPr>
          <w:rFonts w:eastAsiaTheme="minorHAnsi" w:cs="Calibri"/>
        </w:rPr>
        <w:t xml:space="preserve">vliv </w:t>
      </w:r>
      <w:r w:rsidRPr="00166166">
        <w:rPr>
          <w:rFonts w:eastAsiaTheme="minorHAnsi" w:cs="Calibri"/>
        </w:rPr>
        <w:t xml:space="preserve">na zůstatky položek účetní závěrky </w:t>
      </w:r>
      <w:r w:rsidR="00166166" w:rsidRPr="00166166">
        <w:rPr>
          <w:rFonts w:eastAsiaTheme="minorHAnsi" w:cs="Calibri"/>
        </w:rPr>
        <w:t>MMR</w:t>
      </w:r>
      <w:r w:rsidRPr="00166166">
        <w:rPr>
          <w:rFonts w:eastAsiaTheme="minorHAnsi" w:cs="Calibri"/>
        </w:rPr>
        <w:t xml:space="preserve"> za rok 202</w:t>
      </w:r>
      <w:r w:rsidR="00166166" w:rsidRPr="00166166">
        <w:rPr>
          <w:rFonts w:eastAsiaTheme="minorHAnsi" w:cs="Calibri"/>
        </w:rPr>
        <w:t>3</w:t>
      </w:r>
      <w:r w:rsidR="00B20632" w:rsidRPr="00166166">
        <w:rPr>
          <w:rFonts w:eastAsiaTheme="minorHAnsi" w:cs="Calibri"/>
        </w:rPr>
        <w:t xml:space="preserve"> ve výši </w:t>
      </w:r>
      <w:r w:rsidR="00166166" w:rsidRPr="00166166">
        <w:rPr>
          <w:rFonts w:eastAsiaTheme="minorHAnsi" w:cs="Calibri"/>
        </w:rPr>
        <w:t>2 651</w:t>
      </w:r>
      <w:r w:rsidR="00B20632" w:rsidRPr="00166166">
        <w:rPr>
          <w:rFonts w:eastAsiaTheme="minorHAnsi" w:cs="Calibri"/>
        </w:rPr>
        <w:t xml:space="preserve"> mil. Kč</w:t>
      </w:r>
      <w:r w:rsidRPr="00166166">
        <w:rPr>
          <w:rFonts w:eastAsiaTheme="minorHAnsi" w:cs="Calibri"/>
        </w:rPr>
        <w:t>.</w:t>
      </w:r>
      <w:r w:rsidR="00166166">
        <w:rPr>
          <w:rFonts w:eastAsiaTheme="minorHAnsi" w:cs="Calibri"/>
        </w:rPr>
        <w:t xml:space="preserve"> </w:t>
      </w:r>
      <w:r w:rsidR="00166166" w:rsidRPr="00BB6CE2">
        <w:rPr>
          <w:rFonts w:eastAsiaTheme="minorHAnsi" w:cs="Calibri"/>
        </w:rPr>
        <w:t>MMR provádělo opravy jak před předáním konsolidačních účetních záznamů za rok 2023 do centrálního systému účetních informací státu</w:t>
      </w:r>
      <w:r w:rsidR="00166166" w:rsidRPr="00BB6CE2">
        <w:rPr>
          <w:rStyle w:val="Znakapoznpodarou"/>
          <w:rFonts w:eastAsiaTheme="minorHAnsi" w:cs="Calibri"/>
        </w:rPr>
        <w:footnoteReference w:id="3"/>
      </w:r>
      <w:r w:rsidR="00166166" w:rsidRPr="00BB6CE2">
        <w:rPr>
          <w:rFonts w:eastAsiaTheme="minorHAnsi" w:cs="Calibri"/>
        </w:rPr>
        <w:t xml:space="preserve"> (dále „CSÚIS“) dle termínů stanovených vyhláškou č. 383/2009 Sb.</w:t>
      </w:r>
      <w:r w:rsidR="00166166" w:rsidRPr="00BB6CE2">
        <w:rPr>
          <w:rStyle w:val="Znakapoznpodarou"/>
          <w:rFonts w:eastAsiaTheme="minorHAnsi" w:cs="Calibri"/>
        </w:rPr>
        <w:footnoteReference w:id="4"/>
      </w:r>
      <w:r w:rsidR="00BB6CE2" w:rsidRPr="00BB6CE2">
        <w:rPr>
          <w:rFonts w:eastAsiaTheme="minorHAnsi" w:cs="Calibri"/>
        </w:rPr>
        <w:t>, tak</w:t>
      </w:r>
      <w:r w:rsidR="00A53481">
        <w:rPr>
          <w:rFonts w:eastAsiaTheme="minorHAnsi" w:cs="Calibri"/>
        </w:rPr>
        <w:t xml:space="preserve"> i</w:t>
      </w:r>
      <w:r w:rsidR="00BB6CE2" w:rsidRPr="00BB6CE2">
        <w:rPr>
          <w:rFonts w:eastAsiaTheme="minorHAnsi" w:cs="Calibri"/>
        </w:rPr>
        <w:t xml:space="preserve"> po tomto datu, a to do doby sestavení ÚZ</w:t>
      </w:r>
      <w:r w:rsidR="00A53481">
        <w:rPr>
          <w:rFonts w:eastAsiaTheme="minorHAnsi" w:cs="Calibri"/>
        </w:rPr>
        <w:t xml:space="preserve"> dne</w:t>
      </w:r>
      <w:r w:rsidR="00BB6CE2" w:rsidRPr="00BB6CE2">
        <w:rPr>
          <w:rFonts w:eastAsiaTheme="minorHAnsi" w:cs="Calibri"/>
        </w:rPr>
        <w:t xml:space="preserve"> 28. března 202</w:t>
      </w:r>
      <w:r w:rsidR="002C2A99">
        <w:rPr>
          <w:rFonts w:eastAsiaTheme="minorHAnsi" w:cs="Calibri"/>
        </w:rPr>
        <w:t>4</w:t>
      </w:r>
      <w:r w:rsidR="00891458">
        <w:rPr>
          <w:rStyle w:val="Znakapoznpodarou"/>
          <w:rFonts w:eastAsiaTheme="minorHAnsi" w:cs="Calibri"/>
        </w:rPr>
        <w:footnoteReference w:id="5"/>
      </w:r>
      <w:r w:rsidR="00755BB9">
        <w:rPr>
          <w:rFonts w:eastAsiaTheme="minorHAnsi" w:cs="Calibri"/>
        </w:rPr>
        <w:t xml:space="preserve"> dl</w:t>
      </w:r>
      <w:r w:rsidR="00BB6CE2" w:rsidRPr="00BB6CE2">
        <w:rPr>
          <w:rFonts w:eastAsiaTheme="minorHAnsi" w:cs="Calibri"/>
        </w:rPr>
        <w:t>e zákona č. 563/1991 Sb.</w:t>
      </w:r>
      <w:r w:rsidR="00BB6CE2" w:rsidRPr="00BB6CE2">
        <w:rPr>
          <w:rStyle w:val="Znakapoznpodarou"/>
          <w:rFonts w:eastAsiaTheme="minorHAnsi" w:cs="Calibri"/>
        </w:rPr>
        <w:footnoteReference w:id="6"/>
      </w:r>
      <w:r w:rsidR="00743A4E">
        <w:rPr>
          <w:rFonts w:eastAsiaTheme="minorHAnsi" w:cs="Calibri"/>
        </w:rPr>
        <w:t xml:space="preserve"> </w:t>
      </w:r>
      <w:r w:rsidR="00743A4E" w:rsidRPr="00B75F34">
        <w:rPr>
          <w:rFonts w:eastAsiaTheme="minorHAnsi" w:cs="Calibri"/>
        </w:rPr>
        <w:t>(viz část IV.1.</w:t>
      </w:r>
      <w:r w:rsidR="00CB4F3F" w:rsidRPr="00B75F34">
        <w:rPr>
          <w:rFonts w:eastAsiaTheme="minorHAnsi" w:cs="Calibri"/>
        </w:rPr>
        <w:t>2</w:t>
      </w:r>
      <w:r w:rsidR="00743FD4">
        <w:rPr>
          <w:rFonts w:eastAsiaTheme="minorHAnsi" w:cs="Calibri"/>
        </w:rPr>
        <w:t xml:space="preserve"> tohoto kontrolního závěru</w:t>
      </w:r>
      <w:r w:rsidR="00743A4E" w:rsidRPr="00B75F34">
        <w:rPr>
          <w:rFonts w:eastAsiaTheme="minorHAnsi" w:cs="Calibri"/>
        </w:rPr>
        <w:t xml:space="preserve">). </w:t>
      </w:r>
    </w:p>
    <w:p w14:paraId="33A16B01" w14:textId="0B2E9F8F" w:rsidR="00603A22" w:rsidRPr="00B75F34" w:rsidRDefault="00603A22" w:rsidP="005F4282">
      <w:pPr>
        <w:pStyle w:val="Odstavecseseznamem"/>
        <w:spacing w:before="120" w:after="0"/>
        <w:ind w:left="0"/>
        <w:contextualSpacing w:val="0"/>
        <w:jc w:val="both"/>
        <w:rPr>
          <w:rFonts w:asciiTheme="minorHAnsi" w:hAnsiTheme="minorHAnsi" w:cs="Calibri"/>
        </w:rPr>
      </w:pPr>
      <w:r w:rsidRPr="00B75F34">
        <w:rPr>
          <w:rFonts w:eastAsiaTheme="minorHAnsi" w:cs="Calibri"/>
        </w:rPr>
        <w:t>V důsledku provedení účetních oprav</w:t>
      </w:r>
      <w:r w:rsidR="00743A4E" w:rsidRPr="00B75F34">
        <w:rPr>
          <w:rFonts w:eastAsiaTheme="minorHAnsi" w:cs="Calibri"/>
        </w:rPr>
        <w:t xml:space="preserve"> </w:t>
      </w:r>
      <w:r w:rsidRPr="00B75F34">
        <w:rPr>
          <w:rFonts w:eastAsiaTheme="minorHAnsi" w:cs="Calibri"/>
        </w:rPr>
        <w:t>a</w:t>
      </w:r>
      <w:r w:rsidR="00A53481" w:rsidRPr="00B75F34">
        <w:rPr>
          <w:rFonts w:eastAsiaTheme="minorHAnsi" w:cs="Calibri"/>
        </w:rPr>
        <w:t xml:space="preserve"> </w:t>
      </w:r>
      <w:r w:rsidRPr="00B75F34">
        <w:rPr>
          <w:rFonts w:eastAsiaTheme="minorHAnsi" w:cs="Calibri"/>
        </w:rPr>
        <w:t>realizace potřebných opatření k</w:t>
      </w:r>
      <w:r w:rsidR="00DF6AD0" w:rsidRPr="00B75F34">
        <w:rPr>
          <w:rFonts w:eastAsiaTheme="minorHAnsi" w:cs="Calibri"/>
        </w:rPr>
        <w:t xml:space="preserve"> </w:t>
      </w:r>
      <w:r w:rsidRPr="00B75F34">
        <w:rPr>
          <w:rFonts w:eastAsiaTheme="minorHAnsi" w:cs="Calibri"/>
        </w:rPr>
        <w:t>eliminaci systémových nedostatků</w:t>
      </w:r>
      <w:r w:rsidR="00A53481" w:rsidRPr="00B75F34">
        <w:rPr>
          <w:rFonts w:eastAsiaTheme="minorHAnsi" w:cs="Calibri"/>
        </w:rPr>
        <w:t xml:space="preserve"> ještě</w:t>
      </w:r>
      <w:r w:rsidRPr="00B75F34">
        <w:rPr>
          <w:rFonts w:eastAsiaTheme="minorHAnsi" w:cs="Calibri"/>
        </w:rPr>
        <w:t xml:space="preserve"> </w:t>
      </w:r>
      <w:r w:rsidR="0053144D" w:rsidRPr="00B75F34">
        <w:rPr>
          <w:rFonts w:eastAsiaTheme="minorHAnsi" w:cs="Calibri"/>
        </w:rPr>
        <w:t xml:space="preserve">v průběhu kontroly NKÚ </w:t>
      </w:r>
      <w:r w:rsidRPr="00B75F34">
        <w:rPr>
          <w:rFonts w:eastAsiaTheme="minorHAnsi" w:cs="Calibri"/>
        </w:rPr>
        <w:t>bylo účetnictví</w:t>
      </w:r>
      <w:r w:rsidR="00743A4E" w:rsidRPr="00B75F34">
        <w:rPr>
          <w:rFonts w:eastAsiaTheme="minorHAnsi" w:cs="Calibri"/>
        </w:rPr>
        <w:t xml:space="preserve"> </w:t>
      </w:r>
      <w:r w:rsidR="005A1518" w:rsidRPr="00B75F34">
        <w:rPr>
          <w:rFonts w:eastAsiaTheme="minorHAnsi" w:cs="Calibri"/>
        </w:rPr>
        <w:t>MMR</w:t>
      </w:r>
      <w:r w:rsidRPr="00B75F34">
        <w:rPr>
          <w:rFonts w:asciiTheme="minorHAnsi" w:hAnsiTheme="minorHAnsi" w:cs="Calibri"/>
        </w:rPr>
        <w:t xml:space="preserve"> v</w:t>
      </w:r>
      <w:r w:rsidR="00DF6AD0" w:rsidRPr="00B75F34">
        <w:rPr>
          <w:rFonts w:asciiTheme="minorHAnsi" w:hAnsiTheme="minorHAnsi" w:cs="Calibri"/>
        </w:rPr>
        <w:t xml:space="preserve"> </w:t>
      </w:r>
      <w:r w:rsidRPr="00B75F34">
        <w:rPr>
          <w:rFonts w:asciiTheme="minorHAnsi" w:hAnsiTheme="minorHAnsi" w:cs="Calibri"/>
        </w:rPr>
        <w:t>roce 202</w:t>
      </w:r>
      <w:r w:rsidR="005A1518" w:rsidRPr="00B75F34">
        <w:rPr>
          <w:rFonts w:asciiTheme="minorHAnsi" w:hAnsiTheme="minorHAnsi" w:cs="Calibri"/>
        </w:rPr>
        <w:t>3</w:t>
      </w:r>
      <w:r w:rsidRPr="00B75F34">
        <w:rPr>
          <w:rFonts w:asciiTheme="minorHAnsi" w:hAnsiTheme="minorHAnsi" w:cs="Calibri"/>
        </w:rPr>
        <w:t xml:space="preserve"> vedeno v</w:t>
      </w:r>
      <w:r w:rsidR="00DF6AD0" w:rsidRPr="00B75F34">
        <w:rPr>
          <w:rFonts w:asciiTheme="minorHAnsi" w:hAnsiTheme="minorHAnsi" w:cs="Calibri"/>
        </w:rPr>
        <w:t xml:space="preserve"> </w:t>
      </w:r>
      <w:r w:rsidRPr="00B75F34">
        <w:rPr>
          <w:rFonts w:asciiTheme="minorHAnsi" w:hAnsiTheme="minorHAnsi" w:cs="Calibri"/>
        </w:rPr>
        <w:t>souladu s</w:t>
      </w:r>
      <w:r w:rsidR="00DF6AD0" w:rsidRPr="00B75F34">
        <w:rPr>
          <w:rFonts w:asciiTheme="minorHAnsi" w:hAnsiTheme="minorHAnsi" w:cs="Calibri"/>
        </w:rPr>
        <w:t xml:space="preserve"> </w:t>
      </w:r>
      <w:r w:rsidRPr="00B75F34">
        <w:rPr>
          <w:rFonts w:asciiTheme="minorHAnsi" w:hAnsiTheme="minorHAnsi" w:cs="Calibri"/>
        </w:rPr>
        <w:t>příslušnými právními předpisy</w:t>
      </w:r>
      <w:r w:rsidR="00EA6540" w:rsidRPr="00B75F34">
        <w:rPr>
          <w:rFonts w:asciiTheme="minorHAnsi" w:hAnsiTheme="minorHAnsi" w:cs="Calibri"/>
        </w:rPr>
        <w:t xml:space="preserve"> a informace v ÚZ sestavené na jeho základě jsou spolehlivé</w:t>
      </w:r>
      <w:r w:rsidR="00EA6540" w:rsidRPr="00B75F34">
        <w:rPr>
          <w:rStyle w:val="Znakapoznpodarou"/>
          <w:rFonts w:asciiTheme="minorHAnsi" w:hAnsiTheme="minorHAnsi" w:cs="Calibri"/>
        </w:rPr>
        <w:footnoteReference w:id="7"/>
      </w:r>
      <w:r w:rsidR="00703D90" w:rsidRPr="00B75F34">
        <w:rPr>
          <w:rFonts w:asciiTheme="minorHAnsi" w:hAnsiTheme="minorHAnsi" w:cs="Calibri"/>
        </w:rPr>
        <w:t xml:space="preserve"> (viz část IV.1.</w:t>
      </w:r>
      <w:r w:rsidR="00CB4F3F" w:rsidRPr="00B75F34">
        <w:rPr>
          <w:rFonts w:asciiTheme="minorHAnsi" w:hAnsiTheme="minorHAnsi" w:cs="Calibri"/>
        </w:rPr>
        <w:t>3</w:t>
      </w:r>
      <w:r w:rsidR="00B61D07">
        <w:rPr>
          <w:rFonts w:asciiTheme="minorHAnsi" w:hAnsiTheme="minorHAnsi" w:cs="Calibri"/>
        </w:rPr>
        <w:t xml:space="preserve"> tohoto kontrolního závěru</w:t>
      </w:r>
      <w:r w:rsidR="00703D90" w:rsidRPr="00B75F34">
        <w:rPr>
          <w:rFonts w:asciiTheme="minorHAnsi" w:hAnsiTheme="minorHAnsi" w:cs="Calibri"/>
        </w:rPr>
        <w:t>)</w:t>
      </w:r>
      <w:r w:rsidRPr="00B75F34">
        <w:rPr>
          <w:rFonts w:asciiTheme="minorHAnsi" w:hAnsiTheme="minorHAnsi" w:cs="Calibri"/>
        </w:rPr>
        <w:t>.</w:t>
      </w:r>
    </w:p>
    <w:p w14:paraId="5292C8B9" w14:textId="46407754" w:rsidR="00FA317B" w:rsidRPr="00B75F34" w:rsidRDefault="0065404B" w:rsidP="005F4282">
      <w:pPr>
        <w:spacing w:before="120" w:after="0"/>
        <w:jc w:val="both"/>
      </w:pPr>
      <w:r w:rsidRPr="00B75F34">
        <w:t>P</w:t>
      </w:r>
      <w:r w:rsidR="0076351C" w:rsidRPr="00B75F34">
        <w:t>ro</w:t>
      </w:r>
      <w:r w:rsidR="005F4282" w:rsidRPr="00B75F34">
        <w:t>v</w:t>
      </w:r>
      <w:r w:rsidR="0076351C" w:rsidRPr="00B75F34">
        <w:t>edené účetní opravy promítl</w:t>
      </w:r>
      <w:r w:rsidR="005A1518" w:rsidRPr="00B75F34">
        <w:t>o</w:t>
      </w:r>
      <w:r w:rsidR="0076351C" w:rsidRPr="00B75F34">
        <w:t xml:space="preserve"> M</w:t>
      </w:r>
      <w:r w:rsidR="005A1518" w:rsidRPr="00B75F34">
        <w:t>MR</w:t>
      </w:r>
      <w:r w:rsidR="0076351C" w:rsidRPr="00B75F34">
        <w:t xml:space="preserve"> i do úprav svých účetních a jiných postupů </w:t>
      </w:r>
      <w:r w:rsidR="001F3934" w:rsidRPr="00B75F34">
        <w:t xml:space="preserve">nastavených </w:t>
      </w:r>
      <w:r w:rsidR="0076351C" w:rsidRPr="00B75F34">
        <w:t xml:space="preserve">v rámci vnitřního kontrolního systému (dále také „VKS“) v těch případech, kdy se jednalo o systémové nedostatky (viz část </w:t>
      </w:r>
      <w:r w:rsidR="00487F34" w:rsidRPr="00B75F34">
        <w:t>IV.1.</w:t>
      </w:r>
      <w:r w:rsidR="00CB4F3F" w:rsidRPr="00B75F34">
        <w:t>2</w:t>
      </w:r>
      <w:r w:rsidR="00B61D07">
        <w:t xml:space="preserve"> tohoto kontrolního závěru</w:t>
      </w:r>
      <w:r w:rsidR="0076351C" w:rsidRPr="00B75F34">
        <w:t>).</w:t>
      </w:r>
    </w:p>
    <w:p w14:paraId="642B465C" w14:textId="77777777" w:rsidR="005A1518" w:rsidRPr="00B75F34" w:rsidRDefault="005A1518" w:rsidP="005F04F5">
      <w:pPr>
        <w:spacing w:after="0"/>
        <w:jc w:val="both"/>
      </w:pPr>
    </w:p>
    <w:p w14:paraId="6B371980" w14:textId="77777777" w:rsidR="00F37FEB" w:rsidRPr="00B75F34" w:rsidRDefault="00A640AE" w:rsidP="00FF6DAA">
      <w:pPr>
        <w:pStyle w:val="Styl2"/>
        <w:numPr>
          <w:ilvl w:val="0"/>
          <w:numId w:val="6"/>
        </w:numPr>
        <w:ind w:left="340" w:hanging="340"/>
      </w:pPr>
      <w:r w:rsidRPr="00B75F34">
        <w:lastRenderedPageBreak/>
        <w:t xml:space="preserve">Údaje </w:t>
      </w:r>
      <w:r w:rsidR="002352D7" w:rsidRPr="00B75F34">
        <w:t xml:space="preserve">předkládané </w:t>
      </w:r>
      <w:r w:rsidR="00166166" w:rsidRPr="00B75F34">
        <w:t>Ministerstvem pro místní rozvoj</w:t>
      </w:r>
      <w:r w:rsidR="00F94732" w:rsidRPr="00B75F34">
        <w:t xml:space="preserve"> </w:t>
      </w:r>
      <w:r w:rsidRPr="00B75F34">
        <w:t xml:space="preserve">pro hodnocení plnění </w:t>
      </w:r>
      <w:r w:rsidR="0087086A" w:rsidRPr="00B75F34">
        <w:t xml:space="preserve">státního </w:t>
      </w:r>
      <w:r w:rsidRPr="00B75F34">
        <w:t>rozpočtu</w:t>
      </w:r>
    </w:p>
    <w:tbl>
      <w:tblPr>
        <w:tblStyle w:val="Mkatabulky"/>
        <w:tblpPr w:leftFromText="141" w:rightFromText="141" w:vertAnchor="text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603A22" w:rsidRPr="004F6F5D" w14:paraId="3E0E1174" w14:textId="77777777" w:rsidTr="00076416">
        <w:trPr>
          <w:trHeight w:val="665"/>
        </w:trPr>
        <w:tc>
          <w:tcPr>
            <w:tcW w:w="9060" w:type="dxa"/>
            <w:shd w:val="clear" w:color="auto" w:fill="E6E6E6"/>
          </w:tcPr>
          <w:p w14:paraId="3BDA3AC9" w14:textId="77777777" w:rsidR="00603A22" w:rsidRPr="004F6F5D" w:rsidRDefault="00603A22" w:rsidP="00603A22">
            <w:pPr>
              <w:spacing w:before="120"/>
              <w:jc w:val="both"/>
              <w:rPr>
                <w:rFonts w:eastAsiaTheme="minorHAnsi" w:cs="Calibri"/>
                <w:b/>
                <w:highlight w:val="yellow"/>
              </w:rPr>
            </w:pPr>
            <w:r w:rsidRPr="005A1518">
              <w:rPr>
                <w:rFonts w:eastAsiaTheme="minorHAnsi" w:cs="Calibri"/>
                <w:b/>
              </w:rPr>
              <w:t>Dle NKÚ byl výkaz pro hodnocení plnění rozpočtu</w:t>
            </w:r>
            <w:r w:rsidR="009363E2">
              <w:rPr>
                <w:rFonts w:eastAsiaTheme="minorHAnsi" w:cs="Calibri"/>
                <w:b/>
              </w:rPr>
              <w:t xml:space="preserve"> MMR za rok 2023</w:t>
            </w:r>
            <w:r w:rsidRPr="005A1518">
              <w:rPr>
                <w:rFonts w:eastAsiaTheme="minorHAnsi" w:cs="Calibri"/>
                <w:b/>
              </w:rPr>
              <w:t xml:space="preserve"> ve všech významných ohledech sestaven v souladu s příslušnými právními předpisy.</w:t>
            </w:r>
          </w:p>
        </w:tc>
      </w:tr>
    </w:tbl>
    <w:p w14:paraId="3CC06037" w14:textId="4FE7054D" w:rsidR="00A22599" w:rsidRPr="005A1518" w:rsidRDefault="00603A22" w:rsidP="005F4282">
      <w:pPr>
        <w:spacing w:before="120" w:after="0"/>
        <w:jc w:val="both"/>
        <w:rPr>
          <w:rFonts w:asciiTheme="minorHAnsi" w:hAnsiTheme="minorHAnsi" w:cstheme="minorHAnsi"/>
        </w:rPr>
      </w:pPr>
      <w:r w:rsidRPr="005A1518">
        <w:t xml:space="preserve">NKÚ provedl ve výkazu pro hodnocení plnění rozpočtu </w:t>
      </w:r>
      <w:r w:rsidR="005A1518" w:rsidRPr="005A1518">
        <w:t>MMR</w:t>
      </w:r>
      <w:r w:rsidRPr="005A1518">
        <w:t xml:space="preserve"> sestaveném</w:t>
      </w:r>
      <w:r w:rsidR="00D924B4">
        <w:t xml:space="preserve"> </w:t>
      </w:r>
      <w:r w:rsidRPr="005A1518">
        <w:t>k 31. prosinci 202</w:t>
      </w:r>
      <w:r w:rsidR="005A1518" w:rsidRPr="005A1518">
        <w:t>3</w:t>
      </w:r>
      <w:r w:rsidRPr="009363E2">
        <w:rPr>
          <w:rStyle w:val="Znakapoznpodarou"/>
        </w:rPr>
        <w:footnoteReference w:id="8"/>
      </w:r>
      <w:r w:rsidRPr="009363E2">
        <w:t xml:space="preserve"> </w:t>
      </w:r>
      <w:r w:rsidR="009363E2" w:rsidRPr="009363E2">
        <w:rPr>
          <w:rFonts w:cs="Calibri"/>
        </w:rPr>
        <w:t xml:space="preserve">(dále také „výkaz FIN 1-12 OSS“) </w:t>
      </w:r>
      <w:r w:rsidRPr="005A1518">
        <w:t xml:space="preserve">u údajů o příjmech a výdajích ve sloupci </w:t>
      </w:r>
      <w:r w:rsidR="005E4943" w:rsidRPr="005A1518">
        <w:rPr>
          <w:i/>
        </w:rPr>
        <w:t>S</w:t>
      </w:r>
      <w:r w:rsidRPr="005A1518">
        <w:rPr>
          <w:i/>
        </w:rPr>
        <w:t>kutečnost</w:t>
      </w:r>
      <w:r w:rsidRPr="005A1518">
        <w:t xml:space="preserve"> kontrolu správnosti jejich třídění z hlediska druhového, odvětvového a</w:t>
      </w:r>
      <w:r w:rsidR="00513578">
        <w:t> </w:t>
      </w:r>
      <w:r w:rsidRPr="005A1518">
        <w:t>prostorového dle rozpočtové skladby.</w:t>
      </w:r>
    </w:p>
    <w:p w14:paraId="3B37E5FD" w14:textId="16ABF4FD" w:rsidR="006917CF" w:rsidRPr="00B75F34" w:rsidRDefault="00165A56" w:rsidP="005F4282">
      <w:pPr>
        <w:spacing w:before="120" w:after="0"/>
        <w:jc w:val="both"/>
        <w:rPr>
          <w:sz w:val="23"/>
          <w:szCs w:val="23"/>
        </w:rPr>
      </w:pPr>
      <w:r w:rsidRPr="005A1518">
        <w:rPr>
          <w:rFonts w:asciiTheme="minorHAnsi" w:hAnsiTheme="minorHAnsi" w:cstheme="minorHAnsi"/>
        </w:rPr>
        <w:t xml:space="preserve">Informace v údajích </w:t>
      </w:r>
      <w:r w:rsidR="005A1518" w:rsidRPr="005A1518">
        <w:rPr>
          <w:rFonts w:asciiTheme="minorHAnsi" w:hAnsiTheme="minorHAnsi" w:cstheme="minorHAnsi"/>
        </w:rPr>
        <w:t>MMR</w:t>
      </w:r>
      <w:r w:rsidRPr="005A1518">
        <w:rPr>
          <w:rFonts w:asciiTheme="minorHAnsi" w:hAnsiTheme="minorHAnsi" w:cstheme="minorHAnsi"/>
        </w:rPr>
        <w:t xml:space="preserve"> pro hodnocení plnění státního rozpočtu za rok </w:t>
      </w:r>
      <w:r w:rsidR="005A1518" w:rsidRPr="005A1518">
        <w:rPr>
          <w:rFonts w:asciiTheme="minorHAnsi" w:hAnsiTheme="minorHAnsi" w:cstheme="minorHAnsi"/>
        </w:rPr>
        <w:t>2023</w:t>
      </w:r>
      <w:r w:rsidRPr="005A1518">
        <w:rPr>
          <w:rFonts w:asciiTheme="minorHAnsi" w:hAnsiTheme="minorHAnsi" w:cstheme="minorHAnsi"/>
        </w:rPr>
        <w:t xml:space="preserve"> jsou dle</w:t>
      </w:r>
      <w:r w:rsidR="0085712D" w:rsidRPr="005A1518">
        <w:rPr>
          <w:rFonts w:asciiTheme="minorHAnsi" w:hAnsiTheme="minorHAnsi" w:cstheme="minorHAnsi"/>
        </w:rPr>
        <w:t xml:space="preserve"> </w:t>
      </w:r>
      <w:r w:rsidRPr="005A1518">
        <w:rPr>
          <w:rFonts w:asciiTheme="minorHAnsi" w:hAnsiTheme="minorHAnsi" w:cstheme="minorHAnsi"/>
        </w:rPr>
        <w:t>NKÚ spolehlivé. NKÚ v</w:t>
      </w:r>
      <w:r w:rsidR="00DF6AD0" w:rsidRPr="005A1518">
        <w:rPr>
          <w:rFonts w:asciiTheme="minorHAnsi" w:hAnsiTheme="minorHAnsi" w:cstheme="minorHAnsi"/>
        </w:rPr>
        <w:t xml:space="preserve"> </w:t>
      </w:r>
      <w:r w:rsidRPr="005A1518">
        <w:rPr>
          <w:rFonts w:asciiTheme="minorHAnsi" w:hAnsiTheme="minorHAnsi" w:cstheme="minorHAnsi"/>
        </w:rPr>
        <w:t xml:space="preserve">průběhu kontroly </w:t>
      </w:r>
      <w:r w:rsidRPr="00766099">
        <w:rPr>
          <w:rFonts w:asciiTheme="minorHAnsi" w:hAnsiTheme="minorHAnsi" w:cstheme="minorHAnsi"/>
        </w:rPr>
        <w:t>zjistil v</w:t>
      </w:r>
      <w:r w:rsidR="00DF6AD0" w:rsidRPr="00766099">
        <w:rPr>
          <w:rFonts w:asciiTheme="minorHAnsi" w:hAnsiTheme="minorHAnsi" w:cstheme="minorHAnsi"/>
        </w:rPr>
        <w:t xml:space="preserve"> </w:t>
      </w:r>
      <w:r w:rsidRPr="00766099">
        <w:rPr>
          <w:rFonts w:asciiTheme="minorHAnsi" w:hAnsiTheme="minorHAnsi" w:cstheme="minorHAnsi"/>
        </w:rPr>
        <w:t xml:space="preserve">těchto údajích </w:t>
      </w:r>
      <w:r w:rsidR="00766099" w:rsidRPr="00766099">
        <w:rPr>
          <w:rFonts w:asciiTheme="minorHAnsi" w:hAnsiTheme="minorHAnsi" w:cstheme="minorHAnsi"/>
        </w:rPr>
        <w:t>ne</w:t>
      </w:r>
      <w:r w:rsidRPr="00766099">
        <w:rPr>
          <w:rFonts w:asciiTheme="minorHAnsi" w:hAnsiTheme="minorHAnsi" w:cstheme="minorHAnsi"/>
        </w:rPr>
        <w:t>významné nedostatky</w:t>
      </w:r>
      <w:r w:rsidR="00766099" w:rsidRPr="00766099">
        <w:rPr>
          <w:rFonts w:asciiTheme="minorHAnsi" w:hAnsiTheme="minorHAnsi" w:cstheme="minorHAnsi"/>
        </w:rPr>
        <w:t xml:space="preserve"> ve výši 16 mil. Kč</w:t>
      </w:r>
      <w:r w:rsidRPr="00766099">
        <w:rPr>
          <w:rFonts w:asciiTheme="minorHAnsi" w:hAnsiTheme="minorHAnsi" w:cstheme="minorHAnsi"/>
        </w:rPr>
        <w:t xml:space="preserve">, které </w:t>
      </w:r>
      <w:r w:rsidR="00766099" w:rsidRPr="00766099">
        <w:rPr>
          <w:rFonts w:asciiTheme="minorHAnsi" w:hAnsiTheme="minorHAnsi" w:cstheme="minorHAnsi"/>
        </w:rPr>
        <w:t>MMR v průběhu kontroly opravilo</w:t>
      </w:r>
      <w:r w:rsidRPr="00766099">
        <w:rPr>
          <w:rFonts w:asciiTheme="minorHAnsi" w:hAnsiTheme="minorHAnsi" w:cstheme="minorHAnsi"/>
        </w:rPr>
        <w:t xml:space="preserve"> </w:t>
      </w:r>
      <w:r w:rsidR="00B40ABC" w:rsidRPr="00B75F34">
        <w:rPr>
          <w:rFonts w:asciiTheme="minorHAnsi" w:hAnsiTheme="minorHAnsi" w:cstheme="minorHAnsi"/>
        </w:rPr>
        <w:t>(viz část IV.</w:t>
      </w:r>
      <w:r w:rsidRPr="00B75F34">
        <w:rPr>
          <w:rFonts w:asciiTheme="minorHAnsi" w:hAnsiTheme="minorHAnsi" w:cstheme="minorHAnsi"/>
        </w:rPr>
        <w:t>2</w:t>
      </w:r>
      <w:r w:rsidR="00CC6A7C">
        <w:rPr>
          <w:rFonts w:asciiTheme="minorHAnsi" w:hAnsiTheme="minorHAnsi" w:cstheme="minorHAnsi"/>
        </w:rPr>
        <w:t xml:space="preserve"> tohoto kontrolního závěru</w:t>
      </w:r>
      <w:r w:rsidR="00B40ABC" w:rsidRPr="00B75F34">
        <w:rPr>
          <w:rFonts w:asciiTheme="minorHAnsi" w:hAnsiTheme="minorHAnsi" w:cstheme="minorHAnsi"/>
        </w:rPr>
        <w:t>).</w:t>
      </w:r>
    </w:p>
    <w:p w14:paraId="6A7EE3BD" w14:textId="77777777" w:rsidR="00DD3125" w:rsidRPr="004F6F5D" w:rsidRDefault="00DD3125" w:rsidP="00124170">
      <w:pPr>
        <w:spacing w:after="0"/>
        <w:jc w:val="both"/>
        <w:rPr>
          <w:rFonts w:cs="Calibri"/>
          <w:b/>
          <w:highlight w:val="yellow"/>
        </w:rPr>
      </w:pPr>
    </w:p>
    <w:p w14:paraId="20F3B8C8" w14:textId="77777777" w:rsidR="00766099" w:rsidRPr="00766099" w:rsidRDefault="00766099" w:rsidP="00F23245">
      <w:pPr>
        <w:keepNext/>
        <w:numPr>
          <w:ilvl w:val="0"/>
          <w:numId w:val="6"/>
        </w:numPr>
        <w:spacing w:after="240"/>
        <w:ind w:left="340" w:hanging="340"/>
        <w:outlineLvl w:val="1"/>
        <w:rPr>
          <w:rFonts w:eastAsia="Calibri" w:cs="Calibri"/>
          <w:b/>
        </w:rPr>
      </w:pPr>
      <w:bookmarkStart w:id="3" w:name="_Hlk166763260"/>
      <w:r w:rsidRPr="00766099">
        <w:rPr>
          <w:rFonts w:eastAsia="Calibri" w:cs="Calibri"/>
          <w:b/>
        </w:rPr>
        <w:t xml:space="preserve">Závěrečný účet kapitoly státního rozpočtu 317 – </w:t>
      </w:r>
      <w:r w:rsidRPr="00766099">
        <w:rPr>
          <w:rFonts w:eastAsia="Calibri" w:cs="Calibri"/>
          <w:b/>
          <w:i/>
        </w:rPr>
        <w:t>Ministerstvo pro místní rozvoj</w:t>
      </w:r>
      <w:bookmarkEnd w:id="3"/>
    </w:p>
    <w:tbl>
      <w:tblPr>
        <w:tblStyle w:val="Mkatabulky"/>
        <w:tblpPr w:leftFromText="141" w:rightFromText="141" w:vertAnchor="text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766099" w:rsidRPr="004F6F5D" w14:paraId="6772E552" w14:textId="77777777" w:rsidTr="00076416">
        <w:trPr>
          <w:trHeight w:val="665"/>
        </w:trPr>
        <w:tc>
          <w:tcPr>
            <w:tcW w:w="9060" w:type="dxa"/>
            <w:shd w:val="clear" w:color="auto" w:fill="E6E6E6"/>
          </w:tcPr>
          <w:p w14:paraId="41049272" w14:textId="77777777" w:rsidR="00766099" w:rsidRPr="004F6F5D" w:rsidRDefault="00766099" w:rsidP="00B7054F">
            <w:pPr>
              <w:spacing w:before="120"/>
              <w:jc w:val="both"/>
              <w:rPr>
                <w:rFonts w:eastAsiaTheme="minorHAnsi" w:cs="Calibri"/>
                <w:b/>
                <w:highlight w:val="yellow"/>
              </w:rPr>
            </w:pPr>
            <w:r w:rsidRPr="00B7054F">
              <w:rPr>
                <w:rFonts w:eastAsiaTheme="minorHAnsi" w:cs="Calibri"/>
                <w:b/>
              </w:rPr>
              <w:t xml:space="preserve">Dle NKÚ </w:t>
            </w:r>
            <w:r w:rsidR="00492B01" w:rsidRPr="00B7054F">
              <w:rPr>
                <w:rFonts w:eastAsiaTheme="minorHAnsi" w:cs="Calibri"/>
                <w:b/>
              </w:rPr>
              <w:t xml:space="preserve">je závěrečný účet kapitoly státního rozpočtu 317 – </w:t>
            </w:r>
            <w:r w:rsidR="00492B01" w:rsidRPr="00B7054F">
              <w:rPr>
                <w:rFonts w:eastAsiaTheme="minorHAnsi" w:cs="Calibri"/>
                <w:b/>
                <w:i/>
              </w:rPr>
              <w:t>Ministerstvo pro místní rozvoj</w:t>
            </w:r>
            <w:r w:rsidR="00B7054F" w:rsidRPr="00B7054F">
              <w:rPr>
                <w:rFonts w:eastAsiaTheme="minorHAnsi" w:cs="Calibri"/>
                <w:b/>
                <w:i/>
              </w:rPr>
              <w:t xml:space="preserve"> </w:t>
            </w:r>
            <w:r w:rsidR="00B7054F" w:rsidRPr="00B7054F">
              <w:rPr>
                <w:rFonts w:eastAsiaTheme="minorHAnsi" w:cs="Calibri"/>
                <w:b/>
              </w:rPr>
              <w:t>za rok 2023 sestaven v rozsahu dle vyhlášky č. 419/2001 Sb.</w:t>
            </w:r>
            <w:r w:rsidR="00B7054F">
              <w:rPr>
                <w:rStyle w:val="Znakapoznpodarou"/>
                <w:rFonts w:eastAsiaTheme="minorHAnsi" w:cs="Calibri"/>
                <w:b/>
              </w:rPr>
              <w:footnoteReference w:id="9"/>
            </w:r>
            <w:r w:rsidR="00B7054F" w:rsidRPr="00B7054F">
              <w:rPr>
                <w:rFonts w:eastAsiaTheme="minorHAnsi" w:cs="Calibri"/>
                <w:b/>
              </w:rPr>
              <w:t xml:space="preserve"> a informace v něm uvedené</w:t>
            </w:r>
            <w:r w:rsidR="009F271E">
              <w:rPr>
                <w:rFonts w:eastAsiaTheme="minorHAnsi" w:cs="Calibri"/>
                <w:b/>
              </w:rPr>
              <w:t xml:space="preserve"> odpovídají údajům</w:t>
            </w:r>
            <w:r w:rsidR="00B7054F" w:rsidRPr="00B7054F">
              <w:rPr>
                <w:rFonts w:eastAsiaTheme="minorHAnsi" w:cs="Calibri"/>
                <w:b/>
              </w:rPr>
              <w:t xml:space="preserve"> v rozpočtovém systému, finančním výkaz</w:t>
            </w:r>
            <w:r w:rsidR="009F271E">
              <w:rPr>
                <w:rFonts w:eastAsiaTheme="minorHAnsi" w:cs="Calibri"/>
                <w:b/>
              </w:rPr>
              <w:t>ům</w:t>
            </w:r>
            <w:r w:rsidR="00B7054F" w:rsidRPr="00B7054F">
              <w:rPr>
                <w:rFonts w:eastAsiaTheme="minorHAnsi" w:cs="Calibri"/>
                <w:b/>
              </w:rPr>
              <w:t xml:space="preserve"> a </w:t>
            </w:r>
            <w:r w:rsidR="009F271E">
              <w:rPr>
                <w:rFonts w:eastAsiaTheme="minorHAnsi" w:cs="Calibri"/>
                <w:b/>
              </w:rPr>
              <w:t>údajům</w:t>
            </w:r>
            <w:r w:rsidR="00B7054F" w:rsidRPr="00B7054F">
              <w:rPr>
                <w:rFonts w:eastAsiaTheme="minorHAnsi" w:cs="Calibri"/>
                <w:b/>
              </w:rPr>
              <w:t xml:space="preserve"> </w:t>
            </w:r>
            <w:r w:rsidR="009F271E">
              <w:rPr>
                <w:rFonts w:eastAsiaTheme="minorHAnsi" w:cs="Calibri"/>
                <w:b/>
              </w:rPr>
              <w:t xml:space="preserve">z </w:t>
            </w:r>
            <w:r w:rsidR="00B7054F" w:rsidRPr="00B7054F">
              <w:rPr>
                <w:rFonts w:eastAsiaTheme="minorHAnsi" w:cs="Calibri"/>
                <w:b/>
              </w:rPr>
              <w:t>dalších evidencí</w:t>
            </w:r>
            <w:r w:rsidRPr="00B7054F">
              <w:rPr>
                <w:rFonts w:eastAsiaTheme="minorHAnsi" w:cs="Calibri"/>
                <w:b/>
              </w:rPr>
              <w:t>.</w:t>
            </w:r>
          </w:p>
        </w:tc>
      </w:tr>
    </w:tbl>
    <w:p w14:paraId="3DD466B0" w14:textId="5DE23EB0" w:rsidR="00B7054F" w:rsidRDefault="00B7054F" w:rsidP="00B56353">
      <w:pPr>
        <w:spacing w:before="120"/>
        <w:jc w:val="both"/>
        <w:rPr>
          <w:rFonts w:eastAsia="Calibri"/>
        </w:rPr>
      </w:pPr>
      <w:r w:rsidRPr="00B56353">
        <w:rPr>
          <w:rFonts w:eastAsia="Calibri"/>
        </w:rPr>
        <w:t>NKÚ prověřil soulad sestavení závěrečného účtu kapitoly státního rozpočtu 317</w:t>
      </w:r>
      <w:r w:rsidR="00BD1DB5" w:rsidRPr="00B56353">
        <w:rPr>
          <w:rFonts w:eastAsia="Calibri"/>
        </w:rPr>
        <w:t xml:space="preserve"> –</w:t>
      </w:r>
      <w:r w:rsidRPr="00B56353">
        <w:rPr>
          <w:rFonts w:eastAsia="Calibri"/>
        </w:rPr>
        <w:t xml:space="preserve"> </w:t>
      </w:r>
      <w:r w:rsidRPr="00B56353">
        <w:rPr>
          <w:rFonts w:eastAsia="Calibri"/>
          <w:i/>
        </w:rPr>
        <w:t>Ministerstvo pro místní rozvoj</w:t>
      </w:r>
      <w:r w:rsidR="00BD1DB5" w:rsidRPr="00B56353">
        <w:rPr>
          <w:rFonts w:eastAsia="Calibri"/>
        </w:rPr>
        <w:t xml:space="preserve"> </w:t>
      </w:r>
      <w:r w:rsidRPr="00B56353">
        <w:rPr>
          <w:rFonts w:eastAsia="Calibri"/>
        </w:rPr>
        <w:t>za rok 2023</w:t>
      </w:r>
      <w:r w:rsidR="00BD1DB5" w:rsidRPr="00B56353">
        <w:rPr>
          <w:rFonts w:eastAsia="Calibri"/>
        </w:rPr>
        <w:t xml:space="preserve"> (dále také „ZÚ za rok 2023“)</w:t>
      </w:r>
      <w:r w:rsidRPr="00B56353">
        <w:rPr>
          <w:rFonts w:eastAsia="Calibri"/>
        </w:rPr>
        <w:t xml:space="preserve"> s vyhláškou č. 419/2001 Sb. a shodu informací v něm uvedených se vstupními údaji v rozpočtovém systému, s finančními výkazy a</w:t>
      </w:r>
      <w:r w:rsidR="005C7262">
        <w:rPr>
          <w:rFonts w:eastAsia="Calibri"/>
        </w:rPr>
        <w:t> </w:t>
      </w:r>
      <w:r w:rsidRPr="00B56353">
        <w:rPr>
          <w:rFonts w:eastAsia="Calibri"/>
        </w:rPr>
        <w:t>údaji dalších evidencí</w:t>
      </w:r>
      <w:r w:rsidR="00BD1DB5" w:rsidRPr="00B56353">
        <w:rPr>
          <w:rFonts w:eastAsia="Calibri"/>
        </w:rPr>
        <w:t xml:space="preserve"> </w:t>
      </w:r>
      <w:r w:rsidR="00BD1DB5" w:rsidRPr="00B75F34">
        <w:rPr>
          <w:rFonts w:eastAsia="Calibri"/>
        </w:rPr>
        <w:t>(viz část IV.3</w:t>
      </w:r>
      <w:r w:rsidR="00621152">
        <w:rPr>
          <w:rFonts w:eastAsia="Calibri"/>
        </w:rPr>
        <w:t xml:space="preserve"> tohoto kontrolního závěru</w:t>
      </w:r>
      <w:r w:rsidR="00BD1DB5" w:rsidRPr="00B75F34">
        <w:rPr>
          <w:rFonts w:eastAsia="Calibri"/>
        </w:rPr>
        <w:t>)</w:t>
      </w:r>
      <w:r w:rsidRPr="00B75F34">
        <w:rPr>
          <w:rFonts w:eastAsia="Calibri"/>
        </w:rPr>
        <w:t>.</w:t>
      </w:r>
    </w:p>
    <w:p w14:paraId="596D9527" w14:textId="49F2A03F" w:rsidR="00842B52" w:rsidRPr="00B56353" w:rsidRDefault="00842B52" w:rsidP="00EF15A8">
      <w:pPr>
        <w:spacing w:before="120" w:after="0"/>
        <w:jc w:val="both"/>
        <w:rPr>
          <w:rFonts w:eastAsia="Calibri"/>
        </w:rPr>
      </w:pPr>
      <w:r>
        <w:rPr>
          <w:rFonts w:eastAsia="Calibri"/>
        </w:rPr>
        <w:t xml:space="preserve">NKÚ </w:t>
      </w:r>
      <w:r w:rsidR="00654858">
        <w:rPr>
          <w:rFonts w:eastAsia="Calibri"/>
        </w:rPr>
        <w:t xml:space="preserve">v průběhu kontroly </w:t>
      </w:r>
      <w:r w:rsidR="006618A4">
        <w:rPr>
          <w:rFonts w:eastAsia="Calibri"/>
        </w:rPr>
        <w:t xml:space="preserve">zjistil </w:t>
      </w:r>
      <w:r>
        <w:rPr>
          <w:rFonts w:eastAsia="Calibri"/>
        </w:rPr>
        <w:t>v návrhu ZÚ za rok 2023 nevýznamné nedostatky, které MMR opravilo.</w:t>
      </w:r>
    </w:p>
    <w:p w14:paraId="187436FF" w14:textId="77777777" w:rsidR="00766099" w:rsidRPr="00A06BFD" w:rsidRDefault="00766099" w:rsidP="00842B52">
      <w:pPr>
        <w:spacing w:after="0"/>
        <w:rPr>
          <w:rFonts w:eastAsia="Calibri"/>
        </w:rPr>
      </w:pPr>
    </w:p>
    <w:p w14:paraId="3D6E8BEF" w14:textId="77777777" w:rsidR="00DD3125" w:rsidRPr="00BD1DB5" w:rsidRDefault="00DD3125" w:rsidP="00F23245">
      <w:pPr>
        <w:keepNext/>
        <w:numPr>
          <w:ilvl w:val="0"/>
          <w:numId w:val="6"/>
        </w:numPr>
        <w:spacing w:after="240"/>
        <w:ind w:left="340" w:hanging="340"/>
        <w:outlineLvl w:val="1"/>
        <w:rPr>
          <w:rFonts w:eastAsia="Calibri" w:cs="Calibri"/>
          <w:b/>
        </w:rPr>
      </w:pPr>
      <w:r w:rsidRPr="00BD1DB5">
        <w:rPr>
          <w:rFonts w:eastAsia="Calibri" w:cs="Calibri"/>
          <w:b/>
        </w:rPr>
        <w:t>Vnitřní kontrolní systém M</w:t>
      </w:r>
      <w:r w:rsidR="00BD1DB5" w:rsidRPr="00BD1DB5">
        <w:rPr>
          <w:rFonts w:eastAsia="Calibri" w:cs="Calibri"/>
          <w:b/>
        </w:rPr>
        <w:t>MR</w:t>
      </w:r>
    </w:p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DD3125" w:rsidRPr="004F6F5D" w14:paraId="42C4ED11" w14:textId="77777777" w:rsidTr="00076416">
        <w:trPr>
          <w:trHeight w:val="570"/>
        </w:trPr>
        <w:tc>
          <w:tcPr>
            <w:tcW w:w="9060" w:type="dxa"/>
            <w:shd w:val="clear" w:color="auto" w:fill="E6E6E6"/>
          </w:tcPr>
          <w:p w14:paraId="54FB2B9C" w14:textId="77777777" w:rsidR="00DD3125" w:rsidRPr="004F6F5D" w:rsidRDefault="00DD3125" w:rsidP="00453CDD">
            <w:pPr>
              <w:spacing w:before="120"/>
              <w:jc w:val="both"/>
              <w:rPr>
                <w:rFonts w:eastAsiaTheme="minorHAnsi" w:cs="Calibri"/>
                <w:b/>
                <w:highlight w:val="yellow"/>
              </w:rPr>
            </w:pPr>
            <w:r w:rsidRPr="00BD1DB5">
              <w:rPr>
                <w:b/>
              </w:rPr>
              <w:t>Dle NKÚ lze vnitřní kontrolní systém</w:t>
            </w:r>
            <w:r w:rsidR="00BD1DB5">
              <w:rPr>
                <w:b/>
              </w:rPr>
              <w:t xml:space="preserve"> </w:t>
            </w:r>
            <w:r w:rsidR="00BD1DB5" w:rsidRPr="00BD1DB5">
              <w:rPr>
                <w:b/>
              </w:rPr>
              <w:t>MMR</w:t>
            </w:r>
            <w:r w:rsidR="00BD1DB5">
              <w:rPr>
                <w:b/>
              </w:rPr>
              <w:t xml:space="preserve"> po opatřeních</w:t>
            </w:r>
            <w:r w:rsidR="00A53481">
              <w:rPr>
                <w:b/>
              </w:rPr>
              <w:t xml:space="preserve"> </w:t>
            </w:r>
            <w:r w:rsidR="00BD1DB5">
              <w:rPr>
                <w:b/>
              </w:rPr>
              <w:t>přijatých</w:t>
            </w:r>
            <w:r w:rsidR="00A53481">
              <w:rPr>
                <w:b/>
              </w:rPr>
              <w:t xml:space="preserve"> </w:t>
            </w:r>
            <w:r w:rsidR="00BD1DB5">
              <w:rPr>
                <w:b/>
              </w:rPr>
              <w:t>v průběhu kontroly</w:t>
            </w:r>
            <w:r w:rsidR="00A53481">
              <w:rPr>
                <w:b/>
              </w:rPr>
              <w:t xml:space="preserve"> NKÚ</w:t>
            </w:r>
            <w:r w:rsidR="00BD1DB5">
              <w:rPr>
                <w:b/>
              </w:rPr>
              <w:t xml:space="preserve"> považovat </w:t>
            </w:r>
            <w:r w:rsidRPr="00BD1DB5">
              <w:rPr>
                <w:b/>
              </w:rPr>
              <w:t>v prověřovaných oblastech za účinný</w:t>
            </w:r>
            <w:r w:rsidRPr="00BD1DB5">
              <w:rPr>
                <w:rFonts w:eastAsiaTheme="minorHAnsi" w:cs="Calibri"/>
                <w:b/>
              </w:rPr>
              <w:t>.</w:t>
            </w:r>
          </w:p>
        </w:tc>
      </w:tr>
    </w:tbl>
    <w:p w14:paraId="17C78683" w14:textId="4B8BC94B" w:rsidR="00CE74CE" w:rsidRPr="00B75F34" w:rsidRDefault="00DD3125" w:rsidP="005F4282">
      <w:pPr>
        <w:spacing w:before="120" w:after="0"/>
        <w:jc w:val="both"/>
        <w:rPr>
          <w:rFonts w:cs="Calibri"/>
        </w:rPr>
      </w:pPr>
      <w:r w:rsidRPr="00CE74CE">
        <w:rPr>
          <w:rFonts w:cs="Calibri"/>
        </w:rPr>
        <w:t xml:space="preserve">NKÚ </w:t>
      </w:r>
      <w:r w:rsidR="00BD1DB5" w:rsidRPr="00CE74CE">
        <w:rPr>
          <w:rFonts w:cs="Calibri"/>
        </w:rPr>
        <w:t>v průběhu kontroly zjistil v oblasti účetnictví významné nedostatky, které VKS</w:t>
      </w:r>
      <w:r w:rsidR="005D22CD">
        <w:rPr>
          <w:rFonts w:cs="Calibri"/>
        </w:rPr>
        <w:t xml:space="preserve"> MMR </w:t>
      </w:r>
      <w:r w:rsidR="00BD1DB5" w:rsidRPr="00CE74CE">
        <w:rPr>
          <w:rFonts w:cs="Calibri"/>
        </w:rPr>
        <w:t xml:space="preserve">neidentifikoval. </w:t>
      </w:r>
      <w:r w:rsidR="00CE74CE" w:rsidRPr="00CE74CE">
        <w:rPr>
          <w:rFonts w:cs="Calibri"/>
        </w:rPr>
        <w:t xml:space="preserve">MMR nedostatky v oblasti účetnictví opravilo a přijalo i ve VKS dostatečná opatření k nápravě systémových nedostatků </w:t>
      </w:r>
      <w:r w:rsidR="00CE74CE" w:rsidRPr="00B75F34">
        <w:rPr>
          <w:rFonts w:cs="Calibri"/>
        </w:rPr>
        <w:t>(viz část IV.4</w:t>
      </w:r>
      <w:r w:rsidR="00915651">
        <w:rPr>
          <w:rFonts w:cs="Calibri"/>
        </w:rPr>
        <w:t xml:space="preserve"> tohoto kontrolního závěru</w:t>
      </w:r>
      <w:r w:rsidR="00CE74CE" w:rsidRPr="00B75F34">
        <w:rPr>
          <w:rFonts w:cs="Calibri"/>
        </w:rPr>
        <w:t xml:space="preserve">). </w:t>
      </w:r>
    </w:p>
    <w:p w14:paraId="5C800131" w14:textId="4CB6168A" w:rsidR="00DD3125" w:rsidRPr="00CE74CE" w:rsidRDefault="00CE74CE" w:rsidP="005F4282">
      <w:pPr>
        <w:spacing w:before="120" w:after="0"/>
        <w:jc w:val="both"/>
        <w:rPr>
          <w:rFonts w:cs="Calibri"/>
        </w:rPr>
      </w:pPr>
      <w:r w:rsidRPr="00B75F34">
        <w:rPr>
          <w:rFonts w:eastAsia="Calibri"/>
        </w:rPr>
        <w:t xml:space="preserve">NKÚ dále </w:t>
      </w:r>
      <w:r w:rsidR="00DD3125" w:rsidRPr="00B75F34">
        <w:rPr>
          <w:rFonts w:eastAsia="Calibri"/>
        </w:rPr>
        <w:t>upozornil na některé operace (viz část IV.</w:t>
      </w:r>
      <w:r w:rsidRPr="00B75F34">
        <w:rPr>
          <w:rFonts w:eastAsia="Calibri"/>
        </w:rPr>
        <w:t>5</w:t>
      </w:r>
      <w:r w:rsidR="00915651">
        <w:rPr>
          <w:rFonts w:eastAsia="Calibri"/>
        </w:rPr>
        <w:t xml:space="preserve"> tohoto kontrolního závěru</w:t>
      </w:r>
      <w:r w:rsidR="00DD3125" w:rsidRPr="00B75F34">
        <w:rPr>
          <w:rFonts w:eastAsia="Calibri"/>
        </w:rPr>
        <w:t>), při</w:t>
      </w:r>
      <w:r w:rsidR="00DD3125" w:rsidRPr="00CE74CE">
        <w:rPr>
          <w:rFonts w:eastAsia="Calibri"/>
        </w:rPr>
        <w:t xml:space="preserve"> kterých VKS včas neodhalil související rizika a nezabránil porušení právních předpisů. Uvedené nedostatky však nebyly takového rozsahu, aby byly ze strany NKÚ vyhodnoceny jako významné, proto NKÚ v rámci prověřovaných operací vyhodnotil VKS jako účinný.</w:t>
      </w:r>
    </w:p>
    <w:p w14:paraId="35BA9815" w14:textId="77777777" w:rsidR="000E6C03" w:rsidRPr="004F6F5D" w:rsidRDefault="000E6C03" w:rsidP="00453CDD">
      <w:pPr>
        <w:spacing w:after="0"/>
        <w:jc w:val="both"/>
        <w:rPr>
          <w:rFonts w:cs="Calibri"/>
          <w:b/>
          <w:highlight w:val="yellow"/>
        </w:rPr>
      </w:pPr>
    </w:p>
    <w:p w14:paraId="52692AF4" w14:textId="77777777" w:rsidR="007C4EBA" w:rsidRPr="00CE74CE" w:rsidRDefault="001F445D" w:rsidP="00F23245">
      <w:pPr>
        <w:pStyle w:val="Styl2"/>
        <w:numPr>
          <w:ilvl w:val="0"/>
          <w:numId w:val="6"/>
        </w:numPr>
        <w:ind w:left="340" w:hanging="340"/>
      </w:pPr>
      <w:bookmarkStart w:id="4" w:name="_Hlk134099608"/>
      <w:bookmarkStart w:id="5" w:name="_Hlk134099503"/>
      <w:r w:rsidRPr="00CE74CE">
        <w:lastRenderedPageBreak/>
        <w:t>Skutečnosti nasvědčující p</w:t>
      </w:r>
      <w:r w:rsidR="007C4EBA" w:rsidRPr="00CE74CE">
        <w:t>orušení rozpočtové kázně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CA8B3"/>
        <w:tblLook w:val="04A0" w:firstRow="1" w:lastRow="0" w:firstColumn="1" w:lastColumn="0" w:noHBand="0" w:noVBand="1"/>
      </w:tblPr>
      <w:tblGrid>
        <w:gridCol w:w="9060"/>
      </w:tblGrid>
      <w:tr w:rsidR="007C4EBA" w:rsidRPr="004F6F5D" w14:paraId="02FD9E5B" w14:textId="77777777" w:rsidTr="00076416">
        <w:tc>
          <w:tcPr>
            <w:tcW w:w="9060" w:type="dxa"/>
            <w:shd w:val="clear" w:color="auto" w:fill="E6E6E6"/>
          </w:tcPr>
          <w:p w14:paraId="27A1BDDD" w14:textId="77777777" w:rsidR="007C4EBA" w:rsidRPr="004F6F5D" w:rsidRDefault="001C2E0D" w:rsidP="002723E3">
            <w:pPr>
              <w:spacing w:before="120"/>
              <w:jc w:val="both"/>
              <w:rPr>
                <w:rFonts w:eastAsiaTheme="minorHAnsi" w:cs="Calibri"/>
                <w:b/>
                <w:highlight w:val="yellow"/>
              </w:rPr>
            </w:pPr>
            <w:r w:rsidRPr="00CE74CE">
              <w:rPr>
                <w:rFonts w:eastAsiaTheme="minorHAnsi" w:cs="Calibri"/>
                <w:b/>
              </w:rPr>
              <w:t>NKÚ zjistil skutečnosti nasvědčující porušení rozpočtové kázně</w:t>
            </w:r>
            <w:r w:rsidR="002B4F81">
              <w:rPr>
                <w:rFonts w:eastAsiaTheme="minorHAnsi" w:cs="Calibri"/>
                <w:b/>
              </w:rPr>
              <w:t xml:space="preserve"> ve výši 15,6 mil. Kč</w:t>
            </w:r>
            <w:r w:rsidR="004977A7">
              <w:rPr>
                <w:rFonts w:eastAsiaTheme="minorHAnsi" w:cs="Calibri"/>
                <w:b/>
              </w:rPr>
              <w:t>.</w:t>
            </w:r>
          </w:p>
        </w:tc>
      </w:tr>
    </w:tbl>
    <w:p w14:paraId="56B0BF15" w14:textId="008B933D" w:rsidR="00C71BA3" w:rsidRDefault="001319A0" w:rsidP="005C7262">
      <w:pPr>
        <w:spacing w:before="120"/>
        <w:jc w:val="both"/>
      </w:pPr>
      <w:r w:rsidRPr="00B75F34">
        <w:rPr>
          <w:rFonts w:asciiTheme="minorHAnsi" w:hAnsiTheme="minorHAnsi" w:cstheme="minorHAnsi"/>
        </w:rPr>
        <w:t>MMR</w:t>
      </w:r>
      <w:r w:rsidR="00163BF3">
        <w:rPr>
          <w:rFonts w:asciiTheme="minorHAnsi" w:hAnsiTheme="minorHAnsi" w:cstheme="minorHAnsi"/>
        </w:rPr>
        <w:t xml:space="preserve"> </w:t>
      </w:r>
      <w:r w:rsidR="004977A7" w:rsidRPr="004977A7">
        <w:rPr>
          <w:rFonts w:eastAsia="Calibri"/>
        </w:rPr>
        <w:t>neodvedlo do státního rozpočtu příjmy státního rozpočtu soustředěné na účtu cizích prostředků</w:t>
      </w:r>
      <w:r w:rsidR="00566CDF">
        <w:rPr>
          <w:rFonts w:eastAsia="Calibri"/>
        </w:rPr>
        <w:t xml:space="preserve"> </w:t>
      </w:r>
      <w:r w:rsidR="00566CDF" w:rsidRPr="00571C49">
        <w:rPr>
          <w:rFonts w:asciiTheme="minorHAnsi" w:hAnsiTheme="minorHAnsi" w:cstheme="minorHAnsi"/>
          <w:b/>
        </w:rPr>
        <w:t>v celkové výši 15,6 mil. Kč</w:t>
      </w:r>
      <w:r w:rsidR="004977A7" w:rsidRPr="004977A7">
        <w:rPr>
          <w:rFonts w:eastAsia="Calibri"/>
        </w:rPr>
        <w:t xml:space="preserve"> (</w:t>
      </w:r>
      <w:r w:rsidR="004977A7" w:rsidRPr="00B75F34">
        <w:rPr>
          <w:rFonts w:eastAsia="Calibri"/>
        </w:rPr>
        <w:t>viz část IV.5</w:t>
      </w:r>
      <w:r w:rsidR="00915651">
        <w:rPr>
          <w:rFonts w:eastAsia="Calibri"/>
        </w:rPr>
        <w:t xml:space="preserve"> tohoto kontrolního závěru</w:t>
      </w:r>
      <w:r w:rsidR="004977A7" w:rsidRPr="00B75F34">
        <w:rPr>
          <w:rFonts w:eastAsia="Calibri"/>
        </w:rPr>
        <w:t>)</w:t>
      </w:r>
      <w:r w:rsidR="00163BF3" w:rsidRPr="00B75F34">
        <w:rPr>
          <w:rFonts w:eastAsia="Calibri"/>
        </w:rPr>
        <w:t>.</w:t>
      </w:r>
    </w:p>
    <w:p w14:paraId="559F610C" w14:textId="77777777" w:rsidR="00495EFA" w:rsidRPr="005F4282" w:rsidRDefault="00DD3125" w:rsidP="00FF6DAA">
      <w:pPr>
        <w:pStyle w:val="Styl2"/>
        <w:numPr>
          <w:ilvl w:val="0"/>
          <w:numId w:val="6"/>
        </w:numPr>
        <w:ind w:left="340" w:hanging="340"/>
      </w:pPr>
      <w:r w:rsidRPr="005F4282">
        <w:t xml:space="preserve">Kontrola opatření k nápravě nedostatků </w:t>
      </w:r>
      <w:r w:rsidR="00684D1B" w:rsidRPr="005F4282">
        <w:t>uvedených v kontrolním závěru z</w:t>
      </w:r>
      <w:r w:rsidRPr="005F4282">
        <w:t xml:space="preserve"> kontrolní akc</w:t>
      </w:r>
      <w:r w:rsidR="00684D1B" w:rsidRPr="005F4282">
        <w:t>e</w:t>
      </w:r>
      <w:r w:rsidRPr="005F4282">
        <w:t xml:space="preserve"> NKÚ č. 1</w:t>
      </w:r>
      <w:r w:rsidR="005F4282" w:rsidRPr="005F4282">
        <w:t>9</w:t>
      </w:r>
      <w:r w:rsidRPr="005F4282">
        <w:t>/2</w:t>
      </w:r>
      <w:r w:rsidR="005F4282" w:rsidRPr="005F4282">
        <w:t>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495EFA" w:rsidRPr="004F6F5D" w14:paraId="5F6C1177" w14:textId="77777777" w:rsidTr="00076416">
        <w:tc>
          <w:tcPr>
            <w:tcW w:w="9060" w:type="dxa"/>
            <w:shd w:val="clear" w:color="auto" w:fill="E6E6E6"/>
          </w:tcPr>
          <w:p w14:paraId="5E5AE0B9" w14:textId="77777777" w:rsidR="00495EFA" w:rsidRPr="004F6F5D" w:rsidRDefault="005F4282" w:rsidP="00453CDD">
            <w:pPr>
              <w:spacing w:before="120"/>
              <w:jc w:val="both"/>
              <w:rPr>
                <w:rFonts w:eastAsiaTheme="minorHAnsi" w:cs="Calibri"/>
                <w:b/>
                <w:highlight w:val="yellow"/>
              </w:rPr>
            </w:pPr>
            <w:bookmarkStart w:id="6" w:name="_Hlk136606220"/>
            <w:bookmarkEnd w:id="4"/>
            <w:r w:rsidRPr="005F4282">
              <w:rPr>
                <w:rFonts w:asciiTheme="minorHAnsi" w:hAnsiTheme="minorHAnsi" w:cstheme="minorHAnsi"/>
                <w:b/>
                <w:bCs/>
              </w:rPr>
              <w:t>MMR</w:t>
            </w:r>
            <w:r w:rsidR="00684D1B" w:rsidRPr="005F428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F4282">
              <w:rPr>
                <w:rFonts w:asciiTheme="minorHAnsi" w:hAnsiTheme="minorHAnsi" w:cstheme="minorHAnsi"/>
                <w:b/>
                <w:bCs/>
              </w:rPr>
              <w:t>realizovalo úplně a správně všech 20 opatření přijatých na základě usnesení vlády</w:t>
            </w:r>
            <w:r w:rsidR="004977A7">
              <w:rPr>
                <w:rFonts w:asciiTheme="minorHAnsi" w:hAnsiTheme="minorHAnsi" w:cstheme="minorHAnsi"/>
                <w:b/>
                <w:bCs/>
              </w:rPr>
              <w:t>.</w:t>
            </w:r>
            <w:r w:rsidR="00684D1B" w:rsidRPr="005F428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bookmarkEnd w:id="5"/>
    <w:bookmarkEnd w:id="6"/>
    <w:p w14:paraId="4FE6F086" w14:textId="5BB1567C" w:rsidR="00D417FB" w:rsidRPr="009D7FDB" w:rsidRDefault="00A0366C" w:rsidP="005F4282">
      <w:pPr>
        <w:spacing w:before="120" w:after="0"/>
        <w:jc w:val="both"/>
        <w:rPr>
          <w:rFonts w:asciiTheme="minorHAnsi" w:hAnsiTheme="minorHAnsi" w:cstheme="minorHAnsi"/>
          <w:bCs/>
        </w:rPr>
      </w:pPr>
      <w:r w:rsidRPr="009D7FDB">
        <w:rPr>
          <w:rFonts w:asciiTheme="minorHAnsi" w:hAnsiTheme="minorHAnsi" w:cstheme="minorHAnsi"/>
        </w:rPr>
        <w:t xml:space="preserve">NKÚ v průběhu kontroly hodnotil také opatření </w:t>
      </w:r>
      <w:r w:rsidR="005F4282" w:rsidRPr="009D7FDB">
        <w:rPr>
          <w:rFonts w:asciiTheme="minorHAnsi" w:hAnsiTheme="minorHAnsi" w:cstheme="minorHAnsi"/>
        </w:rPr>
        <w:t>MMR</w:t>
      </w:r>
      <w:r w:rsidRPr="009D7FDB">
        <w:rPr>
          <w:rFonts w:asciiTheme="minorHAnsi" w:hAnsiTheme="minorHAnsi" w:cstheme="minorHAnsi"/>
        </w:rPr>
        <w:t xml:space="preserve"> přijatá</w:t>
      </w:r>
      <w:r w:rsidR="00BD6AA4" w:rsidRPr="009D7FDB">
        <w:rPr>
          <w:rStyle w:val="Znakapoznpodarou"/>
          <w:rFonts w:asciiTheme="minorHAnsi" w:hAnsiTheme="minorHAnsi" w:cstheme="minorHAnsi"/>
        </w:rPr>
        <w:footnoteReference w:id="10"/>
      </w:r>
      <w:r w:rsidRPr="009D7FDB">
        <w:rPr>
          <w:rFonts w:asciiTheme="minorHAnsi" w:hAnsiTheme="minorHAnsi" w:cstheme="minorHAnsi"/>
        </w:rPr>
        <w:t xml:space="preserve"> k nápravě nedostatků </w:t>
      </w:r>
      <w:r w:rsidR="00684D1B" w:rsidRPr="009D7FDB">
        <w:rPr>
          <w:rFonts w:asciiTheme="minorHAnsi" w:hAnsiTheme="minorHAnsi" w:cstheme="minorHAnsi"/>
        </w:rPr>
        <w:t>uvedených</w:t>
      </w:r>
      <w:r w:rsidR="00B06FC8" w:rsidRPr="009D7FDB">
        <w:rPr>
          <w:rFonts w:asciiTheme="minorHAnsi" w:hAnsiTheme="minorHAnsi" w:cstheme="minorHAnsi"/>
        </w:rPr>
        <w:t xml:space="preserve"> v</w:t>
      </w:r>
      <w:r w:rsidR="00684D1B" w:rsidRPr="009D7FDB">
        <w:rPr>
          <w:rFonts w:asciiTheme="minorHAnsi" w:hAnsiTheme="minorHAnsi" w:cstheme="minorHAnsi"/>
        </w:rPr>
        <w:t xml:space="preserve"> </w:t>
      </w:r>
      <w:r w:rsidRPr="009D7FDB">
        <w:rPr>
          <w:rFonts w:asciiTheme="minorHAnsi" w:hAnsiTheme="minorHAnsi" w:cstheme="minorHAnsi"/>
        </w:rPr>
        <w:t>kontrolní</w:t>
      </w:r>
      <w:r w:rsidR="00B06FC8" w:rsidRPr="009D7FDB">
        <w:rPr>
          <w:rFonts w:asciiTheme="minorHAnsi" w:hAnsiTheme="minorHAnsi" w:cstheme="minorHAnsi"/>
        </w:rPr>
        <w:t>m</w:t>
      </w:r>
      <w:r w:rsidRPr="009D7FDB">
        <w:rPr>
          <w:rFonts w:asciiTheme="minorHAnsi" w:hAnsiTheme="minorHAnsi" w:cstheme="minorHAnsi"/>
        </w:rPr>
        <w:t xml:space="preserve"> </w:t>
      </w:r>
      <w:r w:rsidR="00B06FC8" w:rsidRPr="009D7FDB">
        <w:rPr>
          <w:rFonts w:asciiTheme="minorHAnsi" w:hAnsiTheme="minorHAnsi" w:cstheme="minorHAnsi"/>
        </w:rPr>
        <w:t>závěru z</w:t>
      </w:r>
      <w:r w:rsidR="005006B3">
        <w:rPr>
          <w:rFonts w:asciiTheme="minorHAnsi" w:hAnsiTheme="minorHAnsi" w:cstheme="minorHAnsi"/>
        </w:rPr>
        <w:t> kontrolní akce</w:t>
      </w:r>
      <w:r w:rsidRPr="009D7FDB">
        <w:rPr>
          <w:rFonts w:asciiTheme="minorHAnsi" w:hAnsiTheme="minorHAnsi" w:cstheme="minorHAnsi"/>
        </w:rPr>
        <w:t xml:space="preserve"> NKÚ č. 1</w:t>
      </w:r>
      <w:r w:rsidR="005F4282" w:rsidRPr="009D7FDB">
        <w:rPr>
          <w:rFonts w:asciiTheme="minorHAnsi" w:hAnsiTheme="minorHAnsi" w:cstheme="minorHAnsi"/>
        </w:rPr>
        <w:t>9</w:t>
      </w:r>
      <w:r w:rsidRPr="009D7FDB">
        <w:rPr>
          <w:rFonts w:asciiTheme="minorHAnsi" w:hAnsiTheme="minorHAnsi" w:cstheme="minorHAnsi"/>
        </w:rPr>
        <w:t>/2</w:t>
      </w:r>
      <w:r w:rsidR="005F4282" w:rsidRPr="009D7FDB">
        <w:rPr>
          <w:rFonts w:asciiTheme="minorHAnsi" w:hAnsiTheme="minorHAnsi" w:cstheme="minorHAnsi"/>
        </w:rPr>
        <w:t>1</w:t>
      </w:r>
      <w:r w:rsidR="002D08FC" w:rsidRPr="009D7FDB">
        <w:rPr>
          <w:rStyle w:val="Znakapoznpodarou"/>
          <w:rFonts w:asciiTheme="minorHAnsi" w:hAnsiTheme="minorHAnsi" w:cstheme="minorHAnsi"/>
        </w:rPr>
        <w:footnoteReference w:id="11"/>
      </w:r>
      <w:r w:rsidRPr="009D7FDB">
        <w:rPr>
          <w:rFonts w:asciiTheme="minorHAnsi" w:hAnsiTheme="minorHAnsi" w:cstheme="minorHAnsi"/>
        </w:rPr>
        <w:t xml:space="preserve">. </w:t>
      </w:r>
      <w:r w:rsidR="009D7FDB" w:rsidRPr="009D7FDB">
        <w:rPr>
          <w:rFonts w:asciiTheme="minorHAnsi" w:hAnsiTheme="minorHAnsi" w:cstheme="minorHAnsi"/>
        </w:rPr>
        <w:t>MMR</w:t>
      </w:r>
      <w:r w:rsidR="00DD3125" w:rsidRPr="009D7FDB">
        <w:rPr>
          <w:rFonts w:asciiTheme="minorHAnsi" w:hAnsiTheme="minorHAnsi" w:cstheme="minorHAnsi"/>
        </w:rPr>
        <w:t xml:space="preserve"> přijal</w:t>
      </w:r>
      <w:r w:rsidR="009D7FDB" w:rsidRPr="009D7FDB">
        <w:rPr>
          <w:rFonts w:asciiTheme="minorHAnsi" w:hAnsiTheme="minorHAnsi" w:cstheme="minorHAnsi"/>
        </w:rPr>
        <w:t>o</w:t>
      </w:r>
      <w:r w:rsidR="00DD3125" w:rsidRPr="009D7FDB">
        <w:rPr>
          <w:rFonts w:asciiTheme="minorHAnsi" w:hAnsiTheme="minorHAnsi" w:cstheme="minorHAnsi"/>
        </w:rPr>
        <w:t xml:space="preserve"> na základě usnesení vlády opatření, která přispěla k odstranění identifikovaných nesprávností</w:t>
      </w:r>
      <w:r w:rsidR="004977A7">
        <w:rPr>
          <w:rFonts w:asciiTheme="minorHAnsi" w:hAnsiTheme="minorHAnsi" w:cstheme="minorHAnsi"/>
        </w:rPr>
        <w:t xml:space="preserve"> </w:t>
      </w:r>
      <w:r w:rsidR="004977A7" w:rsidRPr="00B75F34">
        <w:rPr>
          <w:rFonts w:asciiTheme="minorHAnsi" w:hAnsiTheme="minorHAnsi" w:cstheme="minorHAnsi"/>
        </w:rPr>
        <w:t>(viz část IV.</w:t>
      </w:r>
      <w:r w:rsidR="00B75F34">
        <w:rPr>
          <w:rFonts w:asciiTheme="minorHAnsi" w:hAnsiTheme="minorHAnsi" w:cstheme="minorHAnsi"/>
        </w:rPr>
        <w:t>6</w:t>
      </w:r>
      <w:r w:rsidR="00915651">
        <w:rPr>
          <w:rFonts w:asciiTheme="minorHAnsi" w:hAnsiTheme="minorHAnsi" w:cstheme="minorHAnsi"/>
        </w:rPr>
        <w:t xml:space="preserve"> tohoto kontrolního závěru</w:t>
      </w:r>
      <w:r w:rsidR="004977A7" w:rsidRPr="00B75F34">
        <w:rPr>
          <w:rFonts w:asciiTheme="minorHAnsi" w:hAnsiTheme="minorHAnsi" w:cstheme="minorHAnsi"/>
        </w:rPr>
        <w:t>)</w:t>
      </w:r>
      <w:r w:rsidR="004977A7" w:rsidRPr="00B75F34">
        <w:rPr>
          <w:rFonts w:asciiTheme="minorHAnsi" w:hAnsiTheme="minorHAnsi" w:cstheme="minorHAnsi"/>
          <w:bCs/>
        </w:rPr>
        <w:t>.</w:t>
      </w:r>
    </w:p>
    <w:p w14:paraId="0B1EE322" w14:textId="77777777" w:rsidR="00DD3125" w:rsidRPr="004F6F5D" w:rsidRDefault="00DD3125" w:rsidP="00FE56E9">
      <w:pPr>
        <w:pStyle w:val="Odstavecseseznamem"/>
        <w:ind w:left="0"/>
        <w:jc w:val="both"/>
        <w:rPr>
          <w:rFonts w:eastAsia="Calibri"/>
          <w:highlight w:val="yellow"/>
        </w:rPr>
      </w:pPr>
    </w:p>
    <w:p w14:paraId="1E3A6D01" w14:textId="649D77A7" w:rsidR="007028BF" w:rsidRPr="004F6F5D" w:rsidRDefault="007028BF">
      <w:pPr>
        <w:spacing w:after="160" w:line="259" w:lineRule="auto"/>
        <w:rPr>
          <w:rFonts w:cs="Calibri"/>
          <w:highlight w:val="yellow"/>
        </w:rPr>
      </w:pPr>
    </w:p>
    <w:p w14:paraId="427478D5" w14:textId="77777777" w:rsidR="00E91FF5" w:rsidRPr="009D7FDB" w:rsidRDefault="00A640AE" w:rsidP="00D10727">
      <w:pPr>
        <w:pStyle w:val="Styl1"/>
        <w:ind w:left="414" w:hanging="57"/>
      </w:pPr>
      <w:r w:rsidRPr="009D7FDB">
        <w:t>Informace o kontrolované oblasti</w:t>
      </w:r>
    </w:p>
    <w:p w14:paraId="094C696F" w14:textId="77777777" w:rsidR="00C159BE" w:rsidRPr="004F6F5D" w:rsidRDefault="00C159BE" w:rsidP="001A79A3">
      <w:pPr>
        <w:keepNext/>
        <w:spacing w:after="0"/>
        <w:jc w:val="both"/>
        <w:rPr>
          <w:rFonts w:cs="Calibri"/>
          <w:highlight w:val="yellow"/>
        </w:rPr>
      </w:pPr>
    </w:p>
    <w:p w14:paraId="537589EF" w14:textId="3D4FCBD5" w:rsidR="009D7FDB" w:rsidRDefault="009D7FDB" w:rsidP="00DF6AD0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MMR</w:t>
      </w:r>
      <w:r w:rsidRPr="00081860">
        <w:rPr>
          <w:rFonts w:asciiTheme="minorHAnsi" w:hAnsiTheme="minorHAnsi" w:cstheme="minorHAnsi"/>
        </w:rPr>
        <w:t xml:space="preserve"> bylo zřízeno zákonem č. 2/1969 Sb.</w:t>
      </w:r>
      <w:r>
        <w:rPr>
          <w:rStyle w:val="Znakapoznpodarou"/>
          <w:rFonts w:asciiTheme="minorHAnsi" w:hAnsiTheme="minorHAnsi" w:cstheme="minorHAnsi"/>
        </w:rPr>
        <w:footnoteReference w:id="12"/>
      </w:r>
      <w:r w:rsidRPr="00081860">
        <w:rPr>
          <w:rFonts w:asciiTheme="minorHAnsi" w:hAnsiTheme="minorHAnsi" w:cstheme="minorHAnsi"/>
        </w:rPr>
        <w:t xml:space="preserve"> Podle tohoto zákona je </w:t>
      </w:r>
      <w:r w:rsidRPr="0034044B">
        <w:rPr>
          <w:rFonts w:asciiTheme="minorHAnsi" w:hAnsiTheme="minorHAnsi" w:cstheme="minorHAnsi"/>
        </w:rPr>
        <w:t>MMR ústředním orgánem státní správy ve věcec</w:t>
      </w:r>
      <w:r w:rsidRPr="00942414">
        <w:rPr>
          <w:rFonts w:asciiTheme="minorHAnsi" w:hAnsiTheme="minorHAnsi" w:cstheme="minorHAnsi"/>
        </w:rPr>
        <w:t>h regionální politiky, politiky bydlení, rozvoje domovního a bytového fondu a pro věci nájmu bytů a nebytových prostor, územního plánování a stavebního řádu, vyvlastnění, investiční politiky, cestovního ruchu a pohřebnictví.</w:t>
      </w:r>
    </w:p>
    <w:p w14:paraId="5F398205" w14:textId="54F7FD08" w:rsidR="009D7FDB" w:rsidRPr="009363E2" w:rsidRDefault="00D156DD" w:rsidP="00DF6AD0">
      <w:pPr>
        <w:spacing w:after="0"/>
        <w:jc w:val="both"/>
        <w:rPr>
          <w:rFonts w:asciiTheme="minorHAnsi" w:hAnsiTheme="minorHAnsi" w:cstheme="minorHAnsi"/>
        </w:rPr>
      </w:pPr>
      <w:bookmarkStart w:id="7" w:name="_Hlk171669494"/>
      <w:r w:rsidRPr="009363E2">
        <w:rPr>
          <w:rFonts w:asciiTheme="minorHAnsi" w:hAnsiTheme="minorHAnsi" w:cstheme="minorHAnsi"/>
        </w:rPr>
        <w:t>V souladu se zákonem č. 219/2000 Sb.</w:t>
      </w:r>
      <w:r w:rsidRPr="009363E2">
        <w:rPr>
          <w:rStyle w:val="Znakapoznpodarou"/>
          <w:rFonts w:asciiTheme="minorHAnsi" w:hAnsiTheme="minorHAnsi" w:cstheme="minorHAnsi"/>
        </w:rPr>
        <w:footnoteReference w:id="13"/>
      </w:r>
      <w:r w:rsidRPr="009363E2">
        <w:rPr>
          <w:rFonts w:asciiTheme="minorHAnsi" w:hAnsiTheme="minorHAnsi" w:cstheme="minorHAnsi"/>
        </w:rPr>
        <w:t xml:space="preserve"> je </w:t>
      </w:r>
      <w:r w:rsidR="009D7FDB" w:rsidRPr="009363E2">
        <w:rPr>
          <w:rFonts w:asciiTheme="minorHAnsi" w:hAnsiTheme="minorHAnsi" w:cstheme="minorHAnsi"/>
        </w:rPr>
        <w:t>MMR</w:t>
      </w:r>
      <w:r w:rsidRPr="009363E2">
        <w:rPr>
          <w:rFonts w:asciiTheme="minorHAnsi" w:hAnsiTheme="minorHAnsi" w:cstheme="minorHAnsi"/>
        </w:rPr>
        <w:t xml:space="preserve"> organizační složkou státu (dále také „OSS“) a</w:t>
      </w:r>
      <w:r w:rsidR="00FB6F32">
        <w:rPr>
          <w:rFonts w:asciiTheme="minorHAnsi" w:hAnsiTheme="minorHAnsi" w:cstheme="minorHAnsi"/>
        </w:rPr>
        <w:t> </w:t>
      </w:r>
      <w:r w:rsidRPr="009363E2">
        <w:rPr>
          <w:rFonts w:asciiTheme="minorHAnsi" w:hAnsiTheme="minorHAnsi" w:cstheme="minorHAnsi"/>
        </w:rPr>
        <w:t>dle zákona č. 563/1991 Sb. vybranou účetní jednotkou</w:t>
      </w:r>
      <w:r w:rsidR="00EB57CF">
        <w:rPr>
          <w:rFonts w:asciiTheme="minorHAnsi" w:hAnsiTheme="minorHAnsi" w:cstheme="minorHAnsi"/>
        </w:rPr>
        <w:t>.</w:t>
      </w:r>
      <w:r w:rsidR="009D7FDB" w:rsidRPr="009363E2">
        <w:rPr>
          <w:rFonts w:asciiTheme="minorHAnsi" w:hAnsiTheme="minorHAnsi" w:cstheme="minorHAnsi"/>
        </w:rPr>
        <w:t xml:space="preserve"> </w:t>
      </w:r>
      <w:r w:rsidR="009D7FDB" w:rsidRPr="005C40E0">
        <w:rPr>
          <w:rFonts w:asciiTheme="minorHAnsi" w:hAnsiTheme="minorHAnsi" w:cstheme="minorHAnsi"/>
        </w:rPr>
        <w:t>MMR je ústředním orgánem státní správy a v souladu se zákonem č. 218/2000 Sb.</w:t>
      </w:r>
      <w:r w:rsidR="009363E2" w:rsidRPr="005C40E0">
        <w:rPr>
          <w:rStyle w:val="Znakapoznpodarou"/>
          <w:rFonts w:asciiTheme="minorHAnsi" w:hAnsiTheme="minorHAnsi" w:cstheme="minorHAnsi"/>
        </w:rPr>
        <w:footnoteReference w:id="14"/>
      </w:r>
      <w:r w:rsidR="00BC4604" w:rsidRPr="005C40E0">
        <w:rPr>
          <w:rFonts w:asciiTheme="minorHAnsi" w:hAnsiTheme="minorHAnsi" w:cstheme="minorHAnsi"/>
        </w:rPr>
        <w:t xml:space="preserve"> a </w:t>
      </w:r>
      <w:r w:rsidR="00274FA3" w:rsidRPr="005C40E0">
        <w:rPr>
          <w:rFonts w:asciiTheme="minorHAnsi" w:hAnsiTheme="minorHAnsi" w:cstheme="minorHAnsi"/>
        </w:rPr>
        <w:t xml:space="preserve">dle </w:t>
      </w:r>
      <w:r w:rsidR="00BC4604" w:rsidRPr="005C40E0">
        <w:rPr>
          <w:rFonts w:asciiTheme="minorHAnsi" w:hAnsiTheme="minorHAnsi" w:cstheme="minorHAnsi"/>
        </w:rPr>
        <w:t>vyhlášky č. 412/2021 Sb.</w:t>
      </w:r>
      <w:r w:rsidR="00BC4604" w:rsidRPr="005C40E0">
        <w:rPr>
          <w:vertAlign w:val="superscript"/>
        </w:rPr>
        <w:footnoteReference w:id="15"/>
      </w:r>
      <w:r w:rsidR="009D7FDB" w:rsidRPr="005C40E0">
        <w:rPr>
          <w:rFonts w:asciiTheme="minorHAnsi" w:hAnsiTheme="minorHAnsi" w:cstheme="minorHAnsi"/>
        </w:rPr>
        <w:t xml:space="preserve"> </w:t>
      </w:r>
      <w:r w:rsidR="00EB57CF" w:rsidRPr="005C40E0">
        <w:rPr>
          <w:rFonts w:asciiTheme="minorHAnsi" w:hAnsiTheme="minorHAnsi" w:cstheme="minorHAnsi"/>
        </w:rPr>
        <w:t xml:space="preserve">je </w:t>
      </w:r>
      <w:r w:rsidR="009363E2" w:rsidRPr="005C40E0">
        <w:rPr>
          <w:rFonts w:asciiTheme="minorHAnsi" w:hAnsiTheme="minorHAnsi" w:cstheme="minorHAnsi"/>
        </w:rPr>
        <w:t>správcem kapitoly</w:t>
      </w:r>
      <w:r w:rsidR="00EB57CF" w:rsidRPr="005C40E0">
        <w:rPr>
          <w:rFonts w:asciiTheme="minorHAnsi" w:hAnsiTheme="minorHAnsi" w:cstheme="minorHAnsi"/>
        </w:rPr>
        <w:t xml:space="preserve"> státního rozpočtu</w:t>
      </w:r>
      <w:r w:rsidR="009363E2" w:rsidRPr="005C40E0">
        <w:rPr>
          <w:rFonts w:asciiTheme="minorHAnsi" w:hAnsiTheme="minorHAnsi" w:cstheme="minorHAnsi"/>
        </w:rPr>
        <w:t xml:space="preserve"> 317</w:t>
      </w:r>
      <w:r w:rsidR="006D29B3">
        <w:rPr>
          <w:rFonts w:asciiTheme="minorHAnsi" w:hAnsiTheme="minorHAnsi" w:cstheme="minorHAnsi"/>
        </w:rPr>
        <w:t xml:space="preserve"> –</w:t>
      </w:r>
      <w:r w:rsidR="009363E2" w:rsidRPr="005C40E0">
        <w:rPr>
          <w:rFonts w:asciiTheme="minorHAnsi" w:hAnsiTheme="minorHAnsi" w:cstheme="minorHAnsi"/>
        </w:rPr>
        <w:t xml:space="preserve"> </w:t>
      </w:r>
      <w:r w:rsidR="00EB57CF" w:rsidRPr="001258AA">
        <w:rPr>
          <w:rFonts w:asciiTheme="minorHAnsi" w:hAnsiTheme="minorHAnsi" w:cstheme="minorHAnsi"/>
          <w:i/>
        </w:rPr>
        <w:t>Ministerstvo pro místní rozvoj</w:t>
      </w:r>
      <w:r w:rsidR="009363E2" w:rsidRPr="005C40E0">
        <w:rPr>
          <w:rFonts w:asciiTheme="minorHAnsi" w:hAnsiTheme="minorHAnsi" w:cstheme="minorHAnsi"/>
        </w:rPr>
        <w:t>.</w:t>
      </w:r>
    </w:p>
    <w:bookmarkEnd w:id="7"/>
    <w:p w14:paraId="3C3DDEBF" w14:textId="77777777" w:rsidR="009D7FDB" w:rsidRDefault="009D7FDB" w:rsidP="00DF6AD0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2C971290" w14:textId="77777777" w:rsidR="005705EE" w:rsidRPr="009363E2" w:rsidRDefault="00A640AE" w:rsidP="009F20AA">
      <w:pPr>
        <w:spacing w:after="0"/>
        <w:jc w:val="both"/>
        <w:rPr>
          <w:rFonts w:cs="Calibri"/>
        </w:rPr>
      </w:pPr>
      <w:r w:rsidRPr="009363E2">
        <w:rPr>
          <w:rFonts w:cs="Calibri"/>
        </w:rPr>
        <w:t>Přehled</w:t>
      </w:r>
      <w:r w:rsidR="00D85D8F" w:rsidRPr="009363E2">
        <w:rPr>
          <w:rFonts w:cs="Calibri"/>
        </w:rPr>
        <w:t xml:space="preserve"> vybraných</w:t>
      </w:r>
      <w:r w:rsidRPr="009363E2">
        <w:rPr>
          <w:rFonts w:cs="Calibri"/>
        </w:rPr>
        <w:t xml:space="preserve"> údajů z </w:t>
      </w:r>
      <w:r w:rsidR="00D37A9B" w:rsidRPr="009363E2">
        <w:rPr>
          <w:rFonts w:cs="Calibri"/>
        </w:rPr>
        <w:t xml:space="preserve">ÚZ </w:t>
      </w:r>
      <w:r w:rsidRPr="009363E2">
        <w:rPr>
          <w:rFonts w:cs="Calibri"/>
        </w:rPr>
        <w:t>a z</w:t>
      </w:r>
      <w:r w:rsidR="00411333" w:rsidRPr="009363E2">
        <w:rPr>
          <w:rFonts w:cs="Calibri"/>
        </w:rPr>
        <w:t> </w:t>
      </w:r>
      <w:r w:rsidR="005644E8" w:rsidRPr="009363E2">
        <w:rPr>
          <w:rFonts w:cs="Calibri"/>
        </w:rPr>
        <w:t>výkaz</w:t>
      </w:r>
      <w:r w:rsidR="009363E2" w:rsidRPr="009363E2">
        <w:rPr>
          <w:rFonts w:cs="Calibri"/>
        </w:rPr>
        <w:t>u</w:t>
      </w:r>
      <w:r w:rsidR="005644E8" w:rsidRPr="009363E2">
        <w:rPr>
          <w:rFonts w:cs="Calibri"/>
        </w:rPr>
        <w:t xml:space="preserve"> </w:t>
      </w:r>
      <w:r w:rsidRPr="009363E2">
        <w:rPr>
          <w:rFonts w:cs="Calibri"/>
        </w:rPr>
        <w:t>FIN 1-12 OSS vygenerovaného z rozpočtového systému</w:t>
      </w:r>
      <w:r w:rsidRPr="009363E2">
        <w:rPr>
          <w:rStyle w:val="Znakapoznpodarou"/>
          <w:rFonts w:eastAsiaTheme="minorHAnsi" w:cs="Calibri"/>
        </w:rPr>
        <w:footnoteReference w:id="16"/>
      </w:r>
      <w:r w:rsidRPr="009363E2">
        <w:rPr>
          <w:rFonts w:cs="Calibri"/>
        </w:rPr>
        <w:t xml:space="preserve"> je uveden v následujících tabulkách.</w:t>
      </w:r>
    </w:p>
    <w:p w14:paraId="3AAFFB99" w14:textId="15703BF6" w:rsidR="00DE6218" w:rsidRPr="009363E2" w:rsidRDefault="00DE6218" w:rsidP="006D29B3">
      <w:pPr>
        <w:pStyle w:val="Titulek"/>
        <w:spacing w:after="40"/>
      </w:pPr>
      <w:r w:rsidRPr="009363E2">
        <w:lastRenderedPageBreak/>
        <w:t xml:space="preserve">Tabulka č. </w:t>
      </w:r>
      <w:r w:rsidR="00871195">
        <w:fldChar w:fldCharType="begin"/>
      </w:r>
      <w:r w:rsidR="00871195">
        <w:instrText xml:space="preserve"> SEQ Tabulka_č. \* ARABIC </w:instrText>
      </w:r>
      <w:r w:rsidR="00871195">
        <w:fldChar w:fldCharType="separate"/>
      </w:r>
      <w:r w:rsidR="00871195">
        <w:rPr>
          <w:noProof/>
        </w:rPr>
        <w:t>1</w:t>
      </w:r>
      <w:r w:rsidR="00871195">
        <w:rPr>
          <w:noProof/>
        </w:rPr>
        <w:fldChar w:fldCharType="end"/>
      </w:r>
      <w:r w:rsidRPr="009363E2">
        <w:t xml:space="preserve">: Údaje ÚZ – rozvaha a výkaz zisku a ztráty (údaje za </w:t>
      </w:r>
      <w:r w:rsidR="00055EC4" w:rsidRPr="009363E2">
        <w:t xml:space="preserve">rok </w:t>
      </w:r>
      <w:r w:rsidR="009363E2" w:rsidRPr="009363E2">
        <w:t>2023</w:t>
      </w:r>
      <w:r w:rsidRPr="009363E2">
        <w:t>)</w:t>
      </w:r>
    </w:p>
    <w:tbl>
      <w:tblPr>
        <w:tblW w:w="9070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0"/>
      </w:tblGrid>
      <w:tr w:rsidR="007435AA" w:rsidRPr="004F6F5D" w14:paraId="6956F5B0" w14:textId="77777777" w:rsidTr="00755BB9">
        <w:trPr>
          <w:trHeight w:val="45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noWrap/>
            <w:vAlign w:val="center"/>
            <w:hideMark/>
          </w:tcPr>
          <w:p w14:paraId="0C53FBE5" w14:textId="77777777" w:rsidR="007435AA" w:rsidRPr="009363E2" w:rsidRDefault="007435AA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363E2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noWrap/>
            <w:vAlign w:val="center"/>
            <w:hideMark/>
          </w:tcPr>
          <w:p w14:paraId="0CF33578" w14:textId="77777777" w:rsidR="007435AA" w:rsidRPr="009363E2" w:rsidRDefault="007435AA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363E2">
              <w:rPr>
                <w:rFonts w:cs="Arial"/>
                <w:b/>
                <w:bCs/>
                <w:sz w:val="20"/>
                <w:szCs w:val="20"/>
              </w:rPr>
              <w:t>Částka v mil. Kč</w:t>
            </w:r>
          </w:p>
        </w:tc>
      </w:tr>
      <w:tr w:rsidR="007435AA" w:rsidRPr="004F6F5D" w14:paraId="7E9F7B28" w14:textId="77777777" w:rsidTr="00675D30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81C4A83" w14:textId="77777777" w:rsidR="007435AA" w:rsidRPr="00D3345F" w:rsidRDefault="007435AA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 w:rsidRPr="00D3345F">
              <w:rPr>
                <w:rFonts w:cs="Arial"/>
                <w:sz w:val="20"/>
                <w:szCs w:val="20"/>
              </w:rPr>
              <w:t>Aktiva netto</w:t>
            </w:r>
            <w:r w:rsidR="00CA69AB" w:rsidRPr="00D3345F">
              <w:rPr>
                <w:rFonts w:cs="Arial"/>
                <w:sz w:val="20"/>
                <w:szCs w:val="20"/>
              </w:rPr>
              <w:t>, pasiva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0635AD0" w14:textId="77777777" w:rsidR="007435AA" w:rsidRPr="004F6F5D" w:rsidRDefault="00B40E02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B40E02">
              <w:rPr>
                <w:rFonts w:cs="Arial"/>
                <w:bCs/>
                <w:sz w:val="20"/>
                <w:szCs w:val="20"/>
              </w:rPr>
              <w:t>20 102,7</w:t>
            </w:r>
          </w:p>
        </w:tc>
      </w:tr>
      <w:tr w:rsidR="007435AA" w:rsidRPr="004F6F5D" w14:paraId="3AF54CC2" w14:textId="77777777" w:rsidTr="00675D30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744A412" w14:textId="77777777" w:rsidR="007435AA" w:rsidRPr="00D3345F" w:rsidRDefault="007435AA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 w:rsidRPr="00D3345F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F57160A" w14:textId="77777777" w:rsidR="007435AA" w:rsidRPr="004F6F5D" w:rsidRDefault="00B40E02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B40E02">
              <w:rPr>
                <w:rFonts w:cs="Arial"/>
                <w:sz w:val="20"/>
                <w:szCs w:val="20"/>
              </w:rPr>
              <w:t>28 294,8</w:t>
            </w:r>
          </w:p>
        </w:tc>
      </w:tr>
      <w:tr w:rsidR="007435AA" w:rsidRPr="004F6F5D" w14:paraId="1668AC1F" w14:textId="77777777" w:rsidTr="00675D30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F8E811F" w14:textId="77777777" w:rsidR="007435AA" w:rsidRPr="00D3345F" w:rsidRDefault="007435AA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 w:rsidRPr="00D3345F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8FC6983" w14:textId="77777777" w:rsidR="007435AA" w:rsidRPr="004F6F5D" w:rsidRDefault="00B40E02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B40E02">
              <w:rPr>
                <w:rFonts w:cs="Arial"/>
                <w:sz w:val="20"/>
                <w:szCs w:val="20"/>
              </w:rPr>
              <w:t>20 826,4</w:t>
            </w:r>
          </w:p>
        </w:tc>
      </w:tr>
      <w:tr w:rsidR="007435AA" w:rsidRPr="004F6F5D" w14:paraId="68B92D61" w14:textId="77777777" w:rsidTr="00675D30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FD975" w14:textId="77777777" w:rsidR="007435AA" w:rsidRPr="00D3345F" w:rsidRDefault="007435AA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 w:rsidRPr="00D3345F">
              <w:rPr>
                <w:rFonts w:cs="Arial"/>
                <w:sz w:val="20"/>
                <w:szCs w:val="20"/>
              </w:rPr>
              <w:t>Výsledek hospodaření běžného účetního období (ztráta)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766402F" w14:textId="77777777" w:rsidR="007435AA" w:rsidRPr="004F6F5D" w:rsidRDefault="006614E6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B40E02">
              <w:rPr>
                <w:rFonts w:cs="Calibri"/>
                <w:sz w:val="20"/>
                <w:szCs w:val="20"/>
              </w:rPr>
              <w:t>−</w:t>
            </w:r>
            <w:r w:rsidR="00B40E02" w:rsidRPr="00B40E02">
              <w:rPr>
                <w:rFonts w:cs="Calibri"/>
                <w:sz w:val="20"/>
                <w:szCs w:val="20"/>
              </w:rPr>
              <w:t>7 468,4</w:t>
            </w:r>
          </w:p>
        </w:tc>
      </w:tr>
    </w:tbl>
    <w:p w14:paraId="230EC811" w14:textId="77777777" w:rsidR="00494B0F" w:rsidRPr="00D3345F" w:rsidRDefault="00A640AE" w:rsidP="006D29B3">
      <w:pPr>
        <w:keepNext/>
        <w:spacing w:before="40" w:after="0"/>
        <w:rPr>
          <w:rFonts w:cs="Arial"/>
          <w:bCs/>
          <w:sz w:val="20"/>
          <w:szCs w:val="20"/>
        </w:rPr>
      </w:pPr>
      <w:r w:rsidRPr="00D3345F">
        <w:rPr>
          <w:rFonts w:cs="Arial"/>
          <w:b/>
          <w:sz w:val="20"/>
          <w:szCs w:val="20"/>
        </w:rPr>
        <w:t>Zdroj:</w:t>
      </w:r>
      <w:r w:rsidRPr="00D3345F">
        <w:rPr>
          <w:rFonts w:cs="Arial"/>
          <w:bCs/>
          <w:sz w:val="20"/>
          <w:szCs w:val="20"/>
        </w:rPr>
        <w:t xml:space="preserve"> </w:t>
      </w:r>
      <w:r w:rsidR="000B3825" w:rsidRPr="00D3345F">
        <w:rPr>
          <w:rFonts w:cs="Arial"/>
          <w:bCs/>
          <w:sz w:val="20"/>
          <w:szCs w:val="20"/>
        </w:rPr>
        <w:t>ÚZ</w:t>
      </w:r>
      <w:r w:rsidR="003444C4" w:rsidRPr="00D3345F">
        <w:rPr>
          <w:rFonts w:cs="Arial"/>
          <w:bCs/>
          <w:sz w:val="20"/>
          <w:szCs w:val="20"/>
        </w:rPr>
        <w:t>.</w:t>
      </w:r>
    </w:p>
    <w:p w14:paraId="091E0840" w14:textId="68488A63" w:rsidR="00DE06FE" w:rsidRPr="004F6F5D" w:rsidRDefault="00A640AE" w:rsidP="006350B8">
      <w:pPr>
        <w:spacing w:after="0"/>
        <w:ind w:left="567" w:hanging="567"/>
        <w:jc w:val="both"/>
        <w:rPr>
          <w:rFonts w:cs="Arial"/>
          <w:bCs/>
          <w:sz w:val="20"/>
          <w:szCs w:val="20"/>
          <w:highlight w:val="yellow"/>
        </w:rPr>
      </w:pPr>
      <w:r w:rsidRPr="00D3345F">
        <w:rPr>
          <w:rFonts w:cs="Arial"/>
          <w:b/>
          <w:sz w:val="20"/>
          <w:szCs w:val="20"/>
        </w:rPr>
        <w:t>Pozn.:</w:t>
      </w:r>
      <w:r w:rsidR="005705EE" w:rsidRPr="00D3345F">
        <w:rPr>
          <w:rFonts w:cs="Arial"/>
          <w:bCs/>
          <w:sz w:val="20"/>
          <w:szCs w:val="20"/>
        </w:rPr>
        <w:t xml:space="preserve"> </w:t>
      </w:r>
      <w:r w:rsidR="00BA2B34" w:rsidRPr="00D3345F">
        <w:rPr>
          <w:rFonts w:cs="Arial"/>
          <w:bCs/>
          <w:sz w:val="20"/>
          <w:szCs w:val="20"/>
        </w:rPr>
        <w:tab/>
      </w:r>
      <w:r w:rsidR="00B22DF8" w:rsidRPr="00D3345F">
        <w:rPr>
          <w:rFonts w:cs="Arial"/>
          <w:bCs/>
          <w:sz w:val="20"/>
          <w:szCs w:val="20"/>
        </w:rPr>
        <w:t>M</w:t>
      </w:r>
      <w:r w:rsidR="00D3345F" w:rsidRPr="00D3345F">
        <w:rPr>
          <w:rFonts w:cs="Arial"/>
          <w:bCs/>
          <w:sz w:val="20"/>
          <w:szCs w:val="20"/>
        </w:rPr>
        <w:t>MR</w:t>
      </w:r>
      <w:r w:rsidR="00B22DF8" w:rsidRPr="00D3345F">
        <w:rPr>
          <w:rFonts w:cs="Arial"/>
          <w:bCs/>
          <w:sz w:val="20"/>
          <w:szCs w:val="20"/>
        </w:rPr>
        <w:t xml:space="preserve"> v ÚZ vykázal</w:t>
      </w:r>
      <w:r w:rsidR="00675D30">
        <w:rPr>
          <w:rFonts w:cs="Arial"/>
          <w:bCs/>
          <w:sz w:val="20"/>
          <w:szCs w:val="20"/>
        </w:rPr>
        <w:t>o</w:t>
      </w:r>
      <w:r w:rsidR="00B22DF8" w:rsidRPr="00D3345F">
        <w:rPr>
          <w:rFonts w:cs="Arial"/>
          <w:bCs/>
          <w:sz w:val="20"/>
          <w:szCs w:val="20"/>
        </w:rPr>
        <w:t xml:space="preserve"> aktiva v hodnotě brutto ve výši </w:t>
      </w:r>
      <w:r w:rsidR="00B40E02">
        <w:rPr>
          <w:rFonts w:cs="Arial"/>
          <w:bCs/>
          <w:sz w:val="20"/>
          <w:szCs w:val="20"/>
        </w:rPr>
        <w:t>21 894</w:t>
      </w:r>
      <w:r w:rsidR="00B40E02" w:rsidRPr="00B40E02">
        <w:rPr>
          <w:rFonts w:cs="Arial"/>
          <w:bCs/>
          <w:sz w:val="20"/>
          <w:szCs w:val="20"/>
        </w:rPr>
        <w:t>,2</w:t>
      </w:r>
      <w:r w:rsidR="00B22DF8" w:rsidRPr="00B40E02">
        <w:rPr>
          <w:rFonts w:cs="Arial"/>
          <w:bCs/>
          <w:sz w:val="20"/>
          <w:szCs w:val="20"/>
        </w:rPr>
        <w:t xml:space="preserve"> mil.</w:t>
      </w:r>
      <w:r w:rsidR="00B22DF8" w:rsidRPr="00D3345F">
        <w:rPr>
          <w:rFonts w:cs="Arial"/>
          <w:bCs/>
          <w:sz w:val="20"/>
          <w:szCs w:val="20"/>
        </w:rPr>
        <w:t xml:space="preserve"> Kč upravené o korekce ve výši </w:t>
      </w:r>
      <w:r w:rsidR="00B22DF8" w:rsidRPr="00B40E02">
        <w:rPr>
          <w:rFonts w:cs="Arial"/>
          <w:bCs/>
          <w:sz w:val="20"/>
          <w:szCs w:val="20"/>
        </w:rPr>
        <w:t>1 </w:t>
      </w:r>
      <w:r w:rsidR="00B40E02" w:rsidRPr="00B40E02">
        <w:rPr>
          <w:rFonts w:cs="Arial"/>
          <w:bCs/>
          <w:sz w:val="20"/>
          <w:szCs w:val="20"/>
        </w:rPr>
        <w:t>791</w:t>
      </w:r>
      <w:r w:rsidR="00B22DF8" w:rsidRPr="00B40E02">
        <w:rPr>
          <w:rFonts w:cs="Arial"/>
          <w:bCs/>
          <w:sz w:val="20"/>
          <w:szCs w:val="20"/>
        </w:rPr>
        <w:t>,</w:t>
      </w:r>
      <w:r w:rsidR="00B40E02" w:rsidRPr="00B40E02">
        <w:rPr>
          <w:rFonts w:cs="Arial"/>
          <w:bCs/>
          <w:sz w:val="20"/>
          <w:szCs w:val="20"/>
        </w:rPr>
        <w:t>6</w:t>
      </w:r>
      <w:r w:rsidR="00D924B4">
        <w:rPr>
          <w:rFonts w:cs="Arial"/>
          <w:bCs/>
          <w:sz w:val="20"/>
          <w:szCs w:val="20"/>
        </w:rPr>
        <w:t> </w:t>
      </w:r>
      <w:r w:rsidR="00B22DF8" w:rsidRPr="00B40E02">
        <w:rPr>
          <w:rFonts w:cs="Arial"/>
          <w:bCs/>
          <w:sz w:val="20"/>
          <w:szCs w:val="20"/>
        </w:rPr>
        <w:t>m</w:t>
      </w:r>
      <w:r w:rsidR="00B22DF8" w:rsidRPr="00D3345F">
        <w:rPr>
          <w:rFonts w:cs="Arial"/>
          <w:bCs/>
          <w:sz w:val="20"/>
          <w:szCs w:val="20"/>
        </w:rPr>
        <w:t>il.</w:t>
      </w:r>
      <w:r w:rsidR="00D924B4">
        <w:rPr>
          <w:rFonts w:cs="Arial"/>
          <w:bCs/>
          <w:sz w:val="20"/>
          <w:szCs w:val="20"/>
        </w:rPr>
        <w:t> </w:t>
      </w:r>
      <w:r w:rsidR="00B22DF8" w:rsidRPr="00D3345F">
        <w:rPr>
          <w:rFonts w:cs="Arial"/>
          <w:bCs/>
          <w:sz w:val="20"/>
          <w:szCs w:val="20"/>
        </w:rPr>
        <w:t>Kč.</w:t>
      </w:r>
    </w:p>
    <w:p w14:paraId="602F2B15" w14:textId="72E66012" w:rsidR="00DE6218" w:rsidRPr="00D3345F" w:rsidRDefault="00DE6218" w:rsidP="006D29B3">
      <w:pPr>
        <w:pStyle w:val="Titulek"/>
        <w:spacing w:after="40"/>
        <w:ind w:left="1304" w:hanging="1304"/>
      </w:pPr>
      <w:r w:rsidRPr="00D3345F">
        <w:t xml:space="preserve">Tabulka č. </w:t>
      </w:r>
      <w:r w:rsidR="00871195">
        <w:fldChar w:fldCharType="begin"/>
      </w:r>
      <w:r w:rsidR="00871195">
        <w:instrText xml:space="preserve"> SEQ Tabulka_č. \* ARABIC </w:instrText>
      </w:r>
      <w:r w:rsidR="00871195">
        <w:fldChar w:fldCharType="separate"/>
      </w:r>
      <w:r w:rsidR="00871195">
        <w:rPr>
          <w:noProof/>
        </w:rPr>
        <w:t>2</w:t>
      </w:r>
      <w:r w:rsidR="00871195">
        <w:rPr>
          <w:noProof/>
        </w:rPr>
        <w:fldChar w:fldCharType="end"/>
      </w:r>
      <w:r w:rsidRPr="00D3345F">
        <w:t xml:space="preserve">: </w:t>
      </w:r>
      <w:r w:rsidR="006614E6" w:rsidRPr="00D3345F">
        <w:tab/>
      </w:r>
      <w:r w:rsidRPr="00D3345F">
        <w:t>Údaje ÚZ – informace o stavu účtů v knize podrozvahových účtů (údaje za</w:t>
      </w:r>
      <w:r w:rsidR="00055EC4" w:rsidRPr="00D3345F">
        <w:t xml:space="preserve"> rok</w:t>
      </w:r>
      <w:r w:rsidR="0096326C" w:rsidRPr="00D3345F">
        <w:t> </w:t>
      </w:r>
      <w:r w:rsidR="00D3345F" w:rsidRPr="00D3345F">
        <w:t>2023</w:t>
      </w:r>
      <w:r w:rsidRPr="00D3345F">
        <w:t>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8957E3" w:rsidRPr="004F6F5D" w14:paraId="4DA0948D" w14:textId="77777777" w:rsidTr="00755BB9">
        <w:trPr>
          <w:trHeight w:val="300"/>
          <w:tblHeader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C94A870" w14:textId="77777777" w:rsidR="008957E3" w:rsidRPr="00D3345F" w:rsidRDefault="008957E3" w:rsidP="00B22DF8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3345F">
              <w:rPr>
                <w:rFonts w:cs="Calibr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E0E8211" w14:textId="77777777" w:rsidR="008957E3" w:rsidRPr="00D3345F" w:rsidRDefault="008957E3" w:rsidP="00B22DF8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3345F">
              <w:rPr>
                <w:rFonts w:cs="Calibri"/>
                <w:b/>
                <w:bCs/>
                <w:color w:val="000000"/>
                <w:sz w:val="20"/>
                <w:szCs w:val="20"/>
              </w:rPr>
              <w:t>Částka v mil. Kč</w:t>
            </w:r>
          </w:p>
        </w:tc>
      </w:tr>
      <w:tr w:rsidR="008957E3" w:rsidRPr="004F6F5D" w14:paraId="72038CA7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EEA" w14:textId="77777777" w:rsidR="008957E3" w:rsidRPr="004F6F5D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B40E02">
              <w:rPr>
                <w:rFonts w:eastAsia="Calibri" w:cs="Calibri"/>
                <w:sz w:val="20"/>
                <w:szCs w:val="20"/>
              </w:rPr>
              <w:t>90</w:t>
            </w:r>
            <w:r w:rsidR="00B40E02" w:rsidRPr="00B40E02">
              <w:rPr>
                <w:rFonts w:eastAsia="Calibri" w:cs="Calibri"/>
                <w:sz w:val="20"/>
                <w:szCs w:val="20"/>
              </w:rPr>
              <w:t>1</w:t>
            </w:r>
            <w:r w:rsidRPr="00B40E0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 w:rsidRPr="00B40E02">
              <w:rPr>
                <w:rFonts w:eastAsia="Calibri" w:cs="Calibri"/>
                <w:sz w:val="20"/>
                <w:szCs w:val="20"/>
              </w:rPr>
              <w:t>–</w:t>
            </w:r>
            <w:r w:rsidRPr="00B40E0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B40E02" w:rsidRPr="00B40E02">
              <w:rPr>
                <w:rFonts w:eastAsia="Calibri" w:cs="Calibri"/>
                <w:sz w:val="20"/>
                <w:szCs w:val="20"/>
              </w:rPr>
              <w:t>Jiný drobný dlouhodobý nehmotný majetek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DABE" w14:textId="77777777" w:rsidR="008957E3" w:rsidRPr="004F6F5D" w:rsidRDefault="00B40E0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yellow"/>
              </w:rPr>
            </w:pPr>
            <w:r w:rsidRPr="00B40E02">
              <w:rPr>
                <w:rFonts w:cs="Calibri"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B40E02" w:rsidRPr="004F6F5D" w14:paraId="737C5AC3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D696" w14:textId="77777777" w:rsidR="00B40E02" w:rsidRPr="004F6F5D" w:rsidRDefault="00B40E0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B40E02">
              <w:rPr>
                <w:rFonts w:eastAsia="Calibri" w:cs="Calibri"/>
                <w:sz w:val="20"/>
                <w:szCs w:val="20"/>
              </w:rPr>
              <w:t>902 – Jiný drobný dlouhodobý hmotný majetek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BF8" w14:textId="77777777" w:rsidR="00B40E02" w:rsidRPr="004F6F5D" w:rsidRDefault="00B40E0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yellow"/>
              </w:rPr>
            </w:pPr>
            <w:r w:rsidRPr="00B40E02">
              <w:rPr>
                <w:rFonts w:cs="Calibri"/>
                <w:bCs/>
                <w:color w:val="000000"/>
                <w:sz w:val="20"/>
                <w:szCs w:val="20"/>
              </w:rPr>
              <w:t>16,9</w:t>
            </w:r>
          </w:p>
        </w:tc>
      </w:tr>
      <w:tr w:rsidR="008957E3" w:rsidRPr="004F6F5D" w14:paraId="1C679C0A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EA99" w14:textId="77777777" w:rsidR="008957E3" w:rsidRPr="004F6F5D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B40E02">
              <w:rPr>
                <w:rFonts w:eastAsia="Calibri" w:cs="Calibri"/>
                <w:sz w:val="20"/>
                <w:szCs w:val="20"/>
              </w:rPr>
              <w:t xml:space="preserve">905 </w:t>
            </w:r>
            <w:r w:rsidR="006614E6" w:rsidRPr="00B40E02">
              <w:rPr>
                <w:rFonts w:eastAsia="Calibri" w:cs="Calibri"/>
                <w:sz w:val="20"/>
                <w:szCs w:val="20"/>
              </w:rPr>
              <w:t>–</w:t>
            </w:r>
            <w:r w:rsidRPr="00B40E02">
              <w:rPr>
                <w:rFonts w:eastAsia="Calibri" w:cs="Calibri"/>
                <w:sz w:val="20"/>
                <w:szCs w:val="20"/>
              </w:rPr>
              <w:t xml:space="preserve"> Vyřazené pohledávky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9784" w14:textId="77777777" w:rsidR="008957E3" w:rsidRPr="004F6F5D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yellow"/>
              </w:rPr>
            </w:pPr>
            <w:r w:rsidRPr="00443729">
              <w:rPr>
                <w:rFonts w:cs="Calibri"/>
                <w:bCs/>
                <w:color w:val="000000"/>
                <w:sz w:val="20"/>
                <w:szCs w:val="20"/>
              </w:rPr>
              <w:t>11,2</w:t>
            </w:r>
          </w:p>
        </w:tc>
      </w:tr>
      <w:tr w:rsidR="00443729" w:rsidRPr="004F6F5D" w14:paraId="7C50E81D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F37D" w14:textId="77777777" w:rsidR="00443729" w:rsidRPr="00B40E02" w:rsidRDefault="00443729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911 – </w:t>
            </w:r>
            <w:r w:rsidRPr="00443729">
              <w:rPr>
                <w:rFonts w:eastAsia="Calibri" w:cs="Calibri"/>
                <w:sz w:val="20"/>
                <w:szCs w:val="20"/>
              </w:rPr>
              <w:t>Krátkodobé podmíněné pohledávky z předfinancování 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E3AB" w14:textId="77777777" w:rsidR="00443729" w:rsidRPr="00443729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1 498,6</w:t>
            </w:r>
          </w:p>
        </w:tc>
      </w:tr>
      <w:tr w:rsidR="00443729" w:rsidRPr="004F6F5D" w14:paraId="1D97287B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AE4D" w14:textId="77777777" w:rsidR="00443729" w:rsidRPr="00B40E02" w:rsidRDefault="00443729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916 – </w:t>
            </w:r>
            <w:r w:rsidRPr="00443729">
              <w:rPr>
                <w:rFonts w:eastAsia="Calibri" w:cs="Calibri"/>
                <w:sz w:val="20"/>
                <w:szCs w:val="20"/>
              </w:rPr>
              <w:t>Ostatní krátkodobé podmíněné závazky z</w:t>
            </w:r>
            <w:r w:rsidR="00204DC2">
              <w:rPr>
                <w:rFonts w:eastAsia="Calibri" w:cs="Calibri"/>
                <w:sz w:val="20"/>
                <w:szCs w:val="20"/>
              </w:rPr>
              <w:t> </w:t>
            </w:r>
            <w:r w:rsidRPr="00443729">
              <w:rPr>
                <w:rFonts w:eastAsia="Calibri" w:cs="Calibri"/>
                <w:sz w:val="20"/>
                <w:szCs w:val="20"/>
              </w:rPr>
              <w:t>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CEC" w14:textId="77777777" w:rsidR="00443729" w:rsidRPr="00443729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239,5</w:t>
            </w:r>
          </w:p>
        </w:tc>
      </w:tr>
      <w:tr w:rsidR="008957E3" w:rsidRPr="004F6F5D" w14:paraId="6C4CB1D2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BC24" w14:textId="77777777" w:rsidR="008957E3" w:rsidRPr="00443729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443729">
              <w:rPr>
                <w:rFonts w:eastAsia="Calibri" w:cs="Calibri"/>
                <w:sz w:val="20"/>
                <w:szCs w:val="20"/>
              </w:rPr>
              <w:t xml:space="preserve">934 </w:t>
            </w:r>
            <w:r w:rsidR="006614E6" w:rsidRPr="00443729">
              <w:rPr>
                <w:rFonts w:eastAsia="Calibri" w:cs="Calibri"/>
                <w:sz w:val="20"/>
                <w:szCs w:val="20"/>
              </w:rPr>
              <w:t>–</w:t>
            </w:r>
            <w:r w:rsidRPr="00443729">
              <w:rPr>
                <w:rFonts w:eastAsia="Calibri" w:cs="Calibri"/>
                <w:sz w:val="20"/>
                <w:szCs w:val="20"/>
              </w:rPr>
              <w:t xml:space="preserve"> Dlouhodobé podmíněné pohledávky z 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9987" w14:textId="77777777" w:rsidR="008957E3" w:rsidRPr="004F6F5D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yellow"/>
              </w:rPr>
            </w:pPr>
            <w:r w:rsidRPr="00443729">
              <w:rPr>
                <w:rFonts w:cs="Calibri"/>
                <w:bCs/>
                <w:color w:val="000000"/>
                <w:sz w:val="20"/>
                <w:szCs w:val="20"/>
              </w:rPr>
              <w:t>346,1</w:t>
            </w:r>
          </w:p>
        </w:tc>
      </w:tr>
      <w:tr w:rsidR="00443729" w:rsidRPr="004F6F5D" w14:paraId="53445282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C710" w14:textId="77777777" w:rsidR="00443729" w:rsidRPr="00443729" w:rsidRDefault="00443729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443729">
              <w:rPr>
                <w:rFonts w:eastAsia="Calibri" w:cs="Calibri"/>
                <w:sz w:val="20"/>
                <w:szCs w:val="20"/>
              </w:rPr>
              <w:t>943 – Dlouhodobé podmíněné pohledávky ze vztahu k jiným zdrojům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A1BB" w14:textId="77777777" w:rsidR="00443729" w:rsidRPr="004F6F5D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yellow"/>
              </w:rPr>
            </w:pPr>
            <w:r w:rsidRPr="00443729">
              <w:rPr>
                <w:rFonts w:cs="Calibri"/>
                <w:bCs/>
                <w:color w:val="000000"/>
                <w:sz w:val="20"/>
                <w:szCs w:val="20"/>
              </w:rPr>
              <w:t>14,2</w:t>
            </w:r>
          </w:p>
        </w:tc>
      </w:tr>
      <w:tr w:rsidR="00443729" w:rsidRPr="004F6F5D" w14:paraId="5A58CFB0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1B51" w14:textId="77777777" w:rsidR="00443729" w:rsidRPr="00443729" w:rsidRDefault="00443729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945 – </w:t>
            </w:r>
            <w:r w:rsidRPr="00443729">
              <w:rPr>
                <w:rFonts w:eastAsia="Calibri" w:cs="Calibri"/>
                <w:sz w:val="20"/>
                <w:szCs w:val="20"/>
              </w:rPr>
              <w:t>Dlouhodobé podmíněné úhrady pohledávek z přijatých zajištění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750" w14:textId="77777777" w:rsidR="00443729" w:rsidRPr="00443729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2 369,3</w:t>
            </w:r>
          </w:p>
        </w:tc>
      </w:tr>
      <w:tr w:rsidR="008957E3" w:rsidRPr="004F6F5D" w14:paraId="75A4226B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74CC" w14:textId="77777777" w:rsidR="008957E3" w:rsidRPr="004F6F5D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443729">
              <w:rPr>
                <w:rFonts w:eastAsia="Calibri" w:cs="Calibri"/>
                <w:sz w:val="20"/>
                <w:szCs w:val="20"/>
              </w:rPr>
              <w:t xml:space="preserve">948 </w:t>
            </w:r>
            <w:r w:rsidR="006614E6" w:rsidRPr="00443729">
              <w:rPr>
                <w:rFonts w:eastAsia="Calibri" w:cs="Calibri"/>
                <w:sz w:val="20"/>
                <w:szCs w:val="20"/>
              </w:rPr>
              <w:t>–</w:t>
            </w:r>
            <w:r w:rsidRPr="00443729">
              <w:rPr>
                <w:rFonts w:eastAsia="Calibri" w:cs="Calibri"/>
                <w:sz w:val="20"/>
                <w:szCs w:val="20"/>
              </w:rPr>
              <w:t xml:space="preserve"> Dlouhodobé podmíněné pohledávky ze soudních sporů, správních řízení a jiných řízení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7221" w14:textId="77777777" w:rsidR="008957E3" w:rsidRPr="004F6F5D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yellow"/>
              </w:rPr>
            </w:pPr>
            <w:r w:rsidRPr="00443729">
              <w:rPr>
                <w:rFonts w:cs="Calibri"/>
                <w:bCs/>
                <w:color w:val="000000"/>
                <w:sz w:val="20"/>
                <w:szCs w:val="20"/>
              </w:rPr>
              <w:t>2,3</w:t>
            </w:r>
          </w:p>
        </w:tc>
      </w:tr>
      <w:tr w:rsidR="00443729" w:rsidRPr="004F6F5D" w14:paraId="63F9A418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592F" w14:textId="77777777" w:rsidR="00443729" w:rsidRPr="00443729" w:rsidRDefault="00443729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951 – </w:t>
            </w:r>
            <w:r w:rsidRPr="00443729">
              <w:rPr>
                <w:rFonts w:eastAsia="Calibri" w:cs="Calibri"/>
                <w:sz w:val="20"/>
                <w:szCs w:val="20"/>
              </w:rPr>
              <w:t>Dlouhodobé podmíněné pohledávky z předfinancování 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32B9" w14:textId="77777777" w:rsidR="00443729" w:rsidRPr="00443729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174,2</w:t>
            </w:r>
          </w:p>
        </w:tc>
      </w:tr>
      <w:tr w:rsidR="00443729" w:rsidRPr="004F6F5D" w14:paraId="7C5EF94F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1218" w14:textId="77777777" w:rsidR="00443729" w:rsidRDefault="00443729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954 – </w:t>
            </w:r>
            <w:r w:rsidRPr="00443729">
              <w:rPr>
                <w:rFonts w:eastAsia="Calibri" w:cs="Calibri"/>
                <w:sz w:val="20"/>
                <w:szCs w:val="20"/>
              </w:rPr>
              <w:t>Dlouhodobé podmíněné závazky ze zahraničních 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9B5" w14:textId="77777777" w:rsidR="00443729" w:rsidRPr="00443729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42,8</w:t>
            </w:r>
          </w:p>
        </w:tc>
      </w:tr>
      <w:tr w:rsidR="00443729" w:rsidRPr="004F6F5D" w14:paraId="06140ABA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539E" w14:textId="77777777" w:rsidR="00443729" w:rsidRDefault="00443729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956 – </w:t>
            </w:r>
            <w:r w:rsidRPr="00443729">
              <w:rPr>
                <w:rFonts w:eastAsia="Calibri" w:cs="Calibri"/>
                <w:sz w:val="20"/>
                <w:szCs w:val="20"/>
              </w:rPr>
              <w:t>Ostatní dlouhodobé podmíněné závazky z</w:t>
            </w:r>
            <w:r w:rsidR="00204DC2">
              <w:rPr>
                <w:rFonts w:eastAsia="Calibri" w:cs="Calibri"/>
                <w:sz w:val="20"/>
                <w:szCs w:val="20"/>
              </w:rPr>
              <w:t> </w:t>
            </w:r>
            <w:r w:rsidRPr="00443729">
              <w:rPr>
                <w:rFonts w:eastAsia="Calibri" w:cs="Calibri"/>
                <w:sz w:val="20"/>
                <w:szCs w:val="20"/>
              </w:rPr>
              <w:t>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16C" w14:textId="77777777" w:rsidR="00443729" w:rsidRPr="00443729" w:rsidRDefault="00517CC1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38 998,9</w:t>
            </w:r>
          </w:p>
        </w:tc>
      </w:tr>
      <w:tr w:rsidR="00443729" w:rsidRPr="004F6F5D" w14:paraId="442B77F6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47C7" w14:textId="77777777" w:rsidR="00443729" w:rsidRDefault="00443729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972 – </w:t>
            </w:r>
            <w:r w:rsidRPr="00443729">
              <w:rPr>
                <w:rFonts w:eastAsia="Calibri" w:cs="Calibri"/>
                <w:sz w:val="20"/>
                <w:szCs w:val="20"/>
              </w:rPr>
              <w:t>Dlouhodobé podmíněné závazky ze smluv o pořízení dlouhodobého majetku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7EB4" w14:textId="77777777" w:rsidR="00443729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116,7</w:t>
            </w:r>
          </w:p>
        </w:tc>
      </w:tr>
      <w:tr w:rsidR="008957E3" w:rsidRPr="004F6F5D" w14:paraId="120337BA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F786" w14:textId="77777777" w:rsidR="008957E3" w:rsidRPr="004F6F5D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443729">
              <w:rPr>
                <w:rFonts w:eastAsia="Calibri" w:cs="Calibri"/>
                <w:sz w:val="20"/>
                <w:szCs w:val="20"/>
              </w:rPr>
              <w:t xml:space="preserve">974 </w:t>
            </w:r>
            <w:r w:rsidR="006614E6" w:rsidRPr="00443729">
              <w:rPr>
                <w:rFonts w:eastAsia="Calibri" w:cs="Calibri"/>
                <w:sz w:val="20"/>
                <w:szCs w:val="20"/>
              </w:rPr>
              <w:t>–</w:t>
            </w:r>
            <w:r w:rsidRPr="00443729">
              <w:rPr>
                <w:rFonts w:eastAsia="Calibri" w:cs="Calibri"/>
                <w:sz w:val="20"/>
                <w:szCs w:val="20"/>
              </w:rPr>
              <w:t xml:space="preserve"> Dlouhodobé podmíněné závazky z 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C3BE" w14:textId="77777777" w:rsidR="008957E3" w:rsidRPr="00443729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43729">
              <w:rPr>
                <w:rFonts w:cs="Calibri"/>
                <w:bCs/>
                <w:color w:val="000000"/>
                <w:sz w:val="20"/>
                <w:szCs w:val="20"/>
              </w:rPr>
              <w:t>2 132,7</w:t>
            </w:r>
          </w:p>
        </w:tc>
      </w:tr>
      <w:tr w:rsidR="008957E3" w:rsidRPr="004F6F5D" w14:paraId="683EAA6D" w14:textId="77777777" w:rsidTr="00443729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9D09" w14:textId="77777777" w:rsidR="008957E3" w:rsidRPr="004F6F5D" w:rsidRDefault="00443729" w:rsidP="00DF6AD0">
            <w:pPr>
              <w:autoSpaceDE w:val="0"/>
              <w:autoSpaceDN w:val="0"/>
              <w:adjustRightInd w:val="0"/>
              <w:spacing w:after="0" w:line="256" w:lineRule="auto"/>
              <w:ind w:left="490" w:right="-57" w:hanging="490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443729">
              <w:rPr>
                <w:rFonts w:eastAsia="Calibri" w:cs="Calibri"/>
                <w:sz w:val="20"/>
                <w:szCs w:val="20"/>
              </w:rPr>
              <w:t>986 – Dlouhodobé podmíněné závazky ze soudních sporů, správních řízení a jiných řízení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1A2B" w14:textId="77777777" w:rsidR="008957E3" w:rsidRPr="00443729" w:rsidRDefault="00443729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43729">
              <w:rPr>
                <w:rFonts w:cs="Calibri"/>
                <w:bCs/>
                <w:color w:val="000000"/>
                <w:sz w:val="20"/>
                <w:szCs w:val="20"/>
              </w:rPr>
              <w:t>4 345,8</w:t>
            </w:r>
          </w:p>
        </w:tc>
      </w:tr>
    </w:tbl>
    <w:p w14:paraId="471D0A63" w14:textId="77777777" w:rsidR="00E132F8" w:rsidRPr="00D3345F" w:rsidRDefault="00A640AE" w:rsidP="006D29B3">
      <w:pPr>
        <w:spacing w:before="40" w:after="0"/>
        <w:rPr>
          <w:bCs/>
          <w:sz w:val="20"/>
          <w:szCs w:val="20"/>
        </w:rPr>
      </w:pPr>
      <w:r w:rsidRPr="00D3345F">
        <w:rPr>
          <w:b/>
          <w:sz w:val="20"/>
          <w:szCs w:val="20"/>
        </w:rPr>
        <w:t>Zdroj:</w:t>
      </w:r>
      <w:r w:rsidRPr="00D3345F">
        <w:rPr>
          <w:bCs/>
          <w:sz w:val="20"/>
          <w:szCs w:val="20"/>
        </w:rPr>
        <w:t xml:space="preserve"> </w:t>
      </w:r>
      <w:r w:rsidR="000B3825" w:rsidRPr="00D3345F">
        <w:rPr>
          <w:bCs/>
          <w:sz w:val="20"/>
          <w:szCs w:val="20"/>
        </w:rPr>
        <w:t>ÚZ</w:t>
      </w:r>
      <w:r w:rsidR="001F62FB">
        <w:rPr>
          <w:bCs/>
          <w:sz w:val="20"/>
          <w:szCs w:val="20"/>
        </w:rPr>
        <w:t>.</w:t>
      </w:r>
    </w:p>
    <w:p w14:paraId="40245C4B" w14:textId="7C64BF4A" w:rsidR="00DE6218" w:rsidRPr="00D3345F" w:rsidRDefault="00DE6218" w:rsidP="006D29B3">
      <w:pPr>
        <w:pStyle w:val="Titulek"/>
        <w:spacing w:after="40"/>
      </w:pPr>
      <w:r w:rsidRPr="00D3345F">
        <w:t xml:space="preserve">Tabulka č. </w:t>
      </w:r>
      <w:r w:rsidR="00871195">
        <w:fldChar w:fldCharType="begin"/>
      </w:r>
      <w:r w:rsidR="00871195">
        <w:instrText xml:space="preserve"> SEQ Tabulka_č. \* ARABIC </w:instrText>
      </w:r>
      <w:r w:rsidR="00871195">
        <w:fldChar w:fldCharType="separate"/>
      </w:r>
      <w:r w:rsidR="00871195">
        <w:rPr>
          <w:noProof/>
        </w:rPr>
        <w:t>3</w:t>
      </w:r>
      <w:r w:rsidR="00871195">
        <w:rPr>
          <w:noProof/>
        </w:rPr>
        <w:fldChar w:fldCharType="end"/>
      </w:r>
      <w:r w:rsidRPr="00D3345F">
        <w:t>: Údaje z výkazu FIN 1-12 OSS</w:t>
      </w:r>
    </w:p>
    <w:tbl>
      <w:tblPr>
        <w:tblW w:w="90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22DF8" w:rsidRPr="004F6F5D" w14:paraId="5951A102" w14:textId="77777777" w:rsidTr="00755BB9">
        <w:trPr>
          <w:trHeight w:val="45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DF58B67" w14:textId="77777777" w:rsidR="00B22DF8" w:rsidRPr="00D3345F" w:rsidRDefault="00B22DF8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D3345F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FF1C64F" w14:textId="77777777" w:rsidR="00B22DF8" w:rsidRPr="00D3345F" w:rsidRDefault="00B22DF8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D3345F">
              <w:rPr>
                <w:rFonts w:cs="Arial"/>
                <w:b/>
                <w:bCs/>
                <w:sz w:val="20"/>
              </w:rPr>
              <w:t>Částka v mil. Kč</w:t>
            </w:r>
          </w:p>
        </w:tc>
      </w:tr>
      <w:tr w:rsidR="00B22DF8" w:rsidRPr="004F6F5D" w14:paraId="69357AFC" w14:textId="77777777" w:rsidTr="00B22DF8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C18A" w14:textId="77777777" w:rsidR="00B22DF8" w:rsidRPr="00D3345F" w:rsidRDefault="00B22DF8">
            <w:pPr>
              <w:spacing w:after="0" w:line="256" w:lineRule="auto"/>
              <w:rPr>
                <w:rFonts w:cs="Arial"/>
                <w:sz w:val="20"/>
              </w:rPr>
            </w:pPr>
            <w:r w:rsidRPr="00D3345F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8F9D" w14:textId="77777777" w:rsidR="00B22DF8" w:rsidRPr="004F6F5D" w:rsidRDefault="00443729">
            <w:pPr>
              <w:spacing w:after="0" w:line="256" w:lineRule="auto"/>
              <w:ind w:right="57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443729">
              <w:rPr>
                <w:rFonts w:cs="Arial"/>
                <w:bCs/>
                <w:sz w:val="20"/>
                <w:szCs w:val="20"/>
              </w:rPr>
              <w:t>20 823,8</w:t>
            </w:r>
          </w:p>
        </w:tc>
      </w:tr>
      <w:tr w:rsidR="00B22DF8" w:rsidRPr="004F6F5D" w14:paraId="5740D2B5" w14:textId="77777777" w:rsidTr="00B22DF8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069D" w14:textId="77777777" w:rsidR="00B22DF8" w:rsidRPr="00D3345F" w:rsidRDefault="00B22DF8">
            <w:pPr>
              <w:spacing w:after="0" w:line="256" w:lineRule="auto"/>
              <w:rPr>
                <w:rFonts w:cs="Arial"/>
                <w:sz w:val="20"/>
              </w:rPr>
            </w:pPr>
            <w:r w:rsidRPr="00D3345F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928C" w14:textId="77777777" w:rsidR="00B22DF8" w:rsidRPr="00443729" w:rsidRDefault="00443729">
            <w:pPr>
              <w:spacing w:after="0" w:line="256" w:lineRule="auto"/>
              <w:ind w:right="57"/>
              <w:jc w:val="right"/>
              <w:rPr>
                <w:rFonts w:cs="Arial"/>
                <w:bCs/>
                <w:sz w:val="20"/>
                <w:szCs w:val="20"/>
              </w:rPr>
            </w:pPr>
            <w:r w:rsidRPr="00443729">
              <w:rPr>
                <w:rFonts w:cs="Arial"/>
                <w:bCs/>
                <w:sz w:val="20"/>
                <w:szCs w:val="20"/>
              </w:rPr>
              <w:t>28 363,5</w:t>
            </w:r>
          </w:p>
        </w:tc>
      </w:tr>
    </w:tbl>
    <w:p w14:paraId="6CE05F64" w14:textId="77777777" w:rsidR="00077ACA" w:rsidRPr="00D3345F" w:rsidRDefault="00A640AE" w:rsidP="006D29B3">
      <w:pPr>
        <w:spacing w:before="40" w:after="0"/>
        <w:rPr>
          <w:bCs/>
          <w:sz w:val="20"/>
          <w:szCs w:val="20"/>
        </w:rPr>
      </w:pPr>
      <w:r w:rsidRPr="00D3345F">
        <w:rPr>
          <w:b/>
          <w:sz w:val="20"/>
          <w:szCs w:val="20"/>
        </w:rPr>
        <w:t>Zdroj:</w:t>
      </w:r>
      <w:r w:rsidR="00D16053" w:rsidRPr="00D3345F">
        <w:rPr>
          <w:bCs/>
          <w:sz w:val="20"/>
          <w:szCs w:val="20"/>
        </w:rPr>
        <w:t xml:space="preserve"> výkaz FIN 1-12 OSS</w:t>
      </w:r>
      <w:r w:rsidR="003444C4" w:rsidRPr="00D3345F">
        <w:rPr>
          <w:bCs/>
          <w:sz w:val="20"/>
          <w:szCs w:val="20"/>
        </w:rPr>
        <w:t>.</w:t>
      </w:r>
    </w:p>
    <w:p w14:paraId="76B85FE8" w14:textId="77777777" w:rsidR="009706C3" w:rsidRPr="004F6F5D" w:rsidRDefault="009706C3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highlight w:val="yellow"/>
        </w:rPr>
      </w:pPr>
      <w:r w:rsidRPr="004F6F5D">
        <w:rPr>
          <w:highlight w:val="yellow"/>
        </w:rPr>
        <w:br w:type="page"/>
      </w:r>
    </w:p>
    <w:p w14:paraId="1A444CBB" w14:textId="77777777" w:rsidR="0033466E" w:rsidRPr="001D587D" w:rsidRDefault="00A640AE" w:rsidP="006575BB">
      <w:pPr>
        <w:pStyle w:val="Styl1"/>
        <w:spacing w:after="240"/>
        <w:ind w:left="414" w:hanging="57"/>
      </w:pPr>
      <w:r w:rsidRPr="001D587D">
        <w:lastRenderedPageBreak/>
        <w:t>Rozsah kontroly</w:t>
      </w:r>
    </w:p>
    <w:p w14:paraId="46FF0D73" w14:textId="77777777" w:rsidR="00BB0827" w:rsidRPr="004F6F5D" w:rsidRDefault="006662D9" w:rsidP="003677B5">
      <w:pPr>
        <w:spacing w:before="120"/>
        <w:jc w:val="both"/>
        <w:rPr>
          <w:rFonts w:eastAsiaTheme="minorHAnsi" w:cs="Calibri"/>
          <w:highlight w:val="yellow"/>
        </w:rPr>
      </w:pPr>
      <w:r w:rsidRPr="001D587D">
        <w:rPr>
          <w:rFonts w:cs="Calibri"/>
        </w:rPr>
        <w:t>K</w:t>
      </w:r>
      <w:r w:rsidR="005006B3">
        <w:rPr>
          <w:rFonts w:cs="Calibri"/>
        </w:rPr>
        <w:t>ontrolní akce</w:t>
      </w:r>
      <w:r w:rsidRPr="001D587D">
        <w:rPr>
          <w:rFonts w:cs="Calibri"/>
        </w:rPr>
        <w:t xml:space="preserve"> byla kontrolou typu finanční audit a jejím cílem bylo </w:t>
      </w:r>
      <w:r w:rsidRPr="001D587D">
        <w:rPr>
          <w:rFonts w:eastAsiaTheme="minorHAnsi" w:cs="Calibri"/>
        </w:rPr>
        <w:t>prověřit, zda</w:t>
      </w:r>
      <w:r w:rsidR="00D84751" w:rsidRPr="001D587D">
        <w:rPr>
          <w:rFonts w:eastAsiaTheme="minorHAnsi" w:cs="Calibri"/>
        </w:rPr>
        <w:t xml:space="preserve"> </w:t>
      </w:r>
      <w:r w:rsidR="001D587D" w:rsidRPr="001D587D">
        <w:rPr>
          <w:rFonts w:eastAsiaTheme="minorHAnsi" w:cs="Calibri"/>
        </w:rPr>
        <w:t>MMR</w:t>
      </w:r>
      <w:r w:rsidRPr="001D587D">
        <w:rPr>
          <w:rFonts w:eastAsiaTheme="minorHAnsi" w:cs="Calibri"/>
        </w:rPr>
        <w:t xml:space="preserve"> </w:t>
      </w:r>
      <w:r w:rsidR="001D587D" w:rsidRPr="001D587D">
        <w:rPr>
          <w:rFonts w:eastAsiaTheme="minorHAnsi" w:cs="Calibri"/>
        </w:rPr>
        <w:t xml:space="preserve">při vedení účetnictví </w:t>
      </w:r>
      <w:r w:rsidR="001D587D">
        <w:rPr>
          <w:rFonts w:eastAsiaTheme="minorHAnsi" w:cs="Calibri"/>
        </w:rPr>
        <w:t>v roce 2023, při</w:t>
      </w:r>
      <w:r w:rsidR="001D587D" w:rsidRPr="001D587D">
        <w:rPr>
          <w:rFonts w:eastAsiaTheme="minorHAnsi" w:cs="Calibri"/>
        </w:rPr>
        <w:t xml:space="preserve"> sestavení účetní závěrky</w:t>
      </w:r>
      <w:r w:rsidR="001D587D">
        <w:rPr>
          <w:rFonts w:eastAsiaTheme="minorHAnsi" w:cs="Calibri"/>
        </w:rPr>
        <w:t xml:space="preserve"> k 31. prosinci 2023, při</w:t>
      </w:r>
      <w:r w:rsidR="001D587D" w:rsidRPr="001D587D">
        <w:rPr>
          <w:rFonts w:eastAsiaTheme="minorHAnsi" w:cs="Calibri"/>
        </w:rPr>
        <w:t xml:space="preserve"> předkládání údajů pro hodnocení plnění státního rozpočtu za rok 2023</w:t>
      </w:r>
      <w:r w:rsidR="001D587D">
        <w:rPr>
          <w:rStyle w:val="Znakapoznpodarou"/>
          <w:rFonts w:eastAsiaTheme="minorHAnsi" w:cs="Calibri"/>
        </w:rPr>
        <w:footnoteReference w:id="17"/>
      </w:r>
      <w:r w:rsidR="001D587D">
        <w:rPr>
          <w:rFonts w:eastAsiaTheme="minorHAnsi" w:cs="Calibri"/>
        </w:rPr>
        <w:t xml:space="preserve"> a </w:t>
      </w:r>
      <w:r w:rsidR="001D587D" w:rsidRPr="001D587D">
        <w:rPr>
          <w:rFonts w:eastAsiaTheme="minorHAnsi" w:cs="Calibri"/>
        </w:rPr>
        <w:t>při sestavení závěrečného účtu</w:t>
      </w:r>
      <w:r w:rsidR="001D587D">
        <w:rPr>
          <w:rFonts w:eastAsiaTheme="minorHAnsi" w:cs="Calibri"/>
        </w:rPr>
        <w:t xml:space="preserve"> za rok 2023</w:t>
      </w:r>
      <w:r w:rsidR="001D587D" w:rsidRPr="001D587D">
        <w:rPr>
          <w:rFonts w:eastAsiaTheme="minorHAnsi" w:cs="Calibri"/>
        </w:rPr>
        <w:t xml:space="preserve"> postupovalo v souladu s příslušnými právními předpisy</w:t>
      </w:r>
      <w:r w:rsidR="001D587D">
        <w:rPr>
          <w:rFonts w:eastAsiaTheme="minorHAnsi" w:cs="Calibri"/>
        </w:rPr>
        <w:t>.</w:t>
      </w:r>
    </w:p>
    <w:p w14:paraId="41B3D91B" w14:textId="77777777" w:rsidR="00C0657A" w:rsidRPr="001D587D" w:rsidRDefault="006662D9" w:rsidP="003677B5">
      <w:pPr>
        <w:spacing w:before="120"/>
        <w:jc w:val="both"/>
        <w:rPr>
          <w:rFonts w:cs="Calibri"/>
        </w:rPr>
      </w:pPr>
      <w:r w:rsidRPr="001D587D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Kontrolovaný objem finančních prostředků v rámci výkazu FIN 1-12 OSS představuje součet celkových příjmů a výdajů ve sloupci </w:t>
      </w:r>
      <w:r w:rsidRPr="001D587D">
        <w:rPr>
          <w:rFonts w:cs="Calibri"/>
          <w:i/>
        </w:rPr>
        <w:t>Skutečnost</w:t>
      </w:r>
      <w:r w:rsidR="003C7827" w:rsidRPr="001D587D">
        <w:rPr>
          <w:rFonts w:cs="Calibri"/>
        </w:rPr>
        <w:t>, jejichž hodnoty jsou uvedeny</w:t>
      </w:r>
      <w:r w:rsidRPr="001D587D">
        <w:rPr>
          <w:rFonts w:cs="Calibri"/>
        </w:rPr>
        <w:t xml:space="preserve"> v tabulce č. 3.</w:t>
      </w:r>
    </w:p>
    <w:p w14:paraId="2B9CC2F7" w14:textId="77777777" w:rsidR="00C0657A" w:rsidRPr="00171A18" w:rsidRDefault="00A640AE" w:rsidP="003677B5">
      <w:pPr>
        <w:spacing w:before="120"/>
        <w:jc w:val="both"/>
        <w:rPr>
          <w:rFonts w:cs="Calibri"/>
        </w:rPr>
      </w:pPr>
      <w:r w:rsidRPr="00171A18">
        <w:rPr>
          <w:rFonts w:cs="Calibri"/>
        </w:rPr>
        <w:t>Kontrola se zaměřila na činnosti a skutečnosti, které byly předmětem účetnictví</w:t>
      </w:r>
      <w:r w:rsidR="00171A18" w:rsidRPr="00171A18">
        <w:rPr>
          <w:rStyle w:val="Znakapoznpodarou"/>
          <w:rFonts w:cs="Calibri"/>
        </w:rPr>
        <w:footnoteReference w:id="18"/>
      </w:r>
      <w:r w:rsidR="00291417" w:rsidRPr="00171A18">
        <w:rPr>
          <w:rFonts w:cs="Calibri"/>
          <w:vertAlign w:val="superscript"/>
        </w:rPr>
        <w:t xml:space="preserve"> </w:t>
      </w:r>
      <w:r w:rsidR="00291417" w:rsidRPr="00171A18">
        <w:rPr>
          <w:rFonts w:cs="Calibri"/>
        </w:rPr>
        <w:t>a měly vliv na</w:t>
      </w:r>
      <w:r w:rsidR="00B03EA6" w:rsidRPr="00171A18">
        <w:rPr>
          <w:rFonts w:cs="Calibri"/>
        </w:rPr>
        <w:t xml:space="preserve"> </w:t>
      </w:r>
      <w:r w:rsidRPr="00171A18">
        <w:rPr>
          <w:rFonts w:cs="Calibri"/>
        </w:rPr>
        <w:t>hodnotu kontrolovaných významných konečných zůstatků účtů v</w:t>
      </w:r>
      <w:r w:rsidR="00171A18" w:rsidRPr="00171A18">
        <w:rPr>
          <w:rFonts w:cs="Calibri"/>
        </w:rPr>
        <w:t> </w:t>
      </w:r>
      <w:r w:rsidR="00FF141F" w:rsidRPr="00171A18">
        <w:rPr>
          <w:rFonts w:cs="Calibri"/>
        </w:rPr>
        <w:t>ÚZ</w:t>
      </w:r>
      <w:r w:rsidR="00171A18" w:rsidRPr="00171A18">
        <w:rPr>
          <w:rFonts w:cs="Calibri"/>
        </w:rPr>
        <w:t>,</w:t>
      </w:r>
      <w:r w:rsidR="00FF141F" w:rsidRPr="00171A18">
        <w:rPr>
          <w:rFonts w:cs="Calibri"/>
        </w:rPr>
        <w:t xml:space="preserve"> </w:t>
      </w:r>
      <w:r w:rsidR="00BA10E7" w:rsidRPr="00171A18">
        <w:rPr>
          <w:rFonts w:cs="Calibri"/>
        </w:rPr>
        <w:t>na</w:t>
      </w:r>
      <w:r w:rsidR="00B03EA6" w:rsidRPr="00171A18">
        <w:rPr>
          <w:rFonts w:cs="Calibri"/>
        </w:rPr>
        <w:t xml:space="preserve"> </w:t>
      </w:r>
      <w:r w:rsidRPr="00171A18">
        <w:rPr>
          <w:rFonts w:cs="Calibri"/>
        </w:rPr>
        <w:t>hodnotu významných údajů předkládaných</w:t>
      </w:r>
      <w:r w:rsidR="00FF141F" w:rsidRPr="00171A18">
        <w:rPr>
          <w:rFonts w:cs="Calibri"/>
        </w:rPr>
        <w:t xml:space="preserve"> </w:t>
      </w:r>
      <w:r w:rsidRPr="00171A18">
        <w:rPr>
          <w:rFonts w:cs="Calibri"/>
        </w:rPr>
        <w:t xml:space="preserve">pro hodnocení </w:t>
      </w:r>
      <w:r w:rsidR="005E41D6" w:rsidRPr="00171A18">
        <w:rPr>
          <w:rFonts w:cs="Calibri"/>
        </w:rPr>
        <w:t>plnění státního rozpočtu za</w:t>
      </w:r>
      <w:r w:rsidR="00BB5BEC" w:rsidRPr="00171A18">
        <w:rPr>
          <w:rFonts w:cs="Calibri"/>
        </w:rPr>
        <w:t xml:space="preserve"> </w:t>
      </w:r>
      <w:r w:rsidR="001B0BE7" w:rsidRPr="00171A18">
        <w:rPr>
          <w:rFonts w:cs="Calibri"/>
        </w:rPr>
        <w:t>rok</w:t>
      </w:r>
      <w:r w:rsidR="00854846" w:rsidRPr="00171A18">
        <w:rPr>
          <w:rFonts w:cs="Calibri"/>
        </w:rPr>
        <w:t xml:space="preserve"> </w:t>
      </w:r>
      <w:r w:rsidR="005322AA" w:rsidRPr="00171A18">
        <w:rPr>
          <w:rFonts w:cs="Calibri"/>
        </w:rPr>
        <w:t>202</w:t>
      </w:r>
      <w:r w:rsidR="00171A18" w:rsidRPr="00171A18">
        <w:rPr>
          <w:rFonts w:cs="Calibri"/>
        </w:rPr>
        <w:t>3 a na ZÚ za rok 2023</w:t>
      </w:r>
      <w:r w:rsidRPr="00171A18">
        <w:rPr>
          <w:rFonts w:cs="Calibri"/>
        </w:rPr>
        <w:t>.</w:t>
      </w:r>
    </w:p>
    <w:p w14:paraId="37F0559F" w14:textId="7387484C" w:rsidR="00F279C1" w:rsidRPr="00171A18" w:rsidRDefault="00F279C1" w:rsidP="003677B5">
      <w:pPr>
        <w:spacing w:before="120"/>
        <w:jc w:val="both"/>
        <w:rPr>
          <w:rFonts w:cs="Calibri"/>
        </w:rPr>
      </w:pPr>
      <w:r w:rsidRPr="00171A18">
        <w:rPr>
          <w:rFonts w:cs="Calibri"/>
        </w:rPr>
        <w:t>V oblasti vedení účetnictví se kontrola zaměřila na jeho správnost, úplnost, průkaznost a</w:t>
      </w:r>
      <w:r w:rsidR="00D924B4">
        <w:rPr>
          <w:rFonts w:cs="Calibri"/>
        </w:rPr>
        <w:t> </w:t>
      </w:r>
      <w:r w:rsidRPr="00171A18">
        <w:rPr>
          <w:rFonts w:cs="Calibri"/>
        </w:rPr>
        <w:t>srozumitelnost. Prověřila</w:t>
      </w:r>
      <w:r w:rsidR="00FD03E7" w:rsidRPr="00171A18">
        <w:rPr>
          <w:rFonts w:cs="Calibri"/>
        </w:rPr>
        <w:t xml:space="preserve"> </w:t>
      </w:r>
      <w:r w:rsidR="00A37324" w:rsidRPr="00171A18">
        <w:rPr>
          <w:rFonts w:cs="Calibri"/>
        </w:rPr>
        <w:t>dodržování směrné účtové osnovy</w:t>
      </w:r>
      <w:r w:rsidR="00FC5172" w:rsidRPr="00171A18">
        <w:rPr>
          <w:rFonts w:cs="Calibri"/>
        </w:rPr>
        <w:t xml:space="preserve">, </w:t>
      </w:r>
      <w:r w:rsidRPr="00171A18">
        <w:rPr>
          <w:rFonts w:cs="Calibri"/>
        </w:rPr>
        <w:t>správnost použív</w:t>
      </w:r>
      <w:r w:rsidR="002B3676" w:rsidRPr="00171A18">
        <w:rPr>
          <w:rFonts w:cs="Calibri"/>
        </w:rPr>
        <w:t>á</w:t>
      </w:r>
      <w:r w:rsidR="00FD03E7" w:rsidRPr="00171A18">
        <w:rPr>
          <w:rFonts w:cs="Calibri"/>
        </w:rPr>
        <w:t>n</w:t>
      </w:r>
      <w:r w:rsidR="009A5B97" w:rsidRPr="00171A18">
        <w:rPr>
          <w:rFonts w:cs="Calibri"/>
        </w:rPr>
        <w:t>í</w:t>
      </w:r>
      <w:r w:rsidRPr="00171A18">
        <w:rPr>
          <w:rFonts w:cs="Calibri"/>
        </w:rPr>
        <w:t xml:space="preserve"> účetních metod</w:t>
      </w:r>
      <w:r w:rsidR="00FD03E7" w:rsidRPr="00171A18">
        <w:rPr>
          <w:rFonts w:cs="Calibri"/>
        </w:rPr>
        <w:t xml:space="preserve"> a ostatních podmínek vedení účetnictví stanovených </w:t>
      </w:r>
      <w:r w:rsidR="00943482" w:rsidRPr="00171A18">
        <w:rPr>
          <w:rFonts w:cs="Calibri"/>
        </w:rPr>
        <w:t>zákonem č. 563/1991 Sb. a</w:t>
      </w:r>
      <w:r w:rsidR="0096326C" w:rsidRPr="00171A18">
        <w:rPr>
          <w:rFonts w:cs="Calibri"/>
        </w:rPr>
        <w:t> </w:t>
      </w:r>
      <w:r w:rsidR="00943482" w:rsidRPr="00171A18">
        <w:rPr>
          <w:rFonts w:cs="Calibri"/>
        </w:rPr>
        <w:t>vyhláškou č. 410/2009 Sb</w:t>
      </w:r>
      <w:r w:rsidRPr="00171A18">
        <w:rPr>
          <w:rFonts w:cs="Calibri"/>
        </w:rPr>
        <w:t>.</w:t>
      </w:r>
      <w:r w:rsidR="00943482" w:rsidRPr="00171A18">
        <w:rPr>
          <w:rStyle w:val="Znakapoznpodarou"/>
          <w:rFonts w:asciiTheme="minorHAnsi" w:hAnsiTheme="minorHAnsi" w:cstheme="minorHAnsi"/>
          <w:bCs/>
          <w:iCs/>
        </w:rPr>
        <w:footnoteReference w:id="19"/>
      </w:r>
      <w:r w:rsidR="00943482" w:rsidRPr="00171A18">
        <w:rPr>
          <w:rFonts w:cs="Calibri"/>
        </w:rPr>
        <w:t xml:space="preserve"> </w:t>
      </w:r>
      <w:r w:rsidRPr="00171A18">
        <w:rPr>
          <w:rFonts w:cs="Calibri"/>
        </w:rPr>
        <w:t>U</w:t>
      </w:r>
      <w:r w:rsidR="001F3453" w:rsidRPr="00171A18">
        <w:rPr>
          <w:rFonts w:cs="Calibri"/>
        </w:rPr>
        <w:t xml:space="preserve"> </w:t>
      </w:r>
      <w:r w:rsidRPr="00171A18">
        <w:rPr>
          <w:rFonts w:cs="Calibri"/>
        </w:rPr>
        <w:t>vybraných účetních případů byla provedena kontrola s cílem prověřit systém účtování a</w:t>
      </w:r>
      <w:r w:rsidR="002B3676" w:rsidRPr="00171A18">
        <w:rPr>
          <w:rFonts w:cs="Calibri"/>
        </w:rPr>
        <w:t xml:space="preserve"> </w:t>
      </w:r>
      <w:r w:rsidRPr="00171A18">
        <w:rPr>
          <w:rFonts w:cs="Calibri"/>
        </w:rPr>
        <w:t>vykazování informací o skutečnostech, které jsou předmětem účetnictví.</w:t>
      </w:r>
    </w:p>
    <w:p w14:paraId="1A119113" w14:textId="77777777" w:rsidR="00801AD6" w:rsidRPr="00171A18" w:rsidRDefault="00A640AE" w:rsidP="003677B5">
      <w:pPr>
        <w:spacing w:before="120"/>
        <w:jc w:val="both"/>
        <w:rPr>
          <w:rFonts w:cs="Calibri"/>
        </w:rPr>
      </w:pPr>
      <w:r w:rsidRPr="00171A18">
        <w:rPr>
          <w:rFonts w:cs="Calibri"/>
        </w:rPr>
        <w:t xml:space="preserve">V případě údajů předkládaných pro hodnocení plnění státního rozpočtu bylo prověřováno, zda byla dodržena správnost třídění příjmů a výdajů rozpočtovou skladbou </w:t>
      </w:r>
      <w:r w:rsidR="00441800" w:rsidRPr="00171A18">
        <w:rPr>
          <w:rFonts w:asciiTheme="minorHAnsi" w:hAnsiTheme="minorHAnsi" w:cstheme="minorHAnsi"/>
        </w:rPr>
        <w:t xml:space="preserve">z hlediska druhového, odvětvového a prostorového </w:t>
      </w:r>
      <w:r w:rsidRPr="00171A18">
        <w:rPr>
          <w:rFonts w:cs="Calibri"/>
        </w:rPr>
        <w:t xml:space="preserve">dle vyhlášky č. </w:t>
      </w:r>
      <w:r w:rsidR="00777EF7" w:rsidRPr="00171A18">
        <w:rPr>
          <w:rFonts w:cs="Calibri"/>
        </w:rPr>
        <w:t>412/2021</w:t>
      </w:r>
      <w:r w:rsidRPr="00171A18">
        <w:rPr>
          <w:rFonts w:cs="Calibri"/>
        </w:rPr>
        <w:t xml:space="preserve"> Sb.</w:t>
      </w:r>
    </w:p>
    <w:p w14:paraId="2EF7575A" w14:textId="77777777" w:rsidR="00801AD6" w:rsidRPr="00B5478B" w:rsidRDefault="00A640AE" w:rsidP="003677B5">
      <w:pPr>
        <w:spacing w:before="120"/>
        <w:jc w:val="both"/>
        <w:rPr>
          <w:rFonts w:cs="Calibri"/>
        </w:rPr>
      </w:pPr>
      <w:r w:rsidRPr="00B5478B">
        <w:rPr>
          <w:rFonts w:cs="Calibri"/>
        </w:rPr>
        <w:t xml:space="preserve">Výběr položek účetní závěrky a údajů předkládaných </w:t>
      </w:r>
      <w:r w:rsidR="00171A18" w:rsidRPr="00B5478B">
        <w:rPr>
          <w:rFonts w:cs="Calibri"/>
        </w:rPr>
        <w:t>Ministerstvem pro místní rozvoj</w:t>
      </w:r>
      <w:r w:rsidRPr="00B5478B">
        <w:rPr>
          <w:rFonts w:cs="Calibri"/>
        </w:rPr>
        <w:t xml:space="preserve"> pro hodnocení plnění státního rozpočtu proved</w:t>
      </w:r>
      <w:r w:rsidR="00FB15C1" w:rsidRPr="00B5478B">
        <w:rPr>
          <w:rFonts w:cs="Calibri"/>
        </w:rPr>
        <w:t>l NKÚ</w:t>
      </w:r>
      <w:r w:rsidRPr="00B5478B">
        <w:rPr>
          <w:rFonts w:cs="Calibri"/>
        </w:rPr>
        <w:t xml:space="preserve"> </w:t>
      </w:r>
      <w:r w:rsidR="00574E94" w:rsidRPr="00B5478B">
        <w:rPr>
          <w:rFonts w:cs="Calibri"/>
        </w:rPr>
        <w:t>s ohledem</w:t>
      </w:r>
      <w:r w:rsidRPr="00B5478B">
        <w:rPr>
          <w:rFonts w:cs="Calibri"/>
        </w:rPr>
        <w:t xml:space="preserve"> na vyhodnocená rizika nesprávnosti vykázaných údajů.</w:t>
      </w:r>
    </w:p>
    <w:p w14:paraId="61DEDC2E" w14:textId="77777777" w:rsidR="00801AD6" w:rsidRPr="00B5478B" w:rsidRDefault="00A640AE" w:rsidP="003677B5">
      <w:pPr>
        <w:spacing w:before="120"/>
        <w:jc w:val="both"/>
        <w:rPr>
          <w:rFonts w:cs="Calibri"/>
        </w:rPr>
      </w:pPr>
      <w:r w:rsidRPr="00B5478B">
        <w:rPr>
          <w:rFonts w:cs="Calibri"/>
        </w:rPr>
        <w:t xml:space="preserve">U </w:t>
      </w:r>
      <w:r w:rsidR="007D0244" w:rsidRPr="00B5478B">
        <w:rPr>
          <w:rFonts w:cs="Calibri"/>
        </w:rPr>
        <w:t xml:space="preserve">relevantních </w:t>
      </w:r>
      <w:r w:rsidRPr="00B5478B">
        <w:rPr>
          <w:rFonts w:cs="Calibri"/>
        </w:rPr>
        <w:t xml:space="preserve">transakcí byl prověřován soulad </w:t>
      </w:r>
      <w:r w:rsidR="00243906" w:rsidRPr="00B5478B">
        <w:rPr>
          <w:rFonts w:cs="Calibri"/>
        </w:rPr>
        <w:t>s</w:t>
      </w:r>
      <w:r w:rsidR="007D0244" w:rsidRPr="00B5478B">
        <w:rPr>
          <w:rFonts w:cs="Calibri"/>
        </w:rPr>
        <w:t> vybranými ustanoveními</w:t>
      </w:r>
      <w:r w:rsidRPr="00B5478B">
        <w:rPr>
          <w:rFonts w:cs="Calibri"/>
        </w:rPr>
        <w:t xml:space="preserve"> další</w:t>
      </w:r>
      <w:r w:rsidR="007D0244" w:rsidRPr="00B5478B">
        <w:rPr>
          <w:rFonts w:cs="Calibri"/>
        </w:rPr>
        <w:t>ch</w:t>
      </w:r>
      <w:r w:rsidRPr="00B5478B">
        <w:rPr>
          <w:rFonts w:cs="Calibri"/>
        </w:rPr>
        <w:t xml:space="preserve"> právní</w:t>
      </w:r>
      <w:r w:rsidR="007D0244" w:rsidRPr="00B5478B">
        <w:rPr>
          <w:rFonts w:cs="Calibri"/>
        </w:rPr>
        <w:t>ch</w:t>
      </w:r>
      <w:r w:rsidRPr="00B5478B">
        <w:rPr>
          <w:rFonts w:cs="Calibri"/>
        </w:rPr>
        <w:t xml:space="preserve"> předpis</w:t>
      </w:r>
      <w:r w:rsidR="007D0244" w:rsidRPr="00B5478B">
        <w:rPr>
          <w:rFonts w:cs="Calibri"/>
        </w:rPr>
        <w:t>ů</w:t>
      </w:r>
      <w:r w:rsidR="001F1F57" w:rsidRPr="00B5478B">
        <w:rPr>
          <w:rFonts w:cs="Calibri"/>
        </w:rPr>
        <w:t>,</w:t>
      </w:r>
      <w:r w:rsidRPr="00B5478B">
        <w:rPr>
          <w:rFonts w:cs="Calibri"/>
        </w:rPr>
        <w:t xml:space="preserve"> a to zejména </w:t>
      </w:r>
      <w:r w:rsidR="00BA2B34" w:rsidRPr="00B5478B">
        <w:rPr>
          <w:rFonts w:cs="Calibri"/>
        </w:rPr>
        <w:t>zákona č. 218/2000 Sb.</w:t>
      </w:r>
      <w:r w:rsidR="001077EB" w:rsidRPr="00B5478B">
        <w:rPr>
          <w:rFonts w:cs="Calibri"/>
        </w:rPr>
        <w:t xml:space="preserve"> a zákona</w:t>
      </w:r>
      <w:r w:rsidR="00BA2B34" w:rsidRPr="00B5478B">
        <w:rPr>
          <w:rFonts w:cs="Calibri"/>
        </w:rPr>
        <w:t xml:space="preserve"> č. 219/2000 Sb</w:t>
      </w:r>
      <w:r w:rsidR="001077EB" w:rsidRPr="00B5478B">
        <w:rPr>
          <w:rFonts w:cs="Calibri"/>
        </w:rPr>
        <w:t>.</w:t>
      </w:r>
    </w:p>
    <w:p w14:paraId="3DB1AB4D" w14:textId="77777777" w:rsidR="008F46EE" w:rsidRPr="00B5478B" w:rsidRDefault="00A640AE" w:rsidP="003677B5">
      <w:pPr>
        <w:spacing w:before="120"/>
        <w:jc w:val="both"/>
        <w:rPr>
          <w:rFonts w:cs="Calibri"/>
        </w:rPr>
      </w:pPr>
      <w:r w:rsidRPr="00B5478B">
        <w:rPr>
          <w:rFonts w:cs="Calibri"/>
        </w:rPr>
        <w:t>V</w:t>
      </w:r>
      <w:r w:rsidR="00E91FF5" w:rsidRPr="00B5478B">
        <w:rPr>
          <w:rFonts w:cs="Calibri"/>
        </w:rPr>
        <w:t> </w:t>
      </w:r>
      <w:r w:rsidRPr="00B5478B">
        <w:rPr>
          <w:rFonts w:cs="Calibri"/>
        </w:rPr>
        <w:t>případě</w:t>
      </w:r>
      <w:r w:rsidR="00E91FF5" w:rsidRPr="00B5478B">
        <w:rPr>
          <w:rFonts w:cs="Calibri"/>
        </w:rPr>
        <w:t xml:space="preserve"> </w:t>
      </w:r>
      <w:r w:rsidR="002902ED" w:rsidRPr="00B5478B">
        <w:rPr>
          <w:rFonts w:cs="Calibri"/>
        </w:rPr>
        <w:t>uzavírání</w:t>
      </w:r>
      <w:r w:rsidRPr="00B5478B">
        <w:rPr>
          <w:rFonts w:cs="Calibri"/>
        </w:rPr>
        <w:t xml:space="preserve"> smluv </w:t>
      </w:r>
      <w:r w:rsidR="001077EB" w:rsidRPr="00B5478B">
        <w:rPr>
          <w:rFonts w:cs="Calibri"/>
        </w:rPr>
        <w:t xml:space="preserve">a objednávek </w:t>
      </w:r>
      <w:r w:rsidRPr="00B5478B">
        <w:rPr>
          <w:rFonts w:cs="Calibri"/>
        </w:rPr>
        <w:t xml:space="preserve">bylo </w:t>
      </w:r>
      <w:r w:rsidR="001077EB" w:rsidRPr="00B5478B">
        <w:rPr>
          <w:rFonts w:cs="Calibri"/>
        </w:rPr>
        <w:t>prověřováno</w:t>
      </w:r>
      <w:r w:rsidRPr="00B5478B">
        <w:rPr>
          <w:rFonts w:cs="Calibri"/>
        </w:rPr>
        <w:t xml:space="preserve"> </w:t>
      </w:r>
      <w:r w:rsidR="00E91FF5" w:rsidRPr="00B5478B">
        <w:rPr>
          <w:rFonts w:cs="Calibri"/>
        </w:rPr>
        <w:t>jejich uveřejn</w:t>
      </w:r>
      <w:r w:rsidR="00CD2142" w:rsidRPr="00B5478B">
        <w:rPr>
          <w:rFonts w:cs="Calibri"/>
        </w:rPr>
        <w:t>ění v registru smluv dle zák</w:t>
      </w:r>
      <w:r w:rsidR="00F14722" w:rsidRPr="00B5478B">
        <w:rPr>
          <w:rFonts w:cs="Calibri"/>
        </w:rPr>
        <w:t>ona</w:t>
      </w:r>
      <w:r w:rsidR="00FB6581" w:rsidRPr="00B5478B">
        <w:rPr>
          <w:rFonts w:cs="Calibri"/>
        </w:rPr>
        <w:t xml:space="preserve"> č. 340/2015 Sb.</w:t>
      </w:r>
      <w:r w:rsidR="00BA2B34" w:rsidRPr="00B5478B">
        <w:rPr>
          <w:vertAlign w:val="superscript"/>
        </w:rPr>
        <w:footnoteReference w:id="20"/>
      </w:r>
    </w:p>
    <w:p w14:paraId="64057399" w14:textId="77777777" w:rsidR="00C20965" w:rsidRPr="00B5478B" w:rsidRDefault="00C20965" w:rsidP="003677B5">
      <w:pPr>
        <w:spacing w:before="120"/>
        <w:jc w:val="both"/>
      </w:pPr>
      <w:r w:rsidRPr="00B5478B">
        <w:lastRenderedPageBreak/>
        <w:t xml:space="preserve">NKÚ na základě prověřovaných skutečností vyhodnotil </w:t>
      </w:r>
      <w:r w:rsidRPr="00B5478B">
        <w:rPr>
          <w:b/>
        </w:rPr>
        <w:t>nastavení VKS</w:t>
      </w:r>
      <w:r w:rsidRPr="00B5478B">
        <w:t xml:space="preserve"> </w:t>
      </w:r>
      <w:r w:rsidRPr="00B5478B">
        <w:rPr>
          <w:bCs/>
        </w:rPr>
        <w:t>v oblasti účetnictví</w:t>
      </w:r>
      <w:r w:rsidR="00B5478B" w:rsidRPr="00B5478B">
        <w:rPr>
          <w:bCs/>
        </w:rPr>
        <w:t xml:space="preserve">, </w:t>
      </w:r>
      <w:r w:rsidRPr="00B5478B">
        <w:rPr>
          <w:bCs/>
        </w:rPr>
        <w:t>plnění rozpočtu</w:t>
      </w:r>
      <w:r w:rsidRPr="00B5478B">
        <w:t xml:space="preserve"> </w:t>
      </w:r>
      <w:r w:rsidR="00B5478B" w:rsidRPr="00B5478B">
        <w:t xml:space="preserve">a závěrečného účtu </w:t>
      </w:r>
      <w:r w:rsidRPr="00B5478B">
        <w:t xml:space="preserve">(vnitřní předpisy, interní audit, </w:t>
      </w:r>
      <w:r w:rsidR="00A44CA5">
        <w:t xml:space="preserve">účetní metody, </w:t>
      </w:r>
      <w:r w:rsidRPr="00B5478B">
        <w:t>účetní doklady, účetní knihy, inventarizace majetku a závazků, účetní závěrka a schvalování účetní závěrky) dle zákonů č. 563/1991 Sb.,</w:t>
      </w:r>
      <w:r w:rsidR="00B5478B" w:rsidRPr="00B5478B">
        <w:t xml:space="preserve"> </w:t>
      </w:r>
      <w:r w:rsidRPr="00B5478B">
        <w:t>č.</w:t>
      </w:r>
      <w:r w:rsidR="002B3676" w:rsidRPr="00B5478B">
        <w:t xml:space="preserve"> </w:t>
      </w:r>
      <w:r w:rsidRPr="00B5478B">
        <w:t>218/2000 Sb. a dalších právních předpisů a v</w:t>
      </w:r>
      <w:r w:rsidR="002B3676" w:rsidRPr="00B5478B">
        <w:t xml:space="preserve"> </w:t>
      </w:r>
      <w:r w:rsidRPr="00B5478B">
        <w:t>oblasti řídicí kontroly dle zákona</w:t>
      </w:r>
      <w:r w:rsidR="00B5478B" w:rsidRPr="00B5478B">
        <w:t xml:space="preserve"> </w:t>
      </w:r>
      <w:r w:rsidRPr="00B5478B">
        <w:t>č. 320/2001 Sb.</w:t>
      </w:r>
      <w:r w:rsidR="00CA69AB" w:rsidRPr="00B5478B">
        <w:rPr>
          <w:rStyle w:val="Znakapoznpodarou"/>
        </w:rPr>
        <w:footnoteReference w:id="21"/>
      </w:r>
      <w:r w:rsidRPr="00B5478B">
        <w:t xml:space="preserve"> a vyhlášky č. 416/2004 Sb.</w:t>
      </w:r>
      <w:r w:rsidRPr="00B5478B">
        <w:rPr>
          <w:rStyle w:val="Znakapoznpodarou"/>
          <w:rFonts w:eastAsiaTheme="minorHAnsi" w:cs="Calibri"/>
        </w:rPr>
        <w:footnoteReference w:id="22"/>
      </w:r>
      <w:r w:rsidRPr="00B5478B">
        <w:t xml:space="preserve"> </w:t>
      </w:r>
      <w:r w:rsidR="006256C8" w:rsidRPr="00B5478B">
        <w:t>NKÚ dále u</w:t>
      </w:r>
      <w:r w:rsidR="00735D8E">
        <w:t> </w:t>
      </w:r>
      <w:r w:rsidR="006256C8" w:rsidRPr="00B5478B">
        <w:t xml:space="preserve">prověřovaných operací </w:t>
      </w:r>
      <w:r w:rsidR="00B22DF8" w:rsidRPr="00B5478B">
        <w:rPr>
          <w:bCs/>
        </w:rPr>
        <w:t>v oblasti účetnictví</w:t>
      </w:r>
      <w:r w:rsidR="00B5478B" w:rsidRPr="00B5478B">
        <w:rPr>
          <w:bCs/>
        </w:rPr>
        <w:t xml:space="preserve">, </w:t>
      </w:r>
      <w:r w:rsidR="00B22DF8" w:rsidRPr="00B5478B">
        <w:rPr>
          <w:bCs/>
        </w:rPr>
        <w:t>plnění rozpočtu</w:t>
      </w:r>
      <w:r w:rsidR="00B5478B" w:rsidRPr="00B5478B">
        <w:rPr>
          <w:bCs/>
        </w:rPr>
        <w:t xml:space="preserve"> a závěrečného účtu</w:t>
      </w:r>
      <w:r w:rsidR="00B22DF8" w:rsidRPr="00B5478B">
        <w:rPr>
          <w:bCs/>
        </w:rPr>
        <w:t xml:space="preserve"> </w:t>
      </w:r>
      <w:r w:rsidR="00B22DF8" w:rsidRPr="00B5478B">
        <w:t>dle zákonů č. 563/1991 Sb., č. 218/2000 Sb. a dalších právních předpisů</w:t>
      </w:r>
      <w:r w:rsidR="00B5478B" w:rsidRPr="00B5478B">
        <w:t xml:space="preserve"> a</w:t>
      </w:r>
      <w:r w:rsidR="00B22DF8" w:rsidRPr="00B5478B">
        <w:t xml:space="preserve"> </w:t>
      </w:r>
      <w:r w:rsidR="00B22DF8" w:rsidRPr="00B5478B">
        <w:rPr>
          <w:bCs/>
        </w:rPr>
        <w:t>v oblasti hospodaření s majetkem státu</w:t>
      </w:r>
      <w:r w:rsidR="00B22DF8" w:rsidRPr="00B5478B">
        <w:t xml:space="preserve"> dle zákona č. 219/2000 Sb., </w:t>
      </w:r>
      <w:r w:rsidR="00B22DF8" w:rsidRPr="00B5478B">
        <w:rPr>
          <w:bCs/>
        </w:rPr>
        <w:t>finančního hospodaření</w:t>
      </w:r>
      <w:r w:rsidR="00B22DF8" w:rsidRPr="00B5478B">
        <w:t xml:space="preserve"> dle zákona č. 218/2000 Sb. a dalších právních předpisů (zejména dle zákona</w:t>
      </w:r>
      <w:r w:rsidR="00B5478B" w:rsidRPr="00B5478B">
        <w:t xml:space="preserve"> </w:t>
      </w:r>
      <w:r w:rsidR="00B22DF8" w:rsidRPr="00B5478B">
        <w:rPr>
          <w:spacing w:val="-1"/>
        </w:rPr>
        <w:t>č.</w:t>
      </w:r>
      <w:r w:rsidR="002B3676" w:rsidRPr="00B5478B">
        <w:rPr>
          <w:spacing w:val="-1"/>
        </w:rPr>
        <w:t xml:space="preserve"> </w:t>
      </w:r>
      <w:r w:rsidR="00B22DF8" w:rsidRPr="00B5478B">
        <w:rPr>
          <w:spacing w:val="-1"/>
        </w:rPr>
        <w:t>340/2015 Sb.) a v</w:t>
      </w:r>
      <w:r w:rsidR="002B3676" w:rsidRPr="00B5478B">
        <w:rPr>
          <w:spacing w:val="-1"/>
        </w:rPr>
        <w:t xml:space="preserve"> </w:t>
      </w:r>
      <w:r w:rsidR="00B22DF8" w:rsidRPr="00B5478B">
        <w:rPr>
          <w:spacing w:val="-1"/>
        </w:rPr>
        <w:t>oblasti řídicí kontroly dle zákona č.</w:t>
      </w:r>
      <w:r w:rsidR="002B3676" w:rsidRPr="00B5478B">
        <w:rPr>
          <w:spacing w:val="-1"/>
        </w:rPr>
        <w:t xml:space="preserve"> </w:t>
      </w:r>
      <w:r w:rsidR="00B22DF8" w:rsidRPr="00B5478B">
        <w:rPr>
          <w:spacing w:val="-1"/>
        </w:rPr>
        <w:t>320/2001 Sb. a vyhlášky č. 416/2004</w:t>
      </w:r>
      <w:r w:rsidR="002B3676" w:rsidRPr="00B5478B">
        <w:rPr>
          <w:spacing w:val="-1"/>
        </w:rPr>
        <w:t> </w:t>
      </w:r>
      <w:r w:rsidR="00B22DF8" w:rsidRPr="00B5478B">
        <w:rPr>
          <w:spacing w:val="-1"/>
        </w:rPr>
        <w:t>Sb</w:t>
      </w:r>
      <w:r w:rsidR="00B22DF8" w:rsidRPr="00B5478B">
        <w:t xml:space="preserve">. </w:t>
      </w:r>
      <w:r w:rsidR="00737A6B" w:rsidRPr="00B5478B">
        <w:t xml:space="preserve">vyhodnotil </w:t>
      </w:r>
      <w:r w:rsidR="00737A6B" w:rsidRPr="00B5478B">
        <w:rPr>
          <w:b/>
        </w:rPr>
        <w:t>funkčnost VKS</w:t>
      </w:r>
      <w:r w:rsidR="006256C8" w:rsidRPr="00B5478B">
        <w:rPr>
          <w:b/>
        </w:rPr>
        <w:t>,</w:t>
      </w:r>
      <w:r w:rsidR="006256C8" w:rsidRPr="00B5478B">
        <w:t xml:space="preserve"> tj. zda jsou prvky VKS implementovány tak, aby bylo zamezeno vzniku nesprávností. </w:t>
      </w:r>
      <w:r w:rsidRPr="00B5478B">
        <w:t xml:space="preserve">Kombinace zjištění </w:t>
      </w:r>
      <w:r w:rsidR="00574E94" w:rsidRPr="00B5478B">
        <w:t>týkajících se</w:t>
      </w:r>
      <w:r w:rsidRPr="00B5478B">
        <w:t xml:space="preserve"> nastavení a funkčnosti </w:t>
      </w:r>
      <w:r w:rsidR="00574E94" w:rsidRPr="00B5478B">
        <w:t xml:space="preserve">VKS ve </w:t>
      </w:r>
      <w:r w:rsidRPr="00B5478B">
        <w:t>výše uvedených oblast</w:t>
      </w:r>
      <w:r w:rsidR="00574E94" w:rsidRPr="00B5478B">
        <w:t>ech</w:t>
      </w:r>
      <w:r w:rsidRPr="00B5478B">
        <w:t xml:space="preserve"> pak</w:t>
      </w:r>
      <w:r w:rsidR="009A5B97" w:rsidRPr="00B5478B">
        <w:t xml:space="preserve"> byla</w:t>
      </w:r>
      <w:r w:rsidRPr="00B5478B">
        <w:t xml:space="preserve"> podkladem </w:t>
      </w:r>
      <w:r w:rsidR="00574E94" w:rsidRPr="00B5478B">
        <w:t>pro</w:t>
      </w:r>
      <w:r w:rsidR="001F559B" w:rsidRPr="00B5478B">
        <w:t> </w:t>
      </w:r>
      <w:r w:rsidRPr="00B5478B">
        <w:t>hodnocení účinnosti</w:t>
      </w:r>
      <w:r w:rsidR="00574E94" w:rsidRPr="00B5478B">
        <w:t xml:space="preserve"> </w:t>
      </w:r>
      <w:r w:rsidR="00A0541E" w:rsidRPr="00B5478B">
        <w:t xml:space="preserve">VKS </w:t>
      </w:r>
      <w:r w:rsidR="00B5478B" w:rsidRPr="00B5478B">
        <w:t>MMR</w:t>
      </w:r>
      <w:r w:rsidRPr="00B5478B">
        <w:t>.</w:t>
      </w:r>
    </w:p>
    <w:p w14:paraId="4030B17D" w14:textId="39AB9E45" w:rsidR="004D1E4C" w:rsidRPr="00E23CE6" w:rsidRDefault="004D1E4C" w:rsidP="003677B5">
      <w:pPr>
        <w:autoSpaceDE w:val="0"/>
        <w:autoSpaceDN w:val="0"/>
        <w:adjustRightInd w:val="0"/>
        <w:spacing w:before="120"/>
        <w:jc w:val="both"/>
        <w:rPr>
          <w:rFonts w:cs="Calibri"/>
          <w:color w:val="000000"/>
        </w:rPr>
      </w:pPr>
      <w:r w:rsidRPr="00E23CE6">
        <w:rPr>
          <w:rFonts w:cs="Calibri"/>
          <w:color w:val="000000"/>
        </w:rPr>
        <w:t xml:space="preserve">Při kontrole ZÚ za rok 2023 bylo prověřeno, zda je závěrečný účet sestaven v souladu s požadavky vyhlášky č. 419/2001 Sb. a zda je také v souladu se skutečností, tj. zda vybrané údaje uváděné v závěrečném účtu jsou správné a úplné ve srovnání s finančními výkazy obsahujícími údaje pro hodnocení plnění rozpočtu, s údaji v účetnictví, s údaji z účetních závěrek MMR a podřízených organizací </w:t>
      </w:r>
      <w:r w:rsidR="00E23CE6" w:rsidRPr="00E23CE6">
        <w:rPr>
          <w:rFonts w:cs="Calibri"/>
          <w:color w:val="000000"/>
        </w:rPr>
        <w:t>v rámci kapitoly státního rozpočtu 317 a s jinými veřejně dostupnými zdroji, např. usneseními vlády České republiky, veřejně přístupnými rejstříky apod.</w:t>
      </w:r>
    </w:p>
    <w:p w14:paraId="2715DA62" w14:textId="77777777" w:rsidR="00E464F1" w:rsidRPr="00E23CE6" w:rsidRDefault="00E464F1" w:rsidP="003677B5">
      <w:pPr>
        <w:autoSpaceDE w:val="0"/>
        <w:autoSpaceDN w:val="0"/>
        <w:adjustRightInd w:val="0"/>
        <w:spacing w:before="120"/>
        <w:jc w:val="both"/>
        <w:rPr>
          <w:rFonts w:cs="Calibri"/>
          <w:color w:val="000000"/>
        </w:rPr>
      </w:pPr>
      <w:r w:rsidRPr="00E23CE6">
        <w:rPr>
          <w:rFonts w:cs="Calibri"/>
          <w:color w:val="000000"/>
        </w:rPr>
        <w:t>Při kontrole bylo provedeno také vyhodnocení opatření přijatých k nápravě nedostatků</w:t>
      </w:r>
      <w:r w:rsidR="00B06FC8" w:rsidRPr="00E23CE6">
        <w:rPr>
          <w:rFonts w:cs="Calibri"/>
          <w:color w:val="000000"/>
        </w:rPr>
        <w:t xml:space="preserve"> uvedených v kontrolním závěru z</w:t>
      </w:r>
      <w:r w:rsidRPr="00E23CE6">
        <w:rPr>
          <w:rFonts w:cs="Calibri"/>
          <w:color w:val="000000"/>
        </w:rPr>
        <w:t xml:space="preserve"> kontrolní akc</w:t>
      </w:r>
      <w:r w:rsidR="00B06FC8" w:rsidRPr="00E23CE6">
        <w:rPr>
          <w:rFonts w:cs="Calibri"/>
          <w:color w:val="000000"/>
        </w:rPr>
        <w:t>e</w:t>
      </w:r>
      <w:r w:rsidRPr="00E23CE6">
        <w:rPr>
          <w:rFonts w:cs="Calibri"/>
          <w:color w:val="000000"/>
        </w:rPr>
        <w:t xml:space="preserve"> NKÚ č. </w:t>
      </w:r>
      <w:r w:rsidR="00E23CE6" w:rsidRPr="00E23CE6">
        <w:rPr>
          <w:rFonts w:cs="Calibri"/>
          <w:color w:val="000000"/>
        </w:rPr>
        <w:t>19</w:t>
      </w:r>
      <w:r w:rsidRPr="00E23CE6">
        <w:rPr>
          <w:rFonts w:cs="Calibri"/>
          <w:color w:val="000000"/>
        </w:rPr>
        <w:t>/2</w:t>
      </w:r>
      <w:r w:rsidR="00E23CE6" w:rsidRPr="00E23CE6">
        <w:rPr>
          <w:rFonts w:cs="Calibri"/>
          <w:color w:val="000000"/>
        </w:rPr>
        <w:t>1</w:t>
      </w:r>
      <w:r w:rsidRPr="00E23CE6">
        <w:rPr>
          <w:rFonts w:cs="Calibri"/>
          <w:color w:val="000000"/>
        </w:rPr>
        <w:t>.</w:t>
      </w:r>
    </w:p>
    <w:p w14:paraId="0C67B081" w14:textId="77777777" w:rsidR="00196CE6" w:rsidRPr="00E23CE6" w:rsidRDefault="00737A6B" w:rsidP="003677B5">
      <w:pPr>
        <w:autoSpaceDE w:val="0"/>
        <w:autoSpaceDN w:val="0"/>
        <w:adjustRightInd w:val="0"/>
        <w:spacing w:before="120"/>
        <w:jc w:val="both"/>
        <w:rPr>
          <w:rFonts w:cs="Calibri"/>
          <w:color w:val="000000"/>
        </w:rPr>
      </w:pPr>
      <w:r w:rsidRPr="00E23CE6">
        <w:rPr>
          <w:rFonts w:cs="Calibri"/>
          <w:color w:val="000000"/>
        </w:rPr>
        <w:t>V rámci kontroly byl</w:t>
      </w:r>
      <w:r w:rsidR="00B22DF8" w:rsidRPr="00E23CE6">
        <w:rPr>
          <w:rFonts w:cs="Calibri"/>
          <w:color w:val="000000"/>
        </w:rPr>
        <w:t xml:space="preserve"> rovněž proveden rozbor </w:t>
      </w:r>
      <w:r w:rsidR="00196CE6" w:rsidRPr="00E23CE6">
        <w:rPr>
          <w:rFonts w:cs="Calibri"/>
          <w:color w:val="000000"/>
        </w:rPr>
        <w:t xml:space="preserve">výsledku hospodaření </w:t>
      </w:r>
      <w:r w:rsidR="00E23CE6" w:rsidRPr="00E23CE6">
        <w:rPr>
          <w:rFonts w:cs="Calibri"/>
          <w:color w:val="000000"/>
        </w:rPr>
        <w:t>MMR</w:t>
      </w:r>
      <w:r w:rsidR="00196CE6" w:rsidRPr="00E23CE6">
        <w:rPr>
          <w:rFonts w:cs="Calibri"/>
          <w:color w:val="000000"/>
        </w:rPr>
        <w:t xml:space="preserve"> z akruálního a</w:t>
      </w:r>
      <w:r w:rsidR="009F448B" w:rsidRPr="00E23CE6">
        <w:rPr>
          <w:rFonts w:cs="Calibri"/>
          <w:color w:val="000000"/>
        </w:rPr>
        <w:t> </w:t>
      </w:r>
      <w:r w:rsidR="00196CE6" w:rsidRPr="00E23CE6">
        <w:rPr>
          <w:rFonts w:cs="Calibri"/>
          <w:color w:val="000000"/>
        </w:rPr>
        <w:t xml:space="preserve">peněžního pohledu. Kontrola se dále zaměřila na to, zda a jak </w:t>
      </w:r>
      <w:r w:rsidR="00E23CE6" w:rsidRPr="00E23CE6">
        <w:rPr>
          <w:rFonts w:cs="Calibri"/>
          <w:color w:val="000000"/>
        </w:rPr>
        <w:t>MMR</w:t>
      </w:r>
      <w:r w:rsidR="00196CE6" w:rsidRPr="00E23CE6">
        <w:rPr>
          <w:rFonts w:cs="Calibri"/>
          <w:color w:val="000000"/>
        </w:rPr>
        <w:t xml:space="preserve"> využívá akruální účetní informace vč</w:t>
      </w:r>
      <w:r w:rsidR="00E23CE6" w:rsidRPr="00E23CE6">
        <w:rPr>
          <w:rFonts w:cs="Calibri"/>
          <w:color w:val="000000"/>
        </w:rPr>
        <w:t>etně</w:t>
      </w:r>
      <w:r w:rsidR="00196CE6" w:rsidRPr="00E23CE6">
        <w:rPr>
          <w:rFonts w:cs="Calibri"/>
          <w:color w:val="000000"/>
        </w:rPr>
        <w:t xml:space="preserve"> informací vykazovaných na podrozvahových účtech. </w:t>
      </w:r>
    </w:p>
    <w:p w14:paraId="52CFC18F" w14:textId="77777777" w:rsidR="00AF15FA" w:rsidRPr="00E23CE6" w:rsidRDefault="00006AE8" w:rsidP="003677B5">
      <w:pPr>
        <w:spacing w:before="36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E23CE6">
        <w:rPr>
          <w:rFonts w:asciiTheme="minorHAnsi" w:hAnsiTheme="minorHAnsi" w:cs="Calibri"/>
          <w:b/>
          <w:sz w:val="20"/>
          <w:szCs w:val="20"/>
        </w:rPr>
        <w:t>Pozn.:</w:t>
      </w:r>
      <w:r w:rsidRPr="00E23CE6">
        <w:rPr>
          <w:rFonts w:asciiTheme="minorHAnsi" w:hAnsiTheme="minorHAnsi" w:cs="Calibri"/>
          <w:sz w:val="20"/>
          <w:szCs w:val="20"/>
        </w:rPr>
        <w:t xml:space="preserve"> </w:t>
      </w:r>
      <w:r w:rsidRPr="00E23CE6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07416F35" w14:textId="77777777" w:rsidR="00006AE8" w:rsidRPr="00E23CE6" w:rsidRDefault="00603A22" w:rsidP="006E0AFD">
      <w:pPr>
        <w:spacing w:after="0"/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E23CE6">
        <w:rPr>
          <w:rFonts w:asciiTheme="minorHAnsi" w:hAnsiTheme="minorHAnsi" w:cs="Calibri"/>
          <w:sz w:val="20"/>
          <w:szCs w:val="20"/>
        </w:rPr>
        <w:t>H</w:t>
      </w:r>
      <w:r w:rsidR="00AF15FA" w:rsidRPr="00E23CE6">
        <w:rPr>
          <w:rFonts w:asciiTheme="minorHAnsi" w:hAnsiTheme="minorHAnsi" w:cs="Calibri"/>
          <w:sz w:val="20"/>
          <w:szCs w:val="20"/>
        </w:rPr>
        <w:t>odnoty uvedené v tomto kontrolním závěru byly zaokrouhlen</w:t>
      </w:r>
      <w:r w:rsidRPr="00E23CE6">
        <w:rPr>
          <w:rFonts w:asciiTheme="minorHAnsi" w:hAnsiTheme="minorHAnsi" w:cs="Calibri"/>
          <w:sz w:val="20"/>
          <w:szCs w:val="20"/>
        </w:rPr>
        <w:t>y</w:t>
      </w:r>
      <w:r w:rsidR="00AF15FA" w:rsidRPr="00E23CE6">
        <w:rPr>
          <w:rFonts w:asciiTheme="minorHAnsi" w:hAnsiTheme="minorHAnsi" w:cs="Calibri"/>
          <w:sz w:val="20"/>
          <w:szCs w:val="20"/>
        </w:rPr>
        <w:t xml:space="preserve">, čímž </w:t>
      </w:r>
      <w:r w:rsidR="00EE22F7">
        <w:rPr>
          <w:rFonts w:asciiTheme="minorHAnsi" w:hAnsiTheme="minorHAnsi" w:cs="Calibri"/>
          <w:sz w:val="20"/>
          <w:szCs w:val="20"/>
        </w:rPr>
        <w:t>může vzniknout</w:t>
      </w:r>
      <w:r w:rsidR="00AF15FA" w:rsidRPr="00E23CE6">
        <w:rPr>
          <w:rFonts w:asciiTheme="minorHAnsi" w:hAnsiTheme="minorHAnsi" w:cs="Calibri"/>
          <w:sz w:val="20"/>
          <w:szCs w:val="20"/>
        </w:rPr>
        <w:t xml:space="preserve"> drobný nesoulad </w:t>
      </w:r>
      <w:r w:rsidR="00CC3031" w:rsidRPr="00E23CE6">
        <w:rPr>
          <w:rFonts w:asciiTheme="minorHAnsi" w:hAnsiTheme="minorHAnsi" w:cs="Calibri"/>
          <w:sz w:val="20"/>
          <w:szCs w:val="20"/>
        </w:rPr>
        <w:t>v</w:t>
      </w:r>
      <w:r w:rsidR="00837882" w:rsidRPr="00E23CE6">
        <w:rPr>
          <w:rFonts w:asciiTheme="minorHAnsi" w:hAnsiTheme="minorHAnsi" w:cs="Calibri"/>
          <w:sz w:val="20"/>
          <w:szCs w:val="20"/>
        </w:rPr>
        <w:t xml:space="preserve"> některých </w:t>
      </w:r>
      <w:r w:rsidR="00CC3031" w:rsidRPr="00E23CE6">
        <w:rPr>
          <w:rFonts w:asciiTheme="minorHAnsi" w:hAnsiTheme="minorHAnsi" w:cs="Calibri"/>
          <w:sz w:val="20"/>
          <w:szCs w:val="20"/>
        </w:rPr>
        <w:t>uváděných finančních údajích</w:t>
      </w:r>
      <w:r w:rsidR="00AF15FA" w:rsidRPr="00E23CE6">
        <w:rPr>
          <w:rFonts w:asciiTheme="minorHAnsi" w:hAnsiTheme="minorHAnsi" w:cs="Calibri"/>
          <w:sz w:val="20"/>
          <w:szCs w:val="20"/>
        </w:rPr>
        <w:t>.</w:t>
      </w:r>
    </w:p>
    <w:p w14:paraId="7454048A" w14:textId="77777777" w:rsidR="002C44C1" w:rsidRPr="004F6F5D" w:rsidRDefault="002C44C1" w:rsidP="00B03EA6">
      <w:pPr>
        <w:spacing w:after="0"/>
        <w:jc w:val="both"/>
        <w:rPr>
          <w:highlight w:val="yellow"/>
          <w:lang w:eastAsia="cs-CZ"/>
        </w:rPr>
      </w:pPr>
    </w:p>
    <w:p w14:paraId="563F1C7D" w14:textId="77777777" w:rsidR="00006589" w:rsidRPr="004F6F5D" w:rsidRDefault="00006589" w:rsidP="00B03EA6">
      <w:pPr>
        <w:spacing w:after="0"/>
        <w:jc w:val="both"/>
        <w:rPr>
          <w:highlight w:val="yellow"/>
          <w:lang w:eastAsia="cs-CZ"/>
        </w:rPr>
      </w:pPr>
    </w:p>
    <w:p w14:paraId="4E34D913" w14:textId="77777777" w:rsidR="00E31313" w:rsidRPr="004F6F5D" w:rsidRDefault="00E31313" w:rsidP="00C45F95">
      <w:pPr>
        <w:spacing w:after="160" w:line="259" w:lineRule="auto"/>
        <w:rPr>
          <w:highlight w:val="yellow"/>
          <w:lang w:eastAsia="cs-CZ"/>
        </w:rPr>
      </w:pPr>
      <w:r w:rsidRPr="004F6F5D">
        <w:rPr>
          <w:highlight w:val="yellow"/>
          <w:lang w:eastAsia="cs-CZ"/>
        </w:rPr>
        <w:br w:type="page"/>
      </w:r>
    </w:p>
    <w:p w14:paraId="5C789CCB" w14:textId="77777777" w:rsidR="0033466E" w:rsidRPr="00E23CE6" w:rsidRDefault="00A640AE" w:rsidP="006575BB">
      <w:pPr>
        <w:pStyle w:val="Styl1"/>
        <w:spacing w:after="240"/>
        <w:ind w:left="414" w:hanging="57"/>
      </w:pPr>
      <w:r w:rsidRPr="00E23CE6">
        <w:lastRenderedPageBreak/>
        <w:t>Podrobné skutečnosti zjištěné kontrolou</w:t>
      </w:r>
    </w:p>
    <w:p w14:paraId="74BAA254" w14:textId="77777777" w:rsidR="00211287" w:rsidRPr="00E23CE6" w:rsidRDefault="009C3EFB" w:rsidP="00FF6DAA">
      <w:pPr>
        <w:pStyle w:val="Styl2"/>
        <w:numPr>
          <w:ilvl w:val="0"/>
          <w:numId w:val="7"/>
        </w:numPr>
        <w:spacing w:before="120" w:after="120"/>
        <w:ind w:left="340" w:hanging="340"/>
      </w:pPr>
      <w:r w:rsidRPr="00E23CE6">
        <w:t>Vedení účetnictví, ú</w:t>
      </w:r>
      <w:r w:rsidR="00211287" w:rsidRPr="00E23CE6">
        <w:t xml:space="preserve">četní opravy realizované </w:t>
      </w:r>
      <w:r w:rsidR="00E23CE6" w:rsidRPr="00E23CE6">
        <w:t>MMR</w:t>
      </w:r>
      <w:r w:rsidR="00211287" w:rsidRPr="00E23CE6">
        <w:t xml:space="preserve"> v průběhu kontroly a</w:t>
      </w:r>
      <w:r w:rsidR="00650215" w:rsidRPr="00E23CE6">
        <w:t> </w:t>
      </w:r>
      <w:r w:rsidR="00211287" w:rsidRPr="00E23CE6">
        <w:t>spolehlivost údajů ÚZ</w:t>
      </w:r>
    </w:p>
    <w:p w14:paraId="36F25B4A" w14:textId="77777777" w:rsidR="00354051" w:rsidRDefault="00354051" w:rsidP="006575BB">
      <w:pPr>
        <w:pStyle w:val="Styl2"/>
        <w:numPr>
          <w:ilvl w:val="1"/>
          <w:numId w:val="7"/>
        </w:numPr>
        <w:spacing w:before="120" w:after="120"/>
        <w:ind w:left="431" w:hanging="431"/>
      </w:pPr>
      <w:r>
        <w:t>Aplikace účetní regulace účetní jednotkou MMR</w:t>
      </w:r>
    </w:p>
    <w:p w14:paraId="0AA4F995" w14:textId="77777777" w:rsidR="00E317AF" w:rsidRPr="00F62235" w:rsidRDefault="00E317AF" w:rsidP="006575BB">
      <w:pPr>
        <w:spacing w:before="120"/>
        <w:rPr>
          <w:b/>
        </w:rPr>
      </w:pPr>
      <w:bookmarkStart w:id="8" w:name="_Ref163546455"/>
      <w:bookmarkStart w:id="9" w:name="_Toc165358100"/>
      <w:r w:rsidRPr="00F62235">
        <w:rPr>
          <w:b/>
          <w:bCs/>
        </w:rPr>
        <w:t xml:space="preserve">Vykazování </w:t>
      </w:r>
      <w:bookmarkEnd w:id="8"/>
      <w:bookmarkEnd w:id="9"/>
      <w:r w:rsidRPr="00F62235">
        <w:rPr>
          <w:b/>
          <w:bCs/>
        </w:rPr>
        <w:t>f</w:t>
      </w:r>
      <w:r w:rsidR="00920D75" w:rsidRPr="00F62235">
        <w:rPr>
          <w:b/>
          <w:bCs/>
        </w:rPr>
        <w:t>inanční</w:t>
      </w:r>
      <w:r w:rsidRPr="00F62235">
        <w:rPr>
          <w:b/>
          <w:bCs/>
        </w:rPr>
        <w:t>ho</w:t>
      </w:r>
      <w:r w:rsidR="00920D75" w:rsidRPr="00F62235">
        <w:rPr>
          <w:b/>
          <w:bCs/>
        </w:rPr>
        <w:t xml:space="preserve"> nástroje</w:t>
      </w:r>
      <w:r w:rsidR="00FA30D3" w:rsidRPr="00F62235">
        <w:rPr>
          <w:b/>
          <w:bCs/>
        </w:rPr>
        <w:t xml:space="preserve"> spolufinancované</w:t>
      </w:r>
      <w:r w:rsidRPr="00F62235">
        <w:rPr>
          <w:b/>
          <w:bCs/>
        </w:rPr>
        <w:t>ho</w:t>
      </w:r>
      <w:r w:rsidR="00FA30D3" w:rsidRPr="00F62235">
        <w:rPr>
          <w:b/>
          <w:bCs/>
        </w:rPr>
        <w:t xml:space="preserve"> z rozpočtu EU</w:t>
      </w:r>
    </w:p>
    <w:p w14:paraId="7607787B" w14:textId="3C8AB59D" w:rsidR="00354051" w:rsidRDefault="00354051" w:rsidP="006575BB">
      <w:pPr>
        <w:pStyle w:val="Nadpis2"/>
        <w:numPr>
          <w:ilvl w:val="0"/>
          <w:numId w:val="0"/>
        </w:numPr>
        <w:spacing w:before="120" w:after="120" w:line="240" w:lineRule="auto"/>
        <w:contextualSpacing w:val="0"/>
      </w:pPr>
      <w:r>
        <w:t>MMR uzavřelo v roce 2020 jakožto říd</w:t>
      </w:r>
      <w:r w:rsidR="00A92225">
        <w:t>i</w:t>
      </w:r>
      <w:r>
        <w:t xml:space="preserve">cí orgán </w:t>
      </w:r>
      <w:r>
        <w:rPr>
          <w:i/>
          <w:iCs/>
        </w:rPr>
        <w:t>Integrovaného regionální</w:t>
      </w:r>
      <w:r w:rsidR="00286A60">
        <w:rPr>
          <w:i/>
          <w:iCs/>
        </w:rPr>
        <w:t>ho</w:t>
      </w:r>
      <w:r>
        <w:rPr>
          <w:i/>
          <w:iCs/>
        </w:rPr>
        <w:t xml:space="preserve"> operačního programu 2014</w:t>
      </w:r>
      <w:r w:rsidR="00DD59C7">
        <w:rPr>
          <w:i/>
          <w:iCs/>
        </w:rPr>
        <w:t>–</w:t>
      </w:r>
      <w:r>
        <w:rPr>
          <w:i/>
          <w:iCs/>
        </w:rPr>
        <w:t>2020</w:t>
      </w:r>
      <w:r>
        <w:t xml:space="preserve"> (dále jen „IROP“) se </w:t>
      </w:r>
      <w:r w:rsidR="00EF15A8">
        <w:t>s</w:t>
      </w:r>
      <w:r w:rsidRPr="00A37026">
        <w:t>tátním fondem</w:t>
      </w:r>
      <w:r w:rsidR="009C5937">
        <w:t xml:space="preserve"> </w:t>
      </w:r>
      <w:r w:rsidR="0074589F">
        <w:t>d</w:t>
      </w:r>
      <w:r>
        <w:t>ohodu o financování dle čl.</w:t>
      </w:r>
      <w:r w:rsidR="0074589F">
        <w:t> </w:t>
      </w:r>
      <w:r>
        <w:t xml:space="preserve">38 odst. 4 písm. c) </w:t>
      </w:r>
      <w:r w:rsidR="0074589F">
        <w:t>n</w:t>
      </w:r>
      <w:r>
        <w:t>ařízení Evropského Parlamentu a Rady (EU) č. 1303/2013 ze dne 17.</w:t>
      </w:r>
      <w:r w:rsidR="00AA4767">
        <w:t> </w:t>
      </w:r>
      <w:r>
        <w:t>prosince 2013</w:t>
      </w:r>
      <w:r>
        <w:rPr>
          <w:rStyle w:val="Znakapoznpodarou"/>
        </w:rPr>
        <w:footnoteReference w:id="23"/>
      </w:r>
      <w:r w:rsidR="00C82056">
        <w:t xml:space="preserve"> (dále jen „Obecné nařízení“)</w:t>
      </w:r>
      <w:r>
        <w:t xml:space="preserve"> pro specifický cíl 2.5: Snížení energetické náročnosti v sektoru bydlení (dále jen „Dohoda o financování“). Dle Obecného nařízení říd</w:t>
      </w:r>
      <w:r w:rsidR="0074589F">
        <w:t>i</w:t>
      </w:r>
      <w:r>
        <w:t>cí orgán takovou dohodu uzavírá se správcem finančního nástroje</w:t>
      </w:r>
      <w:r>
        <w:rPr>
          <w:rStyle w:val="Znakapoznpodarou"/>
        </w:rPr>
        <w:footnoteReference w:id="24"/>
      </w:r>
      <w:r>
        <w:t xml:space="preserve"> (dále jen „FN“).</w:t>
      </w:r>
    </w:p>
    <w:p w14:paraId="17A5FF19" w14:textId="77777777" w:rsidR="00354051" w:rsidRDefault="00A44CA5" w:rsidP="006575BB">
      <w:pPr>
        <w:tabs>
          <w:tab w:val="left" w:pos="1100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Dle </w:t>
      </w:r>
      <w:r w:rsidR="00354051">
        <w:rPr>
          <w:rFonts w:asciiTheme="minorHAnsi" w:hAnsiTheme="minorHAnsi" w:cstheme="minorHAnsi"/>
        </w:rPr>
        <w:t>Dohod</w:t>
      </w:r>
      <w:r>
        <w:rPr>
          <w:rFonts w:asciiTheme="minorHAnsi" w:hAnsiTheme="minorHAnsi" w:cstheme="minorHAnsi"/>
        </w:rPr>
        <w:t>y</w:t>
      </w:r>
      <w:r w:rsidR="00354051">
        <w:rPr>
          <w:rFonts w:asciiTheme="minorHAnsi" w:hAnsiTheme="minorHAnsi" w:cstheme="minorHAnsi"/>
        </w:rPr>
        <w:t xml:space="preserve"> o financování </w:t>
      </w:r>
      <w:r>
        <w:rPr>
          <w:rFonts w:asciiTheme="minorHAnsi" w:hAnsiTheme="minorHAnsi" w:cstheme="minorHAnsi"/>
        </w:rPr>
        <w:t>vykonává</w:t>
      </w:r>
      <w:r w:rsidR="00354051">
        <w:rPr>
          <w:rFonts w:asciiTheme="minorHAnsi" w:hAnsiTheme="minorHAnsi" w:cstheme="minorHAnsi"/>
        </w:rPr>
        <w:t xml:space="preserve"> MMR </w:t>
      </w:r>
      <w:r>
        <w:rPr>
          <w:rFonts w:asciiTheme="minorHAnsi" w:hAnsiTheme="minorHAnsi" w:cstheme="minorHAnsi"/>
        </w:rPr>
        <w:t xml:space="preserve">roli </w:t>
      </w:r>
      <w:r w:rsidR="00354051">
        <w:rPr>
          <w:rFonts w:asciiTheme="minorHAnsi" w:hAnsiTheme="minorHAnsi" w:cstheme="minorHAnsi"/>
        </w:rPr>
        <w:t xml:space="preserve">poskytovatele a státní fond </w:t>
      </w:r>
      <w:r>
        <w:rPr>
          <w:rFonts w:asciiTheme="minorHAnsi" w:hAnsiTheme="minorHAnsi" w:cstheme="minorHAnsi"/>
        </w:rPr>
        <w:t>roli</w:t>
      </w:r>
      <w:r w:rsidR="00354051">
        <w:rPr>
          <w:rFonts w:asciiTheme="minorHAnsi" w:hAnsiTheme="minorHAnsi" w:cstheme="minorHAnsi"/>
        </w:rPr>
        <w:t xml:space="preserve"> správce </w:t>
      </w:r>
      <w:r>
        <w:rPr>
          <w:rFonts w:asciiTheme="minorHAnsi" w:hAnsiTheme="minorHAnsi" w:cstheme="minorHAnsi"/>
        </w:rPr>
        <w:t xml:space="preserve">tohoto </w:t>
      </w:r>
      <w:r w:rsidR="00354051">
        <w:rPr>
          <w:rFonts w:asciiTheme="minorHAnsi" w:hAnsiTheme="minorHAnsi" w:cstheme="minorHAnsi"/>
        </w:rPr>
        <w:t>FN. MMR společně se státním fondem stanov</w:t>
      </w:r>
      <w:r>
        <w:rPr>
          <w:rFonts w:asciiTheme="minorHAnsi" w:hAnsiTheme="minorHAnsi" w:cstheme="minorHAnsi"/>
        </w:rPr>
        <w:t xml:space="preserve">ilo </w:t>
      </w:r>
      <w:r w:rsidR="00354051">
        <w:rPr>
          <w:rFonts w:asciiTheme="minorHAnsi" w:hAnsiTheme="minorHAnsi" w:cstheme="minorHAnsi"/>
        </w:rPr>
        <w:t>postupy pro poskytování podpory ve výši 1</w:t>
      </w:r>
      <w:r w:rsidR="00AA4767">
        <w:rPr>
          <w:rFonts w:asciiTheme="minorHAnsi" w:hAnsiTheme="minorHAnsi" w:cstheme="minorHAnsi"/>
        </w:rPr>
        <w:t> </w:t>
      </w:r>
      <w:r w:rsidR="00354051">
        <w:rPr>
          <w:rFonts w:asciiTheme="minorHAnsi" w:hAnsiTheme="minorHAnsi" w:cstheme="minorHAnsi"/>
        </w:rPr>
        <w:t xml:space="preserve">mld. Kč z prostředků MMR, která byla následně kryta z rozpočtu EU v rámci IROP. </w:t>
      </w:r>
    </w:p>
    <w:p w14:paraId="563811A9" w14:textId="30661536" w:rsidR="00354051" w:rsidRDefault="00354051" w:rsidP="006575BB">
      <w:pPr>
        <w:tabs>
          <w:tab w:val="left" w:pos="1100"/>
        </w:tabs>
        <w:spacing w:before="120"/>
        <w:jc w:val="both"/>
        <w:rPr>
          <w:rFonts w:asciiTheme="minorHAnsi" w:eastAsia="Calibri" w:hAnsiTheme="minorHAnsi" w:cstheme="minorHAnsi"/>
          <w:lang w:eastAsia="cs-CZ"/>
        </w:rPr>
      </w:pPr>
      <w:r>
        <w:rPr>
          <w:rFonts w:asciiTheme="minorHAnsi" w:hAnsiTheme="minorHAnsi" w:cstheme="minorHAnsi"/>
        </w:rPr>
        <w:t xml:space="preserve">Z Dohody o financování vyplývá, že </w:t>
      </w:r>
      <w:r w:rsidR="00A44CA5">
        <w:rPr>
          <w:rFonts w:asciiTheme="minorHAnsi" w:hAnsiTheme="minorHAnsi" w:cstheme="minorHAnsi"/>
        </w:rPr>
        <w:t xml:space="preserve">MMR poskytlo </w:t>
      </w:r>
      <w:r>
        <w:rPr>
          <w:rFonts w:asciiTheme="minorHAnsi" w:hAnsiTheme="minorHAnsi" w:cstheme="minorHAnsi"/>
        </w:rPr>
        <w:t xml:space="preserve">prostředky odpovídající alokaci FN státnímu fondu na základě </w:t>
      </w:r>
      <w:r w:rsidR="00C8205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ozhodnutí o poskytnutí dotace. Z prostředků FN </w:t>
      </w:r>
      <w:r w:rsidR="005C40E0">
        <w:rPr>
          <w:rFonts w:asciiTheme="minorHAnsi" w:hAnsiTheme="minorHAnsi" w:cstheme="minorHAnsi"/>
        </w:rPr>
        <w:t>se</w:t>
      </w:r>
      <w:r>
        <w:rPr>
          <w:rFonts w:asciiTheme="minorHAnsi" w:hAnsiTheme="minorHAnsi" w:cstheme="minorHAnsi"/>
        </w:rPr>
        <w:t xml:space="preserve"> hrad</w:t>
      </w:r>
      <w:r w:rsidR="005C40E0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 zvýhodněné úvěry (na úhradu způsobilých výdajů) poskytnuté konečným příjemcům a</w:t>
      </w:r>
      <w:r w:rsidR="00AA476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poplatky za správu FN, které dle Dohody o financování náleží státnímu fondu za </w:t>
      </w:r>
      <w:r>
        <w:rPr>
          <w:rFonts w:asciiTheme="minorHAnsi" w:eastAsia="Calibri" w:hAnsiTheme="minorHAnsi" w:cstheme="minorHAnsi"/>
          <w:lang w:eastAsia="cs-CZ"/>
        </w:rPr>
        <w:t xml:space="preserve">činnosti vykonávané na základě Dohody o financování. Poplatky za správu FN vykazuje MMR na účtu 518 – </w:t>
      </w:r>
      <w:r>
        <w:rPr>
          <w:rFonts w:asciiTheme="minorHAnsi" w:eastAsia="Calibri" w:hAnsiTheme="minorHAnsi" w:cstheme="minorHAnsi"/>
          <w:i/>
          <w:iCs/>
          <w:lang w:eastAsia="cs-CZ"/>
        </w:rPr>
        <w:t>Ostatní služby</w:t>
      </w:r>
      <w:r>
        <w:rPr>
          <w:rFonts w:asciiTheme="minorHAnsi" w:eastAsia="Calibri" w:hAnsiTheme="minorHAnsi" w:cstheme="minorHAnsi"/>
          <w:lang w:eastAsia="cs-CZ"/>
        </w:rPr>
        <w:t>.</w:t>
      </w:r>
    </w:p>
    <w:p w14:paraId="400A6759" w14:textId="574895E7" w:rsidR="001207C3" w:rsidRDefault="001207C3" w:rsidP="006575B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b/>
          <w:lang w:eastAsia="cs-CZ"/>
        </w:rPr>
      </w:pPr>
      <w:r w:rsidRPr="00354051">
        <w:rPr>
          <w:rFonts w:asciiTheme="minorHAnsi" w:eastAsia="Calibri" w:hAnsiTheme="minorHAnsi" w:cstheme="minorHAnsi"/>
          <w:b/>
          <w:lang w:eastAsia="cs-CZ"/>
        </w:rPr>
        <w:t xml:space="preserve">MMR vykázalo v ÚZ na účtu </w:t>
      </w:r>
      <w:r w:rsidRPr="00354051">
        <w:rPr>
          <w:rFonts w:asciiTheme="minorHAnsi" w:eastAsia="Calibri" w:hAnsiTheme="minorHAnsi" w:cstheme="minorHAnsi"/>
          <w:b/>
          <w:i/>
          <w:lang w:eastAsia="cs-CZ"/>
        </w:rPr>
        <w:t>471 – Dlouhodobé poskytnuté zálohy na transfery</w:t>
      </w:r>
      <w:r w:rsidRPr="00354051">
        <w:rPr>
          <w:rFonts w:asciiTheme="minorHAnsi" w:eastAsia="Calibri" w:hAnsiTheme="minorHAnsi" w:cstheme="minorHAnsi"/>
          <w:b/>
          <w:lang w:eastAsia="cs-CZ"/>
        </w:rPr>
        <w:t xml:space="preserve"> částku ve výši 0,98 mld. Kč představující peněžní prostředky poskytnuté dle Dohody o financování státnímu fondu přidělené do FN IROP. Uvedený postup MMR spočívající ve vykazování finančního nástroje jako dlouhodobé poskytnuté zálohy na transfery byl</w:t>
      </w:r>
      <w:r w:rsidR="0055478B">
        <w:rPr>
          <w:rFonts w:asciiTheme="minorHAnsi" w:eastAsia="Calibri" w:hAnsiTheme="minorHAnsi" w:cstheme="minorHAnsi"/>
          <w:b/>
          <w:lang w:eastAsia="cs-CZ"/>
        </w:rPr>
        <w:t xml:space="preserve"> NKÚ</w:t>
      </w:r>
      <w:r w:rsidRPr="00354051">
        <w:rPr>
          <w:rFonts w:asciiTheme="minorHAnsi" w:eastAsia="Calibri" w:hAnsiTheme="minorHAnsi" w:cstheme="minorHAnsi"/>
          <w:b/>
          <w:lang w:eastAsia="cs-CZ"/>
        </w:rPr>
        <w:t xml:space="preserve"> vyhodnocen jako správný, neboť dle</w:t>
      </w:r>
      <w:r w:rsidR="0074589F">
        <w:rPr>
          <w:rFonts w:asciiTheme="minorHAnsi" w:eastAsia="Calibri" w:hAnsiTheme="minorHAnsi" w:cstheme="minorHAnsi"/>
          <w:b/>
          <w:lang w:eastAsia="cs-CZ"/>
        </w:rPr>
        <w:t xml:space="preserve"> </w:t>
      </w:r>
      <w:r w:rsidRPr="00354051">
        <w:rPr>
          <w:rFonts w:asciiTheme="minorHAnsi" w:eastAsia="Calibri" w:hAnsiTheme="minorHAnsi" w:cstheme="minorHAnsi"/>
          <w:b/>
          <w:lang w:eastAsia="cs-CZ"/>
        </w:rPr>
        <w:t>Dohody o financování jsou</w:t>
      </w:r>
      <w:r w:rsidRPr="00354051">
        <w:rPr>
          <w:rFonts w:asciiTheme="minorHAnsi" w:hAnsiTheme="minorHAnsi" w:cstheme="minorHAnsi"/>
          <w:b/>
        </w:rPr>
        <w:t xml:space="preserve"> převody prostředků do FN prováděny</w:t>
      </w:r>
      <w:r w:rsidRPr="00354051">
        <w:rPr>
          <w:rFonts w:asciiTheme="minorHAnsi" w:eastAsia="Calibri" w:hAnsiTheme="minorHAnsi" w:cstheme="minorHAnsi"/>
          <w:b/>
          <w:lang w:eastAsia="cs-CZ"/>
        </w:rPr>
        <w:t xml:space="preserve"> na základě </w:t>
      </w:r>
      <w:r w:rsidR="00C82056">
        <w:rPr>
          <w:rFonts w:asciiTheme="minorHAnsi" w:eastAsia="Calibri" w:hAnsiTheme="minorHAnsi" w:cstheme="minorHAnsi"/>
          <w:b/>
          <w:lang w:eastAsia="cs-CZ"/>
        </w:rPr>
        <w:t>r</w:t>
      </w:r>
      <w:r w:rsidRPr="00354051">
        <w:rPr>
          <w:rFonts w:asciiTheme="minorHAnsi" w:eastAsia="Calibri" w:hAnsiTheme="minorHAnsi" w:cstheme="minorHAnsi"/>
          <w:b/>
          <w:lang w:eastAsia="cs-CZ"/>
        </w:rPr>
        <w:t>ozhodnutí o poskytnutí dotace.</w:t>
      </w:r>
    </w:p>
    <w:p w14:paraId="6A2B8AD6" w14:textId="77777777" w:rsidR="00354051" w:rsidRDefault="00354051" w:rsidP="006575B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lang w:eastAsia="cs-CZ"/>
        </w:rPr>
      </w:pPr>
      <w:r>
        <w:rPr>
          <w:rFonts w:asciiTheme="minorHAnsi" w:eastAsia="Calibri" w:hAnsiTheme="minorHAnsi" w:cstheme="minorHAnsi"/>
          <w:lang w:eastAsia="cs-CZ"/>
        </w:rPr>
        <w:t>Obdobné finanční nástroje vykazují i jiné OSS, které prostředky vložené do finančních nástrojů spolufinancovaných z rozpočtu EU vykazují také jako dlouhodobé poskytnuté zálohy na transfery</w:t>
      </w:r>
      <w:r>
        <w:rPr>
          <w:rStyle w:val="Znakapoznpodarou"/>
          <w:rFonts w:asciiTheme="minorHAnsi" w:eastAsia="Calibri" w:hAnsiTheme="minorHAnsi" w:cstheme="minorHAnsi"/>
          <w:lang w:eastAsia="cs-CZ"/>
        </w:rPr>
        <w:footnoteReference w:id="25"/>
      </w:r>
      <w:r>
        <w:rPr>
          <w:rFonts w:asciiTheme="minorHAnsi" w:eastAsia="Calibri" w:hAnsiTheme="minorHAnsi" w:cstheme="minorHAnsi"/>
          <w:lang w:eastAsia="cs-CZ"/>
        </w:rPr>
        <w:t>, nebo např. jako dlouhodobý finanční majetek</w:t>
      </w:r>
      <w:r>
        <w:rPr>
          <w:rStyle w:val="Znakapoznpodarou"/>
          <w:rFonts w:asciiTheme="minorHAnsi" w:eastAsia="Calibri" w:hAnsiTheme="minorHAnsi" w:cstheme="minorHAnsi"/>
          <w:lang w:eastAsia="cs-CZ"/>
        </w:rPr>
        <w:footnoteReference w:id="26"/>
      </w:r>
      <w:r>
        <w:rPr>
          <w:rFonts w:asciiTheme="minorHAnsi" w:eastAsia="Calibri" w:hAnsiTheme="minorHAnsi" w:cstheme="minorHAnsi"/>
          <w:lang w:eastAsia="cs-CZ"/>
        </w:rPr>
        <w:t xml:space="preserve">. </w:t>
      </w:r>
    </w:p>
    <w:p w14:paraId="1D7EB242" w14:textId="77777777" w:rsidR="00211287" w:rsidRDefault="00211287" w:rsidP="006575BB">
      <w:pPr>
        <w:pStyle w:val="Styl2"/>
        <w:numPr>
          <w:ilvl w:val="1"/>
          <w:numId w:val="7"/>
        </w:numPr>
        <w:spacing w:before="120" w:after="120"/>
        <w:ind w:left="431" w:hanging="431"/>
      </w:pPr>
      <w:r w:rsidRPr="00E23CE6">
        <w:lastRenderedPageBreak/>
        <w:t xml:space="preserve">Opravy </w:t>
      </w:r>
      <w:r w:rsidR="00BF035D" w:rsidRPr="00E23CE6">
        <w:t xml:space="preserve">chyb v účetnictví </w:t>
      </w:r>
      <w:r w:rsidR="00FB0C28" w:rsidRPr="00E23CE6">
        <w:t>v</w:t>
      </w:r>
      <w:r w:rsidR="00BF035D" w:rsidRPr="00E23CE6">
        <w:t> </w:t>
      </w:r>
      <w:r w:rsidR="00FB0C28" w:rsidRPr="00E23CE6">
        <w:t>průběhu</w:t>
      </w:r>
      <w:r w:rsidR="00BF035D" w:rsidRPr="00E23CE6">
        <w:t xml:space="preserve"> účetního období</w:t>
      </w:r>
    </w:p>
    <w:p w14:paraId="20895742" w14:textId="37A9B52A" w:rsidR="00E464F1" w:rsidRDefault="003604D9" w:rsidP="006575BB">
      <w:pPr>
        <w:spacing w:before="12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NKÚ zahájil kontrolu již</w:t>
      </w:r>
      <w:r w:rsidR="00837882" w:rsidRPr="003130EA">
        <w:rPr>
          <w:rFonts w:asciiTheme="minorHAnsi" w:hAnsiTheme="minorHAnsi" w:cstheme="minorHAnsi"/>
          <w:spacing w:val="-2"/>
        </w:rPr>
        <w:t xml:space="preserve"> </w:t>
      </w:r>
      <w:r w:rsidR="00634CBB" w:rsidRPr="003130EA">
        <w:rPr>
          <w:rFonts w:asciiTheme="minorHAnsi" w:hAnsiTheme="minorHAnsi" w:cstheme="minorHAnsi"/>
          <w:spacing w:val="-2"/>
        </w:rPr>
        <w:t>v průběhu</w:t>
      </w:r>
      <w:r w:rsidR="00211287" w:rsidRPr="003130EA">
        <w:rPr>
          <w:rFonts w:asciiTheme="minorHAnsi" w:hAnsiTheme="minorHAnsi" w:cstheme="minorHAnsi"/>
          <w:spacing w:val="-2"/>
        </w:rPr>
        <w:t xml:space="preserve"> </w:t>
      </w:r>
      <w:r w:rsidR="00837882" w:rsidRPr="003130EA">
        <w:rPr>
          <w:rFonts w:asciiTheme="minorHAnsi" w:hAnsiTheme="minorHAnsi" w:cstheme="minorHAnsi"/>
          <w:spacing w:val="-2"/>
        </w:rPr>
        <w:t xml:space="preserve">kontrolovaného </w:t>
      </w:r>
      <w:r w:rsidR="00211287" w:rsidRPr="003130EA">
        <w:rPr>
          <w:rFonts w:asciiTheme="minorHAnsi" w:hAnsiTheme="minorHAnsi" w:cstheme="minorHAnsi"/>
          <w:spacing w:val="-2"/>
        </w:rPr>
        <w:t>účetního</w:t>
      </w:r>
      <w:r w:rsidR="003130EA" w:rsidRPr="003130EA">
        <w:rPr>
          <w:rFonts w:asciiTheme="minorHAnsi" w:hAnsiTheme="minorHAnsi" w:cstheme="minorHAnsi"/>
          <w:spacing w:val="-2"/>
        </w:rPr>
        <w:t xml:space="preserve"> </w:t>
      </w:r>
      <w:r w:rsidR="00211287" w:rsidRPr="003130EA">
        <w:rPr>
          <w:rFonts w:asciiTheme="minorHAnsi" w:hAnsiTheme="minorHAnsi" w:cstheme="minorHAnsi"/>
          <w:spacing w:val="-2"/>
        </w:rPr>
        <w:t xml:space="preserve">období </w:t>
      </w:r>
      <w:r w:rsidR="003130EA" w:rsidRPr="003130EA">
        <w:rPr>
          <w:rFonts w:asciiTheme="minorHAnsi" w:hAnsiTheme="minorHAnsi" w:cstheme="minorHAnsi"/>
          <w:spacing w:val="-2"/>
        </w:rPr>
        <w:t>2023</w:t>
      </w:r>
      <w:r w:rsidR="00211287" w:rsidRPr="003130EA">
        <w:rPr>
          <w:rFonts w:asciiTheme="minorHAnsi" w:hAnsiTheme="minorHAnsi" w:cstheme="minorHAnsi"/>
          <w:spacing w:val="-2"/>
        </w:rPr>
        <w:t xml:space="preserve">, což </w:t>
      </w:r>
      <w:r w:rsidR="00AF050E" w:rsidRPr="003130EA">
        <w:rPr>
          <w:rFonts w:asciiTheme="minorHAnsi" w:hAnsiTheme="minorHAnsi" w:cstheme="minorHAnsi"/>
          <w:spacing w:val="-2"/>
        </w:rPr>
        <w:t>umožnilo</w:t>
      </w:r>
      <w:r w:rsidR="00211287" w:rsidRPr="003130EA">
        <w:rPr>
          <w:rFonts w:asciiTheme="minorHAnsi" w:hAnsiTheme="minorHAnsi" w:cstheme="minorHAnsi"/>
          <w:spacing w:val="-2"/>
        </w:rPr>
        <w:t xml:space="preserve"> </w:t>
      </w:r>
      <w:r w:rsidR="003130EA" w:rsidRPr="003130EA">
        <w:rPr>
          <w:rFonts w:asciiTheme="minorHAnsi" w:hAnsiTheme="minorHAnsi" w:cstheme="minorHAnsi"/>
          <w:spacing w:val="-2"/>
        </w:rPr>
        <w:t>MMR</w:t>
      </w:r>
      <w:r w:rsidR="00E909E6" w:rsidRPr="003130EA">
        <w:rPr>
          <w:rFonts w:asciiTheme="minorHAnsi" w:hAnsiTheme="minorHAnsi" w:cstheme="minorHAnsi"/>
          <w:spacing w:val="-2"/>
        </w:rPr>
        <w:t xml:space="preserve"> provést opravu nedostatků </w:t>
      </w:r>
      <w:r w:rsidR="009A5B97" w:rsidRPr="003130EA">
        <w:rPr>
          <w:rFonts w:asciiTheme="minorHAnsi" w:hAnsiTheme="minorHAnsi" w:cstheme="minorHAnsi"/>
          <w:spacing w:val="-2"/>
        </w:rPr>
        <w:t>identifikovaných v</w:t>
      </w:r>
      <w:r w:rsidR="003130EA" w:rsidRPr="003130EA">
        <w:rPr>
          <w:rFonts w:asciiTheme="minorHAnsi" w:hAnsiTheme="minorHAnsi" w:cstheme="minorHAnsi"/>
          <w:spacing w:val="-2"/>
        </w:rPr>
        <w:t> </w:t>
      </w:r>
      <w:r w:rsidR="009A5B97" w:rsidRPr="003130EA">
        <w:rPr>
          <w:rFonts w:asciiTheme="minorHAnsi" w:hAnsiTheme="minorHAnsi" w:cstheme="minorHAnsi"/>
          <w:spacing w:val="-2"/>
        </w:rPr>
        <w:t>účetnictví</w:t>
      </w:r>
      <w:r w:rsidR="003130EA" w:rsidRPr="003130EA">
        <w:rPr>
          <w:rFonts w:asciiTheme="minorHAnsi" w:hAnsiTheme="minorHAnsi" w:cstheme="minorHAnsi"/>
          <w:spacing w:val="-2"/>
        </w:rPr>
        <w:t xml:space="preserve"> </w:t>
      </w:r>
      <w:r w:rsidR="00E909E6" w:rsidRPr="003130EA">
        <w:rPr>
          <w:rFonts w:asciiTheme="minorHAnsi" w:hAnsiTheme="minorHAnsi" w:cstheme="minorHAnsi"/>
          <w:spacing w:val="-2"/>
        </w:rPr>
        <w:t>v průběhu kontroly</w:t>
      </w:r>
      <w:r w:rsidR="00837882" w:rsidRPr="003130EA">
        <w:rPr>
          <w:rFonts w:asciiTheme="minorHAnsi" w:hAnsiTheme="minorHAnsi" w:cstheme="minorHAnsi"/>
          <w:spacing w:val="-2"/>
        </w:rPr>
        <w:t xml:space="preserve"> NKÚ</w:t>
      </w:r>
      <w:r w:rsidR="00E909E6" w:rsidRPr="003130EA">
        <w:rPr>
          <w:rFonts w:asciiTheme="minorHAnsi" w:hAnsiTheme="minorHAnsi" w:cstheme="minorHAnsi"/>
          <w:spacing w:val="-2"/>
        </w:rPr>
        <w:t xml:space="preserve"> ještě </w:t>
      </w:r>
      <w:r w:rsidR="00211287" w:rsidRPr="003130EA">
        <w:rPr>
          <w:rFonts w:asciiTheme="minorHAnsi" w:hAnsiTheme="minorHAnsi" w:cstheme="minorHAnsi"/>
          <w:spacing w:val="-2"/>
        </w:rPr>
        <w:t>před</w:t>
      </w:r>
      <w:r w:rsidR="00C82056">
        <w:rPr>
          <w:rFonts w:asciiTheme="minorHAnsi" w:hAnsiTheme="minorHAnsi" w:cstheme="minorHAnsi"/>
          <w:spacing w:val="-2"/>
        </w:rPr>
        <w:t xml:space="preserve"> </w:t>
      </w:r>
      <w:r w:rsidR="00211287" w:rsidRPr="003130EA">
        <w:rPr>
          <w:rFonts w:asciiTheme="minorHAnsi" w:hAnsiTheme="minorHAnsi" w:cstheme="minorHAnsi"/>
          <w:spacing w:val="-2"/>
        </w:rPr>
        <w:t>uzavřením účetní</w:t>
      </w:r>
      <w:r w:rsidR="00DD1CEF" w:rsidRPr="003130EA">
        <w:rPr>
          <w:rFonts w:asciiTheme="minorHAnsi" w:hAnsiTheme="minorHAnsi" w:cstheme="minorHAnsi"/>
          <w:spacing w:val="-2"/>
        </w:rPr>
        <w:t>c</w:t>
      </w:r>
      <w:r w:rsidR="00211287" w:rsidRPr="003130EA">
        <w:rPr>
          <w:rFonts w:asciiTheme="minorHAnsi" w:hAnsiTheme="minorHAnsi" w:cstheme="minorHAnsi"/>
          <w:spacing w:val="-2"/>
        </w:rPr>
        <w:t>h</w:t>
      </w:r>
      <w:r w:rsidR="00DD1CEF" w:rsidRPr="003130EA">
        <w:rPr>
          <w:rFonts w:asciiTheme="minorHAnsi" w:hAnsiTheme="minorHAnsi" w:cstheme="minorHAnsi"/>
          <w:spacing w:val="-2"/>
        </w:rPr>
        <w:t xml:space="preserve"> knih</w:t>
      </w:r>
      <w:r w:rsidR="000E484A">
        <w:rPr>
          <w:rFonts w:asciiTheme="minorHAnsi" w:hAnsiTheme="minorHAnsi" w:cstheme="minorHAnsi"/>
          <w:spacing w:val="-2"/>
        </w:rPr>
        <w:t xml:space="preserve"> a sestavením účetní závěrky</w:t>
      </w:r>
      <w:r w:rsidR="00211287" w:rsidRPr="003130EA">
        <w:rPr>
          <w:rFonts w:asciiTheme="minorHAnsi" w:hAnsiTheme="minorHAnsi" w:cstheme="minorHAnsi"/>
          <w:spacing w:val="-2"/>
        </w:rPr>
        <w:t>.</w:t>
      </w:r>
      <w:r w:rsidR="008033C3" w:rsidRPr="003130EA">
        <w:rPr>
          <w:rFonts w:asciiTheme="minorHAnsi" w:hAnsiTheme="minorHAnsi" w:cstheme="minorHAnsi"/>
          <w:spacing w:val="-2"/>
        </w:rPr>
        <w:t xml:space="preserve"> </w:t>
      </w:r>
    </w:p>
    <w:p w14:paraId="2A81F323" w14:textId="77777777" w:rsidR="003604D9" w:rsidRPr="003604D9" w:rsidRDefault="003604D9" w:rsidP="006575BB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3604D9">
        <w:rPr>
          <w:rFonts w:asciiTheme="minorHAnsi" w:hAnsiTheme="minorHAnsi" w:cs="Calibri"/>
          <w:b/>
          <w:bCs/>
        </w:rPr>
        <w:t xml:space="preserve">Provedením oprav nedostatků identifikovaných Nejvyšším kontrolním úřadem v rámci </w:t>
      </w:r>
      <w:r w:rsidR="005006B3">
        <w:rPr>
          <w:rFonts w:asciiTheme="minorHAnsi" w:hAnsiTheme="minorHAnsi" w:cs="Calibri"/>
          <w:b/>
          <w:bCs/>
        </w:rPr>
        <w:t>kontrolní akce</w:t>
      </w:r>
      <w:r w:rsidRPr="003604D9">
        <w:rPr>
          <w:rFonts w:asciiTheme="minorHAnsi" w:hAnsiTheme="minorHAnsi" w:cs="Calibri"/>
          <w:b/>
          <w:bCs/>
        </w:rPr>
        <w:t xml:space="preserve"> č. 23/20 předešlo MMR vzniku významných nesprávností v ÚZ v souhrnné výši 2 651 mil. Kč</w:t>
      </w:r>
      <w:r w:rsidRPr="003604D9">
        <w:rPr>
          <w:rStyle w:val="Znakapoznpodarou"/>
          <w:rFonts w:asciiTheme="minorHAnsi" w:hAnsiTheme="minorHAnsi" w:cs="Calibri"/>
          <w:b/>
          <w:bCs/>
        </w:rPr>
        <w:footnoteReference w:id="27"/>
      </w:r>
      <w:r w:rsidRPr="003604D9">
        <w:rPr>
          <w:rFonts w:asciiTheme="minorHAnsi" w:hAnsiTheme="minorHAnsi" w:cs="Calibri"/>
          <w:b/>
          <w:bCs/>
        </w:rPr>
        <w:t>.</w:t>
      </w:r>
    </w:p>
    <w:p w14:paraId="3B0D3AC8" w14:textId="16AB9E3B" w:rsidR="00E82A76" w:rsidRPr="00103960" w:rsidRDefault="00A27CE6" w:rsidP="00A27CE6">
      <w:pPr>
        <w:pStyle w:val="Styl2"/>
        <w:numPr>
          <w:ilvl w:val="0"/>
          <w:numId w:val="0"/>
        </w:numPr>
        <w:spacing w:before="120" w:after="120"/>
        <w:ind w:left="567" w:hanging="567"/>
      </w:pPr>
      <w:r>
        <w:t>1.2.1</w:t>
      </w:r>
      <w:r>
        <w:tab/>
      </w:r>
      <w:r w:rsidR="00F12CFB" w:rsidRPr="00F12CFB">
        <w:t xml:space="preserve">Nesprávná výše podmíněných závazků na účtu 956 – </w:t>
      </w:r>
      <w:r w:rsidR="00F12CFB" w:rsidRPr="00103960">
        <w:rPr>
          <w:i/>
        </w:rPr>
        <w:t>Ostatní dlouhodobé podmíněné závazky z transferů</w:t>
      </w:r>
    </w:p>
    <w:p w14:paraId="0594CB2C" w14:textId="1CA67E33" w:rsidR="00F12CFB" w:rsidRDefault="00F12CFB" w:rsidP="006575BB">
      <w:pPr>
        <w:spacing w:before="120"/>
        <w:jc w:val="both"/>
        <w:rPr>
          <w:rFonts w:asciiTheme="minorHAnsi" w:hAnsiTheme="minorHAnsi" w:cstheme="minorHAnsi"/>
        </w:rPr>
      </w:pPr>
      <w:r w:rsidRPr="00103960">
        <w:rPr>
          <w:rFonts w:asciiTheme="minorHAnsi" w:hAnsiTheme="minorHAnsi" w:cs="Calibri"/>
          <w:bCs/>
        </w:rPr>
        <w:t xml:space="preserve">MMR </w:t>
      </w:r>
      <w:r w:rsidRPr="00103960">
        <w:rPr>
          <w:rFonts w:asciiTheme="minorHAnsi" w:hAnsiTheme="minorHAnsi" w:cstheme="minorHAnsi"/>
          <w:b/>
        </w:rPr>
        <w:t>ne</w:t>
      </w:r>
      <w:r w:rsidR="00A44CA5">
        <w:rPr>
          <w:rFonts w:asciiTheme="minorHAnsi" w:hAnsiTheme="minorHAnsi" w:cstheme="minorHAnsi"/>
          <w:b/>
        </w:rPr>
        <w:t xml:space="preserve">účtovalo </w:t>
      </w:r>
      <w:r w:rsidR="00A44CA5" w:rsidRPr="00076416">
        <w:rPr>
          <w:rFonts w:asciiTheme="minorHAnsi" w:hAnsiTheme="minorHAnsi" w:cstheme="minorHAnsi"/>
          <w:b/>
          <w:bCs/>
        </w:rPr>
        <w:t>o</w:t>
      </w:r>
      <w:r w:rsidR="00A44CA5">
        <w:rPr>
          <w:rFonts w:asciiTheme="minorHAnsi" w:hAnsiTheme="minorHAnsi" w:cstheme="minorHAnsi"/>
          <w:b/>
        </w:rPr>
        <w:t xml:space="preserve"> </w:t>
      </w:r>
      <w:r w:rsidRPr="00103960">
        <w:rPr>
          <w:rFonts w:asciiTheme="minorHAnsi" w:hAnsiTheme="minorHAnsi" w:cstheme="minorHAnsi"/>
        </w:rPr>
        <w:t>někter</w:t>
      </w:r>
      <w:r w:rsidR="00A44CA5">
        <w:rPr>
          <w:rFonts w:asciiTheme="minorHAnsi" w:hAnsiTheme="minorHAnsi" w:cstheme="minorHAnsi"/>
        </w:rPr>
        <w:t>ých</w:t>
      </w:r>
      <w:r w:rsidRPr="00103960">
        <w:rPr>
          <w:rFonts w:asciiTheme="minorHAnsi" w:hAnsiTheme="minorHAnsi" w:cstheme="minorHAnsi"/>
        </w:rPr>
        <w:t xml:space="preserve"> </w:t>
      </w:r>
      <w:r w:rsidRPr="00103960">
        <w:rPr>
          <w:rFonts w:asciiTheme="minorHAnsi" w:hAnsiTheme="minorHAnsi" w:cstheme="minorHAnsi"/>
          <w:b/>
        </w:rPr>
        <w:t>předpokládan</w:t>
      </w:r>
      <w:r w:rsidR="00A44CA5">
        <w:rPr>
          <w:rFonts w:asciiTheme="minorHAnsi" w:hAnsiTheme="minorHAnsi" w:cstheme="minorHAnsi"/>
          <w:b/>
        </w:rPr>
        <w:t>ých</w:t>
      </w:r>
      <w:r w:rsidRPr="00103960">
        <w:rPr>
          <w:rFonts w:asciiTheme="minorHAnsi" w:hAnsiTheme="minorHAnsi" w:cstheme="minorHAnsi"/>
          <w:b/>
        </w:rPr>
        <w:t xml:space="preserve"> závaz</w:t>
      </w:r>
      <w:r w:rsidR="00A44CA5">
        <w:rPr>
          <w:rFonts w:asciiTheme="minorHAnsi" w:hAnsiTheme="minorHAnsi" w:cstheme="minorHAnsi"/>
          <w:b/>
        </w:rPr>
        <w:t>cích</w:t>
      </w:r>
      <w:r w:rsidRPr="00103960">
        <w:rPr>
          <w:rFonts w:asciiTheme="minorHAnsi" w:hAnsiTheme="minorHAnsi" w:cstheme="minorHAnsi"/>
          <w:b/>
        </w:rPr>
        <w:t xml:space="preserve"> z rozhodnutí</w:t>
      </w:r>
      <w:r w:rsidRPr="001258AA">
        <w:rPr>
          <w:rFonts w:asciiTheme="minorHAnsi" w:hAnsiTheme="minorHAnsi" w:cstheme="minorHAnsi"/>
          <w:b/>
        </w:rPr>
        <w:t>,</w:t>
      </w:r>
      <w:r w:rsidRPr="00103960">
        <w:rPr>
          <w:rFonts w:asciiTheme="minorHAnsi" w:hAnsiTheme="minorHAnsi" w:cstheme="minorHAnsi"/>
        </w:rPr>
        <w:t xml:space="preserve"> která již byla vydaná a evidovaná v</w:t>
      </w:r>
      <w:r w:rsidR="00E80881">
        <w:rPr>
          <w:rFonts w:asciiTheme="minorHAnsi" w:hAnsiTheme="minorHAnsi" w:cstheme="minorHAnsi"/>
        </w:rPr>
        <w:t xml:space="preserve"> informačním systému </w:t>
      </w:r>
      <w:r w:rsidR="00E80881" w:rsidRPr="001258AA">
        <w:rPr>
          <w:rFonts w:asciiTheme="minorHAnsi" w:hAnsiTheme="minorHAnsi" w:cstheme="minorHAnsi"/>
          <w:i/>
        </w:rPr>
        <w:t>Evidenční dotační systém</w:t>
      </w:r>
      <w:r w:rsidR="00E80881">
        <w:rPr>
          <w:rFonts w:asciiTheme="minorHAnsi" w:hAnsiTheme="minorHAnsi" w:cstheme="minorHAnsi"/>
        </w:rPr>
        <w:t xml:space="preserve"> (dále také „IS EDS“) </w:t>
      </w:r>
      <w:r w:rsidRPr="00103960">
        <w:rPr>
          <w:rFonts w:asciiTheme="minorHAnsi" w:hAnsiTheme="minorHAnsi" w:cstheme="minorHAnsi"/>
        </w:rPr>
        <w:t>a</w:t>
      </w:r>
      <w:r w:rsidR="00A24C7C">
        <w:rPr>
          <w:rFonts w:asciiTheme="minorHAnsi" w:hAnsiTheme="minorHAnsi" w:cstheme="minorHAnsi"/>
        </w:rPr>
        <w:t> </w:t>
      </w:r>
      <w:r w:rsidR="00E80881">
        <w:rPr>
          <w:rFonts w:asciiTheme="minorHAnsi" w:hAnsiTheme="minorHAnsi" w:cstheme="minorHAnsi"/>
        </w:rPr>
        <w:t>v rozpočtovém informačním systému zjednodušené evidence dotací (dále také „R</w:t>
      </w:r>
      <w:r w:rsidRPr="00103960">
        <w:rPr>
          <w:rFonts w:asciiTheme="minorHAnsi" w:hAnsiTheme="minorHAnsi" w:cstheme="minorHAnsi"/>
        </w:rPr>
        <w:t>IS ZED</w:t>
      </w:r>
      <w:r w:rsidR="00E80881">
        <w:rPr>
          <w:rFonts w:asciiTheme="minorHAnsi" w:hAnsiTheme="minorHAnsi" w:cstheme="minorHAnsi"/>
        </w:rPr>
        <w:t>“)</w:t>
      </w:r>
      <w:r w:rsidR="00C72FD7">
        <w:rPr>
          <w:rFonts w:asciiTheme="minorHAnsi" w:hAnsiTheme="minorHAnsi" w:cstheme="minorHAnsi"/>
        </w:rPr>
        <w:t>. O</w:t>
      </w:r>
      <w:r w:rsidR="00A24C7C">
        <w:rPr>
          <w:rFonts w:asciiTheme="minorHAnsi" w:hAnsiTheme="minorHAnsi" w:cstheme="minorHAnsi"/>
          <w:b/>
        </w:rPr>
        <w:t> </w:t>
      </w:r>
      <w:r w:rsidR="0084206A">
        <w:rPr>
          <w:rFonts w:asciiTheme="minorHAnsi" w:hAnsiTheme="minorHAnsi" w:cstheme="minorHAnsi"/>
          <w:b/>
        </w:rPr>
        <w:t>některých</w:t>
      </w:r>
      <w:r w:rsidR="00B75F34">
        <w:rPr>
          <w:rFonts w:asciiTheme="minorHAnsi" w:hAnsiTheme="minorHAnsi" w:cstheme="minorHAnsi"/>
          <w:b/>
        </w:rPr>
        <w:t xml:space="preserve"> </w:t>
      </w:r>
      <w:r w:rsidRPr="00103960">
        <w:rPr>
          <w:rFonts w:asciiTheme="minorHAnsi" w:hAnsiTheme="minorHAnsi" w:cstheme="minorHAnsi"/>
          <w:b/>
        </w:rPr>
        <w:t>předpokládan</w:t>
      </w:r>
      <w:r w:rsidR="006D00C2">
        <w:rPr>
          <w:rFonts w:asciiTheme="minorHAnsi" w:hAnsiTheme="minorHAnsi" w:cstheme="minorHAnsi"/>
          <w:b/>
        </w:rPr>
        <w:t>ých</w:t>
      </w:r>
      <w:r w:rsidRPr="00103960">
        <w:rPr>
          <w:rFonts w:asciiTheme="minorHAnsi" w:hAnsiTheme="minorHAnsi" w:cstheme="minorHAnsi"/>
          <w:b/>
        </w:rPr>
        <w:t xml:space="preserve"> závaz</w:t>
      </w:r>
      <w:r w:rsidR="006D00C2">
        <w:rPr>
          <w:rFonts w:asciiTheme="minorHAnsi" w:hAnsiTheme="minorHAnsi" w:cstheme="minorHAnsi"/>
          <w:b/>
        </w:rPr>
        <w:t>cích</w:t>
      </w:r>
      <w:r w:rsidRPr="00103960">
        <w:rPr>
          <w:rFonts w:asciiTheme="minorHAnsi" w:hAnsiTheme="minorHAnsi" w:cstheme="minorHAnsi"/>
          <w:b/>
        </w:rPr>
        <w:t xml:space="preserve"> z rozhodnutí </w:t>
      </w:r>
      <w:r w:rsidR="006D00C2">
        <w:rPr>
          <w:rFonts w:asciiTheme="minorHAnsi" w:hAnsiTheme="minorHAnsi" w:cstheme="minorHAnsi"/>
          <w:b/>
        </w:rPr>
        <w:t xml:space="preserve">účtovalo duplicitně </w:t>
      </w:r>
      <w:r w:rsidR="00897E4E">
        <w:rPr>
          <w:rFonts w:asciiTheme="minorHAnsi" w:hAnsiTheme="minorHAnsi" w:cstheme="minorHAnsi"/>
        </w:rPr>
        <w:t>na</w:t>
      </w:r>
      <w:r w:rsidRPr="00103960">
        <w:rPr>
          <w:rFonts w:asciiTheme="minorHAnsi" w:hAnsiTheme="minorHAnsi" w:cstheme="minorHAnsi"/>
        </w:rPr>
        <w:t xml:space="preserve"> ostatních podmíněných závazcích z transferů </w:t>
      </w:r>
      <w:r w:rsidRPr="00103960">
        <w:rPr>
          <w:rFonts w:asciiTheme="minorHAnsi" w:hAnsiTheme="minorHAnsi" w:cstheme="minorHAnsi"/>
          <w:b/>
        </w:rPr>
        <w:t>a neodúčtovalo</w:t>
      </w:r>
      <w:r w:rsidRPr="00103960">
        <w:rPr>
          <w:rFonts w:asciiTheme="minorHAnsi" w:hAnsiTheme="minorHAnsi" w:cstheme="minorHAnsi"/>
        </w:rPr>
        <w:t xml:space="preserve"> z ostatních podmíněných závazků z</w:t>
      </w:r>
      <w:r w:rsidR="00A24C7C">
        <w:rPr>
          <w:rFonts w:asciiTheme="minorHAnsi" w:hAnsiTheme="minorHAnsi" w:cstheme="minorHAnsi"/>
        </w:rPr>
        <w:t> </w:t>
      </w:r>
      <w:r w:rsidRPr="00103960">
        <w:rPr>
          <w:rFonts w:asciiTheme="minorHAnsi" w:hAnsiTheme="minorHAnsi" w:cstheme="minorHAnsi"/>
        </w:rPr>
        <w:t xml:space="preserve">transferů </w:t>
      </w:r>
      <w:r w:rsidRPr="00103960">
        <w:rPr>
          <w:rFonts w:asciiTheme="minorHAnsi" w:hAnsiTheme="minorHAnsi" w:cstheme="minorHAnsi"/>
          <w:b/>
        </w:rPr>
        <w:t>předpokládané závazky, které byly již čerpány</w:t>
      </w:r>
      <w:r w:rsidRPr="001258AA">
        <w:rPr>
          <w:rFonts w:asciiTheme="minorHAnsi" w:hAnsiTheme="minorHAnsi" w:cstheme="minorHAnsi"/>
          <w:b/>
        </w:rPr>
        <w:t>.</w:t>
      </w:r>
      <w:r w:rsidRPr="00103960">
        <w:rPr>
          <w:rFonts w:asciiTheme="minorHAnsi" w:hAnsiTheme="minorHAnsi" w:cstheme="minorHAnsi"/>
        </w:rPr>
        <w:t xml:space="preserve"> Jednalo se o </w:t>
      </w:r>
      <w:r w:rsidRPr="00103960">
        <w:rPr>
          <w:rFonts w:asciiTheme="minorHAnsi" w:hAnsiTheme="minorHAnsi" w:cstheme="minorHAnsi"/>
          <w:b/>
        </w:rPr>
        <w:t>nedostatek v celkové výši 853</w:t>
      </w:r>
      <w:r w:rsidR="001A6D6E">
        <w:rPr>
          <w:rFonts w:asciiTheme="minorHAnsi" w:hAnsiTheme="minorHAnsi" w:cstheme="minorHAnsi"/>
          <w:b/>
        </w:rPr>
        <w:t> </w:t>
      </w:r>
      <w:r w:rsidRPr="00103960">
        <w:rPr>
          <w:rFonts w:asciiTheme="minorHAnsi" w:hAnsiTheme="minorHAnsi" w:cstheme="minorHAnsi"/>
          <w:b/>
        </w:rPr>
        <w:t>mil. Kč</w:t>
      </w:r>
      <w:r w:rsidRPr="001258AA">
        <w:rPr>
          <w:rFonts w:asciiTheme="minorHAnsi" w:hAnsiTheme="minorHAnsi" w:cstheme="minorHAnsi"/>
          <w:b/>
        </w:rPr>
        <w:t>,</w:t>
      </w:r>
      <w:r w:rsidRPr="00103960">
        <w:rPr>
          <w:rFonts w:asciiTheme="minorHAnsi" w:hAnsiTheme="minorHAnsi" w:cstheme="minorHAnsi"/>
        </w:rPr>
        <w:t xml:space="preserve"> který </w:t>
      </w:r>
      <w:r w:rsidRPr="00103960">
        <w:rPr>
          <w:rFonts w:asciiTheme="minorHAnsi" w:hAnsiTheme="minorHAnsi" w:cstheme="minorHAnsi"/>
          <w:b/>
        </w:rPr>
        <w:t>MMR opravilo</w:t>
      </w:r>
      <w:r w:rsidRPr="00103960">
        <w:rPr>
          <w:rFonts w:asciiTheme="minorHAnsi" w:hAnsiTheme="minorHAnsi" w:cstheme="minorHAnsi"/>
        </w:rPr>
        <w:t xml:space="preserve"> </w:t>
      </w:r>
      <w:r w:rsidRPr="00103960">
        <w:rPr>
          <w:rFonts w:asciiTheme="minorHAnsi" w:hAnsiTheme="minorHAnsi" w:cstheme="minorHAnsi"/>
          <w:b/>
        </w:rPr>
        <w:t xml:space="preserve">a </w:t>
      </w:r>
      <w:r w:rsidRPr="00103960">
        <w:rPr>
          <w:rFonts w:asciiTheme="minorHAnsi" w:hAnsiTheme="minorHAnsi" w:cstheme="minorHAnsi"/>
        </w:rPr>
        <w:t xml:space="preserve">dále k němu </w:t>
      </w:r>
      <w:r w:rsidRPr="00103960">
        <w:rPr>
          <w:rFonts w:asciiTheme="minorHAnsi" w:hAnsiTheme="minorHAnsi" w:cstheme="minorHAnsi"/>
          <w:b/>
        </w:rPr>
        <w:t>přijalo systémov</w:t>
      </w:r>
      <w:r w:rsidR="00AE0999">
        <w:rPr>
          <w:rFonts w:asciiTheme="minorHAnsi" w:hAnsiTheme="minorHAnsi" w:cstheme="minorHAnsi"/>
          <w:b/>
        </w:rPr>
        <w:t>é</w:t>
      </w:r>
      <w:r w:rsidRPr="00103960">
        <w:rPr>
          <w:rFonts w:asciiTheme="minorHAnsi" w:hAnsiTheme="minorHAnsi" w:cstheme="minorHAnsi"/>
          <w:b/>
        </w:rPr>
        <w:t xml:space="preserve"> opatření</w:t>
      </w:r>
      <w:r w:rsidRPr="00103960">
        <w:rPr>
          <w:rFonts w:asciiTheme="minorHAnsi" w:hAnsiTheme="minorHAnsi" w:cstheme="minorHAnsi"/>
        </w:rPr>
        <w:t xml:space="preserve"> v podobě čtvrtletní kontroly podmíněných závazků z transferů v účetním informačním systému na základě vydaných rozhodnutí</w:t>
      </w:r>
      <w:r w:rsidR="00103960" w:rsidRPr="00103960">
        <w:rPr>
          <w:rFonts w:asciiTheme="minorHAnsi" w:hAnsiTheme="minorHAnsi" w:cstheme="minorHAnsi"/>
        </w:rPr>
        <w:t xml:space="preserve"> a realizovaných úhrad za jednotlivé projekty </w:t>
      </w:r>
      <w:r w:rsidR="00E80881">
        <w:rPr>
          <w:rFonts w:asciiTheme="minorHAnsi" w:hAnsiTheme="minorHAnsi" w:cstheme="minorHAnsi"/>
        </w:rPr>
        <w:t xml:space="preserve">IS </w:t>
      </w:r>
      <w:r w:rsidR="00103960" w:rsidRPr="00103960">
        <w:rPr>
          <w:rFonts w:asciiTheme="minorHAnsi" w:hAnsiTheme="minorHAnsi" w:cstheme="minorHAnsi"/>
        </w:rPr>
        <w:t>EDS</w:t>
      </w:r>
      <w:r w:rsidR="00E80881">
        <w:rPr>
          <w:rFonts w:asciiTheme="minorHAnsi" w:hAnsiTheme="minorHAnsi" w:cstheme="minorHAnsi"/>
        </w:rPr>
        <w:t xml:space="preserve"> a RIS </w:t>
      </w:r>
      <w:r w:rsidR="00103960" w:rsidRPr="00103960">
        <w:rPr>
          <w:rFonts w:asciiTheme="minorHAnsi" w:hAnsiTheme="minorHAnsi" w:cstheme="minorHAnsi"/>
        </w:rPr>
        <w:t>ZED.</w:t>
      </w:r>
    </w:p>
    <w:p w14:paraId="38431986" w14:textId="50E1F2B5" w:rsidR="00AE0999" w:rsidRPr="00200A39" w:rsidRDefault="00A27CE6" w:rsidP="00A27CE6">
      <w:pPr>
        <w:pStyle w:val="Styl2"/>
        <w:numPr>
          <w:ilvl w:val="0"/>
          <w:numId w:val="0"/>
        </w:numPr>
        <w:spacing w:before="120" w:after="120"/>
        <w:ind w:left="567" w:hanging="567"/>
        <w:jc w:val="both"/>
      </w:pPr>
      <w:bookmarkStart w:id="10" w:name="_Ref162253020"/>
      <w:bookmarkStart w:id="11" w:name="_Toc165358124"/>
      <w:r>
        <w:t>1.2.2</w:t>
      </w:r>
      <w:r>
        <w:tab/>
      </w:r>
      <w:r w:rsidR="00AE0999" w:rsidRPr="00200A39">
        <w:t>Účetní případy související se zrušením regionálních rad regionů soudržnosti</w:t>
      </w:r>
    </w:p>
    <w:p w14:paraId="0136E88C" w14:textId="77777777" w:rsidR="00AE0999" w:rsidRDefault="00AE0999" w:rsidP="006575BB">
      <w:pPr>
        <w:spacing w:before="120"/>
        <w:jc w:val="both"/>
      </w:pPr>
      <w:r w:rsidRPr="00B768C2">
        <w:t xml:space="preserve">Zákonem č. </w:t>
      </w:r>
      <w:r>
        <w:t>251/2021 Sb.</w:t>
      </w:r>
      <w:r>
        <w:rPr>
          <w:rStyle w:val="Znakapoznpodarou"/>
          <w:rFonts w:eastAsiaTheme="majorEastAsia"/>
        </w:rPr>
        <w:footnoteReference w:id="28"/>
      </w:r>
      <w:r>
        <w:t xml:space="preserve"> byly </w:t>
      </w:r>
      <w:r w:rsidRPr="00200A39">
        <w:rPr>
          <w:b/>
        </w:rPr>
        <w:t xml:space="preserve">k 31. </w:t>
      </w:r>
      <w:r w:rsidR="0055478B">
        <w:rPr>
          <w:b/>
        </w:rPr>
        <w:t>prosinc</w:t>
      </w:r>
      <w:r w:rsidR="00C72FD7">
        <w:rPr>
          <w:b/>
        </w:rPr>
        <w:t>i</w:t>
      </w:r>
      <w:r w:rsidRPr="00200A39">
        <w:rPr>
          <w:b/>
        </w:rPr>
        <w:t xml:space="preserve"> 2021 zrušeny regionální rady regionů soudržnosti</w:t>
      </w:r>
      <w:r>
        <w:t xml:space="preserve"> (dále také „RRRS“). </w:t>
      </w:r>
      <w:r w:rsidRPr="00D84252">
        <w:t xml:space="preserve">RRRS působily jako řídicí orgány </w:t>
      </w:r>
      <w:r w:rsidRPr="001258AA">
        <w:rPr>
          <w:i/>
        </w:rPr>
        <w:t>Regionálního operačního programu</w:t>
      </w:r>
      <w:r w:rsidRPr="00D84252">
        <w:t xml:space="preserve"> a byly zřízeny za účelem realizace podpory regionálního rozvoje prostřednictvím poskytování dotací z Evropského fondu regionálního rozvoje.</w:t>
      </w:r>
      <w:r>
        <w:t xml:space="preserve"> </w:t>
      </w:r>
      <w:r w:rsidRPr="00200A39">
        <w:rPr>
          <w:b/>
        </w:rPr>
        <w:t>Právním nástupcem</w:t>
      </w:r>
      <w:r>
        <w:t xml:space="preserve"> RRRS </w:t>
      </w:r>
      <w:r w:rsidRPr="00200A39">
        <w:rPr>
          <w:b/>
        </w:rPr>
        <w:t xml:space="preserve">se od 1. </w:t>
      </w:r>
      <w:r w:rsidR="0055478B">
        <w:rPr>
          <w:b/>
        </w:rPr>
        <w:t>ledna</w:t>
      </w:r>
      <w:r w:rsidRPr="00200A39">
        <w:rPr>
          <w:b/>
        </w:rPr>
        <w:t xml:space="preserve"> 2022 stala Česká republika – MMR</w:t>
      </w:r>
      <w:r w:rsidRPr="001258AA">
        <w:rPr>
          <w:b/>
        </w:rPr>
        <w:t>.</w:t>
      </w:r>
      <w:r>
        <w:t xml:space="preserve"> </w:t>
      </w:r>
    </w:p>
    <w:p w14:paraId="3284058C" w14:textId="77777777" w:rsidR="00AE0999" w:rsidRDefault="00AE0999" w:rsidP="006575BB">
      <w:pPr>
        <w:spacing w:before="120"/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Změnu pravomoci ve věcech odvodů za porušení rozpočtové kázně v případě prostředků poskytnutých z rozpočtu RRRS upravil čl. IX zákona č. 251/2021 Sb. Dle tohoto ustanovení </w:t>
      </w:r>
      <w:r w:rsidRPr="00200A39">
        <w:rPr>
          <w:rFonts w:cs="Arial"/>
          <w:b/>
          <w:bCs/>
          <w:iCs/>
        </w:rPr>
        <w:t xml:space="preserve">přešla k 1. </w:t>
      </w:r>
      <w:r w:rsidR="0055478B">
        <w:rPr>
          <w:rFonts w:cs="Arial"/>
          <w:b/>
          <w:bCs/>
          <w:iCs/>
        </w:rPr>
        <w:t>lednu</w:t>
      </w:r>
      <w:r w:rsidRPr="00200A39">
        <w:rPr>
          <w:rFonts w:cs="Arial"/>
          <w:b/>
          <w:bCs/>
          <w:iCs/>
        </w:rPr>
        <w:t xml:space="preserve"> 2022 správa odvodů za porušení rozpočtové kázně </w:t>
      </w:r>
      <w:r w:rsidRPr="00200A39">
        <w:rPr>
          <w:rFonts w:cs="Arial"/>
          <w:bCs/>
          <w:iCs/>
        </w:rPr>
        <w:t>týkající se prostředků poskytnutých z rozpočtu RRRS</w:t>
      </w:r>
      <w:r w:rsidRPr="00200A39">
        <w:rPr>
          <w:rFonts w:cs="Arial"/>
          <w:b/>
          <w:bCs/>
          <w:iCs/>
        </w:rPr>
        <w:t xml:space="preserve"> na finanční úřady</w:t>
      </w:r>
      <w:r w:rsidRPr="001258AA">
        <w:rPr>
          <w:rFonts w:cs="Arial"/>
          <w:b/>
          <w:bCs/>
          <w:iCs/>
        </w:rPr>
        <w:t>,</w:t>
      </w:r>
      <w:r>
        <w:rPr>
          <w:rFonts w:cs="Arial"/>
          <w:bCs/>
          <w:iCs/>
        </w:rPr>
        <w:t xml:space="preserve"> které pohledávky </w:t>
      </w:r>
      <w:r w:rsidRPr="00E71179">
        <w:rPr>
          <w:rFonts w:cs="Arial"/>
          <w:bCs/>
          <w:iCs/>
        </w:rPr>
        <w:t>za příslušnými konečnými příjemci (porušiteli rozpočtové kázně)</w:t>
      </w:r>
      <w:r>
        <w:rPr>
          <w:rFonts w:cs="Arial"/>
          <w:bCs/>
          <w:iCs/>
        </w:rPr>
        <w:t xml:space="preserve"> vymáhají. </w:t>
      </w:r>
      <w:r w:rsidRPr="00200A39">
        <w:rPr>
          <w:rFonts w:cs="Arial"/>
          <w:b/>
          <w:bCs/>
          <w:iCs/>
        </w:rPr>
        <w:t>MMR</w:t>
      </w:r>
      <w:r>
        <w:rPr>
          <w:rFonts w:cs="Arial"/>
          <w:bCs/>
          <w:iCs/>
        </w:rPr>
        <w:t xml:space="preserve"> tak </w:t>
      </w:r>
      <w:r w:rsidRPr="00090014">
        <w:rPr>
          <w:rFonts w:cs="Arial"/>
          <w:b/>
          <w:bCs/>
          <w:iCs/>
        </w:rPr>
        <w:t>nevystupuje v roli správce daně</w:t>
      </w:r>
      <w:r w:rsidRPr="001258AA">
        <w:rPr>
          <w:rFonts w:cs="Arial"/>
          <w:b/>
          <w:bCs/>
          <w:iCs/>
        </w:rPr>
        <w:t>.</w:t>
      </w:r>
      <w:r>
        <w:rPr>
          <w:rFonts w:cs="Arial"/>
          <w:bCs/>
          <w:iCs/>
        </w:rPr>
        <w:t xml:space="preserve"> </w:t>
      </w:r>
      <w:r w:rsidRPr="00E71179">
        <w:rPr>
          <w:rFonts w:cs="Arial"/>
          <w:bCs/>
          <w:iCs/>
        </w:rPr>
        <w:t>V</w:t>
      </w:r>
      <w:r w:rsidR="00B16F9D">
        <w:rPr>
          <w:rFonts w:cs="Arial"/>
          <w:bCs/>
          <w:iCs/>
        </w:rPr>
        <w:t> </w:t>
      </w:r>
      <w:r w:rsidRPr="00E71179">
        <w:rPr>
          <w:rFonts w:cs="Arial"/>
          <w:bCs/>
          <w:iCs/>
        </w:rPr>
        <w:t xml:space="preserve">případě, že finanční úřad pohledávku vymůže, zasílá MMR avízo o platbě a následně převádí vymoženou část na depozitní účet MMR. Část </w:t>
      </w:r>
      <w:r>
        <w:rPr>
          <w:rFonts w:cs="Arial"/>
          <w:bCs/>
          <w:iCs/>
        </w:rPr>
        <w:t xml:space="preserve">odpovídající výši příspěvku spolufinancovaného z rozpočtu </w:t>
      </w:r>
      <w:r w:rsidRPr="00E71179">
        <w:rPr>
          <w:rFonts w:cs="Arial"/>
          <w:bCs/>
          <w:iCs/>
        </w:rPr>
        <w:t>EU odvádí</w:t>
      </w:r>
      <w:r>
        <w:rPr>
          <w:rFonts w:cs="Arial"/>
          <w:bCs/>
          <w:iCs/>
        </w:rPr>
        <w:t xml:space="preserve"> MMR</w:t>
      </w:r>
      <w:r w:rsidRPr="00E71179">
        <w:rPr>
          <w:rFonts w:cs="Arial"/>
          <w:bCs/>
          <w:iCs/>
        </w:rPr>
        <w:t xml:space="preserve"> na účet</w:t>
      </w:r>
      <w:r>
        <w:rPr>
          <w:rFonts w:cs="Arial"/>
          <w:bCs/>
          <w:iCs/>
        </w:rPr>
        <w:t xml:space="preserve"> cizích prostředků Ministerstva financí (dále také „MF“) a</w:t>
      </w:r>
      <w:r w:rsidR="00B16F9D">
        <w:rPr>
          <w:rFonts w:cs="Arial"/>
          <w:bCs/>
          <w:iCs/>
        </w:rPr>
        <w:t> </w:t>
      </w:r>
      <w:r w:rsidRPr="00E71179">
        <w:rPr>
          <w:rFonts w:cs="Arial"/>
          <w:bCs/>
          <w:iCs/>
        </w:rPr>
        <w:t xml:space="preserve">část </w:t>
      </w:r>
      <w:r>
        <w:rPr>
          <w:rFonts w:cs="Arial"/>
          <w:bCs/>
          <w:iCs/>
        </w:rPr>
        <w:t xml:space="preserve">odpovídající výši příspěvku spolufinancovaného ze státního rozpočtu </w:t>
      </w:r>
      <w:r w:rsidRPr="00E71179">
        <w:rPr>
          <w:rFonts w:cs="Arial"/>
          <w:bCs/>
          <w:iCs/>
        </w:rPr>
        <w:t>zůstává u MMR a</w:t>
      </w:r>
      <w:r w:rsidR="00B16F9D">
        <w:rPr>
          <w:rFonts w:cs="Arial"/>
          <w:bCs/>
          <w:iCs/>
        </w:rPr>
        <w:t> </w:t>
      </w:r>
      <w:r>
        <w:rPr>
          <w:rFonts w:cs="Arial"/>
          <w:bCs/>
          <w:iCs/>
        </w:rPr>
        <w:t>stává se příjmem státního rozpočtu</w:t>
      </w:r>
      <w:r w:rsidRPr="00E71179">
        <w:rPr>
          <w:rFonts w:cs="Arial"/>
          <w:bCs/>
          <w:iCs/>
        </w:rPr>
        <w:t>.</w:t>
      </w:r>
      <w:r>
        <w:rPr>
          <w:rFonts w:cs="Arial"/>
          <w:bCs/>
          <w:iCs/>
        </w:rPr>
        <w:t xml:space="preserve"> V této souvislosti byly u MMR </w:t>
      </w:r>
      <w:r w:rsidRPr="00090014">
        <w:rPr>
          <w:rFonts w:cs="Arial"/>
          <w:b/>
          <w:bCs/>
          <w:iCs/>
        </w:rPr>
        <w:t>identifikovány následující nedostatky</w:t>
      </w:r>
      <w:r>
        <w:rPr>
          <w:rFonts w:cs="Arial"/>
          <w:b/>
          <w:bCs/>
          <w:iCs/>
        </w:rPr>
        <w:t>, které MMR v průběhu kontroly opravilo</w:t>
      </w:r>
      <w:r w:rsidRPr="001258AA">
        <w:rPr>
          <w:rFonts w:cs="Arial"/>
          <w:b/>
          <w:bCs/>
          <w:iCs/>
        </w:rPr>
        <w:t>:</w:t>
      </w:r>
    </w:p>
    <w:p w14:paraId="0DD598AA" w14:textId="77777777" w:rsidR="00AE0999" w:rsidRDefault="00AE0999" w:rsidP="006575BB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cs="Arial"/>
          <w:bCs/>
          <w:iCs/>
        </w:rPr>
      </w:pPr>
      <w:r w:rsidRPr="00090014">
        <w:rPr>
          <w:rFonts w:cs="Arial"/>
          <w:b/>
          <w:bCs/>
          <w:iCs/>
        </w:rPr>
        <w:t>MMR na účtech 315</w:t>
      </w:r>
      <w:r w:rsidRPr="009F0E39">
        <w:rPr>
          <w:rFonts w:cs="Arial"/>
          <w:bCs/>
          <w:iCs/>
        </w:rPr>
        <w:t xml:space="preserve"> – </w:t>
      </w:r>
      <w:r w:rsidRPr="009F0E39">
        <w:rPr>
          <w:rFonts w:cs="Arial"/>
          <w:bCs/>
          <w:i/>
          <w:iCs/>
        </w:rPr>
        <w:t>Jiné pohledávky z hlavní činnosti</w:t>
      </w:r>
      <w:r w:rsidRPr="009F0E39">
        <w:rPr>
          <w:rFonts w:cs="Arial"/>
          <w:bCs/>
          <w:iCs/>
        </w:rPr>
        <w:t xml:space="preserve"> </w:t>
      </w:r>
      <w:r w:rsidRPr="00090014">
        <w:rPr>
          <w:rFonts w:cs="Arial"/>
          <w:b/>
          <w:bCs/>
          <w:iCs/>
        </w:rPr>
        <w:t>a 344</w:t>
      </w:r>
      <w:r w:rsidRPr="009F0E39">
        <w:rPr>
          <w:rFonts w:cs="Arial"/>
          <w:bCs/>
          <w:iCs/>
        </w:rPr>
        <w:t xml:space="preserve"> – </w:t>
      </w:r>
      <w:r w:rsidRPr="009F0E39">
        <w:rPr>
          <w:rFonts w:cs="Arial"/>
          <w:bCs/>
          <w:i/>
          <w:iCs/>
        </w:rPr>
        <w:t>Pohledávky za osobami mimo vybrané vládní instituce</w:t>
      </w:r>
      <w:r w:rsidRPr="009F0E39">
        <w:rPr>
          <w:rFonts w:cs="Arial"/>
          <w:bCs/>
          <w:iCs/>
        </w:rPr>
        <w:t xml:space="preserve"> </w:t>
      </w:r>
      <w:r w:rsidR="006D00C2">
        <w:rPr>
          <w:rFonts w:cs="Arial"/>
          <w:b/>
          <w:bCs/>
          <w:iCs/>
        </w:rPr>
        <w:t xml:space="preserve">účtovalo o </w:t>
      </w:r>
      <w:r w:rsidRPr="00090014">
        <w:rPr>
          <w:rFonts w:cs="Arial"/>
          <w:b/>
          <w:bCs/>
          <w:iCs/>
        </w:rPr>
        <w:t>pohledávk</w:t>
      </w:r>
      <w:r w:rsidR="006D00C2">
        <w:rPr>
          <w:rFonts w:cs="Arial"/>
          <w:b/>
          <w:bCs/>
          <w:iCs/>
        </w:rPr>
        <w:t>ách</w:t>
      </w:r>
      <w:r w:rsidRPr="00090014">
        <w:rPr>
          <w:rFonts w:cs="Arial"/>
          <w:b/>
          <w:bCs/>
          <w:iCs/>
        </w:rPr>
        <w:t xml:space="preserve"> a na</w:t>
      </w:r>
      <w:r w:rsidRPr="009F0E39">
        <w:rPr>
          <w:rFonts w:cs="Arial"/>
          <w:bCs/>
          <w:iCs/>
        </w:rPr>
        <w:t xml:space="preserve"> </w:t>
      </w:r>
      <w:r w:rsidRPr="00090014">
        <w:rPr>
          <w:rFonts w:cs="Arial"/>
          <w:b/>
          <w:bCs/>
          <w:iCs/>
        </w:rPr>
        <w:t>účtu 325</w:t>
      </w:r>
      <w:r w:rsidRPr="009F0E39">
        <w:rPr>
          <w:rFonts w:cs="Arial"/>
          <w:bCs/>
          <w:iCs/>
        </w:rPr>
        <w:t xml:space="preserve"> – </w:t>
      </w:r>
      <w:r w:rsidRPr="009F0E39">
        <w:rPr>
          <w:rFonts w:cs="Arial"/>
          <w:bCs/>
          <w:i/>
          <w:iCs/>
        </w:rPr>
        <w:t>Závazky z</w:t>
      </w:r>
      <w:r w:rsidR="006A3165">
        <w:rPr>
          <w:rFonts w:cs="Arial"/>
          <w:bCs/>
          <w:i/>
          <w:iCs/>
        </w:rPr>
        <w:t> </w:t>
      </w:r>
      <w:r w:rsidRPr="009F0E39">
        <w:rPr>
          <w:rFonts w:cs="Arial"/>
          <w:bCs/>
          <w:i/>
          <w:iCs/>
        </w:rPr>
        <w:t>dělené správy</w:t>
      </w:r>
      <w:r w:rsidRPr="009F0E39">
        <w:rPr>
          <w:rFonts w:cs="Arial"/>
          <w:bCs/>
          <w:iCs/>
        </w:rPr>
        <w:t xml:space="preserve"> </w:t>
      </w:r>
      <w:r w:rsidR="006D00C2">
        <w:rPr>
          <w:rFonts w:cs="Arial"/>
          <w:bCs/>
          <w:iCs/>
        </w:rPr>
        <w:t xml:space="preserve">o </w:t>
      </w:r>
      <w:r w:rsidRPr="009F0E39">
        <w:rPr>
          <w:rFonts w:cs="Arial"/>
          <w:bCs/>
          <w:iCs/>
        </w:rPr>
        <w:t>související</w:t>
      </w:r>
      <w:r w:rsidR="006D00C2">
        <w:rPr>
          <w:rFonts w:cs="Arial"/>
          <w:bCs/>
          <w:iCs/>
        </w:rPr>
        <w:t>ch</w:t>
      </w:r>
      <w:r w:rsidRPr="009F0E39">
        <w:rPr>
          <w:rFonts w:cs="Arial"/>
          <w:bCs/>
          <w:iCs/>
        </w:rPr>
        <w:t xml:space="preserve"> </w:t>
      </w:r>
      <w:r w:rsidRPr="00090014">
        <w:rPr>
          <w:rFonts w:cs="Arial"/>
          <w:b/>
          <w:bCs/>
          <w:iCs/>
        </w:rPr>
        <w:t>závaz</w:t>
      </w:r>
      <w:r w:rsidR="006D00C2">
        <w:rPr>
          <w:rFonts w:cs="Arial"/>
          <w:b/>
          <w:bCs/>
          <w:iCs/>
        </w:rPr>
        <w:t>cích</w:t>
      </w:r>
      <w:r w:rsidRPr="009F0E39">
        <w:rPr>
          <w:rFonts w:cs="Arial"/>
          <w:bCs/>
          <w:iCs/>
        </w:rPr>
        <w:t xml:space="preserve"> převzat</w:t>
      </w:r>
      <w:r w:rsidR="006D00C2">
        <w:rPr>
          <w:rFonts w:cs="Arial"/>
          <w:bCs/>
          <w:iCs/>
        </w:rPr>
        <w:t>ých</w:t>
      </w:r>
      <w:r w:rsidRPr="009F0E39">
        <w:rPr>
          <w:rFonts w:cs="Arial"/>
          <w:bCs/>
          <w:iCs/>
        </w:rPr>
        <w:t xml:space="preserve"> od RRRS </w:t>
      </w:r>
      <w:r w:rsidRPr="00090014">
        <w:rPr>
          <w:rFonts w:cs="Arial"/>
          <w:b/>
          <w:bCs/>
          <w:iCs/>
        </w:rPr>
        <w:t xml:space="preserve">z titulu vyměřených </w:t>
      </w:r>
      <w:r w:rsidRPr="00090014">
        <w:rPr>
          <w:rFonts w:cs="Arial"/>
          <w:b/>
          <w:bCs/>
          <w:iCs/>
        </w:rPr>
        <w:lastRenderedPageBreak/>
        <w:t>odvodů za porušení rozpočtové kázně</w:t>
      </w:r>
      <w:r>
        <w:rPr>
          <w:rFonts w:cs="Arial"/>
          <w:bCs/>
          <w:iCs/>
        </w:rPr>
        <w:t xml:space="preserve"> </w:t>
      </w:r>
      <w:r w:rsidRPr="00090014">
        <w:rPr>
          <w:rFonts w:cs="Arial"/>
          <w:b/>
          <w:bCs/>
          <w:iCs/>
        </w:rPr>
        <w:t>v celkové výši 158 mil. Kč</w:t>
      </w:r>
      <w:r w:rsidRPr="001258AA">
        <w:rPr>
          <w:rFonts w:cs="Arial"/>
          <w:b/>
          <w:bCs/>
          <w:iCs/>
        </w:rPr>
        <w:t>.</w:t>
      </w:r>
      <w:r>
        <w:rPr>
          <w:rFonts w:cs="Arial"/>
          <w:bCs/>
          <w:iCs/>
        </w:rPr>
        <w:t xml:space="preserve"> </w:t>
      </w:r>
      <w:r w:rsidRPr="00090014">
        <w:rPr>
          <w:rFonts w:cs="Arial"/>
          <w:b/>
          <w:bCs/>
          <w:iCs/>
        </w:rPr>
        <w:t>MMR nemělo</w:t>
      </w:r>
      <w:r>
        <w:rPr>
          <w:rFonts w:cs="Arial"/>
          <w:bCs/>
          <w:iCs/>
        </w:rPr>
        <w:t xml:space="preserve"> </w:t>
      </w:r>
      <w:r w:rsidR="006D00C2">
        <w:rPr>
          <w:rFonts w:cs="Arial"/>
          <w:bCs/>
          <w:iCs/>
        </w:rPr>
        <w:t>o</w:t>
      </w:r>
      <w:r w:rsidR="006A3165">
        <w:rPr>
          <w:rFonts w:cs="Arial"/>
          <w:bCs/>
          <w:iCs/>
        </w:rPr>
        <w:t> </w:t>
      </w:r>
      <w:r w:rsidR="006D00C2">
        <w:rPr>
          <w:rFonts w:cs="Arial"/>
          <w:bCs/>
          <w:iCs/>
        </w:rPr>
        <w:t>těchto</w:t>
      </w:r>
      <w:r w:rsidRPr="00ED1E96">
        <w:rPr>
          <w:rFonts w:cs="Arial"/>
          <w:bCs/>
          <w:iCs/>
        </w:rPr>
        <w:t xml:space="preserve"> případ</w:t>
      </w:r>
      <w:r w:rsidR="006D00C2">
        <w:rPr>
          <w:rFonts w:cs="Arial"/>
          <w:bCs/>
          <w:iCs/>
        </w:rPr>
        <w:t>ech</w:t>
      </w:r>
      <w:r w:rsidRPr="00ED1E96">
        <w:rPr>
          <w:rFonts w:cs="Arial"/>
          <w:bCs/>
          <w:iCs/>
        </w:rPr>
        <w:t xml:space="preserve"> </w:t>
      </w:r>
      <w:r w:rsidR="006D00C2" w:rsidRPr="006D00C2">
        <w:rPr>
          <w:rFonts w:cs="Arial"/>
          <w:b/>
          <w:bCs/>
          <w:iCs/>
        </w:rPr>
        <w:t>účtovat</w:t>
      </w:r>
      <w:r w:rsidR="006D00C2">
        <w:rPr>
          <w:rFonts w:cs="Arial"/>
          <w:bCs/>
          <w:iCs/>
        </w:rPr>
        <w:t xml:space="preserve"> </w:t>
      </w:r>
      <w:r w:rsidRPr="00ED1E96">
        <w:rPr>
          <w:rFonts w:cs="Arial"/>
          <w:bCs/>
          <w:iCs/>
        </w:rPr>
        <w:t xml:space="preserve">jako </w:t>
      </w:r>
      <w:r w:rsidR="006D00C2">
        <w:rPr>
          <w:rFonts w:cs="Arial"/>
          <w:bCs/>
          <w:iCs/>
        </w:rPr>
        <w:t xml:space="preserve">o </w:t>
      </w:r>
      <w:r w:rsidRPr="00ED1E96">
        <w:rPr>
          <w:rFonts w:cs="Arial"/>
          <w:bCs/>
          <w:iCs/>
        </w:rPr>
        <w:t>sv</w:t>
      </w:r>
      <w:r w:rsidR="006D00C2">
        <w:rPr>
          <w:rFonts w:cs="Arial"/>
          <w:bCs/>
          <w:iCs/>
        </w:rPr>
        <w:t>ých</w:t>
      </w:r>
      <w:r w:rsidRPr="00ED1E96">
        <w:rPr>
          <w:rFonts w:cs="Arial"/>
          <w:bCs/>
          <w:iCs/>
        </w:rPr>
        <w:t xml:space="preserve"> pohledávk</w:t>
      </w:r>
      <w:r w:rsidR="006D00C2">
        <w:rPr>
          <w:rFonts w:cs="Arial"/>
          <w:bCs/>
          <w:iCs/>
        </w:rPr>
        <w:t>ách</w:t>
      </w:r>
      <w:r w:rsidRPr="00ED1E96">
        <w:rPr>
          <w:rFonts w:cs="Arial"/>
          <w:bCs/>
          <w:iCs/>
        </w:rPr>
        <w:t xml:space="preserve"> a závaz</w:t>
      </w:r>
      <w:r w:rsidR="006D00C2">
        <w:rPr>
          <w:rFonts w:cs="Arial"/>
          <w:bCs/>
          <w:iCs/>
        </w:rPr>
        <w:t>cích</w:t>
      </w:r>
      <w:r>
        <w:rPr>
          <w:rFonts w:cs="Arial"/>
          <w:bCs/>
          <w:iCs/>
        </w:rPr>
        <w:t xml:space="preserve">, </w:t>
      </w:r>
      <w:r w:rsidRPr="00090014">
        <w:rPr>
          <w:rFonts w:cs="Arial"/>
          <w:b/>
          <w:bCs/>
          <w:iCs/>
        </w:rPr>
        <w:t>neboť</w:t>
      </w:r>
      <w:r>
        <w:rPr>
          <w:rFonts w:cs="Arial"/>
          <w:bCs/>
          <w:iCs/>
        </w:rPr>
        <w:t xml:space="preserve"> </w:t>
      </w:r>
      <w:r w:rsidRPr="00ED1E96">
        <w:rPr>
          <w:rFonts w:cs="Arial"/>
          <w:bCs/>
          <w:iCs/>
        </w:rPr>
        <w:t xml:space="preserve">správa odvodů za porušení rozpočtové kázně týkající se prostředků poskytnutých z rozpočtu RRRS </w:t>
      </w:r>
      <w:r>
        <w:rPr>
          <w:rFonts w:cs="Arial"/>
          <w:bCs/>
          <w:iCs/>
        </w:rPr>
        <w:t xml:space="preserve">přešla </w:t>
      </w:r>
      <w:r w:rsidRPr="00ED1E96">
        <w:rPr>
          <w:rFonts w:cs="Arial"/>
          <w:bCs/>
          <w:iCs/>
        </w:rPr>
        <w:t xml:space="preserve">na příslušné finanční úřady. </w:t>
      </w:r>
      <w:r w:rsidRPr="00090014">
        <w:rPr>
          <w:rFonts w:cs="Arial"/>
          <w:b/>
          <w:bCs/>
          <w:iCs/>
        </w:rPr>
        <w:t>MMR</w:t>
      </w:r>
      <w:r w:rsidRPr="00ED1E96">
        <w:rPr>
          <w:rFonts w:cs="Arial"/>
          <w:bCs/>
          <w:iCs/>
        </w:rPr>
        <w:t xml:space="preserve"> tak </w:t>
      </w:r>
      <w:r w:rsidRPr="00090014">
        <w:rPr>
          <w:rFonts w:cs="Arial"/>
          <w:b/>
          <w:bCs/>
          <w:iCs/>
        </w:rPr>
        <w:t>nevystupuje v roli správce daně</w:t>
      </w:r>
      <w:r w:rsidRPr="001258AA">
        <w:rPr>
          <w:rFonts w:cs="Arial"/>
          <w:b/>
          <w:bCs/>
          <w:iCs/>
        </w:rPr>
        <w:t>,</w:t>
      </w:r>
      <w:r w:rsidRPr="00ED1E96">
        <w:rPr>
          <w:rFonts w:cs="Arial"/>
          <w:bCs/>
          <w:iCs/>
        </w:rPr>
        <w:t xml:space="preserve"> těmi jsou příslušné finanční úřady.</w:t>
      </w:r>
    </w:p>
    <w:p w14:paraId="564E77B4" w14:textId="77777777" w:rsidR="00AE0999" w:rsidRPr="006763D0" w:rsidRDefault="00AE0999" w:rsidP="006575BB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cs="Arial"/>
          <w:bCs/>
          <w:iCs/>
        </w:rPr>
      </w:pPr>
      <w:r w:rsidRPr="006763D0">
        <w:rPr>
          <w:rFonts w:cs="Arial"/>
          <w:b/>
          <w:bCs/>
          <w:iCs/>
        </w:rPr>
        <w:t>MMR na účtu 315</w:t>
      </w:r>
      <w:r w:rsidRPr="006763D0">
        <w:rPr>
          <w:rFonts w:cs="Arial"/>
          <w:bCs/>
          <w:iCs/>
        </w:rPr>
        <w:t xml:space="preserve"> – </w:t>
      </w:r>
      <w:r w:rsidRPr="006763D0">
        <w:rPr>
          <w:rFonts w:cs="Arial"/>
          <w:bCs/>
          <w:i/>
          <w:iCs/>
        </w:rPr>
        <w:t>Jiné pohledávky z hlavní činnosti</w:t>
      </w:r>
      <w:r w:rsidRPr="006763D0">
        <w:rPr>
          <w:rFonts w:cs="Arial"/>
          <w:bCs/>
          <w:iCs/>
        </w:rPr>
        <w:t xml:space="preserve"> </w:t>
      </w:r>
      <w:r w:rsidR="006763D0" w:rsidRPr="006763D0">
        <w:rPr>
          <w:rFonts w:cs="Arial"/>
          <w:b/>
          <w:bCs/>
          <w:iCs/>
        </w:rPr>
        <w:t>vykazovalo</w:t>
      </w:r>
      <w:r w:rsidR="006D00C2" w:rsidRPr="006763D0">
        <w:rPr>
          <w:rFonts w:cs="Arial"/>
          <w:b/>
          <w:bCs/>
          <w:iCs/>
        </w:rPr>
        <w:t xml:space="preserve"> </w:t>
      </w:r>
      <w:r w:rsidR="006763D0" w:rsidRPr="006763D0">
        <w:rPr>
          <w:rFonts w:cs="Arial"/>
          <w:b/>
          <w:bCs/>
          <w:iCs/>
        </w:rPr>
        <w:t>po</w:t>
      </w:r>
      <w:r w:rsidRPr="006763D0">
        <w:rPr>
          <w:rFonts w:cs="Arial"/>
          <w:b/>
          <w:bCs/>
          <w:iCs/>
        </w:rPr>
        <w:t>hledáv</w:t>
      </w:r>
      <w:r w:rsidR="006763D0" w:rsidRPr="006763D0">
        <w:rPr>
          <w:rFonts w:cs="Arial"/>
          <w:b/>
          <w:bCs/>
          <w:iCs/>
        </w:rPr>
        <w:t>ku</w:t>
      </w:r>
      <w:r w:rsidRPr="006763D0">
        <w:rPr>
          <w:rFonts w:cs="Arial"/>
          <w:bCs/>
          <w:iCs/>
        </w:rPr>
        <w:t xml:space="preserve"> </w:t>
      </w:r>
      <w:r w:rsidRPr="006763D0">
        <w:rPr>
          <w:rFonts w:cs="Arial"/>
          <w:b/>
          <w:bCs/>
          <w:iCs/>
        </w:rPr>
        <w:t>ve výši 28 mil. Kč</w:t>
      </w:r>
      <w:r w:rsidRPr="001258AA">
        <w:rPr>
          <w:rFonts w:cs="Arial"/>
          <w:b/>
          <w:bCs/>
          <w:iCs/>
        </w:rPr>
        <w:t>,</w:t>
      </w:r>
      <w:r w:rsidRPr="006763D0">
        <w:rPr>
          <w:rFonts w:cs="Arial"/>
          <w:bCs/>
          <w:iCs/>
        </w:rPr>
        <w:t xml:space="preserve"> </w:t>
      </w:r>
      <w:r w:rsidRPr="006763D0">
        <w:rPr>
          <w:rFonts w:cs="Arial"/>
          <w:b/>
          <w:bCs/>
          <w:iCs/>
        </w:rPr>
        <w:t>přestože</w:t>
      </w:r>
      <w:r w:rsidRPr="006763D0">
        <w:rPr>
          <w:rFonts w:cs="Arial"/>
          <w:bCs/>
          <w:iCs/>
        </w:rPr>
        <w:t xml:space="preserve"> se jednalo o případ, který již příslušný </w:t>
      </w:r>
      <w:r w:rsidRPr="006763D0">
        <w:rPr>
          <w:rFonts w:cs="Arial"/>
          <w:b/>
          <w:bCs/>
          <w:iCs/>
        </w:rPr>
        <w:t>finanční úřad vymohl a</w:t>
      </w:r>
      <w:r w:rsidR="006A3165">
        <w:rPr>
          <w:rFonts w:cs="Arial"/>
          <w:b/>
          <w:bCs/>
          <w:iCs/>
        </w:rPr>
        <w:t> </w:t>
      </w:r>
      <w:r w:rsidRPr="006763D0">
        <w:rPr>
          <w:rFonts w:cs="Arial"/>
          <w:b/>
          <w:bCs/>
          <w:iCs/>
        </w:rPr>
        <w:t>vymožené peněžní prostředky zaslal MMR</w:t>
      </w:r>
      <w:r w:rsidRPr="001258AA">
        <w:rPr>
          <w:rFonts w:cs="Arial"/>
          <w:b/>
          <w:bCs/>
          <w:iCs/>
        </w:rPr>
        <w:t>.</w:t>
      </w:r>
    </w:p>
    <w:p w14:paraId="1B531098" w14:textId="274C4209" w:rsidR="00AE0999" w:rsidRPr="00B75F34" w:rsidRDefault="00AE0999" w:rsidP="006575BB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cs="Arial"/>
          <w:bCs/>
          <w:iCs/>
        </w:rPr>
      </w:pPr>
      <w:r w:rsidRPr="00090014">
        <w:rPr>
          <w:rFonts w:cs="Arial"/>
          <w:b/>
          <w:bCs/>
          <w:iCs/>
        </w:rPr>
        <w:t>MMR neúčtovalo o výnosech</w:t>
      </w:r>
      <w:r>
        <w:rPr>
          <w:rFonts w:cs="Arial"/>
          <w:bCs/>
          <w:iCs/>
        </w:rPr>
        <w:t xml:space="preserve"> z peněžních prostředků přijatých od finančního úřadu a</w:t>
      </w:r>
      <w:r w:rsidR="006A3165">
        <w:rPr>
          <w:rFonts w:cs="Arial"/>
          <w:bCs/>
          <w:iCs/>
        </w:rPr>
        <w:t> </w:t>
      </w:r>
      <w:r>
        <w:rPr>
          <w:rFonts w:cs="Arial"/>
          <w:bCs/>
          <w:iCs/>
        </w:rPr>
        <w:t xml:space="preserve">představujících </w:t>
      </w:r>
      <w:r w:rsidRPr="00C52983">
        <w:rPr>
          <w:rFonts w:cs="Arial"/>
          <w:bCs/>
          <w:iCs/>
        </w:rPr>
        <w:t xml:space="preserve">vrácené prostředky z titulu odvodu za porušení rozpočtové kázně </w:t>
      </w:r>
      <w:r w:rsidRPr="00090014">
        <w:rPr>
          <w:rFonts w:cs="Arial"/>
          <w:b/>
          <w:bCs/>
          <w:iCs/>
        </w:rPr>
        <w:t>v celkové výši 15,6 mil. Kč</w:t>
      </w:r>
      <w:r w:rsidRPr="001258AA">
        <w:rPr>
          <w:rFonts w:cs="Arial"/>
          <w:b/>
          <w:bCs/>
          <w:iCs/>
        </w:rPr>
        <w:t>.</w:t>
      </w:r>
      <w:r>
        <w:rPr>
          <w:rFonts w:cs="Arial"/>
          <w:bCs/>
          <w:iCs/>
        </w:rPr>
        <w:t xml:space="preserve"> </w:t>
      </w:r>
      <w:r w:rsidRPr="00090014">
        <w:rPr>
          <w:rFonts w:cs="Arial"/>
          <w:b/>
          <w:bCs/>
          <w:iCs/>
        </w:rPr>
        <w:t xml:space="preserve">Namísto toho MMR </w:t>
      </w:r>
      <w:r w:rsidR="006D00C2">
        <w:rPr>
          <w:rFonts w:cs="Arial"/>
          <w:b/>
          <w:bCs/>
          <w:iCs/>
        </w:rPr>
        <w:t xml:space="preserve">účtovalo o </w:t>
      </w:r>
      <w:r w:rsidRPr="00090014">
        <w:rPr>
          <w:rFonts w:cs="Arial"/>
          <w:b/>
          <w:bCs/>
          <w:iCs/>
        </w:rPr>
        <w:t>neexistující</w:t>
      </w:r>
      <w:r w:rsidR="006D00C2">
        <w:rPr>
          <w:rFonts w:cs="Arial"/>
          <w:b/>
          <w:bCs/>
          <w:iCs/>
        </w:rPr>
        <w:t>ch</w:t>
      </w:r>
      <w:r w:rsidRPr="00090014">
        <w:rPr>
          <w:rFonts w:cs="Arial"/>
          <w:b/>
          <w:bCs/>
          <w:iCs/>
        </w:rPr>
        <w:t xml:space="preserve"> závaz</w:t>
      </w:r>
      <w:r w:rsidR="006D00C2">
        <w:rPr>
          <w:rFonts w:cs="Arial"/>
          <w:b/>
          <w:bCs/>
          <w:iCs/>
        </w:rPr>
        <w:t>cích</w:t>
      </w:r>
      <w:r>
        <w:rPr>
          <w:rFonts w:cs="Arial"/>
          <w:bCs/>
          <w:iCs/>
        </w:rPr>
        <w:t xml:space="preserve"> ve výši 15,6 mil. </w:t>
      </w:r>
      <w:r w:rsidRPr="00F477B5">
        <w:rPr>
          <w:rFonts w:cs="Arial"/>
          <w:bCs/>
          <w:iCs/>
        </w:rPr>
        <w:t xml:space="preserve">Kč </w:t>
      </w:r>
      <w:r w:rsidRPr="00F477B5">
        <w:rPr>
          <w:rFonts w:cs="Arial"/>
          <w:b/>
          <w:bCs/>
          <w:iCs/>
        </w:rPr>
        <w:t>na účtu 378</w:t>
      </w:r>
      <w:r>
        <w:rPr>
          <w:rFonts w:cs="Arial"/>
          <w:bCs/>
          <w:iCs/>
        </w:rPr>
        <w:t xml:space="preserve"> – </w:t>
      </w:r>
      <w:r w:rsidRPr="00C52983">
        <w:rPr>
          <w:rFonts w:cs="Arial"/>
          <w:bCs/>
          <w:i/>
          <w:iCs/>
        </w:rPr>
        <w:t>Ostatní krátkodobé závazky</w:t>
      </w:r>
      <w:r>
        <w:rPr>
          <w:rFonts w:cs="Arial"/>
          <w:bCs/>
          <w:iCs/>
        </w:rPr>
        <w:t xml:space="preserve">. </w:t>
      </w:r>
      <w:r w:rsidRPr="00913B52">
        <w:rPr>
          <w:rFonts w:eastAsia="Calibri" w:cs="Calibri"/>
        </w:rPr>
        <w:t>Porušení rozpočtové kázně v souvislosti s</w:t>
      </w:r>
      <w:r>
        <w:rPr>
          <w:rFonts w:eastAsia="Calibri" w:cs="Calibri"/>
        </w:rPr>
        <w:t> neodvedením těchto přijatých peněžních prostředků do příjmů státního rozpočtu</w:t>
      </w:r>
      <w:r w:rsidR="00FE468A">
        <w:rPr>
          <w:rFonts w:eastAsia="Calibri" w:cs="Calibri"/>
        </w:rPr>
        <w:t xml:space="preserve"> </w:t>
      </w:r>
      <w:r w:rsidRPr="00913B52">
        <w:rPr>
          <w:rFonts w:eastAsia="Calibri" w:cs="Calibri"/>
        </w:rPr>
        <w:t xml:space="preserve">je uvedeno </w:t>
      </w:r>
      <w:r w:rsidRPr="00B75F34">
        <w:rPr>
          <w:rFonts w:eastAsia="Calibri" w:cs="Calibri"/>
        </w:rPr>
        <w:t>v</w:t>
      </w:r>
      <w:r w:rsidRPr="00B75F34">
        <w:t> části IV.5</w:t>
      </w:r>
      <w:r w:rsidR="00FE468A">
        <w:t xml:space="preserve"> tohoto kontrolního závěru</w:t>
      </w:r>
      <w:r w:rsidRPr="00B75F34">
        <w:t>.</w:t>
      </w:r>
    </w:p>
    <w:p w14:paraId="5CB04B11" w14:textId="1591B86A" w:rsidR="00AE0999" w:rsidRDefault="00AE0999" w:rsidP="006575BB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cs="Arial"/>
          <w:bCs/>
          <w:iCs/>
        </w:rPr>
      </w:pPr>
      <w:r w:rsidRPr="00090014">
        <w:rPr>
          <w:rFonts w:cs="Arial"/>
          <w:b/>
          <w:bCs/>
          <w:iCs/>
        </w:rPr>
        <w:t>MMR</w:t>
      </w:r>
      <w:r>
        <w:rPr>
          <w:rFonts w:cs="Arial"/>
          <w:bCs/>
          <w:iCs/>
        </w:rPr>
        <w:t xml:space="preserve"> v roce 2023 </w:t>
      </w:r>
      <w:r w:rsidRPr="00090014">
        <w:rPr>
          <w:rFonts w:cs="Arial"/>
          <w:b/>
          <w:bCs/>
          <w:iCs/>
        </w:rPr>
        <w:t>uhradilo dvě sankční platby</w:t>
      </w:r>
      <w:r>
        <w:rPr>
          <w:rFonts w:cs="Arial"/>
          <w:bCs/>
          <w:iCs/>
        </w:rPr>
        <w:t xml:space="preserve"> (úroky z prodlení) </w:t>
      </w:r>
      <w:r w:rsidRPr="00090014">
        <w:rPr>
          <w:rFonts w:cs="Arial"/>
          <w:b/>
          <w:bCs/>
          <w:iCs/>
        </w:rPr>
        <w:t>v celkové výši 41</w:t>
      </w:r>
      <w:r w:rsidR="00FE468A">
        <w:rPr>
          <w:rFonts w:cs="Arial"/>
          <w:b/>
          <w:bCs/>
          <w:iCs/>
        </w:rPr>
        <w:t> </w:t>
      </w:r>
      <w:r w:rsidRPr="00090014">
        <w:rPr>
          <w:rFonts w:cs="Arial"/>
          <w:b/>
          <w:bCs/>
          <w:iCs/>
        </w:rPr>
        <w:t>mil.</w:t>
      </w:r>
      <w:r w:rsidR="00FE468A">
        <w:rPr>
          <w:rFonts w:cs="Arial"/>
          <w:b/>
          <w:bCs/>
          <w:iCs/>
        </w:rPr>
        <w:t> </w:t>
      </w:r>
      <w:r w:rsidRPr="00090014">
        <w:rPr>
          <w:rFonts w:cs="Arial"/>
          <w:b/>
          <w:bCs/>
          <w:iCs/>
        </w:rPr>
        <w:t>Kč</w:t>
      </w:r>
      <w:r w:rsidRPr="001258AA">
        <w:rPr>
          <w:rFonts w:cs="Arial"/>
          <w:b/>
          <w:bCs/>
          <w:iCs/>
        </w:rPr>
        <w:t>,</w:t>
      </w:r>
      <w:r>
        <w:rPr>
          <w:rFonts w:cs="Arial"/>
          <w:bCs/>
          <w:iCs/>
        </w:rPr>
        <w:t xml:space="preserve"> které přešly na MMR jako na právního nástupce v souvislosti se zrušením RRRS. O</w:t>
      </w:r>
      <w:r w:rsidR="006A3165">
        <w:rPr>
          <w:rFonts w:cs="Arial"/>
          <w:bCs/>
          <w:iCs/>
        </w:rPr>
        <w:t> </w:t>
      </w:r>
      <w:r>
        <w:rPr>
          <w:rFonts w:cs="Arial"/>
          <w:bCs/>
          <w:iCs/>
        </w:rPr>
        <w:t xml:space="preserve">těchto sankčních platbách </w:t>
      </w:r>
      <w:r w:rsidRPr="00090014">
        <w:rPr>
          <w:rFonts w:cs="Arial"/>
          <w:b/>
          <w:bCs/>
          <w:iCs/>
        </w:rPr>
        <w:t>účtovalo</w:t>
      </w:r>
      <w:r>
        <w:rPr>
          <w:rFonts w:cs="Arial"/>
          <w:bCs/>
          <w:iCs/>
        </w:rPr>
        <w:t xml:space="preserve"> MMR </w:t>
      </w:r>
      <w:r w:rsidRPr="00090014">
        <w:rPr>
          <w:rFonts w:cs="Arial"/>
          <w:b/>
          <w:bCs/>
          <w:iCs/>
        </w:rPr>
        <w:t>nesprávně jako o transferu</w:t>
      </w:r>
      <w:r>
        <w:rPr>
          <w:rFonts w:cs="Arial"/>
          <w:bCs/>
          <w:iCs/>
        </w:rPr>
        <w:t xml:space="preserve"> </w:t>
      </w:r>
      <w:r w:rsidRPr="00F477B5">
        <w:rPr>
          <w:rFonts w:cs="Arial"/>
          <w:b/>
          <w:bCs/>
          <w:iCs/>
        </w:rPr>
        <w:t>na účtu</w:t>
      </w:r>
      <w:r w:rsidR="00802695">
        <w:rPr>
          <w:rFonts w:cs="Arial"/>
          <w:b/>
          <w:bCs/>
          <w:iCs/>
        </w:rPr>
        <w:br/>
      </w:r>
      <w:r w:rsidRPr="00F477B5">
        <w:rPr>
          <w:rFonts w:cs="Arial"/>
          <w:b/>
          <w:bCs/>
          <w:iCs/>
        </w:rPr>
        <w:t>571</w:t>
      </w:r>
      <w:r>
        <w:rPr>
          <w:rFonts w:cs="Arial"/>
          <w:bCs/>
          <w:iCs/>
        </w:rPr>
        <w:t xml:space="preserve"> </w:t>
      </w:r>
      <w:r w:rsidRPr="006730C9">
        <w:rPr>
          <w:rFonts w:cs="Arial"/>
          <w:bCs/>
          <w:iCs/>
        </w:rPr>
        <w:t xml:space="preserve">– </w:t>
      </w:r>
      <w:r w:rsidRPr="006730C9">
        <w:rPr>
          <w:rFonts w:cs="Arial"/>
          <w:bCs/>
          <w:i/>
          <w:iCs/>
        </w:rPr>
        <w:t>Náklady vybraných ústředních vládních institucí na transfery</w:t>
      </w:r>
      <w:r>
        <w:rPr>
          <w:rFonts w:cs="Arial"/>
          <w:bCs/>
          <w:iCs/>
        </w:rPr>
        <w:t xml:space="preserve"> </w:t>
      </w:r>
      <w:r w:rsidRPr="00F477B5">
        <w:rPr>
          <w:rFonts w:cs="Arial"/>
          <w:b/>
          <w:bCs/>
          <w:iCs/>
        </w:rPr>
        <w:t>namísto na účtu 541</w:t>
      </w:r>
      <w:r w:rsidRPr="006730C9">
        <w:rPr>
          <w:rFonts w:cs="Arial"/>
          <w:bCs/>
          <w:iCs/>
        </w:rPr>
        <w:t xml:space="preserve"> – </w:t>
      </w:r>
      <w:r w:rsidRPr="006730C9">
        <w:rPr>
          <w:rFonts w:cs="Arial"/>
          <w:bCs/>
          <w:i/>
          <w:iCs/>
        </w:rPr>
        <w:t>Smluvní pokuty a úroky z</w:t>
      </w:r>
      <w:r>
        <w:rPr>
          <w:rFonts w:cs="Arial"/>
          <w:bCs/>
          <w:i/>
          <w:iCs/>
        </w:rPr>
        <w:t> </w:t>
      </w:r>
      <w:r w:rsidRPr="006730C9">
        <w:rPr>
          <w:rFonts w:cs="Arial"/>
          <w:bCs/>
          <w:i/>
          <w:iCs/>
        </w:rPr>
        <w:t>prodlení</w:t>
      </w:r>
      <w:r>
        <w:rPr>
          <w:rFonts w:cs="Arial"/>
          <w:bCs/>
          <w:iCs/>
        </w:rPr>
        <w:t>.</w:t>
      </w:r>
    </w:p>
    <w:p w14:paraId="723CBFB0" w14:textId="77777777" w:rsidR="00AE0999" w:rsidRDefault="00AE0999" w:rsidP="006575BB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cs="Arial"/>
          <w:bCs/>
          <w:iCs/>
        </w:rPr>
      </w:pPr>
      <w:r w:rsidRPr="00090014">
        <w:rPr>
          <w:rFonts w:cs="Arial"/>
          <w:b/>
          <w:bCs/>
          <w:iCs/>
        </w:rPr>
        <w:t>MMR na účtech 905</w:t>
      </w:r>
      <w:r w:rsidRPr="006730C9">
        <w:rPr>
          <w:rFonts w:cs="Arial"/>
          <w:bCs/>
          <w:iCs/>
        </w:rPr>
        <w:t xml:space="preserve"> – </w:t>
      </w:r>
      <w:r w:rsidRPr="006730C9">
        <w:rPr>
          <w:rFonts w:cs="Arial"/>
          <w:bCs/>
          <w:i/>
          <w:iCs/>
        </w:rPr>
        <w:t>Vyřazené pohledávky</w:t>
      </w:r>
      <w:r w:rsidRPr="006730C9">
        <w:rPr>
          <w:rFonts w:cs="Arial"/>
          <w:bCs/>
          <w:iCs/>
        </w:rPr>
        <w:t xml:space="preserve"> </w:t>
      </w:r>
      <w:r w:rsidRPr="00090014">
        <w:rPr>
          <w:rFonts w:cs="Arial"/>
          <w:b/>
          <w:bCs/>
          <w:iCs/>
        </w:rPr>
        <w:t>a 906</w:t>
      </w:r>
      <w:r w:rsidRPr="006730C9">
        <w:rPr>
          <w:rFonts w:cs="Arial"/>
          <w:bCs/>
          <w:iCs/>
        </w:rPr>
        <w:t xml:space="preserve"> – </w:t>
      </w:r>
      <w:r w:rsidRPr="006730C9">
        <w:rPr>
          <w:rFonts w:cs="Arial"/>
          <w:bCs/>
          <w:i/>
          <w:iCs/>
        </w:rPr>
        <w:t>Vyřazené závazky</w:t>
      </w:r>
      <w:r w:rsidRPr="006730C9">
        <w:rPr>
          <w:rFonts w:cs="Arial"/>
          <w:bCs/>
          <w:iCs/>
        </w:rPr>
        <w:t xml:space="preserve"> </w:t>
      </w:r>
      <w:r w:rsidR="006D00C2">
        <w:rPr>
          <w:rFonts w:cs="Arial"/>
          <w:b/>
          <w:bCs/>
          <w:iCs/>
        </w:rPr>
        <w:t>účtovalo o</w:t>
      </w:r>
      <w:r w:rsidR="006313AB">
        <w:rPr>
          <w:rFonts w:cs="Arial"/>
          <w:b/>
          <w:bCs/>
          <w:iCs/>
        </w:rPr>
        <w:t> </w:t>
      </w:r>
      <w:r w:rsidRPr="00090014">
        <w:rPr>
          <w:rFonts w:cs="Arial"/>
          <w:b/>
          <w:bCs/>
          <w:iCs/>
        </w:rPr>
        <w:t>vyřazen</w:t>
      </w:r>
      <w:r w:rsidR="006D00C2">
        <w:rPr>
          <w:rFonts w:cs="Arial"/>
          <w:b/>
          <w:bCs/>
          <w:iCs/>
        </w:rPr>
        <w:t>ých</w:t>
      </w:r>
      <w:r w:rsidRPr="00090014">
        <w:rPr>
          <w:rFonts w:cs="Arial"/>
          <w:b/>
          <w:bCs/>
          <w:iCs/>
        </w:rPr>
        <w:t xml:space="preserve"> pohledávk</w:t>
      </w:r>
      <w:r w:rsidR="006D00C2">
        <w:rPr>
          <w:rFonts w:cs="Arial"/>
          <w:b/>
          <w:bCs/>
          <w:iCs/>
        </w:rPr>
        <w:t>ách</w:t>
      </w:r>
      <w:r w:rsidRPr="00090014">
        <w:rPr>
          <w:rFonts w:cs="Arial"/>
          <w:b/>
          <w:bCs/>
          <w:iCs/>
        </w:rPr>
        <w:t xml:space="preserve"> a závaz</w:t>
      </w:r>
      <w:r w:rsidR="006D00C2">
        <w:rPr>
          <w:rFonts w:cs="Arial"/>
          <w:b/>
          <w:bCs/>
          <w:iCs/>
        </w:rPr>
        <w:t>cích</w:t>
      </w:r>
      <w:r w:rsidRPr="00090014">
        <w:rPr>
          <w:rFonts w:cs="Arial"/>
          <w:b/>
          <w:bCs/>
          <w:iCs/>
        </w:rPr>
        <w:t xml:space="preserve"> v celkové výši 251 mil. Kč</w:t>
      </w:r>
      <w:r w:rsidRPr="006730C9">
        <w:rPr>
          <w:rFonts w:cs="Arial"/>
          <w:bCs/>
          <w:iCs/>
        </w:rPr>
        <w:t xml:space="preserve"> převzat</w:t>
      </w:r>
      <w:r w:rsidR="006D00C2">
        <w:rPr>
          <w:rFonts w:cs="Arial"/>
          <w:bCs/>
          <w:iCs/>
        </w:rPr>
        <w:t>ých</w:t>
      </w:r>
      <w:r w:rsidRPr="006730C9">
        <w:rPr>
          <w:rFonts w:cs="Arial"/>
          <w:bCs/>
          <w:iCs/>
        </w:rPr>
        <w:t xml:space="preserve"> od RRRS a představující</w:t>
      </w:r>
      <w:r w:rsidR="006D00C2">
        <w:rPr>
          <w:rFonts w:cs="Arial"/>
          <w:bCs/>
          <w:iCs/>
        </w:rPr>
        <w:t>ch</w:t>
      </w:r>
      <w:r w:rsidRPr="006730C9">
        <w:rPr>
          <w:rFonts w:cs="Arial"/>
          <w:bCs/>
          <w:iCs/>
        </w:rPr>
        <w:t xml:space="preserve"> regionální radou prominutou část konečné výše odvodů za porušení rozpočtové kázně, </w:t>
      </w:r>
      <w:r w:rsidRPr="00090014">
        <w:rPr>
          <w:rFonts w:cs="Arial"/>
          <w:b/>
          <w:bCs/>
          <w:iCs/>
        </w:rPr>
        <w:t>přestože</w:t>
      </w:r>
      <w:r w:rsidRPr="006730C9">
        <w:rPr>
          <w:rFonts w:cs="Arial"/>
          <w:bCs/>
          <w:iCs/>
        </w:rPr>
        <w:t xml:space="preserve"> </w:t>
      </w:r>
      <w:r w:rsidR="006D00C2">
        <w:rPr>
          <w:rFonts w:cs="Arial"/>
          <w:bCs/>
          <w:iCs/>
        </w:rPr>
        <w:t>o těchto</w:t>
      </w:r>
      <w:r w:rsidRPr="006730C9">
        <w:rPr>
          <w:rFonts w:cs="Arial"/>
          <w:bCs/>
          <w:iCs/>
        </w:rPr>
        <w:t xml:space="preserve"> případ</w:t>
      </w:r>
      <w:r w:rsidR="006D00C2">
        <w:rPr>
          <w:rFonts w:cs="Arial"/>
          <w:bCs/>
          <w:iCs/>
        </w:rPr>
        <w:t>ech</w:t>
      </w:r>
      <w:r w:rsidRPr="006730C9">
        <w:rPr>
          <w:rFonts w:cs="Arial"/>
          <w:bCs/>
          <w:iCs/>
        </w:rPr>
        <w:t xml:space="preserve"> nemělo MMR </w:t>
      </w:r>
      <w:r w:rsidR="006D00C2">
        <w:rPr>
          <w:rFonts w:cs="Arial"/>
          <w:bCs/>
          <w:iCs/>
        </w:rPr>
        <w:t>účtovat</w:t>
      </w:r>
      <w:r w:rsidRPr="006730C9">
        <w:rPr>
          <w:rFonts w:cs="Arial"/>
          <w:bCs/>
          <w:iCs/>
        </w:rPr>
        <w:t xml:space="preserve">, neboť </w:t>
      </w:r>
      <w:r w:rsidRPr="00090014">
        <w:rPr>
          <w:rFonts w:cs="Arial"/>
          <w:b/>
          <w:bCs/>
          <w:iCs/>
        </w:rPr>
        <w:t>nevystupovalo v roli správce daně</w:t>
      </w:r>
      <w:r w:rsidRPr="001258AA">
        <w:rPr>
          <w:rFonts w:cs="Arial"/>
          <w:b/>
          <w:bCs/>
          <w:iCs/>
        </w:rPr>
        <w:t>.</w:t>
      </w:r>
    </w:p>
    <w:p w14:paraId="1F92AE16" w14:textId="018C3059" w:rsidR="00AE0999" w:rsidRPr="00D21E42" w:rsidRDefault="00AE0999" w:rsidP="006575BB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cs="Arial"/>
          <w:bCs/>
          <w:iCs/>
        </w:rPr>
      </w:pPr>
      <w:r w:rsidRPr="00D21E42">
        <w:rPr>
          <w:rFonts w:cs="Calibri"/>
          <w:b/>
          <w:bCs/>
          <w:iCs/>
        </w:rPr>
        <w:t>MMR na účtu 948</w:t>
      </w:r>
      <w:r w:rsidRPr="00D21E42">
        <w:rPr>
          <w:rFonts w:cs="Calibri"/>
          <w:bCs/>
          <w:iCs/>
        </w:rPr>
        <w:t xml:space="preserve"> – </w:t>
      </w:r>
      <w:r w:rsidRPr="00D21E42">
        <w:rPr>
          <w:rFonts w:cs="Calibri"/>
          <w:bCs/>
          <w:i/>
          <w:iCs/>
        </w:rPr>
        <w:t>Dlouhodobé podmíněné pohledávky ze soudních sporů, správních řízení a jiných řízení</w:t>
      </w:r>
      <w:r w:rsidRPr="00D21E42">
        <w:rPr>
          <w:rFonts w:cs="Calibri"/>
          <w:bCs/>
          <w:iCs/>
        </w:rPr>
        <w:t xml:space="preserve"> </w:t>
      </w:r>
      <w:r w:rsidR="00D21E42" w:rsidRPr="00D21E42">
        <w:rPr>
          <w:rFonts w:cs="Calibri"/>
          <w:b/>
          <w:bCs/>
          <w:iCs/>
        </w:rPr>
        <w:t>vykazovalo</w:t>
      </w:r>
      <w:r w:rsidR="006D00C2" w:rsidRPr="00D21E42">
        <w:rPr>
          <w:rFonts w:cs="Calibri"/>
          <w:b/>
          <w:bCs/>
          <w:iCs/>
        </w:rPr>
        <w:t xml:space="preserve"> </w:t>
      </w:r>
      <w:r w:rsidRPr="00D21E42">
        <w:rPr>
          <w:rFonts w:cs="Calibri"/>
          <w:b/>
          <w:bCs/>
          <w:iCs/>
        </w:rPr>
        <w:t>podmíněn</w:t>
      </w:r>
      <w:r w:rsidR="00D21E42" w:rsidRPr="00D21E42">
        <w:rPr>
          <w:rFonts w:cs="Calibri"/>
          <w:b/>
          <w:bCs/>
          <w:iCs/>
        </w:rPr>
        <w:t>é</w:t>
      </w:r>
      <w:r w:rsidRPr="00D21E42">
        <w:rPr>
          <w:rFonts w:cs="Calibri"/>
          <w:b/>
          <w:bCs/>
          <w:iCs/>
        </w:rPr>
        <w:t xml:space="preserve"> pohledávk</w:t>
      </w:r>
      <w:r w:rsidR="00D21E42" w:rsidRPr="00D21E42">
        <w:rPr>
          <w:rFonts w:cs="Calibri"/>
          <w:b/>
          <w:bCs/>
          <w:iCs/>
        </w:rPr>
        <w:t>y</w:t>
      </w:r>
      <w:bookmarkStart w:id="12" w:name="_Hlk156977268"/>
      <w:r w:rsidR="00BD7487">
        <w:rPr>
          <w:rFonts w:cs="Calibri"/>
          <w:bCs/>
          <w:iCs/>
        </w:rPr>
        <w:t xml:space="preserve"> </w:t>
      </w:r>
      <w:r w:rsidR="009C3435" w:rsidRPr="00D21E42">
        <w:rPr>
          <w:rFonts w:cs="Calibri"/>
          <w:b/>
          <w:bCs/>
          <w:iCs/>
        </w:rPr>
        <w:t>v</w:t>
      </w:r>
      <w:r w:rsidR="00BD7487">
        <w:rPr>
          <w:rFonts w:cs="Calibri"/>
          <w:b/>
          <w:bCs/>
          <w:iCs/>
        </w:rPr>
        <w:t>e</w:t>
      </w:r>
      <w:r w:rsidR="009C3435" w:rsidRPr="00D21E42">
        <w:rPr>
          <w:rFonts w:cs="Calibri"/>
          <w:b/>
          <w:bCs/>
          <w:iCs/>
        </w:rPr>
        <w:t> výši 64 mil. Kč</w:t>
      </w:r>
      <w:r w:rsidR="009C3435" w:rsidRPr="00D21E42">
        <w:rPr>
          <w:rFonts w:cs="Calibri"/>
          <w:bCs/>
          <w:iCs/>
        </w:rPr>
        <w:t xml:space="preserve"> </w:t>
      </w:r>
      <w:r w:rsidRPr="00D21E42">
        <w:rPr>
          <w:rFonts w:cs="Calibri"/>
          <w:bCs/>
          <w:iCs/>
        </w:rPr>
        <w:t>související s</w:t>
      </w:r>
      <w:r w:rsidR="00FE468A">
        <w:rPr>
          <w:rFonts w:cs="Calibri"/>
          <w:bCs/>
          <w:iCs/>
        </w:rPr>
        <w:t> </w:t>
      </w:r>
      <w:r w:rsidRPr="00D21E42">
        <w:rPr>
          <w:rFonts w:cs="Calibri"/>
          <w:bCs/>
          <w:iCs/>
        </w:rPr>
        <w:t xml:space="preserve">odvody za porušení rozpočtové kázně v minulosti vyměřenými regionálními radami, </w:t>
      </w:r>
      <w:r w:rsidRPr="00D21E42">
        <w:rPr>
          <w:rFonts w:cs="Calibri"/>
          <w:b/>
          <w:bCs/>
          <w:iCs/>
        </w:rPr>
        <w:t>které již příslušný finanční úřad vymohl a vymožené peněžní prostředky zaslal MMR</w:t>
      </w:r>
      <w:bookmarkEnd w:id="12"/>
      <w:r w:rsidRPr="001258AA">
        <w:rPr>
          <w:rFonts w:cs="Calibri"/>
          <w:b/>
          <w:bCs/>
          <w:iCs/>
        </w:rPr>
        <w:t>.</w:t>
      </w:r>
    </w:p>
    <w:p w14:paraId="592D523D" w14:textId="77777777" w:rsidR="00AE0999" w:rsidRPr="00D21E42" w:rsidRDefault="00AE0999" w:rsidP="006575BB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cs="Arial"/>
          <w:bCs/>
          <w:iCs/>
        </w:rPr>
      </w:pPr>
      <w:r w:rsidRPr="00D21E42">
        <w:rPr>
          <w:rFonts w:cs="Calibri"/>
          <w:b/>
          <w:bCs/>
          <w:iCs/>
        </w:rPr>
        <w:t>MMR na účtu 986</w:t>
      </w:r>
      <w:r w:rsidRPr="00D21E42">
        <w:rPr>
          <w:rFonts w:cs="Calibri"/>
          <w:bCs/>
          <w:iCs/>
        </w:rPr>
        <w:t xml:space="preserve"> – </w:t>
      </w:r>
      <w:r w:rsidRPr="00D21E42">
        <w:rPr>
          <w:rFonts w:cs="Calibri"/>
          <w:bCs/>
          <w:i/>
          <w:iCs/>
        </w:rPr>
        <w:t>Dlouhodobé podmíněné závazky ze soudních sporů, správních řízení a jiných řízení</w:t>
      </w:r>
      <w:r w:rsidRPr="00D21E42">
        <w:rPr>
          <w:rFonts w:cs="Calibri"/>
          <w:bCs/>
          <w:iCs/>
        </w:rPr>
        <w:t xml:space="preserve"> </w:t>
      </w:r>
      <w:r w:rsidRPr="00D21E42">
        <w:rPr>
          <w:rFonts w:cs="Calibri"/>
          <w:b/>
          <w:bCs/>
          <w:iCs/>
        </w:rPr>
        <w:t>vykazovalo podmíněný závazek</w:t>
      </w:r>
      <w:r w:rsidRPr="00D21E42">
        <w:rPr>
          <w:rFonts w:cs="Calibri"/>
          <w:bCs/>
          <w:iCs/>
        </w:rPr>
        <w:t xml:space="preserve"> </w:t>
      </w:r>
      <w:r w:rsidRPr="00D21E42">
        <w:rPr>
          <w:rFonts w:cs="Calibri"/>
          <w:b/>
          <w:bCs/>
          <w:iCs/>
        </w:rPr>
        <w:t>ve výši 56 mil. Kč</w:t>
      </w:r>
      <w:r w:rsidRPr="00D21E42">
        <w:rPr>
          <w:rFonts w:cs="Calibri"/>
          <w:bCs/>
          <w:iCs/>
        </w:rPr>
        <w:t xml:space="preserve"> převzatý od RRRS z titulu soudních sporů, správních řízení a jiných řízení, a to za případ související s odvodem za porušení rozpočtové kázně v minulosti vyměřeným RRRS, </w:t>
      </w:r>
      <w:r w:rsidRPr="00D21E42">
        <w:rPr>
          <w:rFonts w:cs="Calibri"/>
          <w:b/>
          <w:bCs/>
          <w:iCs/>
        </w:rPr>
        <w:t xml:space="preserve">který již příslušný finanční úřad vymohl a vymožené peněžní prostředky zaslal MMR, </w:t>
      </w:r>
      <w:r w:rsidR="00870294">
        <w:rPr>
          <w:rFonts w:cs="Calibri"/>
          <w:b/>
          <w:bCs/>
          <w:iCs/>
        </w:rPr>
        <w:t>jež</w:t>
      </w:r>
      <w:r w:rsidR="00870294" w:rsidRPr="00D21E42">
        <w:rPr>
          <w:rFonts w:cs="Calibri"/>
          <w:b/>
          <w:bCs/>
          <w:iCs/>
        </w:rPr>
        <w:t xml:space="preserve"> </w:t>
      </w:r>
      <w:r w:rsidRPr="00D21E42">
        <w:rPr>
          <w:rFonts w:cs="Calibri"/>
          <w:b/>
          <w:bCs/>
          <w:iCs/>
        </w:rPr>
        <w:t>je odvedlo na bankovní účet MF</w:t>
      </w:r>
      <w:r w:rsidRPr="001258AA">
        <w:rPr>
          <w:rFonts w:cs="Calibri"/>
          <w:b/>
          <w:bCs/>
          <w:iCs/>
        </w:rPr>
        <w:t>.</w:t>
      </w:r>
    </w:p>
    <w:p w14:paraId="3AB8DC9B" w14:textId="0728E937" w:rsidR="00103960" w:rsidRPr="00103960" w:rsidRDefault="00FE468A" w:rsidP="00FE468A">
      <w:pPr>
        <w:pStyle w:val="Styl2"/>
        <w:numPr>
          <w:ilvl w:val="0"/>
          <w:numId w:val="0"/>
        </w:numPr>
        <w:spacing w:before="120" w:after="120"/>
        <w:ind w:left="567" w:hanging="567"/>
      </w:pPr>
      <w:r>
        <w:t>1.2.3</w:t>
      </w:r>
      <w:r>
        <w:tab/>
      </w:r>
      <w:r w:rsidR="00103960" w:rsidRPr="00D8492E">
        <w:t xml:space="preserve">Nesprávná výše podmíněných pohledávek ze zástavních smluv na </w:t>
      </w:r>
      <w:bookmarkStart w:id="13" w:name="_Hlk160795729"/>
      <w:r w:rsidR="00103960">
        <w:t>účtu</w:t>
      </w:r>
      <w:r w:rsidR="00A27CE6">
        <w:t xml:space="preserve"> </w:t>
      </w:r>
      <w:r w:rsidR="006313AB">
        <w:br/>
      </w:r>
      <w:r w:rsidR="00103960" w:rsidRPr="00D8492E">
        <w:t xml:space="preserve">945 – </w:t>
      </w:r>
      <w:r w:rsidR="00103960" w:rsidRPr="00103960">
        <w:rPr>
          <w:i/>
        </w:rPr>
        <w:t>Dlouhodobé podmíněné úhrady pohledávek z přijatých zajištění</w:t>
      </w:r>
      <w:bookmarkEnd w:id="10"/>
      <w:bookmarkEnd w:id="11"/>
      <w:bookmarkEnd w:id="13"/>
    </w:p>
    <w:p w14:paraId="60F3F61B" w14:textId="23F3D99F" w:rsidR="00F12CFB" w:rsidRDefault="00EB607E" w:rsidP="006575BB">
      <w:pPr>
        <w:spacing w:before="120"/>
        <w:jc w:val="both"/>
        <w:rPr>
          <w:rFonts w:asciiTheme="minorHAnsi" w:hAnsiTheme="minorHAnsi" w:cs="Calibri"/>
          <w:b/>
          <w:bCs/>
        </w:rPr>
      </w:pPr>
      <w:r w:rsidRPr="00EB607E">
        <w:rPr>
          <w:rFonts w:asciiTheme="minorHAnsi" w:hAnsiTheme="minorHAnsi" w:cs="Calibri"/>
          <w:bCs/>
        </w:rPr>
        <w:t xml:space="preserve">MMR </w:t>
      </w:r>
      <w:r w:rsidR="006763D0" w:rsidRPr="006763D0">
        <w:rPr>
          <w:rFonts w:asciiTheme="minorHAnsi" w:hAnsiTheme="minorHAnsi" w:cs="Calibri"/>
          <w:b/>
          <w:bCs/>
        </w:rPr>
        <w:t>účtovalo duplicitně</w:t>
      </w:r>
      <w:r w:rsidR="006763D0">
        <w:rPr>
          <w:rFonts w:asciiTheme="minorHAnsi" w:hAnsiTheme="minorHAnsi" w:cs="Calibri"/>
          <w:bCs/>
        </w:rPr>
        <w:t xml:space="preserve"> </w:t>
      </w:r>
      <w:r w:rsidR="006763D0">
        <w:rPr>
          <w:rFonts w:asciiTheme="minorHAnsi" w:hAnsiTheme="minorHAnsi" w:cs="Calibri"/>
          <w:b/>
          <w:bCs/>
        </w:rPr>
        <w:t xml:space="preserve">o </w:t>
      </w:r>
      <w:r w:rsidRPr="00EB607E">
        <w:rPr>
          <w:rFonts w:asciiTheme="minorHAnsi" w:hAnsiTheme="minorHAnsi" w:cs="Calibri"/>
          <w:b/>
          <w:bCs/>
        </w:rPr>
        <w:t>podmíněn</w:t>
      </w:r>
      <w:r w:rsidR="006763D0">
        <w:rPr>
          <w:rFonts w:asciiTheme="minorHAnsi" w:hAnsiTheme="minorHAnsi" w:cs="Calibri"/>
          <w:b/>
          <w:bCs/>
        </w:rPr>
        <w:t>ých</w:t>
      </w:r>
      <w:r w:rsidRPr="00EB607E">
        <w:rPr>
          <w:rFonts w:asciiTheme="minorHAnsi" w:hAnsiTheme="minorHAnsi" w:cs="Calibri"/>
          <w:b/>
          <w:bCs/>
        </w:rPr>
        <w:t xml:space="preserve"> pohledávk</w:t>
      </w:r>
      <w:r w:rsidR="006763D0">
        <w:rPr>
          <w:rFonts w:asciiTheme="minorHAnsi" w:hAnsiTheme="minorHAnsi" w:cs="Calibri"/>
          <w:b/>
          <w:bCs/>
        </w:rPr>
        <w:t>ách</w:t>
      </w:r>
      <w:r w:rsidRPr="00EB607E">
        <w:rPr>
          <w:rFonts w:asciiTheme="minorHAnsi" w:hAnsiTheme="minorHAnsi" w:cs="Calibri"/>
          <w:b/>
          <w:bCs/>
        </w:rPr>
        <w:t xml:space="preserve"> ze </w:t>
      </w:r>
      <w:r w:rsidR="00FD7F4F">
        <w:rPr>
          <w:rFonts w:asciiTheme="minorHAnsi" w:hAnsiTheme="minorHAnsi" w:cs="Calibri"/>
          <w:b/>
          <w:bCs/>
        </w:rPr>
        <w:t>tří</w:t>
      </w:r>
      <w:r w:rsidRPr="00EB607E">
        <w:rPr>
          <w:rFonts w:asciiTheme="minorHAnsi" w:hAnsiTheme="minorHAnsi" w:cs="Calibri"/>
          <w:b/>
          <w:bCs/>
        </w:rPr>
        <w:t xml:space="preserve"> zástavních smluv</w:t>
      </w:r>
      <w:r w:rsidR="006763D0">
        <w:rPr>
          <w:rFonts w:asciiTheme="minorHAnsi" w:hAnsiTheme="minorHAnsi" w:cs="Calibri"/>
          <w:b/>
          <w:bCs/>
        </w:rPr>
        <w:t xml:space="preserve"> a</w:t>
      </w:r>
      <w:r w:rsidR="00672E19">
        <w:rPr>
          <w:rFonts w:asciiTheme="minorHAnsi" w:hAnsiTheme="minorHAnsi" w:cs="Calibri"/>
          <w:b/>
          <w:bCs/>
        </w:rPr>
        <w:t> </w:t>
      </w:r>
      <w:r w:rsidR="006763D0">
        <w:rPr>
          <w:rFonts w:asciiTheme="minorHAnsi" w:hAnsiTheme="minorHAnsi" w:cs="Calibri"/>
          <w:b/>
          <w:bCs/>
        </w:rPr>
        <w:t>o</w:t>
      </w:r>
      <w:r w:rsidR="00672E19">
        <w:rPr>
          <w:rFonts w:asciiTheme="minorHAnsi" w:hAnsiTheme="minorHAnsi" w:cs="Calibri"/>
          <w:b/>
          <w:bCs/>
        </w:rPr>
        <w:t> </w:t>
      </w:r>
      <w:r w:rsidRPr="00EB607E">
        <w:rPr>
          <w:rFonts w:asciiTheme="minorHAnsi" w:hAnsiTheme="minorHAnsi" w:cs="Calibri"/>
          <w:b/>
          <w:bCs/>
        </w:rPr>
        <w:t>někter</w:t>
      </w:r>
      <w:r w:rsidR="006763D0">
        <w:rPr>
          <w:rFonts w:asciiTheme="minorHAnsi" w:hAnsiTheme="minorHAnsi" w:cs="Calibri"/>
          <w:b/>
          <w:bCs/>
        </w:rPr>
        <w:t>ých</w:t>
      </w:r>
      <w:r w:rsidRPr="00EB607E">
        <w:rPr>
          <w:rFonts w:asciiTheme="minorHAnsi" w:hAnsiTheme="minorHAnsi" w:cs="Calibri"/>
          <w:b/>
          <w:bCs/>
        </w:rPr>
        <w:t xml:space="preserve"> podmíněn</w:t>
      </w:r>
      <w:r w:rsidR="006763D0">
        <w:rPr>
          <w:rFonts w:asciiTheme="minorHAnsi" w:hAnsiTheme="minorHAnsi" w:cs="Calibri"/>
          <w:b/>
          <w:bCs/>
        </w:rPr>
        <w:t>ých</w:t>
      </w:r>
      <w:r w:rsidRPr="00EB607E">
        <w:rPr>
          <w:rFonts w:asciiTheme="minorHAnsi" w:hAnsiTheme="minorHAnsi" w:cs="Calibri"/>
          <w:b/>
          <w:bCs/>
        </w:rPr>
        <w:t xml:space="preserve"> pohledávk</w:t>
      </w:r>
      <w:r w:rsidR="006763D0">
        <w:rPr>
          <w:rFonts w:asciiTheme="minorHAnsi" w:hAnsiTheme="minorHAnsi" w:cs="Calibri"/>
          <w:b/>
          <w:bCs/>
        </w:rPr>
        <w:t>ách</w:t>
      </w:r>
      <w:r w:rsidRPr="00EB607E">
        <w:rPr>
          <w:rFonts w:asciiTheme="minorHAnsi" w:hAnsiTheme="minorHAnsi" w:cs="Calibri"/>
          <w:b/>
          <w:bCs/>
        </w:rPr>
        <w:t xml:space="preserve"> ze zástavních smluv</w:t>
      </w:r>
      <w:r w:rsidR="006763D0">
        <w:rPr>
          <w:rFonts w:asciiTheme="minorHAnsi" w:hAnsiTheme="minorHAnsi" w:cs="Calibri"/>
          <w:b/>
          <w:bCs/>
        </w:rPr>
        <w:t xml:space="preserve"> naopak neúčtovalo </w:t>
      </w:r>
      <w:r w:rsidRPr="00EB607E">
        <w:rPr>
          <w:rFonts w:asciiTheme="minorHAnsi" w:hAnsiTheme="minorHAnsi" w:cs="Calibri"/>
          <w:b/>
          <w:bCs/>
        </w:rPr>
        <w:t>vůbec</w:t>
      </w:r>
      <w:r w:rsidRPr="001258AA">
        <w:rPr>
          <w:rFonts w:asciiTheme="minorHAnsi" w:hAnsiTheme="minorHAnsi" w:cs="Calibri"/>
          <w:b/>
          <w:bCs/>
        </w:rPr>
        <w:t>,</w:t>
      </w:r>
      <w:r w:rsidRPr="00EB607E">
        <w:rPr>
          <w:rFonts w:asciiTheme="minorHAnsi" w:hAnsiTheme="minorHAnsi" w:cs="Calibri"/>
          <w:bCs/>
        </w:rPr>
        <w:t xml:space="preserve"> přestože se jednalo o aktivní zástavy. Tento </w:t>
      </w:r>
      <w:r w:rsidRPr="00EB607E">
        <w:rPr>
          <w:rFonts w:asciiTheme="minorHAnsi" w:hAnsiTheme="minorHAnsi" w:cs="Calibri"/>
          <w:b/>
          <w:bCs/>
        </w:rPr>
        <w:t>systémový nedostatek</w:t>
      </w:r>
      <w:r w:rsidRPr="00EB607E">
        <w:rPr>
          <w:rFonts w:asciiTheme="minorHAnsi" w:hAnsiTheme="minorHAnsi" w:cs="Calibri"/>
          <w:bCs/>
        </w:rPr>
        <w:t xml:space="preserve"> byl vyčíslen </w:t>
      </w:r>
      <w:r w:rsidRPr="00EB607E">
        <w:rPr>
          <w:rFonts w:asciiTheme="minorHAnsi" w:hAnsiTheme="minorHAnsi" w:cs="Calibri"/>
          <w:b/>
          <w:bCs/>
        </w:rPr>
        <w:t>v částce 47</w:t>
      </w:r>
      <w:r>
        <w:rPr>
          <w:rFonts w:asciiTheme="minorHAnsi" w:hAnsiTheme="minorHAnsi" w:cs="Calibri"/>
          <w:b/>
          <w:bCs/>
        </w:rPr>
        <w:t>9</w:t>
      </w:r>
      <w:r w:rsidR="00672E19">
        <w:rPr>
          <w:rFonts w:asciiTheme="minorHAnsi" w:hAnsiTheme="minorHAnsi" w:cs="Calibri"/>
          <w:b/>
          <w:bCs/>
        </w:rPr>
        <w:t> </w:t>
      </w:r>
      <w:r>
        <w:rPr>
          <w:rFonts w:asciiTheme="minorHAnsi" w:hAnsiTheme="minorHAnsi" w:cs="Calibri"/>
          <w:b/>
          <w:bCs/>
        </w:rPr>
        <w:t>mil. Kč.</w:t>
      </w:r>
    </w:p>
    <w:p w14:paraId="0A3554CF" w14:textId="77777777" w:rsidR="00EB607E" w:rsidRPr="00EB607E" w:rsidRDefault="00EB607E" w:rsidP="006575BB">
      <w:pPr>
        <w:spacing w:before="12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bCs/>
        </w:rPr>
        <w:t xml:space="preserve">MMR odúčtovalo duplicitní podmíněné pohledávky </w:t>
      </w:r>
      <w:r w:rsidRPr="00EB607E">
        <w:rPr>
          <w:rFonts w:asciiTheme="minorHAnsi" w:hAnsiTheme="minorHAnsi" w:cs="Calibri"/>
          <w:bCs/>
        </w:rPr>
        <w:t xml:space="preserve">ze zástavních smluv </w:t>
      </w:r>
      <w:r>
        <w:rPr>
          <w:rFonts w:asciiTheme="minorHAnsi" w:hAnsiTheme="minorHAnsi" w:cs="Calibri"/>
          <w:b/>
          <w:bCs/>
        </w:rPr>
        <w:t xml:space="preserve">a chybějící </w:t>
      </w:r>
      <w:r w:rsidRPr="00EB607E">
        <w:rPr>
          <w:rFonts w:asciiTheme="minorHAnsi" w:hAnsiTheme="minorHAnsi" w:cs="Calibri"/>
          <w:bCs/>
        </w:rPr>
        <w:t>podmíněné pohledávky z aktivních zástav</w:t>
      </w:r>
      <w:r>
        <w:rPr>
          <w:rFonts w:asciiTheme="minorHAnsi" w:hAnsiTheme="minorHAnsi" w:cs="Calibri"/>
          <w:b/>
          <w:bCs/>
        </w:rPr>
        <w:t xml:space="preserve"> doúčtovalo. </w:t>
      </w:r>
      <w:r w:rsidRPr="00EB607E">
        <w:rPr>
          <w:rFonts w:asciiTheme="minorHAnsi" w:hAnsiTheme="minorHAnsi" w:cs="Calibri"/>
          <w:bCs/>
        </w:rPr>
        <w:t>Dále MMR</w:t>
      </w:r>
      <w:r>
        <w:rPr>
          <w:rFonts w:asciiTheme="minorHAnsi" w:hAnsiTheme="minorHAnsi" w:cs="Calibri"/>
          <w:b/>
          <w:bCs/>
        </w:rPr>
        <w:t xml:space="preserve"> přijalo opatření k úpravě </w:t>
      </w:r>
      <w:r w:rsidRPr="00EB607E">
        <w:rPr>
          <w:rFonts w:asciiTheme="minorHAnsi" w:hAnsiTheme="minorHAnsi" w:cs="Calibri"/>
          <w:bCs/>
        </w:rPr>
        <w:lastRenderedPageBreak/>
        <w:t>interního postupu</w:t>
      </w:r>
      <w:r>
        <w:rPr>
          <w:rFonts w:asciiTheme="minorHAnsi" w:hAnsiTheme="minorHAnsi" w:cs="Calibri"/>
          <w:b/>
          <w:bCs/>
        </w:rPr>
        <w:t xml:space="preserve"> evidence zástavních smluv a zahájilo </w:t>
      </w:r>
      <w:r w:rsidRPr="00EB607E">
        <w:rPr>
          <w:rFonts w:asciiTheme="minorHAnsi" w:hAnsiTheme="minorHAnsi" w:cs="Calibri"/>
          <w:bCs/>
        </w:rPr>
        <w:t>interní</w:t>
      </w:r>
      <w:r>
        <w:rPr>
          <w:rFonts w:asciiTheme="minorHAnsi" w:hAnsiTheme="minorHAnsi" w:cs="Calibri"/>
          <w:b/>
          <w:bCs/>
        </w:rPr>
        <w:t xml:space="preserve"> kontrolu souladu dat </w:t>
      </w:r>
      <w:r w:rsidRPr="00EB607E">
        <w:rPr>
          <w:rFonts w:asciiTheme="minorHAnsi" w:hAnsiTheme="minorHAnsi" w:cs="Calibri"/>
          <w:bCs/>
        </w:rPr>
        <w:t xml:space="preserve">v katastru nemovitostí a v informačních systémech MMR. </w:t>
      </w:r>
    </w:p>
    <w:p w14:paraId="3B034B5D" w14:textId="0DBBAE91" w:rsidR="008F1FB4" w:rsidRPr="00200A39" w:rsidRDefault="00A27CE6" w:rsidP="00A27CE6">
      <w:pPr>
        <w:pStyle w:val="Styl2"/>
        <w:numPr>
          <w:ilvl w:val="0"/>
          <w:numId w:val="0"/>
        </w:numPr>
        <w:spacing w:before="120" w:after="120"/>
        <w:ind w:left="567" w:hanging="567"/>
        <w:jc w:val="both"/>
      </w:pPr>
      <w:r>
        <w:t>1.2.4</w:t>
      </w:r>
      <w:r>
        <w:tab/>
        <w:t xml:space="preserve"> </w:t>
      </w:r>
      <w:r w:rsidR="00D4136B">
        <w:t xml:space="preserve">Záruka cestovním kancelářím a </w:t>
      </w:r>
      <w:r w:rsidR="00FD7F4F">
        <w:t>z</w:t>
      </w:r>
      <w:r w:rsidR="00D4136B">
        <w:t>áruční fond CK 2022</w:t>
      </w:r>
    </w:p>
    <w:p w14:paraId="086EF12D" w14:textId="3CA05F01" w:rsidR="00D4136B" w:rsidRDefault="00D4136B" w:rsidP="006575BB">
      <w:pPr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Na základě u</w:t>
      </w:r>
      <w:r w:rsidRPr="0019438C">
        <w:rPr>
          <w:rFonts w:asciiTheme="minorHAnsi" w:hAnsiTheme="minorHAnsi" w:cstheme="minorHAnsi"/>
        </w:rPr>
        <w:t xml:space="preserve">snesení </w:t>
      </w:r>
      <w:r>
        <w:rPr>
          <w:rFonts w:asciiTheme="minorHAnsi" w:hAnsiTheme="minorHAnsi" w:cstheme="minorHAnsi"/>
        </w:rPr>
        <w:t>v</w:t>
      </w:r>
      <w:r w:rsidRPr="0019438C">
        <w:rPr>
          <w:rFonts w:asciiTheme="minorHAnsi" w:hAnsiTheme="minorHAnsi" w:cstheme="minorHAnsi"/>
        </w:rPr>
        <w:t>lády ze dne 5. listopadu 2021 č. 982</w:t>
      </w:r>
      <w:r>
        <w:rPr>
          <w:rStyle w:val="Znakapoznpodarou"/>
          <w:rFonts w:asciiTheme="minorHAnsi" w:hAnsiTheme="minorHAnsi" w:cstheme="minorHAnsi"/>
        </w:rPr>
        <w:footnoteReference w:id="29"/>
      </w:r>
      <w:r w:rsidRPr="0019438C">
        <w:rPr>
          <w:rFonts w:asciiTheme="minorHAnsi" w:hAnsiTheme="minorHAnsi" w:cstheme="minorHAnsi"/>
        </w:rPr>
        <w:t xml:space="preserve"> </w:t>
      </w:r>
      <w:r w:rsidR="00C312B9">
        <w:rPr>
          <w:rFonts w:asciiTheme="minorHAnsi" w:hAnsiTheme="minorHAnsi" w:cstheme="minorHAnsi"/>
        </w:rPr>
        <w:t xml:space="preserve">a usnesení vlády ze dne </w:t>
      </w:r>
      <w:r w:rsidR="00C312B9" w:rsidRPr="00725122">
        <w:rPr>
          <w:rFonts w:asciiTheme="minorHAnsi" w:hAnsiTheme="minorHAnsi" w:cstheme="minorHAnsi"/>
        </w:rPr>
        <w:t>8. června</w:t>
      </w:r>
      <w:r w:rsidR="00672E19">
        <w:rPr>
          <w:rFonts w:asciiTheme="minorHAnsi" w:hAnsiTheme="minorHAnsi" w:cstheme="minorHAnsi"/>
        </w:rPr>
        <w:t> </w:t>
      </w:r>
      <w:r w:rsidR="00C312B9" w:rsidRPr="00725122">
        <w:rPr>
          <w:rFonts w:asciiTheme="minorHAnsi" w:hAnsiTheme="minorHAnsi" w:cstheme="minorHAnsi"/>
        </w:rPr>
        <w:t>2022 č. 499</w:t>
      </w:r>
      <w:r w:rsidR="00C312B9">
        <w:rPr>
          <w:rStyle w:val="Znakapoznpodarou"/>
          <w:rFonts w:asciiTheme="minorHAnsi" w:hAnsiTheme="minorHAnsi" w:cstheme="minorHAnsi"/>
        </w:rPr>
        <w:footnoteReference w:id="30"/>
      </w:r>
      <w:r w:rsidR="00C312B9">
        <w:rPr>
          <w:rFonts w:asciiTheme="minorHAnsi" w:hAnsiTheme="minorHAnsi" w:cstheme="minorHAnsi"/>
        </w:rPr>
        <w:t xml:space="preserve"> </w:t>
      </w:r>
      <w:r w:rsidRPr="0019438C">
        <w:rPr>
          <w:rFonts w:asciiTheme="minorHAnsi" w:hAnsiTheme="minorHAnsi" w:cstheme="minorHAnsi"/>
        </w:rPr>
        <w:t>uzavřelo MMR s</w:t>
      </w:r>
      <w:r>
        <w:rPr>
          <w:rFonts w:asciiTheme="minorHAnsi" w:hAnsiTheme="minorHAnsi" w:cstheme="minorHAnsi"/>
        </w:rPr>
        <w:t xml:space="preserve"> finanční institucí </w:t>
      </w:r>
      <w:r w:rsidRPr="0019438C">
        <w:rPr>
          <w:rFonts w:asciiTheme="minorHAnsi" w:hAnsiTheme="minorHAnsi" w:cstheme="minorHAnsi"/>
        </w:rPr>
        <w:t>dne 22. </w:t>
      </w:r>
      <w:r w:rsidR="0055478B">
        <w:rPr>
          <w:rFonts w:asciiTheme="minorHAnsi" w:hAnsiTheme="minorHAnsi" w:cstheme="minorHAnsi"/>
        </w:rPr>
        <w:t>prosince</w:t>
      </w:r>
      <w:r w:rsidRPr="0019438C">
        <w:rPr>
          <w:rFonts w:asciiTheme="minorHAnsi" w:hAnsiTheme="minorHAnsi" w:cstheme="minorHAnsi"/>
        </w:rPr>
        <w:t xml:space="preserve"> 2021 </w:t>
      </w:r>
      <w:r w:rsidRPr="00C312B9">
        <w:rPr>
          <w:rFonts w:asciiTheme="minorHAnsi" w:hAnsiTheme="minorHAnsi" w:cstheme="minorHAnsi"/>
          <w:bCs/>
        </w:rPr>
        <w:t>Dohodu o</w:t>
      </w:r>
      <w:r w:rsidR="00672E19">
        <w:rPr>
          <w:rFonts w:asciiTheme="minorHAnsi" w:hAnsiTheme="minorHAnsi" w:cstheme="minorHAnsi"/>
          <w:bCs/>
        </w:rPr>
        <w:t> </w:t>
      </w:r>
      <w:r w:rsidRPr="00C312B9">
        <w:rPr>
          <w:rFonts w:asciiTheme="minorHAnsi" w:hAnsiTheme="minorHAnsi" w:cstheme="minorHAnsi"/>
          <w:bCs/>
        </w:rPr>
        <w:t xml:space="preserve">realizaci </w:t>
      </w:r>
      <w:proofErr w:type="spellStart"/>
      <w:r w:rsidRPr="00C312B9">
        <w:rPr>
          <w:rFonts w:asciiTheme="minorHAnsi" w:hAnsiTheme="minorHAnsi" w:cstheme="minorHAnsi"/>
          <w:bCs/>
        </w:rPr>
        <w:t>subtitulu</w:t>
      </w:r>
      <w:proofErr w:type="spellEnd"/>
      <w:r w:rsidRPr="00C312B9">
        <w:rPr>
          <w:rFonts w:asciiTheme="minorHAnsi" w:hAnsiTheme="minorHAnsi" w:cstheme="minorHAnsi"/>
          <w:bCs/>
        </w:rPr>
        <w:t xml:space="preserve"> </w:t>
      </w:r>
      <w:r w:rsidR="00C72FD7">
        <w:rPr>
          <w:rFonts w:asciiTheme="minorHAnsi" w:hAnsiTheme="minorHAnsi" w:cstheme="minorHAnsi"/>
          <w:bCs/>
        </w:rPr>
        <w:t>„</w:t>
      </w:r>
      <w:r w:rsidRPr="00C312B9">
        <w:rPr>
          <w:rFonts w:asciiTheme="minorHAnsi" w:hAnsiTheme="minorHAnsi" w:cstheme="minorHAnsi"/>
          <w:bCs/>
        </w:rPr>
        <w:t>Záruka cestovním kancelářím</w:t>
      </w:r>
      <w:r w:rsidR="00C72FD7">
        <w:rPr>
          <w:rFonts w:asciiTheme="minorHAnsi" w:hAnsiTheme="minorHAnsi" w:cstheme="minorHAnsi"/>
          <w:bCs/>
        </w:rPr>
        <w:t>“</w:t>
      </w:r>
      <w:r w:rsidRPr="00C312B9">
        <w:rPr>
          <w:rFonts w:asciiTheme="minorHAnsi" w:hAnsiTheme="minorHAnsi" w:cstheme="minorHAnsi"/>
          <w:bCs/>
        </w:rPr>
        <w:t xml:space="preserve"> a o vytvoření a správě záručního fondu </w:t>
      </w:r>
      <w:r w:rsidRPr="001258AA">
        <w:rPr>
          <w:rFonts w:asciiTheme="minorHAnsi" w:hAnsiTheme="minorHAnsi" w:cstheme="minorHAnsi"/>
          <w:bCs/>
          <w:i/>
        </w:rPr>
        <w:t>CK 2022</w:t>
      </w:r>
      <w:r w:rsidR="00C312B9">
        <w:rPr>
          <w:rFonts w:asciiTheme="minorHAnsi" w:hAnsiTheme="minorHAnsi" w:cstheme="minorHAnsi"/>
          <w:bCs/>
        </w:rPr>
        <w:t xml:space="preserve"> ve znění </w:t>
      </w:r>
      <w:r w:rsidR="00FD7F4F">
        <w:rPr>
          <w:rFonts w:asciiTheme="minorHAnsi" w:hAnsiTheme="minorHAnsi" w:cstheme="minorHAnsi"/>
          <w:bCs/>
        </w:rPr>
        <w:t>d</w:t>
      </w:r>
      <w:r w:rsidR="00C312B9">
        <w:rPr>
          <w:rFonts w:asciiTheme="minorHAnsi" w:hAnsiTheme="minorHAnsi" w:cstheme="minorHAnsi"/>
          <w:bCs/>
        </w:rPr>
        <w:t xml:space="preserve">odatku č. 1 ze dne 16. </w:t>
      </w:r>
      <w:r w:rsidR="0055478B">
        <w:rPr>
          <w:rFonts w:asciiTheme="minorHAnsi" w:hAnsiTheme="minorHAnsi" w:cstheme="minorHAnsi"/>
          <w:bCs/>
        </w:rPr>
        <w:t>června</w:t>
      </w:r>
      <w:r w:rsidR="00C312B9">
        <w:rPr>
          <w:rFonts w:asciiTheme="minorHAnsi" w:hAnsiTheme="minorHAnsi" w:cstheme="minorHAnsi"/>
          <w:bCs/>
        </w:rPr>
        <w:t xml:space="preserve"> 2022</w:t>
      </w:r>
      <w:r w:rsidR="00C312B9" w:rsidRPr="00C312B9">
        <w:rPr>
          <w:rFonts w:asciiTheme="minorHAnsi" w:hAnsiTheme="minorHAnsi" w:cstheme="minorHAnsi"/>
          <w:bCs/>
        </w:rPr>
        <w:t xml:space="preserve"> (dále „Dohoda“)</w:t>
      </w:r>
      <w:r w:rsidRPr="0019438C">
        <w:rPr>
          <w:rFonts w:asciiTheme="minorHAnsi" w:hAnsiTheme="minorHAnsi" w:cstheme="minorHAnsi"/>
        </w:rPr>
        <w:t>.</w:t>
      </w:r>
      <w:r w:rsidR="00C312B9">
        <w:rPr>
          <w:rFonts w:asciiTheme="minorHAnsi" w:hAnsiTheme="minorHAnsi" w:cstheme="minorHAnsi"/>
        </w:rPr>
        <w:t xml:space="preserve"> </w:t>
      </w:r>
      <w:r w:rsidR="00C312B9" w:rsidRPr="00BF7569">
        <w:rPr>
          <w:rFonts w:asciiTheme="minorHAnsi" w:hAnsiTheme="minorHAnsi" w:cstheme="minorHAnsi"/>
        </w:rPr>
        <w:t>V souladu s Dohod</w:t>
      </w:r>
      <w:r w:rsidR="00C312B9">
        <w:rPr>
          <w:rFonts w:asciiTheme="minorHAnsi" w:hAnsiTheme="minorHAnsi" w:cstheme="minorHAnsi"/>
        </w:rPr>
        <w:t>ou</w:t>
      </w:r>
      <w:r w:rsidR="00C312B9" w:rsidRPr="00BF7569">
        <w:rPr>
          <w:rFonts w:asciiTheme="minorHAnsi" w:hAnsiTheme="minorHAnsi" w:cstheme="minorHAnsi"/>
        </w:rPr>
        <w:t xml:space="preserve"> a</w:t>
      </w:r>
      <w:r w:rsidR="00672E19">
        <w:rPr>
          <w:rFonts w:asciiTheme="minorHAnsi" w:hAnsiTheme="minorHAnsi" w:cstheme="minorHAnsi"/>
        </w:rPr>
        <w:t> </w:t>
      </w:r>
      <w:r w:rsidR="00C312B9" w:rsidRPr="00BF7569">
        <w:rPr>
          <w:rFonts w:asciiTheme="minorHAnsi" w:hAnsiTheme="minorHAnsi" w:cstheme="minorHAnsi"/>
        </w:rPr>
        <w:t>na základě rozhodnutí o poskytnutí dotace poskytlo MMR v roce 2022</w:t>
      </w:r>
      <w:r w:rsidR="00C312B9">
        <w:rPr>
          <w:rFonts w:asciiTheme="minorHAnsi" w:hAnsiTheme="minorHAnsi" w:cstheme="minorHAnsi"/>
        </w:rPr>
        <w:t xml:space="preserve"> finanční instituci peněžní prostředky na </w:t>
      </w:r>
      <w:r w:rsidR="00C312B9" w:rsidRPr="00C312B9">
        <w:rPr>
          <w:rFonts w:asciiTheme="minorHAnsi" w:hAnsiTheme="minorHAnsi" w:cstheme="minorHAnsi"/>
        </w:rPr>
        <w:t xml:space="preserve">vytvoření a správu </w:t>
      </w:r>
      <w:r w:rsidR="00FD7F4F">
        <w:rPr>
          <w:rFonts w:asciiTheme="minorHAnsi" w:hAnsiTheme="minorHAnsi" w:cstheme="minorHAnsi"/>
        </w:rPr>
        <w:t>z</w:t>
      </w:r>
      <w:r w:rsidR="00C312B9" w:rsidRPr="00C312B9">
        <w:rPr>
          <w:rFonts w:asciiTheme="minorHAnsi" w:hAnsiTheme="minorHAnsi" w:cstheme="minorHAnsi"/>
        </w:rPr>
        <w:t>áručního fondu CK 2022</w:t>
      </w:r>
      <w:r w:rsidR="00C312B9">
        <w:rPr>
          <w:rFonts w:asciiTheme="minorHAnsi" w:hAnsiTheme="minorHAnsi" w:cstheme="minorHAnsi"/>
        </w:rPr>
        <w:t xml:space="preserve">. </w:t>
      </w:r>
    </w:p>
    <w:p w14:paraId="2326FC47" w14:textId="3D9BF668" w:rsidR="008F1FB4" w:rsidRDefault="00D4136B" w:rsidP="006575BB">
      <w:pPr>
        <w:spacing w:before="1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 xml:space="preserve">MMR </w:t>
      </w:r>
      <w:r w:rsidR="00D21E42">
        <w:rPr>
          <w:rFonts w:asciiTheme="minorHAnsi" w:hAnsiTheme="minorHAnsi" w:cstheme="minorHAnsi"/>
          <w:b/>
        </w:rPr>
        <w:t xml:space="preserve">o </w:t>
      </w:r>
      <w:r>
        <w:rPr>
          <w:rFonts w:asciiTheme="minorHAnsi" w:hAnsiTheme="minorHAnsi" w:cstheme="minorHAnsi"/>
          <w:b/>
        </w:rPr>
        <w:t>prostřed</w:t>
      </w:r>
      <w:r w:rsidR="00D21E42">
        <w:rPr>
          <w:rFonts w:asciiTheme="minorHAnsi" w:hAnsiTheme="minorHAnsi" w:cstheme="minorHAnsi"/>
          <w:b/>
        </w:rPr>
        <w:t>cích</w:t>
      </w:r>
      <w:r>
        <w:rPr>
          <w:rFonts w:asciiTheme="minorHAnsi" w:hAnsiTheme="minorHAnsi" w:cstheme="minorHAnsi"/>
          <w:b/>
        </w:rPr>
        <w:t xml:space="preserve"> na vytvoření a správu </w:t>
      </w:r>
      <w:r w:rsidR="00FD7F4F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áručního fondu CK 2022 </w:t>
      </w:r>
      <w:r w:rsidR="00C312B9">
        <w:rPr>
          <w:rFonts w:asciiTheme="minorHAnsi" w:hAnsiTheme="minorHAnsi" w:cstheme="minorHAnsi"/>
          <w:b/>
        </w:rPr>
        <w:t xml:space="preserve">ve výši 218 mil. Kč </w:t>
      </w:r>
      <w:r w:rsidR="00D21E42">
        <w:rPr>
          <w:rFonts w:asciiTheme="minorHAnsi" w:hAnsiTheme="minorHAnsi" w:cstheme="minorHAnsi"/>
          <w:b/>
        </w:rPr>
        <w:t xml:space="preserve">účtovalo </w:t>
      </w:r>
      <w:r>
        <w:rPr>
          <w:rFonts w:asciiTheme="minorHAnsi" w:hAnsiTheme="minorHAnsi" w:cstheme="minorHAnsi"/>
          <w:b/>
        </w:rPr>
        <w:t xml:space="preserve">nesprávně na účtu 462 </w:t>
      </w:r>
      <w:r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  <w:i/>
        </w:rPr>
        <w:t>Poskytnuté návratné finanční výpomoci dlouhodobé</w:t>
      </w:r>
      <w:r w:rsidR="00C312B9">
        <w:rPr>
          <w:rFonts w:asciiTheme="minorHAnsi" w:hAnsiTheme="minorHAnsi" w:cstheme="minorHAnsi"/>
          <w:i/>
        </w:rPr>
        <w:t xml:space="preserve">. </w:t>
      </w:r>
      <w:r w:rsidR="00C312B9" w:rsidRPr="001A6D6E">
        <w:rPr>
          <w:rFonts w:asciiTheme="minorHAnsi" w:hAnsiTheme="minorHAnsi" w:cstheme="minorHAnsi"/>
        </w:rPr>
        <w:t>Vzhledem k tomu, že se jednalo o poskytnutí dotace na základě vydaných</w:t>
      </w:r>
      <w:r w:rsidR="001A6D6E">
        <w:rPr>
          <w:rFonts w:asciiTheme="minorHAnsi" w:hAnsiTheme="minorHAnsi" w:cstheme="minorHAnsi"/>
          <w:b/>
        </w:rPr>
        <w:t xml:space="preserve"> rozhodnutí o</w:t>
      </w:r>
      <w:r w:rsidR="00672E19">
        <w:rPr>
          <w:rFonts w:asciiTheme="minorHAnsi" w:hAnsiTheme="minorHAnsi" w:cstheme="minorHAnsi"/>
          <w:b/>
        </w:rPr>
        <w:t> </w:t>
      </w:r>
      <w:r w:rsidR="001A6D6E">
        <w:rPr>
          <w:rFonts w:asciiTheme="minorHAnsi" w:hAnsiTheme="minorHAnsi" w:cstheme="minorHAnsi"/>
          <w:b/>
        </w:rPr>
        <w:t>poskytnutí dotace, a nikoliv o poskytnutí návratné finanční výpomoci, mělo MMR</w:t>
      </w:r>
      <w:r w:rsidR="00D21E42">
        <w:rPr>
          <w:rFonts w:asciiTheme="minorHAnsi" w:hAnsiTheme="minorHAnsi" w:cstheme="minorHAnsi"/>
          <w:b/>
        </w:rPr>
        <w:t xml:space="preserve"> o</w:t>
      </w:r>
      <w:r w:rsidR="00672E19">
        <w:rPr>
          <w:rFonts w:asciiTheme="minorHAnsi" w:hAnsiTheme="minorHAnsi" w:cstheme="minorHAnsi"/>
          <w:b/>
        </w:rPr>
        <w:t> </w:t>
      </w:r>
      <w:r w:rsidR="001A6D6E" w:rsidRPr="001A6D6E">
        <w:rPr>
          <w:rFonts w:asciiTheme="minorHAnsi" w:hAnsiTheme="minorHAnsi" w:cstheme="minorHAnsi"/>
          <w:b/>
        </w:rPr>
        <w:t>prostřed</w:t>
      </w:r>
      <w:r w:rsidR="00D21E42">
        <w:rPr>
          <w:rFonts w:asciiTheme="minorHAnsi" w:hAnsiTheme="minorHAnsi" w:cstheme="minorHAnsi"/>
          <w:b/>
        </w:rPr>
        <w:t>cích</w:t>
      </w:r>
      <w:r w:rsidR="001A6D6E" w:rsidRPr="001A6D6E">
        <w:rPr>
          <w:rFonts w:asciiTheme="minorHAnsi" w:hAnsiTheme="minorHAnsi" w:cstheme="minorHAnsi"/>
          <w:b/>
        </w:rPr>
        <w:t xml:space="preserve"> na vytvoření a správu </w:t>
      </w:r>
      <w:r w:rsidR="00FD7F4F">
        <w:rPr>
          <w:rFonts w:asciiTheme="minorHAnsi" w:hAnsiTheme="minorHAnsi" w:cstheme="minorHAnsi"/>
          <w:b/>
        </w:rPr>
        <w:t>z</w:t>
      </w:r>
      <w:r w:rsidR="001A6D6E" w:rsidRPr="001A6D6E">
        <w:rPr>
          <w:rFonts w:asciiTheme="minorHAnsi" w:hAnsiTheme="minorHAnsi" w:cstheme="minorHAnsi"/>
          <w:b/>
        </w:rPr>
        <w:t>áručního fondu CK 2022</w:t>
      </w:r>
      <w:r w:rsidR="001A6D6E">
        <w:rPr>
          <w:rFonts w:asciiTheme="minorHAnsi" w:hAnsiTheme="minorHAnsi" w:cstheme="minorHAnsi"/>
          <w:b/>
        </w:rPr>
        <w:t xml:space="preserve"> </w:t>
      </w:r>
      <w:r w:rsidR="00D21E42">
        <w:rPr>
          <w:rFonts w:asciiTheme="minorHAnsi" w:hAnsiTheme="minorHAnsi" w:cstheme="minorHAnsi"/>
          <w:b/>
        </w:rPr>
        <w:t>účtovat</w:t>
      </w:r>
      <w:r w:rsidR="001A6D6E">
        <w:rPr>
          <w:rFonts w:asciiTheme="minorHAnsi" w:hAnsiTheme="minorHAnsi" w:cstheme="minorHAnsi"/>
          <w:b/>
        </w:rPr>
        <w:t xml:space="preserve"> na účtu</w:t>
      </w:r>
      <w:r w:rsidR="00672E19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 xml:space="preserve">471 </w:t>
      </w:r>
      <w:r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  <w:i/>
        </w:rPr>
        <w:t>Dlouhodobé poskytnuté zálohy na transfery.</w:t>
      </w:r>
    </w:p>
    <w:p w14:paraId="29A8FAB9" w14:textId="77777777" w:rsidR="009B3575" w:rsidRDefault="009B3575" w:rsidP="006575BB">
      <w:pPr>
        <w:spacing w:before="120"/>
        <w:jc w:val="both"/>
        <w:rPr>
          <w:rFonts w:asciiTheme="minorHAnsi" w:hAnsiTheme="minorHAnsi" w:cstheme="minorHAnsi"/>
          <w:i/>
        </w:rPr>
      </w:pPr>
      <w:r w:rsidRPr="009B3575">
        <w:rPr>
          <w:rFonts w:asciiTheme="minorHAnsi" w:hAnsiTheme="minorHAnsi" w:cstheme="minorHAnsi"/>
          <w:b/>
        </w:rPr>
        <w:t>MMR přeúčtovalo částku 218 mil. Kč z nesprávného účtu 462</w:t>
      </w:r>
      <w:r w:rsidRPr="000B2894">
        <w:rPr>
          <w:rFonts w:asciiTheme="minorHAnsi" w:hAnsiTheme="minorHAnsi" w:cstheme="minorHAnsi"/>
        </w:rPr>
        <w:t xml:space="preserve"> – </w:t>
      </w:r>
      <w:r w:rsidRPr="000B2894">
        <w:rPr>
          <w:rFonts w:asciiTheme="minorHAnsi" w:hAnsiTheme="minorHAnsi" w:cstheme="minorHAnsi"/>
          <w:i/>
          <w:iCs/>
        </w:rPr>
        <w:t>Poskytnuté návratné finanční výpomoci dlouhodobé</w:t>
      </w:r>
      <w:r w:rsidRPr="000B2894">
        <w:rPr>
          <w:rFonts w:asciiTheme="minorHAnsi" w:hAnsiTheme="minorHAnsi" w:cstheme="minorHAnsi"/>
        </w:rPr>
        <w:t xml:space="preserve"> </w:t>
      </w:r>
      <w:r w:rsidRPr="009B3575">
        <w:rPr>
          <w:rFonts w:asciiTheme="minorHAnsi" w:hAnsiTheme="minorHAnsi" w:cstheme="minorHAnsi"/>
          <w:b/>
        </w:rPr>
        <w:t>na účet 471</w:t>
      </w:r>
      <w:r w:rsidRPr="000B2894">
        <w:rPr>
          <w:rFonts w:asciiTheme="minorHAnsi" w:hAnsiTheme="minorHAnsi" w:cstheme="minorHAnsi"/>
        </w:rPr>
        <w:t xml:space="preserve"> – </w:t>
      </w:r>
      <w:r w:rsidRPr="000B2894">
        <w:rPr>
          <w:rFonts w:asciiTheme="minorHAnsi" w:hAnsiTheme="minorHAnsi" w:cstheme="minorHAnsi"/>
          <w:i/>
          <w:iCs/>
        </w:rPr>
        <w:t>Dlouhodobé poskytnuté zálohy na transfery</w:t>
      </w:r>
      <w:r>
        <w:rPr>
          <w:rFonts w:asciiTheme="minorHAnsi" w:hAnsiTheme="minorHAnsi" w:cstheme="minorHAnsi"/>
          <w:i/>
          <w:iCs/>
        </w:rPr>
        <w:t>.</w:t>
      </w:r>
    </w:p>
    <w:p w14:paraId="52A75742" w14:textId="2348DB1C" w:rsidR="001A6D6E" w:rsidRPr="00200A39" w:rsidRDefault="00EE28E0" w:rsidP="00EE28E0">
      <w:pPr>
        <w:pStyle w:val="Styl2"/>
        <w:numPr>
          <w:ilvl w:val="0"/>
          <w:numId w:val="0"/>
        </w:numPr>
        <w:spacing w:before="120" w:after="120"/>
        <w:ind w:left="567" w:hanging="567"/>
        <w:jc w:val="both"/>
      </w:pPr>
      <w:r>
        <w:t>1.2.5</w:t>
      </w:r>
      <w:r w:rsidR="00A27CE6">
        <w:tab/>
      </w:r>
      <w:r w:rsidR="001A6D6E" w:rsidRPr="001A6D6E">
        <w:t>Nesprávné účtování o výnosech z předfinancování netransferových výdajů</w:t>
      </w:r>
    </w:p>
    <w:p w14:paraId="78CB66D3" w14:textId="77777777" w:rsidR="001A6D6E" w:rsidRDefault="001A6D6E" w:rsidP="006575BB">
      <w:pPr>
        <w:spacing w:before="120"/>
        <w:jc w:val="both"/>
        <w:rPr>
          <w:rFonts w:cs="Arial"/>
          <w:b/>
          <w:bCs/>
          <w:iCs/>
        </w:rPr>
      </w:pPr>
      <w:r>
        <w:rPr>
          <w:rFonts w:cs="Arial"/>
          <w:bCs/>
          <w:iCs/>
        </w:rPr>
        <w:t xml:space="preserve">MMR </w:t>
      </w:r>
      <w:r w:rsidRPr="001A6D6E">
        <w:rPr>
          <w:rFonts w:cs="Arial"/>
          <w:b/>
          <w:bCs/>
          <w:iCs/>
        </w:rPr>
        <w:t>nesprávně účtovalo o výnosech z předfinancování netransferových výdajů</w:t>
      </w:r>
      <w:r>
        <w:rPr>
          <w:rFonts w:cs="Arial"/>
          <w:b/>
          <w:bCs/>
          <w:iCs/>
        </w:rPr>
        <w:t xml:space="preserve"> na účtu </w:t>
      </w:r>
      <w:r w:rsidR="00B6018B">
        <w:rPr>
          <w:rFonts w:cs="Arial"/>
          <w:b/>
          <w:bCs/>
          <w:iCs/>
        </w:rPr>
        <w:br/>
      </w:r>
      <w:r w:rsidRPr="001A6D6E">
        <w:rPr>
          <w:rFonts w:cs="Arial"/>
          <w:b/>
          <w:bCs/>
          <w:iCs/>
        </w:rPr>
        <w:t xml:space="preserve">675 </w:t>
      </w:r>
      <w:r w:rsidRPr="001A6D6E">
        <w:rPr>
          <w:rFonts w:cs="Arial"/>
          <w:bCs/>
          <w:iCs/>
        </w:rPr>
        <w:t xml:space="preserve">– </w:t>
      </w:r>
      <w:r w:rsidRPr="001A6D6E">
        <w:rPr>
          <w:rFonts w:cs="Arial"/>
          <w:bCs/>
          <w:i/>
          <w:iCs/>
        </w:rPr>
        <w:t>Výnosy vybraných ústředních vládních institucí z předfinancování transferů</w:t>
      </w:r>
      <w:r w:rsidRPr="001A6D6E">
        <w:rPr>
          <w:rFonts w:cs="Arial"/>
          <w:bCs/>
          <w:iCs/>
        </w:rPr>
        <w:t xml:space="preserve">. Tento </w:t>
      </w:r>
      <w:r w:rsidRPr="001A6D6E">
        <w:rPr>
          <w:rFonts w:cs="Arial"/>
          <w:b/>
          <w:bCs/>
          <w:iCs/>
        </w:rPr>
        <w:t>systémový nedostatek</w:t>
      </w:r>
      <w:r w:rsidRPr="001A6D6E">
        <w:rPr>
          <w:rFonts w:cs="Arial"/>
          <w:bCs/>
          <w:iCs/>
        </w:rPr>
        <w:t xml:space="preserve"> byl vyčíslen </w:t>
      </w:r>
      <w:r w:rsidRPr="001A6D6E">
        <w:rPr>
          <w:rFonts w:cs="Arial"/>
          <w:b/>
          <w:bCs/>
          <w:iCs/>
        </w:rPr>
        <w:t xml:space="preserve">v částce </w:t>
      </w:r>
      <w:r>
        <w:rPr>
          <w:rFonts w:cs="Arial"/>
          <w:b/>
          <w:bCs/>
          <w:iCs/>
        </w:rPr>
        <w:t>160 mil.</w:t>
      </w:r>
      <w:r w:rsidRPr="001A6D6E">
        <w:rPr>
          <w:rFonts w:cs="Arial"/>
          <w:b/>
          <w:bCs/>
          <w:iCs/>
        </w:rPr>
        <w:t xml:space="preserve"> Kč</w:t>
      </w:r>
      <w:r>
        <w:rPr>
          <w:rFonts w:cs="Arial"/>
          <w:b/>
          <w:bCs/>
          <w:iCs/>
        </w:rPr>
        <w:t>.</w:t>
      </w:r>
    </w:p>
    <w:p w14:paraId="2E34A36A" w14:textId="77777777" w:rsidR="001A6D6E" w:rsidRDefault="001A6D6E" w:rsidP="006575BB">
      <w:pPr>
        <w:spacing w:before="120"/>
        <w:jc w:val="both"/>
        <w:rPr>
          <w:rFonts w:cs="Arial"/>
          <w:bCs/>
          <w:iCs/>
        </w:rPr>
      </w:pPr>
      <w:r w:rsidRPr="009B3575">
        <w:rPr>
          <w:rFonts w:cs="Arial"/>
          <w:b/>
          <w:bCs/>
          <w:iCs/>
        </w:rPr>
        <w:t>MMR přeúčtovalo výnosy z nesprávného účtu 675</w:t>
      </w:r>
      <w:r w:rsidRPr="001A6D6E">
        <w:rPr>
          <w:rFonts w:cs="Arial"/>
          <w:bCs/>
          <w:iCs/>
        </w:rPr>
        <w:t xml:space="preserve"> – </w:t>
      </w:r>
      <w:r w:rsidRPr="001A6D6E">
        <w:rPr>
          <w:rFonts w:cs="Arial"/>
          <w:bCs/>
          <w:i/>
          <w:iCs/>
        </w:rPr>
        <w:t>Výnosy vybraných ústředních vládních institucí z předfinancování transferů</w:t>
      </w:r>
      <w:r w:rsidRPr="001A6D6E">
        <w:rPr>
          <w:rFonts w:cs="Arial"/>
          <w:bCs/>
          <w:iCs/>
        </w:rPr>
        <w:t xml:space="preserve"> </w:t>
      </w:r>
      <w:r w:rsidRPr="009B3575">
        <w:rPr>
          <w:rFonts w:cs="Arial"/>
          <w:b/>
          <w:bCs/>
          <w:iCs/>
        </w:rPr>
        <w:t>na účet 671</w:t>
      </w:r>
      <w:r w:rsidRPr="001A6D6E">
        <w:rPr>
          <w:rFonts w:cs="Arial"/>
          <w:bCs/>
          <w:iCs/>
        </w:rPr>
        <w:t xml:space="preserve"> – </w:t>
      </w:r>
      <w:r w:rsidRPr="001A6D6E">
        <w:rPr>
          <w:rFonts w:cs="Arial"/>
          <w:bCs/>
          <w:i/>
          <w:iCs/>
        </w:rPr>
        <w:t>Výnosy vybraných ústředních vládních institucí z transferů</w:t>
      </w:r>
      <w:r w:rsidRPr="001A6D6E">
        <w:rPr>
          <w:rFonts w:cs="Arial"/>
          <w:bCs/>
          <w:iCs/>
        </w:rPr>
        <w:t xml:space="preserve"> </w:t>
      </w:r>
      <w:r w:rsidRPr="009B3575">
        <w:rPr>
          <w:rFonts w:cs="Arial"/>
          <w:b/>
          <w:bCs/>
          <w:iCs/>
        </w:rPr>
        <w:t>a účet 401</w:t>
      </w:r>
      <w:r w:rsidRPr="001A6D6E">
        <w:rPr>
          <w:rFonts w:cs="Arial"/>
          <w:bCs/>
          <w:iCs/>
        </w:rPr>
        <w:t xml:space="preserve"> – </w:t>
      </w:r>
      <w:r w:rsidRPr="001A6D6E">
        <w:rPr>
          <w:rFonts w:cs="Arial"/>
          <w:bCs/>
          <w:i/>
          <w:iCs/>
        </w:rPr>
        <w:t>Jmění účetní jednotky</w:t>
      </w:r>
      <w:r w:rsidR="009B3575">
        <w:rPr>
          <w:rFonts w:cs="Arial"/>
          <w:bCs/>
          <w:iCs/>
        </w:rPr>
        <w:t xml:space="preserve"> </w:t>
      </w:r>
      <w:r w:rsidR="009B3575" w:rsidRPr="009B3575">
        <w:rPr>
          <w:rFonts w:cs="Arial"/>
          <w:b/>
          <w:bCs/>
          <w:iCs/>
        </w:rPr>
        <w:t>a přijalo systémové opatření</w:t>
      </w:r>
      <w:r w:rsidR="009B3575">
        <w:rPr>
          <w:rFonts w:cs="Arial"/>
          <w:bCs/>
          <w:iCs/>
        </w:rPr>
        <w:t xml:space="preserve"> v podobě rozlišování </w:t>
      </w:r>
      <w:r w:rsidR="009B3575" w:rsidRPr="009B3575">
        <w:rPr>
          <w:rFonts w:cs="Arial"/>
          <w:bCs/>
          <w:iCs/>
        </w:rPr>
        <w:t>refundovaných výnosů, které byly předfinancovány jako transfer</w:t>
      </w:r>
      <w:r w:rsidR="009B3575">
        <w:rPr>
          <w:rFonts w:cs="Arial"/>
          <w:bCs/>
          <w:iCs/>
        </w:rPr>
        <w:t xml:space="preserve">, </w:t>
      </w:r>
      <w:r w:rsidR="009B3575" w:rsidRPr="009B3575">
        <w:rPr>
          <w:rFonts w:cs="Arial"/>
          <w:bCs/>
          <w:iCs/>
        </w:rPr>
        <w:t>netransferové neinvestiční výdaje</w:t>
      </w:r>
      <w:r w:rsidR="009B3575">
        <w:rPr>
          <w:rFonts w:cs="Arial"/>
          <w:bCs/>
          <w:iCs/>
        </w:rPr>
        <w:t xml:space="preserve"> </w:t>
      </w:r>
      <w:r w:rsidR="008E1266">
        <w:rPr>
          <w:rFonts w:cs="Arial"/>
          <w:bCs/>
          <w:iCs/>
        </w:rPr>
        <w:t xml:space="preserve">nebo jako </w:t>
      </w:r>
      <w:r w:rsidR="009B3575" w:rsidRPr="009B3575">
        <w:rPr>
          <w:rFonts w:cs="Arial"/>
          <w:bCs/>
          <w:iCs/>
        </w:rPr>
        <w:t>netransferové investiční výdaje</w:t>
      </w:r>
      <w:r w:rsidR="009B3575">
        <w:rPr>
          <w:rFonts w:cs="Arial"/>
          <w:bCs/>
          <w:iCs/>
        </w:rPr>
        <w:t>.</w:t>
      </w:r>
    </w:p>
    <w:p w14:paraId="346DEF9A" w14:textId="3D0A8728" w:rsidR="0077223B" w:rsidRDefault="00EE28E0" w:rsidP="00FF6DAA">
      <w:pPr>
        <w:pStyle w:val="Styl2"/>
        <w:numPr>
          <w:ilvl w:val="0"/>
          <w:numId w:val="0"/>
        </w:numPr>
        <w:spacing w:before="120" w:after="120"/>
        <w:ind w:left="567" w:hanging="567"/>
      </w:pPr>
      <w:r>
        <w:t>1.2.6</w:t>
      </w:r>
      <w:r>
        <w:tab/>
      </w:r>
      <w:r w:rsidR="00591EE2">
        <w:t>Nesprávné účtování o p</w:t>
      </w:r>
      <w:r w:rsidR="00973EC5">
        <w:t>eněžní</w:t>
      </w:r>
      <w:r w:rsidR="00591EE2">
        <w:t>ch</w:t>
      </w:r>
      <w:r w:rsidR="00973EC5">
        <w:t xml:space="preserve"> prostřed</w:t>
      </w:r>
      <w:r w:rsidR="00591EE2">
        <w:t>cích</w:t>
      </w:r>
      <w:r w:rsidR="00EF09F3">
        <w:t xml:space="preserve"> vložen</w:t>
      </w:r>
      <w:r w:rsidR="00591EE2">
        <w:t>ých</w:t>
      </w:r>
      <w:r w:rsidR="00EF09F3">
        <w:t xml:space="preserve"> do</w:t>
      </w:r>
      <w:r w:rsidR="0077223B" w:rsidRPr="0077223B">
        <w:t xml:space="preserve"> Regionální</w:t>
      </w:r>
      <w:r w:rsidR="00EF09F3">
        <w:t xml:space="preserve">ho </w:t>
      </w:r>
      <w:r w:rsidR="0077223B" w:rsidRPr="0077223B">
        <w:t>rozvojové</w:t>
      </w:r>
      <w:r w:rsidR="00EF09F3">
        <w:t>ho</w:t>
      </w:r>
      <w:r w:rsidR="0077223B" w:rsidRPr="0077223B">
        <w:t xml:space="preserve"> fondu</w:t>
      </w:r>
    </w:p>
    <w:p w14:paraId="788DB578" w14:textId="57EFD608" w:rsidR="0077223B" w:rsidRPr="00B56353" w:rsidRDefault="00967F76" w:rsidP="006575BB">
      <w:pPr>
        <w:spacing w:before="120"/>
        <w:jc w:val="both"/>
      </w:pPr>
      <w:bookmarkStart w:id="14" w:name="_Hlk167447030"/>
      <w:r w:rsidRPr="00B56353">
        <w:rPr>
          <w:b/>
        </w:rPr>
        <w:t xml:space="preserve">MMR </w:t>
      </w:r>
      <w:r w:rsidR="00EE5250" w:rsidRPr="00B56353">
        <w:rPr>
          <w:b/>
        </w:rPr>
        <w:t>o</w:t>
      </w:r>
      <w:r w:rsidR="00EF09F3">
        <w:rPr>
          <w:b/>
        </w:rPr>
        <w:t xml:space="preserve"> </w:t>
      </w:r>
      <w:r w:rsidR="00EE5250" w:rsidRPr="00B56353">
        <w:rPr>
          <w:b/>
        </w:rPr>
        <w:t xml:space="preserve">prostředcích </w:t>
      </w:r>
      <w:r w:rsidRPr="00B56353">
        <w:rPr>
          <w:b/>
        </w:rPr>
        <w:t>vložen</w:t>
      </w:r>
      <w:r w:rsidR="00EE5250" w:rsidRPr="00B56353">
        <w:rPr>
          <w:b/>
        </w:rPr>
        <w:t>ých</w:t>
      </w:r>
      <w:r w:rsidRPr="00B56353">
        <w:rPr>
          <w:b/>
        </w:rPr>
        <w:t xml:space="preserve"> do </w:t>
      </w:r>
      <w:r w:rsidR="00FB47EF">
        <w:rPr>
          <w:b/>
        </w:rPr>
        <w:t>Regionálního rozvojového fondu (dále „</w:t>
      </w:r>
      <w:r w:rsidRPr="00B56353">
        <w:rPr>
          <w:b/>
        </w:rPr>
        <w:t>RRF</w:t>
      </w:r>
      <w:r w:rsidR="00FB47EF">
        <w:rPr>
          <w:b/>
        </w:rPr>
        <w:t>“)</w:t>
      </w:r>
      <w:r w:rsidRPr="00B56353">
        <w:t xml:space="preserve">, které </w:t>
      </w:r>
      <w:r w:rsidR="00EF09F3">
        <w:t>jsou pro MMR vedeny</w:t>
      </w:r>
      <w:r w:rsidRPr="00B56353">
        <w:t xml:space="preserve"> na třech bankovních účtech u finanční instituce</w:t>
      </w:r>
      <w:r w:rsidR="00EF09F3">
        <w:t>,</w:t>
      </w:r>
      <w:r w:rsidRPr="00B56353">
        <w:t xml:space="preserve"> </w:t>
      </w:r>
      <w:r w:rsidR="00EE5250" w:rsidRPr="00B56353">
        <w:rPr>
          <w:b/>
        </w:rPr>
        <w:t>účtovalo</w:t>
      </w:r>
      <w:r w:rsidRPr="00B56353">
        <w:rPr>
          <w:b/>
        </w:rPr>
        <w:t xml:space="preserve"> nesprávně na účtu 462</w:t>
      </w:r>
      <w:r w:rsidRPr="00B56353">
        <w:t xml:space="preserve"> – </w:t>
      </w:r>
      <w:r w:rsidRPr="00B75F34">
        <w:rPr>
          <w:i/>
          <w:iCs/>
        </w:rPr>
        <w:t>Poskytnuté návratné finanční výpomoci dlouhodobé</w:t>
      </w:r>
      <w:r w:rsidRPr="00B56353">
        <w:t xml:space="preserve"> </w:t>
      </w:r>
      <w:r w:rsidRPr="00B56353">
        <w:rPr>
          <w:b/>
        </w:rPr>
        <w:t xml:space="preserve">ve výši </w:t>
      </w:r>
      <w:r w:rsidR="00585568" w:rsidRPr="00B56353">
        <w:rPr>
          <w:b/>
        </w:rPr>
        <w:t xml:space="preserve">84,5 mil. Kč </w:t>
      </w:r>
      <w:r w:rsidRPr="00B56353">
        <w:rPr>
          <w:b/>
        </w:rPr>
        <w:t xml:space="preserve">a </w:t>
      </w:r>
      <w:r w:rsidR="00585568" w:rsidRPr="00B56353">
        <w:rPr>
          <w:b/>
        </w:rPr>
        <w:t xml:space="preserve">na </w:t>
      </w:r>
      <w:r w:rsidRPr="00B56353">
        <w:rPr>
          <w:b/>
        </w:rPr>
        <w:t xml:space="preserve">účtu </w:t>
      </w:r>
      <w:r w:rsidR="0088250A">
        <w:rPr>
          <w:b/>
        </w:rPr>
        <w:br/>
      </w:r>
      <w:r w:rsidRPr="00B56353">
        <w:rPr>
          <w:b/>
        </w:rPr>
        <w:t>241</w:t>
      </w:r>
      <w:r w:rsidRPr="00B56353">
        <w:t xml:space="preserve"> – </w:t>
      </w:r>
      <w:r w:rsidRPr="00B75F34">
        <w:rPr>
          <w:i/>
          <w:iCs/>
        </w:rPr>
        <w:t>Běžný účet</w:t>
      </w:r>
      <w:r w:rsidR="00585568" w:rsidRPr="00B56353">
        <w:t xml:space="preserve"> </w:t>
      </w:r>
      <w:r w:rsidR="00585568" w:rsidRPr="00B56353">
        <w:rPr>
          <w:b/>
        </w:rPr>
        <w:t>ve výši 20 mil. Kč</w:t>
      </w:r>
      <w:r w:rsidR="00585568" w:rsidRPr="00B56353">
        <w:t xml:space="preserve">. </w:t>
      </w:r>
      <w:r w:rsidRPr="00B56353">
        <w:rPr>
          <w:b/>
        </w:rPr>
        <w:t>MMR</w:t>
      </w:r>
      <w:r w:rsidR="00B70106">
        <w:rPr>
          <w:b/>
        </w:rPr>
        <w:t xml:space="preserve"> </w:t>
      </w:r>
      <w:r w:rsidR="00EF09F3">
        <w:rPr>
          <w:b/>
        </w:rPr>
        <w:t xml:space="preserve">z těchto peněžních prostředků </w:t>
      </w:r>
      <w:r w:rsidRPr="00B56353">
        <w:rPr>
          <w:b/>
        </w:rPr>
        <w:t>žádné návratné finanční výpomoci neposkytovalo</w:t>
      </w:r>
      <w:r w:rsidR="00EF09F3">
        <w:rPr>
          <w:b/>
        </w:rPr>
        <w:t xml:space="preserve">. </w:t>
      </w:r>
      <w:r w:rsidR="00EF09F3" w:rsidRPr="00EF15A8">
        <w:rPr>
          <w:bCs/>
        </w:rPr>
        <w:t>Navíc</w:t>
      </w:r>
      <w:r w:rsidR="00585568" w:rsidRPr="00B56353">
        <w:t xml:space="preserve"> </w:t>
      </w:r>
      <w:r w:rsidR="00585568" w:rsidRPr="00EF15A8">
        <w:rPr>
          <w:b/>
          <w:bCs/>
        </w:rPr>
        <w:t>s</w:t>
      </w:r>
      <w:r w:rsidRPr="00EF15A8">
        <w:rPr>
          <w:b/>
          <w:bCs/>
        </w:rPr>
        <w:t> prostředky RRF</w:t>
      </w:r>
      <w:r w:rsidRPr="00B56353">
        <w:t xml:space="preserve"> na bankovních účtech</w:t>
      </w:r>
      <w:r w:rsidR="002E55DC">
        <w:t>, ke kterým</w:t>
      </w:r>
      <w:r w:rsidR="00354A03">
        <w:t xml:space="preserve"> </w:t>
      </w:r>
      <w:r w:rsidR="00EF09F3">
        <w:t>nemá</w:t>
      </w:r>
      <w:r w:rsidRPr="00B56353">
        <w:t xml:space="preserve"> </w:t>
      </w:r>
      <w:r w:rsidRPr="00EF15A8">
        <w:rPr>
          <w:bCs/>
        </w:rPr>
        <w:t>MMR dispoziční oprávnění</w:t>
      </w:r>
      <w:r w:rsidRPr="00B56353">
        <w:t xml:space="preserve">, </w:t>
      </w:r>
      <w:r w:rsidRPr="00B56353">
        <w:rPr>
          <w:b/>
        </w:rPr>
        <w:t>nemůže</w:t>
      </w:r>
      <w:r w:rsidR="00591EE2">
        <w:rPr>
          <w:b/>
        </w:rPr>
        <w:t xml:space="preserve"> </w:t>
      </w:r>
      <w:r w:rsidRPr="00B56353">
        <w:rPr>
          <w:b/>
        </w:rPr>
        <w:t>volně disponovat</w:t>
      </w:r>
      <w:r w:rsidR="00FD7F4F">
        <w:rPr>
          <w:b/>
        </w:rPr>
        <w:t>,</w:t>
      </w:r>
      <w:r w:rsidRPr="00B56353">
        <w:rPr>
          <w:b/>
        </w:rPr>
        <w:t xml:space="preserve"> a nejedná se</w:t>
      </w:r>
      <w:r w:rsidRPr="00B56353">
        <w:t xml:space="preserve"> </w:t>
      </w:r>
      <w:r w:rsidR="00EE5250" w:rsidRPr="00B56353">
        <w:t xml:space="preserve">tak </w:t>
      </w:r>
      <w:r w:rsidRPr="00B56353">
        <w:rPr>
          <w:b/>
        </w:rPr>
        <w:t>o likvidní prostředky</w:t>
      </w:r>
      <w:r w:rsidR="00591EE2">
        <w:rPr>
          <w:b/>
        </w:rPr>
        <w:t xml:space="preserve"> pro MMR</w:t>
      </w:r>
      <w:r w:rsidR="00EF09F3">
        <w:rPr>
          <w:b/>
        </w:rPr>
        <w:t xml:space="preserve">. </w:t>
      </w:r>
      <w:r w:rsidR="00591EE2">
        <w:rPr>
          <w:b/>
        </w:rPr>
        <w:t>V důsledku uvedených skutečností mělo</w:t>
      </w:r>
      <w:r w:rsidR="00CD6003">
        <w:t xml:space="preserve"> </w:t>
      </w:r>
      <w:r w:rsidR="00EF09F3" w:rsidRPr="00B75F34">
        <w:t>MMR</w:t>
      </w:r>
      <w:r w:rsidR="00585568" w:rsidRPr="00B56353">
        <w:t xml:space="preserve"> </w:t>
      </w:r>
      <w:r w:rsidR="00EF09F3">
        <w:t>účtovat</w:t>
      </w:r>
      <w:r w:rsidR="00585568" w:rsidRPr="00B56353">
        <w:t xml:space="preserve"> </w:t>
      </w:r>
      <w:r w:rsidR="00EE5250" w:rsidRPr="00B56353">
        <w:t xml:space="preserve">o </w:t>
      </w:r>
      <w:r w:rsidR="00585568" w:rsidRPr="00B56353">
        <w:t>prostřed</w:t>
      </w:r>
      <w:r w:rsidR="00EE5250" w:rsidRPr="00B56353">
        <w:t>cích</w:t>
      </w:r>
      <w:r w:rsidR="00585568" w:rsidRPr="00B56353">
        <w:t xml:space="preserve"> RR</w:t>
      </w:r>
      <w:r w:rsidR="00EE5250" w:rsidRPr="00B56353">
        <w:t xml:space="preserve">F </w:t>
      </w:r>
      <w:r w:rsidR="00585568" w:rsidRPr="00B56353">
        <w:t xml:space="preserve">jako </w:t>
      </w:r>
      <w:r w:rsidR="00EE5250" w:rsidRPr="00B56353">
        <w:t xml:space="preserve">o </w:t>
      </w:r>
      <w:r w:rsidR="00585568" w:rsidRPr="00B56353">
        <w:t>dlouhodob</w:t>
      </w:r>
      <w:r w:rsidR="00EE5250" w:rsidRPr="00B56353">
        <w:t>ém</w:t>
      </w:r>
      <w:r w:rsidR="00585568" w:rsidRPr="00B56353">
        <w:t xml:space="preserve"> finanční</w:t>
      </w:r>
      <w:r w:rsidR="00EE5250" w:rsidRPr="00B56353">
        <w:t>m</w:t>
      </w:r>
      <w:r w:rsidR="00585568" w:rsidRPr="00B56353">
        <w:t xml:space="preserve"> majetk</w:t>
      </w:r>
      <w:r w:rsidR="00EE5250" w:rsidRPr="00B56353">
        <w:t>u</w:t>
      </w:r>
      <w:r w:rsidR="00585568" w:rsidRPr="00B56353">
        <w:t xml:space="preserve"> na účtu 069 – </w:t>
      </w:r>
      <w:r w:rsidR="00585568" w:rsidRPr="00B75F34">
        <w:rPr>
          <w:i/>
          <w:iCs/>
        </w:rPr>
        <w:t>Ostatní dlouhodobý finanční majetek</w:t>
      </w:r>
      <w:r w:rsidR="00585568" w:rsidRPr="00B56353">
        <w:t>.</w:t>
      </w:r>
      <w:r w:rsidR="00EF09F3">
        <w:t xml:space="preserve"> </w:t>
      </w:r>
    </w:p>
    <w:p w14:paraId="6F77A438" w14:textId="77777777" w:rsidR="00585568" w:rsidRDefault="00585568" w:rsidP="006575BB">
      <w:pPr>
        <w:spacing w:before="120"/>
        <w:jc w:val="both"/>
      </w:pPr>
      <w:bookmarkStart w:id="15" w:name="_Hlk167447130"/>
      <w:bookmarkEnd w:id="14"/>
      <w:r w:rsidRPr="00354051">
        <w:rPr>
          <w:b/>
        </w:rPr>
        <w:lastRenderedPageBreak/>
        <w:t>MMR přeúčtovalo prostředky RRF z účtů 462</w:t>
      </w:r>
      <w:r w:rsidRPr="00354051">
        <w:t xml:space="preserve"> – </w:t>
      </w:r>
      <w:r w:rsidRPr="00354051">
        <w:rPr>
          <w:i/>
        </w:rPr>
        <w:t>Poskytnuté návratné finanční výpomoci dlouhodobé</w:t>
      </w:r>
      <w:r w:rsidRPr="00354051">
        <w:t xml:space="preserve"> </w:t>
      </w:r>
      <w:r w:rsidRPr="00354051">
        <w:rPr>
          <w:b/>
        </w:rPr>
        <w:t>a 241</w:t>
      </w:r>
      <w:r w:rsidRPr="00354051">
        <w:t xml:space="preserve"> – </w:t>
      </w:r>
      <w:r w:rsidRPr="00354051">
        <w:rPr>
          <w:i/>
        </w:rPr>
        <w:t>Běžný účet</w:t>
      </w:r>
      <w:r w:rsidRPr="00354051">
        <w:t xml:space="preserve"> </w:t>
      </w:r>
      <w:r w:rsidRPr="00354051">
        <w:rPr>
          <w:b/>
        </w:rPr>
        <w:t>na účet 069</w:t>
      </w:r>
      <w:r w:rsidRPr="00354051">
        <w:t xml:space="preserve"> – </w:t>
      </w:r>
      <w:r w:rsidRPr="00354051">
        <w:rPr>
          <w:i/>
        </w:rPr>
        <w:t>Ostatní dlouhodobý finanční majetek</w:t>
      </w:r>
      <w:r w:rsidRPr="00354051">
        <w:t>.</w:t>
      </w:r>
    </w:p>
    <w:p w14:paraId="5BE3DA46" w14:textId="77777777" w:rsidR="00625E35" w:rsidRPr="00354051" w:rsidRDefault="00625E35" w:rsidP="006575BB">
      <w:pPr>
        <w:spacing w:before="120"/>
        <w:jc w:val="both"/>
      </w:pPr>
    </w:p>
    <w:bookmarkEnd w:id="15"/>
    <w:p w14:paraId="4F3998DA" w14:textId="3DBB5540" w:rsidR="0077223B" w:rsidRPr="00200A39" w:rsidRDefault="00307F98" w:rsidP="00307F98">
      <w:pPr>
        <w:pStyle w:val="Styl2"/>
        <w:numPr>
          <w:ilvl w:val="0"/>
          <w:numId w:val="0"/>
        </w:numPr>
        <w:spacing w:before="120" w:after="120"/>
        <w:ind w:left="567" w:hanging="567"/>
      </w:pPr>
      <w:r>
        <w:t>1.2.7</w:t>
      </w:r>
      <w:r>
        <w:tab/>
      </w:r>
      <w:r w:rsidR="00CF43D5">
        <w:t>Neúčtování o</w:t>
      </w:r>
      <w:r w:rsidR="0077223B" w:rsidRPr="0077223B">
        <w:t xml:space="preserve"> existující</w:t>
      </w:r>
      <w:r w:rsidR="00CF43D5">
        <w:t>c</w:t>
      </w:r>
      <w:r w:rsidR="0077223B" w:rsidRPr="0077223B">
        <w:t>h podmíněn</w:t>
      </w:r>
      <w:r w:rsidR="00CF43D5">
        <w:t>ých</w:t>
      </w:r>
      <w:r w:rsidR="0077223B" w:rsidRPr="0077223B">
        <w:t xml:space="preserve"> závaz</w:t>
      </w:r>
      <w:r w:rsidR="00CF43D5">
        <w:t>cích</w:t>
      </w:r>
      <w:r w:rsidR="0077223B" w:rsidRPr="0077223B">
        <w:t xml:space="preserve"> na </w:t>
      </w:r>
      <w:r w:rsidR="006272EC">
        <w:t>účtu</w:t>
      </w:r>
      <w:r w:rsidR="0077223B" w:rsidRPr="0077223B">
        <w:t xml:space="preserve"> 972 – </w:t>
      </w:r>
      <w:r w:rsidR="0077223B" w:rsidRPr="0077223B">
        <w:rPr>
          <w:i/>
        </w:rPr>
        <w:t>Dlouhodobé podmíněné závazky ze smluv o pořízení dlouhodobého majetku</w:t>
      </w:r>
    </w:p>
    <w:p w14:paraId="6FA9D2D6" w14:textId="77777777" w:rsidR="00967F76" w:rsidRPr="00B56353" w:rsidRDefault="004F7EDA" w:rsidP="006575BB">
      <w:pPr>
        <w:spacing w:before="120"/>
        <w:jc w:val="both"/>
      </w:pPr>
      <w:r w:rsidRPr="00B56353">
        <w:rPr>
          <w:b/>
        </w:rPr>
        <w:t xml:space="preserve">MMR </w:t>
      </w:r>
      <w:r w:rsidR="00967F76" w:rsidRPr="00B56353">
        <w:rPr>
          <w:b/>
        </w:rPr>
        <w:t>na účtu 972</w:t>
      </w:r>
      <w:r w:rsidR="00967F76" w:rsidRPr="00B56353">
        <w:t xml:space="preserve"> – </w:t>
      </w:r>
      <w:r w:rsidR="00967F76" w:rsidRPr="00B56353">
        <w:rPr>
          <w:i/>
        </w:rPr>
        <w:t>Dlouhodobé podmíněné závazky ze smluv o pořízení dlouhodobého majetku</w:t>
      </w:r>
      <w:r w:rsidR="00967F76" w:rsidRPr="00B56353">
        <w:t xml:space="preserve"> </w:t>
      </w:r>
      <w:r w:rsidR="00CF43D5">
        <w:rPr>
          <w:b/>
        </w:rPr>
        <w:t xml:space="preserve">neúčtovalo o </w:t>
      </w:r>
      <w:r w:rsidRPr="00B56353">
        <w:rPr>
          <w:b/>
        </w:rPr>
        <w:t>existující</w:t>
      </w:r>
      <w:r w:rsidR="00CF43D5">
        <w:rPr>
          <w:b/>
        </w:rPr>
        <w:t>ch</w:t>
      </w:r>
      <w:r w:rsidRPr="00B56353">
        <w:rPr>
          <w:b/>
        </w:rPr>
        <w:t xml:space="preserve"> podmíněn</w:t>
      </w:r>
      <w:r w:rsidR="00CF43D5">
        <w:rPr>
          <w:b/>
        </w:rPr>
        <w:t>ých</w:t>
      </w:r>
      <w:r w:rsidRPr="00B56353">
        <w:rPr>
          <w:b/>
        </w:rPr>
        <w:t xml:space="preserve"> závaz</w:t>
      </w:r>
      <w:r w:rsidR="00CF43D5">
        <w:rPr>
          <w:b/>
        </w:rPr>
        <w:t>cích</w:t>
      </w:r>
      <w:r w:rsidRPr="00B56353">
        <w:rPr>
          <w:b/>
        </w:rPr>
        <w:t xml:space="preserve"> ze smluv o pořízení dlouhodobého majetku</w:t>
      </w:r>
      <w:r w:rsidR="00967F76" w:rsidRPr="00B56353">
        <w:rPr>
          <w:b/>
        </w:rPr>
        <w:t xml:space="preserve"> v celkové výši 95 mil. Kč</w:t>
      </w:r>
      <w:r w:rsidR="00967F76" w:rsidRPr="001258AA">
        <w:rPr>
          <w:b/>
        </w:rPr>
        <w:t>.</w:t>
      </w:r>
    </w:p>
    <w:p w14:paraId="610A4E4E" w14:textId="77777777" w:rsidR="00967F76" w:rsidRPr="00B56353" w:rsidRDefault="00967F76" w:rsidP="006575BB">
      <w:pPr>
        <w:spacing w:before="120"/>
        <w:jc w:val="both"/>
      </w:pPr>
      <w:r w:rsidRPr="00B56353">
        <w:rPr>
          <w:b/>
        </w:rPr>
        <w:t>MMR doúčtovalo chybějící podmíněné závazky na účet 972</w:t>
      </w:r>
      <w:r w:rsidRPr="00B56353">
        <w:t xml:space="preserve"> – </w:t>
      </w:r>
      <w:r w:rsidRPr="00B56353">
        <w:rPr>
          <w:i/>
        </w:rPr>
        <w:t>Dlouhodobé podmíněné závazky ze smluv o pořízení dlouhodobého majetku</w:t>
      </w:r>
      <w:r w:rsidRPr="00B56353">
        <w:t>.</w:t>
      </w:r>
    </w:p>
    <w:p w14:paraId="636AFC32" w14:textId="77777777" w:rsidR="00A666E6" w:rsidRPr="004F6F5D" w:rsidRDefault="00A666E6" w:rsidP="006575BB">
      <w:pPr>
        <w:spacing w:before="120"/>
        <w:jc w:val="both"/>
        <w:rPr>
          <w:rFonts w:asciiTheme="minorHAnsi" w:hAnsiTheme="minorHAnsi" w:cs="Calibri"/>
          <w:bCs/>
          <w:highlight w:val="yellow"/>
        </w:rPr>
      </w:pPr>
    </w:p>
    <w:p w14:paraId="1A59FFA7" w14:textId="77777777" w:rsidR="0090755D" w:rsidRPr="00E23CE6" w:rsidRDefault="003F65AE" w:rsidP="006575BB">
      <w:pPr>
        <w:pStyle w:val="Styl2"/>
        <w:numPr>
          <w:ilvl w:val="1"/>
          <w:numId w:val="7"/>
        </w:numPr>
        <w:spacing w:before="120" w:after="120"/>
        <w:ind w:left="431" w:hanging="431"/>
      </w:pPr>
      <w:r w:rsidRPr="00E23CE6">
        <w:t>S</w:t>
      </w:r>
      <w:r w:rsidR="0090755D" w:rsidRPr="00E23CE6">
        <w:t>polehlivost údajů ÚZ</w:t>
      </w:r>
    </w:p>
    <w:p w14:paraId="09B17C51" w14:textId="77777777" w:rsidR="00CB5F84" w:rsidRPr="004A0073" w:rsidRDefault="00CB5F84" w:rsidP="006575BB">
      <w:pPr>
        <w:spacing w:before="120"/>
        <w:jc w:val="both"/>
        <w:rPr>
          <w:rFonts w:asciiTheme="minorHAnsi" w:hAnsiTheme="minorHAnsi" w:cstheme="minorHAnsi"/>
        </w:rPr>
      </w:pPr>
      <w:r w:rsidRPr="004A0073">
        <w:rPr>
          <w:rFonts w:asciiTheme="minorHAnsi" w:hAnsiTheme="minorHAnsi" w:cstheme="minorHAnsi"/>
        </w:rPr>
        <w:t>Údaje ÚZ vykáz</w:t>
      </w:r>
      <w:r w:rsidR="00AE61B1">
        <w:rPr>
          <w:rFonts w:asciiTheme="minorHAnsi" w:hAnsiTheme="minorHAnsi" w:cstheme="minorHAnsi"/>
        </w:rPr>
        <w:t>alo MMR</w:t>
      </w:r>
      <w:r w:rsidRPr="004A0073">
        <w:rPr>
          <w:rFonts w:asciiTheme="minorHAnsi" w:hAnsiTheme="minorHAnsi" w:cstheme="minorHAnsi"/>
        </w:rPr>
        <w:t xml:space="preserve"> v rozvaze, </w:t>
      </w:r>
      <w:r w:rsidR="007A2F65" w:rsidRPr="004A0073">
        <w:rPr>
          <w:rFonts w:asciiTheme="minorHAnsi" w:hAnsiTheme="minorHAnsi" w:cstheme="minorHAnsi"/>
        </w:rPr>
        <w:t xml:space="preserve">ve </w:t>
      </w:r>
      <w:r w:rsidRPr="004A0073">
        <w:rPr>
          <w:rFonts w:asciiTheme="minorHAnsi" w:hAnsiTheme="minorHAnsi" w:cstheme="minorHAnsi"/>
        </w:rPr>
        <w:t>výkazu zisku a ztráty,</w:t>
      </w:r>
      <w:r w:rsidR="00583C50" w:rsidRPr="004A0073">
        <w:rPr>
          <w:rFonts w:asciiTheme="minorHAnsi" w:hAnsiTheme="minorHAnsi" w:cstheme="minorHAnsi"/>
        </w:rPr>
        <w:t xml:space="preserve"> v</w:t>
      </w:r>
      <w:r w:rsidRPr="004A0073">
        <w:rPr>
          <w:rFonts w:asciiTheme="minorHAnsi" w:hAnsiTheme="minorHAnsi" w:cstheme="minorHAnsi"/>
        </w:rPr>
        <w:t xml:space="preserve"> přehledu o peněžních tocích, </w:t>
      </w:r>
      <w:r w:rsidR="007A2F65" w:rsidRPr="004A0073">
        <w:rPr>
          <w:rFonts w:asciiTheme="minorHAnsi" w:hAnsiTheme="minorHAnsi" w:cstheme="minorHAnsi"/>
        </w:rPr>
        <w:t>v</w:t>
      </w:r>
      <w:r w:rsidR="00A43D11" w:rsidRPr="004A0073">
        <w:rPr>
          <w:rFonts w:asciiTheme="minorHAnsi" w:hAnsiTheme="minorHAnsi" w:cstheme="minorHAnsi"/>
        </w:rPr>
        <w:t> </w:t>
      </w:r>
      <w:r w:rsidRPr="004A0073">
        <w:rPr>
          <w:rFonts w:asciiTheme="minorHAnsi" w:hAnsiTheme="minorHAnsi" w:cstheme="minorHAnsi"/>
        </w:rPr>
        <w:t>přehledu o změnách vlastního kapitálu a v příloze.</w:t>
      </w:r>
    </w:p>
    <w:p w14:paraId="4DE21271" w14:textId="1245C730" w:rsidR="001A391B" w:rsidRPr="004A0073" w:rsidRDefault="001A391B" w:rsidP="006575BB">
      <w:pPr>
        <w:spacing w:before="120"/>
        <w:jc w:val="both"/>
        <w:rPr>
          <w:rFonts w:cs="Calibri"/>
        </w:rPr>
      </w:pPr>
      <w:r w:rsidRPr="004A0073">
        <w:rPr>
          <w:rFonts w:cs="Calibri"/>
        </w:rPr>
        <w:t>Pro vyhodnocení spolehlivosti údajů ÚZ stanov</w:t>
      </w:r>
      <w:r w:rsidR="00437427" w:rsidRPr="004A0073">
        <w:rPr>
          <w:rFonts w:cs="Calibri"/>
        </w:rPr>
        <w:t>il</w:t>
      </w:r>
      <w:r w:rsidR="00EE2163" w:rsidRPr="004A0073">
        <w:rPr>
          <w:rFonts w:cs="Calibri"/>
        </w:rPr>
        <w:t xml:space="preserve"> </w:t>
      </w:r>
      <w:r w:rsidR="00274A10" w:rsidRPr="004A0073">
        <w:rPr>
          <w:rFonts w:cs="Calibri"/>
        </w:rPr>
        <w:t>N</w:t>
      </w:r>
      <w:r w:rsidR="0065525D">
        <w:rPr>
          <w:rFonts w:cs="Calibri"/>
        </w:rPr>
        <w:t>KÚ</w:t>
      </w:r>
      <w:r w:rsidRPr="004A0073">
        <w:rPr>
          <w:rFonts w:cs="Calibri"/>
        </w:rPr>
        <w:t xml:space="preserve"> hladin</w:t>
      </w:r>
      <w:r w:rsidR="00437427" w:rsidRPr="004A0073">
        <w:rPr>
          <w:rFonts w:cs="Calibri"/>
        </w:rPr>
        <w:t>u</w:t>
      </w:r>
      <w:r w:rsidRPr="004A0073">
        <w:rPr>
          <w:rFonts w:cs="Calibri"/>
        </w:rPr>
        <w:t xml:space="preserve"> významnosti</w:t>
      </w:r>
      <w:r w:rsidR="00904246" w:rsidRPr="004A0073">
        <w:rPr>
          <w:rStyle w:val="Znakapoznpodarou"/>
          <w:rFonts w:cs="Calibri"/>
        </w:rPr>
        <w:footnoteReference w:id="31"/>
      </w:r>
      <w:r w:rsidRPr="004A0073">
        <w:rPr>
          <w:rFonts w:cs="Calibri"/>
        </w:rPr>
        <w:t xml:space="preserve"> ve výši </w:t>
      </w:r>
      <w:r w:rsidR="004A0073">
        <w:rPr>
          <w:rFonts w:cs="Calibri"/>
        </w:rPr>
        <w:t>600</w:t>
      </w:r>
      <w:r w:rsidR="00A80E37">
        <w:rPr>
          <w:rFonts w:cs="Calibri"/>
        </w:rPr>
        <w:t> </w:t>
      </w:r>
      <w:r w:rsidRPr="004A0073">
        <w:rPr>
          <w:rFonts w:cs="Calibri"/>
        </w:rPr>
        <w:t>mil.</w:t>
      </w:r>
      <w:r w:rsidR="00A80E37">
        <w:rPr>
          <w:rFonts w:cs="Calibri"/>
        </w:rPr>
        <w:t> </w:t>
      </w:r>
      <w:r w:rsidRPr="004A0073">
        <w:rPr>
          <w:rFonts w:cs="Calibri"/>
        </w:rPr>
        <w:t>Kč</w:t>
      </w:r>
      <w:r w:rsidR="00904246" w:rsidRPr="004A0073">
        <w:rPr>
          <w:rStyle w:val="Znakapoznpodarou"/>
          <w:rFonts w:cs="Calibri"/>
        </w:rPr>
        <w:footnoteReference w:id="32"/>
      </w:r>
      <w:r w:rsidRPr="004A0073">
        <w:rPr>
          <w:rFonts w:cs="Calibri"/>
        </w:rPr>
        <w:t>.</w:t>
      </w:r>
    </w:p>
    <w:p w14:paraId="5B1C1647" w14:textId="5050250B" w:rsidR="002C44C1" w:rsidRPr="00B42AEA" w:rsidRDefault="00350785" w:rsidP="006575BB">
      <w:pPr>
        <w:spacing w:before="120"/>
        <w:jc w:val="both"/>
        <w:rPr>
          <w:rFonts w:eastAsia="Calibri" w:cs="Calibri"/>
        </w:rPr>
      </w:pPr>
      <w:r w:rsidRPr="00B42AEA">
        <w:rPr>
          <w:rFonts w:asciiTheme="minorHAnsi" w:hAnsiTheme="minorHAnsi" w:cstheme="minorHAnsi"/>
          <w:spacing w:val="-2"/>
        </w:rPr>
        <w:t>V</w:t>
      </w:r>
      <w:r w:rsidR="00CF05CF" w:rsidRPr="00B42AEA">
        <w:rPr>
          <w:rFonts w:asciiTheme="minorHAnsi" w:hAnsiTheme="minorHAnsi" w:cstheme="minorHAnsi"/>
          <w:spacing w:val="-2"/>
        </w:rPr>
        <w:t> účetní závěrce</w:t>
      </w:r>
      <w:r w:rsidRPr="00B42AEA">
        <w:rPr>
          <w:rFonts w:eastAsia="Calibri" w:cs="Calibri"/>
        </w:rPr>
        <w:t xml:space="preserve"> </w:t>
      </w:r>
      <w:r w:rsidR="00EE2D5D" w:rsidRPr="00B42AEA">
        <w:rPr>
          <w:rFonts w:eastAsia="Calibri" w:cs="Calibri"/>
        </w:rPr>
        <w:t>sestavené po provedení oprav</w:t>
      </w:r>
      <w:r w:rsidR="00CB5F84" w:rsidRPr="00B42AEA">
        <w:rPr>
          <w:rFonts w:eastAsia="Calibri" w:cs="Calibri"/>
        </w:rPr>
        <w:t xml:space="preserve"> </w:t>
      </w:r>
      <w:r w:rsidR="00583C50" w:rsidRPr="00B42AEA">
        <w:rPr>
          <w:rFonts w:eastAsia="Calibri" w:cs="Calibri"/>
        </w:rPr>
        <w:t>(</w:t>
      </w:r>
      <w:r w:rsidR="00CB5F84" w:rsidRPr="00B42AEA">
        <w:rPr>
          <w:rFonts w:eastAsia="Calibri" w:cs="Calibri"/>
        </w:rPr>
        <w:t>uvedených v </w:t>
      </w:r>
      <w:r w:rsidR="00CB5F84" w:rsidRPr="00B75F34">
        <w:rPr>
          <w:rFonts w:eastAsia="Calibri" w:cs="Calibri"/>
        </w:rPr>
        <w:t>části IV.</w:t>
      </w:r>
      <w:r w:rsidR="000A11F0" w:rsidRPr="00B75F34">
        <w:rPr>
          <w:rFonts w:eastAsia="Calibri" w:cs="Calibri"/>
        </w:rPr>
        <w:t>1</w:t>
      </w:r>
      <w:r w:rsidR="00CB5F84" w:rsidRPr="00B75F34">
        <w:rPr>
          <w:rFonts w:eastAsia="Calibri" w:cs="Calibri"/>
        </w:rPr>
        <w:t>.</w:t>
      </w:r>
      <w:r w:rsidR="00A92225" w:rsidRPr="00B75F34">
        <w:rPr>
          <w:rFonts w:eastAsia="Calibri" w:cs="Calibri"/>
        </w:rPr>
        <w:t>2</w:t>
      </w:r>
      <w:r w:rsidR="00A80E37">
        <w:rPr>
          <w:rFonts w:eastAsia="Calibri" w:cs="Calibri"/>
        </w:rPr>
        <w:t xml:space="preserve"> tohoto kontrolního závěru</w:t>
      </w:r>
      <w:r w:rsidR="00583C50" w:rsidRPr="00B75F34">
        <w:rPr>
          <w:rFonts w:eastAsia="Calibri" w:cs="Calibri"/>
        </w:rPr>
        <w:t>)</w:t>
      </w:r>
      <w:r w:rsidR="004E0006" w:rsidRPr="00B75F34">
        <w:rPr>
          <w:rFonts w:eastAsia="Calibri" w:cs="Calibri"/>
        </w:rPr>
        <w:t xml:space="preserve"> </w:t>
      </w:r>
      <w:r w:rsidR="00320FC2" w:rsidRPr="00B75F34">
        <w:rPr>
          <w:rFonts w:eastAsia="Calibri" w:cs="Calibri"/>
        </w:rPr>
        <w:t>ne</w:t>
      </w:r>
      <w:r w:rsidR="007E110A" w:rsidRPr="00B75F34">
        <w:rPr>
          <w:rFonts w:eastAsia="Calibri" w:cs="Calibri"/>
        </w:rPr>
        <w:t>zji</w:t>
      </w:r>
      <w:r w:rsidR="00320FC2" w:rsidRPr="00B75F34">
        <w:rPr>
          <w:rFonts w:eastAsia="Calibri" w:cs="Calibri"/>
        </w:rPr>
        <w:t>stil</w:t>
      </w:r>
      <w:r w:rsidR="00320FC2" w:rsidRPr="00B42AEA">
        <w:rPr>
          <w:rFonts w:eastAsia="Calibri" w:cs="Calibri"/>
        </w:rPr>
        <w:t xml:space="preserve"> NKÚ</w:t>
      </w:r>
      <w:r w:rsidR="007E110A" w:rsidRPr="00B42AEA">
        <w:rPr>
          <w:rFonts w:eastAsia="Calibri" w:cs="Calibri"/>
        </w:rPr>
        <w:t xml:space="preserve"> žádné neopravené nesprávnosti.</w:t>
      </w:r>
    </w:p>
    <w:p w14:paraId="1F10C151" w14:textId="77777777" w:rsidR="00914FA0" w:rsidRPr="00B42AEA" w:rsidRDefault="0085712D" w:rsidP="006575BB">
      <w:pPr>
        <w:spacing w:before="120"/>
        <w:jc w:val="both"/>
        <w:rPr>
          <w:rFonts w:asciiTheme="minorHAnsi" w:hAnsiTheme="minorHAnsi" w:cs="Calibri"/>
          <w:b/>
        </w:rPr>
      </w:pPr>
      <w:r w:rsidRPr="00B42AEA">
        <w:rPr>
          <w:rFonts w:asciiTheme="minorHAnsi" w:hAnsiTheme="minorHAnsi" w:cs="Calibri"/>
          <w:b/>
        </w:rPr>
        <w:t>D</w:t>
      </w:r>
      <w:r w:rsidR="00983C54" w:rsidRPr="00B42AEA">
        <w:rPr>
          <w:rFonts w:asciiTheme="minorHAnsi" w:hAnsiTheme="minorHAnsi" w:cs="Calibri"/>
          <w:b/>
        </w:rPr>
        <w:t xml:space="preserve">le NKÚ účetní závěrka </w:t>
      </w:r>
      <w:r w:rsidR="00B42AEA" w:rsidRPr="00B42AEA">
        <w:rPr>
          <w:rFonts w:asciiTheme="minorHAnsi" w:hAnsiTheme="minorHAnsi" w:cs="Calibri"/>
          <w:b/>
        </w:rPr>
        <w:t>MMR</w:t>
      </w:r>
      <w:r w:rsidR="00983C54" w:rsidRPr="00B42AEA">
        <w:rPr>
          <w:rFonts w:asciiTheme="minorHAnsi" w:hAnsiTheme="minorHAnsi" w:cs="Calibri"/>
          <w:b/>
        </w:rPr>
        <w:t xml:space="preserve"> k 31. prosinci </w:t>
      </w:r>
      <w:r w:rsidR="00B42AEA" w:rsidRPr="00B42AEA">
        <w:rPr>
          <w:rFonts w:asciiTheme="minorHAnsi" w:hAnsiTheme="minorHAnsi" w:cs="Calibri"/>
          <w:b/>
        </w:rPr>
        <w:t>2023</w:t>
      </w:r>
      <w:r w:rsidR="00487F34" w:rsidRPr="00B42AEA">
        <w:rPr>
          <w:rFonts w:asciiTheme="minorHAnsi" w:hAnsiTheme="minorHAnsi" w:cs="Calibri"/>
          <w:b/>
        </w:rPr>
        <w:t xml:space="preserve"> </w:t>
      </w:r>
      <w:r w:rsidR="001B4D88" w:rsidRPr="00B42AEA">
        <w:rPr>
          <w:rFonts w:asciiTheme="minorHAnsi" w:hAnsiTheme="minorHAnsi" w:cs="Calibri"/>
          <w:b/>
        </w:rPr>
        <w:t xml:space="preserve">podává </w:t>
      </w:r>
      <w:r w:rsidR="00983C54" w:rsidRPr="00B42AEA">
        <w:rPr>
          <w:rFonts w:asciiTheme="minorHAnsi" w:hAnsiTheme="minorHAnsi" w:cs="Calibri"/>
          <w:b/>
        </w:rPr>
        <w:t>ve všech významných ohledech věrný a poctivý obraz předmětu účetnictví a finanční situace účetní jednotky dle účetních předpisů pro některé vybrané účetní jednotky.</w:t>
      </w:r>
    </w:p>
    <w:p w14:paraId="69663F7F" w14:textId="77777777" w:rsidR="00B460A6" w:rsidRPr="004F6F5D" w:rsidRDefault="00B460A6" w:rsidP="006575BB">
      <w:pPr>
        <w:spacing w:before="120"/>
        <w:jc w:val="both"/>
        <w:rPr>
          <w:rFonts w:cs="Calibri"/>
          <w:highlight w:val="yellow"/>
        </w:rPr>
      </w:pPr>
      <w:r w:rsidRPr="00B42AEA">
        <w:rPr>
          <w:iCs/>
        </w:rPr>
        <w:t xml:space="preserve">Spolehlivé informace účetní závěrky mají dle </w:t>
      </w:r>
      <w:r w:rsidR="007A2F65" w:rsidRPr="00B42AEA">
        <w:rPr>
          <w:iCs/>
        </w:rPr>
        <w:t>ustanovení</w:t>
      </w:r>
      <w:r w:rsidRPr="00B42AEA">
        <w:rPr>
          <w:iCs/>
        </w:rPr>
        <w:t xml:space="preserve"> § 7</w:t>
      </w:r>
      <w:r w:rsidR="00C17B88">
        <w:rPr>
          <w:iCs/>
        </w:rPr>
        <w:t xml:space="preserve"> odst. 1</w:t>
      </w:r>
      <w:r w:rsidRPr="00B42AEA">
        <w:rPr>
          <w:iCs/>
        </w:rPr>
        <w:t xml:space="preserve"> zákona č. 563/1991 Sb. umožnit jejím uživatelům činit ekonomická rozhodnutí. V rámci kontroly proved</w:t>
      </w:r>
      <w:r w:rsidR="00320FC2" w:rsidRPr="00B42AEA">
        <w:rPr>
          <w:iCs/>
        </w:rPr>
        <w:t>l NKÚ</w:t>
      </w:r>
      <w:r w:rsidRPr="00B42AEA">
        <w:rPr>
          <w:iCs/>
        </w:rPr>
        <w:t xml:space="preserve"> rozbor výsledku hospodaření </w:t>
      </w:r>
      <w:r w:rsidR="00B42AEA">
        <w:rPr>
          <w:iCs/>
        </w:rPr>
        <w:t>M</w:t>
      </w:r>
      <w:r w:rsidR="00B42AEA" w:rsidRPr="00B42AEA">
        <w:rPr>
          <w:iCs/>
        </w:rPr>
        <w:t>MR</w:t>
      </w:r>
      <w:r w:rsidRPr="00B42AEA">
        <w:rPr>
          <w:iCs/>
        </w:rPr>
        <w:t xml:space="preserve"> z pohledu akruálního (účetního) a peněžního (plnění rozpočtu) a</w:t>
      </w:r>
      <w:r w:rsidR="0088250A">
        <w:rPr>
          <w:iCs/>
        </w:rPr>
        <w:t> </w:t>
      </w:r>
      <w:r w:rsidRPr="00B42AEA">
        <w:rPr>
          <w:iCs/>
        </w:rPr>
        <w:t xml:space="preserve">popis, zda a jak </w:t>
      </w:r>
      <w:r w:rsidR="00B42AEA" w:rsidRPr="00B42AEA">
        <w:rPr>
          <w:iCs/>
        </w:rPr>
        <w:t>MMR</w:t>
      </w:r>
      <w:r w:rsidRPr="00B42AEA">
        <w:rPr>
          <w:iCs/>
        </w:rPr>
        <w:t xml:space="preserve"> využívá akruální účetní informace vč. informací vykazovaných na podrozvahových účtech – </w:t>
      </w:r>
      <w:r w:rsidR="00B238BD" w:rsidRPr="00B42AEA">
        <w:rPr>
          <w:iCs/>
        </w:rPr>
        <w:t>blíže</w:t>
      </w:r>
      <w:r w:rsidRPr="00B42AEA">
        <w:rPr>
          <w:iCs/>
        </w:rPr>
        <w:t xml:space="preserve"> viz příloha č. 1 a č. 2 tohoto kontrolního závěru.</w:t>
      </w:r>
    </w:p>
    <w:p w14:paraId="129ECDAC" w14:textId="77777777" w:rsidR="003664A1" w:rsidRPr="004F6F5D" w:rsidRDefault="003664A1" w:rsidP="006575BB">
      <w:pPr>
        <w:spacing w:before="120"/>
        <w:rPr>
          <w:iCs/>
          <w:highlight w:val="yellow"/>
        </w:rPr>
      </w:pPr>
    </w:p>
    <w:p w14:paraId="7144ED7D" w14:textId="77777777" w:rsidR="00A75011" w:rsidRDefault="00A75011" w:rsidP="00FF6DAA">
      <w:pPr>
        <w:pStyle w:val="Styl2"/>
        <w:numPr>
          <w:ilvl w:val="0"/>
          <w:numId w:val="7"/>
        </w:numPr>
        <w:spacing w:before="120" w:after="120"/>
        <w:ind w:left="340" w:hanging="340"/>
      </w:pPr>
      <w:r w:rsidRPr="00E23CE6">
        <w:t xml:space="preserve">Údaje předkládané </w:t>
      </w:r>
      <w:r w:rsidR="00E23CE6" w:rsidRPr="00E23CE6">
        <w:t>Ministerstvem pro místní rozvoj</w:t>
      </w:r>
      <w:r w:rsidR="00F11CA7" w:rsidRPr="00E23CE6">
        <w:t xml:space="preserve"> pro hodnocení plnění </w:t>
      </w:r>
      <w:r w:rsidR="00F95077" w:rsidRPr="00E23CE6">
        <w:t xml:space="preserve">státního </w:t>
      </w:r>
      <w:r w:rsidR="00F11CA7" w:rsidRPr="00E23CE6">
        <w:t>rozpočtu</w:t>
      </w:r>
      <w:r w:rsidRPr="00E23CE6">
        <w:t xml:space="preserve"> za rok </w:t>
      </w:r>
      <w:r w:rsidR="00E23CE6" w:rsidRPr="00E23CE6">
        <w:t>2023</w:t>
      </w:r>
    </w:p>
    <w:p w14:paraId="7C57C27A" w14:textId="77777777" w:rsidR="00BB04C7" w:rsidRPr="00BB04C7" w:rsidRDefault="00BB04C7" w:rsidP="006575BB">
      <w:pPr>
        <w:spacing w:before="120"/>
        <w:jc w:val="both"/>
        <w:rPr>
          <w:rFonts w:asciiTheme="minorHAnsi" w:hAnsiTheme="minorHAnsi" w:cstheme="minorHAnsi"/>
        </w:rPr>
      </w:pPr>
      <w:r w:rsidRPr="00BB04C7">
        <w:rPr>
          <w:rFonts w:asciiTheme="minorHAnsi" w:hAnsiTheme="minorHAnsi" w:cstheme="minorHAnsi"/>
        </w:rPr>
        <w:t xml:space="preserve">NKÚ provedl ve výkazu FIN 1-12 OSS MMR sestaveném k 31. prosinci 2023 u údajů o příjmech a výdajích ve sloupci </w:t>
      </w:r>
      <w:r w:rsidRPr="00BB04C7">
        <w:rPr>
          <w:rFonts w:asciiTheme="minorHAnsi" w:hAnsiTheme="minorHAnsi" w:cstheme="minorHAnsi"/>
          <w:i/>
        </w:rPr>
        <w:t>Skutečnost</w:t>
      </w:r>
      <w:r w:rsidRPr="00BB04C7">
        <w:rPr>
          <w:rFonts w:asciiTheme="minorHAnsi" w:hAnsiTheme="minorHAnsi" w:cstheme="minorHAnsi"/>
        </w:rPr>
        <w:t xml:space="preserve"> kontrolu správnosti jejich druhového, odvětvového a</w:t>
      </w:r>
      <w:r w:rsidR="0088250A">
        <w:rPr>
          <w:rFonts w:asciiTheme="minorHAnsi" w:hAnsiTheme="minorHAnsi" w:cstheme="minorHAnsi"/>
        </w:rPr>
        <w:t> </w:t>
      </w:r>
      <w:r w:rsidRPr="00BB04C7">
        <w:rPr>
          <w:rFonts w:asciiTheme="minorHAnsi" w:hAnsiTheme="minorHAnsi" w:cstheme="minorHAnsi"/>
        </w:rPr>
        <w:t>prostorového třídění dle rozpočtové skladby.</w:t>
      </w:r>
    </w:p>
    <w:p w14:paraId="4DCCBC14" w14:textId="77777777" w:rsidR="00BB04C7" w:rsidRPr="00BB04C7" w:rsidRDefault="00BB04C7" w:rsidP="006575BB">
      <w:pPr>
        <w:spacing w:before="120"/>
        <w:jc w:val="both"/>
        <w:rPr>
          <w:rFonts w:asciiTheme="minorHAnsi" w:hAnsiTheme="minorHAnsi" w:cstheme="minorHAnsi"/>
        </w:rPr>
      </w:pPr>
    </w:p>
    <w:p w14:paraId="42582B8C" w14:textId="77777777" w:rsidR="003604D9" w:rsidRDefault="003604D9" w:rsidP="006575BB">
      <w:pPr>
        <w:pStyle w:val="Styl2"/>
        <w:numPr>
          <w:ilvl w:val="1"/>
          <w:numId w:val="7"/>
        </w:numPr>
        <w:spacing w:before="120" w:after="120"/>
        <w:ind w:left="431" w:hanging="431"/>
      </w:pPr>
      <w:r w:rsidRPr="00E23CE6">
        <w:lastRenderedPageBreak/>
        <w:t>Opravy chyb v</w:t>
      </w:r>
      <w:r>
        <w:t> klasifikaci rozpočtových příjmů a výdajů</w:t>
      </w:r>
      <w:r w:rsidRPr="00E23CE6">
        <w:t xml:space="preserve"> v průběhu </w:t>
      </w:r>
      <w:r>
        <w:t>roku 2023</w:t>
      </w:r>
    </w:p>
    <w:p w14:paraId="4B8B835C" w14:textId="74FB6E3F" w:rsidR="003604D9" w:rsidRDefault="003604D9" w:rsidP="006575BB">
      <w:pPr>
        <w:spacing w:before="12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NKÚ zahájil kontrolu již </w:t>
      </w:r>
      <w:r w:rsidRPr="003604D9">
        <w:rPr>
          <w:rFonts w:asciiTheme="minorHAnsi" w:hAnsiTheme="minorHAnsi" w:cstheme="minorHAnsi"/>
          <w:spacing w:val="-2"/>
        </w:rPr>
        <w:t>v průběhu kontrolovaného rozpočtového období 2023, což umožnilo MMR provést opravu nedostatků identifikovaných v klasifikaci rozpočtových výdajů a příjmů v průběhu kontroly NKÚ ještě před</w:t>
      </w:r>
      <w:r w:rsidR="000013BA">
        <w:rPr>
          <w:rFonts w:asciiTheme="minorHAnsi" w:hAnsiTheme="minorHAnsi" w:cstheme="minorHAnsi"/>
          <w:spacing w:val="-2"/>
        </w:rPr>
        <w:t xml:space="preserve"> </w:t>
      </w:r>
      <w:r w:rsidRPr="003604D9">
        <w:rPr>
          <w:rFonts w:asciiTheme="minorHAnsi" w:hAnsiTheme="minorHAnsi" w:cstheme="minorHAnsi"/>
          <w:spacing w:val="-2"/>
        </w:rPr>
        <w:t xml:space="preserve">sestavením výkazu FIN 1-12 OSS. </w:t>
      </w:r>
    </w:p>
    <w:p w14:paraId="73C6FE90" w14:textId="77777777" w:rsidR="003604D9" w:rsidRDefault="003604D9" w:rsidP="006575BB">
      <w:pPr>
        <w:spacing w:before="120"/>
        <w:jc w:val="both"/>
      </w:pPr>
      <w:r w:rsidRPr="00A377B6">
        <w:rPr>
          <w:rFonts w:cs="Calibri"/>
          <w:lang w:eastAsia="cs-CZ"/>
        </w:rPr>
        <w:t xml:space="preserve">V údajích předkládaných MMR </w:t>
      </w:r>
      <w:r w:rsidRPr="00A377B6">
        <w:t>pro hodnocení plnění státního rozpočtu za rok 2023 zjistil NKÚ v průběhu kontroly nevýznamné nedostatky ve výši 16 mil. Kč</w:t>
      </w:r>
      <w:r w:rsidRPr="00C855A0">
        <w:rPr>
          <w:rStyle w:val="Znakapoznpodarou"/>
          <w:rFonts w:asciiTheme="minorHAnsi" w:hAnsiTheme="minorHAnsi" w:cs="Calibri"/>
          <w:bCs/>
        </w:rPr>
        <w:footnoteReference w:id="33"/>
      </w:r>
      <w:r w:rsidRPr="00A377B6">
        <w:t>, které MMR v průběhu kontroly opravilo.</w:t>
      </w:r>
      <w:r>
        <w:t xml:space="preserve"> Tyto nedostatky byly způsobeny zejména tím, že MMR zatřiďovalo některé transfery poskytované státním podnikům, zájmovým sdružením právnických osob, spolkům, ústavům, nadacím a nadačním fondům na nesprávnou rozpočtovou položku.</w:t>
      </w:r>
    </w:p>
    <w:p w14:paraId="3420D07A" w14:textId="77777777" w:rsidR="003604D9" w:rsidRDefault="003604D9" w:rsidP="006575BB">
      <w:pPr>
        <w:spacing w:before="120"/>
        <w:jc w:val="both"/>
      </w:pPr>
    </w:p>
    <w:p w14:paraId="69EA9D07" w14:textId="77777777" w:rsidR="003604D9" w:rsidRDefault="003604D9" w:rsidP="006575BB">
      <w:pPr>
        <w:pStyle w:val="Styl2"/>
        <w:numPr>
          <w:ilvl w:val="1"/>
          <w:numId w:val="7"/>
        </w:numPr>
        <w:spacing w:before="120" w:after="120"/>
        <w:ind w:left="431" w:hanging="431"/>
      </w:pPr>
      <w:r>
        <w:t>Spolehlivost údajů výkazu FIN 1-12 OSS</w:t>
      </w:r>
    </w:p>
    <w:p w14:paraId="68970509" w14:textId="77777777" w:rsidR="00034564" w:rsidRPr="00B42AEA" w:rsidRDefault="00034564" w:rsidP="006575BB">
      <w:pPr>
        <w:spacing w:before="120"/>
        <w:jc w:val="both"/>
      </w:pPr>
      <w:r w:rsidRPr="00B42AEA">
        <w:t xml:space="preserve">Pro posouzení významnosti zjištěných nesprávností v údajích předkládaných </w:t>
      </w:r>
      <w:r w:rsidR="00B42AEA" w:rsidRPr="00B42AEA">
        <w:t>Ministerstvem pro místní rozvoj</w:t>
      </w:r>
      <w:r w:rsidR="00AA122F" w:rsidRPr="00B42AEA">
        <w:t xml:space="preserve"> </w:t>
      </w:r>
      <w:r w:rsidRPr="00B42AEA">
        <w:t>pro hodnocení plnění</w:t>
      </w:r>
      <w:r w:rsidR="00F95077" w:rsidRPr="00B42AEA">
        <w:t xml:space="preserve"> </w:t>
      </w:r>
      <w:r w:rsidR="00AA122F" w:rsidRPr="00B42AEA">
        <w:t xml:space="preserve">státního </w:t>
      </w:r>
      <w:r w:rsidRPr="00B42AEA">
        <w:t xml:space="preserve">rozpočtu </w:t>
      </w:r>
      <w:r w:rsidR="000176F5" w:rsidRPr="00B42AEA">
        <w:t>stanovil</w:t>
      </w:r>
      <w:r w:rsidR="00EE2163" w:rsidRPr="00B42AEA">
        <w:t xml:space="preserve"> NKÚ </w:t>
      </w:r>
      <w:r w:rsidR="009C3CD0" w:rsidRPr="00B42AEA">
        <w:t>hladin</w:t>
      </w:r>
      <w:r w:rsidR="000176F5" w:rsidRPr="00B42AEA">
        <w:t>u</w:t>
      </w:r>
      <w:r w:rsidR="009C3CD0" w:rsidRPr="00B42AEA">
        <w:t xml:space="preserve"> </w:t>
      </w:r>
      <w:r w:rsidRPr="00B42AEA">
        <w:t>významnost</w:t>
      </w:r>
      <w:r w:rsidR="009C3CD0" w:rsidRPr="00B42AEA">
        <w:t>i</w:t>
      </w:r>
      <w:r w:rsidRPr="00B42AEA">
        <w:t xml:space="preserve"> ve výši </w:t>
      </w:r>
      <w:r w:rsidR="00B42AEA" w:rsidRPr="00B42AEA">
        <w:t>60</w:t>
      </w:r>
      <w:r w:rsidR="00AA122F" w:rsidRPr="00B42AEA">
        <w:t>0</w:t>
      </w:r>
      <w:r w:rsidR="005C5441" w:rsidRPr="00B42AEA">
        <w:t xml:space="preserve"> </w:t>
      </w:r>
      <w:r w:rsidRPr="00B42AEA">
        <w:t>mil. Kč</w:t>
      </w:r>
      <w:r w:rsidR="00E45ADC" w:rsidRPr="00B42AEA">
        <w:rPr>
          <w:rStyle w:val="Znakapoznpodarou"/>
        </w:rPr>
        <w:footnoteReference w:id="34"/>
      </w:r>
      <w:r w:rsidRPr="00B42AEA">
        <w:t>.</w:t>
      </w:r>
    </w:p>
    <w:p w14:paraId="64AD6538" w14:textId="77777777" w:rsidR="002500C2" w:rsidRPr="00B42AEA" w:rsidRDefault="0085712D" w:rsidP="006575BB">
      <w:pPr>
        <w:spacing w:before="120"/>
        <w:jc w:val="both"/>
        <w:rPr>
          <w:rFonts w:asciiTheme="minorHAnsi" w:hAnsiTheme="minorHAnsi" w:cs="Calibri"/>
          <w:b/>
        </w:rPr>
      </w:pPr>
      <w:r w:rsidRPr="00B42AEA">
        <w:rPr>
          <w:rFonts w:eastAsiaTheme="minorHAnsi" w:cs="Calibri"/>
          <w:b/>
        </w:rPr>
        <w:t>D</w:t>
      </w:r>
      <w:r w:rsidR="00063F65" w:rsidRPr="00B42AEA">
        <w:rPr>
          <w:rFonts w:eastAsiaTheme="minorHAnsi" w:cs="Calibri"/>
          <w:b/>
        </w:rPr>
        <w:t>le NKÚ byl uvedený výkaz pro hodnocení plnění rozpočtu</w:t>
      </w:r>
      <w:r w:rsidR="00063F65" w:rsidRPr="00B42AEA">
        <w:rPr>
          <w:rFonts w:asciiTheme="minorHAnsi" w:hAnsiTheme="minorHAnsi" w:cstheme="minorHAnsi"/>
          <w:b/>
        </w:rPr>
        <w:t xml:space="preserve"> </w:t>
      </w:r>
      <w:r w:rsidR="00063F65" w:rsidRPr="00B42AEA">
        <w:rPr>
          <w:rFonts w:eastAsiaTheme="minorHAnsi" w:cs="Calibri"/>
          <w:b/>
        </w:rPr>
        <w:t>ve všech významných ohledech sestaven v souladu s příslušnými právními předpisy</w:t>
      </w:r>
      <w:r w:rsidR="00063F65" w:rsidRPr="00B42AEA">
        <w:rPr>
          <w:rFonts w:asciiTheme="minorHAnsi" w:hAnsiTheme="minorHAnsi" w:cs="Calibri"/>
          <w:b/>
        </w:rPr>
        <w:t>.</w:t>
      </w:r>
    </w:p>
    <w:p w14:paraId="6B11031D" w14:textId="77777777" w:rsidR="00E57955" w:rsidRPr="004F6F5D" w:rsidRDefault="00E57955" w:rsidP="006575BB">
      <w:pPr>
        <w:spacing w:before="120"/>
        <w:jc w:val="both"/>
        <w:rPr>
          <w:highlight w:val="yellow"/>
        </w:rPr>
      </w:pPr>
    </w:p>
    <w:p w14:paraId="06B14D59" w14:textId="77777777" w:rsidR="00E23CE6" w:rsidRDefault="00E23CE6" w:rsidP="00FF6DAA">
      <w:pPr>
        <w:pStyle w:val="Styl2"/>
        <w:numPr>
          <w:ilvl w:val="0"/>
          <w:numId w:val="7"/>
        </w:numPr>
        <w:spacing w:before="120" w:after="120"/>
        <w:ind w:left="340" w:hanging="340"/>
      </w:pPr>
      <w:r w:rsidRPr="00E23CE6">
        <w:t xml:space="preserve">Závěrečný účet kapitoly státního rozpočtu 317 – </w:t>
      </w:r>
      <w:r w:rsidRPr="00E23CE6">
        <w:rPr>
          <w:i/>
        </w:rPr>
        <w:t>Ministerstvo pro místní rozvoj</w:t>
      </w:r>
      <w:r w:rsidRPr="00E23CE6">
        <w:t xml:space="preserve"> za rok 2023</w:t>
      </w:r>
    </w:p>
    <w:p w14:paraId="5AF112B1" w14:textId="77777777" w:rsidR="002E7377" w:rsidRDefault="00C43F52" w:rsidP="006575BB">
      <w:pPr>
        <w:spacing w:before="120"/>
        <w:jc w:val="both"/>
        <w:rPr>
          <w:rFonts w:asciiTheme="minorHAnsi" w:hAnsiTheme="minorHAnsi" w:cstheme="minorHAnsi"/>
          <w:lang w:eastAsia="cs-CZ"/>
        </w:rPr>
      </w:pPr>
      <w:r w:rsidRPr="00AF0DA0">
        <w:rPr>
          <w:rFonts w:asciiTheme="minorHAnsi" w:hAnsiTheme="minorHAnsi" w:cstheme="minorHAnsi"/>
          <w:lang w:eastAsia="cs-CZ"/>
        </w:rPr>
        <w:t xml:space="preserve">Při kontrole ZÚ </w:t>
      </w:r>
      <w:r>
        <w:rPr>
          <w:rFonts w:asciiTheme="minorHAnsi" w:hAnsiTheme="minorHAnsi" w:cstheme="minorHAnsi"/>
          <w:lang w:eastAsia="cs-CZ"/>
        </w:rPr>
        <w:t xml:space="preserve">za rok </w:t>
      </w:r>
      <w:r w:rsidRPr="00AF0DA0">
        <w:rPr>
          <w:rFonts w:asciiTheme="minorHAnsi" w:hAnsiTheme="minorHAnsi" w:cstheme="minorHAnsi"/>
          <w:lang w:eastAsia="cs-CZ"/>
        </w:rPr>
        <w:t xml:space="preserve">2023 se </w:t>
      </w:r>
      <w:r>
        <w:rPr>
          <w:rFonts w:asciiTheme="minorHAnsi" w:hAnsiTheme="minorHAnsi" w:cstheme="minorHAnsi"/>
          <w:lang w:eastAsia="cs-CZ"/>
        </w:rPr>
        <w:t>NKÚ</w:t>
      </w:r>
      <w:r w:rsidRPr="00AF0DA0">
        <w:rPr>
          <w:rFonts w:asciiTheme="minorHAnsi" w:hAnsiTheme="minorHAnsi" w:cstheme="minorHAnsi"/>
          <w:lang w:eastAsia="cs-CZ"/>
        </w:rPr>
        <w:t xml:space="preserve"> zaměřil na dodržení souladu s vyhláškou č. 419/2001 Sb.</w:t>
      </w:r>
      <w:r>
        <w:rPr>
          <w:rFonts w:asciiTheme="minorHAnsi" w:hAnsiTheme="minorHAnsi" w:cstheme="minorHAnsi"/>
          <w:lang w:eastAsia="cs-CZ"/>
        </w:rPr>
        <w:t>,</w:t>
      </w:r>
      <w:r w:rsidRPr="00AF0DA0">
        <w:rPr>
          <w:rFonts w:asciiTheme="minorHAnsi" w:hAnsiTheme="minorHAnsi" w:cstheme="minorHAnsi"/>
          <w:lang w:eastAsia="cs-CZ"/>
        </w:rPr>
        <w:t xml:space="preserve"> na ověření správnosti a úplnosti údajů a číselných hodnot uvedených v průvodní zprávě, v</w:t>
      </w:r>
      <w:r w:rsidR="00A2452E">
        <w:rPr>
          <w:rFonts w:asciiTheme="minorHAnsi" w:hAnsiTheme="minorHAnsi" w:cstheme="minorHAnsi"/>
          <w:lang w:eastAsia="cs-CZ"/>
        </w:rPr>
        <w:t> </w:t>
      </w:r>
      <w:r w:rsidRPr="00AF0DA0">
        <w:rPr>
          <w:rFonts w:asciiTheme="minorHAnsi" w:hAnsiTheme="minorHAnsi" w:cstheme="minorHAnsi"/>
          <w:lang w:eastAsia="cs-CZ"/>
        </w:rPr>
        <w:t>číselných sestavách a v tabulkových přílohách.</w:t>
      </w:r>
    </w:p>
    <w:p w14:paraId="6D66F574" w14:textId="77777777" w:rsidR="004806C4" w:rsidRDefault="00C43F52" w:rsidP="006575BB">
      <w:pPr>
        <w:spacing w:before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ZÚ </w:t>
      </w:r>
      <w:r w:rsidR="002E7377">
        <w:rPr>
          <w:rFonts w:asciiTheme="minorHAnsi" w:hAnsiTheme="minorHAnsi" w:cstheme="minorHAnsi"/>
          <w:lang w:eastAsia="cs-CZ"/>
        </w:rPr>
        <w:t xml:space="preserve">za rok </w:t>
      </w:r>
      <w:r>
        <w:rPr>
          <w:rFonts w:asciiTheme="minorHAnsi" w:hAnsiTheme="minorHAnsi" w:cstheme="minorHAnsi"/>
          <w:lang w:eastAsia="cs-CZ"/>
        </w:rPr>
        <w:t>2023 obsahoval průvodní zprávu, povinné číselné sestavy a tabulkové přílohy stanovené vyhláškou č. 419/2001 Sb.</w:t>
      </w:r>
    </w:p>
    <w:p w14:paraId="05D8A0A0" w14:textId="6D25D31C" w:rsidR="00842B52" w:rsidRPr="006575BB" w:rsidRDefault="00842B52" w:rsidP="006575BB">
      <w:pPr>
        <w:spacing w:before="120"/>
        <w:jc w:val="both"/>
        <w:rPr>
          <w:rFonts w:eastAsia="Calibri"/>
          <w:color w:val="000000" w:themeColor="text1"/>
        </w:rPr>
      </w:pPr>
      <w:r>
        <w:rPr>
          <w:rFonts w:eastAsia="Calibri"/>
        </w:rPr>
        <w:t xml:space="preserve">NKÚ </w:t>
      </w:r>
      <w:r w:rsidR="00155F76">
        <w:rPr>
          <w:rFonts w:eastAsia="Calibri"/>
        </w:rPr>
        <w:t xml:space="preserve">v průběhu kontroly </w:t>
      </w:r>
      <w:r w:rsidR="006618A4">
        <w:rPr>
          <w:rFonts w:eastAsia="Calibri"/>
        </w:rPr>
        <w:t xml:space="preserve">zjistil </w:t>
      </w:r>
      <w:r>
        <w:rPr>
          <w:rFonts w:eastAsia="Calibri"/>
        </w:rPr>
        <w:t>v návrhu ZÚ za rok 2023 nevýznamné nedostatky, které MMR opravilo.</w:t>
      </w:r>
      <w:r w:rsidR="00155F76">
        <w:rPr>
          <w:rFonts w:eastAsia="Calibri"/>
        </w:rPr>
        <w:t xml:space="preserve"> Tyto nedostatky se tak již nevyskytovaly ve finální verzi</w:t>
      </w:r>
      <w:r w:rsidR="00E44D3F">
        <w:rPr>
          <w:rFonts w:eastAsia="Calibri"/>
        </w:rPr>
        <w:t xml:space="preserve"> </w:t>
      </w:r>
      <w:r w:rsidR="00155F76">
        <w:rPr>
          <w:rFonts w:eastAsia="Calibri"/>
        </w:rPr>
        <w:t xml:space="preserve">návrhu ZÚ za rok 2023, kterou MMR předložilo v termínu dle vyhlášky č. 419/2001 Sb. mimo jiné Nejvyššímu kontrolnímu </w:t>
      </w:r>
      <w:r w:rsidR="00155F76" w:rsidRPr="006575BB">
        <w:rPr>
          <w:rFonts w:eastAsia="Calibri"/>
          <w:color w:val="000000" w:themeColor="text1"/>
        </w:rPr>
        <w:t xml:space="preserve">úřadu. </w:t>
      </w:r>
    </w:p>
    <w:p w14:paraId="21E34539" w14:textId="5BBB231B" w:rsidR="002E7377" w:rsidRPr="006575BB" w:rsidRDefault="002E7377" w:rsidP="006575BB">
      <w:pPr>
        <w:spacing w:before="120"/>
        <w:jc w:val="both"/>
        <w:rPr>
          <w:rFonts w:eastAsiaTheme="minorHAnsi" w:cs="Calibri"/>
          <w:b/>
          <w:color w:val="000000" w:themeColor="text1"/>
        </w:rPr>
      </w:pPr>
      <w:r w:rsidRPr="006575BB">
        <w:rPr>
          <w:rFonts w:eastAsiaTheme="minorHAnsi" w:cs="Calibri"/>
          <w:b/>
          <w:color w:val="000000" w:themeColor="text1"/>
        </w:rPr>
        <w:t xml:space="preserve">Dle NKÚ je ZÚ za rok 2023 sestaven v rozsahu dle vyhlášky č. 419/2001 Sb. a informace v něm uvedené </w:t>
      </w:r>
      <w:r w:rsidR="00D851ED" w:rsidRPr="006575BB">
        <w:rPr>
          <w:rFonts w:eastAsiaTheme="minorHAnsi" w:cs="Calibri"/>
          <w:b/>
          <w:color w:val="000000" w:themeColor="text1"/>
        </w:rPr>
        <w:t xml:space="preserve">odpovídají údajům </w:t>
      </w:r>
      <w:r w:rsidRPr="006575BB">
        <w:rPr>
          <w:rFonts w:eastAsiaTheme="minorHAnsi" w:cs="Calibri"/>
          <w:b/>
          <w:color w:val="000000" w:themeColor="text1"/>
        </w:rPr>
        <w:t>v rozpočtovém systému, finančním výkaz</w:t>
      </w:r>
      <w:r w:rsidR="00D851ED" w:rsidRPr="006575BB">
        <w:rPr>
          <w:rFonts w:eastAsiaTheme="minorHAnsi" w:cs="Calibri"/>
          <w:b/>
          <w:color w:val="000000" w:themeColor="text1"/>
        </w:rPr>
        <w:t>ům</w:t>
      </w:r>
      <w:r w:rsidRPr="006575BB">
        <w:rPr>
          <w:rFonts w:eastAsiaTheme="minorHAnsi" w:cs="Calibri"/>
          <w:b/>
          <w:color w:val="000000" w:themeColor="text1"/>
        </w:rPr>
        <w:t xml:space="preserve"> a údaj</w:t>
      </w:r>
      <w:r w:rsidR="00D851ED" w:rsidRPr="006575BB">
        <w:rPr>
          <w:rFonts w:eastAsiaTheme="minorHAnsi" w:cs="Calibri"/>
          <w:b/>
          <w:color w:val="000000" w:themeColor="text1"/>
        </w:rPr>
        <w:t>ům z</w:t>
      </w:r>
      <w:r w:rsidR="00D924B4">
        <w:rPr>
          <w:rFonts w:eastAsiaTheme="minorHAnsi" w:cs="Calibri"/>
          <w:b/>
          <w:color w:val="000000" w:themeColor="text1"/>
        </w:rPr>
        <w:t> </w:t>
      </w:r>
      <w:r w:rsidRPr="006575BB">
        <w:rPr>
          <w:rFonts w:eastAsiaTheme="minorHAnsi" w:cs="Calibri"/>
          <w:b/>
          <w:color w:val="000000" w:themeColor="text1"/>
        </w:rPr>
        <w:t>dalších evidencí.</w:t>
      </w:r>
    </w:p>
    <w:p w14:paraId="26E36CB5" w14:textId="77777777" w:rsidR="002E7377" w:rsidRPr="006575BB" w:rsidRDefault="002E7377" w:rsidP="006575BB">
      <w:pPr>
        <w:spacing w:before="120"/>
        <w:jc w:val="both"/>
        <w:rPr>
          <w:color w:val="000000" w:themeColor="text1"/>
        </w:rPr>
      </w:pPr>
    </w:p>
    <w:p w14:paraId="7DCE1CCA" w14:textId="77777777" w:rsidR="00F53F58" w:rsidRPr="006575BB" w:rsidRDefault="00F53F58" w:rsidP="006575BB">
      <w:pPr>
        <w:pStyle w:val="Styl2"/>
        <w:numPr>
          <w:ilvl w:val="0"/>
          <w:numId w:val="7"/>
        </w:numPr>
        <w:spacing w:before="120" w:after="120"/>
        <w:ind w:left="340" w:hanging="340"/>
        <w:rPr>
          <w:color w:val="000000" w:themeColor="text1"/>
        </w:rPr>
      </w:pPr>
      <w:r w:rsidRPr="006575BB">
        <w:rPr>
          <w:color w:val="000000" w:themeColor="text1"/>
        </w:rPr>
        <w:t xml:space="preserve">Vnitřní kontrolní systém </w:t>
      </w:r>
      <w:r w:rsidR="00AA122F" w:rsidRPr="006575BB">
        <w:rPr>
          <w:color w:val="000000" w:themeColor="text1"/>
        </w:rPr>
        <w:t>M</w:t>
      </w:r>
      <w:r w:rsidR="00E23CE6" w:rsidRPr="006575BB">
        <w:rPr>
          <w:color w:val="000000" w:themeColor="text1"/>
        </w:rPr>
        <w:t>MR</w:t>
      </w:r>
    </w:p>
    <w:p w14:paraId="219D5A1F" w14:textId="7E0CAF79" w:rsidR="009C3435" w:rsidRPr="006575BB" w:rsidRDefault="009C3435" w:rsidP="006575BB">
      <w:pPr>
        <w:pStyle w:val="Odstavecseseznamem"/>
        <w:spacing w:before="120"/>
        <w:ind w:left="0"/>
        <w:contextualSpacing w:val="0"/>
        <w:jc w:val="both"/>
        <w:rPr>
          <w:rFonts w:cs="Calibri"/>
          <w:color w:val="000000" w:themeColor="text1"/>
        </w:rPr>
      </w:pPr>
      <w:r w:rsidRPr="006575BB">
        <w:rPr>
          <w:rFonts w:cs="Calibri"/>
          <w:color w:val="000000" w:themeColor="text1"/>
        </w:rPr>
        <w:t>NKÚ v průběhu kontroly zjistil v oblasti účetnictví významné nedostatky, které VKS MMR neidentifikoval. MMR nedostatky v oblasti účetnictví opravilo a přijalo i ve VKS dostatečná opatření k nápravě systémových nedostatků.</w:t>
      </w:r>
    </w:p>
    <w:p w14:paraId="673364B2" w14:textId="56C24979" w:rsidR="00063F65" w:rsidRPr="00B75F34" w:rsidRDefault="0085712D" w:rsidP="006575BB">
      <w:pPr>
        <w:pStyle w:val="Odstavecseseznamem"/>
        <w:spacing w:before="120"/>
        <w:ind w:left="0"/>
        <w:contextualSpacing w:val="0"/>
        <w:jc w:val="both"/>
        <w:rPr>
          <w:rFonts w:cs="Calibri"/>
        </w:rPr>
      </w:pPr>
      <w:r w:rsidRPr="006575BB">
        <w:rPr>
          <w:rFonts w:cs="Calibri"/>
          <w:color w:val="000000" w:themeColor="text1"/>
        </w:rPr>
        <w:lastRenderedPageBreak/>
        <w:t>D</w:t>
      </w:r>
      <w:r w:rsidR="00063F65" w:rsidRPr="006575BB">
        <w:rPr>
          <w:rFonts w:cs="Calibri"/>
          <w:color w:val="000000" w:themeColor="text1"/>
        </w:rPr>
        <w:t xml:space="preserve">le NKÚ účetní závěrka </w:t>
      </w:r>
      <w:r w:rsidR="00D365C0" w:rsidRPr="006575BB">
        <w:rPr>
          <w:rFonts w:cs="Calibri"/>
          <w:color w:val="000000" w:themeColor="text1"/>
        </w:rPr>
        <w:t>MMR</w:t>
      </w:r>
      <w:r w:rsidR="00063F65" w:rsidRPr="006575BB">
        <w:rPr>
          <w:rFonts w:cs="Calibri"/>
          <w:color w:val="000000" w:themeColor="text1"/>
        </w:rPr>
        <w:t xml:space="preserve"> sestavená k 31. </w:t>
      </w:r>
      <w:r w:rsidR="00063F65" w:rsidRPr="00D365C0">
        <w:rPr>
          <w:rFonts w:cs="Calibri"/>
        </w:rPr>
        <w:t xml:space="preserve">prosinci </w:t>
      </w:r>
      <w:r w:rsidR="00D365C0" w:rsidRPr="00D365C0">
        <w:rPr>
          <w:rFonts w:cs="Calibri"/>
        </w:rPr>
        <w:t>2023</w:t>
      </w:r>
      <w:r w:rsidR="00063F65" w:rsidRPr="00D365C0">
        <w:rPr>
          <w:rFonts w:cs="Calibri"/>
        </w:rPr>
        <w:t xml:space="preserve"> podává ve všech významných ohledech věrný a poctivý obraz předmětu účetnictví a finanční situace účetní jednotky dle účetních předpisů pro některé vybrané účetní jednotky </w:t>
      </w:r>
      <w:r w:rsidR="00063F65" w:rsidRPr="00B75F34">
        <w:rPr>
          <w:rFonts w:cs="Calibri"/>
        </w:rPr>
        <w:t>(viz část IV.1.</w:t>
      </w:r>
      <w:r w:rsidR="00A92225" w:rsidRPr="00B75F34">
        <w:rPr>
          <w:rFonts w:cs="Calibri"/>
        </w:rPr>
        <w:t>3</w:t>
      </w:r>
      <w:r w:rsidR="00E44D3F">
        <w:rPr>
          <w:rFonts w:cs="Calibri"/>
        </w:rPr>
        <w:t xml:space="preserve"> tohoto kontrolního závěru</w:t>
      </w:r>
      <w:r w:rsidR="00063F65" w:rsidRPr="00B75F34">
        <w:rPr>
          <w:rFonts w:cs="Calibri"/>
        </w:rPr>
        <w:t>).</w:t>
      </w:r>
    </w:p>
    <w:p w14:paraId="688E2A8B" w14:textId="7689885C" w:rsidR="00D365C0" w:rsidRPr="00B75F34" w:rsidRDefault="00063F65" w:rsidP="006575BB">
      <w:pPr>
        <w:spacing w:before="120"/>
        <w:jc w:val="both"/>
        <w:rPr>
          <w:rFonts w:eastAsia="Calibri"/>
        </w:rPr>
      </w:pPr>
      <w:r w:rsidRPr="00B75F34">
        <w:rPr>
          <w:rFonts w:eastAsia="Calibri"/>
        </w:rPr>
        <w:t xml:space="preserve">V případě údajů předkládaných </w:t>
      </w:r>
      <w:r w:rsidR="00D365C0" w:rsidRPr="00B75F34">
        <w:rPr>
          <w:rFonts w:eastAsia="Calibri"/>
        </w:rPr>
        <w:t>Ministerstvem pro místní rozvoj</w:t>
      </w:r>
      <w:r w:rsidRPr="00B75F34">
        <w:rPr>
          <w:rFonts w:eastAsia="Calibri"/>
        </w:rPr>
        <w:t xml:space="preserve"> pro hodnocení plnění státního rozpočtu za rok </w:t>
      </w:r>
      <w:r w:rsidR="00D365C0" w:rsidRPr="00B75F34">
        <w:rPr>
          <w:rFonts w:eastAsia="Calibri"/>
        </w:rPr>
        <w:t>2023</w:t>
      </w:r>
      <w:r w:rsidRPr="00B75F34">
        <w:rPr>
          <w:rFonts w:eastAsia="Calibri"/>
        </w:rPr>
        <w:t xml:space="preserve"> NKÚ zjistil, že jsou tříděny ve všech významných ohledech v souladu s vyhláškou č. 412/2021 Sb. (viz část IV.2</w:t>
      </w:r>
      <w:r w:rsidR="00E44D3F">
        <w:rPr>
          <w:rFonts w:eastAsia="Calibri"/>
        </w:rPr>
        <w:t xml:space="preserve"> tohoto kontrolního závěru</w:t>
      </w:r>
      <w:r w:rsidRPr="00B75F34">
        <w:rPr>
          <w:rFonts w:eastAsia="Calibri"/>
        </w:rPr>
        <w:t>).</w:t>
      </w:r>
    </w:p>
    <w:p w14:paraId="310300F8" w14:textId="154136B9" w:rsidR="00D365C0" w:rsidRPr="00B75F34" w:rsidRDefault="00D365C0" w:rsidP="006575BB">
      <w:pPr>
        <w:spacing w:before="120"/>
        <w:jc w:val="both"/>
        <w:rPr>
          <w:rFonts w:eastAsia="Calibri"/>
        </w:rPr>
      </w:pPr>
      <w:r w:rsidRPr="00B75F34">
        <w:rPr>
          <w:rFonts w:eastAsia="Calibri"/>
        </w:rPr>
        <w:t>Dle NKÚ je závěrečný účet kapitoly státního rozpočtu 317 za rok 2023 sestaven v rozsahu dle vyhlášky č. 419/2001 Sb. a informace v něm uvedené odpovídají údajům v rozpočtovém systému, finančním výkazům a údajům z dalších evidencí (viz část IV.3</w:t>
      </w:r>
      <w:r w:rsidR="00E44D3F">
        <w:rPr>
          <w:rFonts w:eastAsia="Calibri"/>
        </w:rPr>
        <w:t xml:space="preserve"> tohoto kontrolního závěru</w:t>
      </w:r>
      <w:r w:rsidRPr="00B75F34">
        <w:rPr>
          <w:rFonts w:eastAsia="Calibri"/>
        </w:rPr>
        <w:t>).</w:t>
      </w:r>
    </w:p>
    <w:p w14:paraId="1BCC9221" w14:textId="01DD1015" w:rsidR="001319A0" w:rsidRPr="006524C0" w:rsidRDefault="00063F65" w:rsidP="006575BB">
      <w:pPr>
        <w:spacing w:before="120"/>
        <w:jc w:val="both"/>
        <w:rPr>
          <w:rFonts w:asciiTheme="minorHAnsi" w:hAnsiTheme="minorHAnsi" w:cstheme="minorHAnsi"/>
        </w:rPr>
      </w:pPr>
      <w:r w:rsidRPr="00B75F34">
        <w:rPr>
          <w:rFonts w:asciiTheme="minorHAnsi" w:hAnsiTheme="minorHAnsi" w:cstheme="minorHAnsi"/>
        </w:rPr>
        <w:t xml:space="preserve">NKÚ u </w:t>
      </w:r>
      <w:r w:rsidR="00DC35A3" w:rsidRPr="00B75F34">
        <w:rPr>
          <w:rFonts w:asciiTheme="minorHAnsi" w:hAnsiTheme="minorHAnsi" w:cstheme="minorHAnsi"/>
        </w:rPr>
        <w:t xml:space="preserve">dvou </w:t>
      </w:r>
      <w:r w:rsidRPr="00B75F34">
        <w:rPr>
          <w:rFonts w:asciiTheme="minorHAnsi" w:hAnsiTheme="minorHAnsi" w:cstheme="minorHAnsi"/>
        </w:rPr>
        <w:t>finančních operací</w:t>
      </w:r>
      <w:r w:rsidR="002C1426" w:rsidRPr="00B75F34">
        <w:rPr>
          <w:rFonts w:asciiTheme="minorHAnsi" w:hAnsiTheme="minorHAnsi" w:cstheme="minorHAnsi"/>
        </w:rPr>
        <w:t xml:space="preserve"> (viz část IV.</w:t>
      </w:r>
      <w:r w:rsidR="00D365C0" w:rsidRPr="00B75F34">
        <w:rPr>
          <w:rFonts w:asciiTheme="minorHAnsi" w:hAnsiTheme="minorHAnsi" w:cstheme="minorHAnsi"/>
        </w:rPr>
        <w:t>5</w:t>
      </w:r>
      <w:r w:rsidR="00E44D3F">
        <w:rPr>
          <w:rFonts w:asciiTheme="minorHAnsi" w:hAnsiTheme="minorHAnsi" w:cstheme="minorHAnsi"/>
        </w:rPr>
        <w:t xml:space="preserve"> tohoto kontrolního závěru</w:t>
      </w:r>
      <w:r w:rsidR="002C1426" w:rsidRPr="00B75F34">
        <w:rPr>
          <w:rFonts w:asciiTheme="minorHAnsi" w:hAnsiTheme="minorHAnsi" w:cstheme="minorHAnsi"/>
        </w:rPr>
        <w:t>)</w:t>
      </w:r>
      <w:r w:rsidRPr="00B75F34">
        <w:rPr>
          <w:rFonts w:asciiTheme="minorHAnsi" w:hAnsiTheme="minorHAnsi" w:cstheme="minorHAnsi"/>
        </w:rPr>
        <w:t xml:space="preserve"> zjistil, že </w:t>
      </w:r>
      <w:r w:rsidR="00B238BD" w:rsidRPr="00B75F34">
        <w:rPr>
          <w:rFonts w:asciiTheme="minorHAnsi" w:hAnsiTheme="minorHAnsi" w:cstheme="minorHAnsi"/>
        </w:rPr>
        <w:t>vnitřní kontroln</w:t>
      </w:r>
      <w:r w:rsidR="00B238BD" w:rsidRPr="006524C0">
        <w:rPr>
          <w:rFonts w:asciiTheme="minorHAnsi" w:hAnsiTheme="minorHAnsi" w:cstheme="minorHAnsi"/>
        </w:rPr>
        <w:t>í systém</w:t>
      </w:r>
      <w:r w:rsidRPr="006524C0">
        <w:rPr>
          <w:rFonts w:asciiTheme="minorHAnsi" w:hAnsiTheme="minorHAnsi" w:cstheme="minorHAnsi"/>
        </w:rPr>
        <w:t xml:space="preserve"> nezabránil porušení povinnost</w:t>
      </w:r>
      <w:r w:rsidR="00DC35A3">
        <w:rPr>
          <w:rFonts w:asciiTheme="minorHAnsi" w:hAnsiTheme="minorHAnsi" w:cstheme="minorHAnsi"/>
        </w:rPr>
        <w:t>i</w:t>
      </w:r>
      <w:r w:rsidRPr="006524C0">
        <w:rPr>
          <w:rFonts w:asciiTheme="minorHAnsi" w:hAnsiTheme="minorHAnsi" w:cstheme="minorHAnsi"/>
        </w:rPr>
        <w:t xml:space="preserve"> stanoven</w:t>
      </w:r>
      <w:r w:rsidR="00DC35A3">
        <w:rPr>
          <w:rFonts w:asciiTheme="minorHAnsi" w:hAnsiTheme="minorHAnsi" w:cstheme="minorHAnsi"/>
        </w:rPr>
        <w:t>é</w:t>
      </w:r>
      <w:r w:rsidRPr="006524C0">
        <w:rPr>
          <w:rFonts w:asciiTheme="minorHAnsi" w:hAnsiTheme="minorHAnsi" w:cstheme="minorHAnsi"/>
        </w:rPr>
        <w:t xml:space="preserve"> zákonem č. 218/2000 Sb.</w:t>
      </w:r>
      <w:r w:rsidR="00D365C0" w:rsidRPr="006524C0">
        <w:rPr>
          <w:rFonts w:asciiTheme="minorHAnsi" w:hAnsiTheme="minorHAnsi" w:cstheme="minorHAnsi"/>
        </w:rPr>
        <w:t xml:space="preserve"> </w:t>
      </w:r>
      <w:r w:rsidR="003E564D" w:rsidRPr="006524C0">
        <w:rPr>
          <w:rFonts w:asciiTheme="minorHAnsi" w:hAnsiTheme="minorHAnsi" w:cstheme="minorHAnsi"/>
        </w:rPr>
        <w:t>Jednalo</w:t>
      </w:r>
      <w:r w:rsidRPr="006524C0">
        <w:rPr>
          <w:rFonts w:asciiTheme="minorHAnsi" w:hAnsiTheme="minorHAnsi" w:cstheme="minorHAnsi"/>
        </w:rPr>
        <w:t xml:space="preserve"> </w:t>
      </w:r>
      <w:r w:rsidR="003E564D" w:rsidRPr="006524C0">
        <w:rPr>
          <w:rFonts w:asciiTheme="minorHAnsi" w:hAnsiTheme="minorHAnsi" w:cstheme="minorHAnsi"/>
        </w:rPr>
        <w:t xml:space="preserve">se </w:t>
      </w:r>
      <w:r w:rsidRPr="006524C0">
        <w:rPr>
          <w:rFonts w:asciiTheme="minorHAnsi" w:hAnsiTheme="minorHAnsi" w:cstheme="minorHAnsi"/>
        </w:rPr>
        <w:t xml:space="preserve">o případy, kdy </w:t>
      </w:r>
      <w:r w:rsidR="00267DE4" w:rsidRPr="006524C0">
        <w:rPr>
          <w:rFonts w:asciiTheme="minorHAnsi" w:hAnsiTheme="minorHAnsi" w:cstheme="minorHAnsi"/>
        </w:rPr>
        <w:t>MMR</w:t>
      </w:r>
      <w:r w:rsidR="001319A0" w:rsidRPr="006524C0">
        <w:rPr>
          <w:rFonts w:asciiTheme="minorHAnsi" w:hAnsiTheme="minorHAnsi" w:cstheme="minorHAnsi"/>
        </w:rPr>
        <w:t xml:space="preserve"> </w:t>
      </w:r>
      <w:r w:rsidR="001319A0" w:rsidRPr="006524C0">
        <w:rPr>
          <w:rFonts w:eastAsia="Calibri"/>
        </w:rPr>
        <w:t>neodvedlo do státního rozpočtu příjmy státního rozpočtu soustředěné na účtu cizích prostředků</w:t>
      </w:r>
      <w:r w:rsidR="00DC35A3">
        <w:rPr>
          <w:rFonts w:eastAsia="Calibri"/>
        </w:rPr>
        <w:t xml:space="preserve"> v celkové výši 15,6 mil. Kč.</w:t>
      </w:r>
    </w:p>
    <w:p w14:paraId="57A7E2D3" w14:textId="77777777" w:rsidR="00CF7111" w:rsidRPr="00267DE4" w:rsidRDefault="00CF7111" w:rsidP="006575BB">
      <w:pPr>
        <w:spacing w:before="120"/>
        <w:jc w:val="both"/>
        <w:rPr>
          <w:rFonts w:cs="Calibri"/>
          <w:b/>
        </w:rPr>
      </w:pPr>
      <w:r w:rsidRPr="00267DE4">
        <w:rPr>
          <w:rFonts w:cs="Calibri"/>
          <w:b/>
        </w:rPr>
        <w:t xml:space="preserve">NKÚ </w:t>
      </w:r>
      <w:r w:rsidR="001319A0">
        <w:rPr>
          <w:rFonts w:cs="Calibri"/>
          <w:b/>
        </w:rPr>
        <w:t>konstatuje</w:t>
      </w:r>
      <w:r w:rsidR="00B238BD" w:rsidRPr="00267DE4">
        <w:rPr>
          <w:rFonts w:cs="Calibri"/>
          <w:b/>
        </w:rPr>
        <w:t>,</w:t>
      </w:r>
      <w:r w:rsidRPr="00267DE4">
        <w:rPr>
          <w:rFonts w:cs="Calibri"/>
          <w:b/>
        </w:rPr>
        <w:t xml:space="preserve"> </w:t>
      </w:r>
      <w:r w:rsidR="00B238BD" w:rsidRPr="00267DE4">
        <w:rPr>
          <w:rFonts w:cs="Calibri"/>
          <w:b/>
        </w:rPr>
        <w:t xml:space="preserve">že VKS u </w:t>
      </w:r>
      <w:r w:rsidRPr="00267DE4">
        <w:rPr>
          <w:rFonts w:cs="Calibri"/>
          <w:b/>
        </w:rPr>
        <w:t>někter</w:t>
      </w:r>
      <w:r w:rsidR="00B238BD" w:rsidRPr="00267DE4">
        <w:rPr>
          <w:rFonts w:cs="Calibri"/>
          <w:b/>
        </w:rPr>
        <w:t>ých</w:t>
      </w:r>
      <w:r w:rsidRPr="00267DE4">
        <w:rPr>
          <w:rFonts w:cs="Calibri"/>
          <w:b/>
        </w:rPr>
        <w:t xml:space="preserve"> operac</w:t>
      </w:r>
      <w:r w:rsidR="00B238BD" w:rsidRPr="00267DE4">
        <w:rPr>
          <w:rFonts w:cs="Calibri"/>
          <w:b/>
        </w:rPr>
        <w:t xml:space="preserve">í </w:t>
      </w:r>
      <w:r w:rsidR="002370D0" w:rsidRPr="00267DE4">
        <w:rPr>
          <w:rFonts w:cs="Calibri"/>
          <w:b/>
        </w:rPr>
        <w:t xml:space="preserve">včas </w:t>
      </w:r>
      <w:r w:rsidRPr="00267DE4">
        <w:rPr>
          <w:rFonts w:cs="Calibri"/>
          <w:b/>
        </w:rPr>
        <w:t>neodhalil související rizika a</w:t>
      </w:r>
      <w:r w:rsidR="00B238BD" w:rsidRPr="00267DE4">
        <w:rPr>
          <w:rFonts w:cs="Calibri"/>
          <w:b/>
        </w:rPr>
        <w:t xml:space="preserve"> </w:t>
      </w:r>
      <w:r w:rsidRPr="00267DE4">
        <w:rPr>
          <w:rFonts w:cs="Calibri"/>
          <w:b/>
        </w:rPr>
        <w:t xml:space="preserve">nezabránil porušení právních předpisů. Uvedené nedostatky však nebyly takového rozsahu, aby byly ze strany NKÚ vyhodnoceny jako významné, proto NKÚ v rámci prověřovaných operací vyhodnotil </w:t>
      </w:r>
      <w:r w:rsidR="00A0541E" w:rsidRPr="00267DE4">
        <w:rPr>
          <w:rFonts w:cs="Calibri"/>
          <w:b/>
        </w:rPr>
        <w:t>VKS</w:t>
      </w:r>
      <w:r w:rsidRPr="00267DE4">
        <w:rPr>
          <w:rFonts w:cs="Calibri"/>
          <w:b/>
        </w:rPr>
        <w:t xml:space="preserve"> jako účinný.</w:t>
      </w:r>
    </w:p>
    <w:p w14:paraId="5EB5A1DA" w14:textId="77777777" w:rsidR="00476D94" w:rsidRPr="004F6F5D" w:rsidRDefault="00476D94" w:rsidP="006575BB">
      <w:pPr>
        <w:spacing w:before="120"/>
        <w:jc w:val="both"/>
        <w:rPr>
          <w:rFonts w:cs="Calibri"/>
          <w:highlight w:val="yellow"/>
        </w:rPr>
      </w:pPr>
    </w:p>
    <w:p w14:paraId="790F02EE" w14:textId="77777777" w:rsidR="00CF7111" w:rsidRPr="00F60BF4" w:rsidRDefault="00BE7EA5" w:rsidP="006575BB">
      <w:pPr>
        <w:pStyle w:val="Styl2"/>
        <w:numPr>
          <w:ilvl w:val="0"/>
          <w:numId w:val="7"/>
        </w:numPr>
        <w:spacing w:before="120" w:after="120"/>
        <w:ind w:left="340" w:hanging="340"/>
      </w:pPr>
      <w:r w:rsidRPr="00E23CE6">
        <w:t>Skutečnosti nasvědčující porušení rozpočtové kázně</w:t>
      </w:r>
    </w:p>
    <w:p w14:paraId="4FF06364" w14:textId="18BEA3F0" w:rsidR="001319A0" w:rsidRPr="00B75F34" w:rsidRDefault="00F60BF4" w:rsidP="006575BB">
      <w:pPr>
        <w:spacing w:before="120"/>
        <w:jc w:val="both"/>
        <w:rPr>
          <w:rFonts w:asciiTheme="minorHAnsi" w:hAnsiTheme="minorHAnsi" w:cstheme="minorHAnsi"/>
        </w:rPr>
      </w:pPr>
      <w:r w:rsidRPr="00571C49">
        <w:rPr>
          <w:rFonts w:asciiTheme="minorHAnsi" w:hAnsiTheme="minorHAnsi" w:cstheme="minorHAnsi"/>
          <w:b/>
        </w:rPr>
        <w:t>MMR</w:t>
      </w:r>
      <w:r w:rsidR="00377243" w:rsidRPr="00571C49">
        <w:rPr>
          <w:rFonts w:asciiTheme="minorHAnsi" w:hAnsiTheme="minorHAnsi" w:cstheme="minorHAnsi"/>
          <w:b/>
        </w:rPr>
        <w:t xml:space="preserve"> v</w:t>
      </w:r>
      <w:r w:rsidR="002B4224" w:rsidRPr="00571C49">
        <w:rPr>
          <w:rFonts w:asciiTheme="minorHAnsi" w:hAnsiTheme="minorHAnsi" w:cstheme="minorHAnsi"/>
          <w:b/>
        </w:rPr>
        <w:t xml:space="preserve"> </w:t>
      </w:r>
      <w:r w:rsidR="00377243" w:rsidRPr="00571C49">
        <w:rPr>
          <w:rFonts w:asciiTheme="minorHAnsi" w:hAnsiTheme="minorHAnsi" w:cstheme="minorHAnsi"/>
          <w:b/>
        </w:rPr>
        <w:t>rozporu s</w:t>
      </w:r>
      <w:r w:rsidR="002B4224" w:rsidRPr="00571C49">
        <w:rPr>
          <w:rFonts w:asciiTheme="minorHAnsi" w:hAnsiTheme="minorHAnsi" w:cstheme="minorHAnsi"/>
          <w:b/>
        </w:rPr>
        <w:t xml:space="preserve"> </w:t>
      </w:r>
      <w:r w:rsidR="00564E32" w:rsidRPr="00571C49">
        <w:rPr>
          <w:rFonts w:asciiTheme="minorHAnsi" w:hAnsiTheme="minorHAnsi" w:cstheme="minorHAnsi"/>
          <w:b/>
        </w:rPr>
        <w:t xml:space="preserve">ustanovením </w:t>
      </w:r>
      <w:r w:rsidR="00377243" w:rsidRPr="00571C49">
        <w:rPr>
          <w:rFonts w:asciiTheme="minorHAnsi" w:hAnsiTheme="minorHAnsi" w:cstheme="minorHAnsi"/>
          <w:b/>
        </w:rPr>
        <w:t>§ 45 odst. 11 zákona č. 218/2000 Sb. neodvedl</w:t>
      </w:r>
      <w:r w:rsidRPr="00571C49">
        <w:rPr>
          <w:rFonts w:asciiTheme="minorHAnsi" w:hAnsiTheme="minorHAnsi" w:cstheme="minorHAnsi"/>
          <w:b/>
        </w:rPr>
        <w:t>o do státního rozpočtu peněžní prostředky v celkové výši 15,6 mil. Kč</w:t>
      </w:r>
      <w:r w:rsidR="00571C49" w:rsidRPr="00571C49">
        <w:rPr>
          <w:rFonts w:asciiTheme="minorHAnsi" w:hAnsiTheme="minorHAnsi" w:cstheme="minorHAnsi"/>
          <w:b/>
        </w:rPr>
        <w:t xml:space="preserve">, které dne 6. </w:t>
      </w:r>
      <w:r w:rsidR="0055478B">
        <w:rPr>
          <w:rFonts w:asciiTheme="minorHAnsi" w:hAnsiTheme="minorHAnsi" w:cstheme="minorHAnsi"/>
          <w:b/>
        </w:rPr>
        <w:t>února</w:t>
      </w:r>
      <w:r w:rsidR="00571C49" w:rsidRPr="00571C49">
        <w:rPr>
          <w:rFonts w:asciiTheme="minorHAnsi" w:hAnsiTheme="minorHAnsi" w:cstheme="minorHAnsi"/>
          <w:b/>
        </w:rPr>
        <w:t xml:space="preserve"> 2023 obdrželo od finančního úřadu na účet cizích prostředků. </w:t>
      </w:r>
      <w:r w:rsidR="00571C49" w:rsidRPr="00571C49">
        <w:rPr>
          <w:rFonts w:cs="Calibri"/>
        </w:rPr>
        <w:t xml:space="preserve">Jednalo se o vrácené peněžní prostředky poskytnuté v rámci dvou projektů, které byly v minulosti podpořeny prostřednictvím </w:t>
      </w:r>
      <w:r w:rsidR="00571C49" w:rsidRPr="001258AA">
        <w:rPr>
          <w:rFonts w:cs="Calibri"/>
          <w:i/>
        </w:rPr>
        <w:t>Regionálního operačního programu NUTS II Severozápad</w:t>
      </w:r>
      <w:r w:rsidR="00571C49" w:rsidRPr="00571C49">
        <w:rPr>
          <w:rFonts w:cs="Calibri"/>
        </w:rPr>
        <w:t xml:space="preserve"> pro období 2007</w:t>
      </w:r>
      <w:r w:rsidR="00E44D3F">
        <w:rPr>
          <w:rFonts w:cs="Calibri"/>
        </w:rPr>
        <w:t>–</w:t>
      </w:r>
      <w:r w:rsidR="00571C49" w:rsidRPr="00571C49">
        <w:rPr>
          <w:rFonts w:cs="Calibri"/>
        </w:rPr>
        <w:t>2013. Tento operační program byl již ukončen a vrácené peněžní prostředky v něm nelze dále použít, a</w:t>
      </w:r>
      <w:r w:rsidR="000B28CE">
        <w:rPr>
          <w:rFonts w:cs="Calibri"/>
        </w:rPr>
        <w:t> </w:t>
      </w:r>
      <w:r w:rsidR="00571C49" w:rsidRPr="00571C49">
        <w:rPr>
          <w:rFonts w:cs="Calibri"/>
        </w:rPr>
        <w:t xml:space="preserve">proto je mělo MMR odvést do státního rozpočtu ve lhůtách dle ustanovení § 45 odst. 11 zákona č. 218/2000 Sb. </w:t>
      </w:r>
      <w:r w:rsidR="004E32E4" w:rsidRPr="00571C49">
        <w:rPr>
          <w:rFonts w:asciiTheme="minorHAnsi" w:hAnsiTheme="minorHAnsi" w:cstheme="minorHAnsi"/>
          <w:b/>
        </w:rPr>
        <w:t>Dle</w:t>
      </w:r>
      <w:r w:rsidR="004E32E4" w:rsidRPr="00571C49">
        <w:rPr>
          <w:rFonts w:asciiTheme="minorHAnsi" w:hAnsiTheme="minorHAnsi" w:cstheme="minorHAnsi"/>
        </w:rPr>
        <w:t xml:space="preserve"> </w:t>
      </w:r>
      <w:r w:rsidR="004E32E4" w:rsidRPr="00571C49">
        <w:rPr>
          <w:rFonts w:asciiTheme="minorHAnsi" w:hAnsiTheme="minorHAnsi" w:cstheme="minorHAnsi"/>
          <w:b/>
        </w:rPr>
        <w:t>ustanovení § 44 odst. 1 písm. g) z</w:t>
      </w:r>
      <w:r w:rsidR="00377243" w:rsidRPr="00571C49">
        <w:rPr>
          <w:rFonts w:asciiTheme="minorHAnsi" w:hAnsiTheme="minorHAnsi" w:cstheme="minorHAnsi"/>
          <w:b/>
        </w:rPr>
        <w:t>ákon</w:t>
      </w:r>
      <w:r w:rsidR="004E32E4" w:rsidRPr="00571C49">
        <w:rPr>
          <w:rFonts w:asciiTheme="minorHAnsi" w:hAnsiTheme="minorHAnsi" w:cstheme="minorHAnsi"/>
          <w:b/>
        </w:rPr>
        <w:t>a</w:t>
      </w:r>
      <w:r w:rsidR="00377243" w:rsidRPr="00571C49">
        <w:rPr>
          <w:rFonts w:asciiTheme="minorHAnsi" w:hAnsiTheme="minorHAnsi" w:cstheme="minorHAnsi"/>
          <w:b/>
        </w:rPr>
        <w:t xml:space="preserve"> č. 218/2000 Sb. </w:t>
      </w:r>
      <w:r w:rsidR="004E32E4" w:rsidRPr="00571C49">
        <w:rPr>
          <w:rFonts w:asciiTheme="minorHAnsi" w:hAnsiTheme="minorHAnsi" w:cstheme="minorHAnsi"/>
          <w:b/>
        </w:rPr>
        <w:t>je</w:t>
      </w:r>
      <w:r w:rsidR="008439D5" w:rsidRPr="00571C49">
        <w:rPr>
          <w:rFonts w:asciiTheme="minorHAnsi" w:hAnsiTheme="minorHAnsi" w:cstheme="minorHAnsi"/>
          <w:b/>
        </w:rPr>
        <w:t xml:space="preserve"> </w:t>
      </w:r>
      <w:r w:rsidR="00377243" w:rsidRPr="00571C49">
        <w:rPr>
          <w:rFonts w:asciiTheme="minorHAnsi" w:hAnsiTheme="minorHAnsi" w:cstheme="minorHAnsi"/>
          <w:b/>
        </w:rPr>
        <w:t xml:space="preserve">neprovedení odvodu podle </w:t>
      </w:r>
      <w:r w:rsidR="00C16C86" w:rsidRPr="00571C49">
        <w:rPr>
          <w:rFonts w:asciiTheme="minorHAnsi" w:hAnsiTheme="minorHAnsi" w:cstheme="minorHAnsi"/>
          <w:b/>
        </w:rPr>
        <w:t xml:space="preserve">ustanovení </w:t>
      </w:r>
      <w:r w:rsidR="00377243" w:rsidRPr="00571C49">
        <w:rPr>
          <w:rFonts w:asciiTheme="minorHAnsi" w:hAnsiTheme="minorHAnsi" w:cstheme="minorHAnsi"/>
          <w:b/>
        </w:rPr>
        <w:t>§ 45 odst.</w:t>
      </w:r>
      <w:r w:rsidR="008439D5" w:rsidRPr="00571C49">
        <w:rPr>
          <w:rFonts w:asciiTheme="minorHAnsi" w:hAnsiTheme="minorHAnsi" w:cstheme="minorHAnsi"/>
          <w:b/>
        </w:rPr>
        <w:t> </w:t>
      </w:r>
      <w:r w:rsidR="00377243" w:rsidRPr="00571C49">
        <w:rPr>
          <w:rFonts w:asciiTheme="minorHAnsi" w:hAnsiTheme="minorHAnsi" w:cstheme="minorHAnsi"/>
          <w:b/>
        </w:rPr>
        <w:t>11 téhož zákona porušení</w:t>
      </w:r>
      <w:r w:rsidR="004E32E4" w:rsidRPr="00571C49">
        <w:rPr>
          <w:rFonts w:asciiTheme="minorHAnsi" w:hAnsiTheme="minorHAnsi" w:cstheme="minorHAnsi"/>
          <w:b/>
        </w:rPr>
        <w:t>m</w:t>
      </w:r>
      <w:r w:rsidR="00377243" w:rsidRPr="00571C49">
        <w:rPr>
          <w:rFonts w:asciiTheme="minorHAnsi" w:hAnsiTheme="minorHAnsi" w:cstheme="minorHAnsi"/>
          <w:b/>
        </w:rPr>
        <w:t xml:space="preserve"> rozpočtové kázně.</w:t>
      </w:r>
    </w:p>
    <w:p w14:paraId="5421C1C7" w14:textId="77777777" w:rsidR="001319A0" w:rsidRPr="001319A0" w:rsidRDefault="001319A0" w:rsidP="006575BB">
      <w:pPr>
        <w:spacing w:before="120"/>
      </w:pPr>
    </w:p>
    <w:p w14:paraId="2E13CFF4" w14:textId="77777777" w:rsidR="001319A0" w:rsidRPr="001319A0" w:rsidRDefault="001319A0" w:rsidP="006575BB">
      <w:pPr>
        <w:pStyle w:val="Styl2"/>
        <w:numPr>
          <w:ilvl w:val="0"/>
          <w:numId w:val="7"/>
        </w:numPr>
        <w:spacing w:before="120" w:after="120"/>
        <w:ind w:left="340" w:hanging="340"/>
      </w:pPr>
      <w:r w:rsidRPr="001319A0">
        <w:t>Vyhodnocení opatření přijatých k nápravě nedostatků uvedených v kontrolním závěru z kontrolní akce č. 19/21</w:t>
      </w:r>
    </w:p>
    <w:p w14:paraId="491D8341" w14:textId="77777777" w:rsidR="001319A0" w:rsidRPr="001319A0" w:rsidRDefault="001319A0" w:rsidP="006575BB">
      <w:pPr>
        <w:spacing w:before="120"/>
        <w:jc w:val="both"/>
        <w:rPr>
          <w:rFonts w:asciiTheme="minorHAnsi" w:hAnsiTheme="minorHAnsi" w:cstheme="minorHAnsi"/>
        </w:rPr>
      </w:pPr>
      <w:r w:rsidRPr="001319A0">
        <w:rPr>
          <w:rFonts w:asciiTheme="minorHAnsi" w:hAnsiTheme="minorHAnsi" w:cstheme="minorHAnsi"/>
        </w:rPr>
        <w:t xml:space="preserve">MMR přijalo na základě usnesení vlády ze dne 8. března 2021 č. 257 opatření k nápravě nedostatků uvedených v kontrolním závěru z kontrolní akce NKÚ č. 19/21. MMR tato opatření realizovalo v plném rozsahu a správně. </w:t>
      </w:r>
    </w:p>
    <w:p w14:paraId="0C41369F" w14:textId="77777777" w:rsidR="001319A0" w:rsidRPr="001319A0" w:rsidRDefault="001319A0" w:rsidP="006575BB">
      <w:pPr>
        <w:spacing w:before="120"/>
        <w:rPr>
          <w:rFonts w:asciiTheme="minorHAnsi" w:eastAsiaTheme="minorHAnsi" w:hAnsiTheme="minorHAnsi" w:cstheme="minorHAnsi"/>
          <w:b/>
          <w:szCs w:val="28"/>
        </w:rPr>
      </w:pPr>
      <w:r w:rsidRPr="001319A0">
        <w:br w:type="page"/>
      </w:r>
    </w:p>
    <w:p w14:paraId="3CD93BB7" w14:textId="77777777" w:rsidR="00112642" w:rsidRPr="009D7FDB" w:rsidRDefault="00A640AE" w:rsidP="006575BB">
      <w:pPr>
        <w:pStyle w:val="Nadpis1"/>
        <w:keepNext/>
        <w:spacing w:before="120" w:after="120" w:line="240" w:lineRule="auto"/>
        <w:jc w:val="left"/>
        <w:rPr>
          <w:sz w:val="24"/>
        </w:rPr>
      </w:pPr>
      <w:r w:rsidRPr="009D7FDB">
        <w:rPr>
          <w:sz w:val="24"/>
        </w:rPr>
        <w:lastRenderedPageBreak/>
        <w:t>Seznam zkratek</w:t>
      </w:r>
    </w:p>
    <w:p w14:paraId="74D4C008" w14:textId="77777777" w:rsidR="00B3037C" w:rsidRPr="004F6F5D" w:rsidRDefault="00B3037C" w:rsidP="006575BB">
      <w:pPr>
        <w:spacing w:before="120"/>
        <w:rPr>
          <w:highlight w:val="yellow"/>
        </w:rPr>
      </w:pPr>
    </w:p>
    <w:p w14:paraId="20D7E9F8" w14:textId="77777777" w:rsidR="006272EC" w:rsidRDefault="006272EC" w:rsidP="006575BB">
      <w:pPr>
        <w:tabs>
          <w:tab w:val="left" w:pos="2552"/>
        </w:tabs>
        <w:spacing w:before="1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CK</w:t>
      </w:r>
      <w:r>
        <w:rPr>
          <w:rFonts w:asciiTheme="minorHAnsi" w:eastAsiaTheme="minorHAnsi" w:hAnsiTheme="minorHAnsi" w:cstheme="minorHAnsi"/>
        </w:rPr>
        <w:tab/>
        <w:t>cestovní kancelář</w:t>
      </w:r>
    </w:p>
    <w:p w14:paraId="16379AB3" w14:textId="77777777" w:rsidR="005D22CD" w:rsidRDefault="005D22CD" w:rsidP="006575BB">
      <w:pPr>
        <w:tabs>
          <w:tab w:val="left" w:pos="2552"/>
        </w:tabs>
        <w:spacing w:before="1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CSÚIS</w:t>
      </w:r>
      <w:r>
        <w:rPr>
          <w:rFonts w:asciiTheme="minorHAnsi" w:eastAsiaTheme="minorHAnsi" w:hAnsiTheme="minorHAnsi" w:cstheme="minorHAnsi"/>
        </w:rPr>
        <w:tab/>
        <w:t>centrální systém účetních informací státu</w:t>
      </w:r>
    </w:p>
    <w:p w14:paraId="653FF606" w14:textId="0A5789D3" w:rsidR="0095606B" w:rsidRDefault="0095606B" w:rsidP="0095606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Dohoda o financování</w:t>
      </w:r>
      <w:r>
        <w:rPr>
          <w:rFonts w:asciiTheme="minorHAnsi" w:eastAsiaTheme="minorHAnsi" w:hAnsiTheme="minorHAnsi" w:cstheme="minorHAnsi"/>
        </w:rPr>
        <w:tab/>
      </w:r>
      <w:r>
        <w:t xml:space="preserve">dohoda o financování dle čl. 38 odst. 4 písm. c) nařízení Evropského Parlamentu a Rady (EU) č. 1303/2013 ze dne 17. prosince 2013 pro specifický cíl 2.5: </w:t>
      </w:r>
      <w:r w:rsidRPr="001258AA">
        <w:rPr>
          <w:i/>
        </w:rPr>
        <w:t>Snížení energetické náročnosti v sektoru bydlení</w:t>
      </w:r>
    </w:p>
    <w:p w14:paraId="6E368311" w14:textId="7F8ACE9E" w:rsidR="00354051" w:rsidRDefault="00354051" w:rsidP="006575BB">
      <w:pPr>
        <w:tabs>
          <w:tab w:val="left" w:pos="2552"/>
        </w:tabs>
        <w:spacing w:before="1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FN</w:t>
      </w:r>
      <w:r>
        <w:rPr>
          <w:rFonts w:asciiTheme="minorHAnsi" w:eastAsiaTheme="minorHAnsi" w:hAnsiTheme="minorHAnsi" w:cstheme="minorHAnsi"/>
        </w:rPr>
        <w:tab/>
        <w:t>finanční nástroj</w:t>
      </w:r>
    </w:p>
    <w:p w14:paraId="3C4F0C4D" w14:textId="0B257B70" w:rsidR="00354051" w:rsidRDefault="00354051" w:rsidP="006575BB">
      <w:pPr>
        <w:tabs>
          <w:tab w:val="left" w:pos="2552"/>
        </w:tabs>
        <w:spacing w:before="1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IROP</w:t>
      </w:r>
      <w:r>
        <w:rPr>
          <w:rFonts w:asciiTheme="minorHAnsi" w:eastAsiaTheme="minorHAnsi" w:hAnsiTheme="minorHAnsi" w:cstheme="minorHAnsi"/>
        </w:rPr>
        <w:tab/>
      </w:r>
      <w:r w:rsidRPr="001258AA">
        <w:rPr>
          <w:rFonts w:asciiTheme="minorHAnsi" w:eastAsiaTheme="minorHAnsi" w:hAnsiTheme="minorHAnsi" w:cstheme="minorHAnsi"/>
          <w:i/>
        </w:rPr>
        <w:t>Integrovaný regionální operační program 2014</w:t>
      </w:r>
      <w:r w:rsidR="0095606B" w:rsidRPr="001258AA">
        <w:rPr>
          <w:rFonts w:asciiTheme="minorHAnsi" w:eastAsiaTheme="minorHAnsi" w:hAnsiTheme="minorHAnsi" w:cstheme="minorHAnsi"/>
          <w:i/>
        </w:rPr>
        <w:t>–</w:t>
      </w:r>
      <w:r w:rsidRPr="001258AA">
        <w:rPr>
          <w:rFonts w:asciiTheme="minorHAnsi" w:eastAsiaTheme="minorHAnsi" w:hAnsiTheme="minorHAnsi" w:cstheme="minorHAnsi"/>
          <w:i/>
        </w:rPr>
        <w:t>2020</w:t>
      </w:r>
    </w:p>
    <w:p w14:paraId="3F97B9D1" w14:textId="06623C73" w:rsidR="005D22CD" w:rsidRDefault="005D22CD" w:rsidP="006575BB">
      <w:pPr>
        <w:tabs>
          <w:tab w:val="left" w:pos="2552"/>
        </w:tabs>
        <w:spacing w:before="1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IS EDS</w:t>
      </w:r>
      <w:r>
        <w:rPr>
          <w:rFonts w:asciiTheme="minorHAnsi" w:eastAsiaTheme="minorHAnsi" w:hAnsiTheme="minorHAnsi" w:cstheme="minorHAnsi"/>
        </w:rPr>
        <w:tab/>
        <w:t xml:space="preserve">informační systém </w:t>
      </w:r>
      <w:r w:rsidRPr="001258AA">
        <w:rPr>
          <w:rFonts w:asciiTheme="minorHAnsi" w:eastAsiaTheme="minorHAnsi" w:hAnsiTheme="minorHAnsi" w:cstheme="minorHAnsi"/>
          <w:i/>
        </w:rPr>
        <w:t>Evidenční dotační systém</w:t>
      </w:r>
    </w:p>
    <w:p w14:paraId="3AC06A95" w14:textId="77777777" w:rsidR="006272EC" w:rsidRDefault="006272EC" w:rsidP="006575BB">
      <w:pPr>
        <w:tabs>
          <w:tab w:val="left" w:pos="2552"/>
        </w:tabs>
        <w:spacing w:before="12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MF</w:t>
      </w:r>
      <w:r>
        <w:rPr>
          <w:rFonts w:asciiTheme="minorHAnsi" w:eastAsiaTheme="minorHAnsi" w:hAnsiTheme="minorHAnsi" w:cstheme="minorHAnsi"/>
        </w:rPr>
        <w:tab/>
        <w:t>Ministerstvo financí</w:t>
      </w:r>
    </w:p>
    <w:p w14:paraId="02C59FF0" w14:textId="77777777" w:rsidR="00453CDD" w:rsidRPr="009D7FDB" w:rsidRDefault="00453CDD" w:rsidP="006575BB">
      <w:pPr>
        <w:tabs>
          <w:tab w:val="left" w:pos="2552"/>
        </w:tabs>
        <w:spacing w:before="120"/>
        <w:jc w:val="both"/>
        <w:rPr>
          <w:rFonts w:asciiTheme="minorHAnsi" w:eastAsiaTheme="minorHAnsi" w:hAnsiTheme="minorHAnsi" w:cstheme="minorHAnsi"/>
        </w:rPr>
      </w:pPr>
      <w:r w:rsidRPr="009D7FDB">
        <w:rPr>
          <w:rFonts w:asciiTheme="minorHAnsi" w:eastAsiaTheme="minorHAnsi" w:hAnsiTheme="minorHAnsi" w:cstheme="minorHAnsi"/>
        </w:rPr>
        <w:t>M</w:t>
      </w:r>
      <w:r w:rsidR="009D7FDB" w:rsidRPr="009D7FDB">
        <w:rPr>
          <w:rFonts w:asciiTheme="minorHAnsi" w:eastAsiaTheme="minorHAnsi" w:hAnsiTheme="minorHAnsi" w:cstheme="minorHAnsi"/>
        </w:rPr>
        <w:t>MR</w:t>
      </w:r>
      <w:r w:rsidRPr="009D7FDB">
        <w:rPr>
          <w:rFonts w:asciiTheme="minorHAnsi" w:eastAsiaTheme="minorHAnsi" w:hAnsiTheme="minorHAnsi" w:cstheme="minorHAnsi"/>
        </w:rPr>
        <w:tab/>
      </w:r>
      <w:r w:rsidRPr="009D7FDB">
        <w:rPr>
          <w:rFonts w:cs="Calibri"/>
          <w:iCs/>
        </w:rPr>
        <w:t>M</w:t>
      </w:r>
      <w:r w:rsidR="009D7FDB" w:rsidRPr="009D7FDB">
        <w:rPr>
          <w:rFonts w:cs="Calibri"/>
          <w:iCs/>
        </w:rPr>
        <w:t>inisterstvo pro místní rozvoj</w:t>
      </w:r>
    </w:p>
    <w:p w14:paraId="72956A70" w14:textId="77777777" w:rsidR="00155F56" w:rsidRPr="009D7FDB" w:rsidRDefault="00155F56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9D7FDB">
        <w:rPr>
          <w:rFonts w:asciiTheme="minorHAnsi" w:eastAsiaTheme="minorHAnsi" w:hAnsiTheme="minorHAnsi" w:cstheme="minorHAnsi"/>
        </w:rPr>
        <w:t>NKÚ</w:t>
      </w:r>
      <w:r w:rsidRPr="009D7FDB">
        <w:rPr>
          <w:rFonts w:asciiTheme="minorHAnsi" w:eastAsiaTheme="minorHAnsi" w:hAnsiTheme="minorHAnsi" w:cstheme="minorHAnsi"/>
        </w:rPr>
        <w:tab/>
        <w:t>Nejvyšší kontrolní úřad</w:t>
      </w:r>
    </w:p>
    <w:p w14:paraId="50EA0B19" w14:textId="2613160E" w:rsidR="0095606B" w:rsidRDefault="0095606B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Obecné nařízení</w:t>
      </w:r>
      <w:r>
        <w:rPr>
          <w:rFonts w:asciiTheme="minorHAnsi" w:eastAsiaTheme="minorHAnsi" w:hAnsiTheme="minorHAnsi" w:cstheme="minorHAnsi"/>
        </w:rPr>
        <w:tab/>
      </w:r>
      <w:proofErr w:type="spellStart"/>
      <w:r w:rsidR="00743FD4">
        <w:rPr>
          <w:rFonts w:asciiTheme="minorHAnsi" w:eastAsiaTheme="minorHAnsi" w:hAnsiTheme="minorHAnsi" w:cstheme="minorHAnsi"/>
        </w:rPr>
        <w:t>n</w:t>
      </w:r>
      <w:r w:rsidR="00743FD4" w:rsidRPr="00743FD4">
        <w:rPr>
          <w:rFonts w:asciiTheme="minorHAnsi" w:eastAsiaTheme="minorHAnsi" w:hAnsiTheme="minorHAnsi" w:cstheme="minorHAnsi"/>
        </w:rPr>
        <w:t>ařízení</w:t>
      </w:r>
      <w:proofErr w:type="spellEnd"/>
      <w:r w:rsidR="00743FD4" w:rsidRPr="00743FD4">
        <w:rPr>
          <w:rFonts w:asciiTheme="minorHAnsi" w:eastAsiaTheme="minorHAnsi" w:hAnsiTheme="minorHAnsi" w:cstheme="minorHAnsi"/>
        </w:rPr>
        <w:t xml:space="preserve"> Evropského Parlamentu a Rady (EU) č. 1303/2013 ze dne 17. prosince 2013 o společných ustanoveních o Evropském fondu pro regionální rozvoj, Evropském sociálním fondu, Fondu soudržnosti, Evropském zemědělském fondu pro rozvoj venkova a</w:t>
      </w:r>
      <w:r w:rsidR="00743FD4">
        <w:rPr>
          <w:rFonts w:asciiTheme="minorHAnsi" w:eastAsiaTheme="minorHAnsi" w:hAnsiTheme="minorHAnsi" w:cstheme="minorHAnsi"/>
        </w:rPr>
        <w:t> </w:t>
      </w:r>
      <w:r w:rsidR="00743FD4" w:rsidRPr="00743FD4">
        <w:rPr>
          <w:rFonts w:asciiTheme="minorHAnsi" w:eastAsiaTheme="minorHAnsi" w:hAnsiTheme="minorHAnsi" w:cstheme="minorHAnsi"/>
        </w:rPr>
        <w:t>Evropském námořním a rybářském fondu, o obecných ustanoveních o Evropském fondu pro regionální rozvoj, Evropském sociálním fondu, Fondu soudržnosti a Evropském námořním a</w:t>
      </w:r>
      <w:r w:rsidR="00743FD4">
        <w:rPr>
          <w:rFonts w:asciiTheme="minorHAnsi" w:eastAsiaTheme="minorHAnsi" w:hAnsiTheme="minorHAnsi" w:cstheme="minorHAnsi"/>
        </w:rPr>
        <w:t> </w:t>
      </w:r>
      <w:r w:rsidR="00743FD4" w:rsidRPr="00743FD4">
        <w:rPr>
          <w:rFonts w:asciiTheme="minorHAnsi" w:eastAsiaTheme="minorHAnsi" w:hAnsiTheme="minorHAnsi" w:cstheme="minorHAnsi"/>
        </w:rPr>
        <w:t>rybářském fondu a o zrušení nařízení Rady (ES) č. 1083/2006</w:t>
      </w:r>
    </w:p>
    <w:p w14:paraId="692149FE" w14:textId="2432EE3B" w:rsidR="00155F56" w:rsidRDefault="00155F56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9D7FDB">
        <w:rPr>
          <w:rFonts w:asciiTheme="minorHAnsi" w:eastAsiaTheme="minorHAnsi" w:hAnsiTheme="minorHAnsi" w:cstheme="minorHAnsi"/>
        </w:rPr>
        <w:t>OSS</w:t>
      </w:r>
      <w:r w:rsidRPr="009D7FDB">
        <w:rPr>
          <w:rFonts w:asciiTheme="minorHAnsi" w:eastAsiaTheme="minorHAnsi" w:hAnsiTheme="minorHAnsi" w:cstheme="minorHAnsi"/>
        </w:rPr>
        <w:tab/>
        <w:t>organizační složka/</w:t>
      </w:r>
      <w:r w:rsidR="005121AE" w:rsidRPr="009D7FDB">
        <w:rPr>
          <w:rFonts w:asciiTheme="minorHAnsi" w:eastAsiaTheme="minorHAnsi" w:hAnsiTheme="minorHAnsi" w:cstheme="minorHAnsi"/>
        </w:rPr>
        <w:t>složk</w:t>
      </w:r>
      <w:r w:rsidRPr="009D7FDB">
        <w:rPr>
          <w:rFonts w:asciiTheme="minorHAnsi" w:eastAsiaTheme="minorHAnsi" w:hAnsiTheme="minorHAnsi" w:cstheme="minorHAnsi"/>
        </w:rPr>
        <w:t>y státu</w:t>
      </w:r>
    </w:p>
    <w:p w14:paraId="3D20770E" w14:textId="77777777" w:rsidR="005D22CD" w:rsidRDefault="005D22CD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RIS ZED</w:t>
      </w:r>
      <w:r>
        <w:rPr>
          <w:rFonts w:asciiTheme="minorHAnsi" w:eastAsiaTheme="minorHAnsi" w:hAnsiTheme="minorHAnsi" w:cstheme="minorHAnsi"/>
        </w:rPr>
        <w:tab/>
        <w:t>rozpočtový informační systém zjednodušené evidence dotací</w:t>
      </w:r>
    </w:p>
    <w:p w14:paraId="21842F80" w14:textId="01B5CB4B" w:rsidR="004977A7" w:rsidRDefault="004977A7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RRF</w:t>
      </w:r>
      <w:r>
        <w:rPr>
          <w:rFonts w:asciiTheme="minorHAnsi" w:eastAsiaTheme="minorHAnsi" w:hAnsiTheme="minorHAnsi" w:cstheme="minorHAnsi"/>
        </w:rPr>
        <w:tab/>
      </w:r>
      <w:r w:rsidR="0095606B">
        <w:rPr>
          <w:rFonts w:asciiTheme="minorHAnsi" w:eastAsiaTheme="minorHAnsi" w:hAnsiTheme="minorHAnsi" w:cstheme="minorHAnsi"/>
        </w:rPr>
        <w:t>R</w:t>
      </w:r>
      <w:r>
        <w:rPr>
          <w:rFonts w:asciiTheme="minorHAnsi" w:eastAsiaTheme="minorHAnsi" w:hAnsiTheme="minorHAnsi" w:cstheme="minorHAnsi"/>
        </w:rPr>
        <w:t>egionální rozvojový fond</w:t>
      </w:r>
    </w:p>
    <w:p w14:paraId="671F0C0D" w14:textId="77777777" w:rsidR="005D22CD" w:rsidRPr="009D7FDB" w:rsidRDefault="005D22CD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RRRS</w:t>
      </w:r>
      <w:r>
        <w:rPr>
          <w:rFonts w:asciiTheme="minorHAnsi" w:eastAsiaTheme="minorHAnsi" w:hAnsiTheme="minorHAnsi" w:cstheme="minorHAnsi"/>
        </w:rPr>
        <w:tab/>
        <w:t>regionální rada regionů soudržnosti</w:t>
      </w:r>
    </w:p>
    <w:p w14:paraId="2D1E44A9" w14:textId="77777777" w:rsidR="00155F56" w:rsidRPr="009D7FDB" w:rsidRDefault="00155F56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9D7FDB">
        <w:rPr>
          <w:rFonts w:asciiTheme="minorHAnsi" w:eastAsiaTheme="minorHAnsi" w:hAnsiTheme="minorHAnsi" w:cstheme="minorHAnsi"/>
        </w:rPr>
        <w:t>ÚZ</w:t>
      </w:r>
      <w:r w:rsidRPr="009D7FDB">
        <w:rPr>
          <w:rFonts w:asciiTheme="minorHAnsi" w:eastAsiaTheme="minorHAnsi" w:hAnsiTheme="minorHAnsi" w:cstheme="minorHAnsi"/>
        </w:rPr>
        <w:tab/>
        <w:t xml:space="preserve">účetní závěrka </w:t>
      </w:r>
      <w:r w:rsidR="009D7FDB" w:rsidRPr="009D7FDB">
        <w:rPr>
          <w:rFonts w:asciiTheme="minorHAnsi" w:eastAsiaTheme="minorHAnsi" w:hAnsiTheme="minorHAnsi" w:cstheme="minorHAnsi"/>
        </w:rPr>
        <w:t>MMR</w:t>
      </w:r>
      <w:r w:rsidR="00B3037C" w:rsidRPr="009D7FDB">
        <w:rPr>
          <w:rFonts w:asciiTheme="minorHAnsi" w:eastAsiaTheme="minorHAnsi" w:hAnsiTheme="minorHAnsi" w:cstheme="minorHAnsi"/>
        </w:rPr>
        <w:t xml:space="preserve"> sestavená</w:t>
      </w:r>
      <w:r w:rsidRPr="009D7FDB">
        <w:rPr>
          <w:rFonts w:asciiTheme="minorHAnsi" w:eastAsiaTheme="minorHAnsi" w:hAnsiTheme="minorHAnsi" w:cstheme="minorHAnsi"/>
        </w:rPr>
        <w:t xml:space="preserve"> k 31.</w:t>
      </w:r>
      <w:r w:rsidR="009F66D1" w:rsidRPr="009D7FDB">
        <w:rPr>
          <w:rFonts w:asciiTheme="minorHAnsi" w:eastAsiaTheme="minorHAnsi" w:hAnsiTheme="minorHAnsi" w:cstheme="minorHAnsi"/>
        </w:rPr>
        <w:t> </w:t>
      </w:r>
      <w:r w:rsidRPr="009D7FDB">
        <w:rPr>
          <w:rFonts w:asciiTheme="minorHAnsi" w:eastAsiaTheme="minorHAnsi" w:hAnsiTheme="minorHAnsi" w:cstheme="minorHAnsi"/>
        </w:rPr>
        <w:t>prosinci 20</w:t>
      </w:r>
      <w:r w:rsidR="00842B22" w:rsidRPr="009D7FDB">
        <w:rPr>
          <w:rFonts w:asciiTheme="minorHAnsi" w:eastAsiaTheme="minorHAnsi" w:hAnsiTheme="minorHAnsi" w:cstheme="minorHAnsi"/>
        </w:rPr>
        <w:t>2</w:t>
      </w:r>
      <w:r w:rsidR="009D7FDB" w:rsidRPr="009D7FDB">
        <w:rPr>
          <w:rFonts w:asciiTheme="minorHAnsi" w:eastAsiaTheme="minorHAnsi" w:hAnsiTheme="minorHAnsi" w:cstheme="minorHAnsi"/>
        </w:rPr>
        <w:t>3</w:t>
      </w:r>
      <w:r w:rsidR="00B3037C" w:rsidRPr="009D7FDB">
        <w:rPr>
          <w:rFonts w:asciiTheme="minorHAnsi" w:eastAsiaTheme="minorHAnsi" w:hAnsiTheme="minorHAnsi" w:cstheme="minorHAnsi"/>
        </w:rPr>
        <w:t xml:space="preserve"> s datem sestavení 2</w:t>
      </w:r>
      <w:r w:rsidR="009D7FDB" w:rsidRPr="009D7FDB">
        <w:rPr>
          <w:rFonts w:asciiTheme="minorHAnsi" w:eastAsiaTheme="minorHAnsi" w:hAnsiTheme="minorHAnsi" w:cstheme="minorHAnsi"/>
        </w:rPr>
        <w:t>8</w:t>
      </w:r>
      <w:r w:rsidR="00B3037C" w:rsidRPr="009D7FDB">
        <w:rPr>
          <w:rFonts w:asciiTheme="minorHAnsi" w:eastAsiaTheme="minorHAnsi" w:hAnsiTheme="minorHAnsi" w:cstheme="minorHAnsi"/>
        </w:rPr>
        <w:t>. března 202</w:t>
      </w:r>
      <w:r w:rsidR="009D7FDB" w:rsidRPr="009D7FDB">
        <w:rPr>
          <w:rFonts w:asciiTheme="minorHAnsi" w:eastAsiaTheme="minorHAnsi" w:hAnsiTheme="minorHAnsi" w:cstheme="minorHAnsi"/>
        </w:rPr>
        <w:t>4</w:t>
      </w:r>
    </w:p>
    <w:p w14:paraId="7D3CDD7C" w14:textId="77777777" w:rsidR="00A045AE" w:rsidRPr="009D7FDB" w:rsidRDefault="00A045AE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9D7FDB">
        <w:rPr>
          <w:rFonts w:asciiTheme="minorHAnsi" w:eastAsiaTheme="minorHAnsi" w:hAnsiTheme="minorHAnsi" w:cstheme="minorHAnsi"/>
        </w:rPr>
        <w:t>VKS</w:t>
      </w:r>
      <w:r w:rsidRPr="009D7FDB">
        <w:rPr>
          <w:rFonts w:asciiTheme="minorHAnsi" w:eastAsiaTheme="minorHAnsi" w:hAnsiTheme="minorHAnsi" w:cstheme="minorHAnsi"/>
        </w:rPr>
        <w:tab/>
        <w:t>vnitřní kont</w:t>
      </w:r>
      <w:r w:rsidR="0096120D" w:rsidRPr="009D7FDB">
        <w:rPr>
          <w:rFonts w:asciiTheme="minorHAnsi" w:eastAsiaTheme="minorHAnsi" w:hAnsiTheme="minorHAnsi" w:cstheme="minorHAnsi"/>
        </w:rPr>
        <w:t>rolní systém</w:t>
      </w:r>
    </w:p>
    <w:p w14:paraId="2309D2F0" w14:textId="2611097B" w:rsidR="00B53D75" w:rsidRPr="00B7727F" w:rsidRDefault="00155F56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B7727F">
        <w:rPr>
          <w:rFonts w:asciiTheme="minorHAnsi" w:eastAsiaTheme="minorHAnsi" w:hAnsiTheme="minorHAnsi" w:cstheme="minorHAnsi"/>
        </w:rPr>
        <w:t>výkaz FIN 1-12 OSS</w:t>
      </w:r>
      <w:r w:rsidRPr="00B7727F">
        <w:rPr>
          <w:rFonts w:asciiTheme="minorHAnsi" w:eastAsiaTheme="minorHAnsi" w:hAnsiTheme="minorHAnsi" w:cstheme="minorHAnsi"/>
        </w:rPr>
        <w:tab/>
      </w:r>
      <w:r w:rsidR="00B3037C" w:rsidRPr="00B7727F">
        <w:rPr>
          <w:rFonts w:asciiTheme="minorHAnsi" w:eastAsiaTheme="minorHAnsi" w:hAnsiTheme="minorHAnsi" w:cstheme="minorHAnsi"/>
        </w:rPr>
        <w:t>v</w:t>
      </w:r>
      <w:r w:rsidRPr="00B7727F">
        <w:rPr>
          <w:rFonts w:asciiTheme="minorHAnsi" w:eastAsiaTheme="minorHAnsi" w:hAnsiTheme="minorHAnsi" w:cstheme="minorHAnsi"/>
        </w:rPr>
        <w:t xml:space="preserve">ýkaz pro hodnocení plnění rozpočtu </w:t>
      </w:r>
      <w:r w:rsidR="00B3037C" w:rsidRPr="00B7727F">
        <w:rPr>
          <w:rFonts w:asciiTheme="minorHAnsi" w:eastAsiaTheme="minorHAnsi" w:hAnsiTheme="minorHAnsi" w:cstheme="minorHAnsi"/>
        </w:rPr>
        <w:t>M</w:t>
      </w:r>
      <w:r w:rsidR="00286A60">
        <w:rPr>
          <w:rFonts w:asciiTheme="minorHAnsi" w:eastAsiaTheme="minorHAnsi" w:hAnsiTheme="minorHAnsi" w:cstheme="minorHAnsi"/>
        </w:rPr>
        <w:t>MR</w:t>
      </w:r>
      <w:r w:rsidR="00B3037C" w:rsidRPr="00B7727F">
        <w:rPr>
          <w:rFonts w:asciiTheme="minorHAnsi" w:eastAsiaTheme="minorHAnsi" w:hAnsiTheme="minorHAnsi" w:cstheme="minorHAnsi"/>
        </w:rPr>
        <w:t xml:space="preserve"> </w:t>
      </w:r>
      <w:r w:rsidR="00286A60">
        <w:rPr>
          <w:rFonts w:asciiTheme="minorHAnsi" w:eastAsiaTheme="minorHAnsi" w:hAnsiTheme="minorHAnsi" w:cstheme="minorHAnsi"/>
        </w:rPr>
        <w:t xml:space="preserve">sestavený k 31. prosinci </w:t>
      </w:r>
      <w:r w:rsidR="00842B22" w:rsidRPr="00B7727F">
        <w:rPr>
          <w:rFonts w:asciiTheme="minorHAnsi" w:eastAsiaTheme="minorHAnsi" w:hAnsiTheme="minorHAnsi" w:cstheme="minorHAnsi"/>
        </w:rPr>
        <w:t>202</w:t>
      </w:r>
      <w:r w:rsidR="00B7727F" w:rsidRPr="00B7727F">
        <w:rPr>
          <w:rFonts w:asciiTheme="minorHAnsi" w:eastAsiaTheme="minorHAnsi" w:hAnsiTheme="minorHAnsi" w:cstheme="minorHAnsi"/>
        </w:rPr>
        <w:t>3</w:t>
      </w:r>
    </w:p>
    <w:p w14:paraId="4AEE0273" w14:textId="77777777" w:rsidR="009D7FDB" w:rsidRPr="004F6F5D" w:rsidRDefault="009D7FDB" w:rsidP="006575BB">
      <w:pPr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  <w:highlight w:val="yellow"/>
        </w:rPr>
      </w:pPr>
      <w:r w:rsidRPr="005D22CD">
        <w:rPr>
          <w:rFonts w:asciiTheme="minorHAnsi" w:eastAsiaTheme="minorHAnsi" w:hAnsiTheme="minorHAnsi" w:cstheme="minorHAnsi"/>
        </w:rPr>
        <w:t xml:space="preserve">ZÚ </w:t>
      </w:r>
      <w:r w:rsidR="005D22CD" w:rsidRPr="005D22CD">
        <w:rPr>
          <w:rFonts w:asciiTheme="minorHAnsi" w:eastAsiaTheme="minorHAnsi" w:hAnsiTheme="minorHAnsi" w:cstheme="minorHAnsi"/>
        </w:rPr>
        <w:t xml:space="preserve">za rok </w:t>
      </w:r>
      <w:r w:rsidRPr="005D22CD">
        <w:rPr>
          <w:rFonts w:asciiTheme="minorHAnsi" w:eastAsiaTheme="minorHAnsi" w:hAnsiTheme="minorHAnsi" w:cstheme="minorHAnsi"/>
        </w:rPr>
        <w:t>2023</w:t>
      </w:r>
      <w:r w:rsidR="005D22CD" w:rsidRPr="005D22CD">
        <w:rPr>
          <w:rFonts w:asciiTheme="minorHAnsi" w:eastAsiaTheme="minorHAnsi" w:hAnsiTheme="minorHAnsi" w:cstheme="minorHAnsi"/>
        </w:rPr>
        <w:tab/>
      </w:r>
      <w:r w:rsidR="005D22CD" w:rsidRPr="005D22CD">
        <w:rPr>
          <w:rFonts w:eastAsia="Calibri" w:cs="Calibri"/>
        </w:rPr>
        <w:t xml:space="preserve">závěrečný účet kapitoly státního rozpočtu 317 – </w:t>
      </w:r>
      <w:r w:rsidR="005D22CD" w:rsidRPr="005D22CD">
        <w:rPr>
          <w:rFonts w:eastAsia="Calibri" w:cs="Calibri"/>
          <w:i/>
        </w:rPr>
        <w:t>Ministerstvo pro</w:t>
      </w:r>
      <w:r w:rsidR="005D22CD" w:rsidRPr="00BD1DB5">
        <w:rPr>
          <w:rFonts w:eastAsia="Calibri" w:cs="Calibri"/>
          <w:i/>
        </w:rPr>
        <w:t xml:space="preserve"> místní rozvoj</w:t>
      </w:r>
      <w:r w:rsidR="005D22CD">
        <w:rPr>
          <w:rFonts w:eastAsia="Calibri" w:cs="Calibri"/>
        </w:rPr>
        <w:t xml:space="preserve"> </w:t>
      </w:r>
      <w:r w:rsidR="005D22CD" w:rsidRPr="00B7054F">
        <w:rPr>
          <w:rFonts w:eastAsia="Calibri" w:cs="Calibri"/>
        </w:rPr>
        <w:t>za rok 2023</w:t>
      </w:r>
    </w:p>
    <w:p w14:paraId="27E0D7A3" w14:textId="77777777" w:rsidR="000D791D" w:rsidRPr="004F6F5D" w:rsidRDefault="000D791D" w:rsidP="006575BB">
      <w:pPr>
        <w:tabs>
          <w:tab w:val="left" w:pos="2552"/>
        </w:tabs>
        <w:spacing w:before="120"/>
        <w:ind w:left="3540" w:hanging="3540"/>
        <w:rPr>
          <w:rFonts w:asciiTheme="minorHAnsi" w:eastAsiaTheme="minorHAnsi" w:hAnsiTheme="minorHAnsi" w:cstheme="minorHAnsi"/>
          <w:highlight w:val="yellow"/>
        </w:rPr>
      </w:pPr>
    </w:p>
    <w:p w14:paraId="77BD443B" w14:textId="77777777" w:rsidR="00DC4A58" w:rsidRPr="004F6F5D" w:rsidRDefault="00DC4A58" w:rsidP="006575BB">
      <w:pPr>
        <w:spacing w:before="120"/>
        <w:rPr>
          <w:rFonts w:cstheme="minorHAnsi"/>
          <w:b/>
          <w:bCs/>
          <w:highlight w:val="yellow"/>
        </w:rPr>
        <w:sectPr w:rsidR="00DC4A58" w:rsidRPr="004F6F5D" w:rsidSect="005B3ED7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2EF783B" w14:textId="77777777" w:rsidR="00F42D7C" w:rsidRPr="00BB516C" w:rsidRDefault="00F42D7C" w:rsidP="006575BB">
      <w:pPr>
        <w:pStyle w:val="Nadpis1"/>
        <w:keepNext/>
        <w:spacing w:before="120" w:after="120" w:line="240" w:lineRule="auto"/>
        <w:jc w:val="right"/>
        <w:rPr>
          <w:sz w:val="24"/>
        </w:rPr>
      </w:pPr>
      <w:r w:rsidRPr="00BB516C">
        <w:rPr>
          <w:sz w:val="24"/>
        </w:rPr>
        <w:lastRenderedPageBreak/>
        <w:t>Příloha č. 1</w:t>
      </w:r>
    </w:p>
    <w:p w14:paraId="27E43F62" w14:textId="77777777" w:rsidR="00423B1E" w:rsidRPr="00BB516C" w:rsidRDefault="009C3EFB" w:rsidP="006575BB">
      <w:pPr>
        <w:pStyle w:val="Nadpis1"/>
        <w:keepNext/>
        <w:spacing w:before="120" w:after="120" w:line="240" w:lineRule="auto"/>
        <w:jc w:val="left"/>
      </w:pPr>
      <w:r w:rsidRPr="00BB516C">
        <w:rPr>
          <w:sz w:val="24"/>
        </w:rPr>
        <w:t>Rozdíl mezi saldem peněžních toků a výsledkem hospodaření M</w:t>
      </w:r>
      <w:r w:rsidR="00BB516C">
        <w:rPr>
          <w:sz w:val="24"/>
        </w:rPr>
        <w:t>MR</w:t>
      </w:r>
    </w:p>
    <w:p w14:paraId="7A60652B" w14:textId="77777777" w:rsidR="00BB516C" w:rsidRDefault="00BB516C" w:rsidP="006575BB">
      <w:pPr>
        <w:spacing w:before="120"/>
        <w:jc w:val="both"/>
        <w:rPr>
          <w:rFonts w:asciiTheme="minorHAnsi" w:hAnsiTheme="minorHAnsi"/>
        </w:rPr>
      </w:pPr>
      <w:r w:rsidRPr="00974709">
        <w:rPr>
          <w:rFonts w:asciiTheme="minorHAnsi" w:hAnsiTheme="minorHAnsi"/>
        </w:rPr>
        <w:t>Mezi charakteristické činnosti, které MMR v rámci své působnosti zajišťuje, patří poskytování transferů, tj.</w:t>
      </w:r>
      <w:r w:rsidR="00BB6A06">
        <w:rPr>
          <w:rFonts w:asciiTheme="minorHAnsi" w:hAnsiTheme="minorHAnsi"/>
        </w:rPr>
        <w:t xml:space="preserve"> zejména</w:t>
      </w:r>
      <w:r w:rsidRPr="00974709">
        <w:rPr>
          <w:rFonts w:asciiTheme="minorHAnsi" w:hAnsiTheme="minorHAnsi"/>
        </w:rPr>
        <w:t xml:space="preserve"> dotací</w:t>
      </w:r>
      <w:r w:rsidR="00BB6A06">
        <w:rPr>
          <w:rFonts w:asciiTheme="minorHAnsi" w:hAnsiTheme="minorHAnsi"/>
        </w:rPr>
        <w:t xml:space="preserve"> a příspěvků</w:t>
      </w:r>
      <w:r w:rsidRPr="00974709">
        <w:rPr>
          <w:rFonts w:asciiTheme="minorHAnsi" w:hAnsiTheme="minorHAnsi"/>
        </w:rPr>
        <w:t>. MMR v roce 2023 poskytovalo následující druhy transferů:</w:t>
      </w:r>
    </w:p>
    <w:p w14:paraId="5F162944" w14:textId="3644A29C" w:rsidR="00BB516C" w:rsidRDefault="00BB516C" w:rsidP="003677B5">
      <w:pPr>
        <w:pStyle w:val="Odstavecseseznamem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zahraniční transfery spolufinancované ze státního rozpočtu a rozpočtu EU (zejména </w:t>
      </w:r>
      <w:r w:rsidRPr="001258AA">
        <w:rPr>
          <w:rFonts w:asciiTheme="minorHAnsi" w:hAnsiTheme="minorHAnsi"/>
          <w:i/>
        </w:rPr>
        <w:t>Integrovaný regionální operační program 2014+</w:t>
      </w:r>
      <w:r>
        <w:rPr>
          <w:rFonts w:asciiTheme="minorHAnsi" w:hAnsiTheme="minorHAnsi"/>
        </w:rPr>
        <w:t xml:space="preserve">, </w:t>
      </w:r>
      <w:r w:rsidRPr="001258AA">
        <w:rPr>
          <w:rFonts w:asciiTheme="minorHAnsi" w:hAnsiTheme="minorHAnsi"/>
          <w:i/>
        </w:rPr>
        <w:t>Integrovaný regionální operační program REACT-EU 2014+</w:t>
      </w:r>
      <w:r>
        <w:rPr>
          <w:rFonts w:asciiTheme="minorHAnsi" w:hAnsiTheme="minorHAnsi"/>
        </w:rPr>
        <w:t xml:space="preserve"> a </w:t>
      </w:r>
      <w:r w:rsidRPr="001258AA">
        <w:rPr>
          <w:rFonts w:asciiTheme="minorHAnsi" w:hAnsiTheme="minorHAnsi"/>
          <w:i/>
        </w:rPr>
        <w:t>Integrovaný regionální operační program 2021+</w:t>
      </w:r>
      <w:r>
        <w:rPr>
          <w:rFonts w:asciiTheme="minorHAnsi" w:hAnsiTheme="minorHAnsi"/>
        </w:rPr>
        <w:t>)</w:t>
      </w:r>
      <w:r w:rsidR="00743FD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</w:p>
    <w:p w14:paraId="7039FF46" w14:textId="77777777" w:rsidR="00BB516C" w:rsidRPr="00BB516C" w:rsidRDefault="00BB516C" w:rsidP="003677B5">
      <w:pPr>
        <w:pStyle w:val="Odstavecseseznamem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Theme="minorHAnsi" w:hAnsiTheme="minorHAnsi"/>
        </w:rPr>
      </w:pPr>
      <w:r w:rsidRPr="00BB516C">
        <w:rPr>
          <w:rFonts w:asciiTheme="minorHAnsi" w:hAnsiTheme="minorHAnsi"/>
        </w:rPr>
        <w:t>národní transfery kryté pouze ze státního rozpočtu (zejména programy bytové politiky, programy podpory regionálního rozvoje, programy cestovního ruchu, programy územního plánování</w:t>
      </w:r>
      <w:r w:rsidR="00BB6A06">
        <w:rPr>
          <w:rFonts w:asciiTheme="minorHAnsi" w:hAnsiTheme="minorHAnsi"/>
        </w:rPr>
        <w:t>)</w:t>
      </w:r>
      <w:r w:rsidR="00A61DC7">
        <w:rPr>
          <w:rFonts w:asciiTheme="minorHAnsi" w:hAnsiTheme="minorHAnsi"/>
        </w:rPr>
        <w:t>.</w:t>
      </w:r>
      <w:r w:rsidRPr="00BB516C">
        <w:rPr>
          <w:rFonts w:asciiTheme="minorHAnsi" w:hAnsiTheme="minorHAnsi"/>
        </w:rPr>
        <w:t xml:space="preserve"> </w:t>
      </w:r>
    </w:p>
    <w:p w14:paraId="7C031E02" w14:textId="77777777" w:rsidR="00E240B6" w:rsidRPr="00BB516C" w:rsidRDefault="00E240B6" w:rsidP="006575BB">
      <w:pPr>
        <w:spacing w:before="120"/>
        <w:jc w:val="both"/>
        <w:rPr>
          <w:rFonts w:asciiTheme="minorHAnsi" w:hAnsiTheme="minorHAnsi"/>
        </w:rPr>
      </w:pPr>
      <w:r w:rsidRPr="00BB516C">
        <w:rPr>
          <w:rFonts w:asciiTheme="minorHAnsi" w:hAnsiTheme="minorHAnsi"/>
        </w:rPr>
        <w:t>Tyto činnosti měly významný vliv na vykázané účetní i rozpočtové informace</w:t>
      </w:r>
      <w:r w:rsidR="00F42D7C" w:rsidRPr="00BB516C">
        <w:rPr>
          <w:rFonts w:asciiTheme="minorHAnsi" w:hAnsiTheme="minorHAnsi"/>
        </w:rPr>
        <w:t xml:space="preserve"> </w:t>
      </w:r>
      <w:r w:rsidRPr="00BB516C">
        <w:rPr>
          <w:rFonts w:asciiTheme="minorHAnsi" w:hAnsiTheme="minorHAnsi"/>
        </w:rPr>
        <w:t xml:space="preserve">k 31. prosinci </w:t>
      </w:r>
      <w:r w:rsidR="00BB516C" w:rsidRPr="00BB516C">
        <w:rPr>
          <w:rFonts w:asciiTheme="minorHAnsi" w:hAnsiTheme="minorHAnsi"/>
        </w:rPr>
        <w:t>2023</w:t>
      </w:r>
      <w:r w:rsidRPr="00BB516C">
        <w:rPr>
          <w:rFonts w:asciiTheme="minorHAnsi" w:hAnsiTheme="minorHAnsi"/>
        </w:rPr>
        <w:t>, kde se promítly zejména následujícím způsobem:</w:t>
      </w:r>
    </w:p>
    <w:p w14:paraId="1EA31D0D" w14:textId="77777777" w:rsidR="00E240B6" w:rsidRPr="00BB516C" w:rsidRDefault="00F42D7C" w:rsidP="003677B5">
      <w:pPr>
        <w:spacing w:before="240"/>
        <w:jc w:val="both"/>
        <w:rPr>
          <w:rFonts w:asciiTheme="minorHAnsi" w:hAnsiTheme="minorHAnsi"/>
          <w:b/>
        </w:rPr>
      </w:pPr>
      <w:r w:rsidRPr="00BB516C">
        <w:rPr>
          <w:rFonts w:asciiTheme="minorHAnsi" w:hAnsiTheme="minorHAnsi"/>
          <w:b/>
        </w:rPr>
        <w:t>– o</w:t>
      </w:r>
      <w:r w:rsidR="00E240B6" w:rsidRPr="00BB516C">
        <w:rPr>
          <w:rFonts w:asciiTheme="minorHAnsi" w:hAnsiTheme="minorHAnsi"/>
          <w:b/>
        </w:rPr>
        <w:t>blast účetních údajů (výkazy</w:t>
      </w:r>
      <w:r w:rsidRPr="00BB516C">
        <w:rPr>
          <w:rFonts w:asciiTheme="minorHAnsi" w:hAnsiTheme="minorHAnsi"/>
          <w:b/>
        </w:rPr>
        <w:t>:</w:t>
      </w:r>
      <w:r w:rsidR="00E240B6" w:rsidRPr="00BB516C">
        <w:rPr>
          <w:rFonts w:asciiTheme="minorHAnsi" w:hAnsiTheme="minorHAnsi"/>
          <w:b/>
        </w:rPr>
        <w:t xml:space="preserve"> rozvaha, výkaz zisku a ztráty a příloha)</w:t>
      </w:r>
    </w:p>
    <w:p w14:paraId="729E4BF8" w14:textId="77777777" w:rsidR="00BB516C" w:rsidRPr="00FF1192" w:rsidRDefault="00BB516C" w:rsidP="003677B5">
      <w:pPr>
        <w:pStyle w:val="Odstavecseseznamem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/>
          <w:b/>
        </w:rPr>
      </w:pPr>
      <w:r w:rsidRPr="00FF1192">
        <w:rPr>
          <w:rFonts w:asciiTheme="minorHAnsi" w:hAnsiTheme="minorHAnsi"/>
          <w:b/>
        </w:rPr>
        <w:t xml:space="preserve">prostřednictvím krátkodobých pohledávek </w:t>
      </w:r>
      <w:r w:rsidRPr="00FF1192">
        <w:rPr>
          <w:rFonts w:asciiTheme="minorHAnsi" w:hAnsiTheme="minorHAnsi"/>
        </w:rPr>
        <w:t>ve výši 16</w:t>
      </w:r>
      <w:r>
        <w:rPr>
          <w:rFonts w:asciiTheme="minorHAnsi" w:hAnsiTheme="minorHAnsi"/>
        </w:rPr>
        <w:t> 130 mil.</w:t>
      </w:r>
      <w:r w:rsidRPr="00FF1192">
        <w:rPr>
          <w:rFonts w:asciiTheme="minorHAnsi" w:hAnsiTheme="minorHAnsi"/>
        </w:rPr>
        <w:t xml:space="preserve"> Kč vykazovaných na </w:t>
      </w:r>
      <w:r w:rsidR="004005F3">
        <w:rPr>
          <w:rFonts w:asciiTheme="minorHAnsi" w:hAnsiTheme="minorHAnsi"/>
        </w:rPr>
        <w:t>účtu</w:t>
      </w:r>
      <w:r w:rsidRPr="00FF1192">
        <w:rPr>
          <w:rFonts w:asciiTheme="minorHAnsi" w:hAnsiTheme="minorHAnsi"/>
        </w:rPr>
        <w:t xml:space="preserve"> 373 – </w:t>
      </w:r>
      <w:r w:rsidRPr="00FF1192">
        <w:rPr>
          <w:rFonts w:asciiTheme="minorHAnsi" w:hAnsiTheme="minorHAnsi"/>
          <w:i/>
        </w:rPr>
        <w:t>Krátkodobé poskytnuté zálohy na transfery</w:t>
      </w:r>
      <w:r>
        <w:rPr>
          <w:rFonts w:asciiTheme="minorHAnsi" w:hAnsiTheme="minorHAnsi"/>
        </w:rPr>
        <w:t>;</w:t>
      </w:r>
    </w:p>
    <w:p w14:paraId="3DD5578A" w14:textId="21019214" w:rsidR="00BB516C" w:rsidRPr="003D3DC8" w:rsidRDefault="00BB516C" w:rsidP="003677B5">
      <w:pPr>
        <w:pStyle w:val="Odstavecseseznamem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/>
        </w:rPr>
      </w:pPr>
      <w:r w:rsidRPr="003D3DC8">
        <w:rPr>
          <w:rFonts w:asciiTheme="minorHAnsi" w:hAnsiTheme="minorHAnsi"/>
          <w:b/>
        </w:rPr>
        <w:t xml:space="preserve">prostřednictvím dlouhodobých pohledávek </w:t>
      </w:r>
      <w:r w:rsidRPr="003D3DC8">
        <w:rPr>
          <w:rFonts w:asciiTheme="minorHAnsi" w:hAnsiTheme="minorHAnsi"/>
        </w:rPr>
        <w:t>ve výši</w:t>
      </w:r>
      <w:r>
        <w:rPr>
          <w:rFonts w:asciiTheme="minorHAnsi" w:hAnsiTheme="minorHAnsi"/>
        </w:rPr>
        <w:t xml:space="preserve"> </w:t>
      </w:r>
      <w:r w:rsidR="004005F3">
        <w:rPr>
          <w:rFonts w:asciiTheme="minorHAnsi" w:hAnsiTheme="minorHAnsi"/>
        </w:rPr>
        <w:t>1 199</w:t>
      </w:r>
      <w:r>
        <w:rPr>
          <w:rFonts w:asciiTheme="minorHAnsi" w:hAnsiTheme="minorHAnsi"/>
        </w:rPr>
        <w:t xml:space="preserve"> m</w:t>
      </w:r>
      <w:r w:rsidR="004005F3">
        <w:rPr>
          <w:rFonts w:asciiTheme="minorHAnsi" w:hAnsiTheme="minorHAnsi"/>
        </w:rPr>
        <w:t>il</w:t>
      </w:r>
      <w:r>
        <w:rPr>
          <w:rFonts w:asciiTheme="minorHAnsi" w:hAnsiTheme="minorHAnsi"/>
        </w:rPr>
        <w:t xml:space="preserve">. Kč vykazovaných na </w:t>
      </w:r>
      <w:r w:rsidR="004005F3">
        <w:rPr>
          <w:rFonts w:asciiTheme="minorHAnsi" w:hAnsiTheme="minorHAnsi"/>
        </w:rPr>
        <w:t>účtu</w:t>
      </w:r>
      <w:r>
        <w:rPr>
          <w:rFonts w:asciiTheme="minorHAnsi" w:hAnsiTheme="minorHAnsi"/>
        </w:rPr>
        <w:t xml:space="preserve"> </w:t>
      </w:r>
      <w:r w:rsidR="003677B5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471 </w:t>
      </w:r>
      <w:r w:rsidRPr="00FF1192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3D3DC8">
        <w:rPr>
          <w:rFonts w:asciiTheme="minorHAnsi" w:hAnsiTheme="minorHAnsi"/>
          <w:i/>
        </w:rPr>
        <w:t>Dlouhodobé poskytnuté zálohy na transfery</w:t>
      </w:r>
      <w:r>
        <w:rPr>
          <w:rFonts w:asciiTheme="minorHAnsi" w:hAnsiTheme="minorHAnsi"/>
        </w:rPr>
        <w:t>;</w:t>
      </w:r>
    </w:p>
    <w:p w14:paraId="3C8C1915" w14:textId="77777777" w:rsidR="00BB516C" w:rsidRPr="003D3DC8" w:rsidRDefault="00BB516C" w:rsidP="003677B5">
      <w:pPr>
        <w:pStyle w:val="Odstavecseseznamem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/>
          <w:b/>
        </w:rPr>
      </w:pPr>
      <w:r w:rsidRPr="003D3DC8">
        <w:rPr>
          <w:rFonts w:asciiTheme="minorHAnsi" w:hAnsiTheme="minorHAnsi"/>
          <w:b/>
        </w:rPr>
        <w:t xml:space="preserve">prostřednictvím krátkodobých závazků </w:t>
      </w:r>
      <w:r w:rsidRPr="003D3DC8">
        <w:rPr>
          <w:rFonts w:asciiTheme="minorHAnsi" w:hAnsiTheme="minorHAnsi"/>
        </w:rPr>
        <w:t>ve výši 1</w:t>
      </w:r>
      <w:r w:rsidR="004005F3">
        <w:rPr>
          <w:rFonts w:asciiTheme="minorHAnsi" w:hAnsiTheme="minorHAnsi"/>
        </w:rPr>
        <w:t>6 123</w:t>
      </w:r>
      <w:r w:rsidRPr="003D3DC8">
        <w:rPr>
          <w:rFonts w:asciiTheme="minorHAnsi" w:hAnsiTheme="minorHAnsi"/>
        </w:rPr>
        <w:t xml:space="preserve"> m</w:t>
      </w:r>
      <w:r w:rsidR="004005F3">
        <w:rPr>
          <w:rFonts w:asciiTheme="minorHAnsi" w:hAnsiTheme="minorHAnsi"/>
        </w:rPr>
        <w:t>il</w:t>
      </w:r>
      <w:r w:rsidRPr="003D3DC8">
        <w:rPr>
          <w:rFonts w:asciiTheme="minorHAnsi" w:hAnsiTheme="minorHAnsi"/>
        </w:rPr>
        <w:t xml:space="preserve">. Kč vykazovaných na </w:t>
      </w:r>
      <w:r w:rsidR="004005F3">
        <w:rPr>
          <w:rFonts w:asciiTheme="minorHAnsi" w:hAnsiTheme="minorHAnsi"/>
        </w:rPr>
        <w:t>účtu</w:t>
      </w:r>
      <w:r w:rsidRPr="003D3DC8">
        <w:rPr>
          <w:rFonts w:asciiTheme="minorHAnsi" w:hAnsiTheme="minorHAnsi"/>
        </w:rPr>
        <w:t xml:space="preserve"> 389</w:t>
      </w:r>
      <w:r w:rsidR="000B28CE">
        <w:rPr>
          <w:rFonts w:asciiTheme="minorHAnsi" w:hAnsiTheme="minorHAnsi"/>
        </w:rPr>
        <w:t> </w:t>
      </w:r>
      <w:r w:rsidRPr="003D3DC8">
        <w:rPr>
          <w:rFonts w:asciiTheme="minorHAnsi" w:hAnsiTheme="minorHAnsi"/>
        </w:rPr>
        <w:t>–</w:t>
      </w:r>
      <w:r w:rsidR="000B28CE">
        <w:rPr>
          <w:rFonts w:asciiTheme="minorHAnsi" w:hAnsiTheme="minorHAnsi"/>
        </w:rPr>
        <w:t> </w:t>
      </w:r>
      <w:r w:rsidRPr="003D3DC8">
        <w:rPr>
          <w:rFonts w:asciiTheme="minorHAnsi" w:hAnsiTheme="minorHAnsi"/>
          <w:i/>
        </w:rPr>
        <w:t>Dohadné účty pasivní</w:t>
      </w:r>
      <w:r w:rsidR="00284832">
        <w:rPr>
          <w:rFonts w:asciiTheme="minorHAnsi" w:hAnsiTheme="minorHAnsi"/>
          <w:i/>
        </w:rPr>
        <w:t xml:space="preserve"> </w:t>
      </w:r>
      <w:r w:rsidR="00284832" w:rsidRPr="00076416">
        <w:rPr>
          <w:rFonts w:asciiTheme="minorHAnsi" w:hAnsiTheme="minorHAnsi"/>
          <w:iCs/>
        </w:rPr>
        <w:t>jako odhadovaná výše spotřebovaných, ale nevyúčtovaných transferů</w:t>
      </w:r>
      <w:r>
        <w:rPr>
          <w:rFonts w:asciiTheme="minorHAnsi" w:hAnsiTheme="minorHAnsi"/>
        </w:rPr>
        <w:t>;</w:t>
      </w:r>
    </w:p>
    <w:p w14:paraId="65AB0D33" w14:textId="544DC894" w:rsidR="00BB516C" w:rsidRPr="00C87D8B" w:rsidRDefault="00BB516C" w:rsidP="003677B5">
      <w:pPr>
        <w:pStyle w:val="Odstavecseseznamem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/>
          <w:b/>
        </w:rPr>
      </w:pPr>
      <w:r w:rsidRPr="00C87D8B">
        <w:rPr>
          <w:rFonts w:asciiTheme="minorHAnsi" w:hAnsiTheme="minorHAnsi"/>
          <w:b/>
        </w:rPr>
        <w:t xml:space="preserve">prostřednictvím nákladů na transfery </w:t>
      </w:r>
      <w:r w:rsidRPr="00C87D8B">
        <w:rPr>
          <w:rFonts w:asciiTheme="minorHAnsi" w:hAnsiTheme="minorHAnsi"/>
        </w:rPr>
        <w:t>ve výši 26</w:t>
      </w:r>
      <w:r w:rsidR="004005F3">
        <w:rPr>
          <w:rFonts w:asciiTheme="minorHAnsi" w:hAnsiTheme="minorHAnsi"/>
        </w:rPr>
        <w:t xml:space="preserve"> </w:t>
      </w:r>
      <w:r w:rsidRPr="00C87D8B">
        <w:rPr>
          <w:rFonts w:asciiTheme="minorHAnsi" w:hAnsiTheme="minorHAnsi"/>
        </w:rPr>
        <w:t>4</w:t>
      </w:r>
      <w:r w:rsidR="004005F3">
        <w:rPr>
          <w:rFonts w:asciiTheme="minorHAnsi" w:hAnsiTheme="minorHAnsi"/>
        </w:rPr>
        <w:t>10</w:t>
      </w:r>
      <w:r w:rsidRPr="00C87D8B">
        <w:rPr>
          <w:rFonts w:asciiTheme="minorHAnsi" w:hAnsiTheme="minorHAnsi"/>
        </w:rPr>
        <w:t xml:space="preserve"> m</w:t>
      </w:r>
      <w:r w:rsidR="004005F3">
        <w:rPr>
          <w:rFonts w:asciiTheme="minorHAnsi" w:hAnsiTheme="minorHAnsi"/>
        </w:rPr>
        <w:t>il</w:t>
      </w:r>
      <w:r w:rsidRPr="00C87D8B">
        <w:rPr>
          <w:rFonts w:asciiTheme="minorHAnsi" w:hAnsiTheme="minorHAnsi"/>
        </w:rPr>
        <w:t xml:space="preserve">. Kč vykazovaných na </w:t>
      </w:r>
      <w:r w:rsidR="004005F3">
        <w:rPr>
          <w:rFonts w:asciiTheme="minorHAnsi" w:hAnsiTheme="minorHAnsi"/>
        </w:rPr>
        <w:t>účtu</w:t>
      </w:r>
      <w:r w:rsidRPr="00C87D8B">
        <w:rPr>
          <w:rFonts w:asciiTheme="minorHAnsi" w:hAnsiTheme="minorHAnsi"/>
        </w:rPr>
        <w:t xml:space="preserve"> </w:t>
      </w:r>
      <w:r w:rsidR="003677B5">
        <w:rPr>
          <w:rFonts w:asciiTheme="minorHAnsi" w:hAnsiTheme="minorHAnsi"/>
        </w:rPr>
        <w:br/>
      </w:r>
      <w:r w:rsidRPr="00C87D8B">
        <w:rPr>
          <w:rFonts w:asciiTheme="minorHAnsi" w:hAnsiTheme="minorHAnsi"/>
        </w:rPr>
        <w:t xml:space="preserve">575 – </w:t>
      </w:r>
      <w:r w:rsidRPr="00C87D8B">
        <w:rPr>
          <w:rFonts w:asciiTheme="minorHAnsi" w:hAnsiTheme="minorHAnsi"/>
          <w:i/>
        </w:rPr>
        <w:t>Náklady vybraných ústředních vládních institucí na předfinancování transferů</w:t>
      </w:r>
      <w:r w:rsidRPr="00C87D8B">
        <w:rPr>
          <w:rFonts w:asciiTheme="minorHAnsi" w:hAnsiTheme="minorHAnsi"/>
        </w:rPr>
        <w:t xml:space="preserve"> </w:t>
      </w:r>
      <w:r w:rsidR="003677B5">
        <w:rPr>
          <w:rFonts w:asciiTheme="minorHAnsi" w:hAnsiTheme="minorHAnsi"/>
        </w:rPr>
        <w:br/>
      </w:r>
      <w:r w:rsidRPr="00C87D8B">
        <w:rPr>
          <w:rFonts w:asciiTheme="minorHAnsi" w:hAnsiTheme="minorHAnsi"/>
        </w:rPr>
        <w:t>a</w:t>
      </w:r>
      <w:r w:rsidR="000B28CE">
        <w:rPr>
          <w:rFonts w:asciiTheme="minorHAnsi" w:hAnsiTheme="minorHAnsi"/>
        </w:rPr>
        <w:t> </w:t>
      </w:r>
      <w:r w:rsidRPr="00C87D8B">
        <w:rPr>
          <w:rFonts w:asciiTheme="minorHAnsi" w:hAnsiTheme="minorHAnsi"/>
        </w:rPr>
        <w:t xml:space="preserve">571 – </w:t>
      </w:r>
      <w:r w:rsidRPr="00C87D8B">
        <w:rPr>
          <w:rFonts w:asciiTheme="minorHAnsi" w:hAnsiTheme="minorHAnsi"/>
          <w:i/>
        </w:rPr>
        <w:t>Náklady vybraných ústředních vládních institucí na transfery</w:t>
      </w:r>
      <w:r>
        <w:rPr>
          <w:rFonts w:asciiTheme="minorHAnsi" w:hAnsiTheme="minorHAnsi"/>
        </w:rPr>
        <w:t>;</w:t>
      </w:r>
      <w:r w:rsidRPr="00C87D8B">
        <w:rPr>
          <w:rFonts w:asciiTheme="minorHAnsi" w:hAnsiTheme="minorHAnsi"/>
          <w:b/>
        </w:rPr>
        <w:t xml:space="preserve"> </w:t>
      </w:r>
    </w:p>
    <w:p w14:paraId="6E263DCF" w14:textId="77777777" w:rsidR="00BB516C" w:rsidRPr="00C87D8B" w:rsidRDefault="00BB516C" w:rsidP="003677B5">
      <w:pPr>
        <w:pStyle w:val="Odstavecseseznamem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/>
          <w:b/>
        </w:rPr>
      </w:pPr>
      <w:r w:rsidRPr="00C87D8B">
        <w:rPr>
          <w:rFonts w:asciiTheme="minorHAnsi" w:hAnsiTheme="minorHAnsi"/>
          <w:b/>
        </w:rPr>
        <w:t xml:space="preserve">prostřednictvím výnosů z transferů </w:t>
      </w:r>
      <w:r w:rsidRPr="00C87D8B">
        <w:rPr>
          <w:rFonts w:asciiTheme="minorHAnsi" w:hAnsiTheme="minorHAnsi"/>
        </w:rPr>
        <w:t>ve výši 20</w:t>
      </w:r>
      <w:r w:rsidR="004005F3">
        <w:rPr>
          <w:rFonts w:asciiTheme="minorHAnsi" w:hAnsiTheme="minorHAnsi"/>
        </w:rPr>
        <w:t> 696 mil</w:t>
      </w:r>
      <w:r w:rsidRPr="00C87D8B">
        <w:rPr>
          <w:rFonts w:asciiTheme="minorHAnsi" w:hAnsiTheme="minorHAnsi"/>
        </w:rPr>
        <w:t xml:space="preserve">. Kč vykazovaných zejména na </w:t>
      </w:r>
      <w:r w:rsidR="004005F3">
        <w:rPr>
          <w:rFonts w:asciiTheme="minorHAnsi" w:hAnsiTheme="minorHAnsi"/>
        </w:rPr>
        <w:t>účtu</w:t>
      </w:r>
      <w:r w:rsidRPr="00C87D8B">
        <w:rPr>
          <w:rFonts w:asciiTheme="minorHAnsi" w:hAnsiTheme="minorHAnsi"/>
        </w:rPr>
        <w:t xml:space="preserve"> 675 – </w:t>
      </w:r>
      <w:r w:rsidRPr="00C87D8B">
        <w:rPr>
          <w:rFonts w:asciiTheme="minorHAnsi" w:hAnsiTheme="minorHAnsi"/>
          <w:i/>
        </w:rPr>
        <w:t>Výnosy vybraných ústředních vládních institucí z předfinancování transferů</w:t>
      </w:r>
      <w:r>
        <w:rPr>
          <w:rFonts w:asciiTheme="minorHAnsi" w:hAnsiTheme="minorHAnsi"/>
        </w:rPr>
        <w:t>;</w:t>
      </w:r>
    </w:p>
    <w:p w14:paraId="4C1E17B3" w14:textId="021F1484" w:rsidR="00BB516C" w:rsidRPr="00E91CEB" w:rsidRDefault="00BB516C" w:rsidP="003677B5">
      <w:pPr>
        <w:pStyle w:val="Odstavecseseznamem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/>
          <w:b/>
        </w:rPr>
      </w:pPr>
      <w:r w:rsidRPr="00E91CEB">
        <w:rPr>
          <w:rFonts w:asciiTheme="minorHAnsi" w:hAnsiTheme="minorHAnsi"/>
          <w:b/>
        </w:rPr>
        <w:t>prostřednictvím podrozvahových účtů</w:t>
      </w:r>
      <w:r w:rsidRPr="00E91CEB">
        <w:rPr>
          <w:rFonts w:asciiTheme="minorHAnsi" w:hAnsiTheme="minorHAnsi"/>
        </w:rPr>
        <w:t>, a to zejména krátkodobých a dlouhodobých podmíněných pohledávek z transferů v celkové výši 1</w:t>
      </w:r>
      <w:r w:rsidR="00B22619">
        <w:rPr>
          <w:rFonts w:asciiTheme="minorHAnsi" w:hAnsiTheme="minorHAnsi"/>
        </w:rPr>
        <w:t xml:space="preserve"> 673</w:t>
      </w:r>
      <w:r w:rsidRPr="00E91CEB">
        <w:rPr>
          <w:rFonts w:asciiTheme="minorHAnsi" w:hAnsiTheme="minorHAnsi"/>
        </w:rPr>
        <w:t xml:space="preserve"> m</w:t>
      </w:r>
      <w:r w:rsidR="00B22619">
        <w:rPr>
          <w:rFonts w:asciiTheme="minorHAnsi" w:hAnsiTheme="minorHAnsi"/>
        </w:rPr>
        <w:t>il</w:t>
      </w:r>
      <w:r w:rsidRPr="00E91CEB">
        <w:rPr>
          <w:rFonts w:asciiTheme="minorHAnsi" w:hAnsiTheme="minorHAnsi"/>
        </w:rPr>
        <w:t>. Kč (</w:t>
      </w:r>
      <w:r w:rsidR="004005F3">
        <w:rPr>
          <w:rFonts w:asciiTheme="minorHAnsi" w:hAnsiTheme="minorHAnsi"/>
        </w:rPr>
        <w:t>účet</w:t>
      </w:r>
      <w:r w:rsidRPr="00E91CEB">
        <w:rPr>
          <w:rFonts w:asciiTheme="minorHAnsi" w:hAnsiTheme="minorHAnsi"/>
        </w:rPr>
        <w:t xml:space="preserve"> 911 – </w:t>
      </w:r>
      <w:r w:rsidRPr="00E91CEB">
        <w:rPr>
          <w:rFonts w:asciiTheme="minorHAnsi" w:hAnsiTheme="minorHAnsi"/>
          <w:i/>
        </w:rPr>
        <w:t>Krátkodobé podmíněné pohledávky z předfinancování transferů</w:t>
      </w:r>
      <w:r w:rsidRPr="00E91CEB">
        <w:rPr>
          <w:rFonts w:asciiTheme="minorHAnsi" w:hAnsiTheme="minorHAnsi"/>
        </w:rPr>
        <w:t xml:space="preserve"> a 951 – </w:t>
      </w:r>
      <w:r w:rsidRPr="00E91CEB">
        <w:rPr>
          <w:rFonts w:asciiTheme="minorHAnsi" w:hAnsiTheme="minorHAnsi"/>
          <w:i/>
        </w:rPr>
        <w:t>Dlouhodobé podmíněné pohledávky z předfinancování transferů</w:t>
      </w:r>
      <w:r w:rsidRPr="00E91CEB">
        <w:rPr>
          <w:rFonts w:asciiTheme="minorHAnsi" w:hAnsiTheme="minorHAnsi"/>
        </w:rPr>
        <w:t>), krátkodobých a</w:t>
      </w:r>
      <w:r w:rsidR="000B28CE">
        <w:rPr>
          <w:rFonts w:asciiTheme="minorHAnsi" w:hAnsiTheme="minorHAnsi"/>
        </w:rPr>
        <w:t> </w:t>
      </w:r>
      <w:r w:rsidRPr="00E91CEB">
        <w:rPr>
          <w:rFonts w:asciiTheme="minorHAnsi" w:hAnsiTheme="minorHAnsi"/>
        </w:rPr>
        <w:t>dlouhodobých podmíněných závazků z transferů v celkové výši 39</w:t>
      </w:r>
      <w:r w:rsidR="00B22619">
        <w:rPr>
          <w:rFonts w:asciiTheme="minorHAnsi" w:hAnsiTheme="minorHAnsi"/>
        </w:rPr>
        <w:t xml:space="preserve"> 281</w:t>
      </w:r>
      <w:r w:rsidRPr="00E91CEB">
        <w:rPr>
          <w:rFonts w:asciiTheme="minorHAnsi" w:hAnsiTheme="minorHAnsi"/>
        </w:rPr>
        <w:t xml:space="preserve"> m</w:t>
      </w:r>
      <w:r w:rsidR="00B22619">
        <w:rPr>
          <w:rFonts w:asciiTheme="minorHAnsi" w:hAnsiTheme="minorHAnsi"/>
        </w:rPr>
        <w:t>il</w:t>
      </w:r>
      <w:r w:rsidRPr="00E91CEB">
        <w:rPr>
          <w:rFonts w:asciiTheme="minorHAnsi" w:hAnsiTheme="minorHAnsi"/>
        </w:rPr>
        <w:t>. Kč (</w:t>
      </w:r>
      <w:r w:rsidR="004005F3">
        <w:rPr>
          <w:rFonts w:asciiTheme="minorHAnsi" w:hAnsiTheme="minorHAnsi"/>
        </w:rPr>
        <w:t>účet</w:t>
      </w:r>
      <w:r w:rsidRPr="00E91CEB">
        <w:rPr>
          <w:rFonts w:asciiTheme="minorHAnsi" w:hAnsiTheme="minorHAnsi"/>
        </w:rPr>
        <w:t xml:space="preserve"> 916 – </w:t>
      </w:r>
      <w:r w:rsidRPr="00E91CEB">
        <w:rPr>
          <w:rFonts w:asciiTheme="minorHAnsi" w:hAnsiTheme="minorHAnsi"/>
          <w:i/>
        </w:rPr>
        <w:t>Ostatní krátkodobé podmíněné závazky z transferů</w:t>
      </w:r>
      <w:r w:rsidRPr="00E91CEB">
        <w:rPr>
          <w:rFonts w:asciiTheme="minorHAnsi" w:hAnsiTheme="minorHAnsi"/>
        </w:rPr>
        <w:t xml:space="preserve">, 954 – </w:t>
      </w:r>
      <w:r w:rsidRPr="00E91CEB">
        <w:rPr>
          <w:rFonts w:asciiTheme="minorHAnsi" w:hAnsiTheme="minorHAnsi"/>
          <w:i/>
        </w:rPr>
        <w:t>Dlouhodobé podmíněné závazky ze zahraničních transferů</w:t>
      </w:r>
      <w:r w:rsidRPr="00E91CEB">
        <w:rPr>
          <w:rFonts w:asciiTheme="minorHAnsi" w:hAnsiTheme="minorHAnsi"/>
        </w:rPr>
        <w:t xml:space="preserve"> </w:t>
      </w:r>
      <w:r w:rsidR="00743FD4">
        <w:rPr>
          <w:rFonts w:asciiTheme="minorHAnsi" w:hAnsiTheme="minorHAnsi"/>
        </w:rPr>
        <w:br/>
      </w:r>
      <w:r w:rsidRPr="00E91CEB">
        <w:rPr>
          <w:rFonts w:asciiTheme="minorHAnsi" w:hAnsiTheme="minorHAnsi"/>
        </w:rPr>
        <w:t xml:space="preserve">a 956 – </w:t>
      </w:r>
      <w:r w:rsidRPr="00E91CEB">
        <w:rPr>
          <w:rFonts w:asciiTheme="minorHAnsi" w:hAnsiTheme="minorHAnsi"/>
          <w:i/>
        </w:rPr>
        <w:t>Ostatní dlouhodobé podmíněné závazky z transferů</w:t>
      </w:r>
      <w:r w:rsidRPr="00E91CEB">
        <w:rPr>
          <w:rFonts w:asciiTheme="minorHAnsi" w:hAnsiTheme="minorHAnsi"/>
        </w:rPr>
        <w:t>) a dále dlouhodobých podmíněných úhrad pohledávek</w:t>
      </w:r>
      <w:r>
        <w:rPr>
          <w:rFonts w:asciiTheme="minorHAnsi" w:hAnsiTheme="minorHAnsi"/>
        </w:rPr>
        <w:t xml:space="preserve"> od příjemců dotací, se kterými byly uzavřeny a do katastru nemovitostí vloženy smlouvy o zřízení zástavního práva </w:t>
      </w:r>
      <w:r w:rsidRPr="00E91CEB">
        <w:rPr>
          <w:rFonts w:asciiTheme="minorHAnsi" w:hAnsiTheme="minorHAnsi"/>
        </w:rPr>
        <w:t>ve výši 2</w:t>
      </w:r>
      <w:r w:rsidR="00B22619">
        <w:rPr>
          <w:rFonts w:asciiTheme="minorHAnsi" w:hAnsiTheme="minorHAnsi"/>
        </w:rPr>
        <w:t xml:space="preserve"> 369</w:t>
      </w:r>
      <w:r w:rsidRPr="00E91CEB">
        <w:rPr>
          <w:rFonts w:asciiTheme="minorHAnsi" w:hAnsiTheme="minorHAnsi"/>
        </w:rPr>
        <w:t xml:space="preserve"> m</w:t>
      </w:r>
      <w:r w:rsidR="00B22619">
        <w:rPr>
          <w:rFonts w:asciiTheme="minorHAnsi" w:hAnsiTheme="minorHAnsi"/>
        </w:rPr>
        <w:t>il</w:t>
      </w:r>
      <w:r w:rsidRPr="00E91CEB">
        <w:rPr>
          <w:rFonts w:asciiTheme="minorHAnsi" w:hAnsiTheme="minorHAnsi"/>
        </w:rPr>
        <w:t>. Kč (</w:t>
      </w:r>
      <w:r w:rsidR="004005F3">
        <w:rPr>
          <w:rFonts w:asciiTheme="minorHAnsi" w:hAnsiTheme="minorHAnsi"/>
        </w:rPr>
        <w:t>účet</w:t>
      </w:r>
      <w:r w:rsidRPr="00E91CEB">
        <w:rPr>
          <w:rFonts w:asciiTheme="minorHAnsi" w:hAnsiTheme="minorHAnsi"/>
        </w:rPr>
        <w:t xml:space="preserve"> </w:t>
      </w:r>
      <w:r w:rsidR="008C7399">
        <w:rPr>
          <w:rFonts w:asciiTheme="minorHAnsi" w:hAnsiTheme="minorHAnsi"/>
        </w:rPr>
        <w:br/>
      </w:r>
      <w:r w:rsidRPr="00E91CEB">
        <w:rPr>
          <w:rFonts w:asciiTheme="minorHAnsi" w:hAnsiTheme="minorHAnsi"/>
        </w:rPr>
        <w:t xml:space="preserve">945 – </w:t>
      </w:r>
      <w:r w:rsidRPr="00E91CEB">
        <w:rPr>
          <w:rFonts w:asciiTheme="minorHAnsi" w:hAnsiTheme="minorHAnsi"/>
          <w:i/>
        </w:rPr>
        <w:t>Dlouhodobé podmíněné úhrady pohledávek z přijatých zajištění</w:t>
      </w:r>
      <w:r w:rsidRPr="00E91CEB">
        <w:rPr>
          <w:rFonts w:asciiTheme="minorHAnsi" w:hAnsiTheme="minorHAnsi"/>
        </w:rPr>
        <w:t>).</w:t>
      </w:r>
    </w:p>
    <w:p w14:paraId="7E4AB1DF" w14:textId="77777777" w:rsidR="00E240B6" w:rsidRPr="00B22619" w:rsidRDefault="00316530" w:rsidP="003677B5">
      <w:pPr>
        <w:spacing w:before="240"/>
        <w:rPr>
          <w:rFonts w:asciiTheme="minorHAnsi" w:hAnsiTheme="minorHAnsi"/>
          <w:b/>
        </w:rPr>
      </w:pPr>
      <w:r w:rsidRPr="00B22619">
        <w:rPr>
          <w:rFonts w:asciiTheme="minorHAnsi" w:hAnsiTheme="minorHAnsi"/>
          <w:b/>
        </w:rPr>
        <w:t>– o</w:t>
      </w:r>
      <w:r w:rsidR="00E240B6" w:rsidRPr="00B22619">
        <w:rPr>
          <w:rFonts w:asciiTheme="minorHAnsi" w:hAnsiTheme="minorHAnsi"/>
          <w:b/>
        </w:rPr>
        <w:t>blast rozpočtových údajů (výkaz FIN 1-12 OSS)</w:t>
      </w:r>
    </w:p>
    <w:p w14:paraId="1296AE2D" w14:textId="528FD707" w:rsidR="00E240B6" w:rsidRPr="0066359C" w:rsidRDefault="0066359C" w:rsidP="003677B5">
      <w:pPr>
        <w:pStyle w:val="Odstavecseseznamem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/>
          <w:b/>
        </w:rPr>
      </w:pPr>
      <w:r w:rsidRPr="0066359C">
        <w:rPr>
          <w:rFonts w:asciiTheme="minorHAnsi" w:hAnsiTheme="minorHAnsi"/>
          <w:b/>
        </w:rPr>
        <w:t xml:space="preserve">v rámci příjmů </w:t>
      </w:r>
      <w:r w:rsidRPr="0066359C">
        <w:rPr>
          <w:rFonts w:asciiTheme="minorHAnsi" w:hAnsiTheme="minorHAnsi"/>
        </w:rPr>
        <w:t>v podobě převodů z Národního fondu ve výši 20</w:t>
      </w:r>
      <w:r>
        <w:rPr>
          <w:rFonts w:asciiTheme="minorHAnsi" w:hAnsiTheme="minorHAnsi"/>
        </w:rPr>
        <w:t xml:space="preserve"> 684</w:t>
      </w:r>
      <w:r w:rsidRPr="0066359C">
        <w:rPr>
          <w:rFonts w:asciiTheme="minorHAnsi" w:hAnsiTheme="minorHAnsi"/>
        </w:rPr>
        <w:t xml:space="preserve"> m</w:t>
      </w:r>
      <w:r>
        <w:rPr>
          <w:rFonts w:asciiTheme="minorHAnsi" w:hAnsiTheme="minorHAnsi"/>
        </w:rPr>
        <w:t>il</w:t>
      </w:r>
      <w:r w:rsidRPr="0066359C">
        <w:rPr>
          <w:rFonts w:asciiTheme="minorHAnsi" w:hAnsiTheme="minorHAnsi"/>
        </w:rPr>
        <w:t xml:space="preserve">. Kč (rozpočtové položky 4118 – </w:t>
      </w:r>
      <w:r w:rsidRPr="0066359C">
        <w:rPr>
          <w:rFonts w:asciiTheme="minorHAnsi" w:hAnsiTheme="minorHAnsi"/>
          <w:i/>
        </w:rPr>
        <w:t xml:space="preserve">Neinvestiční převody z Národního fondu </w:t>
      </w:r>
      <w:r w:rsidRPr="0066359C">
        <w:rPr>
          <w:rFonts w:asciiTheme="minorHAnsi" w:hAnsiTheme="minorHAnsi"/>
        </w:rPr>
        <w:t>a 4218 –</w:t>
      </w:r>
      <w:r w:rsidRPr="0066359C">
        <w:rPr>
          <w:rFonts w:asciiTheme="minorHAnsi" w:hAnsiTheme="minorHAnsi"/>
          <w:i/>
        </w:rPr>
        <w:t xml:space="preserve"> Investiční převody z Národního fondu</w:t>
      </w:r>
      <w:r w:rsidRPr="0066359C">
        <w:rPr>
          <w:rFonts w:asciiTheme="minorHAnsi" w:hAnsiTheme="minorHAnsi"/>
        </w:rPr>
        <w:t xml:space="preserve">) a </w:t>
      </w:r>
      <w:r w:rsidRPr="0066359C">
        <w:rPr>
          <w:rFonts w:asciiTheme="minorHAnsi" w:hAnsiTheme="minorHAnsi"/>
          <w:b/>
        </w:rPr>
        <w:t>v rámci výdajů</w:t>
      </w:r>
      <w:r w:rsidRPr="0066359C">
        <w:rPr>
          <w:rFonts w:asciiTheme="minorHAnsi" w:hAnsiTheme="minorHAnsi"/>
        </w:rPr>
        <w:t xml:space="preserve"> v podobě poskytnutých investičních transferů </w:t>
      </w:r>
      <w:r w:rsidRPr="0066359C">
        <w:rPr>
          <w:rFonts w:asciiTheme="minorHAnsi" w:hAnsiTheme="minorHAnsi"/>
        </w:rPr>
        <w:lastRenderedPageBreak/>
        <w:t>zejména krajům, obcím, nemocnicím, podnikatelům a církvím a náboženským společnostem ve výši 20</w:t>
      </w:r>
      <w:r w:rsidR="002A7431">
        <w:rPr>
          <w:rFonts w:asciiTheme="minorHAnsi" w:hAnsiTheme="minorHAnsi"/>
        </w:rPr>
        <w:t> 897 mil</w:t>
      </w:r>
      <w:r w:rsidRPr="0066359C">
        <w:rPr>
          <w:rFonts w:asciiTheme="minorHAnsi" w:hAnsiTheme="minorHAnsi"/>
        </w:rPr>
        <w:t xml:space="preserve">. Kč (rozpočtové položky 6342 </w:t>
      </w:r>
      <w:r w:rsidRPr="0066359C">
        <w:rPr>
          <w:rFonts w:asciiTheme="minorHAnsi" w:hAnsiTheme="minorHAnsi"/>
          <w:i/>
        </w:rPr>
        <w:t>–</w:t>
      </w:r>
      <w:r w:rsidRPr="0066359C">
        <w:rPr>
          <w:rFonts w:asciiTheme="minorHAnsi" w:hAnsiTheme="minorHAnsi"/>
        </w:rPr>
        <w:t xml:space="preserve"> </w:t>
      </w:r>
      <w:r w:rsidRPr="0066359C">
        <w:rPr>
          <w:rFonts w:asciiTheme="minorHAnsi" w:hAnsiTheme="minorHAnsi"/>
          <w:i/>
        </w:rPr>
        <w:t>Investiční transfery krajům</w:t>
      </w:r>
      <w:r w:rsidRPr="0066359C">
        <w:rPr>
          <w:rFonts w:asciiTheme="minorHAnsi" w:hAnsiTheme="minorHAnsi"/>
        </w:rPr>
        <w:t xml:space="preserve">, 6341 </w:t>
      </w:r>
      <w:r w:rsidRPr="0066359C">
        <w:rPr>
          <w:rFonts w:asciiTheme="minorHAnsi" w:hAnsiTheme="minorHAnsi"/>
          <w:i/>
        </w:rPr>
        <w:t>–</w:t>
      </w:r>
      <w:r w:rsidRPr="0066359C">
        <w:rPr>
          <w:rFonts w:asciiTheme="minorHAnsi" w:hAnsiTheme="minorHAnsi"/>
        </w:rPr>
        <w:t xml:space="preserve"> </w:t>
      </w:r>
      <w:r w:rsidRPr="0066359C">
        <w:rPr>
          <w:rFonts w:asciiTheme="minorHAnsi" w:hAnsiTheme="minorHAnsi"/>
          <w:i/>
        </w:rPr>
        <w:t>Investiční transfery obcím</w:t>
      </w:r>
      <w:r w:rsidRPr="0066359C">
        <w:rPr>
          <w:rFonts w:asciiTheme="minorHAnsi" w:hAnsiTheme="minorHAnsi"/>
        </w:rPr>
        <w:t xml:space="preserve">, 6316 </w:t>
      </w:r>
      <w:r w:rsidRPr="0066359C">
        <w:rPr>
          <w:rFonts w:asciiTheme="minorHAnsi" w:hAnsiTheme="minorHAnsi"/>
          <w:i/>
        </w:rPr>
        <w:t>–</w:t>
      </w:r>
      <w:r w:rsidRPr="0066359C">
        <w:rPr>
          <w:rFonts w:asciiTheme="minorHAnsi" w:hAnsiTheme="minorHAnsi"/>
        </w:rPr>
        <w:t xml:space="preserve"> </w:t>
      </w:r>
      <w:r w:rsidRPr="0066359C">
        <w:rPr>
          <w:rFonts w:asciiTheme="minorHAnsi" w:hAnsiTheme="minorHAnsi"/>
          <w:i/>
        </w:rPr>
        <w:t>Investiční transfery obecním a</w:t>
      </w:r>
      <w:r w:rsidR="000B28CE">
        <w:rPr>
          <w:rFonts w:asciiTheme="minorHAnsi" w:hAnsiTheme="minorHAnsi"/>
          <w:i/>
        </w:rPr>
        <w:t> </w:t>
      </w:r>
      <w:r w:rsidRPr="0066359C">
        <w:rPr>
          <w:rFonts w:asciiTheme="minorHAnsi" w:hAnsiTheme="minorHAnsi"/>
          <w:i/>
        </w:rPr>
        <w:t xml:space="preserve">krajským nemocnicím </w:t>
      </w:r>
      <w:r w:rsidR="008C7399" w:rsidRPr="0066359C">
        <w:rPr>
          <w:rFonts w:asciiTheme="minorHAnsi" w:hAnsiTheme="minorHAnsi"/>
          <w:i/>
        </w:rPr>
        <w:t>–</w:t>
      </w:r>
      <w:r w:rsidRPr="0066359C">
        <w:rPr>
          <w:rFonts w:asciiTheme="minorHAnsi" w:hAnsiTheme="minorHAnsi"/>
          <w:i/>
        </w:rPr>
        <w:t xml:space="preserve"> obchodním společnostem</w:t>
      </w:r>
      <w:r w:rsidRPr="0066359C">
        <w:rPr>
          <w:rFonts w:asciiTheme="minorHAnsi" w:hAnsiTheme="minorHAnsi"/>
        </w:rPr>
        <w:t xml:space="preserve">, 6313 </w:t>
      </w:r>
      <w:r w:rsidRPr="0066359C">
        <w:rPr>
          <w:rFonts w:asciiTheme="minorHAnsi" w:hAnsiTheme="minorHAnsi"/>
          <w:i/>
        </w:rPr>
        <w:t>–</w:t>
      </w:r>
      <w:r w:rsidRPr="0066359C">
        <w:rPr>
          <w:rFonts w:asciiTheme="minorHAnsi" w:hAnsiTheme="minorHAnsi"/>
        </w:rPr>
        <w:t xml:space="preserve"> </w:t>
      </w:r>
      <w:r w:rsidRPr="0066359C">
        <w:rPr>
          <w:rFonts w:asciiTheme="minorHAnsi" w:hAnsiTheme="minorHAnsi"/>
          <w:i/>
        </w:rPr>
        <w:t xml:space="preserve">Investiční transfery nefinančním podnikatelům </w:t>
      </w:r>
      <w:r w:rsidR="008C7399" w:rsidRPr="0066359C">
        <w:rPr>
          <w:rFonts w:asciiTheme="minorHAnsi" w:hAnsiTheme="minorHAnsi"/>
          <w:i/>
        </w:rPr>
        <w:t>–</w:t>
      </w:r>
      <w:r w:rsidRPr="0066359C">
        <w:rPr>
          <w:rFonts w:asciiTheme="minorHAnsi" w:hAnsiTheme="minorHAnsi"/>
          <w:i/>
        </w:rPr>
        <w:t xml:space="preserve"> právnickým osobám </w:t>
      </w:r>
      <w:r w:rsidRPr="0066359C">
        <w:rPr>
          <w:rFonts w:asciiTheme="minorHAnsi" w:hAnsiTheme="minorHAnsi"/>
        </w:rPr>
        <w:t xml:space="preserve">a 6323 </w:t>
      </w:r>
      <w:r w:rsidRPr="0066359C">
        <w:rPr>
          <w:rFonts w:asciiTheme="minorHAnsi" w:hAnsiTheme="minorHAnsi"/>
          <w:i/>
        </w:rPr>
        <w:t>–</w:t>
      </w:r>
      <w:r w:rsidRPr="0066359C">
        <w:rPr>
          <w:rFonts w:asciiTheme="minorHAnsi" w:hAnsiTheme="minorHAnsi"/>
        </w:rPr>
        <w:t xml:space="preserve"> </w:t>
      </w:r>
      <w:r w:rsidRPr="0066359C">
        <w:rPr>
          <w:rFonts w:asciiTheme="minorHAnsi" w:hAnsiTheme="minorHAnsi"/>
          <w:i/>
        </w:rPr>
        <w:t>Investiční transfery církvím a náboženským společnostem</w:t>
      </w:r>
      <w:r w:rsidRPr="0066359C">
        <w:rPr>
          <w:rFonts w:asciiTheme="minorHAnsi" w:hAnsiTheme="minorHAnsi"/>
        </w:rPr>
        <w:t>) a v podobě poskytnutých neinvestičních transferů obcím ve výši 1</w:t>
      </w:r>
      <w:r w:rsidR="003677B5">
        <w:rPr>
          <w:rFonts w:asciiTheme="minorHAnsi" w:hAnsiTheme="minorHAnsi"/>
        </w:rPr>
        <w:t> </w:t>
      </w:r>
      <w:r w:rsidR="002A7431">
        <w:rPr>
          <w:rFonts w:asciiTheme="minorHAnsi" w:hAnsiTheme="minorHAnsi"/>
        </w:rPr>
        <w:t>078</w:t>
      </w:r>
      <w:r w:rsidR="003677B5">
        <w:rPr>
          <w:rFonts w:asciiTheme="minorHAnsi" w:hAnsiTheme="minorHAnsi"/>
        </w:rPr>
        <w:t> </w:t>
      </w:r>
      <w:r w:rsidRPr="0066359C">
        <w:rPr>
          <w:rFonts w:asciiTheme="minorHAnsi" w:hAnsiTheme="minorHAnsi"/>
        </w:rPr>
        <w:t>m</w:t>
      </w:r>
      <w:r w:rsidR="002A7431">
        <w:rPr>
          <w:rFonts w:asciiTheme="minorHAnsi" w:hAnsiTheme="minorHAnsi"/>
        </w:rPr>
        <w:t>il</w:t>
      </w:r>
      <w:r w:rsidRPr="0066359C">
        <w:rPr>
          <w:rFonts w:asciiTheme="minorHAnsi" w:hAnsiTheme="minorHAnsi"/>
        </w:rPr>
        <w:t>.</w:t>
      </w:r>
      <w:r w:rsidR="003677B5">
        <w:rPr>
          <w:rFonts w:asciiTheme="minorHAnsi" w:hAnsiTheme="minorHAnsi"/>
        </w:rPr>
        <w:t> </w:t>
      </w:r>
      <w:r w:rsidRPr="0066359C">
        <w:rPr>
          <w:rFonts w:asciiTheme="minorHAnsi" w:hAnsiTheme="minorHAnsi"/>
        </w:rPr>
        <w:t xml:space="preserve">Kč (rozpočtová položka 5321 – </w:t>
      </w:r>
      <w:r w:rsidRPr="0066359C">
        <w:rPr>
          <w:rFonts w:asciiTheme="minorHAnsi" w:hAnsiTheme="minorHAnsi"/>
          <w:i/>
        </w:rPr>
        <w:t>Neinvestiční transfery obcím</w:t>
      </w:r>
      <w:r w:rsidRPr="0066359C">
        <w:rPr>
          <w:rFonts w:asciiTheme="minorHAnsi" w:hAnsiTheme="minorHAnsi"/>
        </w:rPr>
        <w:t>).</w:t>
      </w:r>
      <w:r w:rsidR="00E240B6" w:rsidRPr="0066359C">
        <w:rPr>
          <w:rFonts w:asciiTheme="minorHAnsi" w:hAnsiTheme="minorHAnsi"/>
        </w:rPr>
        <w:t xml:space="preserve"> </w:t>
      </w:r>
    </w:p>
    <w:p w14:paraId="7F5C3D93" w14:textId="77777777" w:rsidR="00E240B6" w:rsidRPr="00777E3E" w:rsidRDefault="00E240B6" w:rsidP="00636BC4">
      <w:pPr>
        <w:spacing w:before="240"/>
        <w:jc w:val="both"/>
        <w:rPr>
          <w:rFonts w:eastAsia="Calibri" w:cs="Calibri"/>
        </w:rPr>
      </w:pPr>
      <w:r w:rsidRPr="00777E3E">
        <w:rPr>
          <w:rFonts w:cs="Calibri"/>
          <w:bCs/>
        </w:rPr>
        <w:t xml:space="preserve">Porovnáním výsledku rozpočtového hospodaření </w:t>
      </w:r>
      <w:r w:rsidR="002A7431" w:rsidRPr="00777E3E">
        <w:rPr>
          <w:rFonts w:cs="Calibri"/>
          <w:bCs/>
        </w:rPr>
        <w:t>MMR</w:t>
      </w:r>
      <w:r w:rsidRPr="00777E3E">
        <w:rPr>
          <w:rFonts w:cs="Calibri"/>
          <w:bCs/>
        </w:rPr>
        <w:t xml:space="preserve"> za rok 202</w:t>
      </w:r>
      <w:r w:rsidR="002A7431" w:rsidRPr="00777E3E">
        <w:rPr>
          <w:rFonts w:cs="Calibri"/>
          <w:bCs/>
        </w:rPr>
        <w:t>3</w:t>
      </w:r>
      <w:r w:rsidRPr="00777E3E">
        <w:rPr>
          <w:rFonts w:cs="Calibri"/>
          <w:bCs/>
        </w:rPr>
        <w:t xml:space="preserve"> hodnoceného na bázi peněžních toků a výsledku dle akruální báze byl zjištěn rozdíl ve výši </w:t>
      </w:r>
      <w:r w:rsidR="002A7431" w:rsidRPr="00777E3E">
        <w:rPr>
          <w:rFonts w:cs="Calibri"/>
          <w:bCs/>
        </w:rPr>
        <w:t>71</w:t>
      </w:r>
      <w:r w:rsidR="00777E3E" w:rsidRPr="00777E3E">
        <w:rPr>
          <w:rFonts w:cs="Calibri"/>
          <w:bCs/>
        </w:rPr>
        <w:t>,3</w:t>
      </w:r>
      <w:r w:rsidRPr="00777E3E">
        <w:rPr>
          <w:rFonts w:cs="Calibri"/>
          <w:bCs/>
        </w:rPr>
        <w:t xml:space="preserve"> mil. Kč.</w:t>
      </w:r>
      <w:r w:rsidRPr="00777E3E">
        <w:rPr>
          <w:rFonts w:cs="Calibri"/>
        </w:rPr>
        <w:t xml:space="preserve"> </w:t>
      </w:r>
      <w:r w:rsidRPr="00777E3E">
        <w:rPr>
          <w:rFonts w:eastAsia="Calibri" w:cs="Calibri"/>
        </w:rPr>
        <w:t>Výsledn</w:t>
      </w:r>
      <w:r w:rsidR="00316530" w:rsidRPr="00777E3E">
        <w:rPr>
          <w:rFonts w:eastAsia="Calibri" w:cs="Calibri"/>
        </w:rPr>
        <w:t>ým</w:t>
      </w:r>
      <w:r w:rsidRPr="00777E3E">
        <w:rPr>
          <w:rFonts w:eastAsia="Calibri" w:cs="Calibri"/>
        </w:rPr>
        <w:t xml:space="preserve"> sald</w:t>
      </w:r>
      <w:r w:rsidR="00316530" w:rsidRPr="00777E3E">
        <w:rPr>
          <w:rFonts w:eastAsia="Calibri" w:cs="Calibri"/>
        </w:rPr>
        <w:t>em</w:t>
      </w:r>
      <w:r w:rsidRPr="00777E3E">
        <w:rPr>
          <w:rFonts w:eastAsia="Calibri" w:cs="Calibri"/>
        </w:rPr>
        <w:t xml:space="preserve"> peněžních toků dle výkazu FIN 1-12 OSS byl deficit ve výši </w:t>
      </w:r>
      <w:r w:rsidR="002A7431" w:rsidRPr="00777E3E">
        <w:rPr>
          <w:rFonts w:eastAsia="Calibri" w:cs="Calibri"/>
        </w:rPr>
        <w:t>7 539,7</w:t>
      </w:r>
      <w:r w:rsidRPr="00777E3E">
        <w:rPr>
          <w:rFonts w:eastAsia="Calibri" w:cs="Calibri"/>
        </w:rPr>
        <w:t xml:space="preserve"> m</w:t>
      </w:r>
      <w:r w:rsidR="0089241E" w:rsidRPr="00777E3E">
        <w:rPr>
          <w:rFonts w:eastAsia="Calibri" w:cs="Calibri"/>
        </w:rPr>
        <w:t>i</w:t>
      </w:r>
      <w:r w:rsidRPr="00777E3E">
        <w:rPr>
          <w:rFonts w:eastAsia="Calibri" w:cs="Calibri"/>
        </w:rPr>
        <w:t xml:space="preserve">l. Kč. Výsledek hospodaření běžného účetního období dle účetního výkazu zisku a ztráty byla ztráta ve výši </w:t>
      </w:r>
      <w:r w:rsidR="002A7431" w:rsidRPr="00777E3E">
        <w:rPr>
          <w:rFonts w:eastAsia="Calibri" w:cs="Calibri"/>
        </w:rPr>
        <w:t>7 468,4</w:t>
      </w:r>
      <w:r w:rsidRPr="00777E3E">
        <w:rPr>
          <w:rFonts w:eastAsia="Calibri" w:cs="Calibri"/>
        </w:rPr>
        <w:t xml:space="preserve"> m</w:t>
      </w:r>
      <w:r w:rsidR="0089241E" w:rsidRPr="00777E3E">
        <w:rPr>
          <w:rFonts w:eastAsia="Calibri" w:cs="Calibri"/>
        </w:rPr>
        <w:t>i</w:t>
      </w:r>
      <w:r w:rsidRPr="00777E3E">
        <w:rPr>
          <w:rFonts w:eastAsia="Calibri" w:cs="Calibri"/>
        </w:rPr>
        <w:t xml:space="preserve">l. Kč. </w:t>
      </w:r>
    </w:p>
    <w:p w14:paraId="10B33B66" w14:textId="77777777" w:rsidR="00E240B6" w:rsidRPr="00777E3E" w:rsidRDefault="00E240B6" w:rsidP="00636BC4">
      <w:pPr>
        <w:pStyle w:val="Titulek"/>
        <w:keepNext w:val="0"/>
        <w:spacing w:before="120"/>
        <w:jc w:val="both"/>
        <w:rPr>
          <w:b w:val="0"/>
        </w:rPr>
      </w:pPr>
      <w:r w:rsidRPr="00777E3E">
        <w:rPr>
          <w:b w:val="0"/>
        </w:rPr>
        <w:t>Hlavní důvody vzniku rozdílu mezi saldem peněžních toků a hospodářským výsledkem běžného účetního období jsou uvedeny v následující tabulce.</w:t>
      </w:r>
    </w:p>
    <w:p w14:paraId="46FA696F" w14:textId="77777777" w:rsidR="00BB6830" w:rsidRPr="00B367F9" w:rsidRDefault="00BB6830" w:rsidP="003677B5">
      <w:pPr>
        <w:pStyle w:val="Titulek"/>
        <w:tabs>
          <w:tab w:val="right" w:pos="9070"/>
        </w:tabs>
        <w:ind w:left="1304" w:hanging="1304"/>
        <w:jc w:val="both"/>
      </w:pPr>
      <w:r w:rsidRPr="00B367F9">
        <w:t>Tabulka č.</w:t>
      </w:r>
      <w:r w:rsidR="00AF4CF7" w:rsidRPr="00B367F9">
        <w:t xml:space="preserve"> 1</w:t>
      </w:r>
      <w:r w:rsidRPr="00B367F9">
        <w:t xml:space="preserve">: </w:t>
      </w:r>
      <w:r w:rsidR="00316530" w:rsidRPr="00B367F9">
        <w:tab/>
      </w:r>
      <w:r w:rsidR="009701D2">
        <w:t>Významné účetní operace</w:t>
      </w:r>
      <w:r w:rsidR="00B807B3" w:rsidRPr="00B367F9">
        <w:t xml:space="preserve"> způsobující rozdíly mezi saldem peněžních toků a</w:t>
      </w:r>
      <w:r w:rsidR="000B28CE">
        <w:t> </w:t>
      </w:r>
      <w:r w:rsidR="00B807B3" w:rsidRPr="00B367F9">
        <w:t>výsledkem hospodaření M</w:t>
      </w:r>
      <w:r w:rsidR="003717EA" w:rsidRPr="00B367F9">
        <w:t>MR</w:t>
      </w:r>
      <w:r w:rsidR="00B807B3" w:rsidRPr="00B367F9">
        <w:t xml:space="preserve"> k 31. </w:t>
      </w:r>
      <w:r w:rsidR="009C2388" w:rsidRPr="00B367F9">
        <w:t>prosinci</w:t>
      </w:r>
      <w:r w:rsidR="00B807B3" w:rsidRPr="00B367F9">
        <w:t xml:space="preserve"> </w:t>
      </w:r>
      <w:r w:rsidR="00B367F9" w:rsidRPr="00B367F9">
        <w:t>2023</w:t>
      </w:r>
      <w:r w:rsidR="00B807B3" w:rsidRPr="00B367F9">
        <w:t xml:space="preserve"> </w:t>
      </w:r>
      <w:r w:rsidR="00316530" w:rsidRPr="00B367F9">
        <w:tab/>
      </w:r>
      <w:r w:rsidR="00B807B3" w:rsidRPr="00B367F9">
        <w:t xml:space="preserve">(v </w:t>
      </w:r>
      <w:r w:rsidR="002C640D" w:rsidRPr="00B367F9">
        <w:t xml:space="preserve">mil. </w:t>
      </w:r>
      <w:r w:rsidR="00B807B3" w:rsidRPr="00B367F9">
        <w:t>Kč)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1460"/>
        <w:gridCol w:w="1422"/>
        <w:gridCol w:w="843"/>
      </w:tblGrid>
      <w:tr w:rsidR="00B807B3" w:rsidRPr="004F6F5D" w14:paraId="449ACDB7" w14:textId="77777777" w:rsidTr="003677B5">
        <w:trPr>
          <w:trHeight w:val="340"/>
          <w:tblHeader/>
        </w:trPr>
        <w:tc>
          <w:tcPr>
            <w:tcW w:w="0" w:type="auto"/>
            <w:gridSpan w:val="4"/>
            <w:shd w:val="clear" w:color="auto" w:fill="E6E6E6"/>
            <w:noWrap/>
            <w:vAlign w:val="center"/>
            <w:hideMark/>
          </w:tcPr>
          <w:p w14:paraId="0FAB95B4" w14:textId="77777777" w:rsidR="00B807B3" w:rsidRPr="00B367F9" w:rsidRDefault="008A2589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  <w:r w:rsidR="00B807B3"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způsobující rozdíly mezi příjmy a výnosy</w:t>
            </w:r>
          </w:p>
        </w:tc>
      </w:tr>
      <w:tr w:rsidR="00B807B3" w:rsidRPr="004F6F5D" w14:paraId="4D658603" w14:textId="77777777" w:rsidTr="003677B5">
        <w:trPr>
          <w:trHeight w:val="340"/>
          <w:tblHeader/>
        </w:trPr>
        <w:tc>
          <w:tcPr>
            <w:tcW w:w="5340" w:type="dxa"/>
            <w:shd w:val="clear" w:color="auto" w:fill="E6E6E6"/>
            <w:noWrap/>
            <w:vAlign w:val="center"/>
            <w:hideMark/>
          </w:tcPr>
          <w:p w14:paraId="01D2CF95" w14:textId="77777777" w:rsidR="00B807B3" w:rsidRPr="004F6F5D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60" w:type="dxa"/>
            <w:shd w:val="clear" w:color="auto" w:fill="E6E6E6"/>
            <w:noWrap/>
            <w:vAlign w:val="center"/>
            <w:hideMark/>
          </w:tcPr>
          <w:p w14:paraId="0F724267" w14:textId="77777777" w:rsidR="00B807B3" w:rsidRPr="00B367F9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příjmy</w:t>
            </w:r>
          </w:p>
        </w:tc>
        <w:tc>
          <w:tcPr>
            <w:tcW w:w="1422" w:type="dxa"/>
            <w:shd w:val="clear" w:color="auto" w:fill="E6E6E6"/>
            <w:noWrap/>
            <w:vAlign w:val="center"/>
            <w:hideMark/>
          </w:tcPr>
          <w:p w14:paraId="2D6A1089" w14:textId="77777777" w:rsidR="00B807B3" w:rsidRPr="00B367F9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výnosy</w:t>
            </w:r>
          </w:p>
        </w:tc>
        <w:tc>
          <w:tcPr>
            <w:tcW w:w="843" w:type="dxa"/>
            <w:shd w:val="clear" w:color="auto" w:fill="E6E6E6"/>
            <w:vAlign w:val="center"/>
            <w:hideMark/>
          </w:tcPr>
          <w:p w14:paraId="59091B34" w14:textId="77777777" w:rsidR="00B807B3" w:rsidRPr="00B367F9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B807B3" w:rsidRPr="004F6F5D" w14:paraId="2AD7324D" w14:textId="77777777" w:rsidTr="003677B5">
        <w:trPr>
          <w:trHeight w:val="340"/>
        </w:trPr>
        <w:tc>
          <w:tcPr>
            <w:tcW w:w="5340" w:type="dxa"/>
            <w:shd w:val="clear" w:color="auto" w:fill="auto"/>
            <w:vAlign w:val="center"/>
            <w:hideMark/>
          </w:tcPr>
          <w:p w14:paraId="4AD2FF0D" w14:textId="77777777" w:rsidR="00B807B3" w:rsidRPr="004F6F5D" w:rsidRDefault="009701D2" w:rsidP="003677B5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Příjem r</w:t>
            </w:r>
            <w:r w:rsidR="00B367F9" w:rsidRPr="00B367F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efundace netransferových investičních výdajů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B8F6706" w14:textId="77777777" w:rsidR="00B807B3" w:rsidRPr="00B367F9" w:rsidRDefault="00B367F9" w:rsidP="003677B5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77007BA" w14:textId="77777777" w:rsidR="00B807B3" w:rsidRPr="00B367F9" w:rsidRDefault="00B807B3" w:rsidP="003677B5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4FE54D66" w14:textId="77777777" w:rsidR="00B807B3" w:rsidRPr="00B367F9" w:rsidRDefault="00B367F9" w:rsidP="003677B5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17,8</w:t>
            </w:r>
          </w:p>
        </w:tc>
      </w:tr>
      <w:tr w:rsidR="00B807B3" w:rsidRPr="004F6F5D" w14:paraId="4E0C5BB3" w14:textId="77777777" w:rsidTr="003677B5">
        <w:trPr>
          <w:trHeight w:val="340"/>
        </w:trPr>
        <w:tc>
          <w:tcPr>
            <w:tcW w:w="8222" w:type="dxa"/>
            <w:gridSpan w:val="3"/>
            <w:shd w:val="clear" w:color="auto" w:fill="DCA8B3"/>
            <w:noWrap/>
            <w:vAlign w:val="center"/>
            <w:hideMark/>
          </w:tcPr>
          <w:p w14:paraId="1CB16B33" w14:textId="77777777" w:rsidR="00B807B3" w:rsidRPr="004F6F5D" w:rsidRDefault="00B807B3" w:rsidP="003677B5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příjmy a výnosy za účetní operace celkem</w:t>
            </w:r>
          </w:p>
        </w:tc>
        <w:tc>
          <w:tcPr>
            <w:tcW w:w="843" w:type="dxa"/>
            <w:shd w:val="clear" w:color="auto" w:fill="DCA8B3"/>
            <w:noWrap/>
            <w:vAlign w:val="center"/>
            <w:hideMark/>
          </w:tcPr>
          <w:p w14:paraId="5D6A31FB" w14:textId="77777777" w:rsidR="00B807B3" w:rsidRPr="004F6F5D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17,8</w:t>
            </w:r>
          </w:p>
        </w:tc>
      </w:tr>
      <w:tr w:rsidR="00B807B3" w:rsidRPr="004F6F5D" w14:paraId="29131909" w14:textId="77777777" w:rsidTr="003677B5">
        <w:trPr>
          <w:trHeight w:val="340"/>
        </w:trPr>
        <w:tc>
          <w:tcPr>
            <w:tcW w:w="0" w:type="auto"/>
            <w:gridSpan w:val="4"/>
            <w:shd w:val="clear" w:color="auto" w:fill="E6E6E6"/>
            <w:noWrap/>
            <w:vAlign w:val="center"/>
            <w:hideMark/>
          </w:tcPr>
          <w:p w14:paraId="4B26C2FC" w14:textId="77777777" w:rsidR="00B807B3" w:rsidRPr="00B367F9" w:rsidRDefault="008A2589" w:rsidP="003677B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  <w:r w:rsidR="00B807B3"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způsobující rozdíly mezi výdaji a náklady</w:t>
            </w:r>
          </w:p>
        </w:tc>
      </w:tr>
      <w:tr w:rsidR="00B807B3" w:rsidRPr="004F6F5D" w14:paraId="2A490F9A" w14:textId="77777777" w:rsidTr="003677B5">
        <w:trPr>
          <w:trHeight w:val="340"/>
        </w:trPr>
        <w:tc>
          <w:tcPr>
            <w:tcW w:w="5340" w:type="dxa"/>
            <w:shd w:val="clear" w:color="auto" w:fill="E6E6E6"/>
            <w:noWrap/>
            <w:vAlign w:val="center"/>
            <w:hideMark/>
          </w:tcPr>
          <w:p w14:paraId="5CB43FCA" w14:textId="77777777" w:rsidR="00B807B3" w:rsidRPr="00B367F9" w:rsidRDefault="00B807B3" w:rsidP="003677B5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60" w:type="dxa"/>
            <w:shd w:val="clear" w:color="auto" w:fill="E6E6E6"/>
            <w:noWrap/>
            <w:vAlign w:val="center"/>
            <w:hideMark/>
          </w:tcPr>
          <w:p w14:paraId="0A001A34" w14:textId="77777777" w:rsidR="00B807B3" w:rsidRPr="00B367F9" w:rsidRDefault="00B807B3" w:rsidP="003677B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1422" w:type="dxa"/>
            <w:shd w:val="clear" w:color="auto" w:fill="E6E6E6"/>
            <w:noWrap/>
            <w:vAlign w:val="center"/>
            <w:hideMark/>
          </w:tcPr>
          <w:p w14:paraId="40F9ECFF" w14:textId="77777777" w:rsidR="00B807B3" w:rsidRPr="00B367F9" w:rsidRDefault="00B807B3" w:rsidP="003677B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843" w:type="dxa"/>
            <w:shd w:val="clear" w:color="auto" w:fill="E6E6E6"/>
            <w:vAlign w:val="center"/>
            <w:hideMark/>
          </w:tcPr>
          <w:p w14:paraId="4F05BDA4" w14:textId="77777777" w:rsidR="00B807B3" w:rsidRPr="00B367F9" w:rsidRDefault="00B807B3" w:rsidP="003677B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B807B3" w:rsidRPr="004F6F5D" w14:paraId="5ADC8193" w14:textId="77777777" w:rsidTr="00636BC4">
        <w:trPr>
          <w:trHeight w:val="340"/>
        </w:trPr>
        <w:tc>
          <w:tcPr>
            <w:tcW w:w="5340" w:type="dxa"/>
            <w:shd w:val="clear" w:color="auto" w:fill="auto"/>
            <w:noWrap/>
            <w:vAlign w:val="center"/>
            <w:hideMark/>
          </w:tcPr>
          <w:p w14:paraId="4FE84450" w14:textId="77777777" w:rsidR="00B807B3" w:rsidRPr="004F6F5D" w:rsidRDefault="00B807B3" w:rsidP="003677B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Odpisy DM (</w:t>
            </w:r>
            <w:r w:rsidR="00521FFD"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účet</w:t>
            </w: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551)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C9181D6" w14:textId="77777777" w:rsidR="00B807B3" w:rsidRPr="00B367F9" w:rsidRDefault="00B807B3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52EC13E" w14:textId="77777777" w:rsidR="00B807B3" w:rsidRPr="00B367F9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113,5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3DB81A7A" w14:textId="77777777" w:rsidR="00B807B3" w:rsidRPr="00B367F9" w:rsidRDefault="00235924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cs="Calibri"/>
                <w:sz w:val="20"/>
                <w:szCs w:val="20"/>
              </w:rPr>
              <w:t>−</w:t>
            </w:r>
            <w:r w:rsidR="00B367F9" w:rsidRPr="00B367F9">
              <w:rPr>
                <w:rFonts w:cs="Calibri"/>
                <w:sz w:val="20"/>
                <w:szCs w:val="20"/>
              </w:rPr>
              <w:t>113,5</w:t>
            </w:r>
          </w:p>
        </w:tc>
      </w:tr>
      <w:tr w:rsidR="00B807B3" w:rsidRPr="004F6F5D" w14:paraId="722C6A29" w14:textId="77777777" w:rsidTr="00636BC4">
        <w:trPr>
          <w:trHeight w:val="340"/>
        </w:trPr>
        <w:tc>
          <w:tcPr>
            <w:tcW w:w="5340" w:type="dxa"/>
            <w:shd w:val="clear" w:color="auto" w:fill="auto"/>
            <w:vAlign w:val="center"/>
            <w:hideMark/>
          </w:tcPr>
          <w:p w14:paraId="5863DAA3" w14:textId="77777777" w:rsidR="00B807B3" w:rsidRPr="004F6F5D" w:rsidRDefault="00B367F9" w:rsidP="003677B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Tvorba a zúčtování rezerv (</w:t>
            </w:r>
            <w:r w:rsidR="00C70C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účet</w:t>
            </w: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555)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9C7912F" w14:textId="77777777" w:rsidR="00B807B3" w:rsidRPr="004F6F5D" w:rsidRDefault="00B807B3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819761D" w14:textId="77777777" w:rsidR="00B807B3" w:rsidRPr="00B367F9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−45,4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13D51FAA" w14:textId="77777777" w:rsidR="00B807B3" w:rsidRPr="00B367F9" w:rsidRDefault="00B807B3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  <w:r w:rsidR="00B367F9"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  <w:r w:rsidR="005228F0"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="00B367F9"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B807B3" w:rsidRPr="004F6F5D" w14:paraId="52A51155" w14:textId="77777777" w:rsidTr="00636BC4">
        <w:trPr>
          <w:trHeight w:val="340"/>
        </w:trPr>
        <w:tc>
          <w:tcPr>
            <w:tcW w:w="5340" w:type="dxa"/>
            <w:shd w:val="clear" w:color="auto" w:fill="auto"/>
            <w:noWrap/>
            <w:vAlign w:val="center"/>
            <w:hideMark/>
          </w:tcPr>
          <w:p w14:paraId="2CF1A9F2" w14:textId="77777777" w:rsidR="00B807B3" w:rsidRPr="004F6F5D" w:rsidRDefault="00B367F9" w:rsidP="003677B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Zúčtování nákladů příštích období z minulého účetního období (5xx/381)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E1176EA" w14:textId="77777777" w:rsidR="00B807B3" w:rsidRPr="004F6F5D" w:rsidRDefault="00B807B3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F0BCC39" w14:textId="77777777" w:rsidR="00B807B3" w:rsidRPr="00B367F9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52A658AF" w14:textId="77777777" w:rsidR="00B807B3" w:rsidRPr="00B367F9" w:rsidRDefault="00235924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cs="Calibri"/>
                <w:sz w:val="20"/>
                <w:szCs w:val="20"/>
              </w:rPr>
              <w:t>−</w:t>
            </w:r>
            <w:r w:rsidR="00B367F9" w:rsidRPr="00B367F9">
              <w:rPr>
                <w:rFonts w:cs="Calibri"/>
                <w:sz w:val="20"/>
                <w:szCs w:val="20"/>
              </w:rPr>
              <w:t>2</w:t>
            </w:r>
            <w:r w:rsidR="00B807B3"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5228F0"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="00B367F9"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B367F9" w:rsidRPr="004F6F5D" w14:paraId="182403C0" w14:textId="77777777" w:rsidTr="00636BC4">
        <w:trPr>
          <w:trHeight w:val="340"/>
        </w:trPr>
        <w:tc>
          <w:tcPr>
            <w:tcW w:w="5340" w:type="dxa"/>
            <w:shd w:val="clear" w:color="auto" w:fill="auto"/>
            <w:noWrap/>
            <w:vAlign w:val="center"/>
          </w:tcPr>
          <w:p w14:paraId="2196C8F7" w14:textId="77777777" w:rsidR="00B367F9" w:rsidRPr="00B367F9" w:rsidRDefault="00B367F9" w:rsidP="003677B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Náklady příštích období za rok 2023 (381/321, 321/223)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30A87277" w14:textId="77777777" w:rsidR="00B367F9" w:rsidRPr="00B367F9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36,</w:t>
            </w:r>
            <w:r w:rsidR="005019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93C04B0" w14:textId="76A57DC9" w:rsidR="00B367F9" w:rsidRPr="00B367F9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1E8CBC64" w14:textId="77777777" w:rsidR="00B367F9" w:rsidRPr="00B367F9" w:rsidRDefault="00B367F9" w:rsidP="00636BC4">
            <w:pPr>
              <w:spacing w:after="0"/>
              <w:ind w:right="113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</w:t>
            </w:r>
            <w:r w:rsidR="005019B4">
              <w:rPr>
                <w:rFonts w:cs="Calibri"/>
                <w:sz w:val="20"/>
                <w:szCs w:val="20"/>
              </w:rPr>
              <w:t>6</w:t>
            </w:r>
          </w:p>
        </w:tc>
      </w:tr>
      <w:tr w:rsidR="00B807B3" w:rsidRPr="004F6F5D" w14:paraId="11F30EE0" w14:textId="77777777" w:rsidTr="00636BC4">
        <w:trPr>
          <w:trHeight w:val="340"/>
        </w:trPr>
        <w:tc>
          <w:tcPr>
            <w:tcW w:w="5340" w:type="dxa"/>
            <w:shd w:val="clear" w:color="auto" w:fill="auto"/>
            <w:vAlign w:val="center"/>
            <w:hideMark/>
          </w:tcPr>
          <w:p w14:paraId="38B091CD" w14:textId="77777777" w:rsidR="00B807B3" w:rsidRPr="004F6F5D" w:rsidRDefault="00B807B3" w:rsidP="003677B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Výdaje na pořízení dlouhodobého majetku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8D63006" w14:textId="77777777" w:rsidR="00B807B3" w:rsidRPr="00B367F9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127,0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BFD4C1D" w14:textId="77777777" w:rsidR="00B807B3" w:rsidRPr="00B367F9" w:rsidRDefault="00B807B3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3F5DF0FE" w14:textId="77777777" w:rsidR="00B807B3" w:rsidRPr="00B367F9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127,0</w:t>
            </w:r>
          </w:p>
        </w:tc>
      </w:tr>
      <w:tr w:rsidR="00B807B3" w:rsidRPr="004F6F5D" w14:paraId="0F8367C1" w14:textId="77777777" w:rsidTr="003677B5">
        <w:trPr>
          <w:trHeight w:val="340"/>
        </w:trPr>
        <w:tc>
          <w:tcPr>
            <w:tcW w:w="8222" w:type="dxa"/>
            <w:gridSpan w:val="3"/>
            <w:shd w:val="clear" w:color="auto" w:fill="DCA8B3"/>
            <w:noWrap/>
            <w:vAlign w:val="center"/>
            <w:hideMark/>
          </w:tcPr>
          <w:p w14:paraId="348E6F9B" w14:textId="77777777" w:rsidR="00B807B3" w:rsidRPr="00B367F9" w:rsidRDefault="00B807B3" w:rsidP="003677B5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výdaji a náklady za účetní operace celkem</w:t>
            </w:r>
          </w:p>
        </w:tc>
        <w:tc>
          <w:tcPr>
            <w:tcW w:w="843" w:type="dxa"/>
            <w:shd w:val="clear" w:color="auto" w:fill="DCA8B3"/>
            <w:noWrap/>
            <w:vAlign w:val="center"/>
            <w:hideMark/>
          </w:tcPr>
          <w:p w14:paraId="575C6B0B" w14:textId="77777777" w:rsidR="00B807B3" w:rsidRPr="004F6F5D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73,</w:t>
            </w:r>
            <w:r w:rsidR="005019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B807B3" w:rsidRPr="004F6F5D" w14:paraId="00B08DEA" w14:textId="77777777" w:rsidTr="003677B5">
        <w:trPr>
          <w:trHeight w:val="340"/>
        </w:trPr>
        <w:tc>
          <w:tcPr>
            <w:tcW w:w="8222" w:type="dxa"/>
            <w:gridSpan w:val="3"/>
            <w:shd w:val="clear" w:color="auto" w:fill="DCA8B3"/>
            <w:vAlign w:val="center"/>
            <w:hideMark/>
          </w:tcPr>
          <w:p w14:paraId="3F301A06" w14:textId="77777777" w:rsidR="00B807B3" w:rsidRPr="004F6F5D" w:rsidRDefault="00B807B3" w:rsidP="003677B5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Rozdíl mezi saldem peněžních toků a výsledkem hospodaření </w:t>
            </w:r>
            <w:r w:rsidR="00B367F9"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MMR</w:t>
            </w: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za účetní operace celkem</w:t>
            </w:r>
          </w:p>
        </w:tc>
        <w:tc>
          <w:tcPr>
            <w:tcW w:w="843" w:type="dxa"/>
            <w:shd w:val="clear" w:color="auto" w:fill="DCA8B3"/>
            <w:noWrap/>
            <w:vAlign w:val="center"/>
            <w:hideMark/>
          </w:tcPr>
          <w:p w14:paraId="336339E3" w14:textId="77777777" w:rsidR="00B807B3" w:rsidRPr="004F6F5D" w:rsidRDefault="00B367F9" w:rsidP="00636BC4">
            <w:pPr>
              <w:spacing w:after="0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367F9">
              <w:rPr>
                <w:rFonts w:cs="Calibri"/>
                <w:b/>
                <w:sz w:val="20"/>
                <w:szCs w:val="20"/>
              </w:rPr>
              <w:t>55</w:t>
            </w:r>
            <w:r w:rsidR="008B2D06"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B367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</w:tbl>
    <w:p w14:paraId="1040F253" w14:textId="77777777" w:rsidR="00F86B28" w:rsidRPr="00B367F9" w:rsidRDefault="00B807B3" w:rsidP="00DF6AD0">
      <w:pPr>
        <w:spacing w:before="40" w:after="0"/>
        <w:rPr>
          <w:rFonts w:eastAsia="Calibri" w:cs="Calibri"/>
          <w:sz w:val="20"/>
          <w:szCs w:val="20"/>
        </w:rPr>
      </w:pPr>
      <w:r w:rsidRPr="00B367F9">
        <w:rPr>
          <w:rFonts w:eastAsia="Calibri" w:cs="Calibri"/>
          <w:b/>
          <w:bCs/>
          <w:sz w:val="20"/>
          <w:szCs w:val="20"/>
        </w:rPr>
        <w:t>Zdroj:</w:t>
      </w:r>
      <w:r w:rsidRPr="00B367F9">
        <w:rPr>
          <w:rFonts w:eastAsia="Calibri" w:cs="Calibri"/>
          <w:sz w:val="20"/>
          <w:szCs w:val="20"/>
        </w:rPr>
        <w:t xml:space="preserve"> účetní data </w:t>
      </w:r>
      <w:r w:rsidR="00B367F9" w:rsidRPr="00B367F9">
        <w:rPr>
          <w:rFonts w:eastAsia="Calibri" w:cs="Calibri"/>
          <w:sz w:val="20"/>
          <w:szCs w:val="20"/>
        </w:rPr>
        <w:t>MMR</w:t>
      </w:r>
      <w:r w:rsidRPr="00B367F9">
        <w:rPr>
          <w:rFonts w:eastAsia="Calibri" w:cs="Calibri"/>
          <w:sz w:val="20"/>
          <w:szCs w:val="20"/>
        </w:rPr>
        <w:t xml:space="preserve"> za rok 202</w:t>
      </w:r>
      <w:r w:rsidR="00B367F9" w:rsidRPr="00B367F9">
        <w:rPr>
          <w:rFonts w:eastAsia="Calibri" w:cs="Calibri"/>
          <w:sz w:val="20"/>
          <w:szCs w:val="20"/>
        </w:rPr>
        <w:t>3</w:t>
      </w:r>
      <w:r w:rsidRPr="00B367F9">
        <w:rPr>
          <w:rFonts w:eastAsia="Calibri" w:cs="Calibri"/>
          <w:sz w:val="20"/>
          <w:szCs w:val="20"/>
        </w:rPr>
        <w:t>, ÚZ; zpracov</w:t>
      </w:r>
      <w:r w:rsidR="00316530" w:rsidRPr="00B367F9">
        <w:rPr>
          <w:rFonts w:eastAsia="Calibri" w:cs="Calibri"/>
          <w:sz w:val="20"/>
          <w:szCs w:val="20"/>
        </w:rPr>
        <w:t>al</w:t>
      </w:r>
      <w:r w:rsidRPr="00B367F9">
        <w:rPr>
          <w:rFonts w:eastAsia="Calibri" w:cs="Calibri"/>
          <w:sz w:val="20"/>
          <w:szCs w:val="20"/>
        </w:rPr>
        <w:t xml:space="preserve"> NKÚ.</w:t>
      </w:r>
    </w:p>
    <w:p w14:paraId="269D02FE" w14:textId="77777777" w:rsidR="00316530" w:rsidRPr="00B367F9" w:rsidRDefault="00316530" w:rsidP="00DF6AD0">
      <w:pPr>
        <w:rPr>
          <w:sz w:val="20"/>
          <w:szCs w:val="20"/>
        </w:rPr>
      </w:pPr>
      <w:r w:rsidRPr="00B367F9">
        <w:rPr>
          <w:b/>
          <w:sz w:val="20"/>
          <w:szCs w:val="20"/>
        </w:rPr>
        <w:t xml:space="preserve">Pozn.: </w:t>
      </w:r>
      <w:r w:rsidRPr="00B367F9">
        <w:rPr>
          <w:sz w:val="20"/>
          <w:szCs w:val="20"/>
        </w:rPr>
        <w:t>DM = dlouhodobý majetek.</w:t>
      </w:r>
    </w:p>
    <w:p w14:paraId="40FD9CF5" w14:textId="77777777" w:rsidR="00F86B28" w:rsidRPr="00B75F34" w:rsidRDefault="008A2589" w:rsidP="00636BC4">
      <w:pPr>
        <w:spacing w:before="240"/>
        <w:jc w:val="both"/>
        <w:rPr>
          <w:rFonts w:cstheme="minorHAnsi"/>
        </w:rPr>
        <w:sectPr w:rsidR="00F86B28" w:rsidRPr="00B75F34" w:rsidSect="00DF6AD0">
          <w:headerReference w:type="default" r:id="rId36"/>
          <w:headerReference w:type="first" r:id="rId37"/>
          <w:footerReference w:type="first" r:id="rId38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16" w:name="_Hlk77770840"/>
      <w:r w:rsidRPr="00B75F34">
        <w:rPr>
          <w:rFonts w:cstheme="minorHAnsi"/>
        </w:rPr>
        <w:t>Kontrolou bylo ověřeno, že údaje o plnění rozpočtu</w:t>
      </w:r>
      <w:r>
        <w:rPr>
          <w:rFonts w:cstheme="minorHAnsi"/>
        </w:rPr>
        <w:t xml:space="preserve"> a peněžních tocích se promítly správně v účetnictví MMR a rozdíly mezi příjmy a výnosy a náklady a výdaji byly vysvětlitelné.</w:t>
      </w:r>
    </w:p>
    <w:bookmarkEnd w:id="16"/>
    <w:p w14:paraId="5C7B4948" w14:textId="77777777" w:rsidR="00FC2B6C" w:rsidRPr="00B75F34" w:rsidRDefault="00235924" w:rsidP="00B75F34">
      <w:pPr>
        <w:pStyle w:val="Nadpis1"/>
        <w:keepNext/>
        <w:spacing w:after="240" w:line="240" w:lineRule="auto"/>
        <w:jc w:val="right"/>
        <w:rPr>
          <w:sz w:val="24"/>
        </w:rPr>
      </w:pPr>
      <w:r w:rsidRPr="00B56353">
        <w:rPr>
          <w:sz w:val="24"/>
        </w:rPr>
        <w:lastRenderedPageBreak/>
        <w:t>Příloha č. 2</w:t>
      </w:r>
    </w:p>
    <w:p w14:paraId="00B726AD" w14:textId="346054CB" w:rsidR="00FC2B6C" w:rsidRPr="00475566" w:rsidRDefault="00FC2B6C" w:rsidP="00FF6DAA">
      <w:pPr>
        <w:pStyle w:val="Nadpis2"/>
        <w:keepNext/>
        <w:keepLines/>
        <w:numPr>
          <w:ilvl w:val="1"/>
          <w:numId w:val="4"/>
        </w:numPr>
        <w:spacing w:before="240" w:after="120" w:line="240" w:lineRule="auto"/>
        <w:contextualSpacing w:val="0"/>
        <w:jc w:val="left"/>
      </w:pPr>
      <w:bookmarkStart w:id="17" w:name="_Toc131682140"/>
      <w:bookmarkStart w:id="18" w:name="_Toc133218594"/>
      <w:r w:rsidRPr="00475566">
        <w:t xml:space="preserve">Využívání účetních informací jiných vybraných účetních jednotek </w:t>
      </w:r>
      <w:bookmarkEnd w:id="17"/>
      <w:bookmarkEnd w:id="18"/>
      <w:r w:rsidR="00475566" w:rsidRPr="00475566">
        <w:t xml:space="preserve">Ministerstvem </w:t>
      </w:r>
      <w:r w:rsidR="00BA30C2">
        <w:br/>
      </w:r>
      <w:r w:rsidR="00475566" w:rsidRPr="00475566">
        <w:t>pro místní rozvoj</w:t>
      </w:r>
    </w:p>
    <w:p w14:paraId="0D537452" w14:textId="77777777" w:rsidR="00F04A3B" w:rsidRPr="00BF5C29" w:rsidRDefault="00475566" w:rsidP="00636BC4">
      <w:pPr>
        <w:spacing w:before="120"/>
        <w:jc w:val="both"/>
        <w:rPr>
          <w:rFonts w:asciiTheme="minorHAnsi" w:hAnsiTheme="minorHAnsi" w:cstheme="minorHAnsi"/>
        </w:rPr>
      </w:pPr>
      <w:r w:rsidRPr="00475566">
        <w:rPr>
          <w:rFonts w:asciiTheme="minorHAnsi" w:hAnsiTheme="minorHAnsi" w:cstheme="minorHAnsi"/>
        </w:rPr>
        <w:t xml:space="preserve">MMR využívá data od všech zřizovaných organizací v rámci kapitoly, a to zejména při zpracování závěrečného účtu, při přípravě plánů činnosti, v rámci svých kontrolních a auditních činností a také pro ověření nastavení funkčnosti a účinnosti vnitřního kontrolního systému. MMR také využívá účetní údaje řízených organizací pro účely jejich operativního finančního řízení a pro získání správných, úplných a včasných informací o </w:t>
      </w:r>
      <w:r w:rsidR="00C63E6A">
        <w:rPr>
          <w:rFonts w:asciiTheme="minorHAnsi" w:hAnsiTheme="minorHAnsi" w:cstheme="minorHAnsi"/>
        </w:rPr>
        <w:t xml:space="preserve">jejich </w:t>
      </w:r>
      <w:r w:rsidRPr="00475566">
        <w:rPr>
          <w:rFonts w:asciiTheme="minorHAnsi" w:hAnsiTheme="minorHAnsi" w:cstheme="minorHAnsi"/>
        </w:rPr>
        <w:t>hospodářské situaci.</w:t>
      </w:r>
      <w:r w:rsidR="00C63E6A">
        <w:rPr>
          <w:rFonts w:asciiTheme="minorHAnsi" w:hAnsiTheme="minorHAnsi" w:cstheme="minorHAnsi"/>
        </w:rPr>
        <w:t xml:space="preserve"> </w:t>
      </w:r>
      <w:r w:rsidRPr="00475566">
        <w:rPr>
          <w:rFonts w:asciiTheme="minorHAnsi" w:hAnsiTheme="minorHAnsi" w:cstheme="minorHAnsi"/>
        </w:rPr>
        <w:t xml:space="preserve">Účetní data </w:t>
      </w:r>
      <w:r w:rsidRPr="00BF5C29">
        <w:rPr>
          <w:rFonts w:asciiTheme="minorHAnsi" w:hAnsiTheme="minorHAnsi" w:cstheme="minorHAnsi"/>
        </w:rPr>
        <w:t xml:space="preserve">jsou </w:t>
      </w:r>
      <w:r w:rsidR="00C63E6A" w:rsidRPr="00BF5C29">
        <w:rPr>
          <w:rFonts w:asciiTheme="minorHAnsi" w:hAnsiTheme="minorHAnsi" w:cstheme="minorHAnsi"/>
        </w:rPr>
        <w:t xml:space="preserve">MMR </w:t>
      </w:r>
      <w:r w:rsidRPr="00BF5C29">
        <w:rPr>
          <w:rFonts w:asciiTheme="minorHAnsi" w:hAnsiTheme="minorHAnsi" w:cstheme="minorHAnsi"/>
        </w:rPr>
        <w:t xml:space="preserve">využívána pro reporting v </w:t>
      </w:r>
      <w:proofErr w:type="spellStart"/>
      <w:r w:rsidRPr="001258AA">
        <w:rPr>
          <w:rFonts w:asciiTheme="minorHAnsi" w:hAnsiTheme="minorHAnsi" w:cstheme="minorHAnsi"/>
          <w:i/>
        </w:rPr>
        <w:t>Power</w:t>
      </w:r>
      <w:proofErr w:type="spellEnd"/>
      <w:r w:rsidRPr="001258AA">
        <w:rPr>
          <w:rFonts w:asciiTheme="minorHAnsi" w:hAnsiTheme="minorHAnsi" w:cstheme="minorHAnsi"/>
          <w:i/>
        </w:rPr>
        <w:t xml:space="preserve"> BI</w:t>
      </w:r>
      <w:r w:rsidR="00D86DBD" w:rsidRPr="00B75F34">
        <w:rPr>
          <w:rStyle w:val="Znakapoznpodarou"/>
          <w:rFonts w:asciiTheme="minorHAnsi" w:hAnsiTheme="minorHAnsi" w:cstheme="minorHAnsi"/>
        </w:rPr>
        <w:footnoteReference w:id="35"/>
      </w:r>
      <w:r w:rsidRPr="00BF5C29">
        <w:rPr>
          <w:rFonts w:asciiTheme="minorHAnsi" w:hAnsiTheme="minorHAnsi" w:cstheme="minorHAnsi"/>
        </w:rPr>
        <w:t xml:space="preserve"> dle požadované struktury pro finanční řízení.</w:t>
      </w:r>
      <w:r w:rsidR="00EE17EF" w:rsidRPr="00BF5C29">
        <w:rPr>
          <w:rFonts w:asciiTheme="minorHAnsi" w:hAnsiTheme="minorHAnsi" w:cstheme="minorHAnsi"/>
        </w:rPr>
        <w:t xml:space="preserve"> Z pohledu finančního řízení organizací v působnosti MMR jsou vytvářeny tzv. souhrnné finanční plány za účelem sledování </w:t>
      </w:r>
      <w:r w:rsidR="00F04A3B" w:rsidRPr="00BF5C29">
        <w:rPr>
          <w:rFonts w:asciiTheme="minorHAnsi" w:hAnsiTheme="minorHAnsi" w:cstheme="minorHAnsi"/>
        </w:rPr>
        <w:t>například:</w:t>
      </w:r>
    </w:p>
    <w:p w14:paraId="55A22D7A" w14:textId="6ECE4910" w:rsidR="00F04A3B" w:rsidRPr="00BF5C29" w:rsidRDefault="00F04A3B" w:rsidP="00636BC4">
      <w:pPr>
        <w:pStyle w:val="Odstavecseseznamem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BF5C29">
        <w:rPr>
          <w:rFonts w:asciiTheme="minorHAnsi" w:hAnsiTheme="minorHAnsi" w:cstheme="minorHAnsi"/>
        </w:rPr>
        <w:t>plánu nákladů a výnosů v členění dle jednotlivých syntetických účtů</w:t>
      </w:r>
      <w:r w:rsidR="008C7399">
        <w:rPr>
          <w:rFonts w:asciiTheme="minorHAnsi" w:hAnsiTheme="minorHAnsi" w:cstheme="minorHAnsi"/>
        </w:rPr>
        <w:t>,</w:t>
      </w:r>
    </w:p>
    <w:p w14:paraId="49B795CC" w14:textId="77777777" w:rsidR="00475566" w:rsidRPr="00BF5C29" w:rsidRDefault="00F04A3B" w:rsidP="00636BC4">
      <w:pPr>
        <w:pStyle w:val="Odstavecseseznamem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BF5C29">
        <w:rPr>
          <w:rFonts w:asciiTheme="minorHAnsi" w:hAnsiTheme="minorHAnsi" w:cstheme="minorHAnsi"/>
        </w:rPr>
        <w:t xml:space="preserve">vývoje zůstatků rozvahových účtů ve vazbě na plán investic a technické zhodnocení dlouhodobého majetku a </w:t>
      </w:r>
      <w:r w:rsidR="00C6048C" w:rsidRPr="00BF5C29">
        <w:rPr>
          <w:rFonts w:asciiTheme="minorHAnsi" w:hAnsiTheme="minorHAnsi" w:cstheme="minorHAnsi"/>
        </w:rPr>
        <w:t xml:space="preserve">na </w:t>
      </w:r>
      <w:r w:rsidRPr="00BF5C29">
        <w:rPr>
          <w:rFonts w:asciiTheme="minorHAnsi" w:hAnsiTheme="minorHAnsi" w:cstheme="minorHAnsi"/>
        </w:rPr>
        <w:t>plán tvorby a čerpání fondů (</w:t>
      </w:r>
      <w:r w:rsidR="00C6048C" w:rsidRPr="00BF5C29">
        <w:rPr>
          <w:rFonts w:asciiTheme="minorHAnsi" w:hAnsiTheme="minorHAnsi" w:cstheme="minorHAnsi"/>
        </w:rPr>
        <w:t xml:space="preserve">například </w:t>
      </w:r>
      <w:r w:rsidRPr="00BF5C29">
        <w:rPr>
          <w:rFonts w:asciiTheme="minorHAnsi" w:hAnsiTheme="minorHAnsi" w:cstheme="minorHAnsi"/>
        </w:rPr>
        <w:t>fond</w:t>
      </w:r>
      <w:r w:rsidR="00C6048C" w:rsidRPr="00BF5C29">
        <w:rPr>
          <w:rFonts w:asciiTheme="minorHAnsi" w:hAnsiTheme="minorHAnsi" w:cstheme="minorHAnsi"/>
        </w:rPr>
        <w:t>u</w:t>
      </w:r>
      <w:r w:rsidRPr="00BF5C29">
        <w:rPr>
          <w:rFonts w:asciiTheme="minorHAnsi" w:hAnsiTheme="minorHAnsi" w:cstheme="minorHAnsi"/>
        </w:rPr>
        <w:t xml:space="preserve"> </w:t>
      </w:r>
      <w:r w:rsidR="00C6048C" w:rsidRPr="00BF5C29">
        <w:rPr>
          <w:rFonts w:asciiTheme="minorHAnsi" w:hAnsiTheme="minorHAnsi" w:cstheme="minorHAnsi"/>
        </w:rPr>
        <w:t>kulturních a</w:t>
      </w:r>
      <w:r w:rsidR="000B28CE">
        <w:rPr>
          <w:rFonts w:asciiTheme="minorHAnsi" w:hAnsiTheme="minorHAnsi" w:cstheme="minorHAnsi"/>
        </w:rPr>
        <w:t> </w:t>
      </w:r>
      <w:r w:rsidR="00C6048C" w:rsidRPr="00BF5C29">
        <w:rPr>
          <w:rFonts w:asciiTheme="minorHAnsi" w:hAnsiTheme="minorHAnsi" w:cstheme="minorHAnsi"/>
        </w:rPr>
        <w:t>sociálních potřeb</w:t>
      </w:r>
      <w:r w:rsidRPr="00BF5C29">
        <w:rPr>
          <w:rFonts w:asciiTheme="minorHAnsi" w:hAnsiTheme="minorHAnsi" w:cstheme="minorHAnsi"/>
        </w:rPr>
        <w:t>,</w:t>
      </w:r>
      <w:r w:rsidR="00C6048C" w:rsidRPr="00BF5C29">
        <w:rPr>
          <w:rFonts w:asciiTheme="minorHAnsi" w:hAnsiTheme="minorHAnsi" w:cstheme="minorHAnsi"/>
        </w:rPr>
        <w:t xml:space="preserve"> rezervního fondu, fondu reprodukce majetku).</w:t>
      </w:r>
    </w:p>
    <w:p w14:paraId="22FA87A1" w14:textId="77777777" w:rsidR="00FC2B6C" w:rsidRPr="00475566" w:rsidRDefault="00475566" w:rsidP="00636BC4">
      <w:pPr>
        <w:spacing w:before="120"/>
        <w:jc w:val="both"/>
        <w:rPr>
          <w:rFonts w:asciiTheme="minorHAnsi" w:hAnsiTheme="minorHAnsi" w:cstheme="minorHAnsi"/>
          <w:i/>
          <w:highlight w:val="yellow"/>
          <w:lang w:eastAsia="cs-CZ"/>
        </w:rPr>
      </w:pPr>
      <w:r w:rsidRPr="00475566">
        <w:rPr>
          <w:rFonts w:asciiTheme="minorHAnsi" w:hAnsiTheme="minorHAnsi" w:cstheme="minorHAnsi"/>
        </w:rPr>
        <w:t xml:space="preserve">Informace MMR získává z účetních závěrek, CSÚIS, </w:t>
      </w:r>
      <w:r w:rsidR="00C63E6A">
        <w:rPr>
          <w:rFonts w:asciiTheme="minorHAnsi" w:hAnsiTheme="minorHAnsi" w:cstheme="minorHAnsi"/>
        </w:rPr>
        <w:t>informačního portálu MONITOR</w:t>
      </w:r>
      <w:r w:rsidRPr="00475566">
        <w:rPr>
          <w:rFonts w:asciiTheme="minorHAnsi" w:hAnsiTheme="minorHAnsi" w:cstheme="minorHAnsi"/>
        </w:rPr>
        <w:t xml:space="preserve">, </w:t>
      </w:r>
      <w:r w:rsidR="00C63E6A">
        <w:rPr>
          <w:rFonts w:asciiTheme="minorHAnsi" w:hAnsiTheme="minorHAnsi" w:cstheme="minorHAnsi"/>
        </w:rPr>
        <w:t xml:space="preserve">informačních systémů MMR </w:t>
      </w:r>
      <w:r w:rsidRPr="00475566">
        <w:rPr>
          <w:rFonts w:asciiTheme="minorHAnsi" w:hAnsiTheme="minorHAnsi" w:cstheme="minorHAnsi"/>
        </w:rPr>
        <w:t>a přímo od podřízených organizací.</w:t>
      </w:r>
    </w:p>
    <w:p w14:paraId="00320123" w14:textId="77777777" w:rsidR="00FC2B6C" w:rsidRPr="00C63E6A" w:rsidRDefault="00FC2B6C" w:rsidP="00FF6DAA">
      <w:pPr>
        <w:pStyle w:val="Nadpis2"/>
        <w:keepNext/>
        <w:keepLines/>
        <w:numPr>
          <w:ilvl w:val="1"/>
          <w:numId w:val="4"/>
        </w:numPr>
        <w:spacing w:before="240" w:after="120" w:line="240" w:lineRule="auto"/>
        <w:contextualSpacing w:val="0"/>
        <w:jc w:val="left"/>
      </w:pPr>
      <w:bookmarkStart w:id="19" w:name="_Toc131682141"/>
      <w:bookmarkStart w:id="20" w:name="_Toc133218595"/>
      <w:r w:rsidRPr="00C63E6A">
        <w:t xml:space="preserve">Využívání účetních informací </w:t>
      </w:r>
      <w:r w:rsidR="00C63E6A" w:rsidRPr="00C63E6A">
        <w:t>Ministerstva pro místní rozvoj</w:t>
      </w:r>
      <w:r w:rsidRPr="00C63E6A">
        <w:t xml:space="preserve"> pro účely vlastního rozhodování a řízení</w:t>
      </w:r>
      <w:bookmarkEnd w:id="19"/>
      <w:bookmarkEnd w:id="20"/>
    </w:p>
    <w:p w14:paraId="1962406F" w14:textId="77777777" w:rsidR="006319D3" w:rsidRPr="00B064AB" w:rsidRDefault="006319D3" w:rsidP="00636BC4">
      <w:pPr>
        <w:spacing w:before="120"/>
        <w:jc w:val="both"/>
        <w:rPr>
          <w:rFonts w:asciiTheme="minorHAnsi" w:hAnsiTheme="minorHAnsi" w:cstheme="minorHAnsi"/>
        </w:rPr>
      </w:pPr>
      <w:r w:rsidRPr="00B064AB">
        <w:rPr>
          <w:rFonts w:asciiTheme="minorHAnsi" w:hAnsiTheme="minorHAnsi" w:cstheme="minorHAnsi"/>
        </w:rPr>
        <w:t>Uvnitř MMR jsou účetní informace využívány v rámci sekce ekonomicko-provozní. Dále při auditním šetření, jehož cílem je ověření nastavení a funkčnosti vnitřního kontrolního systému. Potřebné účetní podklady si MMR vytěžuje z</w:t>
      </w:r>
      <w:r w:rsidR="00B064AB" w:rsidRPr="00B064AB">
        <w:rPr>
          <w:rFonts w:asciiTheme="minorHAnsi" w:hAnsiTheme="minorHAnsi" w:cstheme="minorHAnsi"/>
        </w:rPr>
        <w:t> vlastních informačních systémů</w:t>
      </w:r>
      <w:r w:rsidRPr="00B064AB">
        <w:rPr>
          <w:rFonts w:asciiTheme="minorHAnsi" w:hAnsiTheme="minorHAnsi" w:cstheme="minorHAnsi"/>
        </w:rPr>
        <w:t>.</w:t>
      </w:r>
    </w:p>
    <w:p w14:paraId="694E95F3" w14:textId="77777777" w:rsidR="006319D3" w:rsidRPr="00B064AB" w:rsidRDefault="006319D3" w:rsidP="00636BC4">
      <w:pPr>
        <w:spacing w:before="120"/>
        <w:jc w:val="both"/>
        <w:rPr>
          <w:rFonts w:asciiTheme="minorHAnsi" w:hAnsiTheme="minorHAnsi" w:cstheme="minorHAnsi"/>
        </w:rPr>
      </w:pPr>
      <w:r w:rsidRPr="00B064AB">
        <w:rPr>
          <w:rFonts w:asciiTheme="minorHAnsi" w:hAnsiTheme="minorHAnsi" w:cstheme="minorHAnsi"/>
        </w:rPr>
        <w:t>Vybrané účetní informace, např. stálá a oběžná aktiva, cizí zdroje, náklady a výnosy, podmíněné pohledávky a závazky, jsou MMR využívány pro řízení a rozhodování, např. při přípravě rozpočtu, sledování čerpání výdajů a dosahování příjmů, plánování alokace pro programy, administraci pohledávek a závazků a hospodaření s majetkem.</w:t>
      </w:r>
    </w:p>
    <w:p w14:paraId="06DB7942" w14:textId="77777777" w:rsidR="006319D3" w:rsidRPr="00B064AB" w:rsidRDefault="006319D3" w:rsidP="00636BC4">
      <w:pPr>
        <w:spacing w:before="120"/>
        <w:jc w:val="both"/>
        <w:rPr>
          <w:rFonts w:asciiTheme="minorHAnsi" w:hAnsiTheme="minorHAnsi" w:cstheme="minorHAnsi"/>
        </w:rPr>
      </w:pPr>
      <w:r w:rsidRPr="00B064AB">
        <w:rPr>
          <w:rFonts w:asciiTheme="minorHAnsi" w:hAnsiTheme="minorHAnsi" w:cstheme="minorHAnsi"/>
        </w:rPr>
        <w:t>Účetní informace o stálých a oběžných aktivech, cizích zdrojích MMR využívá ke sledování hospodaření s majetkem, průběžné a následné kontrole pohledávek a závazků, k inventarizaci majetku.</w:t>
      </w:r>
    </w:p>
    <w:p w14:paraId="2CC786D6" w14:textId="77777777" w:rsidR="006319D3" w:rsidRPr="00B064AB" w:rsidRDefault="006319D3" w:rsidP="00636BC4">
      <w:pPr>
        <w:spacing w:before="120"/>
        <w:jc w:val="both"/>
        <w:rPr>
          <w:rFonts w:asciiTheme="minorHAnsi" w:hAnsiTheme="minorHAnsi" w:cstheme="minorHAnsi"/>
        </w:rPr>
      </w:pPr>
      <w:r w:rsidRPr="00B064AB">
        <w:rPr>
          <w:rFonts w:asciiTheme="minorHAnsi" w:hAnsiTheme="minorHAnsi" w:cstheme="minorHAnsi"/>
        </w:rPr>
        <w:t>Informace o nákladech na transfery a výnosech z transferů využívá MMR ke sledování čerpání programů a dosahování příjmů u EU programů.</w:t>
      </w:r>
    </w:p>
    <w:p w14:paraId="7D8C7982" w14:textId="7AD5D309" w:rsidR="006319D3" w:rsidRPr="006319D3" w:rsidRDefault="006319D3" w:rsidP="00636BC4">
      <w:pPr>
        <w:spacing w:before="120"/>
        <w:jc w:val="both"/>
        <w:rPr>
          <w:rFonts w:asciiTheme="minorHAnsi" w:hAnsiTheme="minorHAnsi" w:cstheme="minorHAnsi"/>
        </w:rPr>
      </w:pPr>
      <w:r w:rsidRPr="00B064AB">
        <w:rPr>
          <w:rFonts w:asciiTheme="minorHAnsi" w:hAnsiTheme="minorHAnsi" w:cstheme="minorHAnsi"/>
        </w:rPr>
        <w:t>Informace o podmíněných pohledávkách a podmíněných závazcích MMR využívá ke sledování čerpání programů a dosahování příjmů z </w:t>
      </w:r>
      <w:r w:rsidR="008C7399" w:rsidRPr="00B064AB">
        <w:rPr>
          <w:rFonts w:asciiTheme="minorHAnsi" w:hAnsiTheme="minorHAnsi" w:cstheme="minorHAnsi"/>
        </w:rPr>
        <w:t xml:space="preserve">programů </w:t>
      </w:r>
      <w:r w:rsidRPr="00B064AB">
        <w:rPr>
          <w:rFonts w:asciiTheme="minorHAnsi" w:hAnsiTheme="minorHAnsi" w:cstheme="minorHAnsi"/>
        </w:rPr>
        <w:t xml:space="preserve">EU, </w:t>
      </w:r>
      <w:r w:rsidR="008C7399">
        <w:rPr>
          <w:rFonts w:asciiTheme="minorHAnsi" w:hAnsiTheme="minorHAnsi" w:cstheme="minorHAnsi"/>
        </w:rPr>
        <w:t xml:space="preserve">při </w:t>
      </w:r>
      <w:r w:rsidRPr="00B064AB">
        <w:rPr>
          <w:rFonts w:asciiTheme="minorHAnsi" w:hAnsiTheme="minorHAnsi" w:cstheme="minorHAnsi"/>
        </w:rPr>
        <w:t>průběžné a následné kontrole čerpání výdajů na základě objednávek a smluv.</w:t>
      </w:r>
    </w:p>
    <w:p w14:paraId="111E7228" w14:textId="77777777" w:rsidR="00FC2B6C" w:rsidRPr="00B064AB" w:rsidRDefault="001677FE" w:rsidP="00636BC4">
      <w:pPr>
        <w:pStyle w:val="Nadpis2"/>
        <w:keepNext/>
        <w:keepLines/>
        <w:numPr>
          <w:ilvl w:val="1"/>
          <w:numId w:val="4"/>
        </w:numPr>
        <w:spacing w:before="240" w:after="120" w:line="240" w:lineRule="auto"/>
        <w:contextualSpacing w:val="0"/>
      </w:pPr>
      <w:bookmarkStart w:id="21" w:name="_Toc99712434"/>
      <w:bookmarkStart w:id="22" w:name="_Ref131498133"/>
      <w:bookmarkStart w:id="23" w:name="_Ref132890550"/>
      <w:bookmarkStart w:id="24" w:name="_Toc131682142"/>
      <w:bookmarkStart w:id="25" w:name="_Toc133218596"/>
      <w:r w:rsidRPr="00B064AB">
        <w:t>P</w:t>
      </w:r>
      <w:r w:rsidR="00FC2B6C" w:rsidRPr="00B064AB">
        <w:t>ropojení účetního a rozpočtového pohledu</w:t>
      </w:r>
      <w:bookmarkEnd w:id="21"/>
      <w:bookmarkEnd w:id="22"/>
      <w:bookmarkEnd w:id="23"/>
      <w:bookmarkEnd w:id="24"/>
      <w:bookmarkEnd w:id="25"/>
      <w:r w:rsidRPr="00B064AB">
        <w:t xml:space="preserve"> při využívání některých informací</w:t>
      </w:r>
    </w:p>
    <w:p w14:paraId="580E1ACF" w14:textId="77777777" w:rsidR="00FC2B6C" w:rsidRDefault="00B064AB" w:rsidP="00636BC4">
      <w:pPr>
        <w:spacing w:before="120"/>
        <w:jc w:val="both"/>
        <w:rPr>
          <w:rFonts w:cs="Calibri"/>
        </w:rPr>
      </w:pPr>
      <w:r>
        <w:rPr>
          <w:rFonts w:cs="Calibri"/>
        </w:rPr>
        <w:t>Odbor účetnictví a finančních služeb MMR k</w:t>
      </w:r>
      <w:r w:rsidRPr="000F0696">
        <w:rPr>
          <w:rFonts w:cs="Calibri"/>
        </w:rPr>
        <w:t> procesům spočívajícím v propojení účetního a</w:t>
      </w:r>
      <w:r w:rsidR="000B28CE">
        <w:rPr>
          <w:rFonts w:cs="Calibri"/>
        </w:rPr>
        <w:t> </w:t>
      </w:r>
      <w:r w:rsidRPr="000F0696">
        <w:rPr>
          <w:rFonts w:cs="Calibri"/>
        </w:rPr>
        <w:t xml:space="preserve">rozpočtového pohledu MMR sdělilo, že toto propojení řeší převážně při pořizování majetku (zejména nehmotného). </w:t>
      </w:r>
      <w:r w:rsidRPr="002B19A3">
        <w:rPr>
          <w:rFonts w:cs="Calibri"/>
        </w:rPr>
        <w:t>Údaje z</w:t>
      </w:r>
      <w:r w:rsidR="00CB63D4">
        <w:rPr>
          <w:rFonts w:cs="Calibri"/>
        </w:rPr>
        <w:t> </w:t>
      </w:r>
      <w:r w:rsidRPr="002B19A3">
        <w:rPr>
          <w:rFonts w:cs="Calibri"/>
        </w:rPr>
        <w:t>podrozvah</w:t>
      </w:r>
      <w:r w:rsidR="00CB63D4">
        <w:rPr>
          <w:rFonts w:cs="Calibri"/>
        </w:rPr>
        <w:t>ových účtů</w:t>
      </w:r>
      <w:r w:rsidRPr="002B19A3">
        <w:rPr>
          <w:rFonts w:cs="Calibri"/>
        </w:rPr>
        <w:t xml:space="preserve"> </w:t>
      </w:r>
      <w:r w:rsidR="00CB63D4">
        <w:rPr>
          <w:rFonts w:cs="Calibri"/>
        </w:rPr>
        <w:t>pro rozpočetnictví</w:t>
      </w:r>
      <w:r w:rsidRPr="002B19A3">
        <w:rPr>
          <w:rFonts w:cs="Calibri"/>
        </w:rPr>
        <w:t xml:space="preserve"> nevyužívá.</w:t>
      </w:r>
    </w:p>
    <w:p w14:paraId="30274C78" w14:textId="77777777" w:rsidR="00B064AB" w:rsidRPr="004F6F5D" w:rsidRDefault="00B064AB" w:rsidP="00636BC4">
      <w:pPr>
        <w:spacing w:before="120"/>
        <w:jc w:val="both"/>
        <w:rPr>
          <w:rFonts w:asciiTheme="minorHAnsi" w:hAnsiTheme="minorHAnsi" w:cstheme="minorHAnsi"/>
          <w:highlight w:val="yellow"/>
        </w:rPr>
      </w:pPr>
      <w:r>
        <w:lastRenderedPageBreak/>
        <w:t>Dle odboru rozpočtu MMR je p</w:t>
      </w:r>
      <w:r w:rsidRPr="000F0696">
        <w:t>ropojování účetního a rozpočtového pohledu žádoucí</w:t>
      </w:r>
      <w:r>
        <w:t xml:space="preserve">, ale v současné době jej komplikuje </w:t>
      </w:r>
      <w:r w:rsidRPr="000F0696">
        <w:t>roztříštěnost IT systémů</w:t>
      </w:r>
      <w:r>
        <w:t xml:space="preserve"> na MMR. N</w:t>
      </w:r>
      <w:r w:rsidRPr="000F0696">
        <w:t xml:space="preserve">icméně při definici zadávacích podmínek pro </w:t>
      </w:r>
      <w:proofErr w:type="spellStart"/>
      <w:r w:rsidRPr="000F0696">
        <w:t>vysoutěžení</w:t>
      </w:r>
      <w:proofErr w:type="spellEnd"/>
      <w:r w:rsidRPr="000F0696">
        <w:t xml:space="preserve"> nového ekonomického systému s větším propojením </w:t>
      </w:r>
      <w:r w:rsidR="00CB63D4">
        <w:t>obou tě</w:t>
      </w:r>
      <w:r w:rsidR="007D2BE4">
        <w:t>chto oblast</w:t>
      </w:r>
      <w:r w:rsidR="00375491">
        <w:t>í</w:t>
      </w:r>
      <w:r w:rsidR="007D2BE4">
        <w:t xml:space="preserve"> uvažuje</w:t>
      </w:r>
      <w:r w:rsidR="00375491">
        <w:t>,</w:t>
      </w:r>
      <w:r w:rsidR="007D2BE4">
        <w:t xml:space="preserve"> a to </w:t>
      </w:r>
      <w:r w:rsidRPr="000F0696">
        <w:t xml:space="preserve">pro možnost </w:t>
      </w:r>
      <w:r w:rsidR="007D2BE4">
        <w:t xml:space="preserve">jeho </w:t>
      </w:r>
      <w:r w:rsidRPr="000F0696">
        <w:t>širšího praktického využívání</w:t>
      </w:r>
      <w:r w:rsidR="007D2BE4">
        <w:t>.</w:t>
      </w:r>
    </w:p>
    <w:p w14:paraId="6EAD6631" w14:textId="77777777" w:rsidR="006B765F" w:rsidRPr="00B064AB" w:rsidRDefault="006B765F" w:rsidP="00636BC4">
      <w:pPr>
        <w:pStyle w:val="Nadpis2"/>
        <w:keepNext/>
        <w:keepLines/>
        <w:numPr>
          <w:ilvl w:val="1"/>
          <w:numId w:val="4"/>
        </w:numPr>
        <w:spacing w:before="240" w:after="120" w:line="240" w:lineRule="auto"/>
        <w:contextualSpacing w:val="0"/>
      </w:pPr>
      <w:r w:rsidRPr="00B064AB">
        <w:t>Informace vykazované na podrozvahových účtech</w:t>
      </w:r>
    </w:p>
    <w:p w14:paraId="0D365466" w14:textId="77777777" w:rsidR="006B765F" w:rsidRPr="00B064AB" w:rsidRDefault="006B765F" w:rsidP="00636BC4">
      <w:pPr>
        <w:spacing w:before="120"/>
        <w:jc w:val="both"/>
        <w:rPr>
          <w:rFonts w:asciiTheme="minorHAnsi" w:hAnsiTheme="minorHAnsi" w:cstheme="minorHAnsi"/>
          <w:bCs/>
          <w:iCs/>
        </w:rPr>
      </w:pPr>
      <w:r w:rsidRPr="00B064AB">
        <w:rPr>
          <w:rFonts w:asciiTheme="minorHAnsi" w:hAnsiTheme="minorHAnsi" w:cstheme="minorHAnsi"/>
          <w:bCs/>
          <w:iCs/>
        </w:rPr>
        <w:t>Zákon č. 563/1991 Sb. v</w:t>
      </w:r>
      <w:r w:rsidR="000B28CE">
        <w:rPr>
          <w:rFonts w:asciiTheme="minorHAnsi" w:hAnsiTheme="minorHAnsi" w:cstheme="minorHAnsi"/>
          <w:bCs/>
          <w:iCs/>
        </w:rPr>
        <w:t xml:space="preserve"> ustanovení </w:t>
      </w:r>
      <w:r w:rsidRPr="00B064AB">
        <w:rPr>
          <w:rFonts w:asciiTheme="minorHAnsi" w:hAnsiTheme="minorHAnsi" w:cstheme="minorHAnsi"/>
          <w:bCs/>
          <w:iCs/>
        </w:rPr>
        <w:t xml:space="preserve">§ 7 odst. 5 stanovuje pro vybrané účetní jednotky povinnost uvádět v příloze účetní závěrky informace o stavu účtů v knize podrozvahových účtů. </w:t>
      </w:r>
    </w:p>
    <w:p w14:paraId="7850846C" w14:textId="77777777" w:rsidR="006B765F" w:rsidRPr="00B064AB" w:rsidRDefault="006B765F" w:rsidP="00636BC4">
      <w:pPr>
        <w:spacing w:before="120"/>
        <w:jc w:val="both"/>
        <w:rPr>
          <w:rFonts w:asciiTheme="minorHAnsi" w:hAnsiTheme="minorHAnsi" w:cstheme="minorHAnsi"/>
          <w:bCs/>
          <w:iCs/>
        </w:rPr>
      </w:pPr>
      <w:r w:rsidRPr="00B064AB">
        <w:rPr>
          <w:rFonts w:asciiTheme="minorHAnsi" w:hAnsiTheme="minorHAnsi" w:cstheme="minorHAnsi"/>
          <w:bCs/>
          <w:iCs/>
        </w:rPr>
        <w:t>Uspořádání a označování podrozvahových účtů stanovuje příloha č. 5 vyhláš</w:t>
      </w:r>
      <w:r w:rsidR="00F34B20" w:rsidRPr="00B064AB">
        <w:rPr>
          <w:rFonts w:asciiTheme="minorHAnsi" w:hAnsiTheme="minorHAnsi" w:cstheme="minorHAnsi"/>
          <w:bCs/>
          <w:iCs/>
        </w:rPr>
        <w:t>ky</w:t>
      </w:r>
      <w:r w:rsidRPr="00B064AB">
        <w:rPr>
          <w:rFonts w:asciiTheme="minorHAnsi" w:hAnsiTheme="minorHAnsi" w:cstheme="minorHAnsi"/>
          <w:bCs/>
          <w:iCs/>
        </w:rPr>
        <w:t xml:space="preserve"> č. 410/2009 Sb. a </w:t>
      </w:r>
      <w:r w:rsidR="00F34B20" w:rsidRPr="00B064AB">
        <w:rPr>
          <w:rFonts w:asciiTheme="minorHAnsi" w:hAnsiTheme="minorHAnsi" w:cstheme="minorHAnsi"/>
          <w:bCs/>
          <w:iCs/>
        </w:rPr>
        <w:t>také</w:t>
      </w:r>
      <w:r w:rsidRPr="00B064AB">
        <w:rPr>
          <w:rFonts w:asciiTheme="minorHAnsi" w:hAnsiTheme="minorHAnsi" w:cstheme="minorHAnsi"/>
          <w:bCs/>
          <w:iCs/>
        </w:rPr>
        <w:t xml:space="preserve"> směrn</w:t>
      </w:r>
      <w:r w:rsidR="00F34B20" w:rsidRPr="00B064AB">
        <w:rPr>
          <w:rFonts w:asciiTheme="minorHAnsi" w:hAnsiTheme="minorHAnsi" w:cstheme="minorHAnsi"/>
          <w:bCs/>
          <w:iCs/>
        </w:rPr>
        <w:t>á</w:t>
      </w:r>
      <w:r w:rsidRPr="00B064AB">
        <w:rPr>
          <w:rFonts w:asciiTheme="minorHAnsi" w:hAnsiTheme="minorHAnsi" w:cstheme="minorHAnsi"/>
          <w:bCs/>
          <w:iCs/>
        </w:rPr>
        <w:t xml:space="preserve"> účtov</w:t>
      </w:r>
      <w:r w:rsidR="00F34B20" w:rsidRPr="00B064AB">
        <w:rPr>
          <w:rFonts w:asciiTheme="minorHAnsi" w:hAnsiTheme="minorHAnsi" w:cstheme="minorHAnsi"/>
          <w:bCs/>
          <w:iCs/>
        </w:rPr>
        <w:t>á</w:t>
      </w:r>
      <w:r w:rsidRPr="00B064AB">
        <w:rPr>
          <w:rFonts w:asciiTheme="minorHAnsi" w:hAnsiTheme="minorHAnsi" w:cstheme="minorHAnsi"/>
          <w:bCs/>
          <w:iCs/>
        </w:rPr>
        <w:t xml:space="preserve"> osnov</w:t>
      </w:r>
      <w:r w:rsidR="00F34B20" w:rsidRPr="00B064AB">
        <w:rPr>
          <w:rFonts w:asciiTheme="minorHAnsi" w:hAnsiTheme="minorHAnsi" w:cstheme="minorHAnsi"/>
          <w:bCs/>
          <w:iCs/>
        </w:rPr>
        <w:t>a</w:t>
      </w:r>
      <w:r w:rsidRPr="00B064AB">
        <w:rPr>
          <w:rFonts w:asciiTheme="minorHAnsi" w:hAnsiTheme="minorHAnsi" w:cstheme="minorHAnsi"/>
          <w:bCs/>
          <w:iCs/>
        </w:rPr>
        <w:t xml:space="preserve">, která je pro vybrané účetní jednotky dle </w:t>
      </w:r>
      <w:r w:rsidR="003E6E79" w:rsidRPr="00B064AB">
        <w:rPr>
          <w:rFonts w:asciiTheme="minorHAnsi" w:hAnsiTheme="minorHAnsi" w:cstheme="minorHAnsi"/>
          <w:bCs/>
          <w:iCs/>
        </w:rPr>
        <w:t xml:space="preserve">ustanovení </w:t>
      </w:r>
      <w:r w:rsidRPr="00B064AB">
        <w:rPr>
          <w:rFonts w:asciiTheme="minorHAnsi" w:hAnsiTheme="minorHAnsi" w:cstheme="minorHAnsi"/>
          <w:bCs/>
          <w:iCs/>
        </w:rPr>
        <w:t>§ 76 této vyhlášky závazná. Obsahové vymezení podrozvahových účtů je pak upraveno v</w:t>
      </w:r>
      <w:r w:rsidR="003E6E79" w:rsidRPr="00B064AB">
        <w:rPr>
          <w:rFonts w:asciiTheme="minorHAnsi" w:hAnsiTheme="minorHAnsi" w:cstheme="minorHAnsi"/>
          <w:bCs/>
          <w:iCs/>
        </w:rPr>
        <w:t xml:space="preserve"> ustanovení </w:t>
      </w:r>
      <w:r w:rsidRPr="00B064AB">
        <w:rPr>
          <w:rFonts w:asciiTheme="minorHAnsi" w:hAnsiTheme="minorHAnsi" w:cstheme="minorHAnsi"/>
          <w:bCs/>
          <w:iCs/>
        </w:rPr>
        <w:t>§</w:t>
      </w:r>
      <w:r w:rsidR="007770C6" w:rsidRPr="00B064AB">
        <w:rPr>
          <w:rFonts w:asciiTheme="minorHAnsi" w:hAnsiTheme="minorHAnsi" w:cstheme="minorHAnsi"/>
          <w:bCs/>
          <w:iCs/>
        </w:rPr>
        <w:t> </w:t>
      </w:r>
      <w:r w:rsidRPr="00B064AB">
        <w:rPr>
          <w:rFonts w:asciiTheme="minorHAnsi" w:hAnsiTheme="minorHAnsi" w:cstheme="minorHAnsi"/>
          <w:bCs/>
          <w:iCs/>
        </w:rPr>
        <w:t>49 až 54 vyhlášky č. 410/2009 Sb.</w:t>
      </w:r>
    </w:p>
    <w:p w14:paraId="43F52C5A" w14:textId="77777777" w:rsidR="006B765F" w:rsidRPr="00B064AB" w:rsidRDefault="006B765F" w:rsidP="00636BC4">
      <w:pPr>
        <w:spacing w:before="120"/>
        <w:jc w:val="both"/>
        <w:rPr>
          <w:rFonts w:asciiTheme="minorHAnsi" w:hAnsiTheme="minorHAnsi" w:cstheme="minorHAnsi"/>
          <w:bCs/>
          <w:iCs/>
        </w:rPr>
      </w:pPr>
      <w:r w:rsidRPr="00B064AB">
        <w:rPr>
          <w:rFonts w:asciiTheme="minorHAnsi" w:hAnsiTheme="minorHAnsi" w:cstheme="minorHAnsi"/>
          <w:bCs/>
          <w:iCs/>
        </w:rPr>
        <w:t>Údaje o stavu účtů v</w:t>
      </w:r>
      <w:r w:rsidR="007770C6" w:rsidRPr="00B064AB">
        <w:rPr>
          <w:rFonts w:asciiTheme="minorHAnsi" w:hAnsiTheme="minorHAnsi" w:cstheme="minorHAnsi"/>
          <w:bCs/>
          <w:iCs/>
        </w:rPr>
        <w:t xml:space="preserve"> </w:t>
      </w:r>
      <w:r w:rsidRPr="00B064AB">
        <w:rPr>
          <w:rFonts w:asciiTheme="minorHAnsi" w:hAnsiTheme="minorHAnsi" w:cstheme="minorHAnsi"/>
          <w:bCs/>
          <w:iCs/>
        </w:rPr>
        <w:t xml:space="preserve">knize podrozvahových účtů jsou rovněž součástí účetních výkazů za Českou republiku dle </w:t>
      </w:r>
      <w:r w:rsidR="003E6E79" w:rsidRPr="00B064AB">
        <w:rPr>
          <w:rFonts w:asciiTheme="minorHAnsi" w:hAnsiTheme="minorHAnsi" w:cstheme="minorHAnsi"/>
          <w:bCs/>
          <w:iCs/>
        </w:rPr>
        <w:t xml:space="preserve">ustanovení </w:t>
      </w:r>
      <w:r w:rsidRPr="00B064AB">
        <w:rPr>
          <w:rFonts w:asciiTheme="minorHAnsi" w:hAnsiTheme="minorHAnsi" w:cstheme="minorHAnsi"/>
          <w:bCs/>
          <w:iCs/>
        </w:rPr>
        <w:t>§ 23b zákona č. 563/1991 Sb. a vyhlášky č. 312/2014 Sb.</w:t>
      </w:r>
      <w:r w:rsidRPr="00B064AB">
        <w:rPr>
          <w:rStyle w:val="Znakapoznpodarou"/>
          <w:rFonts w:asciiTheme="minorHAnsi" w:hAnsiTheme="minorHAnsi" w:cstheme="minorHAnsi"/>
          <w:bCs/>
          <w:iCs/>
        </w:rPr>
        <w:footnoteReference w:id="36"/>
      </w:r>
      <w:r w:rsidRPr="00B064AB">
        <w:rPr>
          <w:rFonts w:asciiTheme="minorHAnsi" w:hAnsiTheme="minorHAnsi" w:cstheme="minorHAnsi"/>
          <w:bCs/>
          <w:iCs/>
        </w:rPr>
        <w:t xml:space="preserve"> </w:t>
      </w:r>
    </w:p>
    <w:p w14:paraId="2FB3621F" w14:textId="77777777" w:rsidR="006B765F" w:rsidRPr="00B064AB" w:rsidRDefault="006B765F" w:rsidP="00636BC4">
      <w:pPr>
        <w:spacing w:before="120"/>
        <w:jc w:val="both"/>
        <w:rPr>
          <w:rFonts w:cs="Calibri"/>
        </w:rPr>
      </w:pPr>
      <w:r w:rsidRPr="00B064AB">
        <w:rPr>
          <w:rFonts w:asciiTheme="minorHAnsi" w:hAnsiTheme="minorHAnsi" w:cstheme="minorHAnsi"/>
          <w:bCs/>
        </w:rPr>
        <w:t>Podrozvahové účty lze obecně označit za oblast výkaznictví o potenciálním (možném) či nejistém majetku a závazcích</w:t>
      </w:r>
      <w:r w:rsidR="00F34B20" w:rsidRPr="00B064AB">
        <w:rPr>
          <w:rFonts w:asciiTheme="minorHAnsi" w:hAnsiTheme="minorHAnsi" w:cstheme="minorHAnsi"/>
          <w:bCs/>
        </w:rPr>
        <w:t>;</w:t>
      </w:r>
      <w:r w:rsidRPr="00B064AB">
        <w:rPr>
          <w:rFonts w:asciiTheme="minorHAnsi" w:hAnsiTheme="minorHAnsi" w:cstheme="minorHAnsi"/>
          <w:bCs/>
        </w:rPr>
        <w:t xml:space="preserve"> zachycují skutečnosti, které prozatím nesplňují podmínky pro vykázání v rozvaze.</w:t>
      </w:r>
    </w:p>
    <w:p w14:paraId="0FC8088B" w14:textId="77777777" w:rsidR="006B765F" w:rsidRPr="00B064AB" w:rsidRDefault="006B765F" w:rsidP="00636BC4">
      <w:pPr>
        <w:spacing w:before="120"/>
        <w:jc w:val="both"/>
      </w:pPr>
      <w:r w:rsidRPr="00B064AB">
        <w:rPr>
          <w:rFonts w:cs="Calibri"/>
        </w:rPr>
        <w:t>Významnost pro účtování na podrozvahových účtech a oceňování podmíněných aktiv a</w:t>
      </w:r>
      <w:r w:rsidR="003E6E79" w:rsidRPr="00B064AB">
        <w:rPr>
          <w:rFonts w:cs="Calibri"/>
        </w:rPr>
        <w:t> </w:t>
      </w:r>
      <w:r w:rsidRPr="00B064AB">
        <w:rPr>
          <w:rFonts w:cs="Calibri"/>
        </w:rPr>
        <w:t xml:space="preserve">podmíněných pasiv si </w:t>
      </w:r>
      <w:r w:rsidR="00B064AB" w:rsidRPr="00B064AB">
        <w:rPr>
          <w:rFonts w:cs="Calibri"/>
        </w:rPr>
        <w:t>MMR</w:t>
      </w:r>
      <w:r w:rsidRPr="00B064AB">
        <w:rPr>
          <w:rFonts w:cs="Calibri"/>
        </w:rPr>
        <w:t xml:space="preserve"> pro rok 202</w:t>
      </w:r>
      <w:r w:rsidR="00B064AB" w:rsidRPr="00B064AB">
        <w:rPr>
          <w:rFonts w:cs="Calibri"/>
        </w:rPr>
        <w:t>3</w:t>
      </w:r>
      <w:r w:rsidRPr="00B064AB">
        <w:rPr>
          <w:rFonts w:cs="Calibri"/>
        </w:rPr>
        <w:t xml:space="preserve"> upravil</w:t>
      </w:r>
      <w:r w:rsidR="00B064AB" w:rsidRPr="00B064AB">
        <w:rPr>
          <w:rFonts w:cs="Calibri"/>
        </w:rPr>
        <w:t>o</w:t>
      </w:r>
      <w:r w:rsidRPr="00B064AB">
        <w:rPr>
          <w:rFonts w:cs="Calibri"/>
        </w:rPr>
        <w:t xml:space="preserve"> následovně:</w:t>
      </w:r>
    </w:p>
    <w:p w14:paraId="07FC88B4" w14:textId="77777777" w:rsidR="003E6E79" w:rsidRPr="004F6F5D" w:rsidRDefault="003E6E79" w:rsidP="00636BC4">
      <w:pPr>
        <w:spacing w:before="120"/>
        <w:rPr>
          <w:rFonts w:cs="Calibri"/>
          <w:b/>
          <w:bCs/>
          <w:highlight w:val="yellow"/>
          <w:lang w:eastAsia="cs-CZ"/>
        </w:rPr>
      </w:pPr>
      <w:r w:rsidRPr="004F6F5D">
        <w:rPr>
          <w:rFonts w:cs="Calibri"/>
          <w:b/>
          <w:bCs/>
          <w:highlight w:val="yellow"/>
          <w:lang w:eastAsia="cs-CZ"/>
        </w:rPr>
        <w:br w:type="page"/>
      </w:r>
    </w:p>
    <w:p w14:paraId="7E150A73" w14:textId="77777777" w:rsidR="006B765F" w:rsidRDefault="006B765F" w:rsidP="00DF6AD0">
      <w:pPr>
        <w:spacing w:after="40"/>
        <w:ind w:left="1304" w:hanging="1304"/>
        <w:jc w:val="both"/>
        <w:rPr>
          <w:rFonts w:cs="Calibri"/>
          <w:b/>
          <w:bCs/>
          <w:lang w:eastAsia="cs-CZ"/>
        </w:rPr>
      </w:pPr>
      <w:r w:rsidRPr="00B064AB">
        <w:rPr>
          <w:rFonts w:cs="Calibri"/>
          <w:b/>
          <w:bCs/>
          <w:lang w:eastAsia="cs-CZ"/>
        </w:rPr>
        <w:lastRenderedPageBreak/>
        <w:t>Tabulka</w:t>
      </w:r>
      <w:r w:rsidR="00EC7467" w:rsidRPr="00B064AB">
        <w:rPr>
          <w:rFonts w:cs="Calibri"/>
          <w:b/>
          <w:bCs/>
          <w:lang w:eastAsia="cs-CZ"/>
        </w:rPr>
        <w:t xml:space="preserve"> č.</w:t>
      </w:r>
      <w:r w:rsidRPr="00B064AB">
        <w:rPr>
          <w:rFonts w:cs="Calibri"/>
          <w:b/>
          <w:bCs/>
          <w:lang w:eastAsia="cs-CZ"/>
        </w:rPr>
        <w:t xml:space="preserve"> </w:t>
      </w:r>
      <w:r w:rsidR="0093410D">
        <w:rPr>
          <w:rFonts w:cs="Calibri"/>
          <w:b/>
          <w:bCs/>
          <w:lang w:eastAsia="cs-CZ"/>
        </w:rPr>
        <w:t>1</w:t>
      </w:r>
      <w:r w:rsidRPr="00B064AB">
        <w:rPr>
          <w:rFonts w:cs="Calibri"/>
          <w:b/>
          <w:bCs/>
          <w:lang w:eastAsia="cs-CZ"/>
        </w:rPr>
        <w:t xml:space="preserve">: </w:t>
      </w:r>
      <w:r w:rsidR="00EC7467" w:rsidRPr="00B064AB">
        <w:rPr>
          <w:rFonts w:cs="Calibri"/>
          <w:b/>
          <w:bCs/>
          <w:lang w:eastAsia="cs-CZ"/>
        </w:rPr>
        <w:tab/>
      </w:r>
      <w:r w:rsidRPr="00B064AB">
        <w:rPr>
          <w:rFonts w:cs="Calibri"/>
          <w:b/>
          <w:bCs/>
          <w:lang w:eastAsia="cs-CZ"/>
        </w:rPr>
        <w:t xml:space="preserve">Úprava významnosti a oceňování na podrozvahových účtech </w:t>
      </w:r>
      <w:r w:rsidR="00B064AB" w:rsidRPr="00B064AB">
        <w:rPr>
          <w:rFonts w:cs="Calibri"/>
          <w:b/>
          <w:bCs/>
          <w:lang w:eastAsia="cs-CZ"/>
        </w:rPr>
        <w:t>MMR</w:t>
      </w:r>
      <w:r w:rsidRPr="00B064AB">
        <w:rPr>
          <w:rFonts w:cs="Calibri"/>
          <w:b/>
          <w:bCs/>
          <w:lang w:eastAsia="cs-CZ"/>
        </w:rPr>
        <w:t xml:space="preserve"> pro </w:t>
      </w:r>
      <w:r w:rsidR="003E6E79" w:rsidRPr="00B064AB">
        <w:rPr>
          <w:rFonts w:cs="Calibri"/>
          <w:b/>
          <w:bCs/>
          <w:lang w:eastAsia="cs-CZ"/>
        </w:rPr>
        <w:br/>
      </w:r>
      <w:r w:rsidRPr="00B064AB">
        <w:rPr>
          <w:rFonts w:cs="Calibri"/>
          <w:b/>
          <w:bCs/>
          <w:lang w:eastAsia="cs-CZ"/>
        </w:rPr>
        <w:t>rok 202</w:t>
      </w:r>
      <w:r w:rsidR="00527C8E">
        <w:rPr>
          <w:rFonts w:cs="Calibri"/>
          <w:b/>
          <w:bCs/>
          <w:lang w:eastAsia="cs-CZ"/>
        </w:rPr>
        <w:t>3</w:t>
      </w:r>
    </w:p>
    <w:tbl>
      <w:tblPr>
        <w:tblStyle w:val="Mkatabulky1"/>
        <w:tblW w:w="9184" w:type="dxa"/>
        <w:jc w:val="center"/>
        <w:tblLook w:val="04A0" w:firstRow="1" w:lastRow="0" w:firstColumn="1" w:lastColumn="0" w:noHBand="0" w:noVBand="1"/>
      </w:tblPr>
      <w:tblGrid>
        <w:gridCol w:w="2778"/>
        <w:gridCol w:w="3288"/>
        <w:gridCol w:w="3118"/>
      </w:tblGrid>
      <w:tr w:rsidR="004C716F" w:rsidRPr="004C716F" w14:paraId="3AA123B1" w14:textId="77777777" w:rsidTr="00A811B7">
        <w:trPr>
          <w:trHeight w:val="255"/>
          <w:tblHeader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083ECC4D" w14:textId="77777777" w:rsidR="00CD6248" w:rsidRPr="004C716F" w:rsidRDefault="00CD6248" w:rsidP="00CD6248">
            <w:pPr>
              <w:spacing w:after="0"/>
              <w:jc w:val="center"/>
              <w:rPr>
                <w:rFonts w:cs="Calibri"/>
                <w:b/>
                <w:sz w:val="19"/>
                <w:szCs w:val="19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>Oblast podrozvahové evidence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6C305673" w14:textId="77777777" w:rsidR="00CD6248" w:rsidRPr="004C716F" w:rsidRDefault="00CD6248" w:rsidP="00CD6248">
            <w:pPr>
              <w:spacing w:after="0"/>
              <w:jc w:val="center"/>
              <w:rPr>
                <w:rFonts w:cs="Calibri"/>
                <w:b/>
                <w:sz w:val="19"/>
                <w:szCs w:val="19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>Významnost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157167A0" w14:textId="77777777" w:rsidR="00CD6248" w:rsidRPr="004C716F" w:rsidRDefault="00CD6248" w:rsidP="00CD6248">
            <w:pPr>
              <w:spacing w:after="0"/>
              <w:jc w:val="center"/>
              <w:rPr>
                <w:rFonts w:cs="Calibri"/>
                <w:b/>
                <w:sz w:val="19"/>
                <w:szCs w:val="19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>Oceňování</w:t>
            </w:r>
          </w:p>
        </w:tc>
      </w:tr>
      <w:tr w:rsidR="004C716F" w:rsidRPr="004C716F" w14:paraId="73FBDD08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0A7A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  <w:highlight w:val="yellow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 xml:space="preserve">Jiný drobný dlouhodobý nehmotný majetek </w:t>
            </w:r>
            <w:r w:rsidRPr="004C716F">
              <w:rPr>
                <w:rFonts w:cs="Calibri"/>
                <w:sz w:val="19"/>
                <w:szCs w:val="19"/>
              </w:rPr>
              <w:t>(účet 901)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C79B" w14:textId="780DF395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</w:t>
            </w:r>
            <w:r w:rsidR="00CD6248" w:rsidRPr="004C716F">
              <w:rPr>
                <w:rFonts w:cs="Calibri"/>
                <w:sz w:val="19"/>
                <w:szCs w:val="19"/>
              </w:rPr>
              <w:t>ení stanovena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649E" w14:textId="4A4689F3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H</w:t>
            </w:r>
            <w:r w:rsidR="00CD6248" w:rsidRPr="004C716F">
              <w:rPr>
                <w:rFonts w:cs="Calibri"/>
                <w:sz w:val="19"/>
                <w:szCs w:val="19"/>
              </w:rPr>
              <w:t>ranice pro ocenění jiného drobného dlouhodobého nehmotného majetku jsou 1 Kč až 6</w:t>
            </w:r>
            <w:r>
              <w:rPr>
                <w:rFonts w:cs="Calibri"/>
                <w:sz w:val="19"/>
                <w:szCs w:val="19"/>
              </w:rPr>
              <w:t> </w:t>
            </w:r>
            <w:r w:rsidR="00CD6248" w:rsidRPr="004C716F">
              <w:rPr>
                <w:rFonts w:cs="Calibri"/>
                <w:sz w:val="19"/>
                <w:szCs w:val="19"/>
              </w:rPr>
              <w:t>999</w:t>
            </w:r>
            <w:r>
              <w:rPr>
                <w:rFonts w:cs="Calibri"/>
                <w:sz w:val="19"/>
                <w:szCs w:val="19"/>
              </w:rPr>
              <w:t> </w:t>
            </w:r>
            <w:r w:rsidR="00CD6248" w:rsidRPr="004C716F">
              <w:rPr>
                <w:rFonts w:cs="Calibri"/>
                <w:sz w:val="19"/>
                <w:szCs w:val="19"/>
              </w:rPr>
              <w:t>Kč</w:t>
            </w:r>
          </w:p>
        </w:tc>
      </w:tr>
      <w:tr w:rsidR="004C716F" w:rsidRPr="004C716F" w14:paraId="5FE8DB49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81BB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  <w:highlight w:val="yellow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>Jiný drobný dlouhodobý hmotný majetek</w:t>
            </w:r>
            <w:r w:rsidRPr="004C716F">
              <w:rPr>
                <w:rFonts w:cs="Calibri"/>
                <w:sz w:val="19"/>
                <w:szCs w:val="19"/>
              </w:rPr>
              <w:t xml:space="preserve"> (účet 902)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CA64B" w14:textId="0F26FBA2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</w:t>
            </w:r>
            <w:r w:rsidR="00CD6248" w:rsidRPr="004C716F">
              <w:rPr>
                <w:rFonts w:cs="Calibri"/>
                <w:sz w:val="19"/>
                <w:szCs w:val="19"/>
              </w:rPr>
              <w:t>ení stanovena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47066" w14:textId="65902CD9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H</w:t>
            </w:r>
            <w:r w:rsidR="00CD6248" w:rsidRPr="004C716F">
              <w:rPr>
                <w:rFonts w:cs="Calibri"/>
                <w:sz w:val="19"/>
                <w:szCs w:val="19"/>
              </w:rPr>
              <w:t>ranice pro ocenění jiného drobného dlouhodobého hmotného majetku jsou 1 Kč až 2 999 Kč</w:t>
            </w:r>
          </w:p>
        </w:tc>
      </w:tr>
      <w:tr w:rsidR="004C716F" w:rsidRPr="004C716F" w14:paraId="47C0EEFC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5E62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  <w:highlight w:val="yellow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>Vyřazené pohledávky</w:t>
            </w:r>
            <w:r w:rsidRPr="004C716F">
              <w:rPr>
                <w:rFonts w:cs="Calibri"/>
                <w:sz w:val="19"/>
                <w:szCs w:val="19"/>
              </w:rPr>
              <w:t xml:space="preserve"> (účet 905)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876F" w14:textId="6715671B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</w:t>
            </w:r>
            <w:r w:rsidR="00CD6248" w:rsidRPr="004C716F">
              <w:rPr>
                <w:rFonts w:cs="Calibri"/>
                <w:sz w:val="19"/>
                <w:szCs w:val="19"/>
              </w:rPr>
              <w:t>ení stanovena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58CA" w14:textId="3B2174B0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H</w:t>
            </w:r>
            <w:r w:rsidR="00CD6248" w:rsidRPr="004C716F">
              <w:rPr>
                <w:rFonts w:cs="Calibri"/>
                <w:sz w:val="19"/>
                <w:szCs w:val="19"/>
              </w:rPr>
              <w:t>odnota vyřazené pohledávky</w:t>
            </w:r>
          </w:p>
        </w:tc>
      </w:tr>
      <w:tr w:rsidR="004C716F" w:rsidRPr="004C716F" w14:paraId="598C6E15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1CD4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 xml:space="preserve">Podmíněné pohledávky z předfinancování transferů </w:t>
            </w:r>
            <w:r w:rsidRPr="004C716F">
              <w:rPr>
                <w:rFonts w:cs="Calibri"/>
                <w:sz w:val="19"/>
                <w:szCs w:val="19"/>
              </w:rPr>
              <w:t>(účty 911 a 951)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BE57" w14:textId="0D8663C6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Z</w:t>
            </w:r>
            <w:r w:rsidR="00CD6248" w:rsidRPr="004C716F">
              <w:rPr>
                <w:rFonts w:cs="Calibri"/>
                <w:sz w:val="19"/>
                <w:szCs w:val="19"/>
              </w:rPr>
              <w:t>a významné se považují veškeré podmíněné pohledávky k prostředkům EU a ostatní podmíněné pohledávky, pokud přesahují hranici 5 000 000 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DFAD3" w14:textId="77AE629E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 xml:space="preserve"> předpokládané výši pohledávek dle § 72 vyhlášky č. 410/2009 Sb.</w:t>
            </w:r>
          </w:p>
        </w:tc>
      </w:tr>
      <w:tr w:rsidR="004C716F" w:rsidRPr="004C716F" w14:paraId="5FA3CDFC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7F829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  <w:highlight w:val="yellow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 xml:space="preserve">Ostatní podmíněné závazky z transferů </w:t>
            </w:r>
            <w:r w:rsidRPr="004C716F">
              <w:rPr>
                <w:rFonts w:cs="Calibri"/>
                <w:sz w:val="19"/>
                <w:szCs w:val="19"/>
              </w:rPr>
              <w:t>(účty 916 a 956)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499C" w14:textId="780A305F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Z</w:t>
            </w:r>
            <w:r w:rsidR="00CD6248" w:rsidRPr="004C716F">
              <w:rPr>
                <w:rFonts w:cs="Calibri"/>
                <w:sz w:val="19"/>
                <w:szCs w:val="19"/>
              </w:rPr>
              <w:t>a významné se považují veškeré podmíněné závazky k prostředkům EU a ostatní podmíněné závazky, pokud přesahují hranici 5 000 000 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C44E" w14:textId="39EE98C9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 xml:space="preserve"> předpokládané výši dluhů dle § 72 vyhlášky č. 410/2009 Sb.</w:t>
            </w:r>
          </w:p>
        </w:tc>
      </w:tr>
      <w:tr w:rsidR="004C716F" w:rsidRPr="004C716F" w14:paraId="27D0CFC7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1AE2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>Podmíněné pohledávky z jiných smluv</w:t>
            </w:r>
            <w:r w:rsidRPr="004C716F">
              <w:rPr>
                <w:rFonts w:cs="Calibri"/>
                <w:sz w:val="19"/>
                <w:szCs w:val="19"/>
              </w:rPr>
              <w:t xml:space="preserve"> (účty 933 a 934)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1DE0" w14:textId="11681CA2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H</w:t>
            </w:r>
            <w:r w:rsidR="00CD6248" w:rsidRPr="004C716F">
              <w:rPr>
                <w:rFonts w:cs="Calibri"/>
                <w:sz w:val="19"/>
                <w:szCs w:val="19"/>
              </w:rPr>
              <w:t>odnota smlouvy nad 5 000 000 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D090C" w14:textId="621F1C83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C</w:t>
            </w:r>
            <w:r w:rsidR="00CD6248" w:rsidRPr="004C716F">
              <w:rPr>
                <w:rFonts w:cs="Calibri"/>
                <w:sz w:val="19"/>
                <w:szCs w:val="19"/>
              </w:rPr>
              <w:t>elková výše smlouvy (smlouvy se uzavírají na období maximálně 8 let)</w:t>
            </w:r>
          </w:p>
        </w:tc>
      </w:tr>
      <w:tr w:rsidR="004C716F" w:rsidRPr="004C716F" w14:paraId="7E71EF47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C489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</w:rPr>
            </w:pPr>
            <w:bookmarkStart w:id="26" w:name="_Hlk163119862"/>
            <w:r w:rsidRPr="004C716F">
              <w:rPr>
                <w:rFonts w:cs="Calibri"/>
                <w:b/>
                <w:sz w:val="19"/>
                <w:szCs w:val="19"/>
              </w:rPr>
              <w:t xml:space="preserve">Podmíněné pohledávky </w:t>
            </w:r>
            <w:r w:rsidR="00EE1775" w:rsidRPr="004C716F">
              <w:rPr>
                <w:rFonts w:cs="Calibri"/>
                <w:b/>
                <w:sz w:val="19"/>
                <w:szCs w:val="19"/>
              </w:rPr>
              <w:t>z</w:t>
            </w:r>
            <w:r w:rsidRPr="004C716F">
              <w:rPr>
                <w:rFonts w:cs="Calibri"/>
                <w:b/>
                <w:sz w:val="19"/>
                <w:szCs w:val="19"/>
              </w:rPr>
              <w:t xml:space="preserve">e vztahu k jiným zdrojům </w:t>
            </w:r>
            <w:bookmarkEnd w:id="26"/>
            <w:r w:rsidRPr="004C716F">
              <w:rPr>
                <w:rFonts w:cs="Calibri"/>
                <w:sz w:val="19"/>
                <w:szCs w:val="19"/>
              </w:rPr>
              <w:t>(účet 943)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7AF0" w14:textId="5E95A721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Z</w:t>
            </w:r>
            <w:r w:rsidR="00CD6248" w:rsidRPr="004C716F">
              <w:rPr>
                <w:rFonts w:cs="Calibri"/>
                <w:sz w:val="19"/>
                <w:szCs w:val="19"/>
              </w:rPr>
              <w:t>a významné se považují veškeré podmíněné pohledávky k prostředkům EU a ostatní podmíněné pohledávky, pokud přesahují hranici 5 000 000 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0162" w14:textId="2E397927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 xml:space="preserve"> předpokládané výši pohledávek dle § 72 vyhlášky č. 410/2009 Sb.</w:t>
            </w:r>
          </w:p>
        </w:tc>
      </w:tr>
      <w:tr w:rsidR="004C716F" w:rsidRPr="004C716F" w14:paraId="5BCF0D5D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7F76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</w:rPr>
            </w:pPr>
            <w:bookmarkStart w:id="27" w:name="_Hlk163120063"/>
            <w:r w:rsidRPr="004C716F">
              <w:rPr>
                <w:rFonts w:cs="Calibri"/>
                <w:b/>
                <w:sz w:val="19"/>
                <w:szCs w:val="19"/>
              </w:rPr>
              <w:t xml:space="preserve">Podmíněné úhrady pohledávek z přijatých zajištění </w:t>
            </w:r>
            <w:bookmarkEnd w:id="27"/>
            <w:r w:rsidRPr="004C716F">
              <w:rPr>
                <w:rFonts w:cs="Calibri"/>
                <w:sz w:val="19"/>
                <w:szCs w:val="19"/>
              </w:rPr>
              <w:t>(účet 945)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B7B2" w14:textId="6DE990AD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>eškeré podmíněné pohledávky k prostředkům EU a ostatní podmíněné pohledávky, pokud přesahují hranici 5 000 000 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EFBD0" w14:textId="34602FF0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 xml:space="preserve"> předpokládané výši pohledávek dle § 72 vyhlášky č. 410/2009 Sb.</w:t>
            </w:r>
          </w:p>
        </w:tc>
      </w:tr>
      <w:tr w:rsidR="004C716F" w:rsidRPr="004C716F" w14:paraId="5D9D388A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8878" w14:textId="785E33FE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>Podmíněné pohledávky ze soudních sporů, správních řízení a</w:t>
            </w:r>
            <w:r w:rsidR="004C716F">
              <w:rPr>
                <w:rFonts w:cs="Calibri"/>
                <w:b/>
                <w:sz w:val="19"/>
                <w:szCs w:val="19"/>
              </w:rPr>
              <w:t> </w:t>
            </w:r>
            <w:r w:rsidRPr="004C716F">
              <w:rPr>
                <w:rFonts w:cs="Calibri"/>
                <w:b/>
                <w:sz w:val="19"/>
                <w:szCs w:val="19"/>
              </w:rPr>
              <w:t xml:space="preserve">jiných řízení </w:t>
            </w:r>
            <w:r w:rsidRPr="004C716F">
              <w:rPr>
                <w:rFonts w:cs="Calibri"/>
                <w:sz w:val="19"/>
                <w:szCs w:val="19"/>
              </w:rPr>
              <w:t>(účet 948)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03BB6" w14:textId="691BE406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>ýše soudního sporu nad 5 000</w:t>
            </w:r>
            <w:r>
              <w:rPr>
                <w:rFonts w:cs="Calibri"/>
                <w:sz w:val="19"/>
                <w:szCs w:val="19"/>
              </w:rPr>
              <w:t> </w:t>
            </w:r>
            <w:r w:rsidR="00CD6248" w:rsidRPr="004C716F">
              <w:rPr>
                <w:rFonts w:cs="Calibri"/>
                <w:sz w:val="19"/>
                <w:szCs w:val="19"/>
              </w:rPr>
              <w:t>000</w:t>
            </w:r>
            <w:r>
              <w:rPr>
                <w:rFonts w:cs="Calibri"/>
                <w:sz w:val="19"/>
                <w:szCs w:val="19"/>
              </w:rPr>
              <w:t> </w:t>
            </w:r>
            <w:r w:rsidR="00CD6248" w:rsidRPr="004C716F">
              <w:rPr>
                <w:rFonts w:cs="Calibri"/>
                <w:sz w:val="19"/>
                <w:szCs w:val="19"/>
              </w:rPr>
              <w:t>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7FF8" w14:textId="6E07B236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>e výši soudního sporu</w:t>
            </w:r>
          </w:p>
        </w:tc>
      </w:tr>
      <w:tr w:rsidR="004C716F" w:rsidRPr="004C716F" w14:paraId="1B50F489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F21A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 xml:space="preserve">Podmíněné závazky ze zahraničních transferů </w:t>
            </w:r>
            <w:r w:rsidRPr="004C716F">
              <w:rPr>
                <w:rFonts w:cs="Calibri"/>
                <w:sz w:val="19"/>
                <w:szCs w:val="19"/>
              </w:rPr>
              <w:t>(účet 954)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C5D5" w14:textId="384CC15F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>eškeré podmíněné závazky k prostředkům EU a ostatní podmíněné závazky, pokud přesahují hranici 5 000 000 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55EB" w14:textId="73A327CF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 xml:space="preserve"> předpokládané výši dluhů dle § 72 vyhlášky č. 410/2009 Sb.</w:t>
            </w:r>
          </w:p>
        </w:tc>
      </w:tr>
      <w:tr w:rsidR="004C716F" w:rsidRPr="004C716F" w14:paraId="3E17DB39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1EF49" w14:textId="74A5EE34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  <w:highlight w:val="yellow"/>
              </w:rPr>
            </w:pPr>
            <w:r w:rsidRPr="004C716F">
              <w:rPr>
                <w:rFonts w:cs="Calibri"/>
                <w:b/>
                <w:sz w:val="19"/>
                <w:szCs w:val="19"/>
              </w:rPr>
              <w:t>Podmíněné závazky z</w:t>
            </w:r>
            <w:r w:rsidR="00A811B7">
              <w:rPr>
                <w:rFonts w:cs="Calibri"/>
                <w:b/>
                <w:sz w:val="19"/>
                <w:szCs w:val="19"/>
              </w:rPr>
              <w:t> </w:t>
            </w:r>
            <w:r w:rsidRPr="004C716F">
              <w:rPr>
                <w:rFonts w:cs="Calibri"/>
                <w:b/>
                <w:sz w:val="19"/>
                <w:szCs w:val="19"/>
              </w:rPr>
              <w:t>uzavřených smluv</w:t>
            </w:r>
            <w:r w:rsidRPr="004C716F">
              <w:rPr>
                <w:rFonts w:cs="Calibri"/>
                <w:sz w:val="19"/>
                <w:szCs w:val="19"/>
              </w:rPr>
              <w:t xml:space="preserve"> (účty 971 až 974)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69E2" w14:textId="553B2948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H</w:t>
            </w:r>
            <w:r w:rsidR="00CD6248" w:rsidRPr="004C716F">
              <w:rPr>
                <w:rFonts w:cs="Calibri"/>
                <w:sz w:val="19"/>
                <w:szCs w:val="19"/>
              </w:rPr>
              <w:t>odnota smlouvy nad 5 000 000 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DCF1" w14:textId="59AB9D60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C</w:t>
            </w:r>
            <w:r w:rsidR="00CD6248" w:rsidRPr="004C716F">
              <w:rPr>
                <w:rFonts w:cs="Calibri"/>
                <w:sz w:val="19"/>
                <w:szCs w:val="19"/>
              </w:rPr>
              <w:t>elková výše smlouvy, u smluv uzavřených na dobu neurčitou ve výši 3násobku ročního závazku vyplývajícího ze smlouvy</w:t>
            </w:r>
          </w:p>
        </w:tc>
      </w:tr>
      <w:tr w:rsidR="004C716F" w:rsidRPr="004C716F" w14:paraId="1A567C1F" w14:textId="77777777" w:rsidTr="00A811B7">
        <w:trPr>
          <w:trHeight w:val="255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F319" w14:textId="77777777" w:rsidR="00CD6248" w:rsidRPr="004C716F" w:rsidRDefault="00CD6248" w:rsidP="00CD6248">
            <w:pPr>
              <w:spacing w:after="0"/>
              <w:rPr>
                <w:rFonts w:cs="Calibri"/>
                <w:sz w:val="19"/>
                <w:szCs w:val="19"/>
                <w:highlight w:val="yellow"/>
              </w:rPr>
            </w:pPr>
            <w:bookmarkStart w:id="28" w:name="_Hlk163121666"/>
            <w:r w:rsidRPr="004C716F">
              <w:rPr>
                <w:rFonts w:cs="Calibri"/>
                <w:b/>
                <w:sz w:val="19"/>
                <w:szCs w:val="19"/>
              </w:rPr>
              <w:t>Podmíněné závazky ze soudních sporů</w:t>
            </w:r>
            <w:bookmarkEnd w:id="28"/>
            <w:r w:rsidR="00EE1775" w:rsidRPr="004C716F">
              <w:rPr>
                <w:rFonts w:cs="Calibri"/>
                <w:b/>
                <w:sz w:val="19"/>
                <w:szCs w:val="19"/>
              </w:rPr>
              <w:t xml:space="preserve">, správních řízení a jiných řízení </w:t>
            </w:r>
            <w:r w:rsidRPr="004C716F">
              <w:rPr>
                <w:rFonts w:cs="Calibri"/>
                <w:sz w:val="19"/>
                <w:szCs w:val="19"/>
              </w:rPr>
              <w:t>(účty 985 a 986)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D44E" w14:textId="27C14D22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>ýše soudního sporu nad 5 000 000 Kč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A673" w14:textId="3DB8E259" w:rsidR="00CD6248" w:rsidRPr="004C716F" w:rsidRDefault="00A811B7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V</w:t>
            </w:r>
            <w:r w:rsidR="00CD6248" w:rsidRPr="004C716F">
              <w:rPr>
                <w:rFonts w:cs="Calibri"/>
                <w:sz w:val="19"/>
                <w:szCs w:val="19"/>
              </w:rPr>
              <w:t>e výši soudního sporu</w:t>
            </w:r>
          </w:p>
        </w:tc>
      </w:tr>
    </w:tbl>
    <w:p w14:paraId="02E46BC9" w14:textId="77777777" w:rsidR="006B765F" w:rsidRPr="00B064AB" w:rsidRDefault="006B765F" w:rsidP="00DF6AD0">
      <w:pPr>
        <w:spacing w:before="40" w:after="240"/>
        <w:jc w:val="both"/>
        <w:rPr>
          <w:rFonts w:asciiTheme="minorHAnsi" w:hAnsiTheme="minorHAnsi" w:cstheme="minorHAnsi"/>
          <w:sz w:val="20"/>
          <w:szCs w:val="20"/>
        </w:rPr>
      </w:pPr>
      <w:r w:rsidRPr="00B064AB">
        <w:rPr>
          <w:rFonts w:asciiTheme="minorHAnsi" w:hAnsiTheme="minorHAnsi" w:cstheme="minorHAnsi"/>
          <w:b/>
          <w:sz w:val="20"/>
          <w:szCs w:val="20"/>
        </w:rPr>
        <w:t>Zdroj:</w:t>
      </w:r>
      <w:r w:rsidRPr="00B064AB">
        <w:rPr>
          <w:rFonts w:asciiTheme="minorHAnsi" w:hAnsiTheme="minorHAnsi" w:cstheme="minorHAnsi"/>
          <w:sz w:val="20"/>
          <w:szCs w:val="20"/>
        </w:rPr>
        <w:t xml:space="preserve"> vnitřní předpisy </w:t>
      </w:r>
      <w:r w:rsidR="00B064AB" w:rsidRPr="00B064AB">
        <w:rPr>
          <w:rFonts w:asciiTheme="minorHAnsi" w:hAnsiTheme="minorHAnsi" w:cstheme="minorHAnsi"/>
          <w:sz w:val="20"/>
          <w:szCs w:val="20"/>
        </w:rPr>
        <w:t>MMR</w:t>
      </w:r>
      <w:r w:rsidRPr="00B064AB">
        <w:rPr>
          <w:rFonts w:asciiTheme="minorHAnsi" w:hAnsiTheme="minorHAnsi" w:cstheme="minorHAnsi"/>
          <w:sz w:val="20"/>
          <w:szCs w:val="20"/>
        </w:rPr>
        <w:t>, ÚZ</w:t>
      </w:r>
      <w:r w:rsidR="003E6E79" w:rsidRPr="00B064AB">
        <w:rPr>
          <w:rFonts w:asciiTheme="minorHAnsi" w:hAnsiTheme="minorHAnsi" w:cstheme="minorHAnsi"/>
          <w:sz w:val="20"/>
          <w:szCs w:val="20"/>
        </w:rPr>
        <w:t>.</w:t>
      </w:r>
    </w:p>
    <w:p w14:paraId="1007AC2E" w14:textId="16721597" w:rsidR="00F044C6" w:rsidRPr="004F6F5D" w:rsidRDefault="00687B75" w:rsidP="00BB04C7">
      <w:pPr>
        <w:jc w:val="both"/>
        <w:rPr>
          <w:rFonts w:cs="Calibri"/>
          <w:b/>
          <w:bCs/>
          <w:highlight w:val="yellow"/>
          <w:lang w:eastAsia="cs-CZ"/>
        </w:rPr>
      </w:pPr>
      <w:r w:rsidRPr="00CD6248">
        <w:t xml:space="preserve">Z celkového počtu účetních zápisů, které </w:t>
      </w:r>
      <w:r w:rsidR="00CD6248" w:rsidRPr="00CD6248">
        <w:t>MMR</w:t>
      </w:r>
      <w:r w:rsidRPr="00CD6248">
        <w:t xml:space="preserve"> v</w:t>
      </w:r>
      <w:r w:rsidR="00891100" w:rsidRPr="00CD6248">
        <w:t xml:space="preserve"> </w:t>
      </w:r>
      <w:r w:rsidRPr="00CD6248">
        <w:t>roce 202</w:t>
      </w:r>
      <w:r w:rsidR="00CD6248" w:rsidRPr="00CD6248">
        <w:t>3</w:t>
      </w:r>
      <w:r w:rsidR="006B765F" w:rsidRPr="00CD6248">
        <w:t xml:space="preserve"> zaúčtoval</w:t>
      </w:r>
      <w:r w:rsidR="00CD6248" w:rsidRPr="00CD6248">
        <w:t>o</w:t>
      </w:r>
      <w:r w:rsidR="00CA69AB" w:rsidRPr="00CD6248">
        <w:t>,</w:t>
      </w:r>
      <w:r w:rsidR="006B765F" w:rsidRPr="00CD6248">
        <w:t xml:space="preserve"> se</w:t>
      </w:r>
      <w:r w:rsidR="00CA69AB" w:rsidRPr="00CD6248">
        <w:t xml:space="preserve"> </w:t>
      </w:r>
      <w:r w:rsidR="00CD6248" w:rsidRPr="00CD6248">
        <w:t>14,4</w:t>
      </w:r>
      <w:r w:rsidR="00CA69AB" w:rsidRPr="00CD6248">
        <w:t xml:space="preserve"> %</w:t>
      </w:r>
      <w:r w:rsidR="006B765F" w:rsidRPr="00CD6248">
        <w:t xml:space="preserve"> </w:t>
      </w:r>
      <w:r w:rsidR="00CA69AB" w:rsidRPr="00CD6248">
        <w:t>t</w:t>
      </w:r>
      <w:r w:rsidR="006B765F" w:rsidRPr="00CD6248">
        <w:t>ýkalo podrozvahových účtů</w:t>
      </w:r>
      <w:r w:rsidR="00B23260" w:rsidRPr="00CD6248">
        <w:t>.</w:t>
      </w:r>
      <w:r w:rsidR="00CA69AB" w:rsidRPr="00CD6248">
        <w:rPr>
          <w:rStyle w:val="Znakapoznpodarou"/>
        </w:rPr>
        <w:footnoteReference w:id="37"/>
      </w:r>
      <w:r w:rsidR="006B765F" w:rsidRPr="00CD6248">
        <w:t xml:space="preserve"> </w:t>
      </w:r>
      <w:r w:rsidR="00CD6248" w:rsidRPr="00CD6248">
        <w:t>Celková výše zůstatků vykázaných na podrozvahových účtech MMR byla v rozmezí let 2021 až 2023 nejnižší v roce 2022 (4</w:t>
      </w:r>
      <w:r w:rsidR="00F021B0">
        <w:t>4 976 mil.</w:t>
      </w:r>
      <w:r w:rsidR="00CD6248" w:rsidRPr="00CD6248">
        <w:t xml:space="preserve"> Kč), nejvyšší v roce 2021 (</w:t>
      </w:r>
      <w:r w:rsidR="00F021B0">
        <w:t>58 076 mil</w:t>
      </w:r>
      <w:r w:rsidR="00CD6248" w:rsidRPr="00CD6248">
        <w:t>. Kč) a v roce 2023 ve výši 50</w:t>
      </w:r>
      <w:r w:rsidR="00F021B0">
        <w:t xml:space="preserve"> </w:t>
      </w:r>
      <w:r w:rsidR="00CD6248" w:rsidRPr="00CD6248">
        <w:t>3</w:t>
      </w:r>
      <w:r w:rsidR="00F021B0">
        <w:t>10</w:t>
      </w:r>
      <w:r w:rsidR="00CD6248" w:rsidRPr="00CD6248">
        <w:t xml:space="preserve"> </w:t>
      </w:r>
      <w:r w:rsidR="00F021B0">
        <w:t>mil</w:t>
      </w:r>
      <w:r w:rsidR="00CD6248" w:rsidRPr="00CD6248">
        <w:t>. Kč.</w:t>
      </w:r>
      <w:r w:rsidR="006B765F" w:rsidRPr="00CD6248">
        <w:t xml:space="preserve"> </w:t>
      </w:r>
      <w:r w:rsidR="00CD6248" w:rsidRPr="00CD6248">
        <w:rPr>
          <w:rFonts w:asciiTheme="minorHAnsi" w:hAnsiTheme="minorHAnsi" w:cstheme="minorHAnsi"/>
        </w:rPr>
        <w:t>Celková výše zůstatků vykázaných na podrozvahových účtech MMR za období 2021 až 2023 je významná i ve srovnání s celkovými rozvahovými aktivy a cizími zdroji. Mezi lety 2021 až 2023 se tento podíl pohyboval mezi 132 a</w:t>
      </w:r>
      <w:r w:rsidR="00A811B7">
        <w:rPr>
          <w:rFonts w:asciiTheme="minorHAnsi" w:hAnsiTheme="minorHAnsi" w:cstheme="minorHAnsi"/>
        </w:rPr>
        <w:t>ž</w:t>
      </w:r>
      <w:r w:rsidR="00CD6248" w:rsidRPr="00CD6248">
        <w:rPr>
          <w:rFonts w:asciiTheme="minorHAnsi" w:hAnsiTheme="minorHAnsi" w:cstheme="minorHAnsi"/>
        </w:rPr>
        <w:t xml:space="preserve"> 246 %</w:t>
      </w:r>
      <w:r w:rsidR="006B765F" w:rsidRPr="00CD6248">
        <w:rPr>
          <w:rFonts w:asciiTheme="minorHAnsi" w:hAnsiTheme="minorHAnsi" w:cstheme="minorHAnsi"/>
        </w:rPr>
        <w:t>, viz následující tabulka.</w:t>
      </w:r>
      <w:r w:rsidR="00F044C6" w:rsidRPr="004F6F5D">
        <w:rPr>
          <w:rFonts w:cs="Calibri"/>
          <w:b/>
          <w:bCs/>
          <w:highlight w:val="yellow"/>
          <w:lang w:eastAsia="cs-CZ"/>
        </w:rPr>
        <w:br w:type="page"/>
      </w:r>
    </w:p>
    <w:p w14:paraId="11650FFF" w14:textId="77777777" w:rsidR="00EC7467" w:rsidRPr="00CD6248" w:rsidRDefault="006B765F" w:rsidP="00DF6AD0">
      <w:pPr>
        <w:spacing w:after="40"/>
        <w:ind w:left="1304" w:hanging="1304"/>
        <w:jc w:val="both"/>
        <w:rPr>
          <w:rFonts w:cs="Calibri"/>
          <w:b/>
          <w:bCs/>
          <w:lang w:eastAsia="cs-CZ"/>
        </w:rPr>
      </w:pPr>
      <w:r w:rsidRPr="00CD6248">
        <w:rPr>
          <w:rFonts w:cs="Calibri"/>
          <w:b/>
          <w:bCs/>
          <w:lang w:eastAsia="cs-CZ"/>
        </w:rPr>
        <w:lastRenderedPageBreak/>
        <w:t>Tabulka</w:t>
      </w:r>
      <w:r w:rsidR="00EC7467" w:rsidRPr="00CD6248">
        <w:rPr>
          <w:rFonts w:cs="Calibri"/>
          <w:b/>
          <w:bCs/>
          <w:lang w:eastAsia="cs-CZ"/>
        </w:rPr>
        <w:t xml:space="preserve"> č.</w:t>
      </w:r>
      <w:r w:rsidRPr="00CD6248">
        <w:rPr>
          <w:rFonts w:cs="Calibri"/>
          <w:b/>
          <w:bCs/>
          <w:lang w:eastAsia="cs-CZ"/>
        </w:rPr>
        <w:t xml:space="preserve"> </w:t>
      </w:r>
      <w:r w:rsidR="0093410D">
        <w:rPr>
          <w:rFonts w:cs="Calibri"/>
          <w:b/>
          <w:bCs/>
          <w:lang w:eastAsia="cs-CZ"/>
        </w:rPr>
        <w:t>2</w:t>
      </w:r>
      <w:r w:rsidRPr="00CD6248">
        <w:rPr>
          <w:rFonts w:cs="Calibri"/>
          <w:b/>
          <w:bCs/>
          <w:lang w:eastAsia="cs-CZ"/>
        </w:rPr>
        <w:t xml:space="preserve">: </w:t>
      </w:r>
      <w:r w:rsidR="00EC7467" w:rsidRPr="00CD6248">
        <w:rPr>
          <w:rFonts w:cs="Calibri"/>
          <w:b/>
          <w:bCs/>
          <w:lang w:eastAsia="cs-CZ"/>
        </w:rPr>
        <w:tab/>
      </w:r>
      <w:r w:rsidRPr="00CD6248">
        <w:rPr>
          <w:rFonts w:cs="Calibri"/>
          <w:b/>
          <w:bCs/>
          <w:lang w:eastAsia="cs-CZ"/>
        </w:rPr>
        <w:t xml:space="preserve">Srovnání výše celkových zůstatků podrozvahových účtů s údaji o rozvahových </w:t>
      </w:r>
    </w:p>
    <w:p w14:paraId="6D23655A" w14:textId="77777777" w:rsidR="006B765F" w:rsidRDefault="006B765F" w:rsidP="00DF6AD0">
      <w:pPr>
        <w:tabs>
          <w:tab w:val="right" w:pos="9070"/>
        </w:tabs>
        <w:spacing w:after="40"/>
        <w:ind w:left="1304"/>
        <w:jc w:val="both"/>
        <w:rPr>
          <w:rFonts w:cs="Calibri"/>
          <w:b/>
          <w:bCs/>
          <w:lang w:eastAsia="cs-CZ"/>
        </w:rPr>
      </w:pPr>
      <w:r w:rsidRPr="00CD6248">
        <w:rPr>
          <w:rFonts w:cs="Calibri"/>
          <w:b/>
          <w:bCs/>
          <w:lang w:eastAsia="cs-CZ"/>
        </w:rPr>
        <w:t xml:space="preserve">aktivech a cizích zdrojích za roky </w:t>
      </w:r>
      <w:r w:rsidR="00CD6248" w:rsidRPr="00CD6248">
        <w:rPr>
          <w:rFonts w:cs="Calibri"/>
          <w:b/>
          <w:bCs/>
          <w:lang w:eastAsia="cs-CZ"/>
        </w:rPr>
        <w:t>2021</w:t>
      </w:r>
      <w:r w:rsidRPr="00CD6248">
        <w:rPr>
          <w:rFonts w:cs="Calibri"/>
          <w:b/>
          <w:bCs/>
          <w:lang w:eastAsia="cs-CZ"/>
        </w:rPr>
        <w:t xml:space="preserve"> až 202</w:t>
      </w:r>
      <w:r w:rsidR="00CD6248" w:rsidRPr="00CD6248">
        <w:rPr>
          <w:rFonts w:cs="Calibri"/>
          <w:b/>
          <w:bCs/>
          <w:lang w:eastAsia="cs-CZ"/>
        </w:rPr>
        <w:t>3</w:t>
      </w:r>
      <w:r w:rsidRPr="00CD6248">
        <w:rPr>
          <w:rFonts w:cs="Calibri"/>
          <w:b/>
          <w:bCs/>
          <w:lang w:eastAsia="cs-CZ"/>
        </w:rPr>
        <w:t xml:space="preserve"> </w:t>
      </w:r>
      <w:r w:rsidR="00EC7467" w:rsidRPr="00CD6248">
        <w:rPr>
          <w:rFonts w:cs="Calibri"/>
          <w:b/>
          <w:bCs/>
          <w:lang w:eastAsia="cs-CZ"/>
        </w:rPr>
        <w:tab/>
      </w:r>
      <w:r w:rsidRPr="00CD6248">
        <w:rPr>
          <w:rFonts w:cs="Calibri"/>
          <w:b/>
          <w:bCs/>
          <w:lang w:eastAsia="cs-CZ"/>
        </w:rPr>
        <w:t xml:space="preserve">(v </w:t>
      </w:r>
      <w:r w:rsidR="00560835" w:rsidRPr="00CD6248">
        <w:rPr>
          <w:rFonts w:cs="Calibri"/>
          <w:b/>
          <w:bCs/>
          <w:lang w:eastAsia="cs-CZ"/>
        </w:rPr>
        <w:t xml:space="preserve">mil. </w:t>
      </w:r>
      <w:r w:rsidRPr="00CD6248">
        <w:rPr>
          <w:rFonts w:cs="Calibri"/>
          <w:b/>
          <w:bCs/>
          <w:lang w:eastAsia="cs-CZ"/>
        </w:rPr>
        <w:t xml:space="preserve">Kč, podíl v %) </w:t>
      </w:r>
    </w:p>
    <w:tbl>
      <w:tblPr>
        <w:tblStyle w:val="Mkatabulky1"/>
        <w:tblW w:w="9184" w:type="dxa"/>
        <w:jc w:val="center"/>
        <w:tblLook w:val="04A0" w:firstRow="1" w:lastRow="0" w:firstColumn="1" w:lastColumn="0" w:noHBand="0" w:noVBand="1"/>
      </w:tblPr>
      <w:tblGrid>
        <w:gridCol w:w="5272"/>
        <w:gridCol w:w="1304"/>
        <w:gridCol w:w="1304"/>
        <w:gridCol w:w="1304"/>
      </w:tblGrid>
      <w:tr w:rsidR="00CD6248" w:rsidRPr="00500F26" w14:paraId="2593ACDC" w14:textId="77777777" w:rsidTr="00825EF1">
        <w:trPr>
          <w:trHeight w:val="44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hideMark/>
          </w:tcPr>
          <w:p w14:paraId="01F424FC" w14:textId="77777777" w:rsidR="00CD6248" w:rsidRPr="00CD6248" w:rsidRDefault="00CD6248" w:rsidP="00CD624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E3B919F" w14:textId="77777777" w:rsidR="00CD6248" w:rsidRPr="00CD6248" w:rsidRDefault="00CD6248" w:rsidP="00CD624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E4E2B7A" w14:textId="77777777" w:rsidR="00CD6248" w:rsidRPr="00CD6248" w:rsidRDefault="00CD6248" w:rsidP="00CD624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7E69FF8" w14:textId="77777777" w:rsidR="00CD6248" w:rsidRPr="00CD6248" w:rsidRDefault="00CD6248" w:rsidP="00CD624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2021</w:t>
            </w:r>
          </w:p>
        </w:tc>
      </w:tr>
      <w:tr w:rsidR="00CD6248" w:rsidRPr="00500F26" w14:paraId="66D96FFB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3D81" w14:textId="77777777" w:rsidR="00200552" w:rsidRDefault="00CD6248" w:rsidP="009500F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Suma zůstatků na podrozvahových účtech </w:t>
            </w:r>
          </w:p>
          <w:p w14:paraId="20533F94" w14:textId="77777777" w:rsidR="00CD6248" w:rsidRPr="00CD6248" w:rsidRDefault="00CD6248" w:rsidP="009500F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(podrozvahová aktiva a pasiva)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CFB5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50 310,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1C68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44 975,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B0D4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58 075,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CD6248" w:rsidRPr="00500F26" w14:paraId="08F45C4D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9EE83" w14:textId="43AA800B" w:rsidR="00CD6248" w:rsidRPr="00CD6248" w:rsidRDefault="002E170C" w:rsidP="009500F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CD6248"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 toho: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2FFADF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B80A57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717077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6248" w:rsidRPr="00500F26" w14:paraId="56DD8521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5AC00" w14:textId="77777777" w:rsidR="00CD6248" w:rsidRPr="00CD6248" w:rsidRDefault="00CD6248" w:rsidP="009500F1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podrozvahová aktiva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42E0E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4 433,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78F74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20055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  <w:r w:rsidR="00200552">
              <w:rPr>
                <w:rFonts w:asciiTheme="minorHAnsi" w:hAnsiTheme="minorHAnsi" w:cstheme="minorHAnsi"/>
                <w:sz w:val="20"/>
                <w:szCs w:val="20"/>
              </w:rPr>
              <w:t>,5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709BD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0055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sz w:val="20"/>
                <w:szCs w:val="20"/>
              </w:rPr>
              <w:t>198</w:t>
            </w:r>
            <w:r w:rsidR="00200552">
              <w:rPr>
                <w:rFonts w:asciiTheme="minorHAnsi" w:hAnsiTheme="minorHAnsi" w:cstheme="minorHAnsi"/>
                <w:sz w:val="20"/>
                <w:szCs w:val="20"/>
              </w:rPr>
              <w:t>,2</w:t>
            </w:r>
          </w:p>
        </w:tc>
      </w:tr>
      <w:tr w:rsidR="00CD6248" w:rsidRPr="00500F26" w14:paraId="25608212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B492B4B" w14:textId="77777777" w:rsidR="00CD6248" w:rsidRPr="00CD6248" w:rsidRDefault="00CD6248" w:rsidP="009500F1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podrozvahová pasiva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10E89BB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876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C68839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="0020055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sz w:val="20"/>
                <w:szCs w:val="20"/>
              </w:rPr>
              <w:t>821</w:t>
            </w:r>
            <w:r w:rsidR="00200552">
              <w:rPr>
                <w:rFonts w:asciiTheme="minorHAnsi" w:hAnsiTheme="minorHAnsi" w:cstheme="minorHAnsi"/>
                <w:sz w:val="20"/>
                <w:szCs w:val="20"/>
              </w:rPr>
              <w:t>,1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C64E2E0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20055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sz w:val="20"/>
                <w:szCs w:val="20"/>
              </w:rPr>
              <w:t>877</w:t>
            </w:r>
            <w:r w:rsidR="00200552">
              <w:rPr>
                <w:rFonts w:asciiTheme="minorHAnsi" w:hAnsiTheme="minorHAnsi" w:cstheme="minorHAnsi"/>
                <w:sz w:val="20"/>
                <w:szCs w:val="20"/>
              </w:rPr>
              <w:t>,5</w:t>
            </w:r>
          </w:p>
        </w:tc>
      </w:tr>
      <w:tr w:rsidR="00CD6248" w:rsidRPr="00500F26" w14:paraId="7E992B25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A617" w14:textId="77777777" w:rsidR="00CD6248" w:rsidRPr="00CD6248" w:rsidRDefault="00CD6248" w:rsidP="009500F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Suma zůstatků na rozvahových účtech (aktiva a cizí zdroje)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60A6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453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A529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963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F31B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514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,9</w:t>
            </w:r>
          </w:p>
        </w:tc>
      </w:tr>
      <w:tr w:rsidR="00CD6248" w:rsidRPr="00500F26" w14:paraId="6B6398F5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93090" w14:textId="18F6F76A" w:rsidR="00CD6248" w:rsidRPr="00CD6248" w:rsidRDefault="002E170C" w:rsidP="009500F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CD6248"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68E38C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EE4687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148C9F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D6248" w:rsidRPr="00500F26" w14:paraId="7F6B54AB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FF01A" w14:textId="77777777" w:rsidR="00CD6248" w:rsidRPr="00CD6248" w:rsidRDefault="00CD6248" w:rsidP="009500F1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aktiva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B1474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C550B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982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77BF7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257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,6</w:t>
            </w:r>
          </w:p>
        </w:tc>
      </w:tr>
      <w:tr w:rsidR="00CD6248" w:rsidRPr="00500F26" w14:paraId="72655809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9C2F30" w14:textId="77777777" w:rsidR="00CD6248" w:rsidRPr="00CD6248" w:rsidRDefault="00CD6248" w:rsidP="009500F1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cizí zdroje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9CB2313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350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10D532F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981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3D36A0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257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,3</w:t>
            </w:r>
          </w:p>
        </w:tc>
      </w:tr>
      <w:tr w:rsidR="00CD6248" w:rsidRPr="00500F26" w14:paraId="17A36D0C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4F26" w14:textId="77777777" w:rsidR="00CD6248" w:rsidRPr="00CD6248" w:rsidRDefault="00CD6248" w:rsidP="009500F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zůstatků podrozvahových účtů na celk</w:t>
            </w:r>
            <w:r w:rsidR="002005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ových</w:t>
            </w: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rozvahových aktivech a cizích zdrojích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44A3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138 %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0744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132 %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A4AE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246 %</w:t>
            </w:r>
          </w:p>
        </w:tc>
      </w:tr>
      <w:tr w:rsidR="00CD6248" w:rsidRPr="00500F26" w14:paraId="303B05CD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23EC" w14:textId="77777777" w:rsidR="00CD6248" w:rsidRPr="00CD6248" w:rsidRDefault="00CD6248" w:rsidP="009500F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zůstatků podrozvahových aktiv na rozvahových aktivech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0847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42DE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0588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17 %</w:t>
            </w:r>
          </w:p>
        </w:tc>
      </w:tr>
      <w:tr w:rsidR="00CD6248" w:rsidRPr="00500F26" w14:paraId="607C1560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69AE" w14:textId="77777777" w:rsidR="00CD6248" w:rsidRPr="00CD6248" w:rsidRDefault="00CD6248" w:rsidP="009500F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zůstatků podrozvahových pasiv na cizích zdrojích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1ABE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281 %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BF64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279 %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4D67" w14:textId="77777777" w:rsidR="00CD6248" w:rsidRPr="00CD6248" w:rsidRDefault="00CD6248" w:rsidP="009500F1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545 %</w:t>
            </w:r>
          </w:p>
        </w:tc>
      </w:tr>
    </w:tbl>
    <w:p w14:paraId="134CDD1E" w14:textId="7F8FF4C9" w:rsidR="006B765F" w:rsidRPr="00200552" w:rsidRDefault="006B765F" w:rsidP="00DF6AD0">
      <w:pPr>
        <w:spacing w:before="40" w:after="240"/>
        <w:jc w:val="both"/>
        <w:rPr>
          <w:rFonts w:cs="Calibri"/>
          <w:sz w:val="20"/>
          <w:szCs w:val="20"/>
        </w:rPr>
      </w:pPr>
      <w:r w:rsidRPr="00200552">
        <w:rPr>
          <w:rFonts w:cs="Calibri"/>
          <w:b/>
          <w:sz w:val="20"/>
          <w:szCs w:val="20"/>
        </w:rPr>
        <w:t>Zdroj:</w:t>
      </w:r>
      <w:r w:rsidRPr="00200552">
        <w:rPr>
          <w:rFonts w:cs="Calibri"/>
          <w:sz w:val="20"/>
          <w:szCs w:val="20"/>
        </w:rPr>
        <w:t xml:space="preserve"> </w:t>
      </w:r>
      <w:r w:rsidR="001B3F5D" w:rsidRPr="00200552">
        <w:rPr>
          <w:rFonts w:cs="Calibri"/>
          <w:sz w:val="20"/>
          <w:szCs w:val="20"/>
        </w:rPr>
        <w:t>ú</w:t>
      </w:r>
      <w:r w:rsidRPr="00200552">
        <w:rPr>
          <w:rFonts w:cs="Calibri"/>
          <w:sz w:val="20"/>
          <w:szCs w:val="20"/>
        </w:rPr>
        <w:t xml:space="preserve">četní závěrky </w:t>
      </w:r>
      <w:r w:rsidR="00200552" w:rsidRPr="00200552">
        <w:rPr>
          <w:rFonts w:cs="Calibri"/>
          <w:sz w:val="20"/>
          <w:szCs w:val="20"/>
        </w:rPr>
        <w:t>MMR</w:t>
      </w:r>
      <w:r w:rsidRPr="00200552">
        <w:rPr>
          <w:rFonts w:cs="Calibri"/>
          <w:sz w:val="20"/>
          <w:szCs w:val="20"/>
        </w:rPr>
        <w:t xml:space="preserve"> za roky 202</w:t>
      </w:r>
      <w:r w:rsidR="00200552" w:rsidRPr="00200552">
        <w:rPr>
          <w:rFonts w:cs="Calibri"/>
          <w:sz w:val="20"/>
          <w:szCs w:val="20"/>
        </w:rPr>
        <w:t>1</w:t>
      </w:r>
      <w:r w:rsidRPr="00200552">
        <w:rPr>
          <w:rFonts w:cs="Calibri"/>
          <w:sz w:val="20"/>
          <w:szCs w:val="20"/>
        </w:rPr>
        <w:t xml:space="preserve"> až 202</w:t>
      </w:r>
      <w:r w:rsidR="00200552" w:rsidRPr="00200552">
        <w:rPr>
          <w:rFonts w:cs="Calibri"/>
          <w:sz w:val="20"/>
          <w:szCs w:val="20"/>
        </w:rPr>
        <w:t>3</w:t>
      </w:r>
      <w:r w:rsidRPr="00200552">
        <w:rPr>
          <w:rFonts w:cs="Calibri"/>
          <w:sz w:val="20"/>
          <w:szCs w:val="20"/>
        </w:rPr>
        <w:t xml:space="preserve">, výpočet </w:t>
      </w:r>
      <w:r w:rsidR="002E170C">
        <w:rPr>
          <w:rFonts w:cs="Calibri"/>
          <w:sz w:val="20"/>
          <w:szCs w:val="20"/>
        </w:rPr>
        <w:t xml:space="preserve">vypracoval </w:t>
      </w:r>
      <w:r w:rsidRPr="00200552">
        <w:rPr>
          <w:rFonts w:cs="Calibri"/>
          <w:sz w:val="20"/>
          <w:szCs w:val="20"/>
        </w:rPr>
        <w:t>NKÚ.</w:t>
      </w:r>
    </w:p>
    <w:p w14:paraId="06CB8831" w14:textId="77777777" w:rsidR="006B765F" w:rsidRPr="00200552" w:rsidRDefault="006B765F" w:rsidP="008A331B">
      <w:pPr>
        <w:spacing w:after="240"/>
        <w:jc w:val="both"/>
        <w:rPr>
          <w:rFonts w:cs="Calibri"/>
        </w:rPr>
      </w:pPr>
      <w:r w:rsidRPr="00200552">
        <w:t>Kategorizace podmíněných aktiv a podmíněných pasiv</w:t>
      </w:r>
      <w:r w:rsidR="00200552" w:rsidRPr="00200552">
        <w:t xml:space="preserve"> MMR </w:t>
      </w:r>
      <w:r w:rsidRPr="00200552">
        <w:t xml:space="preserve">je uvedena v tabulce č. </w:t>
      </w:r>
      <w:r w:rsidR="0093410D">
        <w:t>3</w:t>
      </w:r>
      <w:r w:rsidRPr="00200552">
        <w:t>.</w:t>
      </w:r>
    </w:p>
    <w:p w14:paraId="49346D6F" w14:textId="77777777" w:rsidR="006B765F" w:rsidRPr="00200552" w:rsidRDefault="006B765F" w:rsidP="00DF6AD0">
      <w:pPr>
        <w:tabs>
          <w:tab w:val="right" w:pos="9070"/>
        </w:tabs>
        <w:spacing w:after="40"/>
        <w:jc w:val="both"/>
        <w:rPr>
          <w:rFonts w:cs="Calibri"/>
          <w:b/>
          <w:bCs/>
          <w:lang w:eastAsia="cs-CZ"/>
        </w:rPr>
      </w:pPr>
      <w:r w:rsidRPr="00200552">
        <w:rPr>
          <w:rFonts w:cs="Calibri"/>
          <w:b/>
          <w:bCs/>
          <w:lang w:eastAsia="cs-CZ"/>
        </w:rPr>
        <w:t>Tabulka</w:t>
      </w:r>
      <w:r w:rsidR="00EC7467" w:rsidRPr="00200552">
        <w:rPr>
          <w:rFonts w:cs="Calibri"/>
          <w:b/>
          <w:bCs/>
          <w:lang w:eastAsia="cs-CZ"/>
        </w:rPr>
        <w:t xml:space="preserve"> č.</w:t>
      </w:r>
      <w:r w:rsidRPr="00200552">
        <w:rPr>
          <w:rFonts w:cs="Calibri"/>
          <w:b/>
          <w:bCs/>
          <w:lang w:eastAsia="cs-CZ"/>
        </w:rPr>
        <w:t xml:space="preserve"> </w:t>
      </w:r>
      <w:r w:rsidR="0093410D">
        <w:rPr>
          <w:rFonts w:cs="Calibri"/>
          <w:b/>
          <w:bCs/>
          <w:lang w:eastAsia="cs-CZ"/>
        </w:rPr>
        <w:t>3</w:t>
      </w:r>
      <w:r w:rsidRPr="00200552">
        <w:rPr>
          <w:rFonts w:cs="Calibri"/>
          <w:b/>
          <w:bCs/>
          <w:lang w:eastAsia="cs-CZ"/>
        </w:rPr>
        <w:t xml:space="preserve">: Kategorizace podmíněných aktiv a podmíněných pasiv </w:t>
      </w:r>
      <w:r w:rsidR="00EC7467" w:rsidRPr="00200552">
        <w:rPr>
          <w:rFonts w:cs="Calibri"/>
          <w:b/>
          <w:bCs/>
          <w:lang w:eastAsia="cs-CZ"/>
        </w:rPr>
        <w:tab/>
      </w:r>
      <w:r w:rsidRPr="00200552">
        <w:rPr>
          <w:rFonts w:cs="Calibri"/>
          <w:b/>
          <w:bCs/>
          <w:lang w:eastAsia="cs-CZ"/>
        </w:rPr>
        <w:t xml:space="preserve">(v </w:t>
      </w:r>
      <w:r w:rsidR="00BF57AB" w:rsidRPr="00200552">
        <w:rPr>
          <w:rFonts w:cs="Calibri"/>
          <w:b/>
          <w:bCs/>
          <w:lang w:eastAsia="cs-CZ"/>
        </w:rPr>
        <w:t xml:space="preserve">mil. </w:t>
      </w:r>
      <w:r w:rsidRPr="00200552">
        <w:rPr>
          <w:rFonts w:cs="Calibri"/>
          <w:b/>
          <w:bCs/>
          <w:lang w:eastAsia="cs-CZ"/>
        </w:rPr>
        <w:t xml:space="preserve">Kč) </w:t>
      </w:r>
    </w:p>
    <w:tbl>
      <w:tblPr>
        <w:tblStyle w:val="Mkatabulky"/>
        <w:tblW w:w="9193" w:type="dxa"/>
        <w:jc w:val="center"/>
        <w:tblLook w:val="04A0" w:firstRow="1" w:lastRow="0" w:firstColumn="1" w:lastColumn="0" w:noHBand="0" w:noVBand="1"/>
      </w:tblPr>
      <w:tblGrid>
        <w:gridCol w:w="7209"/>
        <w:gridCol w:w="1984"/>
      </w:tblGrid>
      <w:tr w:rsidR="006B765F" w:rsidRPr="004F6F5D" w14:paraId="14878440" w14:textId="77777777" w:rsidTr="009500F1">
        <w:trPr>
          <w:trHeight w:val="454"/>
          <w:jc w:val="center"/>
        </w:trPr>
        <w:tc>
          <w:tcPr>
            <w:tcW w:w="7209" w:type="dxa"/>
            <w:shd w:val="clear" w:color="auto" w:fill="E6E6E6"/>
            <w:vAlign w:val="center"/>
          </w:tcPr>
          <w:p w14:paraId="7B57068D" w14:textId="77777777" w:rsidR="006B765F" w:rsidRPr="00200552" w:rsidRDefault="009B3B0F" w:rsidP="00C3356D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200552">
              <w:rPr>
                <w:rFonts w:cs="Calibri"/>
                <w:b/>
                <w:sz w:val="20"/>
                <w:szCs w:val="20"/>
              </w:rPr>
              <w:t>Podmíněná aktiva a pasiva</w:t>
            </w:r>
            <w:r w:rsidRPr="00200552" w:rsidDel="009B3B0F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54A33726" w14:textId="77777777" w:rsidR="006B765F" w:rsidRPr="00200552" w:rsidRDefault="006B765F" w:rsidP="00C3356D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200552">
              <w:rPr>
                <w:rFonts w:cs="Calibri"/>
                <w:b/>
                <w:sz w:val="20"/>
                <w:szCs w:val="20"/>
              </w:rPr>
              <w:t xml:space="preserve">Hodnota vykázaná k 31. prosinci </w:t>
            </w:r>
            <w:r w:rsidR="00200552">
              <w:rPr>
                <w:rFonts w:cs="Calibri"/>
                <w:b/>
                <w:sz w:val="20"/>
                <w:szCs w:val="20"/>
              </w:rPr>
              <w:t>2023</w:t>
            </w:r>
          </w:p>
        </w:tc>
      </w:tr>
      <w:tr w:rsidR="006B765F" w:rsidRPr="004F6F5D" w14:paraId="6A78BE55" w14:textId="77777777" w:rsidTr="009500F1">
        <w:trPr>
          <w:trHeight w:val="340"/>
          <w:jc w:val="center"/>
        </w:trPr>
        <w:tc>
          <w:tcPr>
            <w:tcW w:w="7209" w:type="dxa"/>
            <w:shd w:val="clear" w:color="auto" w:fill="DCA8B3"/>
            <w:vAlign w:val="center"/>
          </w:tcPr>
          <w:p w14:paraId="2DE93DC1" w14:textId="77777777" w:rsidR="006B765F" w:rsidRPr="004F6F5D" w:rsidRDefault="006B765F" w:rsidP="00C3356D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 w:rsidRPr="00200552">
              <w:rPr>
                <w:rFonts w:cs="Calibri"/>
                <w:b/>
                <w:sz w:val="20"/>
                <w:szCs w:val="20"/>
              </w:rPr>
              <w:t>I. v podstatě jist</w:t>
            </w:r>
            <w:r w:rsidR="009B3B0F" w:rsidRPr="00200552">
              <w:rPr>
                <w:rFonts w:cs="Calibri"/>
                <w:b/>
                <w:sz w:val="20"/>
                <w:szCs w:val="20"/>
              </w:rPr>
              <w:t>á</w:t>
            </w:r>
            <w:r w:rsidRPr="00200552">
              <w:rPr>
                <w:rFonts w:cs="Calibri"/>
                <w:b/>
                <w:sz w:val="20"/>
                <w:szCs w:val="20"/>
              </w:rPr>
              <w:t xml:space="preserve"> a očekávan</w:t>
            </w:r>
            <w:r w:rsidR="009B3B0F" w:rsidRPr="00200552">
              <w:rPr>
                <w:rFonts w:cs="Calibri"/>
                <w:b/>
                <w:sz w:val="20"/>
                <w:szCs w:val="20"/>
              </w:rPr>
              <w:t>á</w:t>
            </w:r>
            <w:r w:rsidRPr="00200552">
              <w:rPr>
                <w:rStyle w:val="Znakapoznpodarou"/>
                <w:rFonts w:cs="Calibri"/>
                <w:b/>
                <w:sz w:val="20"/>
                <w:szCs w:val="20"/>
              </w:rPr>
              <w:footnoteReference w:id="38"/>
            </w:r>
          </w:p>
        </w:tc>
        <w:tc>
          <w:tcPr>
            <w:tcW w:w="1984" w:type="dxa"/>
            <w:shd w:val="clear" w:color="auto" w:fill="DCA8B3"/>
            <w:vAlign w:val="center"/>
          </w:tcPr>
          <w:p w14:paraId="67F2D8EC" w14:textId="77777777" w:rsidR="006B765F" w:rsidRPr="004F6F5D" w:rsidRDefault="00CF5EA7" w:rsidP="009500F1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F5EA7">
              <w:rPr>
                <w:rFonts w:cs="Calibri"/>
                <w:b/>
                <w:sz w:val="20"/>
                <w:szCs w:val="20"/>
              </w:rPr>
              <w:t>43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F5EA7">
              <w:rPr>
                <w:rFonts w:cs="Calibri"/>
                <w:b/>
                <w:sz w:val="20"/>
                <w:szCs w:val="20"/>
              </w:rPr>
              <w:t>549,6</w:t>
            </w:r>
          </w:p>
        </w:tc>
      </w:tr>
      <w:tr w:rsidR="006B765F" w:rsidRPr="004F6F5D" w14:paraId="5796396A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352AB299" w14:textId="77777777" w:rsidR="006B765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b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podmíněné pohledávky z předfinancování transferů (účty 911 a 951)</w:t>
            </w:r>
          </w:p>
        </w:tc>
        <w:tc>
          <w:tcPr>
            <w:tcW w:w="1984" w:type="dxa"/>
            <w:vAlign w:val="center"/>
          </w:tcPr>
          <w:p w14:paraId="42126AC1" w14:textId="77777777" w:rsidR="006B765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 </w:t>
            </w:r>
            <w:r w:rsidRPr="00C577BF">
              <w:rPr>
                <w:rFonts w:cs="Calibri"/>
                <w:sz w:val="20"/>
                <w:szCs w:val="20"/>
              </w:rPr>
              <w:t>672</w:t>
            </w:r>
            <w:r>
              <w:rPr>
                <w:rFonts w:cs="Calibri"/>
                <w:sz w:val="20"/>
                <w:szCs w:val="20"/>
              </w:rPr>
              <w:t>,8</w:t>
            </w:r>
          </w:p>
        </w:tc>
      </w:tr>
      <w:tr w:rsidR="006B765F" w:rsidRPr="004F6F5D" w14:paraId="329A7C08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39258667" w14:textId="77777777" w:rsidR="006B765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ostatní podmíněné závazky z transferů (účty 916 a 956)</w:t>
            </w:r>
          </w:p>
        </w:tc>
        <w:tc>
          <w:tcPr>
            <w:tcW w:w="1984" w:type="dxa"/>
            <w:vAlign w:val="center"/>
          </w:tcPr>
          <w:p w14:paraId="6FA1F0A9" w14:textId="77777777" w:rsidR="006B765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39</w:t>
            </w:r>
            <w:r w:rsidR="00CF5EA7">
              <w:rPr>
                <w:rFonts w:cs="Calibri"/>
                <w:sz w:val="20"/>
                <w:szCs w:val="20"/>
              </w:rPr>
              <w:t> </w:t>
            </w:r>
            <w:r w:rsidRPr="00C577BF">
              <w:rPr>
                <w:rFonts w:cs="Calibri"/>
                <w:sz w:val="20"/>
                <w:szCs w:val="20"/>
              </w:rPr>
              <w:t>238</w:t>
            </w:r>
            <w:r w:rsidR="00CF5EA7">
              <w:rPr>
                <w:rFonts w:cs="Calibri"/>
                <w:sz w:val="20"/>
                <w:szCs w:val="20"/>
              </w:rPr>
              <w:t>,4</w:t>
            </w:r>
          </w:p>
        </w:tc>
      </w:tr>
      <w:tr w:rsidR="006B765F" w:rsidRPr="004F6F5D" w14:paraId="3C8D850A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6B950377" w14:textId="77777777" w:rsidR="006B765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podmíněné pohledávky z uzavřených smluv (účet 934)</w:t>
            </w:r>
          </w:p>
        </w:tc>
        <w:tc>
          <w:tcPr>
            <w:tcW w:w="1984" w:type="dxa"/>
            <w:vAlign w:val="center"/>
          </w:tcPr>
          <w:p w14:paraId="4EB2CDC9" w14:textId="77777777" w:rsidR="006B765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346</w:t>
            </w:r>
            <w:r w:rsidR="00CF5EA7">
              <w:rPr>
                <w:rFonts w:cs="Calibri"/>
                <w:sz w:val="20"/>
                <w:szCs w:val="20"/>
              </w:rPr>
              <w:t>,1</w:t>
            </w:r>
          </w:p>
        </w:tc>
      </w:tr>
      <w:tr w:rsidR="006B765F" w:rsidRPr="004F6F5D" w14:paraId="7A8888CD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1C35B57D" w14:textId="77777777" w:rsidR="006B765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podmíněné závazky ze zahraničních transferů (účet 954)</w:t>
            </w:r>
          </w:p>
        </w:tc>
        <w:tc>
          <w:tcPr>
            <w:tcW w:w="1984" w:type="dxa"/>
            <w:vAlign w:val="center"/>
          </w:tcPr>
          <w:p w14:paraId="5380429E" w14:textId="77777777" w:rsidR="006B765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42</w:t>
            </w:r>
            <w:r w:rsidR="00CF5EA7">
              <w:rPr>
                <w:rFonts w:cs="Calibri"/>
                <w:sz w:val="20"/>
                <w:szCs w:val="20"/>
              </w:rPr>
              <w:t>,8</w:t>
            </w:r>
          </w:p>
        </w:tc>
      </w:tr>
      <w:tr w:rsidR="00C577BF" w:rsidRPr="004F6F5D" w14:paraId="0E34EE25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62F525C5" w14:textId="77777777" w:rsidR="00C577B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podmíněné závazky z uzavřených smluv (</w:t>
            </w:r>
            <w:r>
              <w:rPr>
                <w:rFonts w:cs="Calibri"/>
                <w:sz w:val="20"/>
                <w:szCs w:val="20"/>
              </w:rPr>
              <w:t>účty</w:t>
            </w:r>
            <w:r w:rsidRPr="00C577BF">
              <w:rPr>
                <w:rFonts w:cs="Calibri"/>
                <w:sz w:val="20"/>
                <w:szCs w:val="20"/>
              </w:rPr>
              <w:t xml:space="preserve"> </w:t>
            </w:r>
            <w:r w:rsidR="00CB6BA8">
              <w:rPr>
                <w:rFonts w:cs="Calibri"/>
                <w:sz w:val="20"/>
                <w:szCs w:val="20"/>
              </w:rPr>
              <w:t>972</w:t>
            </w:r>
            <w:r w:rsidRPr="00C577BF">
              <w:rPr>
                <w:rFonts w:cs="Calibri"/>
                <w:sz w:val="20"/>
                <w:szCs w:val="20"/>
              </w:rPr>
              <w:t xml:space="preserve"> a 974)</w:t>
            </w:r>
          </w:p>
        </w:tc>
        <w:tc>
          <w:tcPr>
            <w:tcW w:w="1984" w:type="dxa"/>
            <w:vAlign w:val="center"/>
          </w:tcPr>
          <w:p w14:paraId="71B6D5CC" w14:textId="77777777" w:rsidR="00C577B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2</w:t>
            </w:r>
            <w:r w:rsidR="00CF5EA7">
              <w:rPr>
                <w:rFonts w:cs="Calibri"/>
                <w:sz w:val="20"/>
                <w:szCs w:val="20"/>
              </w:rPr>
              <w:t> </w:t>
            </w:r>
            <w:r w:rsidRPr="00C577BF">
              <w:rPr>
                <w:rFonts w:cs="Calibri"/>
                <w:sz w:val="20"/>
                <w:szCs w:val="20"/>
              </w:rPr>
              <w:t>249</w:t>
            </w:r>
            <w:r w:rsidR="00CF5EA7">
              <w:rPr>
                <w:rFonts w:cs="Calibri"/>
                <w:sz w:val="20"/>
                <w:szCs w:val="20"/>
              </w:rPr>
              <w:t>,5</w:t>
            </w:r>
          </w:p>
        </w:tc>
      </w:tr>
      <w:tr w:rsidR="006B765F" w:rsidRPr="004F6F5D" w14:paraId="3F37B1F4" w14:textId="77777777" w:rsidTr="009500F1">
        <w:trPr>
          <w:trHeight w:val="340"/>
          <w:jc w:val="center"/>
        </w:trPr>
        <w:tc>
          <w:tcPr>
            <w:tcW w:w="7209" w:type="dxa"/>
            <w:shd w:val="clear" w:color="auto" w:fill="DCA8B3"/>
            <w:vAlign w:val="center"/>
          </w:tcPr>
          <w:p w14:paraId="1FA0BECF" w14:textId="77777777" w:rsidR="006B765F" w:rsidRPr="004F6F5D" w:rsidRDefault="006B765F" w:rsidP="00C3356D">
            <w:pPr>
              <w:spacing w:after="0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b/>
                <w:sz w:val="20"/>
                <w:szCs w:val="20"/>
              </w:rPr>
              <w:t>II. podmíněn</w:t>
            </w:r>
            <w:r w:rsidR="00DF6AD0" w:rsidRPr="00C577BF">
              <w:rPr>
                <w:rFonts w:cs="Calibri"/>
                <w:b/>
                <w:sz w:val="20"/>
                <w:szCs w:val="20"/>
              </w:rPr>
              <w:t>á</w:t>
            </w:r>
            <w:r w:rsidRPr="00C577BF">
              <w:rPr>
                <w:rFonts w:cs="Calibri"/>
                <w:b/>
                <w:sz w:val="20"/>
                <w:szCs w:val="20"/>
              </w:rPr>
              <w:t xml:space="preserve"> specifickým rizikem, jež není plně pod kontrolou účetní jednotky</w:t>
            </w:r>
            <w:r w:rsidRPr="00C577BF">
              <w:rPr>
                <w:rStyle w:val="Znakapoznpodarou"/>
                <w:rFonts w:cs="Calibri"/>
                <w:b/>
                <w:sz w:val="20"/>
                <w:szCs w:val="20"/>
              </w:rPr>
              <w:footnoteReference w:id="39"/>
            </w:r>
          </w:p>
        </w:tc>
        <w:tc>
          <w:tcPr>
            <w:tcW w:w="1984" w:type="dxa"/>
            <w:shd w:val="clear" w:color="auto" w:fill="DCA8B3"/>
            <w:vAlign w:val="center"/>
          </w:tcPr>
          <w:p w14:paraId="74C4DBF8" w14:textId="77777777" w:rsidR="006B765F" w:rsidRPr="004F6F5D" w:rsidRDefault="00CF5EA7" w:rsidP="009500F1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F5EA7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F5EA7">
              <w:rPr>
                <w:rFonts w:cs="Calibri"/>
                <w:b/>
                <w:sz w:val="20"/>
                <w:szCs w:val="20"/>
              </w:rPr>
              <w:t>731,6</w:t>
            </w:r>
          </w:p>
        </w:tc>
      </w:tr>
      <w:tr w:rsidR="006B765F" w:rsidRPr="004F6F5D" w14:paraId="0FBAF01B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56B2B707" w14:textId="77777777" w:rsidR="006B765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 xml:space="preserve">podmíněné pohledávky </w:t>
            </w:r>
            <w:r w:rsidR="006C6E77">
              <w:rPr>
                <w:rFonts w:cs="Calibri"/>
                <w:sz w:val="20"/>
                <w:szCs w:val="20"/>
              </w:rPr>
              <w:t>z</w:t>
            </w:r>
            <w:r w:rsidRPr="00C577BF">
              <w:rPr>
                <w:rFonts w:cs="Calibri"/>
                <w:sz w:val="20"/>
                <w:szCs w:val="20"/>
              </w:rPr>
              <w:t>e vztahu k jiným zdrojům (účet 943)</w:t>
            </w:r>
          </w:p>
        </w:tc>
        <w:tc>
          <w:tcPr>
            <w:tcW w:w="1984" w:type="dxa"/>
            <w:vAlign w:val="center"/>
          </w:tcPr>
          <w:p w14:paraId="21247C22" w14:textId="77777777" w:rsidR="006B765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14</w:t>
            </w:r>
            <w:r w:rsidR="00CF5EA7">
              <w:rPr>
                <w:rFonts w:cs="Calibri"/>
                <w:sz w:val="20"/>
                <w:szCs w:val="20"/>
              </w:rPr>
              <w:t>,2</w:t>
            </w:r>
          </w:p>
        </w:tc>
      </w:tr>
      <w:tr w:rsidR="00C577BF" w:rsidRPr="004F6F5D" w14:paraId="1DC29471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119A07CA" w14:textId="77777777" w:rsidR="00C577B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podmíněné úhrady pohledávek z přijatých zajištění (účet 945)</w:t>
            </w:r>
          </w:p>
        </w:tc>
        <w:tc>
          <w:tcPr>
            <w:tcW w:w="1984" w:type="dxa"/>
            <w:vAlign w:val="center"/>
          </w:tcPr>
          <w:p w14:paraId="5D298AE6" w14:textId="77777777" w:rsidR="00C577B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2</w:t>
            </w:r>
            <w:r w:rsidR="00CF5EA7">
              <w:rPr>
                <w:rFonts w:cs="Calibri"/>
                <w:sz w:val="20"/>
                <w:szCs w:val="20"/>
              </w:rPr>
              <w:t> </w:t>
            </w:r>
            <w:r w:rsidRPr="00C577BF">
              <w:rPr>
                <w:rFonts w:cs="Calibri"/>
                <w:sz w:val="20"/>
                <w:szCs w:val="20"/>
              </w:rPr>
              <w:t>369</w:t>
            </w:r>
            <w:r w:rsidR="00CF5EA7">
              <w:rPr>
                <w:rFonts w:cs="Calibri"/>
                <w:sz w:val="20"/>
                <w:szCs w:val="20"/>
              </w:rPr>
              <w:t>,3</w:t>
            </w:r>
          </w:p>
        </w:tc>
      </w:tr>
      <w:tr w:rsidR="00C577BF" w:rsidRPr="004F6F5D" w14:paraId="5BD58DFE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4CC56255" w14:textId="77777777" w:rsidR="00C577B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podmíněné pohledávky ze soudních sporů, správních řízení a jiných řízení (účet 948)</w:t>
            </w:r>
          </w:p>
        </w:tc>
        <w:tc>
          <w:tcPr>
            <w:tcW w:w="1984" w:type="dxa"/>
            <w:vAlign w:val="center"/>
          </w:tcPr>
          <w:p w14:paraId="4B5A21F5" w14:textId="77777777" w:rsidR="00C577B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2</w:t>
            </w:r>
            <w:r w:rsidR="00CF5EA7">
              <w:rPr>
                <w:rFonts w:cs="Calibri"/>
                <w:sz w:val="20"/>
                <w:szCs w:val="20"/>
              </w:rPr>
              <w:t>,3</w:t>
            </w:r>
          </w:p>
        </w:tc>
      </w:tr>
      <w:tr w:rsidR="00C577BF" w:rsidRPr="004F6F5D" w14:paraId="07CA613A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2AB528E2" w14:textId="77777777" w:rsidR="00C577BF" w:rsidRPr="00C577BF" w:rsidRDefault="00C577BF" w:rsidP="00F23245">
            <w:pPr>
              <w:pStyle w:val="Odstavecseseznamem"/>
              <w:numPr>
                <w:ilvl w:val="0"/>
                <w:numId w:val="1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podmíněné závazky ze soudních sporů, správních řízení a jiných řízení (účet 986)</w:t>
            </w:r>
          </w:p>
        </w:tc>
        <w:tc>
          <w:tcPr>
            <w:tcW w:w="1984" w:type="dxa"/>
            <w:vAlign w:val="center"/>
          </w:tcPr>
          <w:p w14:paraId="02EE3741" w14:textId="77777777" w:rsidR="00C577BF" w:rsidRPr="004F6F5D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sz w:val="20"/>
                <w:szCs w:val="20"/>
              </w:rPr>
              <w:t>4</w:t>
            </w:r>
            <w:r w:rsidR="00CF5EA7">
              <w:rPr>
                <w:rFonts w:cs="Calibri"/>
                <w:sz w:val="20"/>
                <w:szCs w:val="20"/>
              </w:rPr>
              <w:t> </w:t>
            </w:r>
            <w:r w:rsidRPr="00C577BF">
              <w:rPr>
                <w:rFonts w:cs="Calibri"/>
                <w:sz w:val="20"/>
                <w:szCs w:val="20"/>
              </w:rPr>
              <w:t>345</w:t>
            </w:r>
            <w:r w:rsidR="00CF5EA7">
              <w:rPr>
                <w:rFonts w:cs="Calibri"/>
                <w:sz w:val="20"/>
                <w:szCs w:val="20"/>
              </w:rPr>
              <w:t>,8</w:t>
            </w:r>
          </w:p>
        </w:tc>
      </w:tr>
      <w:tr w:rsidR="006B765F" w:rsidRPr="004F6F5D" w14:paraId="71C0FF01" w14:textId="77777777" w:rsidTr="009500F1">
        <w:trPr>
          <w:trHeight w:val="340"/>
          <w:jc w:val="center"/>
        </w:trPr>
        <w:tc>
          <w:tcPr>
            <w:tcW w:w="7209" w:type="dxa"/>
            <w:shd w:val="clear" w:color="auto" w:fill="DCA8B3"/>
            <w:vAlign w:val="center"/>
          </w:tcPr>
          <w:p w14:paraId="7A00B2C7" w14:textId="77777777" w:rsidR="006B765F" w:rsidRPr="004F6F5D" w:rsidRDefault="006B765F" w:rsidP="00C3356D">
            <w:pPr>
              <w:spacing w:after="0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577BF">
              <w:rPr>
                <w:rFonts w:cs="Calibri"/>
                <w:b/>
                <w:sz w:val="20"/>
                <w:szCs w:val="20"/>
              </w:rPr>
              <w:t>III. nejist</w:t>
            </w:r>
            <w:r w:rsidR="00DF6AD0" w:rsidRPr="00C577BF">
              <w:rPr>
                <w:rFonts w:cs="Calibri"/>
                <w:b/>
                <w:sz w:val="20"/>
                <w:szCs w:val="20"/>
              </w:rPr>
              <w:t>á</w:t>
            </w:r>
            <w:r w:rsidRPr="00C577BF">
              <w:rPr>
                <w:rFonts w:cs="Calibri"/>
                <w:b/>
                <w:sz w:val="20"/>
                <w:szCs w:val="20"/>
              </w:rPr>
              <w:t>, neočekávan</w:t>
            </w:r>
            <w:r w:rsidR="00DF6AD0" w:rsidRPr="00C577BF">
              <w:rPr>
                <w:rFonts w:cs="Calibri"/>
                <w:b/>
                <w:sz w:val="20"/>
                <w:szCs w:val="20"/>
              </w:rPr>
              <w:t>á</w:t>
            </w:r>
            <w:r w:rsidRPr="00C577BF">
              <w:rPr>
                <w:rFonts w:cs="Calibri"/>
                <w:b/>
                <w:sz w:val="20"/>
                <w:szCs w:val="20"/>
              </w:rPr>
              <w:t xml:space="preserve"> k plnění</w:t>
            </w:r>
            <w:r w:rsidRPr="00C577BF">
              <w:rPr>
                <w:rStyle w:val="Znakapoznpodarou"/>
                <w:rFonts w:cs="Calibri"/>
                <w:b/>
                <w:sz w:val="20"/>
                <w:szCs w:val="20"/>
              </w:rPr>
              <w:footnoteReference w:id="40"/>
            </w:r>
          </w:p>
        </w:tc>
        <w:tc>
          <w:tcPr>
            <w:tcW w:w="1984" w:type="dxa"/>
            <w:shd w:val="clear" w:color="auto" w:fill="DCA8B3"/>
            <w:vAlign w:val="center"/>
          </w:tcPr>
          <w:p w14:paraId="07D782C9" w14:textId="77777777" w:rsidR="006B765F" w:rsidRPr="004F6F5D" w:rsidRDefault="00486ED5" w:rsidP="009500F1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F5EA7">
              <w:rPr>
                <w:rFonts w:cs="Calibri"/>
                <w:b/>
                <w:sz w:val="20"/>
                <w:szCs w:val="20"/>
              </w:rPr>
              <w:t>0,</w:t>
            </w:r>
            <w:r w:rsidR="00CF5EA7" w:rsidRPr="00CF5EA7">
              <w:rPr>
                <w:rFonts w:cs="Calibri"/>
                <w:b/>
                <w:sz w:val="20"/>
                <w:szCs w:val="20"/>
              </w:rPr>
              <w:t>0</w:t>
            </w:r>
          </w:p>
        </w:tc>
      </w:tr>
      <w:tr w:rsidR="006B765F" w:rsidRPr="004F6F5D" w14:paraId="4FC00D53" w14:textId="77777777" w:rsidTr="009500F1">
        <w:trPr>
          <w:trHeight w:val="340"/>
          <w:jc w:val="center"/>
        </w:trPr>
        <w:tc>
          <w:tcPr>
            <w:tcW w:w="7209" w:type="dxa"/>
            <w:vAlign w:val="center"/>
          </w:tcPr>
          <w:p w14:paraId="1403CD17" w14:textId="77777777" w:rsidR="006B765F" w:rsidRPr="00C577BF" w:rsidRDefault="000E086D" w:rsidP="00C577BF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14:paraId="70DFAB6B" w14:textId="77777777" w:rsidR="006B765F" w:rsidRPr="00C577BF" w:rsidRDefault="00C577BF" w:rsidP="009500F1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577BF">
              <w:rPr>
                <w:rFonts w:cs="Calibri"/>
                <w:sz w:val="20"/>
                <w:szCs w:val="20"/>
              </w:rPr>
              <w:t>0,0</w:t>
            </w:r>
          </w:p>
        </w:tc>
      </w:tr>
    </w:tbl>
    <w:p w14:paraId="15CC00E5" w14:textId="0138A787" w:rsidR="006B765F" w:rsidRPr="00AC218C" w:rsidRDefault="006B765F" w:rsidP="00DF6AD0">
      <w:pPr>
        <w:spacing w:before="40" w:after="240"/>
        <w:jc w:val="both"/>
        <w:rPr>
          <w:rFonts w:cstheme="minorHAnsi"/>
        </w:rPr>
      </w:pPr>
      <w:r w:rsidRPr="00C577BF">
        <w:rPr>
          <w:rFonts w:cs="Calibri"/>
          <w:b/>
          <w:sz w:val="20"/>
          <w:szCs w:val="20"/>
        </w:rPr>
        <w:t>Zdroj:</w:t>
      </w:r>
      <w:r w:rsidRPr="00C577BF">
        <w:rPr>
          <w:rFonts w:cs="Calibri"/>
          <w:sz w:val="20"/>
          <w:szCs w:val="20"/>
        </w:rPr>
        <w:t xml:space="preserve"> ÚZ, vlastní členění</w:t>
      </w:r>
      <w:r w:rsidR="009B3B0F" w:rsidRPr="00C577BF">
        <w:rPr>
          <w:rFonts w:cs="Calibri"/>
          <w:sz w:val="20"/>
          <w:szCs w:val="20"/>
        </w:rPr>
        <w:t xml:space="preserve"> </w:t>
      </w:r>
      <w:r w:rsidR="002E170C">
        <w:rPr>
          <w:rFonts w:cs="Calibri"/>
          <w:sz w:val="20"/>
          <w:szCs w:val="20"/>
        </w:rPr>
        <w:t xml:space="preserve">vypracoval </w:t>
      </w:r>
      <w:r w:rsidR="009B3B0F" w:rsidRPr="00C577BF">
        <w:rPr>
          <w:rFonts w:cs="Calibri"/>
          <w:sz w:val="20"/>
          <w:szCs w:val="20"/>
        </w:rPr>
        <w:t>NKÚ</w:t>
      </w:r>
      <w:r w:rsidR="00F044C6" w:rsidRPr="00C577BF">
        <w:rPr>
          <w:rFonts w:cs="Calibri"/>
          <w:sz w:val="20"/>
          <w:szCs w:val="20"/>
        </w:rPr>
        <w:t>.</w:t>
      </w:r>
    </w:p>
    <w:sectPr w:rsidR="006B765F" w:rsidRPr="00AC218C" w:rsidSect="00DF6AD0">
      <w:headerReference w:type="default" r:id="rId3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B0FD38" w16cex:dateUtc="2024-07-15T08:12:00Z"/>
  <w16cex:commentExtensible w16cex:durableId="46955323" w16cex:dateUtc="2024-07-15T0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3A2E5" w14:textId="77777777" w:rsidR="006575BB" w:rsidRDefault="006575BB">
      <w:pPr>
        <w:spacing w:after="0"/>
      </w:pPr>
      <w:r>
        <w:separator/>
      </w:r>
    </w:p>
  </w:endnote>
  <w:endnote w:type="continuationSeparator" w:id="0">
    <w:p w14:paraId="1EB5457D" w14:textId="77777777" w:rsidR="006575BB" w:rsidRDefault="006575BB">
      <w:pPr>
        <w:spacing w:after="0"/>
      </w:pPr>
      <w:r>
        <w:continuationSeparator/>
      </w:r>
    </w:p>
  </w:endnote>
  <w:endnote w:type="continuationNotice" w:id="1">
    <w:p w14:paraId="0C5A0BD2" w14:textId="77777777" w:rsidR="006575BB" w:rsidRDefault="006575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EndPr/>
    <w:sdtContent>
      <w:p w14:paraId="3E657ECC" w14:textId="1C109BAC" w:rsidR="006575BB" w:rsidRDefault="006575BB" w:rsidP="006575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57FA" w14:textId="77777777" w:rsidR="006575BB" w:rsidRDefault="006575BB" w:rsidP="006575B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21642"/>
      <w:docPartObj>
        <w:docPartGallery w:val="Page Numbers (Bottom of Page)"/>
        <w:docPartUnique/>
      </w:docPartObj>
    </w:sdtPr>
    <w:sdtEndPr/>
    <w:sdtContent>
      <w:p w14:paraId="3A0AE180" w14:textId="4430C66A" w:rsidR="006575BB" w:rsidRDefault="006575BB" w:rsidP="006575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F28DE" w14:textId="77777777" w:rsidR="006575BB" w:rsidRDefault="006575BB" w:rsidP="002B7978">
      <w:pPr>
        <w:spacing w:after="0"/>
      </w:pPr>
      <w:r>
        <w:separator/>
      </w:r>
    </w:p>
  </w:footnote>
  <w:footnote w:type="continuationSeparator" w:id="0">
    <w:p w14:paraId="7AB0C888" w14:textId="77777777" w:rsidR="006575BB" w:rsidRDefault="006575BB" w:rsidP="002B7978">
      <w:pPr>
        <w:spacing w:after="0"/>
      </w:pPr>
      <w:r>
        <w:continuationSeparator/>
      </w:r>
    </w:p>
  </w:footnote>
  <w:footnote w:type="continuationNotice" w:id="1">
    <w:p w14:paraId="7967C235" w14:textId="77777777" w:rsidR="006575BB" w:rsidRDefault="006575BB">
      <w:pPr>
        <w:spacing w:after="0"/>
      </w:pPr>
    </w:p>
  </w:footnote>
  <w:footnote w:id="2">
    <w:p w14:paraId="7DB6BACE" w14:textId="77777777" w:rsidR="006575BB" w:rsidRPr="00B61D07" w:rsidRDefault="006575BB" w:rsidP="00B61D0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61D07">
        <w:rPr>
          <w:rStyle w:val="Znakapoznpodarou"/>
          <w:rFonts w:ascii="Calibri" w:hAnsi="Calibri" w:cs="Calibri"/>
        </w:rPr>
        <w:footnoteRef/>
      </w:r>
      <w:r w:rsidRPr="00B61D07">
        <w:rPr>
          <w:rFonts w:ascii="Calibri" w:hAnsi="Calibri" w:cs="Calibri"/>
        </w:rPr>
        <w:t xml:space="preserve"> </w:t>
      </w:r>
      <w:r w:rsidRPr="00B61D07">
        <w:rPr>
          <w:rFonts w:ascii="Calibri" w:hAnsi="Calibri" w:cs="Calibri"/>
        </w:rPr>
        <w:tab/>
        <w:t>Vybranými účetními jednotkami jsou podle ustanovení § 1 odst. 3 zákona č. 563/1991 Sb., o účetnictví, organizační složky státu, státní fondy podle rozpočtových pravidel, územní samosprávné celky, dobrovolné svazky obcí, příspěvkové organizace a zdravotní pojišťovny.</w:t>
      </w:r>
    </w:p>
  </w:footnote>
  <w:footnote w:id="3">
    <w:p w14:paraId="66296100" w14:textId="6E98FB2B" w:rsidR="006575BB" w:rsidRPr="00B61D07" w:rsidRDefault="006575BB" w:rsidP="00B61D07">
      <w:pPr>
        <w:pStyle w:val="Textpoznpodarou"/>
        <w:ind w:left="284" w:hanging="284"/>
        <w:rPr>
          <w:rFonts w:ascii="Calibri" w:hAnsi="Calibri" w:cs="Calibri"/>
        </w:rPr>
      </w:pPr>
      <w:r w:rsidRPr="00B61D07">
        <w:rPr>
          <w:rStyle w:val="Znakapoznpodarou"/>
          <w:rFonts w:ascii="Calibri" w:hAnsi="Calibri" w:cs="Calibri"/>
        </w:rPr>
        <w:footnoteRef/>
      </w:r>
      <w:r w:rsidRPr="00B61D07">
        <w:rPr>
          <w:rFonts w:ascii="Calibri" w:hAnsi="Calibri" w:cs="Calibri"/>
        </w:rPr>
        <w:t xml:space="preserve"> </w:t>
      </w:r>
      <w:r w:rsidR="00B61D07">
        <w:rPr>
          <w:rFonts w:ascii="Calibri" w:hAnsi="Calibri" w:cs="Calibri"/>
        </w:rPr>
        <w:tab/>
      </w:r>
      <w:r w:rsidRPr="00B61D07">
        <w:rPr>
          <w:rFonts w:ascii="Calibri" w:hAnsi="Calibri" w:cs="Calibri"/>
        </w:rPr>
        <w:t>Viz ustanovení § 6 odst. 5 zákona č. 563/1991 Sb.</w:t>
      </w:r>
    </w:p>
  </w:footnote>
  <w:footnote w:id="4">
    <w:p w14:paraId="5C7B3A0E" w14:textId="6785CD93" w:rsidR="006575BB" w:rsidRPr="00B61D07" w:rsidRDefault="006575BB" w:rsidP="00B61D0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61D07">
        <w:rPr>
          <w:rStyle w:val="Znakapoznpodarou"/>
          <w:rFonts w:ascii="Calibri" w:hAnsi="Calibri" w:cs="Calibri"/>
        </w:rPr>
        <w:footnoteRef/>
      </w:r>
      <w:r w:rsidRPr="00B61D07">
        <w:rPr>
          <w:rFonts w:ascii="Calibri" w:hAnsi="Calibri" w:cs="Calibri"/>
        </w:rPr>
        <w:t xml:space="preserve"> </w:t>
      </w:r>
      <w:r w:rsidR="00CC6A7C">
        <w:rPr>
          <w:rFonts w:ascii="Calibri" w:hAnsi="Calibri" w:cs="Calibri"/>
        </w:rPr>
        <w:tab/>
      </w:r>
      <w:r w:rsidRPr="00B61D07">
        <w:rPr>
          <w:rFonts w:ascii="Calibri" w:hAnsi="Calibri" w:cs="Calibri"/>
        </w:rPr>
        <w:t>Vyhláška č. 383/2009 Sb., o účetních záznamech v technické formě vybraných účetních jednotek a jejich předávání do centrálního systému účetních informací státu a o požadavcích na technické a smíšené formy účetních záznamů (technická vyhláška o účetních záznamech).</w:t>
      </w:r>
    </w:p>
  </w:footnote>
  <w:footnote w:id="5">
    <w:p w14:paraId="2891A56D" w14:textId="61224508" w:rsidR="006575BB" w:rsidRPr="00B61D07" w:rsidRDefault="006575BB" w:rsidP="00B61D07">
      <w:pPr>
        <w:pStyle w:val="Textpoznpodarou"/>
        <w:ind w:left="284" w:hanging="284"/>
        <w:rPr>
          <w:rFonts w:ascii="Calibri" w:hAnsi="Calibri" w:cs="Calibri"/>
        </w:rPr>
      </w:pPr>
      <w:r w:rsidRPr="00B61D07">
        <w:rPr>
          <w:rStyle w:val="Znakapoznpodarou"/>
          <w:rFonts w:ascii="Calibri" w:hAnsi="Calibri" w:cs="Calibri"/>
        </w:rPr>
        <w:footnoteRef/>
      </w:r>
      <w:r w:rsidRPr="00B61D07">
        <w:rPr>
          <w:rFonts w:ascii="Calibri" w:hAnsi="Calibri" w:cs="Calibri"/>
        </w:rPr>
        <w:t xml:space="preserve"> </w:t>
      </w:r>
      <w:r w:rsidR="00CC6A7C">
        <w:rPr>
          <w:rFonts w:ascii="Calibri" w:hAnsi="Calibri" w:cs="Calibri"/>
        </w:rPr>
        <w:tab/>
      </w:r>
      <w:r w:rsidRPr="00B61D07">
        <w:rPr>
          <w:rFonts w:ascii="Calibri" w:hAnsi="Calibri" w:cs="Calibri"/>
        </w:rPr>
        <w:t>Údaje zveřejněné na informačním portálu MONITOR (</w:t>
      </w:r>
      <w:r w:rsidR="00CC6A7C">
        <w:rPr>
          <w:rFonts w:ascii="Calibri" w:hAnsi="Calibri" w:cs="Calibri"/>
          <w:iCs/>
          <w:color w:val="000000"/>
          <w:shd w:val="clear" w:color="auto" w:fill="FFFFFF"/>
        </w:rPr>
        <w:t>i</w:t>
      </w:r>
      <w:r w:rsidRPr="00B61D07">
        <w:rPr>
          <w:rFonts w:ascii="Calibri" w:hAnsi="Calibri" w:cs="Calibri"/>
          <w:iCs/>
          <w:color w:val="000000"/>
          <w:shd w:val="clear" w:color="auto" w:fill="FFFFFF"/>
        </w:rPr>
        <w:t>nformační portál</w:t>
      </w:r>
      <w:r w:rsidRPr="00B61D0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Pr="00B61D07">
        <w:rPr>
          <w:rFonts w:ascii="Calibri" w:hAnsi="Calibri" w:cs="Calibri"/>
          <w:iCs/>
          <w:color w:val="000000"/>
          <w:shd w:val="clear" w:color="auto" w:fill="FFFFFF"/>
        </w:rPr>
        <w:t xml:space="preserve">MONITOR </w:t>
      </w:r>
      <w:r w:rsidRPr="00B61D07">
        <w:rPr>
          <w:rFonts w:ascii="Calibri" w:hAnsi="Calibri" w:cs="Calibri"/>
          <w:color w:val="000000"/>
          <w:shd w:val="clear" w:color="auto" w:fill="FFFFFF"/>
        </w:rPr>
        <w:t xml:space="preserve">[online]. Údaje výkazů účetní závěrky [cit. 19. 8. 2024]. Dostupné z: </w:t>
      </w:r>
      <w:hyperlink r:id="rId1" w:history="1">
        <w:r w:rsidRPr="00B61D07">
          <w:rPr>
            <w:rStyle w:val="Hypertextovodkaz"/>
            <w:rFonts w:ascii="Calibri" w:hAnsi="Calibri" w:cs="Calibri"/>
          </w:rPr>
          <w:t>https://monitor.statnipokladna.cz/ucetni-jednotka/66002222/ucetni-zaverka/rozvaha?rad=j&amp;obdobi=2312</w:t>
        </w:r>
      </w:hyperlink>
      <w:r w:rsidRPr="00B61D07">
        <w:rPr>
          <w:rStyle w:val="Hypertextovodkaz"/>
          <w:rFonts w:ascii="Calibri" w:hAnsi="Calibri" w:cs="Calibri"/>
          <w:color w:val="auto"/>
          <w:u w:val="none"/>
        </w:rPr>
        <w:t>) nebyly ani k datu schválení tohoto kontrolního závěru aktualizovány</w:t>
      </w:r>
      <w:r w:rsidR="00CC6A7C">
        <w:rPr>
          <w:rStyle w:val="Hypertextovodkaz"/>
          <w:rFonts w:ascii="Calibri" w:hAnsi="Calibri" w:cs="Calibri"/>
          <w:color w:val="auto"/>
          <w:u w:val="none"/>
        </w:rPr>
        <w:t>,</w:t>
      </w:r>
      <w:r w:rsidRPr="00B61D07">
        <w:rPr>
          <w:rStyle w:val="Hypertextovodkaz"/>
          <w:rFonts w:ascii="Calibri" w:hAnsi="Calibri" w:cs="Calibri"/>
          <w:color w:val="auto"/>
          <w:u w:val="none"/>
        </w:rPr>
        <w:t xml:space="preserve"> a byly tak zčásti nesprávné, přestože MMR po provedení oprav předalo do CSÚIS nové účetní výkazy se správnými údaji.</w:t>
      </w:r>
    </w:p>
  </w:footnote>
  <w:footnote w:id="6">
    <w:p w14:paraId="7E6F0AFE" w14:textId="32BBC7BC" w:rsidR="006575BB" w:rsidRPr="00B61D07" w:rsidRDefault="006575BB" w:rsidP="00B61D07">
      <w:pPr>
        <w:pStyle w:val="Textpoznpodarou"/>
        <w:ind w:left="284" w:hanging="284"/>
        <w:rPr>
          <w:rFonts w:ascii="Calibri" w:hAnsi="Calibri" w:cs="Calibri"/>
        </w:rPr>
      </w:pPr>
      <w:r w:rsidRPr="00B61D07">
        <w:rPr>
          <w:rStyle w:val="Znakapoznpodarou"/>
          <w:rFonts w:ascii="Calibri" w:hAnsi="Calibri" w:cs="Calibri"/>
        </w:rPr>
        <w:footnoteRef/>
      </w:r>
      <w:r w:rsidRPr="00B61D07">
        <w:rPr>
          <w:rFonts w:ascii="Calibri" w:hAnsi="Calibri" w:cs="Calibri"/>
        </w:rPr>
        <w:t xml:space="preserve"> </w:t>
      </w:r>
      <w:r w:rsidR="00CC6A7C">
        <w:rPr>
          <w:rFonts w:ascii="Calibri" w:hAnsi="Calibri" w:cs="Calibri"/>
        </w:rPr>
        <w:tab/>
      </w:r>
      <w:r w:rsidRPr="00B61D07">
        <w:rPr>
          <w:rFonts w:ascii="Calibri" w:hAnsi="Calibri" w:cs="Calibri"/>
        </w:rPr>
        <w:t xml:space="preserve">Viz ustanovení § 18 zákona č. 563/1991 Sb. </w:t>
      </w:r>
    </w:p>
  </w:footnote>
  <w:footnote w:id="7">
    <w:p w14:paraId="05059F4C" w14:textId="77777777" w:rsidR="006575BB" w:rsidRPr="00B61D07" w:rsidRDefault="006575BB" w:rsidP="00B61D07">
      <w:pPr>
        <w:pStyle w:val="Textpoznpodarou"/>
        <w:ind w:left="284" w:hanging="284"/>
        <w:rPr>
          <w:rFonts w:ascii="Calibri" w:hAnsi="Calibri" w:cs="Calibri"/>
        </w:rPr>
      </w:pPr>
      <w:r w:rsidRPr="00B61D07">
        <w:rPr>
          <w:rStyle w:val="Znakapoznpodarou"/>
          <w:rFonts w:ascii="Calibri" w:hAnsi="Calibri" w:cs="Calibri"/>
        </w:rPr>
        <w:footnoteRef/>
      </w:r>
      <w:r w:rsidRPr="00B61D07">
        <w:rPr>
          <w:rFonts w:ascii="Calibri" w:hAnsi="Calibri" w:cs="Calibri"/>
        </w:rPr>
        <w:t xml:space="preserve"> </w:t>
      </w:r>
      <w:r w:rsidRPr="00B61D07">
        <w:rPr>
          <w:rFonts w:ascii="Calibri" w:hAnsi="Calibri" w:cs="Calibri"/>
        </w:rPr>
        <w:tab/>
        <w:t>Viz ustanovení § 19 odst. 7 zákona č. 563/1991 Sb.</w:t>
      </w:r>
    </w:p>
  </w:footnote>
  <w:footnote w:id="8">
    <w:p w14:paraId="43BCE52D" w14:textId="7D9F831F" w:rsidR="006575BB" w:rsidRPr="00CE74CE" w:rsidRDefault="006575BB" w:rsidP="00603A22">
      <w:pPr>
        <w:pStyle w:val="Textpoznpodarou"/>
        <w:ind w:left="284" w:hanging="284"/>
        <w:rPr>
          <w:rFonts w:asciiTheme="minorHAnsi" w:hAnsiTheme="minorHAnsi" w:cstheme="minorHAnsi"/>
        </w:rPr>
      </w:pPr>
      <w:r w:rsidRPr="00CE74CE">
        <w:rPr>
          <w:rStyle w:val="Znakapoznpodarou"/>
          <w:rFonts w:asciiTheme="minorHAnsi" w:hAnsiTheme="minorHAnsi" w:cstheme="minorHAnsi"/>
        </w:rPr>
        <w:footnoteRef/>
      </w:r>
      <w:r w:rsidRPr="00CE74CE">
        <w:rPr>
          <w:rFonts w:asciiTheme="minorHAnsi" w:hAnsiTheme="minorHAnsi" w:cstheme="minorHAnsi"/>
        </w:rPr>
        <w:t xml:space="preserve"> </w:t>
      </w:r>
      <w:r w:rsidRPr="00CE74CE">
        <w:rPr>
          <w:rFonts w:asciiTheme="minorHAnsi" w:hAnsiTheme="minorHAnsi" w:cstheme="minorHAnsi"/>
        </w:rPr>
        <w:tab/>
        <w:t>Informační portál</w:t>
      </w:r>
      <w:r w:rsidRPr="00CE74CE">
        <w:rPr>
          <w:rFonts w:asciiTheme="minorHAnsi" w:hAnsiTheme="minorHAnsi" w:cstheme="minorHAnsi"/>
          <w:i/>
        </w:rPr>
        <w:t xml:space="preserve"> </w:t>
      </w:r>
      <w:r w:rsidRPr="00CE74CE">
        <w:rPr>
          <w:rFonts w:asciiTheme="minorHAnsi" w:hAnsiTheme="minorHAnsi" w:cstheme="minorHAnsi"/>
          <w:iCs/>
          <w:color w:val="000000"/>
          <w:shd w:val="clear" w:color="auto" w:fill="FFFFFF"/>
        </w:rPr>
        <w:t>MONITOR</w:t>
      </w:r>
      <w:r w:rsidRPr="00CE74CE">
        <w:rPr>
          <w:rFonts w:asciiTheme="minorHAnsi" w:hAnsiTheme="minorHAnsi" w:cstheme="minorHAnsi"/>
          <w:color w:val="000000"/>
          <w:shd w:val="clear" w:color="auto" w:fill="FFFFFF"/>
        </w:rPr>
        <w:t xml:space="preserve"> [online]. Výkaz pro hodnocení plnění </w:t>
      </w:r>
      <w:r w:rsidRPr="00891458">
        <w:rPr>
          <w:rFonts w:asciiTheme="minorHAnsi" w:hAnsiTheme="minorHAnsi" w:cstheme="minorHAnsi"/>
          <w:color w:val="000000"/>
          <w:shd w:val="clear" w:color="auto" w:fill="FFFFFF"/>
        </w:rPr>
        <w:t>rozpočtu [</w:t>
      </w:r>
      <w:r w:rsidRPr="00E46B55">
        <w:rPr>
          <w:rFonts w:asciiTheme="minorHAnsi" w:hAnsiTheme="minorHAnsi" w:cstheme="minorHAnsi"/>
          <w:color w:val="000000"/>
          <w:shd w:val="clear" w:color="auto" w:fill="FFFFFF"/>
        </w:rPr>
        <w:t>cit. 19. 8. 2024</w:t>
      </w:r>
      <w:r w:rsidRPr="00891458">
        <w:rPr>
          <w:rFonts w:asciiTheme="minorHAnsi" w:hAnsiTheme="minorHAnsi" w:cstheme="minorHAnsi"/>
          <w:color w:val="000000"/>
          <w:shd w:val="clear" w:color="auto" w:fill="FFFFFF"/>
        </w:rPr>
        <w:t>]. Dostupné</w:t>
      </w:r>
      <w:r w:rsidRPr="00CE74CE">
        <w:rPr>
          <w:rFonts w:asciiTheme="minorHAnsi" w:hAnsiTheme="minorHAnsi" w:cstheme="minorHAnsi"/>
          <w:color w:val="000000"/>
          <w:shd w:val="clear" w:color="auto" w:fill="FFFFFF"/>
        </w:rPr>
        <w:t xml:space="preserve"> z:</w:t>
      </w:r>
      <w:r w:rsidRPr="00CE74CE">
        <w:rPr>
          <w:rFonts w:asciiTheme="minorHAnsi" w:hAnsiTheme="minorHAnsi" w:cstheme="minorHAnsi"/>
        </w:rPr>
        <w:t xml:space="preserve"> </w:t>
      </w:r>
      <w:hyperlink r:id="rId2" w:history="1">
        <w:r w:rsidRPr="00CE74CE">
          <w:rPr>
            <w:rStyle w:val="Hypertextovodkaz"/>
            <w:rFonts w:asciiTheme="minorHAnsi" w:hAnsiTheme="minorHAnsi" w:cstheme="minorHAnsi"/>
          </w:rPr>
          <w:t>https://monitor.statnipokladna.cz/ucetni-jednotka/66002222/rozpocet/souhrnny?rad=j&amp;obdobi=2312</w:t>
        </w:r>
      </w:hyperlink>
      <w:r w:rsidRPr="00CE74C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9">
    <w:p w14:paraId="40B0BC86" w14:textId="2A83F3C5" w:rsidR="006575BB" w:rsidRPr="00B7054F" w:rsidRDefault="006575BB" w:rsidP="00B7054F">
      <w:pPr>
        <w:pStyle w:val="Textpoznpodarou"/>
        <w:ind w:left="284" w:hanging="284"/>
        <w:rPr>
          <w:rFonts w:ascii="Calibri" w:hAnsi="Calibri" w:cs="Calibri"/>
        </w:rPr>
      </w:pPr>
      <w:r w:rsidRPr="00B7054F">
        <w:rPr>
          <w:rStyle w:val="Znakapoznpodarou"/>
          <w:rFonts w:ascii="Calibri" w:hAnsi="Calibri" w:cs="Calibri"/>
        </w:rPr>
        <w:footnoteRef/>
      </w:r>
      <w:r w:rsidRPr="00B7054F">
        <w:rPr>
          <w:rFonts w:ascii="Calibri" w:hAnsi="Calibri" w:cs="Calibri"/>
        </w:rPr>
        <w:t xml:space="preserve"> </w:t>
      </w:r>
      <w:r w:rsidR="0091565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Vyhláška č. 419/2001 Sb., o předkládání údajů pro vypracování návrhu státního závěrečného účtu. </w:t>
      </w:r>
    </w:p>
  </w:footnote>
  <w:footnote w:id="10">
    <w:p w14:paraId="573D3DF7" w14:textId="77777777" w:rsidR="006575BB" w:rsidRPr="00BD6AA4" w:rsidRDefault="006575BB" w:rsidP="00DF6AD0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88411F">
        <w:rPr>
          <w:rStyle w:val="Znakapoznpodarou"/>
          <w:rFonts w:asciiTheme="minorHAnsi" w:hAnsiTheme="minorHAnsi" w:cstheme="minorHAnsi"/>
        </w:rPr>
        <w:footnoteRef/>
      </w:r>
      <w:r>
        <w:t xml:space="preserve"> </w:t>
      </w:r>
      <w:r>
        <w:tab/>
      </w:r>
      <w:r w:rsidRPr="00BD6AA4">
        <w:rPr>
          <w:rFonts w:asciiTheme="minorHAnsi" w:hAnsiTheme="minorHAnsi" w:cstheme="minorHAnsi"/>
        </w:rPr>
        <w:t xml:space="preserve">Na základě usnesení vlády ČR ze dne </w:t>
      </w:r>
      <w:r>
        <w:rPr>
          <w:rFonts w:asciiTheme="minorHAnsi" w:hAnsiTheme="minorHAnsi" w:cstheme="minorHAnsi"/>
        </w:rPr>
        <w:t>8</w:t>
      </w:r>
      <w:r w:rsidRPr="00BD6AA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března</w:t>
      </w:r>
      <w:r w:rsidRPr="00BD6AA4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21</w:t>
      </w:r>
      <w:r w:rsidRPr="00BD6AA4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>257,</w:t>
      </w:r>
      <w:r w:rsidRPr="00BD6AA4">
        <w:rPr>
          <w:rFonts w:asciiTheme="minorHAnsi" w:hAnsiTheme="minorHAnsi" w:cstheme="minorHAnsi"/>
        </w:rPr>
        <w:t xml:space="preserve"> </w:t>
      </w:r>
      <w:r w:rsidRPr="005F4282">
        <w:rPr>
          <w:rFonts w:asciiTheme="minorHAnsi" w:hAnsiTheme="minorHAnsi" w:cstheme="minorHAnsi"/>
          <w:i/>
        </w:rPr>
        <w:t>ke Kontrolnímu závěru Nejvyššího kontrolního úřadu z kontrolní akce č. 19/21 Závěrečný účet kapitoly státního rozpočtu Ministerstvo pro místní rozvoj za rok 2018, účetní závěrka Ministerstva pro místní rozvoj za rok 2018 a údaje předkládané Ministerstvem pro místní rozvoj pro hodnocení plnění státního rozpočtu za rok 2018</w:t>
      </w:r>
      <w:r w:rsidRPr="00BD6AA4">
        <w:rPr>
          <w:rFonts w:asciiTheme="minorHAnsi" w:hAnsiTheme="minorHAnsi" w:cstheme="minorHAnsi"/>
          <w:i/>
        </w:rPr>
        <w:t>.</w:t>
      </w:r>
    </w:p>
  </w:footnote>
  <w:footnote w:id="11">
    <w:p w14:paraId="637F0C0A" w14:textId="4C1D766E" w:rsidR="006575BB" w:rsidRPr="0088411F" w:rsidRDefault="006575BB" w:rsidP="009D7FDB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8411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8411F">
        <w:rPr>
          <w:rFonts w:ascii="Calibri" w:hAnsi="Calibri" w:cs="Calibri"/>
        </w:rPr>
        <w:t>K</w:t>
      </w:r>
      <w:r>
        <w:rPr>
          <w:rFonts w:ascii="Calibri" w:hAnsi="Calibri" w:cs="Calibri"/>
        </w:rPr>
        <w:t>ontrolní akce</w:t>
      </w:r>
      <w:r w:rsidRPr="0088411F">
        <w:rPr>
          <w:rFonts w:ascii="Calibri" w:hAnsi="Calibri" w:cs="Calibri"/>
        </w:rPr>
        <w:t xml:space="preserve"> č. </w:t>
      </w:r>
      <w:r>
        <w:rPr>
          <w:rFonts w:ascii="Calibri" w:hAnsi="Calibri" w:cs="Calibri"/>
        </w:rPr>
        <w:t>19</w:t>
      </w:r>
      <w:r w:rsidRPr="0088411F">
        <w:rPr>
          <w:rFonts w:ascii="Calibri" w:hAnsi="Calibri" w:cs="Calibri"/>
        </w:rPr>
        <w:t>/2</w:t>
      </w:r>
      <w:r>
        <w:rPr>
          <w:rFonts w:ascii="Calibri" w:hAnsi="Calibri" w:cs="Calibri"/>
        </w:rPr>
        <w:t>1</w:t>
      </w:r>
      <w:r w:rsidRPr="008841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</w:t>
      </w:r>
      <w:r w:rsidRPr="009D7FDB">
        <w:rPr>
          <w:rFonts w:ascii="Calibri" w:hAnsi="Calibri" w:cs="Calibri"/>
          <w:i/>
        </w:rPr>
        <w:t>Závěrečný účet kapitoly státního rozpočtu Ministerstvo pro místní rozvoj za rok 2018, účetní závěrka Ministerstva pro místní rozvoj za rok 2018 a údaje předkládané Ministerstvem pro místní rozvoj pro hodnocení plnění státního rozpočtu za rok 2018</w:t>
      </w:r>
      <w:r w:rsidR="00915651">
        <w:rPr>
          <w:rFonts w:ascii="Calibri" w:hAnsi="Calibri" w:cs="Calibri"/>
        </w:rPr>
        <w:t xml:space="preserve">; kontrolní závěr byl zveřejněn v částce 6/2020 </w:t>
      </w:r>
      <w:r w:rsidR="00915651">
        <w:rPr>
          <w:rFonts w:ascii="Calibri" w:hAnsi="Calibri" w:cs="Calibri"/>
          <w:i/>
        </w:rPr>
        <w:t>Věstníku NKÚ</w:t>
      </w:r>
      <w:r>
        <w:rPr>
          <w:rFonts w:ascii="Calibri" w:hAnsi="Calibri" w:cs="Calibri"/>
        </w:rPr>
        <w:t>.</w:t>
      </w:r>
    </w:p>
  </w:footnote>
  <w:footnote w:id="12">
    <w:p w14:paraId="1BFDB746" w14:textId="5BF2D0F0" w:rsidR="006575BB" w:rsidRPr="009D7FDB" w:rsidRDefault="006575BB" w:rsidP="0082196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D7FDB">
        <w:rPr>
          <w:rStyle w:val="Znakapoznpodarou"/>
          <w:rFonts w:asciiTheme="minorHAnsi" w:hAnsiTheme="minorHAnsi" w:cstheme="minorHAnsi"/>
        </w:rPr>
        <w:footnoteRef/>
      </w:r>
      <w:r w:rsidRPr="009D7FDB">
        <w:rPr>
          <w:rFonts w:asciiTheme="minorHAnsi" w:hAnsiTheme="minorHAnsi" w:cstheme="minorHAnsi"/>
        </w:rPr>
        <w:t xml:space="preserve"> </w:t>
      </w:r>
      <w:r w:rsidR="006D29B3">
        <w:rPr>
          <w:rFonts w:asciiTheme="minorHAnsi" w:hAnsiTheme="minorHAnsi" w:cstheme="minorHAnsi"/>
        </w:rPr>
        <w:tab/>
      </w:r>
      <w:r w:rsidRPr="009D7FDB">
        <w:rPr>
          <w:rFonts w:asciiTheme="minorHAnsi" w:hAnsiTheme="minorHAnsi" w:cstheme="minorHAnsi"/>
        </w:rPr>
        <w:t>Zákon č. 2/1969 Sb., o zřízení ministerstev a jiných ústředních orgánů státní správy České republiky</w:t>
      </w:r>
      <w:r>
        <w:rPr>
          <w:rFonts w:asciiTheme="minorHAnsi" w:hAnsiTheme="minorHAnsi" w:cstheme="minorHAnsi"/>
        </w:rPr>
        <w:t>.</w:t>
      </w:r>
    </w:p>
  </w:footnote>
  <w:footnote w:id="13">
    <w:p w14:paraId="6F6CB186" w14:textId="77777777" w:rsidR="006575BB" w:rsidRPr="00FD2889" w:rsidRDefault="006575BB" w:rsidP="0082196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D2889">
        <w:rPr>
          <w:rStyle w:val="Znakapoznpodarou"/>
          <w:rFonts w:asciiTheme="minorHAnsi" w:hAnsiTheme="minorHAnsi" w:cstheme="minorHAnsi"/>
        </w:rPr>
        <w:footnoteRef/>
      </w:r>
      <w:r w:rsidRPr="00FD28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D2889">
        <w:rPr>
          <w:rFonts w:asciiTheme="minorHAnsi" w:hAnsiTheme="minorHAnsi" w:cstheme="minorHAnsi"/>
        </w:rPr>
        <w:t>Zákon č. 219/2000 Sb., o majetku České republiky a jejím vystupování v právních vztazích.</w:t>
      </w:r>
    </w:p>
  </w:footnote>
  <w:footnote w:id="14">
    <w:p w14:paraId="37E34B41" w14:textId="77777777" w:rsidR="006575BB" w:rsidRPr="009363E2" w:rsidRDefault="006575BB" w:rsidP="0082196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363E2">
        <w:rPr>
          <w:rStyle w:val="Znakapoznpodarou"/>
          <w:rFonts w:asciiTheme="minorHAnsi" w:hAnsiTheme="minorHAnsi" w:cstheme="minorHAnsi"/>
        </w:rPr>
        <w:footnoteRef/>
      </w:r>
      <w:r w:rsidRPr="009363E2">
        <w:rPr>
          <w:rFonts w:asciiTheme="minorHAnsi" w:hAnsiTheme="minorHAnsi" w:cstheme="minorHAnsi"/>
        </w:rPr>
        <w:t xml:space="preserve">  Zákon č. 218/2000 Sb., o rozpočtových pravidlech a o změně některých souvisejících zákonů (rozpočtová pravidla)</w:t>
      </w:r>
      <w:r>
        <w:rPr>
          <w:rFonts w:asciiTheme="minorHAnsi" w:hAnsiTheme="minorHAnsi" w:cstheme="minorHAnsi"/>
        </w:rPr>
        <w:t>.</w:t>
      </w:r>
    </w:p>
  </w:footnote>
  <w:footnote w:id="15">
    <w:p w14:paraId="25CAD3E8" w14:textId="77777777" w:rsidR="006575BB" w:rsidRPr="00B87A71" w:rsidRDefault="006575BB" w:rsidP="00EF15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Vyhláška č. 412/2021 Sb., o rozpočtové skladbě.</w:t>
      </w:r>
    </w:p>
  </w:footnote>
  <w:footnote w:id="16">
    <w:p w14:paraId="71303635" w14:textId="77777777" w:rsidR="006575BB" w:rsidRPr="007764A9" w:rsidRDefault="006575BB" w:rsidP="0082196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764A9">
        <w:rPr>
          <w:rStyle w:val="Znakapoznpodarou"/>
          <w:rFonts w:asciiTheme="minorHAnsi" w:hAnsiTheme="minorHAnsi" w:cstheme="minorHAnsi"/>
        </w:rPr>
        <w:footnoteRef/>
      </w:r>
      <w:r w:rsidRPr="007764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764A9">
        <w:rPr>
          <w:rFonts w:asciiTheme="minorHAnsi" w:hAnsiTheme="minorHAnsi" w:cstheme="minorHAnsi"/>
        </w:rPr>
        <w:t xml:space="preserve">Dle ustanovení § 3 písm. o) </w:t>
      </w:r>
      <w:r>
        <w:rPr>
          <w:rFonts w:asciiTheme="minorHAnsi" w:hAnsiTheme="minorHAnsi" w:cstheme="minorHAnsi"/>
        </w:rPr>
        <w:t xml:space="preserve">zákona č. 218/2000 Sb. </w:t>
      </w:r>
      <w:r w:rsidRPr="007764A9">
        <w:rPr>
          <w:rFonts w:asciiTheme="minorHAnsi" w:hAnsiTheme="minorHAnsi" w:cstheme="minorHAnsi"/>
        </w:rPr>
        <w:t>je rozpočtový systém informačním systémem veřejné správy,</w:t>
      </w:r>
      <w:r>
        <w:rPr>
          <w:rFonts w:asciiTheme="minorHAnsi" w:hAnsiTheme="minorHAnsi" w:cstheme="minorHAnsi"/>
        </w:rPr>
        <w:t xml:space="preserve"> </w:t>
      </w:r>
      <w:r w:rsidRPr="007764A9">
        <w:rPr>
          <w:rFonts w:asciiTheme="minorHAnsi" w:hAnsiTheme="minorHAnsi" w:cstheme="minorHAnsi"/>
        </w:rPr>
        <w:t>v němž se mj. soustřeďují údaje pro hodnocení plnění státního rozpočtu.</w:t>
      </w:r>
    </w:p>
  </w:footnote>
  <w:footnote w:id="17">
    <w:p w14:paraId="619C81AB" w14:textId="19291AAB" w:rsidR="006575BB" w:rsidRPr="001D587D" w:rsidRDefault="006575BB" w:rsidP="001D58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D587D">
        <w:rPr>
          <w:rStyle w:val="Znakapoznpodarou"/>
          <w:rFonts w:asciiTheme="minorHAnsi" w:hAnsiTheme="minorHAnsi" w:cstheme="minorHAnsi"/>
        </w:rPr>
        <w:footnoteRef/>
      </w:r>
      <w:r w:rsidRPr="001D587D">
        <w:rPr>
          <w:rFonts w:asciiTheme="minorHAnsi" w:hAnsiTheme="minorHAnsi" w:cstheme="minorHAnsi"/>
        </w:rPr>
        <w:t xml:space="preserve"> </w:t>
      </w:r>
      <w:r w:rsidR="006C39FA">
        <w:rPr>
          <w:rFonts w:asciiTheme="minorHAnsi" w:hAnsiTheme="minorHAnsi" w:cstheme="minorHAnsi"/>
        </w:rPr>
        <w:tab/>
      </w:r>
      <w:r w:rsidRPr="001D587D">
        <w:rPr>
          <w:rFonts w:asciiTheme="minorHAnsi" w:hAnsiTheme="minorHAnsi" w:cstheme="minorHAnsi"/>
        </w:rPr>
        <w:t>Dle ustanovení § 20 odst. 4 zákona č. 218/2000 Sb. jsou OSS povinny předkládat údaje potřebné pro průběžné hodnocení plnění státního rozpočtu. Způsob a termíny předkládání údajů a jejich rozsah stanovuje vyhláška č. 5/2014 Sb., o způsobu, termínech a rozsahu údajů předkládaných pro hodnocení plnění státního rozpočtu, rozpočtů státních fondů, rozpočtů územních samosprávných celků a rozpočtů dobrovolných svazků obcí. Dle ustanovení § 5 odst. 1 a dle přílohy č. 1 této vyhlášky zpracovávají OSS údaje pro hodnocení plnění státního rozpočtu přímo v rozpočtovém systému, ve kterém je z nich následně sestavován výkaz FIN 1-12 OSS.</w:t>
      </w:r>
    </w:p>
  </w:footnote>
  <w:footnote w:id="18">
    <w:p w14:paraId="4C27650C" w14:textId="295774EF" w:rsidR="006575BB" w:rsidRPr="00171A18" w:rsidRDefault="006575BB" w:rsidP="00171A1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71A18">
        <w:rPr>
          <w:rStyle w:val="Znakapoznpodarou"/>
          <w:rFonts w:ascii="Calibri" w:hAnsi="Calibri" w:cs="Calibri"/>
        </w:rPr>
        <w:footnoteRef/>
      </w:r>
      <w:r w:rsidRPr="00171A18">
        <w:rPr>
          <w:rFonts w:ascii="Calibri" w:hAnsi="Calibri" w:cs="Calibri"/>
        </w:rPr>
        <w:t xml:space="preserve"> </w:t>
      </w:r>
      <w:r w:rsidR="006C39FA">
        <w:rPr>
          <w:rFonts w:ascii="Calibri" w:hAnsi="Calibri" w:cs="Calibri"/>
        </w:rPr>
        <w:tab/>
      </w:r>
      <w:r>
        <w:rPr>
          <w:rFonts w:ascii="Calibri" w:hAnsi="Calibri" w:cs="Calibri"/>
        </w:rPr>
        <w:t>MMR</w:t>
      </w:r>
      <w:r w:rsidRPr="00171A18">
        <w:rPr>
          <w:rFonts w:ascii="Calibri" w:hAnsi="Calibri" w:cs="Calibri"/>
        </w:rPr>
        <w:t xml:space="preserve"> je jakožto OSS povin</w:t>
      </w:r>
      <w:r>
        <w:rPr>
          <w:rFonts w:ascii="Calibri" w:hAnsi="Calibri" w:cs="Calibri"/>
        </w:rPr>
        <w:t>no</w:t>
      </w:r>
      <w:r w:rsidRPr="00171A18">
        <w:rPr>
          <w:rFonts w:ascii="Calibri" w:hAnsi="Calibri" w:cs="Calibri"/>
        </w:rPr>
        <w:t xml:space="preserve"> v souladu se zákonem č. 563/1991 Sb. účtovat o stavu a pohybu majetku a jiných aktiv, závazků a jiných pasiv, o nákladech a výnosech a o výsledku hospodaření. Informace, které předkládá v</w:t>
      </w:r>
      <w:r>
        <w:rPr>
          <w:rFonts w:ascii="Calibri" w:hAnsi="Calibri" w:cs="Calibri"/>
        </w:rPr>
        <w:t> </w:t>
      </w:r>
      <w:r w:rsidRPr="00171A18">
        <w:rPr>
          <w:rFonts w:ascii="Calibri" w:hAnsi="Calibri" w:cs="Calibri"/>
        </w:rPr>
        <w:t>účetní závěrce, musí být spolehlivé, srovnatelné, srozumitelné a posuzují se z hlediska významnosti.</w:t>
      </w:r>
    </w:p>
  </w:footnote>
  <w:footnote w:id="19">
    <w:p w14:paraId="1E5C54BA" w14:textId="77777777" w:rsidR="006575BB" w:rsidRPr="0062114B" w:rsidRDefault="006575BB" w:rsidP="0094348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2114B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2114B">
        <w:rPr>
          <w:rFonts w:asciiTheme="minorHAnsi" w:hAnsiTheme="minorHAnsi" w:cstheme="minorHAnsi"/>
        </w:rPr>
        <w:t>Vyhláška č. 410/2009 Sb., kterou se provádějí některá ustanovení zákona č. 563/1991 Sb., o účetnictví, ve znění pozdějších předpisů, pro některé vybrané účetní jednotky</w:t>
      </w:r>
      <w:r>
        <w:rPr>
          <w:rFonts w:asciiTheme="minorHAnsi" w:hAnsiTheme="minorHAnsi" w:cstheme="minorHAnsi"/>
        </w:rPr>
        <w:t>.</w:t>
      </w:r>
    </w:p>
  </w:footnote>
  <w:footnote w:id="20">
    <w:p w14:paraId="572B3577" w14:textId="77777777" w:rsidR="006575BB" w:rsidRPr="00B87A71" w:rsidRDefault="006575BB" w:rsidP="00BA2B3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21">
    <w:p w14:paraId="2FAF0487" w14:textId="77777777" w:rsidR="006575BB" w:rsidRPr="007D6AD1" w:rsidRDefault="006575BB" w:rsidP="0062114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D6AD1">
        <w:rPr>
          <w:rStyle w:val="Znakapoznpodarou"/>
          <w:rFonts w:asciiTheme="minorHAnsi" w:hAnsiTheme="minorHAnsi" w:cstheme="minorHAnsi"/>
        </w:rPr>
        <w:footnoteRef/>
      </w:r>
      <w:r w:rsidRPr="007D6A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D6AD1">
        <w:rPr>
          <w:rFonts w:asciiTheme="minorHAnsi" w:hAnsiTheme="minorHAnsi" w:cstheme="minorHAnsi"/>
        </w:rPr>
        <w:t>Zákon č. 320/2001 Sb., o finanční kontrole ve veřejné správě a o změně některých zákonů (zákon o finanční kontrole).</w:t>
      </w:r>
    </w:p>
  </w:footnote>
  <w:footnote w:id="22">
    <w:p w14:paraId="684D70E7" w14:textId="77777777" w:rsidR="006575BB" w:rsidRPr="00B87A71" w:rsidRDefault="006575BB" w:rsidP="00C20965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23">
    <w:p w14:paraId="7DF14127" w14:textId="7ABF2C0E" w:rsidR="006575BB" w:rsidRPr="00076416" w:rsidRDefault="006575BB" w:rsidP="00076416">
      <w:pPr>
        <w:pStyle w:val="Textpoznpodarou"/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076416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="0074589F">
        <w:rPr>
          <w:rFonts w:asciiTheme="minorHAnsi" w:hAnsiTheme="minorHAnsi" w:cstheme="minorHAnsi"/>
        </w:rPr>
        <w:tab/>
      </w:r>
      <w:r w:rsidRPr="00076416">
        <w:rPr>
          <w:rFonts w:asciiTheme="minorHAnsi" w:hAnsiTheme="minorHAnsi" w:cstheme="minorHAnsi"/>
        </w:rPr>
        <w:t>Nařízení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</w:t>
      </w:r>
      <w:r>
        <w:rPr>
          <w:rFonts w:asciiTheme="minorHAnsi" w:hAnsiTheme="minorHAnsi" w:cstheme="minorHAnsi"/>
        </w:rPr>
        <w:t> </w:t>
      </w:r>
      <w:r w:rsidRPr="00076416">
        <w:rPr>
          <w:rFonts w:asciiTheme="minorHAnsi" w:hAnsiTheme="minorHAnsi" w:cstheme="minorHAnsi"/>
        </w:rPr>
        <w:t>Evropském námořním a rybářském fondu a o zrušení nařízení Rady (ES) č. 1083/2006.</w:t>
      </w:r>
    </w:p>
  </w:footnote>
  <w:footnote w:id="24">
    <w:p w14:paraId="2B5D834F" w14:textId="01E2EC09" w:rsidR="006575BB" w:rsidRPr="00076416" w:rsidRDefault="006575BB" w:rsidP="0007641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76416">
        <w:rPr>
          <w:rStyle w:val="Znakapoznpodarou"/>
          <w:rFonts w:asciiTheme="minorHAnsi" w:hAnsiTheme="minorHAnsi" w:cstheme="minorHAnsi"/>
        </w:rPr>
        <w:footnoteRef/>
      </w:r>
      <w:r w:rsidRPr="00076416">
        <w:rPr>
          <w:rFonts w:asciiTheme="minorHAnsi" w:hAnsiTheme="minorHAnsi" w:cstheme="minorHAnsi"/>
        </w:rPr>
        <w:t xml:space="preserve"> </w:t>
      </w:r>
      <w:r w:rsidR="0074589F">
        <w:rPr>
          <w:rFonts w:asciiTheme="minorHAnsi" w:hAnsiTheme="minorHAnsi" w:cstheme="minorHAnsi"/>
        </w:rPr>
        <w:tab/>
      </w:r>
      <w:r w:rsidRPr="00076416">
        <w:rPr>
          <w:rFonts w:asciiTheme="minorHAnsi" w:hAnsiTheme="minorHAnsi" w:cstheme="minorHAnsi"/>
        </w:rPr>
        <w:t xml:space="preserve">Dohoda o financování vymezuje FN IROP jako FN vytvořený na celostátní úrovni dle čl. 38 odst. 1 písm. b) Obecného nařízení. Jedná se </w:t>
      </w:r>
      <w:r>
        <w:rPr>
          <w:rFonts w:asciiTheme="minorHAnsi" w:hAnsiTheme="minorHAnsi" w:cstheme="minorHAnsi"/>
        </w:rPr>
        <w:t xml:space="preserve">o </w:t>
      </w:r>
      <w:r w:rsidRPr="00076416">
        <w:rPr>
          <w:rFonts w:asciiTheme="minorHAnsi" w:hAnsiTheme="minorHAnsi" w:cstheme="minorHAnsi"/>
        </w:rPr>
        <w:t xml:space="preserve">FN, který je v souladu s čl. 38 odst. 3 písm. b) a odst. 4 písm. c) Obecného nařízení navržen k dosažení </w:t>
      </w:r>
      <w:r w:rsidR="00C82056">
        <w:rPr>
          <w:rFonts w:asciiTheme="minorHAnsi" w:hAnsiTheme="minorHAnsi" w:cstheme="minorHAnsi"/>
        </w:rPr>
        <w:t>s</w:t>
      </w:r>
      <w:r w:rsidRPr="00076416">
        <w:rPr>
          <w:rFonts w:asciiTheme="minorHAnsi" w:hAnsiTheme="minorHAnsi" w:cstheme="minorHAnsi"/>
        </w:rPr>
        <w:t xml:space="preserve">pecifického cíle 2.5 IROP Snížení energetické náročnosti v sektoru bydlení v rámci </w:t>
      </w:r>
      <w:r w:rsidR="00C82056">
        <w:rPr>
          <w:rFonts w:asciiTheme="minorHAnsi" w:hAnsiTheme="minorHAnsi" w:cstheme="minorHAnsi"/>
        </w:rPr>
        <w:t>p</w:t>
      </w:r>
      <w:r w:rsidRPr="00076416">
        <w:rPr>
          <w:rFonts w:asciiTheme="minorHAnsi" w:hAnsiTheme="minorHAnsi" w:cstheme="minorHAnsi"/>
        </w:rPr>
        <w:t>rioritní osy 2</w:t>
      </w:r>
      <w:r w:rsidR="00C82056">
        <w:rPr>
          <w:rFonts w:asciiTheme="minorHAnsi" w:hAnsiTheme="minorHAnsi" w:cstheme="minorHAnsi"/>
        </w:rPr>
        <w:t xml:space="preserve"> –</w:t>
      </w:r>
      <w:r w:rsidRPr="00076416">
        <w:rPr>
          <w:rFonts w:asciiTheme="minorHAnsi" w:hAnsiTheme="minorHAnsi" w:cstheme="minorHAnsi"/>
        </w:rPr>
        <w:t xml:space="preserve"> Zkvalitnění veřejných služeb a podmínek života pro obyvatele regionů. </w:t>
      </w:r>
    </w:p>
  </w:footnote>
  <w:footnote w:id="25">
    <w:p w14:paraId="3D833734" w14:textId="7985BEED" w:rsidR="006575BB" w:rsidRPr="00076416" w:rsidRDefault="006575BB" w:rsidP="00076416">
      <w:pPr>
        <w:pStyle w:val="Textpoznpodarou"/>
        <w:ind w:left="284" w:hanging="284"/>
        <w:jc w:val="both"/>
        <w:rPr>
          <w:rFonts w:ascii="Arial" w:hAnsi="Arial" w:cs="Arial"/>
          <w:highlight w:val="green"/>
        </w:rPr>
      </w:pPr>
      <w:r w:rsidRPr="00076416">
        <w:rPr>
          <w:rStyle w:val="Znakapoznpodarou"/>
          <w:rFonts w:asciiTheme="minorHAnsi" w:hAnsiTheme="minorHAnsi" w:cstheme="minorHAnsi"/>
        </w:rPr>
        <w:footnoteRef/>
      </w:r>
      <w:r w:rsidRPr="001207C3">
        <w:t xml:space="preserve"> </w:t>
      </w:r>
      <w:r w:rsidR="0074589F">
        <w:tab/>
      </w:r>
      <w:r w:rsidRPr="00076416">
        <w:rPr>
          <w:rFonts w:asciiTheme="minorHAnsi" w:hAnsiTheme="minorHAnsi" w:cstheme="minorHAnsi"/>
        </w:rPr>
        <w:t xml:space="preserve">Viz např. kontrolní závěr NKÚ z kontrolní akce č. 22/18 – </w:t>
      </w:r>
      <w:r w:rsidRPr="00076416">
        <w:rPr>
          <w:rFonts w:asciiTheme="minorHAnsi" w:hAnsiTheme="minorHAnsi" w:cstheme="minorHAnsi"/>
          <w:i/>
          <w:iCs/>
        </w:rPr>
        <w:t>Závěrečný účet kapitoly státního rozpočtu Ministerstvo životního prostředí za rok 2022, účetní závěrka Ministerstva životního prostředí za rok 2022 a údaje předkládané Ministerstvem životního prostředí pro hodnocení plnění státního rozpočtu za rok 2022</w:t>
      </w:r>
      <w:r w:rsidR="00C82056">
        <w:rPr>
          <w:rFonts w:asciiTheme="minorHAnsi" w:hAnsiTheme="minorHAnsi" w:cstheme="minorHAnsi"/>
          <w:iCs/>
        </w:rPr>
        <w:t>;</w:t>
      </w:r>
      <w:r w:rsidRPr="00076416">
        <w:rPr>
          <w:rFonts w:asciiTheme="minorHAnsi" w:hAnsiTheme="minorHAnsi" w:cstheme="minorHAnsi"/>
        </w:rPr>
        <w:t xml:space="preserve"> </w:t>
      </w:r>
      <w:r w:rsidR="00C82056">
        <w:rPr>
          <w:rFonts w:asciiTheme="minorHAnsi" w:hAnsiTheme="minorHAnsi" w:cstheme="minorHAnsi"/>
        </w:rPr>
        <w:t xml:space="preserve">kontrolní závěr byl </w:t>
      </w:r>
      <w:r w:rsidRPr="00076416">
        <w:rPr>
          <w:rFonts w:asciiTheme="minorHAnsi" w:hAnsiTheme="minorHAnsi" w:cstheme="minorHAnsi"/>
        </w:rPr>
        <w:t xml:space="preserve">zveřejněn v částce 6/2023 </w:t>
      </w:r>
      <w:r w:rsidRPr="001258AA">
        <w:rPr>
          <w:rFonts w:asciiTheme="minorHAnsi" w:hAnsiTheme="minorHAnsi" w:cstheme="minorHAnsi"/>
          <w:i/>
        </w:rPr>
        <w:t>Věstníku NKÚ</w:t>
      </w:r>
      <w:r w:rsidRPr="00076416">
        <w:rPr>
          <w:rFonts w:asciiTheme="minorHAnsi" w:hAnsiTheme="minorHAnsi" w:cstheme="minorHAnsi"/>
        </w:rPr>
        <w:t>.</w:t>
      </w:r>
    </w:p>
  </w:footnote>
  <w:footnote w:id="26">
    <w:p w14:paraId="6DE9A6FF" w14:textId="1AFA8A01" w:rsidR="006575BB" w:rsidRPr="00C82056" w:rsidRDefault="006575BB" w:rsidP="00076416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076416">
        <w:rPr>
          <w:rStyle w:val="Znakapoznpodarou"/>
          <w:rFonts w:asciiTheme="minorHAnsi" w:hAnsiTheme="minorHAnsi" w:cstheme="minorHAnsi"/>
        </w:rPr>
        <w:footnoteRef/>
      </w:r>
      <w:r w:rsidRPr="001207C3">
        <w:t xml:space="preserve"> </w:t>
      </w:r>
      <w:r w:rsidR="0074589F">
        <w:tab/>
      </w:r>
      <w:r w:rsidRPr="00076416">
        <w:rPr>
          <w:rFonts w:asciiTheme="minorHAnsi" w:hAnsiTheme="minorHAnsi" w:cstheme="minorHAnsi"/>
        </w:rPr>
        <w:t xml:space="preserve">Viz např. kontrolní závěr NKÚ z kontrolní akce č. 20/34 – </w:t>
      </w:r>
      <w:r w:rsidRPr="00076416">
        <w:rPr>
          <w:rFonts w:asciiTheme="minorHAnsi" w:hAnsiTheme="minorHAnsi" w:cstheme="minorHAnsi"/>
          <w:i/>
          <w:iCs/>
        </w:rPr>
        <w:t>Závěrečný účet kapitoly státního rozpočtu Ministerstvo průmyslu a obchodu za rok 2020, účetní závěrka Ministerstva průmyslu a obchodu za rok 2020 a údaje předkládané Ministerstvem průmyslu a obchodu pro hodnocení plnění státního rozpočtu za rok 2020</w:t>
      </w:r>
      <w:r w:rsidR="00C82056">
        <w:rPr>
          <w:rFonts w:asciiTheme="minorHAnsi" w:hAnsiTheme="minorHAnsi" w:cstheme="minorHAnsi"/>
          <w:iCs/>
        </w:rPr>
        <w:t>;</w:t>
      </w:r>
      <w:r w:rsidRPr="00076416">
        <w:rPr>
          <w:rFonts w:asciiTheme="minorHAnsi" w:hAnsiTheme="minorHAnsi" w:cstheme="minorHAnsi"/>
        </w:rPr>
        <w:t xml:space="preserve"> </w:t>
      </w:r>
      <w:r w:rsidR="00C82056">
        <w:rPr>
          <w:rFonts w:asciiTheme="minorHAnsi" w:hAnsiTheme="minorHAnsi" w:cstheme="minorHAnsi"/>
        </w:rPr>
        <w:t xml:space="preserve">kontrolní závěr byl </w:t>
      </w:r>
      <w:r w:rsidRPr="00076416">
        <w:rPr>
          <w:rFonts w:asciiTheme="minorHAnsi" w:hAnsiTheme="minorHAnsi" w:cstheme="minorHAnsi"/>
        </w:rPr>
        <w:t xml:space="preserve">zveřejněn v částce 4/2021 </w:t>
      </w:r>
      <w:r w:rsidRPr="001258AA">
        <w:rPr>
          <w:rFonts w:asciiTheme="minorHAnsi" w:hAnsiTheme="minorHAnsi" w:cstheme="minorHAnsi"/>
          <w:i/>
        </w:rPr>
        <w:t>Věstníku NKÚ</w:t>
      </w:r>
      <w:r w:rsidRPr="00076416">
        <w:rPr>
          <w:rFonts w:asciiTheme="minorHAnsi" w:hAnsiTheme="minorHAnsi" w:cstheme="minorHAnsi"/>
        </w:rPr>
        <w:t>.</w:t>
      </w:r>
    </w:p>
  </w:footnote>
  <w:footnote w:id="27">
    <w:p w14:paraId="37B86E10" w14:textId="77777777" w:rsidR="006575BB" w:rsidRPr="00C82056" w:rsidRDefault="006575BB" w:rsidP="003604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C82056">
        <w:rPr>
          <w:rStyle w:val="Znakapoznpodarou"/>
          <w:rFonts w:ascii="Calibri" w:hAnsi="Calibri" w:cs="Calibri"/>
        </w:rPr>
        <w:footnoteRef/>
      </w:r>
      <w:r w:rsidRPr="00C82056">
        <w:rPr>
          <w:rFonts w:ascii="Calibri" w:hAnsi="Calibri" w:cs="Calibri"/>
        </w:rPr>
        <w:t xml:space="preserve"> </w:t>
      </w:r>
      <w:r w:rsidRPr="00C82056">
        <w:rPr>
          <w:rFonts w:ascii="Calibri" w:hAnsi="Calibri" w:cs="Calibri"/>
        </w:rPr>
        <w:tab/>
        <w:t>Jedná se o vlastní výpočet NKÚ zohledňující výsledné dopady provedených účetních oprav na zůstatky položek účetní závěrky (tj. je zohledněno současné nadhodnocení a podhodnocení stejné položky účetní závěrky).</w:t>
      </w:r>
    </w:p>
  </w:footnote>
  <w:footnote w:id="28">
    <w:p w14:paraId="3963252B" w14:textId="2FF397FA" w:rsidR="006575BB" w:rsidRPr="00C82056" w:rsidRDefault="006575BB" w:rsidP="00AE099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C82056">
        <w:rPr>
          <w:rStyle w:val="Znakapoznpodarou"/>
          <w:rFonts w:ascii="Calibri" w:eastAsiaTheme="majorEastAsia" w:hAnsi="Calibri" w:cs="Calibri"/>
        </w:rPr>
        <w:footnoteRef/>
      </w:r>
      <w:r w:rsidRPr="00C82056">
        <w:rPr>
          <w:rFonts w:ascii="Calibri" w:hAnsi="Calibri" w:cs="Calibri"/>
        </w:rPr>
        <w:t xml:space="preserve"> </w:t>
      </w:r>
      <w:r w:rsidR="00C82056" w:rsidRPr="00C82056">
        <w:rPr>
          <w:rFonts w:ascii="Calibri" w:hAnsi="Calibri" w:cs="Calibri"/>
        </w:rPr>
        <w:tab/>
      </w:r>
      <w:r w:rsidRPr="00C82056">
        <w:rPr>
          <w:rFonts w:ascii="Calibri" w:hAnsi="Calibri" w:cs="Calibri"/>
        </w:rPr>
        <w:t>Zákon č. 251/2021 Sb., kterým se mění zákon č. 248/2000 Sb., o podpoře regionálního rozvoje, ve znění pozdějších předpisů, a další související zákony.</w:t>
      </w:r>
    </w:p>
  </w:footnote>
  <w:footnote w:id="29">
    <w:p w14:paraId="2B95B5CB" w14:textId="27E116A0" w:rsidR="006575BB" w:rsidRPr="0019438C" w:rsidRDefault="006575BB" w:rsidP="008E126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9438C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> </w:t>
      </w:r>
      <w:r w:rsidR="00EE28E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U</w:t>
      </w:r>
      <w:r w:rsidRPr="0019438C">
        <w:rPr>
          <w:rFonts w:asciiTheme="minorHAnsi" w:hAnsiTheme="minorHAnsi" w:cstheme="minorHAnsi"/>
        </w:rPr>
        <w:t xml:space="preserve">snesení </w:t>
      </w:r>
      <w:r>
        <w:rPr>
          <w:rFonts w:asciiTheme="minorHAnsi" w:hAnsiTheme="minorHAnsi" w:cstheme="minorHAnsi"/>
        </w:rPr>
        <w:t>v</w:t>
      </w:r>
      <w:r w:rsidRPr="0019438C">
        <w:rPr>
          <w:rFonts w:asciiTheme="minorHAnsi" w:hAnsiTheme="minorHAnsi" w:cstheme="minorHAnsi"/>
        </w:rPr>
        <w:t>lády ze dne 5. listopadu 2021 č. 982</w:t>
      </w:r>
      <w:r w:rsidR="00FD7F4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1258AA">
        <w:rPr>
          <w:rFonts w:asciiTheme="minorHAnsi" w:hAnsiTheme="minorHAnsi" w:cstheme="minorHAnsi"/>
          <w:i/>
        </w:rPr>
        <w:t xml:space="preserve">o změně rámcových podmínek dotačního titulu </w:t>
      </w:r>
      <w:r w:rsidR="00FD7F4F">
        <w:rPr>
          <w:rFonts w:asciiTheme="minorHAnsi" w:hAnsiTheme="minorHAnsi" w:cstheme="minorHAnsi"/>
          <w:i/>
        </w:rPr>
        <w:br/>
      </w:r>
      <w:r w:rsidRPr="001258AA">
        <w:rPr>
          <w:rFonts w:asciiTheme="minorHAnsi" w:hAnsiTheme="minorHAnsi" w:cstheme="minorHAnsi"/>
          <w:i/>
        </w:rPr>
        <w:t>COVID-Ubytování II schválených usnesením vlády ze dne 29. března 2021 č. 334</w:t>
      </w:r>
      <w:r>
        <w:rPr>
          <w:rFonts w:asciiTheme="minorHAnsi" w:hAnsiTheme="minorHAnsi" w:cstheme="minorHAnsi"/>
        </w:rPr>
        <w:t>.</w:t>
      </w:r>
    </w:p>
  </w:footnote>
  <w:footnote w:id="30">
    <w:p w14:paraId="296BF80D" w14:textId="012DC455" w:rsidR="006575BB" w:rsidRPr="00BF7569" w:rsidRDefault="006575BB" w:rsidP="008E126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F7569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> </w:t>
      </w:r>
      <w:r w:rsidR="00EE28E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Usnesení vlády ze dne </w:t>
      </w:r>
      <w:r w:rsidRPr="00725122">
        <w:rPr>
          <w:rFonts w:asciiTheme="minorHAnsi" w:hAnsiTheme="minorHAnsi" w:cstheme="minorHAnsi"/>
        </w:rPr>
        <w:t>8. června 2022 č. 499</w:t>
      </w:r>
      <w:r w:rsidR="00FD7F4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1258AA">
        <w:rPr>
          <w:rFonts w:asciiTheme="minorHAnsi" w:hAnsiTheme="minorHAnsi" w:cstheme="minorHAnsi"/>
          <w:i/>
        </w:rPr>
        <w:t>o navýšení financování subtitulu „Záruka cestovním kancelářím“ schváleného usnesením vlády ze dne 5. listopadu 2021 č. 982, o změně rámcových podmínek dotačního titulu COVID-Ubytování II schválených usnesením vlády ze dne 29. března 2021 č. 334</w:t>
      </w:r>
      <w:r>
        <w:rPr>
          <w:rFonts w:asciiTheme="minorHAnsi" w:hAnsiTheme="minorHAnsi" w:cstheme="minorHAnsi"/>
        </w:rPr>
        <w:t>.</w:t>
      </w:r>
    </w:p>
  </w:footnote>
  <w:footnote w:id="31">
    <w:p w14:paraId="2E17D341" w14:textId="77777777" w:rsidR="006575BB" w:rsidRPr="007028BF" w:rsidRDefault="006575BB" w:rsidP="007028BF">
      <w:pPr>
        <w:spacing w:after="0"/>
        <w:ind w:left="284" w:hanging="284"/>
        <w:jc w:val="both"/>
        <w:rPr>
          <w:rStyle w:val="Znakapoznpodarou"/>
          <w:sz w:val="20"/>
          <w:szCs w:val="20"/>
          <w:vertAlign w:val="baseline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Style w:val="Znakapoznpodarou"/>
          <w:sz w:val="20"/>
          <w:szCs w:val="20"/>
          <w:vertAlign w:val="baseline"/>
        </w:rPr>
        <w:t xml:space="preserve">Významnost (materialita) reprezentuje u ÚZ hodnotu nesprávností, jejíž překročení by již mohlo ovlivnit přiměřeně znalého uživatele. Při stanovení významnosti postupuje NKÚ v souladu s </w:t>
      </w:r>
      <w:r w:rsidRPr="00DF6AD0">
        <w:rPr>
          <w:rStyle w:val="Znakapoznpodarou"/>
          <w:i/>
          <w:sz w:val="20"/>
          <w:szCs w:val="20"/>
          <w:vertAlign w:val="baseline"/>
        </w:rPr>
        <w:t>Kontrolními standardy NKÚ</w:t>
      </w:r>
      <w:r w:rsidRPr="007028BF">
        <w:rPr>
          <w:rStyle w:val="Znakapoznpodarou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32">
    <w:p w14:paraId="631037DB" w14:textId="77777777" w:rsidR="006575BB" w:rsidRPr="007028BF" w:rsidRDefault="006575BB" w:rsidP="007028BF">
      <w:pPr>
        <w:spacing w:after="0"/>
        <w:ind w:left="284" w:hanging="284"/>
        <w:jc w:val="both"/>
        <w:rPr>
          <w:rStyle w:val="Znakapoznpodarou"/>
          <w:sz w:val="20"/>
          <w:szCs w:val="20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Style w:val="Znakapoznpodarou"/>
          <w:sz w:val="20"/>
          <w:szCs w:val="20"/>
          <w:vertAlign w:val="baseline"/>
        </w:rPr>
        <w:t>Pro posouzení významnosti zjištěných nesprávností v údajích ÚZ</w:t>
      </w:r>
      <w:r>
        <w:rPr>
          <w:sz w:val="20"/>
          <w:szCs w:val="20"/>
        </w:rPr>
        <w:t xml:space="preserve"> stanovil</w:t>
      </w:r>
      <w:r w:rsidRPr="007028BF">
        <w:rPr>
          <w:rStyle w:val="Znakapoznpodarou"/>
          <w:sz w:val="20"/>
          <w:szCs w:val="20"/>
          <w:vertAlign w:val="baseline"/>
        </w:rPr>
        <w:t xml:space="preserve"> </w:t>
      </w:r>
      <w:r>
        <w:rPr>
          <w:sz w:val="20"/>
          <w:szCs w:val="20"/>
        </w:rPr>
        <w:t xml:space="preserve">NKÚ </w:t>
      </w:r>
      <w:r w:rsidRPr="007028BF">
        <w:rPr>
          <w:rStyle w:val="Znakapoznpodarou"/>
          <w:sz w:val="20"/>
          <w:szCs w:val="20"/>
          <w:vertAlign w:val="baseline"/>
        </w:rPr>
        <w:t>hladin</w:t>
      </w:r>
      <w:r>
        <w:rPr>
          <w:sz w:val="20"/>
          <w:szCs w:val="20"/>
        </w:rPr>
        <w:t>u</w:t>
      </w:r>
      <w:r w:rsidRPr="007028BF">
        <w:rPr>
          <w:rStyle w:val="Znakapoznpodarou"/>
          <w:sz w:val="20"/>
          <w:szCs w:val="20"/>
          <w:vertAlign w:val="baseline"/>
        </w:rPr>
        <w:t xml:space="preserve"> významnosti ve výši </w:t>
      </w:r>
      <w:r>
        <w:rPr>
          <w:sz w:val="20"/>
          <w:szCs w:val="20"/>
        </w:rPr>
        <w:t xml:space="preserve">cca </w:t>
      </w:r>
      <w:r w:rsidRPr="007028BF">
        <w:rPr>
          <w:rStyle w:val="Znakapoznpodarou"/>
          <w:sz w:val="20"/>
          <w:szCs w:val="20"/>
          <w:vertAlign w:val="baseline"/>
        </w:rPr>
        <w:t>2 % z</w:t>
      </w:r>
      <w:r>
        <w:rPr>
          <w:rStyle w:val="Znakapoznpodarou"/>
          <w:sz w:val="20"/>
          <w:szCs w:val="20"/>
          <w:vertAlign w:val="baseline"/>
        </w:rPr>
        <w:t> </w:t>
      </w:r>
      <w:r>
        <w:rPr>
          <w:sz w:val="20"/>
          <w:szCs w:val="20"/>
        </w:rPr>
        <w:t>nákladů</w:t>
      </w:r>
      <w:r w:rsidRPr="007028BF">
        <w:rPr>
          <w:rStyle w:val="Znakapoznpodarou"/>
          <w:sz w:val="20"/>
          <w:szCs w:val="20"/>
          <w:vertAlign w:val="baseline"/>
        </w:rPr>
        <w:t xml:space="preserve">, které byly k 31. </w:t>
      </w:r>
      <w:r>
        <w:rPr>
          <w:sz w:val="20"/>
          <w:szCs w:val="20"/>
        </w:rPr>
        <w:t xml:space="preserve">prosinci </w:t>
      </w:r>
      <w:r>
        <w:rPr>
          <w:rStyle w:val="Znakapoznpodarou"/>
          <w:sz w:val="20"/>
          <w:szCs w:val="20"/>
          <w:vertAlign w:val="baseline"/>
        </w:rPr>
        <w:t>2</w:t>
      </w:r>
      <w:r>
        <w:rPr>
          <w:sz w:val="20"/>
          <w:szCs w:val="20"/>
        </w:rPr>
        <w:t>023</w:t>
      </w:r>
      <w:r w:rsidRPr="007028BF">
        <w:rPr>
          <w:rStyle w:val="Znakapoznpodarou"/>
          <w:sz w:val="20"/>
          <w:szCs w:val="20"/>
          <w:vertAlign w:val="baseline"/>
        </w:rPr>
        <w:t xml:space="preserve"> vykázány ve výši </w:t>
      </w:r>
      <w:r>
        <w:rPr>
          <w:sz w:val="20"/>
          <w:szCs w:val="20"/>
        </w:rPr>
        <w:t>28 295 mil</w:t>
      </w:r>
      <w:r w:rsidRPr="007028BF">
        <w:rPr>
          <w:rStyle w:val="Znakapoznpodarou"/>
          <w:sz w:val="20"/>
          <w:szCs w:val="20"/>
          <w:vertAlign w:val="baseline"/>
        </w:rPr>
        <w:t>. Kč.</w:t>
      </w:r>
    </w:p>
  </w:footnote>
  <w:footnote w:id="33">
    <w:p w14:paraId="003BC533" w14:textId="77777777" w:rsidR="006575BB" w:rsidRPr="007D6AD1" w:rsidRDefault="006575BB" w:rsidP="003604D9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7D6AD1">
        <w:rPr>
          <w:rStyle w:val="Znakapoznpodarou"/>
          <w:rFonts w:asciiTheme="minorHAnsi" w:hAnsiTheme="minorHAnsi"/>
        </w:rPr>
        <w:footnoteRef/>
      </w:r>
      <w:r w:rsidRPr="007D6A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7D6AD1">
        <w:rPr>
          <w:rFonts w:asciiTheme="minorHAnsi" w:hAnsiTheme="minorHAnsi"/>
        </w:rPr>
        <w:t xml:space="preserve">Jedná se o vlastní výpočet </w:t>
      </w:r>
      <w:r>
        <w:rPr>
          <w:rFonts w:asciiTheme="minorHAnsi" w:hAnsiTheme="minorHAnsi"/>
        </w:rPr>
        <w:t xml:space="preserve">NKÚ </w:t>
      </w:r>
      <w:r w:rsidRPr="007D6AD1">
        <w:rPr>
          <w:rFonts w:asciiTheme="minorHAnsi" w:hAnsiTheme="minorHAnsi"/>
        </w:rPr>
        <w:t>zohledňující výsledné dopady</w:t>
      </w:r>
      <w:r>
        <w:rPr>
          <w:rFonts w:asciiTheme="minorHAnsi" w:hAnsiTheme="minorHAnsi"/>
        </w:rPr>
        <w:t xml:space="preserve"> provedených oprav</w:t>
      </w:r>
      <w:r w:rsidRPr="007D6AD1">
        <w:rPr>
          <w:rFonts w:asciiTheme="minorHAnsi" w:hAnsiTheme="minorHAnsi"/>
        </w:rPr>
        <w:t xml:space="preserve"> na zůstatky položek </w:t>
      </w:r>
      <w:r>
        <w:rPr>
          <w:rFonts w:asciiTheme="minorHAnsi" w:hAnsiTheme="minorHAnsi"/>
        </w:rPr>
        <w:t>výkazu FIN</w:t>
      </w:r>
      <w:r w:rsidRPr="007D6A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1-12 OSS (tj. je zohledněno současné </w:t>
      </w:r>
      <w:r w:rsidRPr="007D6AD1">
        <w:rPr>
          <w:rFonts w:asciiTheme="minorHAnsi" w:hAnsiTheme="minorHAnsi"/>
        </w:rPr>
        <w:t>nadhodnocení a podhodnocení</w:t>
      </w:r>
      <w:r>
        <w:rPr>
          <w:rFonts w:asciiTheme="minorHAnsi" w:hAnsiTheme="minorHAnsi"/>
        </w:rPr>
        <w:t xml:space="preserve"> stejné položky výkazu FIN 1-12 OSS).</w:t>
      </w:r>
    </w:p>
  </w:footnote>
  <w:footnote w:id="34">
    <w:p w14:paraId="1008D394" w14:textId="77777777" w:rsidR="006575BB" w:rsidRDefault="006575BB" w:rsidP="00E45ADC">
      <w:pPr>
        <w:spacing w:after="0"/>
        <w:ind w:left="284" w:hanging="284"/>
        <w:jc w:val="both"/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Fonts w:asciiTheme="minorHAnsi" w:hAnsiTheme="minorHAnsi" w:cstheme="minorHAnsi"/>
          <w:sz w:val="20"/>
          <w:szCs w:val="20"/>
          <w:lang w:eastAsia="cs-CZ"/>
        </w:rPr>
        <w:t xml:space="preserve">Pro posouzení významnosti zjištěných nesprávností v údajích předkládaných pro hodnocení plnění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státního </w:t>
      </w:r>
      <w:r w:rsidRPr="007028BF">
        <w:rPr>
          <w:rFonts w:asciiTheme="minorHAnsi" w:hAnsiTheme="minorHAnsi" w:cstheme="minorHAnsi"/>
          <w:sz w:val="20"/>
          <w:szCs w:val="20"/>
          <w:lang w:eastAsia="cs-CZ"/>
        </w:rPr>
        <w:t>rozpočtu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stanov</w:t>
      </w:r>
      <w:r>
        <w:rPr>
          <w:rFonts w:asciiTheme="minorHAnsi" w:hAnsiTheme="minorHAnsi" w:cstheme="minorHAnsi"/>
          <w:sz w:val="20"/>
          <w:szCs w:val="20"/>
          <w:lang w:eastAsia="cs-CZ"/>
        </w:rPr>
        <w:t>il NKÚ hladinu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významnost</w:t>
      </w:r>
      <w:r>
        <w:rPr>
          <w:rFonts w:asciiTheme="minorHAnsi" w:hAnsiTheme="minorHAnsi" w:cstheme="minorHAnsi"/>
          <w:sz w:val="20"/>
          <w:szCs w:val="20"/>
          <w:lang w:eastAsia="cs-CZ"/>
        </w:rPr>
        <w:t>i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ve výši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cca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2</w:t>
      </w:r>
      <w:r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% z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celkových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výdajů, které byly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k 31. prosinci 2023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vykázány ve výši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28 364 mil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. Kč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.</w:t>
      </w:r>
    </w:p>
  </w:footnote>
  <w:footnote w:id="35">
    <w:p w14:paraId="3DA98206" w14:textId="353EABDC" w:rsidR="006575BB" w:rsidRPr="00B75F34" w:rsidRDefault="006575BB" w:rsidP="00B75F34">
      <w:pPr>
        <w:pStyle w:val="Textpoznpodarou"/>
        <w:ind w:left="284" w:hanging="284"/>
        <w:rPr>
          <w:rFonts w:asciiTheme="minorHAnsi" w:hAnsiTheme="minorHAnsi" w:cstheme="minorHAnsi"/>
        </w:rPr>
      </w:pPr>
      <w:r w:rsidRPr="00B75F34">
        <w:rPr>
          <w:rStyle w:val="Znakapoznpodarou"/>
          <w:rFonts w:asciiTheme="minorHAnsi" w:hAnsiTheme="minorHAnsi" w:cstheme="minorHAnsi"/>
        </w:rPr>
        <w:footnoteRef/>
      </w:r>
      <w:r w:rsidRPr="00B75F34">
        <w:rPr>
          <w:rFonts w:asciiTheme="minorHAnsi" w:hAnsiTheme="minorHAnsi" w:cstheme="minorHAnsi"/>
        </w:rPr>
        <w:t xml:space="preserve"> </w:t>
      </w:r>
      <w:r w:rsidR="00D924B4">
        <w:rPr>
          <w:rFonts w:asciiTheme="minorHAnsi" w:hAnsiTheme="minorHAnsi" w:cstheme="minorHAnsi"/>
        </w:rPr>
        <w:tab/>
      </w:r>
      <w:r w:rsidRPr="001258AA">
        <w:rPr>
          <w:rFonts w:asciiTheme="minorHAnsi" w:hAnsiTheme="minorHAnsi" w:cstheme="minorHAnsi"/>
          <w:i/>
        </w:rPr>
        <w:t>Power BI</w:t>
      </w:r>
      <w:r w:rsidRPr="00B75F34">
        <w:rPr>
          <w:rFonts w:asciiTheme="minorHAnsi" w:hAnsiTheme="minorHAnsi" w:cstheme="minorHAnsi"/>
        </w:rPr>
        <w:t xml:space="preserve"> představuje softwarový produkt pro interaktivní vizualizaci dat</w:t>
      </w:r>
      <w:r>
        <w:rPr>
          <w:rFonts w:asciiTheme="minorHAnsi" w:hAnsiTheme="minorHAnsi" w:cstheme="minorHAnsi"/>
        </w:rPr>
        <w:t>.</w:t>
      </w:r>
    </w:p>
  </w:footnote>
  <w:footnote w:id="36">
    <w:p w14:paraId="2AEDFD4C" w14:textId="77777777" w:rsidR="006575BB" w:rsidRPr="00410109" w:rsidRDefault="006575BB" w:rsidP="0062114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10109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10109">
        <w:rPr>
          <w:rFonts w:asciiTheme="minorHAnsi" w:hAnsiTheme="minorHAnsi" w:cstheme="minorHAnsi"/>
        </w:rPr>
        <w:t>Vyhláška č. 312/2014 Sb., o podmínkách sestavení účetních výkazů za Českou republiku (konsolidační vyhláška státu)</w:t>
      </w:r>
      <w:r>
        <w:rPr>
          <w:rFonts w:asciiTheme="minorHAnsi" w:hAnsiTheme="minorHAnsi" w:cstheme="minorHAnsi"/>
        </w:rPr>
        <w:t>.</w:t>
      </w:r>
    </w:p>
  </w:footnote>
  <w:footnote w:id="37">
    <w:p w14:paraId="071B25DA" w14:textId="77777777" w:rsidR="006575BB" w:rsidRPr="007D6AD1" w:rsidRDefault="006575BB" w:rsidP="001B3F5D">
      <w:pPr>
        <w:pStyle w:val="Textpoznpodarou"/>
        <w:ind w:left="284" w:hanging="284"/>
        <w:rPr>
          <w:rFonts w:asciiTheme="minorHAnsi" w:hAnsiTheme="minorHAnsi" w:cstheme="minorHAnsi"/>
        </w:rPr>
      </w:pPr>
      <w:r w:rsidRPr="007D6AD1">
        <w:rPr>
          <w:rStyle w:val="Znakapoznpodarou"/>
          <w:rFonts w:asciiTheme="minorHAnsi" w:hAnsiTheme="minorHAnsi" w:cstheme="minorHAnsi"/>
        </w:rPr>
        <w:footnoteRef/>
      </w:r>
      <w:r w:rsidRPr="007D6A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D6AD1">
        <w:rPr>
          <w:rFonts w:asciiTheme="minorHAnsi" w:hAnsiTheme="minorHAnsi" w:cstheme="minorHAnsi"/>
        </w:rPr>
        <w:t xml:space="preserve">Z celkových </w:t>
      </w:r>
      <w:r>
        <w:rPr>
          <w:rFonts w:asciiTheme="minorHAnsi" w:hAnsiTheme="minorHAnsi" w:cstheme="minorHAnsi"/>
        </w:rPr>
        <w:t>119 150</w:t>
      </w:r>
      <w:r w:rsidRPr="007D6AD1">
        <w:rPr>
          <w:rFonts w:asciiTheme="minorHAnsi" w:hAnsiTheme="minorHAnsi" w:cstheme="minorHAnsi"/>
        </w:rPr>
        <w:t xml:space="preserve"> řádků v účetním deníku se podrozvahových účtů týkalo 17 </w:t>
      </w:r>
      <w:r>
        <w:rPr>
          <w:rFonts w:asciiTheme="minorHAnsi" w:hAnsiTheme="minorHAnsi" w:cstheme="minorHAnsi"/>
        </w:rPr>
        <w:t>188</w:t>
      </w:r>
      <w:r w:rsidRPr="007D6AD1">
        <w:rPr>
          <w:rFonts w:asciiTheme="minorHAnsi" w:hAnsiTheme="minorHAnsi" w:cstheme="minorHAnsi"/>
        </w:rPr>
        <w:t xml:space="preserve"> řádků.</w:t>
      </w:r>
    </w:p>
  </w:footnote>
  <w:footnote w:id="38">
    <w:p w14:paraId="3787DC7C" w14:textId="77777777" w:rsidR="006575BB" w:rsidRPr="009776FE" w:rsidRDefault="006575B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776FE">
        <w:rPr>
          <w:rStyle w:val="Znakapoznpodarou"/>
          <w:rFonts w:asciiTheme="minorHAnsi" w:hAnsiTheme="minorHAnsi" w:cstheme="minorHAnsi"/>
        </w:rPr>
        <w:footnoteRef/>
      </w:r>
      <w:r w:rsidRPr="009776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776FE">
        <w:rPr>
          <w:rFonts w:asciiTheme="minorHAnsi" w:hAnsiTheme="minorHAnsi" w:cstheme="minorHAnsi"/>
        </w:rPr>
        <w:t>Zejména z uzavřených smluv a z</w:t>
      </w:r>
      <w:r>
        <w:rPr>
          <w:rFonts w:asciiTheme="minorHAnsi" w:hAnsiTheme="minorHAnsi" w:cstheme="minorHAnsi"/>
        </w:rPr>
        <w:t xml:space="preserve"> transferů.</w:t>
      </w:r>
    </w:p>
  </w:footnote>
  <w:footnote w:id="39">
    <w:p w14:paraId="7222550A" w14:textId="77777777" w:rsidR="006575BB" w:rsidRPr="009776FE" w:rsidRDefault="006575B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776FE">
        <w:rPr>
          <w:rStyle w:val="Znakapoznpodarou"/>
          <w:rFonts w:asciiTheme="minorHAnsi" w:hAnsiTheme="minorHAnsi" w:cstheme="minorHAnsi"/>
        </w:rPr>
        <w:footnoteRef/>
      </w:r>
      <w:r w:rsidRPr="009776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776FE">
        <w:rPr>
          <w:rFonts w:asciiTheme="minorHAnsi" w:hAnsiTheme="minorHAnsi" w:cstheme="minorHAnsi"/>
        </w:rPr>
        <w:t xml:space="preserve">Mohou nastat, výsledek ale není pod kontrolou účetní jednotky, např. soudní spory, </w:t>
      </w:r>
      <w:r>
        <w:rPr>
          <w:rFonts w:asciiTheme="minorHAnsi" w:hAnsiTheme="minorHAnsi" w:cstheme="minorHAnsi"/>
        </w:rPr>
        <w:t>přijatá zajištění</w:t>
      </w:r>
      <w:r w:rsidRPr="009776FE">
        <w:rPr>
          <w:rFonts w:asciiTheme="minorHAnsi" w:hAnsiTheme="minorHAnsi" w:cstheme="minorHAnsi"/>
        </w:rPr>
        <w:t xml:space="preserve"> apod.</w:t>
      </w:r>
    </w:p>
  </w:footnote>
  <w:footnote w:id="40">
    <w:p w14:paraId="2A25523A" w14:textId="77777777" w:rsidR="006575BB" w:rsidRPr="009776FE" w:rsidRDefault="006575B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776FE">
        <w:rPr>
          <w:rStyle w:val="Znakapoznpodarou"/>
          <w:rFonts w:asciiTheme="minorHAnsi" w:hAnsiTheme="minorHAnsi" w:cstheme="minorHAnsi"/>
        </w:rPr>
        <w:footnoteRef/>
      </w:r>
      <w:r w:rsidRPr="009776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776FE">
        <w:rPr>
          <w:rFonts w:asciiTheme="minorHAnsi" w:hAnsiTheme="minorHAnsi" w:cstheme="minorHAnsi"/>
        </w:rPr>
        <w:t>Jsou hypotetické, jejich vznik, a tedy ani plnění nejsou předpokládány, např. náhrada za případné zničení vypůjčeného majetku.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15CA3" w14:textId="77777777" w:rsidR="006575BB" w:rsidRDefault="006575BB" w:rsidP="00124170">
    <w:pPr>
      <w:pStyle w:val="Zhlav"/>
      <w:tabs>
        <w:tab w:val="clear" w:pos="9072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B6C62" w14:textId="564B9251" w:rsidR="006575BB" w:rsidRDefault="006575BB" w:rsidP="00B86D1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2E69" w14:textId="77777777" w:rsidR="006575BB" w:rsidRPr="006575BB" w:rsidRDefault="006575BB" w:rsidP="006575B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C1AFA" w14:textId="77777777" w:rsidR="006575BB" w:rsidRDefault="006575BB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D43" w14:textId="77777777" w:rsidR="006575BB" w:rsidRPr="006575BB" w:rsidRDefault="006575BB" w:rsidP="00657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8C7"/>
    <w:multiLevelType w:val="hybridMultilevel"/>
    <w:tmpl w:val="84D8C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50BA6"/>
    <w:multiLevelType w:val="hybridMultilevel"/>
    <w:tmpl w:val="0C325EA4"/>
    <w:lvl w:ilvl="0" w:tplc="0405000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2" w15:restartNumberingAfterBreak="0">
    <w:nsid w:val="0A366007"/>
    <w:multiLevelType w:val="hybridMultilevel"/>
    <w:tmpl w:val="5F4ECAA8"/>
    <w:lvl w:ilvl="0" w:tplc="24E25BD8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28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12814"/>
    <w:multiLevelType w:val="multilevel"/>
    <w:tmpl w:val="ADFABDA6"/>
    <w:lvl w:ilvl="0">
      <w:start w:val="1"/>
      <w:numFmt w:val="decimal"/>
      <w:pStyle w:val="rove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rove3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pStyle w:val="rove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rove1"/>
      <w:lvlText w:val="%1.%2.%3.%4.%5."/>
      <w:lvlJc w:val="left"/>
      <w:pPr>
        <w:ind w:left="934" w:hanging="792"/>
      </w:pPr>
      <w:rPr>
        <w:rFonts w:cs="Times New Roman"/>
      </w:rPr>
    </w:lvl>
    <w:lvl w:ilvl="5">
      <w:start w:val="1"/>
      <w:numFmt w:val="decimal"/>
      <w:pStyle w:val="rove2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69E39E3"/>
    <w:multiLevelType w:val="hybridMultilevel"/>
    <w:tmpl w:val="0E5C4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1643"/>
    <w:multiLevelType w:val="hybridMultilevel"/>
    <w:tmpl w:val="0278F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61A82"/>
    <w:multiLevelType w:val="multilevel"/>
    <w:tmpl w:val="62C22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AD0E06"/>
    <w:multiLevelType w:val="hybridMultilevel"/>
    <w:tmpl w:val="8BAC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B5B76"/>
    <w:multiLevelType w:val="hybridMultilevel"/>
    <w:tmpl w:val="E76C9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B465B"/>
    <w:multiLevelType w:val="hybridMultilevel"/>
    <w:tmpl w:val="6C04788C"/>
    <w:lvl w:ilvl="0" w:tplc="88A0C998">
      <w:start w:val="1"/>
      <w:numFmt w:val="bullet"/>
      <w:lvlText w:val="-"/>
      <w:lvlJc w:val="left"/>
      <w:pPr>
        <w:ind w:left="524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1" w15:restartNumberingAfterBreak="0">
    <w:nsid w:val="5AD97CF7"/>
    <w:multiLevelType w:val="hybridMultilevel"/>
    <w:tmpl w:val="E7320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456A"/>
    <w:multiLevelType w:val="multilevel"/>
    <w:tmpl w:val="A00451DC"/>
    <w:lvl w:ilvl="0">
      <w:start w:val="1"/>
      <w:numFmt w:val="decimal"/>
      <w:lvlText w:val="%1"/>
      <w:lvlJc w:val="left"/>
      <w:pPr>
        <w:ind w:left="680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34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13" w15:restartNumberingAfterBreak="0">
    <w:nsid w:val="61070649"/>
    <w:multiLevelType w:val="hybridMultilevel"/>
    <w:tmpl w:val="AED6E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2"/>
  </w:num>
  <w:num w:numId="5">
    <w:abstractNumId w:val="15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  <w:num w:numId="1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57A"/>
    <w:rsid w:val="00000F8C"/>
    <w:rsid w:val="000010CB"/>
    <w:rsid w:val="000013BA"/>
    <w:rsid w:val="000015DC"/>
    <w:rsid w:val="00001659"/>
    <w:rsid w:val="00001D77"/>
    <w:rsid w:val="00002B29"/>
    <w:rsid w:val="00002B9A"/>
    <w:rsid w:val="00002F92"/>
    <w:rsid w:val="000030C9"/>
    <w:rsid w:val="00003812"/>
    <w:rsid w:val="00003878"/>
    <w:rsid w:val="000039E4"/>
    <w:rsid w:val="00003E52"/>
    <w:rsid w:val="00003EC4"/>
    <w:rsid w:val="00003F86"/>
    <w:rsid w:val="000042FB"/>
    <w:rsid w:val="00004461"/>
    <w:rsid w:val="000049A1"/>
    <w:rsid w:val="00004DA7"/>
    <w:rsid w:val="00004EF9"/>
    <w:rsid w:val="000050EC"/>
    <w:rsid w:val="00005413"/>
    <w:rsid w:val="0000654C"/>
    <w:rsid w:val="00006589"/>
    <w:rsid w:val="00006AE8"/>
    <w:rsid w:val="00006F9D"/>
    <w:rsid w:val="000102DC"/>
    <w:rsid w:val="000102EF"/>
    <w:rsid w:val="0001038F"/>
    <w:rsid w:val="00010565"/>
    <w:rsid w:val="00010948"/>
    <w:rsid w:val="00010B7B"/>
    <w:rsid w:val="00010BF4"/>
    <w:rsid w:val="000116D6"/>
    <w:rsid w:val="000116ED"/>
    <w:rsid w:val="000118B2"/>
    <w:rsid w:val="000118FB"/>
    <w:rsid w:val="00012047"/>
    <w:rsid w:val="00012090"/>
    <w:rsid w:val="000121C2"/>
    <w:rsid w:val="00012334"/>
    <w:rsid w:val="00012409"/>
    <w:rsid w:val="0001308F"/>
    <w:rsid w:val="000136D6"/>
    <w:rsid w:val="00013900"/>
    <w:rsid w:val="00013D01"/>
    <w:rsid w:val="00013F4A"/>
    <w:rsid w:val="00014250"/>
    <w:rsid w:val="00014278"/>
    <w:rsid w:val="000148CF"/>
    <w:rsid w:val="00014D77"/>
    <w:rsid w:val="000150C6"/>
    <w:rsid w:val="0001554C"/>
    <w:rsid w:val="00015BEA"/>
    <w:rsid w:val="00015D6E"/>
    <w:rsid w:val="00015EAA"/>
    <w:rsid w:val="00015F85"/>
    <w:rsid w:val="0001655D"/>
    <w:rsid w:val="0001734F"/>
    <w:rsid w:val="000176F5"/>
    <w:rsid w:val="000178C8"/>
    <w:rsid w:val="00017CCE"/>
    <w:rsid w:val="00017D5E"/>
    <w:rsid w:val="00017EA4"/>
    <w:rsid w:val="000205FD"/>
    <w:rsid w:val="000206ED"/>
    <w:rsid w:val="000206FE"/>
    <w:rsid w:val="000209B1"/>
    <w:rsid w:val="0002107A"/>
    <w:rsid w:val="00021226"/>
    <w:rsid w:val="00022153"/>
    <w:rsid w:val="000221DC"/>
    <w:rsid w:val="00022E16"/>
    <w:rsid w:val="000233DE"/>
    <w:rsid w:val="0002359A"/>
    <w:rsid w:val="00024CEB"/>
    <w:rsid w:val="000254A6"/>
    <w:rsid w:val="00025582"/>
    <w:rsid w:val="000263DE"/>
    <w:rsid w:val="0002674F"/>
    <w:rsid w:val="00026812"/>
    <w:rsid w:val="00026B84"/>
    <w:rsid w:val="00026FB4"/>
    <w:rsid w:val="00027067"/>
    <w:rsid w:val="0002708F"/>
    <w:rsid w:val="000274A8"/>
    <w:rsid w:val="00027C18"/>
    <w:rsid w:val="000305CE"/>
    <w:rsid w:val="00030656"/>
    <w:rsid w:val="00030A71"/>
    <w:rsid w:val="00031611"/>
    <w:rsid w:val="00031D2B"/>
    <w:rsid w:val="00031DBA"/>
    <w:rsid w:val="00031FF6"/>
    <w:rsid w:val="000325A3"/>
    <w:rsid w:val="00033006"/>
    <w:rsid w:val="000339E8"/>
    <w:rsid w:val="000342EB"/>
    <w:rsid w:val="00034564"/>
    <w:rsid w:val="00034649"/>
    <w:rsid w:val="00034672"/>
    <w:rsid w:val="0003469E"/>
    <w:rsid w:val="0003552A"/>
    <w:rsid w:val="00035C23"/>
    <w:rsid w:val="000365ED"/>
    <w:rsid w:val="00036961"/>
    <w:rsid w:val="00036B07"/>
    <w:rsid w:val="000370CC"/>
    <w:rsid w:val="000370E9"/>
    <w:rsid w:val="000377B3"/>
    <w:rsid w:val="00037E92"/>
    <w:rsid w:val="000404C7"/>
    <w:rsid w:val="0004116C"/>
    <w:rsid w:val="00041308"/>
    <w:rsid w:val="00041B06"/>
    <w:rsid w:val="00042662"/>
    <w:rsid w:val="000428C2"/>
    <w:rsid w:val="00042F32"/>
    <w:rsid w:val="00042F6E"/>
    <w:rsid w:val="0004311E"/>
    <w:rsid w:val="0004377C"/>
    <w:rsid w:val="00043ED9"/>
    <w:rsid w:val="00044446"/>
    <w:rsid w:val="00044496"/>
    <w:rsid w:val="00044685"/>
    <w:rsid w:val="000447A6"/>
    <w:rsid w:val="00044B71"/>
    <w:rsid w:val="00044F4C"/>
    <w:rsid w:val="0004536D"/>
    <w:rsid w:val="000453AD"/>
    <w:rsid w:val="0004554B"/>
    <w:rsid w:val="0004593F"/>
    <w:rsid w:val="00045D1D"/>
    <w:rsid w:val="00045D4B"/>
    <w:rsid w:val="0004614B"/>
    <w:rsid w:val="00046890"/>
    <w:rsid w:val="00046AB1"/>
    <w:rsid w:val="000473BB"/>
    <w:rsid w:val="00047B94"/>
    <w:rsid w:val="00050275"/>
    <w:rsid w:val="00050674"/>
    <w:rsid w:val="00050BF8"/>
    <w:rsid w:val="00050E07"/>
    <w:rsid w:val="00050F32"/>
    <w:rsid w:val="00051A3C"/>
    <w:rsid w:val="00051D1C"/>
    <w:rsid w:val="000521DE"/>
    <w:rsid w:val="000521FD"/>
    <w:rsid w:val="00052289"/>
    <w:rsid w:val="0005245C"/>
    <w:rsid w:val="00052B02"/>
    <w:rsid w:val="00052C46"/>
    <w:rsid w:val="00052EE3"/>
    <w:rsid w:val="0005321F"/>
    <w:rsid w:val="0005356E"/>
    <w:rsid w:val="000542D1"/>
    <w:rsid w:val="00054662"/>
    <w:rsid w:val="000547CF"/>
    <w:rsid w:val="000548CE"/>
    <w:rsid w:val="00054A5F"/>
    <w:rsid w:val="00054D70"/>
    <w:rsid w:val="00054DA8"/>
    <w:rsid w:val="00055401"/>
    <w:rsid w:val="00055581"/>
    <w:rsid w:val="00055EC4"/>
    <w:rsid w:val="000562E0"/>
    <w:rsid w:val="0005659D"/>
    <w:rsid w:val="00056E1C"/>
    <w:rsid w:val="00056E58"/>
    <w:rsid w:val="00056F1A"/>
    <w:rsid w:val="000570C7"/>
    <w:rsid w:val="00057428"/>
    <w:rsid w:val="00057CB7"/>
    <w:rsid w:val="00060485"/>
    <w:rsid w:val="00060CDE"/>
    <w:rsid w:val="000615D0"/>
    <w:rsid w:val="000617D1"/>
    <w:rsid w:val="00062738"/>
    <w:rsid w:val="00063109"/>
    <w:rsid w:val="00063528"/>
    <w:rsid w:val="00063906"/>
    <w:rsid w:val="00063C45"/>
    <w:rsid w:val="00063F65"/>
    <w:rsid w:val="000641B2"/>
    <w:rsid w:val="0006539C"/>
    <w:rsid w:val="00065568"/>
    <w:rsid w:val="000663B6"/>
    <w:rsid w:val="00066AC4"/>
    <w:rsid w:val="00066AD0"/>
    <w:rsid w:val="00066F74"/>
    <w:rsid w:val="00067305"/>
    <w:rsid w:val="000679D3"/>
    <w:rsid w:val="0007038C"/>
    <w:rsid w:val="00071B5F"/>
    <w:rsid w:val="00071E3F"/>
    <w:rsid w:val="000721D8"/>
    <w:rsid w:val="0007244A"/>
    <w:rsid w:val="000728F2"/>
    <w:rsid w:val="00072E4C"/>
    <w:rsid w:val="00073218"/>
    <w:rsid w:val="00073B11"/>
    <w:rsid w:val="00073F3C"/>
    <w:rsid w:val="00073FB4"/>
    <w:rsid w:val="0007439D"/>
    <w:rsid w:val="000744FC"/>
    <w:rsid w:val="00074829"/>
    <w:rsid w:val="0007561C"/>
    <w:rsid w:val="00075A94"/>
    <w:rsid w:val="00075BC6"/>
    <w:rsid w:val="00075CF8"/>
    <w:rsid w:val="00076191"/>
    <w:rsid w:val="00076416"/>
    <w:rsid w:val="00076557"/>
    <w:rsid w:val="00076EA6"/>
    <w:rsid w:val="00076F89"/>
    <w:rsid w:val="000773AB"/>
    <w:rsid w:val="00077ACA"/>
    <w:rsid w:val="00080728"/>
    <w:rsid w:val="00080832"/>
    <w:rsid w:val="00080853"/>
    <w:rsid w:val="00080C2B"/>
    <w:rsid w:val="00080C55"/>
    <w:rsid w:val="0008172A"/>
    <w:rsid w:val="00081853"/>
    <w:rsid w:val="00081916"/>
    <w:rsid w:val="000819E2"/>
    <w:rsid w:val="00081F46"/>
    <w:rsid w:val="00082128"/>
    <w:rsid w:val="000822BF"/>
    <w:rsid w:val="00082C74"/>
    <w:rsid w:val="00082D91"/>
    <w:rsid w:val="0008321B"/>
    <w:rsid w:val="000834FD"/>
    <w:rsid w:val="0008352C"/>
    <w:rsid w:val="00083751"/>
    <w:rsid w:val="0008453D"/>
    <w:rsid w:val="000849FE"/>
    <w:rsid w:val="00084BDF"/>
    <w:rsid w:val="000851F9"/>
    <w:rsid w:val="00085476"/>
    <w:rsid w:val="000855CD"/>
    <w:rsid w:val="0008560C"/>
    <w:rsid w:val="00085C0A"/>
    <w:rsid w:val="00085D01"/>
    <w:rsid w:val="00085F24"/>
    <w:rsid w:val="00086337"/>
    <w:rsid w:val="00086431"/>
    <w:rsid w:val="000867C9"/>
    <w:rsid w:val="000872BF"/>
    <w:rsid w:val="000878BC"/>
    <w:rsid w:val="00090014"/>
    <w:rsid w:val="00090AB0"/>
    <w:rsid w:val="00090DB9"/>
    <w:rsid w:val="00090F01"/>
    <w:rsid w:val="00090FA5"/>
    <w:rsid w:val="00091342"/>
    <w:rsid w:val="00091AD5"/>
    <w:rsid w:val="0009214F"/>
    <w:rsid w:val="0009232A"/>
    <w:rsid w:val="0009258D"/>
    <w:rsid w:val="00092816"/>
    <w:rsid w:val="00093120"/>
    <w:rsid w:val="00093B70"/>
    <w:rsid w:val="00094908"/>
    <w:rsid w:val="00094DB4"/>
    <w:rsid w:val="00094EF0"/>
    <w:rsid w:val="00095418"/>
    <w:rsid w:val="000957EE"/>
    <w:rsid w:val="00096402"/>
    <w:rsid w:val="0009689F"/>
    <w:rsid w:val="00096FA3"/>
    <w:rsid w:val="0009702E"/>
    <w:rsid w:val="000973C5"/>
    <w:rsid w:val="00097E88"/>
    <w:rsid w:val="000A0E8B"/>
    <w:rsid w:val="000A11F0"/>
    <w:rsid w:val="000A13E8"/>
    <w:rsid w:val="000A1657"/>
    <w:rsid w:val="000A1E9B"/>
    <w:rsid w:val="000A2941"/>
    <w:rsid w:val="000A2C62"/>
    <w:rsid w:val="000A36E9"/>
    <w:rsid w:val="000A3E7E"/>
    <w:rsid w:val="000A3F7E"/>
    <w:rsid w:val="000A4006"/>
    <w:rsid w:val="000A4749"/>
    <w:rsid w:val="000A49D5"/>
    <w:rsid w:val="000A4C07"/>
    <w:rsid w:val="000A5267"/>
    <w:rsid w:val="000A545F"/>
    <w:rsid w:val="000A56F7"/>
    <w:rsid w:val="000A5714"/>
    <w:rsid w:val="000A5A79"/>
    <w:rsid w:val="000A5BDF"/>
    <w:rsid w:val="000A5C4F"/>
    <w:rsid w:val="000A5D44"/>
    <w:rsid w:val="000A5ECA"/>
    <w:rsid w:val="000A5F4A"/>
    <w:rsid w:val="000A61B3"/>
    <w:rsid w:val="000A7032"/>
    <w:rsid w:val="000A7370"/>
    <w:rsid w:val="000A75DF"/>
    <w:rsid w:val="000A78B3"/>
    <w:rsid w:val="000B08C1"/>
    <w:rsid w:val="000B0C14"/>
    <w:rsid w:val="000B0DBC"/>
    <w:rsid w:val="000B169C"/>
    <w:rsid w:val="000B1794"/>
    <w:rsid w:val="000B2041"/>
    <w:rsid w:val="000B2255"/>
    <w:rsid w:val="000B2425"/>
    <w:rsid w:val="000B25A8"/>
    <w:rsid w:val="000B28CE"/>
    <w:rsid w:val="000B3825"/>
    <w:rsid w:val="000B3B5F"/>
    <w:rsid w:val="000B3BAF"/>
    <w:rsid w:val="000B4ABD"/>
    <w:rsid w:val="000B4B25"/>
    <w:rsid w:val="000B4B91"/>
    <w:rsid w:val="000B5706"/>
    <w:rsid w:val="000B57EF"/>
    <w:rsid w:val="000B59DC"/>
    <w:rsid w:val="000B5F77"/>
    <w:rsid w:val="000B63A1"/>
    <w:rsid w:val="000B69D9"/>
    <w:rsid w:val="000B78EB"/>
    <w:rsid w:val="000B7B7B"/>
    <w:rsid w:val="000B7E39"/>
    <w:rsid w:val="000B7ED0"/>
    <w:rsid w:val="000C04E6"/>
    <w:rsid w:val="000C06CC"/>
    <w:rsid w:val="000C07F1"/>
    <w:rsid w:val="000C0853"/>
    <w:rsid w:val="000C1D99"/>
    <w:rsid w:val="000C1DDA"/>
    <w:rsid w:val="000C2191"/>
    <w:rsid w:val="000C2C88"/>
    <w:rsid w:val="000C3CE9"/>
    <w:rsid w:val="000C3F19"/>
    <w:rsid w:val="000C48B1"/>
    <w:rsid w:val="000C499E"/>
    <w:rsid w:val="000C4CB0"/>
    <w:rsid w:val="000C4D25"/>
    <w:rsid w:val="000C591E"/>
    <w:rsid w:val="000C60A3"/>
    <w:rsid w:val="000C629B"/>
    <w:rsid w:val="000C656B"/>
    <w:rsid w:val="000C69E5"/>
    <w:rsid w:val="000C6C3C"/>
    <w:rsid w:val="000C6DC8"/>
    <w:rsid w:val="000C7BCB"/>
    <w:rsid w:val="000C7DE9"/>
    <w:rsid w:val="000C7E19"/>
    <w:rsid w:val="000D06B1"/>
    <w:rsid w:val="000D0E97"/>
    <w:rsid w:val="000D13E2"/>
    <w:rsid w:val="000D1BFE"/>
    <w:rsid w:val="000D1EC1"/>
    <w:rsid w:val="000D22A5"/>
    <w:rsid w:val="000D2D2B"/>
    <w:rsid w:val="000D2F73"/>
    <w:rsid w:val="000D3481"/>
    <w:rsid w:val="000D3C04"/>
    <w:rsid w:val="000D628D"/>
    <w:rsid w:val="000D6F93"/>
    <w:rsid w:val="000D70F7"/>
    <w:rsid w:val="000D72DE"/>
    <w:rsid w:val="000D7369"/>
    <w:rsid w:val="000D791D"/>
    <w:rsid w:val="000D7A6A"/>
    <w:rsid w:val="000D7A9E"/>
    <w:rsid w:val="000D7EB0"/>
    <w:rsid w:val="000E0019"/>
    <w:rsid w:val="000E044D"/>
    <w:rsid w:val="000E049D"/>
    <w:rsid w:val="000E04F4"/>
    <w:rsid w:val="000E0723"/>
    <w:rsid w:val="000E082C"/>
    <w:rsid w:val="000E086D"/>
    <w:rsid w:val="000E0A92"/>
    <w:rsid w:val="000E0B18"/>
    <w:rsid w:val="000E12F1"/>
    <w:rsid w:val="000E1EC2"/>
    <w:rsid w:val="000E220A"/>
    <w:rsid w:val="000E25B5"/>
    <w:rsid w:val="000E2690"/>
    <w:rsid w:val="000E2836"/>
    <w:rsid w:val="000E295D"/>
    <w:rsid w:val="000E31D2"/>
    <w:rsid w:val="000E3621"/>
    <w:rsid w:val="000E38D3"/>
    <w:rsid w:val="000E484A"/>
    <w:rsid w:val="000E49EF"/>
    <w:rsid w:val="000E4E62"/>
    <w:rsid w:val="000E4ED7"/>
    <w:rsid w:val="000E4F78"/>
    <w:rsid w:val="000E5E80"/>
    <w:rsid w:val="000E6A7A"/>
    <w:rsid w:val="000E6A8C"/>
    <w:rsid w:val="000E6C03"/>
    <w:rsid w:val="000E7644"/>
    <w:rsid w:val="000E7694"/>
    <w:rsid w:val="000E7D3E"/>
    <w:rsid w:val="000F09F5"/>
    <w:rsid w:val="000F1ACE"/>
    <w:rsid w:val="000F209F"/>
    <w:rsid w:val="000F2220"/>
    <w:rsid w:val="000F25E0"/>
    <w:rsid w:val="000F2B19"/>
    <w:rsid w:val="000F3D0A"/>
    <w:rsid w:val="000F3E30"/>
    <w:rsid w:val="000F41FF"/>
    <w:rsid w:val="000F42EF"/>
    <w:rsid w:val="000F449D"/>
    <w:rsid w:val="000F49CB"/>
    <w:rsid w:val="000F503F"/>
    <w:rsid w:val="000F542D"/>
    <w:rsid w:val="000F55E2"/>
    <w:rsid w:val="000F5927"/>
    <w:rsid w:val="000F5C65"/>
    <w:rsid w:val="000F635B"/>
    <w:rsid w:val="000F707F"/>
    <w:rsid w:val="000F77E7"/>
    <w:rsid w:val="000F7A2B"/>
    <w:rsid w:val="000F7AA7"/>
    <w:rsid w:val="00100233"/>
    <w:rsid w:val="00100FAA"/>
    <w:rsid w:val="00101036"/>
    <w:rsid w:val="0010125A"/>
    <w:rsid w:val="00101CB1"/>
    <w:rsid w:val="00101CEF"/>
    <w:rsid w:val="0010292B"/>
    <w:rsid w:val="00103960"/>
    <w:rsid w:val="00103B0E"/>
    <w:rsid w:val="00103B3E"/>
    <w:rsid w:val="00103E92"/>
    <w:rsid w:val="00104283"/>
    <w:rsid w:val="001055C3"/>
    <w:rsid w:val="00105C43"/>
    <w:rsid w:val="00106409"/>
    <w:rsid w:val="00106704"/>
    <w:rsid w:val="001076FC"/>
    <w:rsid w:val="00107771"/>
    <w:rsid w:val="001077EB"/>
    <w:rsid w:val="00107D39"/>
    <w:rsid w:val="001106BD"/>
    <w:rsid w:val="001118F1"/>
    <w:rsid w:val="00111FB1"/>
    <w:rsid w:val="00112642"/>
    <w:rsid w:val="00112DFF"/>
    <w:rsid w:val="001130AB"/>
    <w:rsid w:val="0011329B"/>
    <w:rsid w:val="001137F7"/>
    <w:rsid w:val="00113B06"/>
    <w:rsid w:val="00113F2D"/>
    <w:rsid w:val="00114033"/>
    <w:rsid w:val="001141E0"/>
    <w:rsid w:val="00114527"/>
    <w:rsid w:val="00114660"/>
    <w:rsid w:val="00114968"/>
    <w:rsid w:val="00115015"/>
    <w:rsid w:val="001158C5"/>
    <w:rsid w:val="00115AEA"/>
    <w:rsid w:val="0011666A"/>
    <w:rsid w:val="00116A85"/>
    <w:rsid w:val="00116DD9"/>
    <w:rsid w:val="00117093"/>
    <w:rsid w:val="0011741A"/>
    <w:rsid w:val="001175F7"/>
    <w:rsid w:val="00120064"/>
    <w:rsid w:val="001202CB"/>
    <w:rsid w:val="001207C3"/>
    <w:rsid w:val="00121D77"/>
    <w:rsid w:val="00121D7E"/>
    <w:rsid w:val="0012286C"/>
    <w:rsid w:val="00122AD9"/>
    <w:rsid w:val="00122BD1"/>
    <w:rsid w:val="00122E3A"/>
    <w:rsid w:val="00122E42"/>
    <w:rsid w:val="001231C4"/>
    <w:rsid w:val="00124170"/>
    <w:rsid w:val="00124183"/>
    <w:rsid w:val="001248DC"/>
    <w:rsid w:val="00124C3F"/>
    <w:rsid w:val="00124CA1"/>
    <w:rsid w:val="00124FA7"/>
    <w:rsid w:val="0012538B"/>
    <w:rsid w:val="001256DB"/>
    <w:rsid w:val="001258AA"/>
    <w:rsid w:val="0012623F"/>
    <w:rsid w:val="00126542"/>
    <w:rsid w:val="00126597"/>
    <w:rsid w:val="0012677A"/>
    <w:rsid w:val="001268C7"/>
    <w:rsid w:val="001276E3"/>
    <w:rsid w:val="001305BC"/>
    <w:rsid w:val="00130CCE"/>
    <w:rsid w:val="00131465"/>
    <w:rsid w:val="001316F9"/>
    <w:rsid w:val="001317BD"/>
    <w:rsid w:val="001318BD"/>
    <w:rsid w:val="0013191D"/>
    <w:rsid w:val="001319A0"/>
    <w:rsid w:val="00131FBF"/>
    <w:rsid w:val="0013203D"/>
    <w:rsid w:val="001322A8"/>
    <w:rsid w:val="00132721"/>
    <w:rsid w:val="001327CC"/>
    <w:rsid w:val="00133A17"/>
    <w:rsid w:val="00133CBE"/>
    <w:rsid w:val="001343CE"/>
    <w:rsid w:val="001344EE"/>
    <w:rsid w:val="00134B8F"/>
    <w:rsid w:val="00135042"/>
    <w:rsid w:val="00135658"/>
    <w:rsid w:val="00135727"/>
    <w:rsid w:val="00135C15"/>
    <w:rsid w:val="00135C1E"/>
    <w:rsid w:val="00136983"/>
    <w:rsid w:val="00136A02"/>
    <w:rsid w:val="00137C89"/>
    <w:rsid w:val="00141652"/>
    <w:rsid w:val="001416E0"/>
    <w:rsid w:val="00141ABF"/>
    <w:rsid w:val="00141C1D"/>
    <w:rsid w:val="00141F5F"/>
    <w:rsid w:val="0014261B"/>
    <w:rsid w:val="001426BF"/>
    <w:rsid w:val="001426DD"/>
    <w:rsid w:val="001433FE"/>
    <w:rsid w:val="001441BA"/>
    <w:rsid w:val="00144E09"/>
    <w:rsid w:val="00144E9E"/>
    <w:rsid w:val="0014591C"/>
    <w:rsid w:val="00145A5B"/>
    <w:rsid w:val="00145A5E"/>
    <w:rsid w:val="00145D1A"/>
    <w:rsid w:val="001468C2"/>
    <w:rsid w:val="00146B0E"/>
    <w:rsid w:val="00147136"/>
    <w:rsid w:val="00147308"/>
    <w:rsid w:val="00147320"/>
    <w:rsid w:val="00147575"/>
    <w:rsid w:val="00147CF6"/>
    <w:rsid w:val="0015019D"/>
    <w:rsid w:val="00150253"/>
    <w:rsid w:val="0015058F"/>
    <w:rsid w:val="00150A18"/>
    <w:rsid w:val="001519E4"/>
    <w:rsid w:val="00151EFB"/>
    <w:rsid w:val="0015279D"/>
    <w:rsid w:val="00152A8D"/>
    <w:rsid w:val="00152AD3"/>
    <w:rsid w:val="00152D15"/>
    <w:rsid w:val="00153444"/>
    <w:rsid w:val="00153EAA"/>
    <w:rsid w:val="00153FEB"/>
    <w:rsid w:val="00154191"/>
    <w:rsid w:val="00154952"/>
    <w:rsid w:val="00154ED5"/>
    <w:rsid w:val="001556C6"/>
    <w:rsid w:val="0015589D"/>
    <w:rsid w:val="00155A2A"/>
    <w:rsid w:val="00155F56"/>
    <w:rsid w:val="00155F76"/>
    <w:rsid w:val="0015643B"/>
    <w:rsid w:val="00156608"/>
    <w:rsid w:val="00156820"/>
    <w:rsid w:val="001569F8"/>
    <w:rsid w:val="00157675"/>
    <w:rsid w:val="001579AE"/>
    <w:rsid w:val="00157F5E"/>
    <w:rsid w:val="001601CC"/>
    <w:rsid w:val="001604D9"/>
    <w:rsid w:val="00160773"/>
    <w:rsid w:val="00160F7E"/>
    <w:rsid w:val="00161C6F"/>
    <w:rsid w:val="00161F5E"/>
    <w:rsid w:val="0016246A"/>
    <w:rsid w:val="001629E7"/>
    <w:rsid w:val="001632B9"/>
    <w:rsid w:val="00163B83"/>
    <w:rsid w:val="00163BF3"/>
    <w:rsid w:val="00163CD9"/>
    <w:rsid w:val="001645E7"/>
    <w:rsid w:val="00164B81"/>
    <w:rsid w:val="00164D18"/>
    <w:rsid w:val="00164F36"/>
    <w:rsid w:val="0016566E"/>
    <w:rsid w:val="001658FB"/>
    <w:rsid w:val="00165A56"/>
    <w:rsid w:val="00166166"/>
    <w:rsid w:val="00166481"/>
    <w:rsid w:val="0016709F"/>
    <w:rsid w:val="00167536"/>
    <w:rsid w:val="0016764F"/>
    <w:rsid w:val="00167779"/>
    <w:rsid w:val="001677FE"/>
    <w:rsid w:val="00171017"/>
    <w:rsid w:val="00171682"/>
    <w:rsid w:val="00171A18"/>
    <w:rsid w:val="00172348"/>
    <w:rsid w:val="001746CB"/>
    <w:rsid w:val="00174F1F"/>
    <w:rsid w:val="001755B0"/>
    <w:rsid w:val="001755E8"/>
    <w:rsid w:val="00175789"/>
    <w:rsid w:val="00175C4F"/>
    <w:rsid w:val="00175DD4"/>
    <w:rsid w:val="00175EAB"/>
    <w:rsid w:val="00175F87"/>
    <w:rsid w:val="00176D6E"/>
    <w:rsid w:val="00176EDB"/>
    <w:rsid w:val="0017780A"/>
    <w:rsid w:val="00177BB7"/>
    <w:rsid w:val="00180384"/>
    <w:rsid w:val="00180B90"/>
    <w:rsid w:val="00180BF7"/>
    <w:rsid w:val="00180F04"/>
    <w:rsid w:val="00181225"/>
    <w:rsid w:val="00181402"/>
    <w:rsid w:val="00181725"/>
    <w:rsid w:val="00181B91"/>
    <w:rsid w:val="0018212D"/>
    <w:rsid w:val="001823A6"/>
    <w:rsid w:val="0018243E"/>
    <w:rsid w:val="00182811"/>
    <w:rsid w:val="00182A77"/>
    <w:rsid w:val="00182DA3"/>
    <w:rsid w:val="00182ED1"/>
    <w:rsid w:val="00183798"/>
    <w:rsid w:val="00183A42"/>
    <w:rsid w:val="00183D64"/>
    <w:rsid w:val="00183E45"/>
    <w:rsid w:val="001842ED"/>
    <w:rsid w:val="00184895"/>
    <w:rsid w:val="001848D6"/>
    <w:rsid w:val="00184BF9"/>
    <w:rsid w:val="0018590A"/>
    <w:rsid w:val="001866A7"/>
    <w:rsid w:val="00186742"/>
    <w:rsid w:val="00186EEC"/>
    <w:rsid w:val="00186F3C"/>
    <w:rsid w:val="00187AEF"/>
    <w:rsid w:val="00187C99"/>
    <w:rsid w:val="0019138B"/>
    <w:rsid w:val="0019218B"/>
    <w:rsid w:val="001922C8"/>
    <w:rsid w:val="0019297D"/>
    <w:rsid w:val="00192BAA"/>
    <w:rsid w:val="001937B5"/>
    <w:rsid w:val="001937CB"/>
    <w:rsid w:val="00193A3D"/>
    <w:rsid w:val="0019444D"/>
    <w:rsid w:val="00194BE1"/>
    <w:rsid w:val="00194BE8"/>
    <w:rsid w:val="00194E00"/>
    <w:rsid w:val="0019650F"/>
    <w:rsid w:val="0019652C"/>
    <w:rsid w:val="001967A4"/>
    <w:rsid w:val="00196CE6"/>
    <w:rsid w:val="00196D13"/>
    <w:rsid w:val="00197FB2"/>
    <w:rsid w:val="001A07D1"/>
    <w:rsid w:val="001A1027"/>
    <w:rsid w:val="001A1065"/>
    <w:rsid w:val="001A164B"/>
    <w:rsid w:val="001A2699"/>
    <w:rsid w:val="001A2929"/>
    <w:rsid w:val="001A391B"/>
    <w:rsid w:val="001A3920"/>
    <w:rsid w:val="001A3A51"/>
    <w:rsid w:val="001A447E"/>
    <w:rsid w:val="001A4824"/>
    <w:rsid w:val="001A482C"/>
    <w:rsid w:val="001A4B3A"/>
    <w:rsid w:val="001A5200"/>
    <w:rsid w:val="001A58EA"/>
    <w:rsid w:val="001A5FB6"/>
    <w:rsid w:val="001A601C"/>
    <w:rsid w:val="001A6174"/>
    <w:rsid w:val="001A6A35"/>
    <w:rsid w:val="001A6D6E"/>
    <w:rsid w:val="001A6D72"/>
    <w:rsid w:val="001A7309"/>
    <w:rsid w:val="001A730F"/>
    <w:rsid w:val="001A77C1"/>
    <w:rsid w:val="001A79A3"/>
    <w:rsid w:val="001B0329"/>
    <w:rsid w:val="001B06A1"/>
    <w:rsid w:val="001B0BE7"/>
    <w:rsid w:val="001B1165"/>
    <w:rsid w:val="001B189F"/>
    <w:rsid w:val="001B19A8"/>
    <w:rsid w:val="001B1CD4"/>
    <w:rsid w:val="001B2E9E"/>
    <w:rsid w:val="001B35E0"/>
    <w:rsid w:val="001B3970"/>
    <w:rsid w:val="001B3F5D"/>
    <w:rsid w:val="001B4272"/>
    <w:rsid w:val="001B461B"/>
    <w:rsid w:val="001B48A7"/>
    <w:rsid w:val="001B4D88"/>
    <w:rsid w:val="001B5272"/>
    <w:rsid w:val="001B571E"/>
    <w:rsid w:val="001B5B1F"/>
    <w:rsid w:val="001B5FEE"/>
    <w:rsid w:val="001B654E"/>
    <w:rsid w:val="001B65AD"/>
    <w:rsid w:val="001B67E6"/>
    <w:rsid w:val="001B6B19"/>
    <w:rsid w:val="001B6F75"/>
    <w:rsid w:val="001B711C"/>
    <w:rsid w:val="001B76BE"/>
    <w:rsid w:val="001B7A5B"/>
    <w:rsid w:val="001B7E21"/>
    <w:rsid w:val="001B7E65"/>
    <w:rsid w:val="001C0001"/>
    <w:rsid w:val="001C088A"/>
    <w:rsid w:val="001C0B74"/>
    <w:rsid w:val="001C1977"/>
    <w:rsid w:val="001C1C2E"/>
    <w:rsid w:val="001C2B16"/>
    <w:rsid w:val="001C2E0D"/>
    <w:rsid w:val="001C2F89"/>
    <w:rsid w:val="001C3B96"/>
    <w:rsid w:val="001C3BBD"/>
    <w:rsid w:val="001C456E"/>
    <w:rsid w:val="001C48EB"/>
    <w:rsid w:val="001C492F"/>
    <w:rsid w:val="001C4B29"/>
    <w:rsid w:val="001C4BBF"/>
    <w:rsid w:val="001C555C"/>
    <w:rsid w:val="001C649A"/>
    <w:rsid w:val="001C718B"/>
    <w:rsid w:val="001C7AC3"/>
    <w:rsid w:val="001C7DCC"/>
    <w:rsid w:val="001C7E3B"/>
    <w:rsid w:val="001C7EAA"/>
    <w:rsid w:val="001D0A2A"/>
    <w:rsid w:val="001D0B2E"/>
    <w:rsid w:val="001D0C3D"/>
    <w:rsid w:val="001D10FA"/>
    <w:rsid w:val="001D163A"/>
    <w:rsid w:val="001D1680"/>
    <w:rsid w:val="001D1E4D"/>
    <w:rsid w:val="001D24A7"/>
    <w:rsid w:val="001D24FB"/>
    <w:rsid w:val="001D2A6F"/>
    <w:rsid w:val="001D2F47"/>
    <w:rsid w:val="001D2FF8"/>
    <w:rsid w:val="001D3546"/>
    <w:rsid w:val="001D3757"/>
    <w:rsid w:val="001D383E"/>
    <w:rsid w:val="001D3AF5"/>
    <w:rsid w:val="001D4050"/>
    <w:rsid w:val="001D4561"/>
    <w:rsid w:val="001D4AAF"/>
    <w:rsid w:val="001D4C2D"/>
    <w:rsid w:val="001D4E4F"/>
    <w:rsid w:val="001D5309"/>
    <w:rsid w:val="001D57E4"/>
    <w:rsid w:val="001D587D"/>
    <w:rsid w:val="001D794A"/>
    <w:rsid w:val="001D7EAE"/>
    <w:rsid w:val="001E0061"/>
    <w:rsid w:val="001E0315"/>
    <w:rsid w:val="001E0C8B"/>
    <w:rsid w:val="001E0CB2"/>
    <w:rsid w:val="001E1607"/>
    <w:rsid w:val="001E1956"/>
    <w:rsid w:val="001E1D5A"/>
    <w:rsid w:val="001E2092"/>
    <w:rsid w:val="001E2A9D"/>
    <w:rsid w:val="001E2F46"/>
    <w:rsid w:val="001E3826"/>
    <w:rsid w:val="001E389E"/>
    <w:rsid w:val="001E416B"/>
    <w:rsid w:val="001E43F6"/>
    <w:rsid w:val="001E453B"/>
    <w:rsid w:val="001E45D2"/>
    <w:rsid w:val="001E4748"/>
    <w:rsid w:val="001E4832"/>
    <w:rsid w:val="001E58E4"/>
    <w:rsid w:val="001E5A98"/>
    <w:rsid w:val="001E5C3B"/>
    <w:rsid w:val="001E5E41"/>
    <w:rsid w:val="001E63C1"/>
    <w:rsid w:val="001E641B"/>
    <w:rsid w:val="001E668D"/>
    <w:rsid w:val="001E68B2"/>
    <w:rsid w:val="001E68F5"/>
    <w:rsid w:val="001E6D4C"/>
    <w:rsid w:val="001E6D9E"/>
    <w:rsid w:val="001E76D5"/>
    <w:rsid w:val="001E79D0"/>
    <w:rsid w:val="001E7AE0"/>
    <w:rsid w:val="001E7D4B"/>
    <w:rsid w:val="001E7FFC"/>
    <w:rsid w:val="001F0066"/>
    <w:rsid w:val="001F0BB9"/>
    <w:rsid w:val="001F0BC1"/>
    <w:rsid w:val="001F1A92"/>
    <w:rsid w:val="001F1F57"/>
    <w:rsid w:val="001F217D"/>
    <w:rsid w:val="001F24A6"/>
    <w:rsid w:val="001F264B"/>
    <w:rsid w:val="001F2AF2"/>
    <w:rsid w:val="001F3453"/>
    <w:rsid w:val="001F3934"/>
    <w:rsid w:val="001F396F"/>
    <w:rsid w:val="001F3DD9"/>
    <w:rsid w:val="001F41D0"/>
    <w:rsid w:val="001F445D"/>
    <w:rsid w:val="001F4BFD"/>
    <w:rsid w:val="001F4F92"/>
    <w:rsid w:val="001F5020"/>
    <w:rsid w:val="001F559B"/>
    <w:rsid w:val="001F5A2A"/>
    <w:rsid w:val="001F6076"/>
    <w:rsid w:val="001F6159"/>
    <w:rsid w:val="001F62FB"/>
    <w:rsid w:val="001F6607"/>
    <w:rsid w:val="001F68CD"/>
    <w:rsid w:val="001F711E"/>
    <w:rsid w:val="001F740C"/>
    <w:rsid w:val="001F78DB"/>
    <w:rsid w:val="001F7AB7"/>
    <w:rsid w:val="0020003C"/>
    <w:rsid w:val="0020035A"/>
    <w:rsid w:val="00200552"/>
    <w:rsid w:val="002007B3"/>
    <w:rsid w:val="002008C3"/>
    <w:rsid w:val="00200A39"/>
    <w:rsid w:val="002010CA"/>
    <w:rsid w:val="00201480"/>
    <w:rsid w:val="002014C2"/>
    <w:rsid w:val="00201BAE"/>
    <w:rsid w:val="00201C4F"/>
    <w:rsid w:val="00201CD3"/>
    <w:rsid w:val="00202AEC"/>
    <w:rsid w:val="00202D4D"/>
    <w:rsid w:val="00202E1D"/>
    <w:rsid w:val="00202F91"/>
    <w:rsid w:val="00203788"/>
    <w:rsid w:val="002038B2"/>
    <w:rsid w:val="00203DF0"/>
    <w:rsid w:val="00203F77"/>
    <w:rsid w:val="00204070"/>
    <w:rsid w:val="0020473E"/>
    <w:rsid w:val="00204DC2"/>
    <w:rsid w:val="0020520F"/>
    <w:rsid w:val="002053F1"/>
    <w:rsid w:val="002055DA"/>
    <w:rsid w:val="002059FD"/>
    <w:rsid w:val="00205C1D"/>
    <w:rsid w:val="00205DE4"/>
    <w:rsid w:val="0020630C"/>
    <w:rsid w:val="002065FA"/>
    <w:rsid w:val="00206C3F"/>
    <w:rsid w:val="00206F66"/>
    <w:rsid w:val="0020701F"/>
    <w:rsid w:val="0020705B"/>
    <w:rsid w:val="002072B8"/>
    <w:rsid w:val="002073BC"/>
    <w:rsid w:val="0020792D"/>
    <w:rsid w:val="00207A52"/>
    <w:rsid w:val="00207AE7"/>
    <w:rsid w:val="00207EEB"/>
    <w:rsid w:val="0021020D"/>
    <w:rsid w:val="002107C2"/>
    <w:rsid w:val="0021095E"/>
    <w:rsid w:val="00210EA9"/>
    <w:rsid w:val="00211287"/>
    <w:rsid w:val="002112A1"/>
    <w:rsid w:val="00211708"/>
    <w:rsid w:val="00211909"/>
    <w:rsid w:val="00211E0B"/>
    <w:rsid w:val="00212478"/>
    <w:rsid w:val="0021388F"/>
    <w:rsid w:val="002141AD"/>
    <w:rsid w:val="0021422E"/>
    <w:rsid w:val="002142FC"/>
    <w:rsid w:val="00214446"/>
    <w:rsid w:val="002145B6"/>
    <w:rsid w:val="00215612"/>
    <w:rsid w:val="00215974"/>
    <w:rsid w:val="002178EA"/>
    <w:rsid w:val="00220049"/>
    <w:rsid w:val="002202D3"/>
    <w:rsid w:val="0022055C"/>
    <w:rsid w:val="00220657"/>
    <w:rsid w:val="00220FB8"/>
    <w:rsid w:val="00221698"/>
    <w:rsid w:val="00221B06"/>
    <w:rsid w:val="00221E5F"/>
    <w:rsid w:val="00221ED8"/>
    <w:rsid w:val="00222CF2"/>
    <w:rsid w:val="002231D5"/>
    <w:rsid w:val="00223665"/>
    <w:rsid w:val="002239F2"/>
    <w:rsid w:val="00223C06"/>
    <w:rsid w:val="00223E25"/>
    <w:rsid w:val="00224178"/>
    <w:rsid w:val="00224342"/>
    <w:rsid w:val="00224417"/>
    <w:rsid w:val="0022512B"/>
    <w:rsid w:val="002255A2"/>
    <w:rsid w:val="002256BA"/>
    <w:rsid w:val="00225771"/>
    <w:rsid w:val="002257CC"/>
    <w:rsid w:val="00225E1A"/>
    <w:rsid w:val="002263EC"/>
    <w:rsid w:val="00226BA6"/>
    <w:rsid w:val="00227273"/>
    <w:rsid w:val="002272FC"/>
    <w:rsid w:val="00227A36"/>
    <w:rsid w:val="00230275"/>
    <w:rsid w:val="00230568"/>
    <w:rsid w:val="00230AA0"/>
    <w:rsid w:val="00230C75"/>
    <w:rsid w:val="002310EC"/>
    <w:rsid w:val="00231A23"/>
    <w:rsid w:val="00231E37"/>
    <w:rsid w:val="00232029"/>
    <w:rsid w:val="00232234"/>
    <w:rsid w:val="002322B2"/>
    <w:rsid w:val="00232A76"/>
    <w:rsid w:val="00232D4C"/>
    <w:rsid w:val="00232F32"/>
    <w:rsid w:val="00233035"/>
    <w:rsid w:val="00233606"/>
    <w:rsid w:val="00233B65"/>
    <w:rsid w:val="00233F17"/>
    <w:rsid w:val="00234399"/>
    <w:rsid w:val="002352D7"/>
    <w:rsid w:val="00235911"/>
    <w:rsid w:val="00235924"/>
    <w:rsid w:val="0023597E"/>
    <w:rsid w:val="0023599C"/>
    <w:rsid w:val="00235BAE"/>
    <w:rsid w:val="00236288"/>
    <w:rsid w:val="00236493"/>
    <w:rsid w:val="00236760"/>
    <w:rsid w:val="00236DA8"/>
    <w:rsid w:val="002370D0"/>
    <w:rsid w:val="00237D37"/>
    <w:rsid w:val="0024097D"/>
    <w:rsid w:val="00241495"/>
    <w:rsid w:val="00241B52"/>
    <w:rsid w:val="00241BCB"/>
    <w:rsid w:val="00241C95"/>
    <w:rsid w:val="002424FC"/>
    <w:rsid w:val="0024277A"/>
    <w:rsid w:val="00243613"/>
    <w:rsid w:val="0024378E"/>
    <w:rsid w:val="00243906"/>
    <w:rsid w:val="00243A2D"/>
    <w:rsid w:val="00243D16"/>
    <w:rsid w:val="00244B9B"/>
    <w:rsid w:val="00245288"/>
    <w:rsid w:val="002452EA"/>
    <w:rsid w:val="002454E6"/>
    <w:rsid w:val="00245850"/>
    <w:rsid w:val="002468A1"/>
    <w:rsid w:val="00246FCB"/>
    <w:rsid w:val="00247040"/>
    <w:rsid w:val="00247441"/>
    <w:rsid w:val="002477D6"/>
    <w:rsid w:val="00247804"/>
    <w:rsid w:val="0024784B"/>
    <w:rsid w:val="00247A0D"/>
    <w:rsid w:val="00247A8C"/>
    <w:rsid w:val="00247AFD"/>
    <w:rsid w:val="00247EF9"/>
    <w:rsid w:val="002500C2"/>
    <w:rsid w:val="0025010E"/>
    <w:rsid w:val="00250115"/>
    <w:rsid w:val="002513FC"/>
    <w:rsid w:val="0025166D"/>
    <w:rsid w:val="002516C5"/>
    <w:rsid w:val="00252262"/>
    <w:rsid w:val="00252999"/>
    <w:rsid w:val="00252CA2"/>
    <w:rsid w:val="00252E43"/>
    <w:rsid w:val="00253B9C"/>
    <w:rsid w:val="00253D78"/>
    <w:rsid w:val="0025480F"/>
    <w:rsid w:val="00254A73"/>
    <w:rsid w:val="002553C7"/>
    <w:rsid w:val="00255EB2"/>
    <w:rsid w:val="002560D8"/>
    <w:rsid w:val="002565D8"/>
    <w:rsid w:val="00256992"/>
    <w:rsid w:val="002576B1"/>
    <w:rsid w:val="00260562"/>
    <w:rsid w:val="00260714"/>
    <w:rsid w:val="00261144"/>
    <w:rsid w:val="00261A10"/>
    <w:rsid w:val="00261C03"/>
    <w:rsid w:val="00261E6F"/>
    <w:rsid w:val="00261EB6"/>
    <w:rsid w:val="00261F08"/>
    <w:rsid w:val="00262A5E"/>
    <w:rsid w:val="002633BE"/>
    <w:rsid w:val="00263AF9"/>
    <w:rsid w:val="00263E20"/>
    <w:rsid w:val="00263FC0"/>
    <w:rsid w:val="002640B7"/>
    <w:rsid w:val="00264B64"/>
    <w:rsid w:val="002653B6"/>
    <w:rsid w:val="0026553D"/>
    <w:rsid w:val="0026684F"/>
    <w:rsid w:val="002668D3"/>
    <w:rsid w:val="0026773F"/>
    <w:rsid w:val="00267A31"/>
    <w:rsid w:val="00267DE4"/>
    <w:rsid w:val="00267DF1"/>
    <w:rsid w:val="0027012B"/>
    <w:rsid w:val="002701E8"/>
    <w:rsid w:val="00270555"/>
    <w:rsid w:val="002705EA"/>
    <w:rsid w:val="002706A7"/>
    <w:rsid w:val="00270CEC"/>
    <w:rsid w:val="00270EFB"/>
    <w:rsid w:val="00271621"/>
    <w:rsid w:val="002723E3"/>
    <w:rsid w:val="0027260F"/>
    <w:rsid w:val="00273C0E"/>
    <w:rsid w:val="002748AE"/>
    <w:rsid w:val="00274A10"/>
    <w:rsid w:val="00274F84"/>
    <w:rsid w:val="00274FA3"/>
    <w:rsid w:val="00275193"/>
    <w:rsid w:val="00276907"/>
    <w:rsid w:val="00276D18"/>
    <w:rsid w:val="00276D86"/>
    <w:rsid w:val="00276FF1"/>
    <w:rsid w:val="002771EA"/>
    <w:rsid w:val="00277EF8"/>
    <w:rsid w:val="0028022D"/>
    <w:rsid w:val="002806CD"/>
    <w:rsid w:val="00280738"/>
    <w:rsid w:val="002807DA"/>
    <w:rsid w:val="00280913"/>
    <w:rsid w:val="00280CE6"/>
    <w:rsid w:val="002811B0"/>
    <w:rsid w:val="00281339"/>
    <w:rsid w:val="00281B56"/>
    <w:rsid w:val="00281BAF"/>
    <w:rsid w:val="0028239D"/>
    <w:rsid w:val="00282745"/>
    <w:rsid w:val="00282A5D"/>
    <w:rsid w:val="00282CC9"/>
    <w:rsid w:val="00282DD5"/>
    <w:rsid w:val="00282F47"/>
    <w:rsid w:val="00282F61"/>
    <w:rsid w:val="002831E1"/>
    <w:rsid w:val="0028335E"/>
    <w:rsid w:val="00283E98"/>
    <w:rsid w:val="00283F9D"/>
    <w:rsid w:val="00283FE5"/>
    <w:rsid w:val="00284832"/>
    <w:rsid w:val="0028508F"/>
    <w:rsid w:val="002856DF"/>
    <w:rsid w:val="00285731"/>
    <w:rsid w:val="00285875"/>
    <w:rsid w:val="00285B82"/>
    <w:rsid w:val="00285C02"/>
    <w:rsid w:val="00286527"/>
    <w:rsid w:val="00286962"/>
    <w:rsid w:val="00286992"/>
    <w:rsid w:val="00286A25"/>
    <w:rsid w:val="00286A60"/>
    <w:rsid w:val="00286B8D"/>
    <w:rsid w:val="00286E63"/>
    <w:rsid w:val="00287651"/>
    <w:rsid w:val="00287DDE"/>
    <w:rsid w:val="00290260"/>
    <w:rsid w:val="002902ED"/>
    <w:rsid w:val="002902F1"/>
    <w:rsid w:val="0029075C"/>
    <w:rsid w:val="00290CBF"/>
    <w:rsid w:val="00291417"/>
    <w:rsid w:val="002914B3"/>
    <w:rsid w:val="002922C5"/>
    <w:rsid w:val="00292355"/>
    <w:rsid w:val="0029287A"/>
    <w:rsid w:val="0029328F"/>
    <w:rsid w:val="0029370C"/>
    <w:rsid w:val="002940F9"/>
    <w:rsid w:val="00294E64"/>
    <w:rsid w:val="00295087"/>
    <w:rsid w:val="00295122"/>
    <w:rsid w:val="0029520A"/>
    <w:rsid w:val="00295A93"/>
    <w:rsid w:val="00295B5D"/>
    <w:rsid w:val="00295EFC"/>
    <w:rsid w:val="0029650F"/>
    <w:rsid w:val="00296AA5"/>
    <w:rsid w:val="00297661"/>
    <w:rsid w:val="0029772B"/>
    <w:rsid w:val="00297A1A"/>
    <w:rsid w:val="00297BF1"/>
    <w:rsid w:val="00297D3D"/>
    <w:rsid w:val="002A0082"/>
    <w:rsid w:val="002A02FE"/>
    <w:rsid w:val="002A0552"/>
    <w:rsid w:val="002A091A"/>
    <w:rsid w:val="002A130C"/>
    <w:rsid w:val="002A1679"/>
    <w:rsid w:val="002A17EA"/>
    <w:rsid w:val="002A18C3"/>
    <w:rsid w:val="002A1F17"/>
    <w:rsid w:val="002A20E9"/>
    <w:rsid w:val="002A2279"/>
    <w:rsid w:val="002A28B1"/>
    <w:rsid w:val="002A2937"/>
    <w:rsid w:val="002A2D90"/>
    <w:rsid w:val="002A39A3"/>
    <w:rsid w:val="002A3A62"/>
    <w:rsid w:val="002A3B98"/>
    <w:rsid w:val="002A4667"/>
    <w:rsid w:val="002A46D6"/>
    <w:rsid w:val="002A4B22"/>
    <w:rsid w:val="002A4CFB"/>
    <w:rsid w:val="002A5276"/>
    <w:rsid w:val="002A60BD"/>
    <w:rsid w:val="002A6437"/>
    <w:rsid w:val="002A6752"/>
    <w:rsid w:val="002A6C4B"/>
    <w:rsid w:val="002A7059"/>
    <w:rsid w:val="002A706D"/>
    <w:rsid w:val="002A7431"/>
    <w:rsid w:val="002A77B5"/>
    <w:rsid w:val="002A7B0C"/>
    <w:rsid w:val="002B0534"/>
    <w:rsid w:val="002B05BB"/>
    <w:rsid w:val="002B0775"/>
    <w:rsid w:val="002B0C1D"/>
    <w:rsid w:val="002B1337"/>
    <w:rsid w:val="002B25DC"/>
    <w:rsid w:val="002B2D52"/>
    <w:rsid w:val="002B33D1"/>
    <w:rsid w:val="002B33E9"/>
    <w:rsid w:val="002B3676"/>
    <w:rsid w:val="002B3F57"/>
    <w:rsid w:val="002B4224"/>
    <w:rsid w:val="002B4541"/>
    <w:rsid w:val="002B48A1"/>
    <w:rsid w:val="002B4ACE"/>
    <w:rsid w:val="002B4BE1"/>
    <w:rsid w:val="002B4F81"/>
    <w:rsid w:val="002B4FE0"/>
    <w:rsid w:val="002B5103"/>
    <w:rsid w:val="002B520E"/>
    <w:rsid w:val="002B593E"/>
    <w:rsid w:val="002B59BC"/>
    <w:rsid w:val="002B5BBD"/>
    <w:rsid w:val="002B5BE9"/>
    <w:rsid w:val="002B5E89"/>
    <w:rsid w:val="002B6311"/>
    <w:rsid w:val="002B6C82"/>
    <w:rsid w:val="002B70D5"/>
    <w:rsid w:val="002B738A"/>
    <w:rsid w:val="002B7978"/>
    <w:rsid w:val="002B79CD"/>
    <w:rsid w:val="002B7E11"/>
    <w:rsid w:val="002B7F11"/>
    <w:rsid w:val="002C0371"/>
    <w:rsid w:val="002C0562"/>
    <w:rsid w:val="002C06ED"/>
    <w:rsid w:val="002C113A"/>
    <w:rsid w:val="002C1255"/>
    <w:rsid w:val="002C1426"/>
    <w:rsid w:val="002C1566"/>
    <w:rsid w:val="002C1F2D"/>
    <w:rsid w:val="002C1FF8"/>
    <w:rsid w:val="002C2062"/>
    <w:rsid w:val="002C2A99"/>
    <w:rsid w:val="002C3AA9"/>
    <w:rsid w:val="002C3C7D"/>
    <w:rsid w:val="002C4053"/>
    <w:rsid w:val="002C44C1"/>
    <w:rsid w:val="002C4512"/>
    <w:rsid w:val="002C45B7"/>
    <w:rsid w:val="002C4FDC"/>
    <w:rsid w:val="002C561D"/>
    <w:rsid w:val="002C58BB"/>
    <w:rsid w:val="002C5952"/>
    <w:rsid w:val="002C5963"/>
    <w:rsid w:val="002C5BF8"/>
    <w:rsid w:val="002C5DFF"/>
    <w:rsid w:val="002C610A"/>
    <w:rsid w:val="002C616D"/>
    <w:rsid w:val="002C6339"/>
    <w:rsid w:val="002C640D"/>
    <w:rsid w:val="002C6539"/>
    <w:rsid w:val="002C659F"/>
    <w:rsid w:val="002C66A8"/>
    <w:rsid w:val="002C6A7C"/>
    <w:rsid w:val="002C6DBA"/>
    <w:rsid w:val="002C6F17"/>
    <w:rsid w:val="002C7334"/>
    <w:rsid w:val="002C7709"/>
    <w:rsid w:val="002C78CF"/>
    <w:rsid w:val="002D08FC"/>
    <w:rsid w:val="002D0B15"/>
    <w:rsid w:val="002D0C97"/>
    <w:rsid w:val="002D0F71"/>
    <w:rsid w:val="002D139F"/>
    <w:rsid w:val="002D24CD"/>
    <w:rsid w:val="002D2A4C"/>
    <w:rsid w:val="002D30C7"/>
    <w:rsid w:val="002D3495"/>
    <w:rsid w:val="002D35E9"/>
    <w:rsid w:val="002D4109"/>
    <w:rsid w:val="002D42BE"/>
    <w:rsid w:val="002D454E"/>
    <w:rsid w:val="002D48CE"/>
    <w:rsid w:val="002D5086"/>
    <w:rsid w:val="002D512A"/>
    <w:rsid w:val="002D5D34"/>
    <w:rsid w:val="002D6989"/>
    <w:rsid w:val="002D6C5A"/>
    <w:rsid w:val="002D7DF3"/>
    <w:rsid w:val="002E0571"/>
    <w:rsid w:val="002E090C"/>
    <w:rsid w:val="002E0E60"/>
    <w:rsid w:val="002E0FF5"/>
    <w:rsid w:val="002E16B9"/>
    <w:rsid w:val="002E170C"/>
    <w:rsid w:val="002E1B90"/>
    <w:rsid w:val="002E1E39"/>
    <w:rsid w:val="002E291B"/>
    <w:rsid w:val="002E2B4E"/>
    <w:rsid w:val="002E2CFA"/>
    <w:rsid w:val="002E324C"/>
    <w:rsid w:val="002E38EF"/>
    <w:rsid w:val="002E391D"/>
    <w:rsid w:val="002E391F"/>
    <w:rsid w:val="002E41BB"/>
    <w:rsid w:val="002E46CB"/>
    <w:rsid w:val="002E4A55"/>
    <w:rsid w:val="002E4D79"/>
    <w:rsid w:val="002E54F7"/>
    <w:rsid w:val="002E55DC"/>
    <w:rsid w:val="002E55E4"/>
    <w:rsid w:val="002E5FCA"/>
    <w:rsid w:val="002E71F6"/>
    <w:rsid w:val="002E7377"/>
    <w:rsid w:val="002E74EE"/>
    <w:rsid w:val="002E75BF"/>
    <w:rsid w:val="002E78A7"/>
    <w:rsid w:val="002E7E66"/>
    <w:rsid w:val="002F02D9"/>
    <w:rsid w:val="002F03D1"/>
    <w:rsid w:val="002F05A9"/>
    <w:rsid w:val="002F0A14"/>
    <w:rsid w:val="002F13D4"/>
    <w:rsid w:val="002F196C"/>
    <w:rsid w:val="002F19A3"/>
    <w:rsid w:val="002F222D"/>
    <w:rsid w:val="002F271F"/>
    <w:rsid w:val="002F2E23"/>
    <w:rsid w:val="002F321A"/>
    <w:rsid w:val="002F35AD"/>
    <w:rsid w:val="002F375E"/>
    <w:rsid w:val="002F38D0"/>
    <w:rsid w:val="002F5061"/>
    <w:rsid w:val="002F5762"/>
    <w:rsid w:val="002F584E"/>
    <w:rsid w:val="002F62E6"/>
    <w:rsid w:val="002F660E"/>
    <w:rsid w:val="002F6F90"/>
    <w:rsid w:val="002F71C4"/>
    <w:rsid w:val="002F7BA5"/>
    <w:rsid w:val="003008F2"/>
    <w:rsid w:val="00300DE8"/>
    <w:rsid w:val="00301691"/>
    <w:rsid w:val="003026D8"/>
    <w:rsid w:val="00302EA8"/>
    <w:rsid w:val="003033EF"/>
    <w:rsid w:val="00303714"/>
    <w:rsid w:val="00303AD6"/>
    <w:rsid w:val="00303BD9"/>
    <w:rsid w:val="00303DE9"/>
    <w:rsid w:val="00303DFA"/>
    <w:rsid w:val="00303FB3"/>
    <w:rsid w:val="0030463F"/>
    <w:rsid w:val="00304A16"/>
    <w:rsid w:val="003060FB"/>
    <w:rsid w:val="003061F0"/>
    <w:rsid w:val="003065EB"/>
    <w:rsid w:val="003065F1"/>
    <w:rsid w:val="00306A28"/>
    <w:rsid w:val="00306CED"/>
    <w:rsid w:val="00306DB7"/>
    <w:rsid w:val="00307089"/>
    <w:rsid w:val="003074CF"/>
    <w:rsid w:val="00307A16"/>
    <w:rsid w:val="00307F98"/>
    <w:rsid w:val="00310273"/>
    <w:rsid w:val="003125AE"/>
    <w:rsid w:val="003130EA"/>
    <w:rsid w:val="003135C0"/>
    <w:rsid w:val="00313968"/>
    <w:rsid w:val="0031446D"/>
    <w:rsid w:val="00314558"/>
    <w:rsid w:val="0031459F"/>
    <w:rsid w:val="0031551F"/>
    <w:rsid w:val="00315B0B"/>
    <w:rsid w:val="00315F85"/>
    <w:rsid w:val="00315FB7"/>
    <w:rsid w:val="0031628A"/>
    <w:rsid w:val="0031647C"/>
    <w:rsid w:val="00316530"/>
    <w:rsid w:val="003165D4"/>
    <w:rsid w:val="00316BCB"/>
    <w:rsid w:val="00317CA9"/>
    <w:rsid w:val="00317CD3"/>
    <w:rsid w:val="00320FC2"/>
    <w:rsid w:val="003211FC"/>
    <w:rsid w:val="00321595"/>
    <w:rsid w:val="003216DC"/>
    <w:rsid w:val="00323475"/>
    <w:rsid w:val="00323ED7"/>
    <w:rsid w:val="00324328"/>
    <w:rsid w:val="00325142"/>
    <w:rsid w:val="003252EC"/>
    <w:rsid w:val="00325610"/>
    <w:rsid w:val="00325B28"/>
    <w:rsid w:val="00325D2E"/>
    <w:rsid w:val="0032611A"/>
    <w:rsid w:val="00326274"/>
    <w:rsid w:val="00326719"/>
    <w:rsid w:val="00326D70"/>
    <w:rsid w:val="00326FC7"/>
    <w:rsid w:val="003271E7"/>
    <w:rsid w:val="003275F1"/>
    <w:rsid w:val="0032762F"/>
    <w:rsid w:val="00330263"/>
    <w:rsid w:val="003308F0"/>
    <w:rsid w:val="003309DF"/>
    <w:rsid w:val="003311E2"/>
    <w:rsid w:val="00331658"/>
    <w:rsid w:val="003319DD"/>
    <w:rsid w:val="003319F8"/>
    <w:rsid w:val="0033247B"/>
    <w:rsid w:val="00333E78"/>
    <w:rsid w:val="00333F86"/>
    <w:rsid w:val="00334041"/>
    <w:rsid w:val="0033466E"/>
    <w:rsid w:val="00334C15"/>
    <w:rsid w:val="00334D28"/>
    <w:rsid w:val="003356AC"/>
    <w:rsid w:val="00335A64"/>
    <w:rsid w:val="003364A8"/>
    <w:rsid w:val="003367E9"/>
    <w:rsid w:val="00336C97"/>
    <w:rsid w:val="00336FCE"/>
    <w:rsid w:val="0033740F"/>
    <w:rsid w:val="00337885"/>
    <w:rsid w:val="00337CCB"/>
    <w:rsid w:val="0034002E"/>
    <w:rsid w:val="003403DF"/>
    <w:rsid w:val="003411FB"/>
    <w:rsid w:val="0034133D"/>
    <w:rsid w:val="0034190C"/>
    <w:rsid w:val="00341D71"/>
    <w:rsid w:val="00341F93"/>
    <w:rsid w:val="003422CC"/>
    <w:rsid w:val="00342586"/>
    <w:rsid w:val="003426E4"/>
    <w:rsid w:val="003430D6"/>
    <w:rsid w:val="003432D5"/>
    <w:rsid w:val="0034386F"/>
    <w:rsid w:val="00343AB1"/>
    <w:rsid w:val="00343EC8"/>
    <w:rsid w:val="003444C4"/>
    <w:rsid w:val="00344662"/>
    <w:rsid w:val="0034549B"/>
    <w:rsid w:val="00346ADF"/>
    <w:rsid w:val="00346E29"/>
    <w:rsid w:val="0034738E"/>
    <w:rsid w:val="00347457"/>
    <w:rsid w:val="00347A93"/>
    <w:rsid w:val="00347BA1"/>
    <w:rsid w:val="00347EDF"/>
    <w:rsid w:val="003500C8"/>
    <w:rsid w:val="003502B3"/>
    <w:rsid w:val="00350785"/>
    <w:rsid w:val="00350B3D"/>
    <w:rsid w:val="00350CE5"/>
    <w:rsid w:val="00351AE6"/>
    <w:rsid w:val="0035229C"/>
    <w:rsid w:val="00352670"/>
    <w:rsid w:val="003539A6"/>
    <w:rsid w:val="00354051"/>
    <w:rsid w:val="00354510"/>
    <w:rsid w:val="003546DF"/>
    <w:rsid w:val="00354A03"/>
    <w:rsid w:val="00354B16"/>
    <w:rsid w:val="0035533B"/>
    <w:rsid w:val="00355950"/>
    <w:rsid w:val="00355AB0"/>
    <w:rsid w:val="00356B7D"/>
    <w:rsid w:val="00356C66"/>
    <w:rsid w:val="003570EC"/>
    <w:rsid w:val="00357422"/>
    <w:rsid w:val="00357503"/>
    <w:rsid w:val="00357F64"/>
    <w:rsid w:val="003604D9"/>
    <w:rsid w:val="00360A91"/>
    <w:rsid w:val="00360D8E"/>
    <w:rsid w:val="0036124F"/>
    <w:rsid w:val="00361537"/>
    <w:rsid w:val="00361C7A"/>
    <w:rsid w:val="00362548"/>
    <w:rsid w:val="003634E8"/>
    <w:rsid w:val="003637BB"/>
    <w:rsid w:val="00363867"/>
    <w:rsid w:val="003640D1"/>
    <w:rsid w:val="00364606"/>
    <w:rsid w:val="00364649"/>
    <w:rsid w:val="00364878"/>
    <w:rsid w:val="00364A5C"/>
    <w:rsid w:val="00365115"/>
    <w:rsid w:val="003652CE"/>
    <w:rsid w:val="00365903"/>
    <w:rsid w:val="00366026"/>
    <w:rsid w:val="0036604E"/>
    <w:rsid w:val="00366204"/>
    <w:rsid w:val="00366365"/>
    <w:rsid w:val="003664A1"/>
    <w:rsid w:val="00366983"/>
    <w:rsid w:val="00366B32"/>
    <w:rsid w:val="00366BC2"/>
    <w:rsid w:val="00366F60"/>
    <w:rsid w:val="0036729E"/>
    <w:rsid w:val="003677B5"/>
    <w:rsid w:val="00367CD1"/>
    <w:rsid w:val="00367E2A"/>
    <w:rsid w:val="00370481"/>
    <w:rsid w:val="00370637"/>
    <w:rsid w:val="00370C46"/>
    <w:rsid w:val="00370E6F"/>
    <w:rsid w:val="00371092"/>
    <w:rsid w:val="0037115E"/>
    <w:rsid w:val="003715A0"/>
    <w:rsid w:val="003717EA"/>
    <w:rsid w:val="00371BF4"/>
    <w:rsid w:val="00371D47"/>
    <w:rsid w:val="00371E79"/>
    <w:rsid w:val="00372237"/>
    <w:rsid w:val="0037290B"/>
    <w:rsid w:val="00372E24"/>
    <w:rsid w:val="00373044"/>
    <w:rsid w:val="00373721"/>
    <w:rsid w:val="003738A8"/>
    <w:rsid w:val="00373F7B"/>
    <w:rsid w:val="00374646"/>
    <w:rsid w:val="00375032"/>
    <w:rsid w:val="00375491"/>
    <w:rsid w:val="003759B6"/>
    <w:rsid w:val="00375A81"/>
    <w:rsid w:val="00376456"/>
    <w:rsid w:val="00376FAE"/>
    <w:rsid w:val="0037709C"/>
    <w:rsid w:val="00377130"/>
    <w:rsid w:val="00377243"/>
    <w:rsid w:val="0037750C"/>
    <w:rsid w:val="00377C5F"/>
    <w:rsid w:val="00380502"/>
    <w:rsid w:val="0038058B"/>
    <w:rsid w:val="00380685"/>
    <w:rsid w:val="003808DA"/>
    <w:rsid w:val="00380FE6"/>
    <w:rsid w:val="00380FFF"/>
    <w:rsid w:val="0038145B"/>
    <w:rsid w:val="00381D52"/>
    <w:rsid w:val="00381DAD"/>
    <w:rsid w:val="003823BD"/>
    <w:rsid w:val="00382976"/>
    <w:rsid w:val="00382BBC"/>
    <w:rsid w:val="00382FBD"/>
    <w:rsid w:val="0038314C"/>
    <w:rsid w:val="00383540"/>
    <w:rsid w:val="0038395C"/>
    <w:rsid w:val="00383F1A"/>
    <w:rsid w:val="003841A5"/>
    <w:rsid w:val="0038445D"/>
    <w:rsid w:val="00385396"/>
    <w:rsid w:val="00385C17"/>
    <w:rsid w:val="003861AF"/>
    <w:rsid w:val="003862F0"/>
    <w:rsid w:val="00387118"/>
    <w:rsid w:val="00387263"/>
    <w:rsid w:val="00387290"/>
    <w:rsid w:val="003873A4"/>
    <w:rsid w:val="00387654"/>
    <w:rsid w:val="003879E9"/>
    <w:rsid w:val="00387A0E"/>
    <w:rsid w:val="00387D65"/>
    <w:rsid w:val="00390044"/>
    <w:rsid w:val="0039075E"/>
    <w:rsid w:val="0039087D"/>
    <w:rsid w:val="00391B34"/>
    <w:rsid w:val="00391C54"/>
    <w:rsid w:val="003920A1"/>
    <w:rsid w:val="003921D0"/>
    <w:rsid w:val="00392303"/>
    <w:rsid w:val="00392434"/>
    <w:rsid w:val="003929D8"/>
    <w:rsid w:val="00393398"/>
    <w:rsid w:val="003933AB"/>
    <w:rsid w:val="00393A72"/>
    <w:rsid w:val="003942AE"/>
    <w:rsid w:val="003948F4"/>
    <w:rsid w:val="00395031"/>
    <w:rsid w:val="003950D9"/>
    <w:rsid w:val="00395544"/>
    <w:rsid w:val="003957E2"/>
    <w:rsid w:val="00395ED1"/>
    <w:rsid w:val="0039625C"/>
    <w:rsid w:val="003964D2"/>
    <w:rsid w:val="00396FF7"/>
    <w:rsid w:val="00397517"/>
    <w:rsid w:val="00397AD4"/>
    <w:rsid w:val="00397C78"/>
    <w:rsid w:val="00397C93"/>
    <w:rsid w:val="003A00C2"/>
    <w:rsid w:val="003A0216"/>
    <w:rsid w:val="003A04B9"/>
    <w:rsid w:val="003A0501"/>
    <w:rsid w:val="003A0800"/>
    <w:rsid w:val="003A1E97"/>
    <w:rsid w:val="003A21C5"/>
    <w:rsid w:val="003A237C"/>
    <w:rsid w:val="003A2BAB"/>
    <w:rsid w:val="003A2FA5"/>
    <w:rsid w:val="003A3161"/>
    <w:rsid w:val="003A3224"/>
    <w:rsid w:val="003A3AFF"/>
    <w:rsid w:val="003A4395"/>
    <w:rsid w:val="003A4602"/>
    <w:rsid w:val="003A4862"/>
    <w:rsid w:val="003A4B77"/>
    <w:rsid w:val="003A5587"/>
    <w:rsid w:val="003A5F72"/>
    <w:rsid w:val="003A61A5"/>
    <w:rsid w:val="003A6213"/>
    <w:rsid w:val="003A6939"/>
    <w:rsid w:val="003A6C7D"/>
    <w:rsid w:val="003A6E50"/>
    <w:rsid w:val="003A72B7"/>
    <w:rsid w:val="003A73FE"/>
    <w:rsid w:val="003A78E6"/>
    <w:rsid w:val="003B09A2"/>
    <w:rsid w:val="003B0AC7"/>
    <w:rsid w:val="003B0AF7"/>
    <w:rsid w:val="003B0C90"/>
    <w:rsid w:val="003B0E12"/>
    <w:rsid w:val="003B0F9A"/>
    <w:rsid w:val="003B1447"/>
    <w:rsid w:val="003B21F7"/>
    <w:rsid w:val="003B23D8"/>
    <w:rsid w:val="003B2AF1"/>
    <w:rsid w:val="003B2F3E"/>
    <w:rsid w:val="003B32FC"/>
    <w:rsid w:val="003B3341"/>
    <w:rsid w:val="003B36C3"/>
    <w:rsid w:val="003B392E"/>
    <w:rsid w:val="003B3B2E"/>
    <w:rsid w:val="003B42BC"/>
    <w:rsid w:val="003B4E0F"/>
    <w:rsid w:val="003B54C8"/>
    <w:rsid w:val="003B5B51"/>
    <w:rsid w:val="003B5E7F"/>
    <w:rsid w:val="003B6303"/>
    <w:rsid w:val="003B668F"/>
    <w:rsid w:val="003B6769"/>
    <w:rsid w:val="003B699F"/>
    <w:rsid w:val="003B6CDF"/>
    <w:rsid w:val="003B702B"/>
    <w:rsid w:val="003B7324"/>
    <w:rsid w:val="003B7413"/>
    <w:rsid w:val="003C023B"/>
    <w:rsid w:val="003C0A57"/>
    <w:rsid w:val="003C1171"/>
    <w:rsid w:val="003C1E0F"/>
    <w:rsid w:val="003C1EAD"/>
    <w:rsid w:val="003C1FEE"/>
    <w:rsid w:val="003C21D3"/>
    <w:rsid w:val="003C2AF9"/>
    <w:rsid w:val="003C30C4"/>
    <w:rsid w:val="003C3550"/>
    <w:rsid w:val="003C3C48"/>
    <w:rsid w:val="003C3F82"/>
    <w:rsid w:val="003C3FA7"/>
    <w:rsid w:val="003C41D5"/>
    <w:rsid w:val="003C4974"/>
    <w:rsid w:val="003C506F"/>
    <w:rsid w:val="003C52CA"/>
    <w:rsid w:val="003C5AF5"/>
    <w:rsid w:val="003C6B59"/>
    <w:rsid w:val="003C6C3A"/>
    <w:rsid w:val="003C6E4B"/>
    <w:rsid w:val="003C72BE"/>
    <w:rsid w:val="003C7827"/>
    <w:rsid w:val="003C7D04"/>
    <w:rsid w:val="003C7EA9"/>
    <w:rsid w:val="003D0007"/>
    <w:rsid w:val="003D0A7A"/>
    <w:rsid w:val="003D0BF4"/>
    <w:rsid w:val="003D138C"/>
    <w:rsid w:val="003D167A"/>
    <w:rsid w:val="003D2077"/>
    <w:rsid w:val="003D2108"/>
    <w:rsid w:val="003D2240"/>
    <w:rsid w:val="003D22BE"/>
    <w:rsid w:val="003D2549"/>
    <w:rsid w:val="003D2874"/>
    <w:rsid w:val="003D2AEE"/>
    <w:rsid w:val="003D2C17"/>
    <w:rsid w:val="003D2CF9"/>
    <w:rsid w:val="003D3350"/>
    <w:rsid w:val="003D3386"/>
    <w:rsid w:val="003D4130"/>
    <w:rsid w:val="003D43EB"/>
    <w:rsid w:val="003D49A3"/>
    <w:rsid w:val="003D4CF9"/>
    <w:rsid w:val="003D5176"/>
    <w:rsid w:val="003D5825"/>
    <w:rsid w:val="003D5A11"/>
    <w:rsid w:val="003D5A7B"/>
    <w:rsid w:val="003D5D9E"/>
    <w:rsid w:val="003D6316"/>
    <w:rsid w:val="003D7BCD"/>
    <w:rsid w:val="003D7F0F"/>
    <w:rsid w:val="003E0084"/>
    <w:rsid w:val="003E0CEF"/>
    <w:rsid w:val="003E0E52"/>
    <w:rsid w:val="003E12C8"/>
    <w:rsid w:val="003E1666"/>
    <w:rsid w:val="003E177A"/>
    <w:rsid w:val="003E1793"/>
    <w:rsid w:val="003E1B2F"/>
    <w:rsid w:val="003E1DB6"/>
    <w:rsid w:val="003E1E3D"/>
    <w:rsid w:val="003E2252"/>
    <w:rsid w:val="003E2779"/>
    <w:rsid w:val="003E298D"/>
    <w:rsid w:val="003E39EB"/>
    <w:rsid w:val="003E3D74"/>
    <w:rsid w:val="003E466F"/>
    <w:rsid w:val="003E4AEB"/>
    <w:rsid w:val="003E4D46"/>
    <w:rsid w:val="003E564D"/>
    <w:rsid w:val="003E5981"/>
    <w:rsid w:val="003E59EE"/>
    <w:rsid w:val="003E5E47"/>
    <w:rsid w:val="003E5F30"/>
    <w:rsid w:val="003E5FE8"/>
    <w:rsid w:val="003E60DB"/>
    <w:rsid w:val="003E6E79"/>
    <w:rsid w:val="003E71FF"/>
    <w:rsid w:val="003E75D3"/>
    <w:rsid w:val="003E7636"/>
    <w:rsid w:val="003E7A96"/>
    <w:rsid w:val="003F0136"/>
    <w:rsid w:val="003F0198"/>
    <w:rsid w:val="003F0379"/>
    <w:rsid w:val="003F06AC"/>
    <w:rsid w:val="003F0EB8"/>
    <w:rsid w:val="003F0EE8"/>
    <w:rsid w:val="003F1069"/>
    <w:rsid w:val="003F12C5"/>
    <w:rsid w:val="003F1BB0"/>
    <w:rsid w:val="003F1D52"/>
    <w:rsid w:val="003F247B"/>
    <w:rsid w:val="003F31C8"/>
    <w:rsid w:val="003F327E"/>
    <w:rsid w:val="003F36CA"/>
    <w:rsid w:val="003F40F6"/>
    <w:rsid w:val="003F4A06"/>
    <w:rsid w:val="003F4B91"/>
    <w:rsid w:val="003F4BD0"/>
    <w:rsid w:val="003F4DEB"/>
    <w:rsid w:val="003F4E76"/>
    <w:rsid w:val="003F5360"/>
    <w:rsid w:val="003F5954"/>
    <w:rsid w:val="003F5D74"/>
    <w:rsid w:val="003F65AE"/>
    <w:rsid w:val="003F66C4"/>
    <w:rsid w:val="003F6D54"/>
    <w:rsid w:val="003F709A"/>
    <w:rsid w:val="003F731A"/>
    <w:rsid w:val="003F77EA"/>
    <w:rsid w:val="003F7927"/>
    <w:rsid w:val="003F7C2C"/>
    <w:rsid w:val="003F7E23"/>
    <w:rsid w:val="004005F3"/>
    <w:rsid w:val="00400943"/>
    <w:rsid w:val="00400F8E"/>
    <w:rsid w:val="00401044"/>
    <w:rsid w:val="00401592"/>
    <w:rsid w:val="00401CFF"/>
    <w:rsid w:val="00401DFC"/>
    <w:rsid w:val="00402643"/>
    <w:rsid w:val="00402B73"/>
    <w:rsid w:val="00402F5B"/>
    <w:rsid w:val="00403262"/>
    <w:rsid w:val="004035F3"/>
    <w:rsid w:val="00403E12"/>
    <w:rsid w:val="00403FB0"/>
    <w:rsid w:val="00404F7D"/>
    <w:rsid w:val="00405668"/>
    <w:rsid w:val="00405F08"/>
    <w:rsid w:val="00406CE8"/>
    <w:rsid w:val="00406FE3"/>
    <w:rsid w:val="00407D50"/>
    <w:rsid w:val="00410109"/>
    <w:rsid w:val="00410562"/>
    <w:rsid w:val="00410963"/>
    <w:rsid w:val="00410F0E"/>
    <w:rsid w:val="00410F93"/>
    <w:rsid w:val="00411296"/>
    <w:rsid w:val="00411333"/>
    <w:rsid w:val="00411527"/>
    <w:rsid w:val="00411630"/>
    <w:rsid w:val="004117CE"/>
    <w:rsid w:val="00411F8E"/>
    <w:rsid w:val="004123A2"/>
    <w:rsid w:val="004132BA"/>
    <w:rsid w:val="004135E8"/>
    <w:rsid w:val="004136E6"/>
    <w:rsid w:val="0041378F"/>
    <w:rsid w:val="004139C8"/>
    <w:rsid w:val="00413AA2"/>
    <w:rsid w:val="00414014"/>
    <w:rsid w:val="004140F1"/>
    <w:rsid w:val="004142BC"/>
    <w:rsid w:val="004145B5"/>
    <w:rsid w:val="00414922"/>
    <w:rsid w:val="00415138"/>
    <w:rsid w:val="00415F77"/>
    <w:rsid w:val="00416341"/>
    <w:rsid w:val="004163D3"/>
    <w:rsid w:val="00416780"/>
    <w:rsid w:val="00416B49"/>
    <w:rsid w:val="004173DA"/>
    <w:rsid w:val="00417569"/>
    <w:rsid w:val="00417F82"/>
    <w:rsid w:val="00420706"/>
    <w:rsid w:val="00420B57"/>
    <w:rsid w:val="00420E03"/>
    <w:rsid w:val="00421551"/>
    <w:rsid w:val="004218DF"/>
    <w:rsid w:val="0042198F"/>
    <w:rsid w:val="004219C5"/>
    <w:rsid w:val="00421C51"/>
    <w:rsid w:val="00421CCE"/>
    <w:rsid w:val="004228A6"/>
    <w:rsid w:val="00422CFF"/>
    <w:rsid w:val="0042309E"/>
    <w:rsid w:val="004232AD"/>
    <w:rsid w:val="004236A2"/>
    <w:rsid w:val="00423B1E"/>
    <w:rsid w:val="00423EA0"/>
    <w:rsid w:val="00423F09"/>
    <w:rsid w:val="004240B5"/>
    <w:rsid w:val="004241CD"/>
    <w:rsid w:val="004245EB"/>
    <w:rsid w:val="0042481C"/>
    <w:rsid w:val="004249DB"/>
    <w:rsid w:val="00424DE4"/>
    <w:rsid w:val="004252DF"/>
    <w:rsid w:val="0042576A"/>
    <w:rsid w:val="00425901"/>
    <w:rsid w:val="00425BA9"/>
    <w:rsid w:val="0042642B"/>
    <w:rsid w:val="00426B40"/>
    <w:rsid w:val="00426C29"/>
    <w:rsid w:val="00426C9B"/>
    <w:rsid w:val="004270B8"/>
    <w:rsid w:val="00427658"/>
    <w:rsid w:val="00427A35"/>
    <w:rsid w:val="00427AFB"/>
    <w:rsid w:val="00427D98"/>
    <w:rsid w:val="0043045F"/>
    <w:rsid w:val="00430D48"/>
    <w:rsid w:val="0043145D"/>
    <w:rsid w:val="00431706"/>
    <w:rsid w:val="0043187C"/>
    <w:rsid w:val="00431D15"/>
    <w:rsid w:val="00431F30"/>
    <w:rsid w:val="00432127"/>
    <w:rsid w:val="00432855"/>
    <w:rsid w:val="0043303A"/>
    <w:rsid w:val="00433FFC"/>
    <w:rsid w:val="004340BC"/>
    <w:rsid w:val="004340F7"/>
    <w:rsid w:val="004343FB"/>
    <w:rsid w:val="0043492F"/>
    <w:rsid w:val="00434AE7"/>
    <w:rsid w:val="00434F47"/>
    <w:rsid w:val="004360FE"/>
    <w:rsid w:val="004361DF"/>
    <w:rsid w:val="004369BF"/>
    <w:rsid w:val="00436F99"/>
    <w:rsid w:val="00436FAE"/>
    <w:rsid w:val="00437427"/>
    <w:rsid w:val="004378C7"/>
    <w:rsid w:val="00437C41"/>
    <w:rsid w:val="004409DB"/>
    <w:rsid w:val="00441288"/>
    <w:rsid w:val="004412F2"/>
    <w:rsid w:val="00441627"/>
    <w:rsid w:val="00441800"/>
    <w:rsid w:val="0044274D"/>
    <w:rsid w:val="004429E4"/>
    <w:rsid w:val="00443729"/>
    <w:rsid w:val="00443BAF"/>
    <w:rsid w:val="004444B2"/>
    <w:rsid w:val="00445147"/>
    <w:rsid w:val="00445738"/>
    <w:rsid w:val="00445900"/>
    <w:rsid w:val="00445CBB"/>
    <w:rsid w:val="00445E50"/>
    <w:rsid w:val="004469C7"/>
    <w:rsid w:val="00446B25"/>
    <w:rsid w:val="00446B75"/>
    <w:rsid w:val="00447180"/>
    <w:rsid w:val="0044736D"/>
    <w:rsid w:val="0044743E"/>
    <w:rsid w:val="00447728"/>
    <w:rsid w:val="00450781"/>
    <w:rsid w:val="00450883"/>
    <w:rsid w:val="004508AB"/>
    <w:rsid w:val="0045093D"/>
    <w:rsid w:val="00450C45"/>
    <w:rsid w:val="004512E1"/>
    <w:rsid w:val="004521DF"/>
    <w:rsid w:val="00452ACB"/>
    <w:rsid w:val="00452CBF"/>
    <w:rsid w:val="00453B6A"/>
    <w:rsid w:val="00453CDD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B47"/>
    <w:rsid w:val="00457D3E"/>
    <w:rsid w:val="00460377"/>
    <w:rsid w:val="00460E30"/>
    <w:rsid w:val="0046154A"/>
    <w:rsid w:val="00461A34"/>
    <w:rsid w:val="00461ADF"/>
    <w:rsid w:val="00461F8E"/>
    <w:rsid w:val="00462094"/>
    <w:rsid w:val="00462BF9"/>
    <w:rsid w:val="00462E1E"/>
    <w:rsid w:val="00463376"/>
    <w:rsid w:val="004638F2"/>
    <w:rsid w:val="00464118"/>
    <w:rsid w:val="004641C2"/>
    <w:rsid w:val="00464329"/>
    <w:rsid w:val="00464393"/>
    <w:rsid w:val="004649BF"/>
    <w:rsid w:val="00465B7F"/>
    <w:rsid w:val="00465DAF"/>
    <w:rsid w:val="004668F8"/>
    <w:rsid w:val="00466905"/>
    <w:rsid w:val="00466BA1"/>
    <w:rsid w:val="00466BBE"/>
    <w:rsid w:val="00466F8F"/>
    <w:rsid w:val="004670CA"/>
    <w:rsid w:val="0046732E"/>
    <w:rsid w:val="00467C0B"/>
    <w:rsid w:val="004702F1"/>
    <w:rsid w:val="004707B3"/>
    <w:rsid w:val="00470BE0"/>
    <w:rsid w:val="00470CEF"/>
    <w:rsid w:val="00471A12"/>
    <w:rsid w:val="00471CBB"/>
    <w:rsid w:val="004726A3"/>
    <w:rsid w:val="004728E1"/>
    <w:rsid w:val="00473588"/>
    <w:rsid w:val="0047376D"/>
    <w:rsid w:val="004743AC"/>
    <w:rsid w:val="004749DB"/>
    <w:rsid w:val="00474B53"/>
    <w:rsid w:val="00474B60"/>
    <w:rsid w:val="004751E7"/>
    <w:rsid w:val="004751E9"/>
    <w:rsid w:val="004753F9"/>
    <w:rsid w:val="00475566"/>
    <w:rsid w:val="00476545"/>
    <w:rsid w:val="0047654A"/>
    <w:rsid w:val="0047696E"/>
    <w:rsid w:val="00476B20"/>
    <w:rsid w:val="00476D94"/>
    <w:rsid w:val="00476FCF"/>
    <w:rsid w:val="004776B3"/>
    <w:rsid w:val="00477F42"/>
    <w:rsid w:val="00480446"/>
    <w:rsid w:val="004806C4"/>
    <w:rsid w:val="00480AAF"/>
    <w:rsid w:val="00480BF6"/>
    <w:rsid w:val="00481008"/>
    <w:rsid w:val="0048142A"/>
    <w:rsid w:val="004814C4"/>
    <w:rsid w:val="00481547"/>
    <w:rsid w:val="00481E9E"/>
    <w:rsid w:val="004825FB"/>
    <w:rsid w:val="00482A55"/>
    <w:rsid w:val="00483085"/>
    <w:rsid w:val="004830A7"/>
    <w:rsid w:val="00483F2C"/>
    <w:rsid w:val="004845A2"/>
    <w:rsid w:val="00484687"/>
    <w:rsid w:val="00484BDB"/>
    <w:rsid w:val="00484CF4"/>
    <w:rsid w:val="004850D2"/>
    <w:rsid w:val="00485E1A"/>
    <w:rsid w:val="00485FED"/>
    <w:rsid w:val="00486559"/>
    <w:rsid w:val="00486ED5"/>
    <w:rsid w:val="004876AD"/>
    <w:rsid w:val="00487F34"/>
    <w:rsid w:val="004907BB"/>
    <w:rsid w:val="004907D9"/>
    <w:rsid w:val="00491140"/>
    <w:rsid w:val="00491B61"/>
    <w:rsid w:val="00491E98"/>
    <w:rsid w:val="00492821"/>
    <w:rsid w:val="0049296C"/>
    <w:rsid w:val="00492B01"/>
    <w:rsid w:val="00492B90"/>
    <w:rsid w:val="004931F3"/>
    <w:rsid w:val="0049335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5715"/>
    <w:rsid w:val="004957E9"/>
    <w:rsid w:val="00495AA8"/>
    <w:rsid w:val="00495EFA"/>
    <w:rsid w:val="00495EFD"/>
    <w:rsid w:val="004966AD"/>
    <w:rsid w:val="004967CB"/>
    <w:rsid w:val="00497521"/>
    <w:rsid w:val="004977A7"/>
    <w:rsid w:val="00497D9A"/>
    <w:rsid w:val="00497DD3"/>
    <w:rsid w:val="00497E3E"/>
    <w:rsid w:val="00497F32"/>
    <w:rsid w:val="004A0073"/>
    <w:rsid w:val="004A017B"/>
    <w:rsid w:val="004A052B"/>
    <w:rsid w:val="004A0534"/>
    <w:rsid w:val="004A0949"/>
    <w:rsid w:val="004A0ADF"/>
    <w:rsid w:val="004A0E04"/>
    <w:rsid w:val="004A1717"/>
    <w:rsid w:val="004A17E9"/>
    <w:rsid w:val="004A18A5"/>
    <w:rsid w:val="004A28CB"/>
    <w:rsid w:val="004A2AAA"/>
    <w:rsid w:val="004A2DEB"/>
    <w:rsid w:val="004A2E8F"/>
    <w:rsid w:val="004A30BA"/>
    <w:rsid w:val="004A31AC"/>
    <w:rsid w:val="004A3606"/>
    <w:rsid w:val="004A3BB1"/>
    <w:rsid w:val="004A43A8"/>
    <w:rsid w:val="004A482D"/>
    <w:rsid w:val="004A4AEB"/>
    <w:rsid w:val="004A4FC0"/>
    <w:rsid w:val="004A4FD6"/>
    <w:rsid w:val="004A5064"/>
    <w:rsid w:val="004A52DD"/>
    <w:rsid w:val="004A5A3E"/>
    <w:rsid w:val="004A5AE6"/>
    <w:rsid w:val="004A6081"/>
    <w:rsid w:val="004A60A3"/>
    <w:rsid w:val="004A6ED0"/>
    <w:rsid w:val="004A7344"/>
    <w:rsid w:val="004B022C"/>
    <w:rsid w:val="004B04D2"/>
    <w:rsid w:val="004B0569"/>
    <w:rsid w:val="004B16DD"/>
    <w:rsid w:val="004B172D"/>
    <w:rsid w:val="004B1E4C"/>
    <w:rsid w:val="004B2913"/>
    <w:rsid w:val="004B3919"/>
    <w:rsid w:val="004B3999"/>
    <w:rsid w:val="004B4069"/>
    <w:rsid w:val="004B45EC"/>
    <w:rsid w:val="004B4AF0"/>
    <w:rsid w:val="004B4E05"/>
    <w:rsid w:val="004B583B"/>
    <w:rsid w:val="004B588D"/>
    <w:rsid w:val="004B645D"/>
    <w:rsid w:val="004B6B24"/>
    <w:rsid w:val="004C0A38"/>
    <w:rsid w:val="004C0C8E"/>
    <w:rsid w:val="004C15A4"/>
    <w:rsid w:val="004C1B38"/>
    <w:rsid w:val="004C1EC8"/>
    <w:rsid w:val="004C2048"/>
    <w:rsid w:val="004C25B7"/>
    <w:rsid w:val="004C26CF"/>
    <w:rsid w:val="004C287D"/>
    <w:rsid w:val="004C2AA2"/>
    <w:rsid w:val="004C2AF7"/>
    <w:rsid w:val="004C2E08"/>
    <w:rsid w:val="004C2E1B"/>
    <w:rsid w:val="004C33C8"/>
    <w:rsid w:val="004C34C3"/>
    <w:rsid w:val="004C3905"/>
    <w:rsid w:val="004C3BD3"/>
    <w:rsid w:val="004C42D1"/>
    <w:rsid w:val="004C5161"/>
    <w:rsid w:val="004C5471"/>
    <w:rsid w:val="004C5487"/>
    <w:rsid w:val="004C5793"/>
    <w:rsid w:val="004C5BCF"/>
    <w:rsid w:val="004C5C8D"/>
    <w:rsid w:val="004C6E57"/>
    <w:rsid w:val="004C716F"/>
    <w:rsid w:val="004C73BA"/>
    <w:rsid w:val="004C759B"/>
    <w:rsid w:val="004C76A5"/>
    <w:rsid w:val="004D05B3"/>
    <w:rsid w:val="004D0AC8"/>
    <w:rsid w:val="004D1174"/>
    <w:rsid w:val="004D1438"/>
    <w:rsid w:val="004D19E7"/>
    <w:rsid w:val="004D1C8E"/>
    <w:rsid w:val="004D1E4C"/>
    <w:rsid w:val="004D2490"/>
    <w:rsid w:val="004D271D"/>
    <w:rsid w:val="004D2A79"/>
    <w:rsid w:val="004D2F5D"/>
    <w:rsid w:val="004D303D"/>
    <w:rsid w:val="004D3692"/>
    <w:rsid w:val="004D3B82"/>
    <w:rsid w:val="004D3BC8"/>
    <w:rsid w:val="004D3CAA"/>
    <w:rsid w:val="004D45A2"/>
    <w:rsid w:val="004D4B30"/>
    <w:rsid w:val="004D4CE9"/>
    <w:rsid w:val="004D50FD"/>
    <w:rsid w:val="004D5986"/>
    <w:rsid w:val="004D59B3"/>
    <w:rsid w:val="004D5A4F"/>
    <w:rsid w:val="004D5EA9"/>
    <w:rsid w:val="004D6020"/>
    <w:rsid w:val="004D613F"/>
    <w:rsid w:val="004D618D"/>
    <w:rsid w:val="004D64F2"/>
    <w:rsid w:val="004D653C"/>
    <w:rsid w:val="004D6D6E"/>
    <w:rsid w:val="004D7694"/>
    <w:rsid w:val="004E0006"/>
    <w:rsid w:val="004E0283"/>
    <w:rsid w:val="004E0354"/>
    <w:rsid w:val="004E0EF5"/>
    <w:rsid w:val="004E1935"/>
    <w:rsid w:val="004E1DEA"/>
    <w:rsid w:val="004E1F14"/>
    <w:rsid w:val="004E1FF2"/>
    <w:rsid w:val="004E24D7"/>
    <w:rsid w:val="004E2AF6"/>
    <w:rsid w:val="004E2BD6"/>
    <w:rsid w:val="004E2DFE"/>
    <w:rsid w:val="004E2EFE"/>
    <w:rsid w:val="004E326B"/>
    <w:rsid w:val="004E32E4"/>
    <w:rsid w:val="004E37D7"/>
    <w:rsid w:val="004E3929"/>
    <w:rsid w:val="004E45DC"/>
    <w:rsid w:val="004E47F2"/>
    <w:rsid w:val="004E4F24"/>
    <w:rsid w:val="004E51D8"/>
    <w:rsid w:val="004E5CB5"/>
    <w:rsid w:val="004E5F90"/>
    <w:rsid w:val="004E62D1"/>
    <w:rsid w:val="004E64E1"/>
    <w:rsid w:val="004E681A"/>
    <w:rsid w:val="004E6877"/>
    <w:rsid w:val="004E6DB5"/>
    <w:rsid w:val="004E72C0"/>
    <w:rsid w:val="004E75BD"/>
    <w:rsid w:val="004F0384"/>
    <w:rsid w:val="004F0B43"/>
    <w:rsid w:val="004F153B"/>
    <w:rsid w:val="004F17CC"/>
    <w:rsid w:val="004F2707"/>
    <w:rsid w:val="004F3336"/>
    <w:rsid w:val="004F351E"/>
    <w:rsid w:val="004F373C"/>
    <w:rsid w:val="004F37FF"/>
    <w:rsid w:val="004F3C4D"/>
    <w:rsid w:val="004F408E"/>
    <w:rsid w:val="004F4B9C"/>
    <w:rsid w:val="004F5BF8"/>
    <w:rsid w:val="004F5C3B"/>
    <w:rsid w:val="004F5C73"/>
    <w:rsid w:val="004F6213"/>
    <w:rsid w:val="004F66EA"/>
    <w:rsid w:val="004F6901"/>
    <w:rsid w:val="004F6F5D"/>
    <w:rsid w:val="004F719C"/>
    <w:rsid w:val="004F7A10"/>
    <w:rsid w:val="004F7DC0"/>
    <w:rsid w:val="004F7EDA"/>
    <w:rsid w:val="005006B3"/>
    <w:rsid w:val="0050080C"/>
    <w:rsid w:val="00500A39"/>
    <w:rsid w:val="00500A46"/>
    <w:rsid w:val="00501308"/>
    <w:rsid w:val="00501406"/>
    <w:rsid w:val="005019B4"/>
    <w:rsid w:val="005020D0"/>
    <w:rsid w:val="0050225B"/>
    <w:rsid w:val="005022D7"/>
    <w:rsid w:val="00502856"/>
    <w:rsid w:val="00502A56"/>
    <w:rsid w:val="00502E84"/>
    <w:rsid w:val="005037D0"/>
    <w:rsid w:val="005039D3"/>
    <w:rsid w:val="00503EC8"/>
    <w:rsid w:val="005041A5"/>
    <w:rsid w:val="005042EA"/>
    <w:rsid w:val="00504F77"/>
    <w:rsid w:val="005058AE"/>
    <w:rsid w:val="00505E75"/>
    <w:rsid w:val="00506351"/>
    <w:rsid w:val="00506710"/>
    <w:rsid w:val="00506EB4"/>
    <w:rsid w:val="00507C05"/>
    <w:rsid w:val="00507F82"/>
    <w:rsid w:val="00510107"/>
    <w:rsid w:val="00510195"/>
    <w:rsid w:val="00510368"/>
    <w:rsid w:val="0051076E"/>
    <w:rsid w:val="00511295"/>
    <w:rsid w:val="005114EC"/>
    <w:rsid w:val="00511B04"/>
    <w:rsid w:val="005121AE"/>
    <w:rsid w:val="0051220C"/>
    <w:rsid w:val="005122C8"/>
    <w:rsid w:val="005127E7"/>
    <w:rsid w:val="00512D9D"/>
    <w:rsid w:val="0051353E"/>
    <w:rsid w:val="00513578"/>
    <w:rsid w:val="005138A0"/>
    <w:rsid w:val="005141FD"/>
    <w:rsid w:val="00514807"/>
    <w:rsid w:val="00514888"/>
    <w:rsid w:val="00514AB2"/>
    <w:rsid w:val="00515564"/>
    <w:rsid w:val="005167CF"/>
    <w:rsid w:val="005172C4"/>
    <w:rsid w:val="00517CC1"/>
    <w:rsid w:val="0052081C"/>
    <w:rsid w:val="00520AD1"/>
    <w:rsid w:val="00521611"/>
    <w:rsid w:val="00521FFD"/>
    <w:rsid w:val="00522462"/>
    <w:rsid w:val="005226B4"/>
    <w:rsid w:val="005228F0"/>
    <w:rsid w:val="005229EA"/>
    <w:rsid w:val="00522D34"/>
    <w:rsid w:val="00523F3B"/>
    <w:rsid w:val="00523F52"/>
    <w:rsid w:val="0052401E"/>
    <w:rsid w:val="0052417C"/>
    <w:rsid w:val="005243D9"/>
    <w:rsid w:val="00524918"/>
    <w:rsid w:val="00524924"/>
    <w:rsid w:val="00524BCD"/>
    <w:rsid w:val="00524C7A"/>
    <w:rsid w:val="0052530E"/>
    <w:rsid w:val="0052587D"/>
    <w:rsid w:val="00525D4F"/>
    <w:rsid w:val="00525FE4"/>
    <w:rsid w:val="0052634B"/>
    <w:rsid w:val="005263BF"/>
    <w:rsid w:val="0052665D"/>
    <w:rsid w:val="00526B56"/>
    <w:rsid w:val="00526CA5"/>
    <w:rsid w:val="00526ED1"/>
    <w:rsid w:val="00527C8E"/>
    <w:rsid w:val="00530D80"/>
    <w:rsid w:val="00531239"/>
    <w:rsid w:val="0053144D"/>
    <w:rsid w:val="00531553"/>
    <w:rsid w:val="00531F20"/>
    <w:rsid w:val="00532203"/>
    <w:rsid w:val="005322AA"/>
    <w:rsid w:val="0053282F"/>
    <w:rsid w:val="00533382"/>
    <w:rsid w:val="005335DE"/>
    <w:rsid w:val="0053413D"/>
    <w:rsid w:val="00534338"/>
    <w:rsid w:val="005346C6"/>
    <w:rsid w:val="00534B79"/>
    <w:rsid w:val="00535BBA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7AE"/>
    <w:rsid w:val="005408FF"/>
    <w:rsid w:val="005409DD"/>
    <w:rsid w:val="00541078"/>
    <w:rsid w:val="0054114F"/>
    <w:rsid w:val="005413F2"/>
    <w:rsid w:val="005413F5"/>
    <w:rsid w:val="00541808"/>
    <w:rsid w:val="00542098"/>
    <w:rsid w:val="005422BD"/>
    <w:rsid w:val="005425BF"/>
    <w:rsid w:val="005433DB"/>
    <w:rsid w:val="005437E9"/>
    <w:rsid w:val="0054480A"/>
    <w:rsid w:val="005449FF"/>
    <w:rsid w:val="005451C0"/>
    <w:rsid w:val="005453FA"/>
    <w:rsid w:val="0054565C"/>
    <w:rsid w:val="0054571C"/>
    <w:rsid w:val="00545F54"/>
    <w:rsid w:val="005463C0"/>
    <w:rsid w:val="005465F2"/>
    <w:rsid w:val="005466A4"/>
    <w:rsid w:val="0054674E"/>
    <w:rsid w:val="00546DCA"/>
    <w:rsid w:val="005476E0"/>
    <w:rsid w:val="00547B4C"/>
    <w:rsid w:val="00547CC6"/>
    <w:rsid w:val="00547D0C"/>
    <w:rsid w:val="00547F59"/>
    <w:rsid w:val="0055014D"/>
    <w:rsid w:val="00550879"/>
    <w:rsid w:val="00550D79"/>
    <w:rsid w:val="00550F2D"/>
    <w:rsid w:val="005511B4"/>
    <w:rsid w:val="005512FE"/>
    <w:rsid w:val="0055132B"/>
    <w:rsid w:val="005517FD"/>
    <w:rsid w:val="00551B61"/>
    <w:rsid w:val="005525BB"/>
    <w:rsid w:val="005529DF"/>
    <w:rsid w:val="00552DE6"/>
    <w:rsid w:val="00552E2B"/>
    <w:rsid w:val="00553060"/>
    <w:rsid w:val="005530D4"/>
    <w:rsid w:val="00553238"/>
    <w:rsid w:val="005537E3"/>
    <w:rsid w:val="00554620"/>
    <w:rsid w:val="0055478B"/>
    <w:rsid w:val="00554E3B"/>
    <w:rsid w:val="00555345"/>
    <w:rsid w:val="00555820"/>
    <w:rsid w:val="00555F5D"/>
    <w:rsid w:val="0055653C"/>
    <w:rsid w:val="00556590"/>
    <w:rsid w:val="0055661D"/>
    <w:rsid w:val="00556A45"/>
    <w:rsid w:val="00556BF1"/>
    <w:rsid w:val="00556D1E"/>
    <w:rsid w:val="00557201"/>
    <w:rsid w:val="00557379"/>
    <w:rsid w:val="00557716"/>
    <w:rsid w:val="005604FE"/>
    <w:rsid w:val="00560835"/>
    <w:rsid w:val="00560E20"/>
    <w:rsid w:val="0056112E"/>
    <w:rsid w:val="00561D7A"/>
    <w:rsid w:val="00562411"/>
    <w:rsid w:val="00562690"/>
    <w:rsid w:val="0056281B"/>
    <w:rsid w:val="005630B8"/>
    <w:rsid w:val="00563186"/>
    <w:rsid w:val="00563BD7"/>
    <w:rsid w:val="00563BEB"/>
    <w:rsid w:val="00563D05"/>
    <w:rsid w:val="00563E22"/>
    <w:rsid w:val="00563FEE"/>
    <w:rsid w:val="00564083"/>
    <w:rsid w:val="005644E8"/>
    <w:rsid w:val="00564B23"/>
    <w:rsid w:val="00564E32"/>
    <w:rsid w:val="00564E8F"/>
    <w:rsid w:val="0056529A"/>
    <w:rsid w:val="00565349"/>
    <w:rsid w:val="00565512"/>
    <w:rsid w:val="005655FB"/>
    <w:rsid w:val="00565BC2"/>
    <w:rsid w:val="00566C2A"/>
    <w:rsid w:val="00566CDF"/>
    <w:rsid w:val="00566D43"/>
    <w:rsid w:val="00566EB3"/>
    <w:rsid w:val="00567815"/>
    <w:rsid w:val="00567866"/>
    <w:rsid w:val="005700F1"/>
    <w:rsid w:val="005705EE"/>
    <w:rsid w:val="00570FB0"/>
    <w:rsid w:val="0057113F"/>
    <w:rsid w:val="0057162B"/>
    <w:rsid w:val="0057196D"/>
    <w:rsid w:val="00571BE9"/>
    <w:rsid w:val="00571C45"/>
    <w:rsid w:val="00571C49"/>
    <w:rsid w:val="00571F58"/>
    <w:rsid w:val="005721CF"/>
    <w:rsid w:val="0057232B"/>
    <w:rsid w:val="0057256E"/>
    <w:rsid w:val="0057330E"/>
    <w:rsid w:val="00573430"/>
    <w:rsid w:val="00573587"/>
    <w:rsid w:val="005735E6"/>
    <w:rsid w:val="00573729"/>
    <w:rsid w:val="00574536"/>
    <w:rsid w:val="005745AB"/>
    <w:rsid w:val="00574826"/>
    <w:rsid w:val="00574E94"/>
    <w:rsid w:val="005759AF"/>
    <w:rsid w:val="00575BE8"/>
    <w:rsid w:val="00575E1B"/>
    <w:rsid w:val="00576C0A"/>
    <w:rsid w:val="005772E3"/>
    <w:rsid w:val="005773AE"/>
    <w:rsid w:val="005775F0"/>
    <w:rsid w:val="0057798A"/>
    <w:rsid w:val="00577F86"/>
    <w:rsid w:val="0058089B"/>
    <w:rsid w:val="00580947"/>
    <w:rsid w:val="0058153C"/>
    <w:rsid w:val="005816D5"/>
    <w:rsid w:val="00581B21"/>
    <w:rsid w:val="00581BC6"/>
    <w:rsid w:val="00581CE8"/>
    <w:rsid w:val="00581D3A"/>
    <w:rsid w:val="00581D6B"/>
    <w:rsid w:val="00581DAB"/>
    <w:rsid w:val="00581DF5"/>
    <w:rsid w:val="00581F77"/>
    <w:rsid w:val="00581F8E"/>
    <w:rsid w:val="00582484"/>
    <w:rsid w:val="005825EF"/>
    <w:rsid w:val="00582C01"/>
    <w:rsid w:val="005838FC"/>
    <w:rsid w:val="00583902"/>
    <w:rsid w:val="00583B04"/>
    <w:rsid w:val="00583C50"/>
    <w:rsid w:val="0058499A"/>
    <w:rsid w:val="00584EF9"/>
    <w:rsid w:val="00584F2C"/>
    <w:rsid w:val="0058538D"/>
    <w:rsid w:val="00585568"/>
    <w:rsid w:val="005858DA"/>
    <w:rsid w:val="00585A06"/>
    <w:rsid w:val="00585DC0"/>
    <w:rsid w:val="00585EF8"/>
    <w:rsid w:val="00585F30"/>
    <w:rsid w:val="00585F69"/>
    <w:rsid w:val="005863F1"/>
    <w:rsid w:val="00586C12"/>
    <w:rsid w:val="005874C0"/>
    <w:rsid w:val="0058758A"/>
    <w:rsid w:val="00590193"/>
    <w:rsid w:val="0059028E"/>
    <w:rsid w:val="005903C0"/>
    <w:rsid w:val="00590B15"/>
    <w:rsid w:val="005913B7"/>
    <w:rsid w:val="00591832"/>
    <w:rsid w:val="00591EE2"/>
    <w:rsid w:val="00592111"/>
    <w:rsid w:val="00592193"/>
    <w:rsid w:val="00592864"/>
    <w:rsid w:val="005928CF"/>
    <w:rsid w:val="00593273"/>
    <w:rsid w:val="005939A4"/>
    <w:rsid w:val="00593BE0"/>
    <w:rsid w:val="005944D4"/>
    <w:rsid w:val="005949A4"/>
    <w:rsid w:val="00595049"/>
    <w:rsid w:val="00595357"/>
    <w:rsid w:val="00595A8B"/>
    <w:rsid w:val="00595C6F"/>
    <w:rsid w:val="00595E0E"/>
    <w:rsid w:val="00596B90"/>
    <w:rsid w:val="00596BDB"/>
    <w:rsid w:val="005975ED"/>
    <w:rsid w:val="00597612"/>
    <w:rsid w:val="0059781D"/>
    <w:rsid w:val="005A02C0"/>
    <w:rsid w:val="005A07A0"/>
    <w:rsid w:val="005A0F92"/>
    <w:rsid w:val="005A1156"/>
    <w:rsid w:val="005A1518"/>
    <w:rsid w:val="005A1523"/>
    <w:rsid w:val="005A194D"/>
    <w:rsid w:val="005A260B"/>
    <w:rsid w:val="005A26D1"/>
    <w:rsid w:val="005A3006"/>
    <w:rsid w:val="005A3F1A"/>
    <w:rsid w:val="005A4D8D"/>
    <w:rsid w:val="005A4DBA"/>
    <w:rsid w:val="005A50CA"/>
    <w:rsid w:val="005A528B"/>
    <w:rsid w:val="005A66F4"/>
    <w:rsid w:val="005A689C"/>
    <w:rsid w:val="005A6A6F"/>
    <w:rsid w:val="005A6EBA"/>
    <w:rsid w:val="005A7618"/>
    <w:rsid w:val="005A7C85"/>
    <w:rsid w:val="005B0176"/>
    <w:rsid w:val="005B02BD"/>
    <w:rsid w:val="005B02D0"/>
    <w:rsid w:val="005B02E5"/>
    <w:rsid w:val="005B042E"/>
    <w:rsid w:val="005B04B4"/>
    <w:rsid w:val="005B0805"/>
    <w:rsid w:val="005B0C0F"/>
    <w:rsid w:val="005B1200"/>
    <w:rsid w:val="005B12F6"/>
    <w:rsid w:val="005B1605"/>
    <w:rsid w:val="005B1CB5"/>
    <w:rsid w:val="005B1FC6"/>
    <w:rsid w:val="005B29AF"/>
    <w:rsid w:val="005B2A02"/>
    <w:rsid w:val="005B2C05"/>
    <w:rsid w:val="005B3622"/>
    <w:rsid w:val="005B3644"/>
    <w:rsid w:val="005B379B"/>
    <w:rsid w:val="005B385D"/>
    <w:rsid w:val="005B3C72"/>
    <w:rsid w:val="005B3ED7"/>
    <w:rsid w:val="005B3F29"/>
    <w:rsid w:val="005B41D9"/>
    <w:rsid w:val="005B4815"/>
    <w:rsid w:val="005B4970"/>
    <w:rsid w:val="005B4BB8"/>
    <w:rsid w:val="005B4C77"/>
    <w:rsid w:val="005B4EB0"/>
    <w:rsid w:val="005B584C"/>
    <w:rsid w:val="005B5988"/>
    <w:rsid w:val="005B70AC"/>
    <w:rsid w:val="005B73E0"/>
    <w:rsid w:val="005B7807"/>
    <w:rsid w:val="005B7F8B"/>
    <w:rsid w:val="005C016A"/>
    <w:rsid w:val="005C025E"/>
    <w:rsid w:val="005C061D"/>
    <w:rsid w:val="005C0B8E"/>
    <w:rsid w:val="005C0EB0"/>
    <w:rsid w:val="005C1299"/>
    <w:rsid w:val="005C15FF"/>
    <w:rsid w:val="005C25B2"/>
    <w:rsid w:val="005C304C"/>
    <w:rsid w:val="005C3250"/>
    <w:rsid w:val="005C3755"/>
    <w:rsid w:val="005C3BCA"/>
    <w:rsid w:val="005C3BF4"/>
    <w:rsid w:val="005C3C2B"/>
    <w:rsid w:val="005C40E0"/>
    <w:rsid w:val="005C411C"/>
    <w:rsid w:val="005C4475"/>
    <w:rsid w:val="005C44D1"/>
    <w:rsid w:val="005C451D"/>
    <w:rsid w:val="005C4956"/>
    <w:rsid w:val="005C4963"/>
    <w:rsid w:val="005C4D00"/>
    <w:rsid w:val="005C519D"/>
    <w:rsid w:val="005C5441"/>
    <w:rsid w:val="005C56B4"/>
    <w:rsid w:val="005C5B58"/>
    <w:rsid w:val="005C5E11"/>
    <w:rsid w:val="005C5EB9"/>
    <w:rsid w:val="005C61C9"/>
    <w:rsid w:val="005C6382"/>
    <w:rsid w:val="005C65B5"/>
    <w:rsid w:val="005C66C2"/>
    <w:rsid w:val="005C692A"/>
    <w:rsid w:val="005C6CA1"/>
    <w:rsid w:val="005C7088"/>
    <w:rsid w:val="005C70C8"/>
    <w:rsid w:val="005C7262"/>
    <w:rsid w:val="005C7D48"/>
    <w:rsid w:val="005D0173"/>
    <w:rsid w:val="005D031D"/>
    <w:rsid w:val="005D033A"/>
    <w:rsid w:val="005D0F32"/>
    <w:rsid w:val="005D1545"/>
    <w:rsid w:val="005D207F"/>
    <w:rsid w:val="005D22CD"/>
    <w:rsid w:val="005D2441"/>
    <w:rsid w:val="005D2E6D"/>
    <w:rsid w:val="005D3033"/>
    <w:rsid w:val="005D3137"/>
    <w:rsid w:val="005D39A7"/>
    <w:rsid w:val="005D3ABB"/>
    <w:rsid w:val="005D3F57"/>
    <w:rsid w:val="005D4DC9"/>
    <w:rsid w:val="005D4DD4"/>
    <w:rsid w:val="005D5236"/>
    <w:rsid w:val="005D5D2C"/>
    <w:rsid w:val="005D5FF4"/>
    <w:rsid w:val="005D6067"/>
    <w:rsid w:val="005D62FB"/>
    <w:rsid w:val="005D665F"/>
    <w:rsid w:val="005D67D6"/>
    <w:rsid w:val="005D723B"/>
    <w:rsid w:val="005D762A"/>
    <w:rsid w:val="005D79F3"/>
    <w:rsid w:val="005D7D07"/>
    <w:rsid w:val="005E09BA"/>
    <w:rsid w:val="005E1329"/>
    <w:rsid w:val="005E1998"/>
    <w:rsid w:val="005E1B69"/>
    <w:rsid w:val="005E1F6A"/>
    <w:rsid w:val="005E231D"/>
    <w:rsid w:val="005E23AC"/>
    <w:rsid w:val="005E2524"/>
    <w:rsid w:val="005E273E"/>
    <w:rsid w:val="005E2C33"/>
    <w:rsid w:val="005E2F9B"/>
    <w:rsid w:val="005E3713"/>
    <w:rsid w:val="005E387D"/>
    <w:rsid w:val="005E3951"/>
    <w:rsid w:val="005E3C6C"/>
    <w:rsid w:val="005E41D6"/>
    <w:rsid w:val="005E4943"/>
    <w:rsid w:val="005E5E30"/>
    <w:rsid w:val="005E6054"/>
    <w:rsid w:val="005E6841"/>
    <w:rsid w:val="005E7924"/>
    <w:rsid w:val="005E7C33"/>
    <w:rsid w:val="005F0312"/>
    <w:rsid w:val="005F04F5"/>
    <w:rsid w:val="005F0A0B"/>
    <w:rsid w:val="005F0BAE"/>
    <w:rsid w:val="005F1C00"/>
    <w:rsid w:val="005F221A"/>
    <w:rsid w:val="005F237A"/>
    <w:rsid w:val="005F2754"/>
    <w:rsid w:val="005F2A20"/>
    <w:rsid w:val="005F327A"/>
    <w:rsid w:val="005F3AC7"/>
    <w:rsid w:val="005F3BC0"/>
    <w:rsid w:val="005F3DD6"/>
    <w:rsid w:val="005F3E85"/>
    <w:rsid w:val="005F4282"/>
    <w:rsid w:val="005F4380"/>
    <w:rsid w:val="005F4461"/>
    <w:rsid w:val="005F462F"/>
    <w:rsid w:val="005F4DAE"/>
    <w:rsid w:val="005F4E99"/>
    <w:rsid w:val="005F51F6"/>
    <w:rsid w:val="005F5320"/>
    <w:rsid w:val="005F56C3"/>
    <w:rsid w:val="005F59BC"/>
    <w:rsid w:val="005F5F9E"/>
    <w:rsid w:val="005F5FA7"/>
    <w:rsid w:val="005F6102"/>
    <w:rsid w:val="005F61DD"/>
    <w:rsid w:val="005F6676"/>
    <w:rsid w:val="005F6886"/>
    <w:rsid w:val="005F6DA2"/>
    <w:rsid w:val="005F7187"/>
    <w:rsid w:val="005F745F"/>
    <w:rsid w:val="005F7727"/>
    <w:rsid w:val="005F7787"/>
    <w:rsid w:val="005F7AE1"/>
    <w:rsid w:val="006005A6"/>
    <w:rsid w:val="0060076C"/>
    <w:rsid w:val="00600884"/>
    <w:rsid w:val="00600E54"/>
    <w:rsid w:val="0060106A"/>
    <w:rsid w:val="006016CF"/>
    <w:rsid w:val="0060227B"/>
    <w:rsid w:val="006023AE"/>
    <w:rsid w:val="006027A3"/>
    <w:rsid w:val="006033CB"/>
    <w:rsid w:val="00603A22"/>
    <w:rsid w:val="006043BA"/>
    <w:rsid w:val="00604644"/>
    <w:rsid w:val="00604D2C"/>
    <w:rsid w:val="00604FB2"/>
    <w:rsid w:val="00604FC7"/>
    <w:rsid w:val="00605746"/>
    <w:rsid w:val="00606269"/>
    <w:rsid w:val="0060687A"/>
    <w:rsid w:val="00606AFB"/>
    <w:rsid w:val="00607066"/>
    <w:rsid w:val="006070FB"/>
    <w:rsid w:val="00607210"/>
    <w:rsid w:val="006077B9"/>
    <w:rsid w:val="00607FF5"/>
    <w:rsid w:val="006102DE"/>
    <w:rsid w:val="0061037D"/>
    <w:rsid w:val="00611102"/>
    <w:rsid w:val="006115F5"/>
    <w:rsid w:val="0061190F"/>
    <w:rsid w:val="0061214E"/>
    <w:rsid w:val="00612151"/>
    <w:rsid w:val="00612A11"/>
    <w:rsid w:val="00612D84"/>
    <w:rsid w:val="00614B48"/>
    <w:rsid w:val="00614E11"/>
    <w:rsid w:val="00615A72"/>
    <w:rsid w:val="00615B53"/>
    <w:rsid w:val="00615E4C"/>
    <w:rsid w:val="00615F42"/>
    <w:rsid w:val="00616144"/>
    <w:rsid w:val="0061633E"/>
    <w:rsid w:val="00616804"/>
    <w:rsid w:val="00616A11"/>
    <w:rsid w:val="00616FC6"/>
    <w:rsid w:val="00617045"/>
    <w:rsid w:val="00617271"/>
    <w:rsid w:val="0061735F"/>
    <w:rsid w:val="00617556"/>
    <w:rsid w:val="0061766C"/>
    <w:rsid w:val="00617B27"/>
    <w:rsid w:val="00617E2D"/>
    <w:rsid w:val="006202A7"/>
    <w:rsid w:val="006204DA"/>
    <w:rsid w:val="00620640"/>
    <w:rsid w:val="006208F3"/>
    <w:rsid w:val="00620AB5"/>
    <w:rsid w:val="0062114B"/>
    <w:rsid w:val="00621152"/>
    <w:rsid w:val="0062177D"/>
    <w:rsid w:val="00621846"/>
    <w:rsid w:val="006221B8"/>
    <w:rsid w:val="00622561"/>
    <w:rsid w:val="00622AA1"/>
    <w:rsid w:val="00622DEC"/>
    <w:rsid w:val="00622F49"/>
    <w:rsid w:val="00623290"/>
    <w:rsid w:val="00623DD8"/>
    <w:rsid w:val="0062404B"/>
    <w:rsid w:val="00624A7F"/>
    <w:rsid w:val="00624F83"/>
    <w:rsid w:val="006256C8"/>
    <w:rsid w:val="00625E35"/>
    <w:rsid w:val="00625FA2"/>
    <w:rsid w:val="0062642D"/>
    <w:rsid w:val="0062674F"/>
    <w:rsid w:val="006268C3"/>
    <w:rsid w:val="00627021"/>
    <w:rsid w:val="006272EC"/>
    <w:rsid w:val="00627EF3"/>
    <w:rsid w:val="006313AB"/>
    <w:rsid w:val="0063180E"/>
    <w:rsid w:val="006319D3"/>
    <w:rsid w:val="00631C8F"/>
    <w:rsid w:val="006325DF"/>
    <w:rsid w:val="00632EB8"/>
    <w:rsid w:val="006335D5"/>
    <w:rsid w:val="006335DD"/>
    <w:rsid w:val="00633830"/>
    <w:rsid w:val="00633C2B"/>
    <w:rsid w:val="006347BE"/>
    <w:rsid w:val="006348B8"/>
    <w:rsid w:val="00634A5E"/>
    <w:rsid w:val="00634CBB"/>
    <w:rsid w:val="006350B8"/>
    <w:rsid w:val="0063520C"/>
    <w:rsid w:val="00635224"/>
    <w:rsid w:val="006353AB"/>
    <w:rsid w:val="00635CD5"/>
    <w:rsid w:val="00635D62"/>
    <w:rsid w:val="0063621B"/>
    <w:rsid w:val="006366D4"/>
    <w:rsid w:val="00636BC4"/>
    <w:rsid w:val="00637284"/>
    <w:rsid w:val="006378F2"/>
    <w:rsid w:val="00637D23"/>
    <w:rsid w:val="00637D90"/>
    <w:rsid w:val="00637E44"/>
    <w:rsid w:val="00640193"/>
    <w:rsid w:val="00640266"/>
    <w:rsid w:val="00640C33"/>
    <w:rsid w:val="00640EC0"/>
    <w:rsid w:val="0064135C"/>
    <w:rsid w:val="006419A8"/>
    <w:rsid w:val="006421C7"/>
    <w:rsid w:val="0064287A"/>
    <w:rsid w:val="006432CB"/>
    <w:rsid w:val="006439C2"/>
    <w:rsid w:val="00643EB4"/>
    <w:rsid w:val="00644912"/>
    <w:rsid w:val="0064527C"/>
    <w:rsid w:val="006453B4"/>
    <w:rsid w:val="006455AD"/>
    <w:rsid w:val="00646522"/>
    <w:rsid w:val="00646D22"/>
    <w:rsid w:val="00646E23"/>
    <w:rsid w:val="006479F3"/>
    <w:rsid w:val="00650215"/>
    <w:rsid w:val="0065031F"/>
    <w:rsid w:val="00650738"/>
    <w:rsid w:val="0065093F"/>
    <w:rsid w:val="00650CD7"/>
    <w:rsid w:val="00651341"/>
    <w:rsid w:val="00651E08"/>
    <w:rsid w:val="006524C0"/>
    <w:rsid w:val="00652728"/>
    <w:rsid w:val="00652B25"/>
    <w:rsid w:val="00652BB4"/>
    <w:rsid w:val="00652E21"/>
    <w:rsid w:val="006538FD"/>
    <w:rsid w:val="0065404B"/>
    <w:rsid w:val="00654858"/>
    <w:rsid w:val="006548B8"/>
    <w:rsid w:val="0065525D"/>
    <w:rsid w:val="00655EA9"/>
    <w:rsid w:val="00655F71"/>
    <w:rsid w:val="00655FF5"/>
    <w:rsid w:val="00656961"/>
    <w:rsid w:val="00656B7E"/>
    <w:rsid w:val="00656EF8"/>
    <w:rsid w:val="006575BB"/>
    <w:rsid w:val="0066026C"/>
    <w:rsid w:val="006614E6"/>
    <w:rsid w:val="00661742"/>
    <w:rsid w:val="006618A4"/>
    <w:rsid w:val="00661E69"/>
    <w:rsid w:val="006621E5"/>
    <w:rsid w:val="00662E03"/>
    <w:rsid w:val="00663442"/>
    <w:rsid w:val="0066359C"/>
    <w:rsid w:val="00663657"/>
    <w:rsid w:val="00663ED6"/>
    <w:rsid w:val="00664091"/>
    <w:rsid w:val="00664567"/>
    <w:rsid w:val="006645BB"/>
    <w:rsid w:val="006647CF"/>
    <w:rsid w:val="00664A0E"/>
    <w:rsid w:val="00664D24"/>
    <w:rsid w:val="00664DC0"/>
    <w:rsid w:val="006659FE"/>
    <w:rsid w:val="006662D9"/>
    <w:rsid w:val="0066647F"/>
    <w:rsid w:val="00666C8F"/>
    <w:rsid w:val="00666DCA"/>
    <w:rsid w:val="00666FB3"/>
    <w:rsid w:val="0066717D"/>
    <w:rsid w:val="00667396"/>
    <w:rsid w:val="00667599"/>
    <w:rsid w:val="006678BB"/>
    <w:rsid w:val="00667F99"/>
    <w:rsid w:val="006700B2"/>
    <w:rsid w:val="00671290"/>
    <w:rsid w:val="0067174F"/>
    <w:rsid w:val="00671DA0"/>
    <w:rsid w:val="00671F37"/>
    <w:rsid w:val="006722DD"/>
    <w:rsid w:val="0067235D"/>
    <w:rsid w:val="00672E19"/>
    <w:rsid w:val="00672F55"/>
    <w:rsid w:val="00672F76"/>
    <w:rsid w:val="006730C9"/>
    <w:rsid w:val="00673511"/>
    <w:rsid w:val="00673642"/>
    <w:rsid w:val="00673AEF"/>
    <w:rsid w:val="00673EB8"/>
    <w:rsid w:val="006744AC"/>
    <w:rsid w:val="006744B0"/>
    <w:rsid w:val="006744FD"/>
    <w:rsid w:val="00674982"/>
    <w:rsid w:val="00674FF2"/>
    <w:rsid w:val="00675283"/>
    <w:rsid w:val="00675A11"/>
    <w:rsid w:val="00675D30"/>
    <w:rsid w:val="006763D0"/>
    <w:rsid w:val="00676B98"/>
    <w:rsid w:val="00677035"/>
    <w:rsid w:val="0068060F"/>
    <w:rsid w:val="00680AF5"/>
    <w:rsid w:val="00680D51"/>
    <w:rsid w:val="00680E41"/>
    <w:rsid w:val="00680F28"/>
    <w:rsid w:val="00681B87"/>
    <w:rsid w:val="00681C83"/>
    <w:rsid w:val="00681D82"/>
    <w:rsid w:val="0068234C"/>
    <w:rsid w:val="0068234D"/>
    <w:rsid w:val="006823AB"/>
    <w:rsid w:val="0068285B"/>
    <w:rsid w:val="00682A34"/>
    <w:rsid w:val="00682D40"/>
    <w:rsid w:val="00682FEA"/>
    <w:rsid w:val="00683136"/>
    <w:rsid w:val="00683651"/>
    <w:rsid w:val="00683921"/>
    <w:rsid w:val="00683A2B"/>
    <w:rsid w:val="00683C72"/>
    <w:rsid w:val="0068404C"/>
    <w:rsid w:val="006840FC"/>
    <w:rsid w:val="00684623"/>
    <w:rsid w:val="006847C5"/>
    <w:rsid w:val="00684871"/>
    <w:rsid w:val="00684BE4"/>
    <w:rsid w:val="00684C73"/>
    <w:rsid w:val="00684D1B"/>
    <w:rsid w:val="00684F20"/>
    <w:rsid w:val="00684FE1"/>
    <w:rsid w:val="00685420"/>
    <w:rsid w:val="0068552C"/>
    <w:rsid w:val="006855EE"/>
    <w:rsid w:val="00685B79"/>
    <w:rsid w:val="00685C5C"/>
    <w:rsid w:val="00686898"/>
    <w:rsid w:val="00686A98"/>
    <w:rsid w:val="00686CF7"/>
    <w:rsid w:val="0068765C"/>
    <w:rsid w:val="00687951"/>
    <w:rsid w:val="00687A4F"/>
    <w:rsid w:val="00687B75"/>
    <w:rsid w:val="00687D48"/>
    <w:rsid w:val="00690074"/>
    <w:rsid w:val="00690C1B"/>
    <w:rsid w:val="00690CC4"/>
    <w:rsid w:val="00690CEB"/>
    <w:rsid w:val="00691047"/>
    <w:rsid w:val="006917CF"/>
    <w:rsid w:val="00691F01"/>
    <w:rsid w:val="0069206B"/>
    <w:rsid w:val="00692D27"/>
    <w:rsid w:val="006934D4"/>
    <w:rsid w:val="00693FEF"/>
    <w:rsid w:val="00694594"/>
    <w:rsid w:val="00694BD3"/>
    <w:rsid w:val="00694C70"/>
    <w:rsid w:val="006957FD"/>
    <w:rsid w:val="00695A31"/>
    <w:rsid w:val="006960EB"/>
    <w:rsid w:val="006963EA"/>
    <w:rsid w:val="00696F7A"/>
    <w:rsid w:val="0069760A"/>
    <w:rsid w:val="006976BB"/>
    <w:rsid w:val="00697711"/>
    <w:rsid w:val="00697969"/>
    <w:rsid w:val="00697C52"/>
    <w:rsid w:val="006A0829"/>
    <w:rsid w:val="006A161C"/>
    <w:rsid w:val="006A1CFD"/>
    <w:rsid w:val="006A2096"/>
    <w:rsid w:val="006A2419"/>
    <w:rsid w:val="006A2890"/>
    <w:rsid w:val="006A3165"/>
    <w:rsid w:val="006A3369"/>
    <w:rsid w:val="006A3A47"/>
    <w:rsid w:val="006A4360"/>
    <w:rsid w:val="006A43E8"/>
    <w:rsid w:val="006A4948"/>
    <w:rsid w:val="006A4E4E"/>
    <w:rsid w:val="006A5F7C"/>
    <w:rsid w:val="006A6565"/>
    <w:rsid w:val="006A7365"/>
    <w:rsid w:val="006A763D"/>
    <w:rsid w:val="006A7CAA"/>
    <w:rsid w:val="006A7E85"/>
    <w:rsid w:val="006B01C7"/>
    <w:rsid w:val="006B05F9"/>
    <w:rsid w:val="006B13FF"/>
    <w:rsid w:val="006B1BCA"/>
    <w:rsid w:val="006B25A0"/>
    <w:rsid w:val="006B270A"/>
    <w:rsid w:val="006B2761"/>
    <w:rsid w:val="006B30AD"/>
    <w:rsid w:val="006B3281"/>
    <w:rsid w:val="006B4171"/>
    <w:rsid w:val="006B4DEB"/>
    <w:rsid w:val="006B5348"/>
    <w:rsid w:val="006B570C"/>
    <w:rsid w:val="006B59F6"/>
    <w:rsid w:val="006B5E4A"/>
    <w:rsid w:val="006B685D"/>
    <w:rsid w:val="006B6A77"/>
    <w:rsid w:val="006B6AD1"/>
    <w:rsid w:val="006B6CF2"/>
    <w:rsid w:val="006B71B6"/>
    <w:rsid w:val="006B765F"/>
    <w:rsid w:val="006B7F5A"/>
    <w:rsid w:val="006C0537"/>
    <w:rsid w:val="006C0608"/>
    <w:rsid w:val="006C0725"/>
    <w:rsid w:val="006C0E9F"/>
    <w:rsid w:val="006C11D9"/>
    <w:rsid w:val="006C1A1D"/>
    <w:rsid w:val="006C236A"/>
    <w:rsid w:val="006C2498"/>
    <w:rsid w:val="006C25C5"/>
    <w:rsid w:val="006C2664"/>
    <w:rsid w:val="006C28D6"/>
    <w:rsid w:val="006C2990"/>
    <w:rsid w:val="006C29BB"/>
    <w:rsid w:val="006C2BF4"/>
    <w:rsid w:val="006C2F01"/>
    <w:rsid w:val="006C310C"/>
    <w:rsid w:val="006C3785"/>
    <w:rsid w:val="006C39FA"/>
    <w:rsid w:val="006C3E1F"/>
    <w:rsid w:val="006C3FC5"/>
    <w:rsid w:val="006C4114"/>
    <w:rsid w:val="006C4568"/>
    <w:rsid w:val="006C468D"/>
    <w:rsid w:val="006C59BA"/>
    <w:rsid w:val="006C5A9E"/>
    <w:rsid w:val="006C5D57"/>
    <w:rsid w:val="006C5FF3"/>
    <w:rsid w:val="006C60CB"/>
    <w:rsid w:val="006C650B"/>
    <w:rsid w:val="006C6938"/>
    <w:rsid w:val="006C6A42"/>
    <w:rsid w:val="006C6B19"/>
    <w:rsid w:val="006C6E77"/>
    <w:rsid w:val="006C6E80"/>
    <w:rsid w:val="006C7027"/>
    <w:rsid w:val="006C76DC"/>
    <w:rsid w:val="006C7725"/>
    <w:rsid w:val="006C781D"/>
    <w:rsid w:val="006D00C2"/>
    <w:rsid w:val="006D1134"/>
    <w:rsid w:val="006D19AE"/>
    <w:rsid w:val="006D1C09"/>
    <w:rsid w:val="006D249F"/>
    <w:rsid w:val="006D28BD"/>
    <w:rsid w:val="006D2962"/>
    <w:rsid w:val="006D29B3"/>
    <w:rsid w:val="006D29C7"/>
    <w:rsid w:val="006D35D1"/>
    <w:rsid w:val="006D3799"/>
    <w:rsid w:val="006D42F4"/>
    <w:rsid w:val="006D4A26"/>
    <w:rsid w:val="006D5259"/>
    <w:rsid w:val="006D52EC"/>
    <w:rsid w:val="006D53BF"/>
    <w:rsid w:val="006D5C75"/>
    <w:rsid w:val="006D6480"/>
    <w:rsid w:val="006D64B1"/>
    <w:rsid w:val="006D77F8"/>
    <w:rsid w:val="006E0067"/>
    <w:rsid w:val="006E07E8"/>
    <w:rsid w:val="006E0AFD"/>
    <w:rsid w:val="006E0B6F"/>
    <w:rsid w:val="006E0BA4"/>
    <w:rsid w:val="006E0C3E"/>
    <w:rsid w:val="006E1090"/>
    <w:rsid w:val="006E214E"/>
    <w:rsid w:val="006E2F21"/>
    <w:rsid w:val="006E3139"/>
    <w:rsid w:val="006E42AC"/>
    <w:rsid w:val="006E47D4"/>
    <w:rsid w:val="006E4D88"/>
    <w:rsid w:val="006E4F11"/>
    <w:rsid w:val="006E504C"/>
    <w:rsid w:val="006E6758"/>
    <w:rsid w:val="006E693A"/>
    <w:rsid w:val="006E6CD1"/>
    <w:rsid w:val="006E70AC"/>
    <w:rsid w:val="006E7435"/>
    <w:rsid w:val="006F0279"/>
    <w:rsid w:val="006F0ECE"/>
    <w:rsid w:val="006F151D"/>
    <w:rsid w:val="006F1961"/>
    <w:rsid w:val="006F1CD5"/>
    <w:rsid w:val="006F201B"/>
    <w:rsid w:val="006F20BA"/>
    <w:rsid w:val="006F2E83"/>
    <w:rsid w:val="006F2FA0"/>
    <w:rsid w:val="006F3417"/>
    <w:rsid w:val="006F3A99"/>
    <w:rsid w:val="006F3F69"/>
    <w:rsid w:val="006F43A3"/>
    <w:rsid w:val="006F4575"/>
    <w:rsid w:val="006F4FE2"/>
    <w:rsid w:val="006F592E"/>
    <w:rsid w:val="006F5B9A"/>
    <w:rsid w:val="006F6344"/>
    <w:rsid w:val="006F649E"/>
    <w:rsid w:val="006F655F"/>
    <w:rsid w:val="006F6874"/>
    <w:rsid w:val="006F6B7A"/>
    <w:rsid w:val="0070021B"/>
    <w:rsid w:val="00700B03"/>
    <w:rsid w:val="00700DDE"/>
    <w:rsid w:val="007012B8"/>
    <w:rsid w:val="0070214F"/>
    <w:rsid w:val="00702396"/>
    <w:rsid w:val="007028BF"/>
    <w:rsid w:val="00702D4B"/>
    <w:rsid w:val="007030FE"/>
    <w:rsid w:val="0070334C"/>
    <w:rsid w:val="00703420"/>
    <w:rsid w:val="007034EE"/>
    <w:rsid w:val="00703907"/>
    <w:rsid w:val="00703D90"/>
    <w:rsid w:val="007040AA"/>
    <w:rsid w:val="00704387"/>
    <w:rsid w:val="007048FA"/>
    <w:rsid w:val="007050C7"/>
    <w:rsid w:val="0070588C"/>
    <w:rsid w:val="007058D8"/>
    <w:rsid w:val="007062A0"/>
    <w:rsid w:val="0070658B"/>
    <w:rsid w:val="0070660A"/>
    <w:rsid w:val="00706A27"/>
    <w:rsid w:val="00706A6C"/>
    <w:rsid w:val="00706F07"/>
    <w:rsid w:val="00707B74"/>
    <w:rsid w:val="00707C82"/>
    <w:rsid w:val="00707E4A"/>
    <w:rsid w:val="00707FFE"/>
    <w:rsid w:val="007102F6"/>
    <w:rsid w:val="007104C2"/>
    <w:rsid w:val="007109D7"/>
    <w:rsid w:val="00710CB6"/>
    <w:rsid w:val="00710DCE"/>
    <w:rsid w:val="00711621"/>
    <w:rsid w:val="00711A3B"/>
    <w:rsid w:val="0071270C"/>
    <w:rsid w:val="007134CB"/>
    <w:rsid w:val="00713BE7"/>
    <w:rsid w:val="007143E4"/>
    <w:rsid w:val="00714F53"/>
    <w:rsid w:val="00714F84"/>
    <w:rsid w:val="007150C6"/>
    <w:rsid w:val="007153BF"/>
    <w:rsid w:val="00715624"/>
    <w:rsid w:val="00715A1E"/>
    <w:rsid w:val="007161EF"/>
    <w:rsid w:val="007165F3"/>
    <w:rsid w:val="0071755D"/>
    <w:rsid w:val="00717569"/>
    <w:rsid w:val="00717573"/>
    <w:rsid w:val="00717B10"/>
    <w:rsid w:val="00717FC5"/>
    <w:rsid w:val="00720060"/>
    <w:rsid w:val="00720C07"/>
    <w:rsid w:val="00720F55"/>
    <w:rsid w:val="007215AD"/>
    <w:rsid w:val="007217CE"/>
    <w:rsid w:val="007222F8"/>
    <w:rsid w:val="0072283D"/>
    <w:rsid w:val="00723343"/>
    <w:rsid w:val="007233AF"/>
    <w:rsid w:val="007236AB"/>
    <w:rsid w:val="00723890"/>
    <w:rsid w:val="00723C33"/>
    <w:rsid w:val="00723D8E"/>
    <w:rsid w:val="00724858"/>
    <w:rsid w:val="00725015"/>
    <w:rsid w:val="007254E8"/>
    <w:rsid w:val="00725BFD"/>
    <w:rsid w:val="00725FF3"/>
    <w:rsid w:val="007266D1"/>
    <w:rsid w:val="00727131"/>
    <w:rsid w:val="00727173"/>
    <w:rsid w:val="00730759"/>
    <w:rsid w:val="00731036"/>
    <w:rsid w:val="007320C8"/>
    <w:rsid w:val="007321E0"/>
    <w:rsid w:val="00732623"/>
    <w:rsid w:val="0073319F"/>
    <w:rsid w:val="007331FA"/>
    <w:rsid w:val="00733767"/>
    <w:rsid w:val="00733C73"/>
    <w:rsid w:val="007340FF"/>
    <w:rsid w:val="007345FA"/>
    <w:rsid w:val="00734988"/>
    <w:rsid w:val="007349D2"/>
    <w:rsid w:val="00735157"/>
    <w:rsid w:val="00735D8E"/>
    <w:rsid w:val="00736F0B"/>
    <w:rsid w:val="00736F70"/>
    <w:rsid w:val="007372F3"/>
    <w:rsid w:val="00737568"/>
    <w:rsid w:val="00737849"/>
    <w:rsid w:val="00737A6B"/>
    <w:rsid w:val="00740753"/>
    <w:rsid w:val="00741367"/>
    <w:rsid w:val="007421DB"/>
    <w:rsid w:val="00742506"/>
    <w:rsid w:val="0074292C"/>
    <w:rsid w:val="00742E28"/>
    <w:rsid w:val="00742F61"/>
    <w:rsid w:val="00742F9E"/>
    <w:rsid w:val="007435AA"/>
    <w:rsid w:val="00743797"/>
    <w:rsid w:val="00743A4E"/>
    <w:rsid w:val="00743B19"/>
    <w:rsid w:val="00743FD4"/>
    <w:rsid w:val="0074405A"/>
    <w:rsid w:val="007440F8"/>
    <w:rsid w:val="00744135"/>
    <w:rsid w:val="00744482"/>
    <w:rsid w:val="0074449A"/>
    <w:rsid w:val="0074455A"/>
    <w:rsid w:val="00744718"/>
    <w:rsid w:val="00744848"/>
    <w:rsid w:val="00744B55"/>
    <w:rsid w:val="00744E74"/>
    <w:rsid w:val="00744F09"/>
    <w:rsid w:val="00745253"/>
    <w:rsid w:val="0074589F"/>
    <w:rsid w:val="007461F4"/>
    <w:rsid w:val="00746705"/>
    <w:rsid w:val="007467AC"/>
    <w:rsid w:val="00746938"/>
    <w:rsid w:val="00746C9B"/>
    <w:rsid w:val="00747AB8"/>
    <w:rsid w:val="00747F0D"/>
    <w:rsid w:val="00747FFC"/>
    <w:rsid w:val="00750112"/>
    <w:rsid w:val="007505CF"/>
    <w:rsid w:val="00750FBA"/>
    <w:rsid w:val="007514A1"/>
    <w:rsid w:val="00751A84"/>
    <w:rsid w:val="00751CE9"/>
    <w:rsid w:val="00751F00"/>
    <w:rsid w:val="00752399"/>
    <w:rsid w:val="007525AE"/>
    <w:rsid w:val="00752A7B"/>
    <w:rsid w:val="00752AD1"/>
    <w:rsid w:val="00752DBE"/>
    <w:rsid w:val="0075404C"/>
    <w:rsid w:val="007558B8"/>
    <w:rsid w:val="00755BB9"/>
    <w:rsid w:val="00755C99"/>
    <w:rsid w:val="00755DD7"/>
    <w:rsid w:val="007567C6"/>
    <w:rsid w:val="00757313"/>
    <w:rsid w:val="00757611"/>
    <w:rsid w:val="00757862"/>
    <w:rsid w:val="0076032B"/>
    <w:rsid w:val="007603FF"/>
    <w:rsid w:val="0076064C"/>
    <w:rsid w:val="00760ABF"/>
    <w:rsid w:val="00761129"/>
    <w:rsid w:val="00761B25"/>
    <w:rsid w:val="00761ED4"/>
    <w:rsid w:val="007620B8"/>
    <w:rsid w:val="0076251F"/>
    <w:rsid w:val="007626B8"/>
    <w:rsid w:val="00763197"/>
    <w:rsid w:val="007631C1"/>
    <w:rsid w:val="0076351C"/>
    <w:rsid w:val="007638E7"/>
    <w:rsid w:val="00763BE3"/>
    <w:rsid w:val="00763F55"/>
    <w:rsid w:val="007640A8"/>
    <w:rsid w:val="00764375"/>
    <w:rsid w:val="00765366"/>
    <w:rsid w:val="00765737"/>
    <w:rsid w:val="00765792"/>
    <w:rsid w:val="00765818"/>
    <w:rsid w:val="00765BC9"/>
    <w:rsid w:val="00765E2A"/>
    <w:rsid w:val="00766099"/>
    <w:rsid w:val="00766569"/>
    <w:rsid w:val="00766589"/>
    <w:rsid w:val="007668FB"/>
    <w:rsid w:val="00766A9F"/>
    <w:rsid w:val="00767091"/>
    <w:rsid w:val="00767631"/>
    <w:rsid w:val="00767827"/>
    <w:rsid w:val="00770322"/>
    <w:rsid w:val="007704AB"/>
    <w:rsid w:val="00770506"/>
    <w:rsid w:val="00770CF6"/>
    <w:rsid w:val="007719D3"/>
    <w:rsid w:val="00772221"/>
    <w:rsid w:val="0077223B"/>
    <w:rsid w:val="0077229C"/>
    <w:rsid w:val="00772A28"/>
    <w:rsid w:val="00774227"/>
    <w:rsid w:val="00774240"/>
    <w:rsid w:val="00774579"/>
    <w:rsid w:val="007745F6"/>
    <w:rsid w:val="00774805"/>
    <w:rsid w:val="00774A7B"/>
    <w:rsid w:val="00774E76"/>
    <w:rsid w:val="0077574B"/>
    <w:rsid w:val="0077622B"/>
    <w:rsid w:val="007764A9"/>
    <w:rsid w:val="0077709F"/>
    <w:rsid w:val="007770C6"/>
    <w:rsid w:val="00777119"/>
    <w:rsid w:val="007771C2"/>
    <w:rsid w:val="007771FA"/>
    <w:rsid w:val="00777390"/>
    <w:rsid w:val="007774C3"/>
    <w:rsid w:val="007777A7"/>
    <w:rsid w:val="00777E3E"/>
    <w:rsid w:val="00777EF7"/>
    <w:rsid w:val="00780970"/>
    <w:rsid w:val="007812C4"/>
    <w:rsid w:val="007814C9"/>
    <w:rsid w:val="00781A33"/>
    <w:rsid w:val="00782503"/>
    <w:rsid w:val="00782830"/>
    <w:rsid w:val="00782FF9"/>
    <w:rsid w:val="00783492"/>
    <w:rsid w:val="00783550"/>
    <w:rsid w:val="0078374F"/>
    <w:rsid w:val="0078422D"/>
    <w:rsid w:val="00784650"/>
    <w:rsid w:val="00785065"/>
    <w:rsid w:val="00785614"/>
    <w:rsid w:val="007856E6"/>
    <w:rsid w:val="007862FE"/>
    <w:rsid w:val="00786318"/>
    <w:rsid w:val="00786390"/>
    <w:rsid w:val="00787578"/>
    <w:rsid w:val="00787729"/>
    <w:rsid w:val="00787B0F"/>
    <w:rsid w:val="00787F69"/>
    <w:rsid w:val="007900C8"/>
    <w:rsid w:val="0079022A"/>
    <w:rsid w:val="0079035C"/>
    <w:rsid w:val="0079078A"/>
    <w:rsid w:val="00790A4A"/>
    <w:rsid w:val="00790ECD"/>
    <w:rsid w:val="007917EF"/>
    <w:rsid w:val="00792B0B"/>
    <w:rsid w:val="007932B5"/>
    <w:rsid w:val="00793AD5"/>
    <w:rsid w:val="00794491"/>
    <w:rsid w:val="007950B2"/>
    <w:rsid w:val="007955B1"/>
    <w:rsid w:val="00795D3E"/>
    <w:rsid w:val="007961E6"/>
    <w:rsid w:val="007966BE"/>
    <w:rsid w:val="0079712A"/>
    <w:rsid w:val="0079722E"/>
    <w:rsid w:val="00797997"/>
    <w:rsid w:val="00797EE3"/>
    <w:rsid w:val="007A04E4"/>
    <w:rsid w:val="007A062A"/>
    <w:rsid w:val="007A08CA"/>
    <w:rsid w:val="007A0E0E"/>
    <w:rsid w:val="007A1057"/>
    <w:rsid w:val="007A1197"/>
    <w:rsid w:val="007A1349"/>
    <w:rsid w:val="007A1654"/>
    <w:rsid w:val="007A1B5D"/>
    <w:rsid w:val="007A1D4F"/>
    <w:rsid w:val="007A1ED7"/>
    <w:rsid w:val="007A22F9"/>
    <w:rsid w:val="007A2400"/>
    <w:rsid w:val="007A29CA"/>
    <w:rsid w:val="007A2C17"/>
    <w:rsid w:val="007A2F65"/>
    <w:rsid w:val="007A31B7"/>
    <w:rsid w:val="007A34F0"/>
    <w:rsid w:val="007A3C27"/>
    <w:rsid w:val="007A3C4B"/>
    <w:rsid w:val="007A40E2"/>
    <w:rsid w:val="007A45A6"/>
    <w:rsid w:val="007A4B60"/>
    <w:rsid w:val="007A53D6"/>
    <w:rsid w:val="007A63B7"/>
    <w:rsid w:val="007A63FF"/>
    <w:rsid w:val="007A64BA"/>
    <w:rsid w:val="007A66A1"/>
    <w:rsid w:val="007A67D6"/>
    <w:rsid w:val="007A748F"/>
    <w:rsid w:val="007A7522"/>
    <w:rsid w:val="007A7591"/>
    <w:rsid w:val="007A7757"/>
    <w:rsid w:val="007B01E8"/>
    <w:rsid w:val="007B0677"/>
    <w:rsid w:val="007B0803"/>
    <w:rsid w:val="007B100C"/>
    <w:rsid w:val="007B1148"/>
    <w:rsid w:val="007B1430"/>
    <w:rsid w:val="007B1AC1"/>
    <w:rsid w:val="007B2B0C"/>
    <w:rsid w:val="007B2C5F"/>
    <w:rsid w:val="007B2DC7"/>
    <w:rsid w:val="007B2FBD"/>
    <w:rsid w:val="007B309C"/>
    <w:rsid w:val="007B3BA0"/>
    <w:rsid w:val="007B46B9"/>
    <w:rsid w:val="007B498C"/>
    <w:rsid w:val="007B4E02"/>
    <w:rsid w:val="007B553A"/>
    <w:rsid w:val="007B6245"/>
    <w:rsid w:val="007B6924"/>
    <w:rsid w:val="007C05E5"/>
    <w:rsid w:val="007C088E"/>
    <w:rsid w:val="007C0E64"/>
    <w:rsid w:val="007C0EF2"/>
    <w:rsid w:val="007C19C4"/>
    <w:rsid w:val="007C1D16"/>
    <w:rsid w:val="007C1D86"/>
    <w:rsid w:val="007C1E01"/>
    <w:rsid w:val="007C2EE5"/>
    <w:rsid w:val="007C34C4"/>
    <w:rsid w:val="007C3530"/>
    <w:rsid w:val="007C389D"/>
    <w:rsid w:val="007C3C40"/>
    <w:rsid w:val="007C3F78"/>
    <w:rsid w:val="007C40EC"/>
    <w:rsid w:val="007C4176"/>
    <w:rsid w:val="007C43B0"/>
    <w:rsid w:val="007C48B9"/>
    <w:rsid w:val="007C49AC"/>
    <w:rsid w:val="007C4EBA"/>
    <w:rsid w:val="007C5750"/>
    <w:rsid w:val="007C5D7D"/>
    <w:rsid w:val="007C5E0B"/>
    <w:rsid w:val="007C6483"/>
    <w:rsid w:val="007C6607"/>
    <w:rsid w:val="007C6733"/>
    <w:rsid w:val="007C70F9"/>
    <w:rsid w:val="007C726D"/>
    <w:rsid w:val="007C7C81"/>
    <w:rsid w:val="007C7C93"/>
    <w:rsid w:val="007D0244"/>
    <w:rsid w:val="007D05BC"/>
    <w:rsid w:val="007D0987"/>
    <w:rsid w:val="007D0B38"/>
    <w:rsid w:val="007D15FE"/>
    <w:rsid w:val="007D18DF"/>
    <w:rsid w:val="007D1AE2"/>
    <w:rsid w:val="007D1BDA"/>
    <w:rsid w:val="007D1DFC"/>
    <w:rsid w:val="007D251A"/>
    <w:rsid w:val="007D2B98"/>
    <w:rsid w:val="007D2BE4"/>
    <w:rsid w:val="007D2F7E"/>
    <w:rsid w:val="007D3126"/>
    <w:rsid w:val="007D363C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C02"/>
    <w:rsid w:val="007D6987"/>
    <w:rsid w:val="007D6AD1"/>
    <w:rsid w:val="007D7449"/>
    <w:rsid w:val="007D7EA1"/>
    <w:rsid w:val="007D7EE3"/>
    <w:rsid w:val="007D7F74"/>
    <w:rsid w:val="007E0113"/>
    <w:rsid w:val="007E110A"/>
    <w:rsid w:val="007E12CD"/>
    <w:rsid w:val="007E146D"/>
    <w:rsid w:val="007E1669"/>
    <w:rsid w:val="007E207B"/>
    <w:rsid w:val="007E22DF"/>
    <w:rsid w:val="007E24A3"/>
    <w:rsid w:val="007E24CE"/>
    <w:rsid w:val="007E2903"/>
    <w:rsid w:val="007E3BF4"/>
    <w:rsid w:val="007E3F8F"/>
    <w:rsid w:val="007E4250"/>
    <w:rsid w:val="007E467D"/>
    <w:rsid w:val="007E4881"/>
    <w:rsid w:val="007E48AB"/>
    <w:rsid w:val="007E490A"/>
    <w:rsid w:val="007E4F1C"/>
    <w:rsid w:val="007E519A"/>
    <w:rsid w:val="007E5640"/>
    <w:rsid w:val="007E58AE"/>
    <w:rsid w:val="007E5DD4"/>
    <w:rsid w:val="007E6100"/>
    <w:rsid w:val="007E6185"/>
    <w:rsid w:val="007E6AE6"/>
    <w:rsid w:val="007E6DE3"/>
    <w:rsid w:val="007E6F1A"/>
    <w:rsid w:val="007E72FB"/>
    <w:rsid w:val="007E755D"/>
    <w:rsid w:val="007E7613"/>
    <w:rsid w:val="007F0574"/>
    <w:rsid w:val="007F0A88"/>
    <w:rsid w:val="007F120A"/>
    <w:rsid w:val="007F196A"/>
    <w:rsid w:val="007F1A88"/>
    <w:rsid w:val="007F1CE1"/>
    <w:rsid w:val="007F239C"/>
    <w:rsid w:val="007F23E6"/>
    <w:rsid w:val="007F2456"/>
    <w:rsid w:val="007F2704"/>
    <w:rsid w:val="007F2798"/>
    <w:rsid w:val="007F2B6B"/>
    <w:rsid w:val="007F2E81"/>
    <w:rsid w:val="007F2FA3"/>
    <w:rsid w:val="007F325E"/>
    <w:rsid w:val="007F352D"/>
    <w:rsid w:val="007F391B"/>
    <w:rsid w:val="007F4097"/>
    <w:rsid w:val="007F40EC"/>
    <w:rsid w:val="007F42B0"/>
    <w:rsid w:val="007F4AF3"/>
    <w:rsid w:val="007F4B00"/>
    <w:rsid w:val="007F5317"/>
    <w:rsid w:val="007F55F5"/>
    <w:rsid w:val="007F5915"/>
    <w:rsid w:val="007F5B5C"/>
    <w:rsid w:val="007F646A"/>
    <w:rsid w:val="007F70AA"/>
    <w:rsid w:val="007F7406"/>
    <w:rsid w:val="007F74B2"/>
    <w:rsid w:val="007F75E3"/>
    <w:rsid w:val="007F766D"/>
    <w:rsid w:val="00800204"/>
    <w:rsid w:val="00800516"/>
    <w:rsid w:val="008005AF"/>
    <w:rsid w:val="00801AD6"/>
    <w:rsid w:val="00801F01"/>
    <w:rsid w:val="00802046"/>
    <w:rsid w:val="008020CA"/>
    <w:rsid w:val="0080259A"/>
    <w:rsid w:val="00802695"/>
    <w:rsid w:val="008027B8"/>
    <w:rsid w:val="0080282E"/>
    <w:rsid w:val="008033C3"/>
    <w:rsid w:val="008033FE"/>
    <w:rsid w:val="00804139"/>
    <w:rsid w:val="008046B3"/>
    <w:rsid w:val="0080552E"/>
    <w:rsid w:val="00805B7A"/>
    <w:rsid w:val="00806D30"/>
    <w:rsid w:val="00807106"/>
    <w:rsid w:val="00810189"/>
    <w:rsid w:val="00810D39"/>
    <w:rsid w:val="00811613"/>
    <w:rsid w:val="00811C01"/>
    <w:rsid w:val="00811C28"/>
    <w:rsid w:val="00811CF7"/>
    <w:rsid w:val="00812390"/>
    <w:rsid w:val="00812617"/>
    <w:rsid w:val="008126B8"/>
    <w:rsid w:val="00812CBE"/>
    <w:rsid w:val="00812E72"/>
    <w:rsid w:val="00813203"/>
    <w:rsid w:val="0081324E"/>
    <w:rsid w:val="00813437"/>
    <w:rsid w:val="0081347E"/>
    <w:rsid w:val="00813857"/>
    <w:rsid w:val="00813BFC"/>
    <w:rsid w:val="00813DA8"/>
    <w:rsid w:val="00813EF6"/>
    <w:rsid w:val="00813F5D"/>
    <w:rsid w:val="0081445F"/>
    <w:rsid w:val="008144FE"/>
    <w:rsid w:val="008149BA"/>
    <w:rsid w:val="00814CF6"/>
    <w:rsid w:val="00814E30"/>
    <w:rsid w:val="00814E79"/>
    <w:rsid w:val="00815346"/>
    <w:rsid w:val="0081557C"/>
    <w:rsid w:val="00816C6F"/>
    <w:rsid w:val="00816E58"/>
    <w:rsid w:val="0081730C"/>
    <w:rsid w:val="0081739D"/>
    <w:rsid w:val="00817526"/>
    <w:rsid w:val="00817DDA"/>
    <w:rsid w:val="008203C0"/>
    <w:rsid w:val="008204FA"/>
    <w:rsid w:val="0082057F"/>
    <w:rsid w:val="00820829"/>
    <w:rsid w:val="00820AC0"/>
    <w:rsid w:val="00820E5C"/>
    <w:rsid w:val="00821266"/>
    <w:rsid w:val="00821967"/>
    <w:rsid w:val="00821ED3"/>
    <w:rsid w:val="008222AC"/>
    <w:rsid w:val="008233C4"/>
    <w:rsid w:val="00823C9B"/>
    <w:rsid w:val="00824D16"/>
    <w:rsid w:val="00825348"/>
    <w:rsid w:val="008254ED"/>
    <w:rsid w:val="008257CB"/>
    <w:rsid w:val="00825EF1"/>
    <w:rsid w:val="00825FDD"/>
    <w:rsid w:val="0082603F"/>
    <w:rsid w:val="0082667F"/>
    <w:rsid w:val="008269E4"/>
    <w:rsid w:val="008273C3"/>
    <w:rsid w:val="00827614"/>
    <w:rsid w:val="00827E24"/>
    <w:rsid w:val="00830417"/>
    <w:rsid w:val="00830DD9"/>
    <w:rsid w:val="00831230"/>
    <w:rsid w:val="008312A0"/>
    <w:rsid w:val="0083141C"/>
    <w:rsid w:val="008315D7"/>
    <w:rsid w:val="0083186F"/>
    <w:rsid w:val="00831872"/>
    <w:rsid w:val="00831FC3"/>
    <w:rsid w:val="008324E3"/>
    <w:rsid w:val="00832DBA"/>
    <w:rsid w:val="0083314C"/>
    <w:rsid w:val="00833A3E"/>
    <w:rsid w:val="008341ED"/>
    <w:rsid w:val="008343DE"/>
    <w:rsid w:val="008348B0"/>
    <w:rsid w:val="00834976"/>
    <w:rsid w:val="00834E7E"/>
    <w:rsid w:val="008353FE"/>
    <w:rsid w:val="00835618"/>
    <w:rsid w:val="0083594B"/>
    <w:rsid w:val="00835C3C"/>
    <w:rsid w:val="0083604E"/>
    <w:rsid w:val="008363E6"/>
    <w:rsid w:val="00837882"/>
    <w:rsid w:val="008379F2"/>
    <w:rsid w:val="00837EDF"/>
    <w:rsid w:val="0084031C"/>
    <w:rsid w:val="0084044E"/>
    <w:rsid w:val="0084049B"/>
    <w:rsid w:val="00840A6E"/>
    <w:rsid w:val="0084115F"/>
    <w:rsid w:val="008416B4"/>
    <w:rsid w:val="00841975"/>
    <w:rsid w:val="00841FBE"/>
    <w:rsid w:val="0084206A"/>
    <w:rsid w:val="0084279E"/>
    <w:rsid w:val="00842B22"/>
    <w:rsid w:val="00842B52"/>
    <w:rsid w:val="00842C6A"/>
    <w:rsid w:val="00843327"/>
    <w:rsid w:val="008439D5"/>
    <w:rsid w:val="00843DF1"/>
    <w:rsid w:val="00843F0C"/>
    <w:rsid w:val="00843FA7"/>
    <w:rsid w:val="0084436D"/>
    <w:rsid w:val="00844D07"/>
    <w:rsid w:val="00845240"/>
    <w:rsid w:val="00845827"/>
    <w:rsid w:val="00845CDF"/>
    <w:rsid w:val="008465AF"/>
    <w:rsid w:val="008467AB"/>
    <w:rsid w:val="00846B49"/>
    <w:rsid w:val="00846EB5"/>
    <w:rsid w:val="00847737"/>
    <w:rsid w:val="00847D64"/>
    <w:rsid w:val="00847E60"/>
    <w:rsid w:val="00850510"/>
    <w:rsid w:val="0085093F"/>
    <w:rsid w:val="00851238"/>
    <w:rsid w:val="008513DC"/>
    <w:rsid w:val="00851DC3"/>
    <w:rsid w:val="00852210"/>
    <w:rsid w:val="00852808"/>
    <w:rsid w:val="00853140"/>
    <w:rsid w:val="0085346A"/>
    <w:rsid w:val="00853A11"/>
    <w:rsid w:val="00854846"/>
    <w:rsid w:val="00854C73"/>
    <w:rsid w:val="008551B0"/>
    <w:rsid w:val="00856025"/>
    <w:rsid w:val="00856754"/>
    <w:rsid w:val="0085712D"/>
    <w:rsid w:val="008571E7"/>
    <w:rsid w:val="0085777C"/>
    <w:rsid w:val="00857C61"/>
    <w:rsid w:val="00857CB8"/>
    <w:rsid w:val="00857E67"/>
    <w:rsid w:val="008601E3"/>
    <w:rsid w:val="00860294"/>
    <w:rsid w:val="00860AB2"/>
    <w:rsid w:val="00860D14"/>
    <w:rsid w:val="00860D6A"/>
    <w:rsid w:val="00861261"/>
    <w:rsid w:val="008615D8"/>
    <w:rsid w:val="00861E3F"/>
    <w:rsid w:val="00862171"/>
    <w:rsid w:val="008621B6"/>
    <w:rsid w:val="00862374"/>
    <w:rsid w:val="00862D00"/>
    <w:rsid w:val="008630B0"/>
    <w:rsid w:val="00863945"/>
    <w:rsid w:val="00863E93"/>
    <w:rsid w:val="00864D96"/>
    <w:rsid w:val="00865A96"/>
    <w:rsid w:val="00865CC2"/>
    <w:rsid w:val="00866402"/>
    <w:rsid w:val="00866425"/>
    <w:rsid w:val="008664C0"/>
    <w:rsid w:val="00866505"/>
    <w:rsid w:val="0086705E"/>
    <w:rsid w:val="00867315"/>
    <w:rsid w:val="0086791D"/>
    <w:rsid w:val="0086795E"/>
    <w:rsid w:val="00867AC8"/>
    <w:rsid w:val="00867C57"/>
    <w:rsid w:val="00870294"/>
    <w:rsid w:val="0087040A"/>
    <w:rsid w:val="00870767"/>
    <w:rsid w:val="0087086A"/>
    <w:rsid w:val="00870930"/>
    <w:rsid w:val="00871195"/>
    <w:rsid w:val="0087180F"/>
    <w:rsid w:val="00871F13"/>
    <w:rsid w:val="008728F6"/>
    <w:rsid w:val="008729D8"/>
    <w:rsid w:val="00872B70"/>
    <w:rsid w:val="0087383B"/>
    <w:rsid w:val="00873BDF"/>
    <w:rsid w:val="00873EAF"/>
    <w:rsid w:val="008743CF"/>
    <w:rsid w:val="00874505"/>
    <w:rsid w:val="00874981"/>
    <w:rsid w:val="00874FE5"/>
    <w:rsid w:val="00876A46"/>
    <w:rsid w:val="00876A96"/>
    <w:rsid w:val="00876B67"/>
    <w:rsid w:val="00877036"/>
    <w:rsid w:val="008770EC"/>
    <w:rsid w:val="00877106"/>
    <w:rsid w:val="00877163"/>
    <w:rsid w:val="00877DC8"/>
    <w:rsid w:val="00880B4B"/>
    <w:rsid w:val="00880C56"/>
    <w:rsid w:val="00880DAA"/>
    <w:rsid w:val="008810F4"/>
    <w:rsid w:val="008814BA"/>
    <w:rsid w:val="008818D0"/>
    <w:rsid w:val="00881AF7"/>
    <w:rsid w:val="00881C61"/>
    <w:rsid w:val="008823F5"/>
    <w:rsid w:val="0088250A"/>
    <w:rsid w:val="008827CC"/>
    <w:rsid w:val="00883298"/>
    <w:rsid w:val="008838A3"/>
    <w:rsid w:val="0088411F"/>
    <w:rsid w:val="00884D89"/>
    <w:rsid w:val="00884E6E"/>
    <w:rsid w:val="00885A50"/>
    <w:rsid w:val="00885ACA"/>
    <w:rsid w:val="008862B9"/>
    <w:rsid w:val="00886315"/>
    <w:rsid w:val="00886497"/>
    <w:rsid w:val="00886903"/>
    <w:rsid w:val="008872DE"/>
    <w:rsid w:val="008873E9"/>
    <w:rsid w:val="008876A2"/>
    <w:rsid w:val="00890040"/>
    <w:rsid w:val="00890197"/>
    <w:rsid w:val="00890925"/>
    <w:rsid w:val="00890B80"/>
    <w:rsid w:val="00890F72"/>
    <w:rsid w:val="00891100"/>
    <w:rsid w:val="00891458"/>
    <w:rsid w:val="008921A7"/>
    <w:rsid w:val="008922BF"/>
    <w:rsid w:val="0089241E"/>
    <w:rsid w:val="0089247E"/>
    <w:rsid w:val="00892E1B"/>
    <w:rsid w:val="008940E5"/>
    <w:rsid w:val="00894656"/>
    <w:rsid w:val="008946B9"/>
    <w:rsid w:val="00894C8E"/>
    <w:rsid w:val="008957E3"/>
    <w:rsid w:val="00895968"/>
    <w:rsid w:val="0089628F"/>
    <w:rsid w:val="00896409"/>
    <w:rsid w:val="00896E6E"/>
    <w:rsid w:val="00897C8D"/>
    <w:rsid w:val="00897E4E"/>
    <w:rsid w:val="008A0176"/>
    <w:rsid w:val="008A03BD"/>
    <w:rsid w:val="008A1009"/>
    <w:rsid w:val="008A113F"/>
    <w:rsid w:val="008A160F"/>
    <w:rsid w:val="008A1A05"/>
    <w:rsid w:val="008A1D6D"/>
    <w:rsid w:val="008A1FF1"/>
    <w:rsid w:val="008A2589"/>
    <w:rsid w:val="008A265D"/>
    <w:rsid w:val="008A26DF"/>
    <w:rsid w:val="008A2FF6"/>
    <w:rsid w:val="008A3054"/>
    <w:rsid w:val="008A31C1"/>
    <w:rsid w:val="008A331B"/>
    <w:rsid w:val="008A3328"/>
    <w:rsid w:val="008A34C3"/>
    <w:rsid w:val="008A3DEC"/>
    <w:rsid w:val="008A46D7"/>
    <w:rsid w:val="008A49CA"/>
    <w:rsid w:val="008A49F7"/>
    <w:rsid w:val="008A4CC0"/>
    <w:rsid w:val="008A4EED"/>
    <w:rsid w:val="008A53A8"/>
    <w:rsid w:val="008A66B6"/>
    <w:rsid w:val="008A7077"/>
    <w:rsid w:val="008A7239"/>
    <w:rsid w:val="008A7641"/>
    <w:rsid w:val="008A7E7C"/>
    <w:rsid w:val="008B0836"/>
    <w:rsid w:val="008B2046"/>
    <w:rsid w:val="008B2D06"/>
    <w:rsid w:val="008B350A"/>
    <w:rsid w:val="008B36C2"/>
    <w:rsid w:val="008B3B67"/>
    <w:rsid w:val="008B48D4"/>
    <w:rsid w:val="008B4910"/>
    <w:rsid w:val="008B4AB2"/>
    <w:rsid w:val="008B4BAA"/>
    <w:rsid w:val="008B514B"/>
    <w:rsid w:val="008B5183"/>
    <w:rsid w:val="008B56C9"/>
    <w:rsid w:val="008B59A0"/>
    <w:rsid w:val="008B5D16"/>
    <w:rsid w:val="008B601B"/>
    <w:rsid w:val="008B6763"/>
    <w:rsid w:val="008B797C"/>
    <w:rsid w:val="008B7A59"/>
    <w:rsid w:val="008B7A99"/>
    <w:rsid w:val="008B7B0C"/>
    <w:rsid w:val="008B7EC5"/>
    <w:rsid w:val="008C0614"/>
    <w:rsid w:val="008C06F3"/>
    <w:rsid w:val="008C072D"/>
    <w:rsid w:val="008C0F94"/>
    <w:rsid w:val="008C14D7"/>
    <w:rsid w:val="008C1CDF"/>
    <w:rsid w:val="008C1F91"/>
    <w:rsid w:val="008C1FA8"/>
    <w:rsid w:val="008C3C42"/>
    <w:rsid w:val="008C3F00"/>
    <w:rsid w:val="008C4A3A"/>
    <w:rsid w:val="008C54C3"/>
    <w:rsid w:val="008C5754"/>
    <w:rsid w:val="008C5896"/>
    <w:rsid w:val="008C58AE"/>
    <w:rsid w:val="008C62BE"/>
    <w:rsid w:val="008C6461"/>
    <w:rsid w:val="008C6B5E"/>
    <w:rsid w:val="008C6C35"/>
    <w:rsid w:val="008C7399"/>
    <w:rsid w:val="008C7A13"/>
    <w:rsid w:val="008C7A9D"/>
    <w:rsid w:val="008D027C"/>
    <w:rsid w:val="008D07F6"/>
    <w:rsid w:val="008D0951"/>
    <w:rsid w:val="008D0A0E"/>
    <w:rsid w:val="008D2181"/>
    <w:rsid w:val="008D230E"/>
    <w:rsid w:val="008D2BCC"/>
    <w:rsid w:val="008D2F65"/>
    <w:rsid w:val="008D313B"/>
    <w:rsid w:val="008D381A"/>
    <w:rsid w:val="008D381D"/>
    <w:rsid w:val="008D49BB"/>
    <w:rsid w:val="008D4B68"/>
    <w:rsid w:val="008D5035"/>
    <w:rsid w:val="008D562A"/>
    <w:rsid w:val="008D5A72"/>
    <w:rsid w:val="008D5F5E"/>
    <w:rsid w:val="008D6124"/>
    <w:rsid w:val="008D6130"/>
    <w:rsid w:val="008D655F"/>
    <w:rsid w:val="008D65CB"/>
    <w:rsid w:val="008D69C4"/>
    <w:rsid w:val="008D6D79"/>
    <w:rsid w:val="008D7339"/>
    <w:rsid w:val="008D77C2"/>
    <w:rsid w:val="008D77C5"/>
    <w:rsid w:val="008D7A23"/>
    <w:rsid w:val="008D7FE9"/>
    <w:rsid w:val="008E00DF"/>
    <w:rsid w:val="008E0642"/>
    <w:rsid w:val="008E077B"/>
    <w:rsid w:val="008E0A08"/>
    <w:rsid w:val="008E0CE6"/>
    <w:rsid w:val="008E1266"/>
    <w:rsid w:val="008E18AD"/>
    <w:rsid w:val="008E1AA9"/>
    <w:rsid w:val="008E1C89"/>
    <w:rsid w:val="008E1CBC"/>
    <w:rsid w:val="008E2476"/>
    <w:rsid w:val="008E2479"/>
    <w:rsid w:val="008E2B4A"/>
    <w:rsid w:val="008E3663"/>
    <w:rsid w:val="008E369E"/>
    <w:rsid w:val="008E4736"/>
    <w:rsid w:val="008E498B"/>
    <w:rsid w:val="008E4E1E"/>
    <w:rsid w:val="008E56BF"/>
    <w:rsid w:val="008E58FF"/>
    <w:rsid w:val="008E5DA3"/>
    <w:rsid w:val="008E5E28"/>
    <w:rsid w:val="008E5FBA"/>
    <w:rsid w:val="008E62DB"/>
    <w:rsid w:val="008E6938"/>
    <w:rsid w:val="008E6E48"/>
    <w:rsid w:val="008E71A5"/>
    <w:rsid w:val="008E7B47"/>
    <w:rsid w:val="008E7F33"/>
    <w:rsid w:val="008F0508"/>
    <w:rsid w:val="008F0A75"/>
    <w:rsid w:val="008F0BC4"/>
    <w:rsid w:val="008F117B"/>
    <w:rsid w:val="008F16B2"/>
    <w:rsid w:val="008F1B3E"/>
    <w:rsid w:val="008F1F64"/>
    <w:rsid w:val="008F1FB4"/>
    <w:rsid w:val="008F24F1"/>
    <w:rsid w:val="008F2934"/>
    <w:rsid w:val="008F2E27"/>
    <w:rsid w:val="008F310C"/>
    <w:rsid w:val="008F44BC"/>
    <w:rsid w:val="008F46EE"/>
    <w:rsid w:val="008F4798"/>
    <w:rsid w:val="008F490C"/>
    <w:rsid w:val="008F4BB3"/>
    <w:rsid w:val="008F4DAA"/>
    <w:rsid w:val="008F6EA5"/>
    <w:rsid w:val="008F7230"/>
    <w:rsid w:val="008F73A9"/>
    <w:rsid w:val="008F7D80"/>
    <w:rsid w:val="008F7F32"/>
    <w:rsid w:val="0090005F"/>
    <w:rsid w:val="00900F25"/>
    <w:rsid w:val="00901331"/>
    <w:rsid w:val="009013D4"/>
    <w:rsid w:val="0090153E"/>
    <w:rsid w:val="00901897"/>
    <w:rsid w:val="00902397"/>
    <w:rsid w:val="00902664"/>
    <w:rsid w:val="0090292C"/>
    <w:rsid w:val="00902CF1"/>
    <w:rsid w:val="00902E90"/>
    <w:rsid w:val="00903359"/>
    <w:rsid w:val="0090361E"/>
    <w:rsid w:val="00903D51"/>
    <w:rsid w:val="00904187"/>
    <w:rsid w:val="00904232"/>
    <w:rsid w:val="00904246"/>
    <w:rsid w:val="0090450E"/>
    <w:rsid w:val="00904871"/>
    <w:rsid w:val="00904F96"/>
    <w:rsid w:val="0090552B"/>
    <w:rsid w:val="00905668"/>
    <w:rsid w:val="00906654"/>
    <w:rsid w:val="00906808"/>
    <w:rsid w:val="00906C63"/>
    <w:rsid w:val="00906D08"/>
    <w:rsid w:val="00906E8F"/>
    <w:rsid w:val="00907025"/>
    <w:rsid w:val="0090721E"/>
    <w:rsid w:val="0090755D"/>
    <w:rsid w:val="00907808"/>
    <w:rsid w:val="00907DD2"/>
    <w:rsid w:val="009107FE"/>
    <w:rsid w:val="00910C92"/>
    <w:rsid w:val="00911643"/>
    <w:rsid w:val="00911D19"/>
    <w:rsid w:val="009121D7"/>
    <w:rsid w:val="00912554"/>
    <w:rsid w:val="009127B0"/>
    <w:rsid w:val="00912B31"/>
    <w:rsid w:val="00913200"/>
    <w:rsid w:val="0091376A"/>
    <w:rsid w:val="00913B52"/>
    <w:rsid w:val="0091440A"/>
    <w:rsid w:val="00914E7F"/>
    <w:rsid w:val="00914FA0"/>
    <w:rsid w:val="00915651"/>
    <w:rsid w:val="00915EBA"/>
    <w:rsid w:val="00915F3D"/>
    <w:rsid w:val="00916072"/>
    <w:rsid w:val="00916785"/>
    <w:rsid w:val="009172AF"/>
    <w:rsid w:val="0091775D"/>
    <w:rsid w:val="00917D91"/>
    <w:rsid w:val="0092005D"/>
    <w:rsid w:val="00920135"/>
    <w:rsid w:val="00920BDB"/>
    <w:rsid w:val="00920D75"/>
    <w:rsid w:val="00920E6B"/>
    <w:rsid w:val="009219A1"/>
    <w:rsid w:val="00921B54"/>
    <w:rsid w:val="00921D7F"/>
    <w:rsid w:val="00921FAA"/>
    <w:rsid w:val="0092230C"/>
    <w:rsid w:val="00922794"/>
    <w:rsid w:val="00922B87"/>
    <w:rsid w:val="0092312B"/>
    <w:rsid w:val="00923633"/>
    <w:rsid w:val="00923725"/>
    <w:rsid w:val="00923D0D"/>
    <w:rsid w:val="0092400A"/>
    <w:rsid w:val="00924384"/>
    <w:rsid w:val="0092441A"/>
    <w:rsid w:val="0092468E"/>
    <w:rsid w:val="0092476E"/>
    <w:rsid w:val="0092482A"/>
    <w:rsid w:val="00924D4E"/>
    <w:rsid w:val="0092527D"/>
    <w:rsid w:val="00925451"/>
    <w:rsid w:val="00925B64"/>
    <w:rsid w:val="00926311"/>
    <w:rsid w:val="00926363"/>
    <w:rsid w:val="00926B71"/>
    <w:rsid w:val="0092707C"/>
    <w:rsid w:val="009273FF"/>
    <w:rsid w:val="009276CE"/>
    <w:rsid w:val="009277AD"/>
    <w:rsid w:val="00927ABA"/>
    <w:rsid w:val="00927DAB"/>
    <w:rsid w:val="00927F39"/>
    <w:rsid w:val="009300BC"/>
    <w:rsid w:val="00930269"/>
    <w:rsid w:val="00930479"/>
    <w:rsid w:val="00930576"/>
    <w:rsid w:val="00930750"/>
    <w:rsid w:val="0093118E"/>
    <w:rsid w:val="009315FE"/>
    <w:rsid w:val="0093166E"/>
    <w:rsid w:val="009317ED"/>
    <w:rsid w:val="00931D82"/>
    <w:rsid w:val="00931F13"/>
    <w:rsid w:val="0093276B"/>
    <w:rsid w:val="00933D6A"/>
    <w:rsid w:val="0093410D"/>
    <w:rsid w:val="009348E8"/>
    <w:rsid w:val="00934952"/>
    <w:rsid w:val="00934A8D"/>
    <w:rsid w:val="00934AB7"/>
    <w:rsid w:val="009350ED"/>
    <w:rsid w:val="00935DF3"/>
    <w:rsid w:val="009363E2"/>
    <w:rsid w:val="009363E5"/>
    <w:rsid w:val="00936C02"/>
    <w:rsid w:val="00936D3F"/>
    <w:rsid w:val="00936D60"/>
    <w:rsid w:val="00936E37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964"/>
    <w:rsid w:val="00942B30"/>
    <w:rsid w:val="00942BF3"/>
    <w:rsid w:val="00942E3E"/>
    <w:rsid w:val="009431F8"/>
    <w:rsid w:val="00943257"/>
    <w:rsid w:val="00943482"/>
    <w:rsid w:val="009435D2"/>
    <w:rsid w:val="00943CBE"/>
    <w:rsid w:val="00944173"/>
    <w:rsid w:val="009447B5"/>
    <w:rsid w:val="00944E6A"/>
    <w:rsid w:val="00945618"/>
    <w:rsid w:val="00945B98"/>
    <w:rsid w:val="00945D90"/>
    <w:rsid w:val="0094606F"/>
    <w:rsid w:val="009478E1"/>
    <w:rsid w:val="009500F1"/>
    <w:rsid w:val="00950912"/>
    <w:rsid w:val="00950D12"/>
    <w:rsid w:val="00951261"/>
    <w:rsid w:val="0095134F"/>
    <w:rsid w:val="00951DE5"/>
    <w:rsid w:val="00952D1F"/>
    <w:rsid w:val="00952FA0"/>
    <w:rsid w:val="0095304B"/>
    <w:rsid w:val="0095341D"/>
    <w:rsid w:val="00953BB7"/>
    <w:rsid w:val="00953F8F"/>
    <w:rsid w:val="00954126"/>
    <w:rsid w:val="009541F1"/>
    <w:rsid w:val="0095492C"/>
    <w:rsid w:val="00955325"/>
    <w:rsid w:val="0095566B"/>
    <w:rsid w:val="00955BFB"/>
    <w:rsid w:val="00955DA1"/>
    <w:rsid w:val="00955E99"/>
    <w:rsid w:val="0095606B"/>
    <w:rsid w:val="00956567"/>
    <w:rsid w:val="00957889"/>
    <w:rsid w:val="009603A1"/>
    <w:rsid w:val="00960FE9"/>
    <w:rsid w:val="009610AC"/>
    <w:rsid w:val="0096120D"/>
    <w:rsid w:val="009620BE"/>
    <w:rsid w:val="0096299D"/>
    <w:rsid w:val="00962B77"/>
    <w:rsid w:val="0096326C"/>
    <w:rsid w:val="009634A1"/>
    <w:rsid w:val="0096405F"/>
    <w:rsid w:val="009643C8"/>
    <w:rsid w:val="0096488A"/>
    <w:rsid w:val="0096495F"/>
    <w:rsid w:val="009652C2"/>
    <w:rsid w:val="009652DC"/>
    <w:rsid w:val="00965820"/>
    <w:rsid w:val="00965F90"/>
    <w:rsid w:val="00966331"/>
    <w:rsid w:val="00966D4A"/>
    <w:rsid w:val="009674A3"/>
    <w:rsid w:val="009675BF"/>
    <w:rsid w:val="00967A31"/>
    <w:rsid w:val="00967F76"/>
    <w:rsid w:val="00970055"/>
    <w:rsid w:val="009701D2"/>
    <w:rsid w:val="0097061F"/>
    <w:rsid w:val="009706C3"/>
    <w:rsid w:val="009710D3"/>
    <w:rsid w:val="009712DF"/>
    <w:rsid w:val="00972764"/>
    <w:rsid w:val="00973537"/>
    <w:rsid w:val="00973EC5"/>
    <w:rsid w:val="0097425A"/>
    <w:rsid w:val="0097475B"/>
    <w:rsid w:val="009748B7"/>
    <w:rsid w:val="0097519D"/>
    <w:rsid w:val="00975A15"/>
    <w:rsid w:val="00975E4C"/>
    <w:rsid w:val="00976762"/>
    <w:rsid w:val="009773EE"/>
    <w:rsid w:val="0097756E"/>
    <w:rsid w:val="009776FE"/>
    <w:rsid w:val="0097792E"/>
    <w:rsid w:val="00980C99"/>
    <w:rsid w:val="009810B2"/>
    <w:rsid w:val="009812E4"/>
    <w:rsid w:val="009817CF"/>
    <w:rsid w:val="00981B3C"/>
    <w:rsid w:val="00981BEB"/>
    <w:rsid w:val="00981E2D"/>
    <w:rsid w:val="00983025"/>
    <w:rsid w:val="0098311D"/>
    <w:rsid w:val="0098384B"/>
    <w:rsid w:val="00983C54"/>
    <w:rsid w:val="00984055"/>
    <w:rsid w:val="009845A6"/>
    <w:rsid w:val="00984738"/>
    <w:rsid w:val="00985587"/>
    <w:rsid w:val="0098569D"/>
    <w:rsid w:val="0098622B"/>
    <w:rsid w:val="0098626D"/>
    <w:rsid w:val="00986748"/>
    <w:rsid w:val="00986F24"/>
    <w:rsid w:val="009870AA"/>
    <w:rsid w:val="00987C68"/>
    <w:rsid w:val="00987C9F"/>
    <w:rsid w:val="00990EF5"/>
    <w:rsid w:val="00991089"/>
    <w:rsid w:val="00991368"/>
    <w:rsid w:val="009919D8"/>
    <w:rsid w:val="00991BFC"/>
    <w:rsid w:val="00992453"/>
    <w:rsid w:val="009925F7"/>
    <w:rsid w:val="00992A5D"/>
    <w:rsid w:val="00993667"/>
    <w:rsid w:val="00993907"/>
    <w:rsid w:val="00994290"/>
    <w:rsid w:val="009942A4"/>
    <w:rsid w:val="0099622C"/>
    <w:rsid w:val="0099645D"/>
    <w:rsid w:val="00996850"/>
    <w:rsid w:val="00997573"/>
    <w:rsid w:val="0099768D"/>
    <w:rsid w:val="009976A6"/>
    <w:rsid w:val="00997893"/>
    <w:rsid w:val="009A0076"/>
    <w:rsid w:val="009A0289"/>
    <w:rsid w:val="009A02B1"/>
    <w:rsid w:val="009A0566"/>
    <w:rsid w:val="009A0CA5"/>
    <w:rsid w:val="009A19A3"/>
    <w:rsid w:val="009A1F98"/>
    <w:rsid w:val="009A267D"/>
    <w:rsid w:val="009A2D32"/>
    <w:rsid w:val="009A3647"/>
    <w:rsid w:val="009A3BD9"/>
    <w:rsid w:val="009A4156"/>
    <w:rsid w:val="009A4237"/>
    <w:rsid w:val="009A5088"/>
    <w:rsid w:val="009A50E5"/>
    <w:rsid w:val="009A5755"/>
    <w:rsid w:val="009A5B97"/>
    <w:rsid w:val="009A5C4F"/>
    <w:rsid w:val="009A5ED2"/>
    <w:rsid w:val="009A6157"/>
    <w:rsid w:val="009A6A9B"/>
    <w:rsid w:val="009A6E9A"/>
    <w:rsid w:val="009A74F8"/>
    <w:rsid w:val="009A785F"/>
    <w:rsid w:val="009B0828"/>
    <w:rsid w:val="009B10FD"/>
    <w:rsid w:val="009B1465"/>
    <w:rsid w:val="009B148F"/>
    <w:rsid w:val="009B1581"/>
    <w:rsid w:val="009B1E72"/>
    <w:rsid w:val="009B2607"/>
    <w:rsid w:val="009B3540"/>
    <w:rsid w:val="009B3575"/>
    <w:rsid w:val="009B3620"/>
    <w:rsid w:val="009B386A"/>
    <w:rsid w:val="009B3B0F"/>
    <w:rsid w:val="009B4738"/>
    <w:rsid w:val="009B57B3"/>
    <w:rsid w:val="009B59DC"/>
    <w:rsid w:val="009B5B9E"/>
    <w:rsid w:val="009B6040"/>
    <w:rsid w:val="009B60D4"/>
    <w:rsid w:val="009B6778"/>
    <w:rsid w:val="009B678D"/>
    <w:rsid w:val="009B6ABB"/>
    <w:rsid w:val="009B6B90"/>
    <w:rsid w:val="009B6FFA"/>
    <w:rsid w:val="009B71EA"/>
    <w:rsid w:val="009B7DCB"/>
    <w:rsid w:val="009C01FF"/>
    <w:rsid w:val="009C1214"/>
    <w:rsid w:val="009C1432"/>
    <w:rsid w:val="009C16AC"/>
    <w:rsid w:val="009C1955"/>
    <w:rsid w:val="009C2388"/>
    <w:rsid w:val="009C295F"/>
    <w:rsid w:val="009C301F"/>
    <w:rsid w:val="009C3435"/>
    <w:rsid w:val="009C3736"/>
    <w:rsid w:val="009C3A50"/>
    <w:rsid w:val="009C3CD0"/>
    <w:rsid w:val="009C3EFB"/>
    <w:rsid w:val="009C4862"/>
    <w:rsid w:val="009C4CCE"/>
    <w:rsid w:val="009C5484"/>
    <w:rsid w:val="009C54D5"/>
    <w:rsid w:val="009C559B"/>
    <w:rsid w:val="009C5937"/>
    <w:rsid w:val="009C6098"/>
    <w:rsid w:val="009C6BE5"/>
    <w:rsid w:val="009C6CCA"/>
    <w:rsid w:val="009C7016"/>
    <w:rsid w:val="009D1037"/>
    <w:rsid w:val="009D10CF"/>
    <w:rsid w:val="009D182C"/>
    <w:rsid w:val="009D24C5"/>
    <w:rsid w:val="009D254F"/>
    <w:rsid w:val="009D355F"/>
    <w:rsid w:val="009D3780"/>
    <w:rsid w:val="009D3800"/>
    <w:rsid w:val="009D397E"/>
    <w:rsid w:val="009D3CEA"/>
    <w:rsid w:val="009D42AF"/>
    <w:rsid w:val="009D4806"/>
    <w:rsid w:val="009D4B10"/>
    <w:rsid w:val="009D4C50"/>
    <w:rsid w:val="009D504B"/>
    <w:rsid w:val="009D5159"/>
    <w:rsid w:val="009D5B30"/>
    <w:rsid w:val="009D6BD8"/>
    <w:rsid w:val="009D6FEE"/>
    <w:rsid w:val="009D7C97"/>
    <w:rsid w:val="009D7CE8"/>
    <w:rsid w:val="009D7EB8"/>
    <w:rsid w:val="009D7FDB"/>
    <w:rsid w:val="009E0289"/>
    <w:rsid w:val="009E0447"/>
    <w:rsid w:val="009E060C"/>
    <w:rsid w:val="009E07AA"/>
    <w:rsid w:val="009E1123"/>
    <w:rsid w:val="009E11FD"/>
    <w:rsid w:val="009E1D5E"/>
    <w:rsid w:val="009E1F6A"/>
    <w:rsid w:val="009E2554"/>
    <w:rsid w:val="009E25C3"/>
    <w:rsid w:val="009E3706"/>
    <w:rsid w:val="009E43A9"/>
    <w:rsid w:val="009E45E4"/>
    <w:rsid w:val="009E46A4"/>
    <w:rsid w:val="009E52D7"/>
    <w:rsid w:val="009E57D6"/>
    <w:rsid w:val="009E5BD7"/>
    <w:rsid w:val="009E6906"/>
    <w:rsid w:val="009E69F0"/>
    <w:rsid w:val="009E712F"/>
    <w:rsid w:val="009E715B"/>
    <w:rsid w:val="009E7304"/>
    <w:rsid w:val="009E753F"/>
    <w:rsid w:val="009E7696"/>
    <w:rsid w:val="009E775D"/>
    <w:rsid w:val="009E7923"/>
    <w:rsid w:val="009E7F05"/>
    <w:rsid w:val="009F018F"/>
    <w:rsid w:val="009F0793"/>
    <w:rsid w:val="009F0930"/>
    <w:rsid w:val="009F0B0B"/>
    <w:rsid w:val="009F0CA6"/>
    <w:rsid w:val="009F0E39"/>
    <w:rsid w:val="009F1B47"/>
    <w:rsid w:val="009F20AA"/>
    <w:rsid w:val="009F271E"/>
    <w:rsid w:val="009F2808"/>
    <w:rsid w:val="009F2E65"/>
    <w:rsid w:val="009F35C8"/>
    <w:rsid w:val="009F38B1"/>
    <w:rsid w:val="009F3BD4"/>
    <w:rsid w:val="009F448B"/>
    <w:rsid w:val="009F44E6"/>
    <w:rsid w:val="009F469A"/>
    <w:rsid w:val="009F4763"/>
    <w:rsid w:val="009F485A"/>
    <w:rsid w:val="009F4DBB"/>
    <w:rsid w:val="009F53DB"/>
    <w:rsid w:val="009F57CC"/>
    <w:rsid w:val="009F5E2D"/>
    <w:rsid w:val="009F66D1"/>
    <w:rsid w:val="009F6AF2"/>
    <w:rsid w:val="009F6B62"/>
    <w:rsid w:val="009F6D1C"/>
    <w:rsid w:val="009F6F55"/>
    <w:rsid w:val="009F7037"/>
    <w:rsid w:val="009F797B"/>
    <w:rsid w:val="009F7D01"/>
    <w:rsid w:val="00A00010"/>
    <w:rsid w:val="00A00033"/>
    <w:rsid w:val="00A00335"/>
    <w:rsid w:val="00A00963"/>
    <w:rsid w:val="00A00F11"/>
    <w:rsid w:val="00A01F1B"/>
    <w:rsid w:val="00A02511"/>
    <w:rsid w:val="00A02900"/>
    <w:rsid w:val="00A02C0D"/>
    <w:rsid w:val="00A02D75"/>
    <w:rsid w:val="00A0366C"/>
    <w:rsid w:val="00A0370E"/>
    <w:rsid w:val="00A039D0"/>
    <w:rsid w:val="00A039F2"/>
    <w:rsid w:val="00A03D68"/>
    <w:rsid w:val="00A045AE"/>
    <w:rsid w:val="00A04607"/>
    <w:rsid w:val="00A04692"/>
    <w:rsid w:val="00A04800"/>
    <w:rsid w:val="00A04AED"/>
    <w:rsid w:val="00A0541E"/>
    <w:rsid w:val="00A054E6"/>
    <w:rsid w:val="00A06092"/>
    <w:rsid w:val="00A06BFD"/>
    <w:rsid w:val="00A06EE9"/>
    <w:rsid w:val="00A07476"/>
    <w:rsid w:val="00A0762F"/>
    <w:rsid w:val="00A07DE6"/>
    <w:rsid w:val="00A100BE"/>
    <w:rsid w:val="00A10162"/>
    <w:rsid w:val="00A10E56"/>
    <w:rsid w:val="00A11FF6"/>
    <w:rsid w:val="00A121D3"/>
    <w:rsid w:val="00A12882"/>
    <w:rsid w:val="00A12D3A"/>
    <w:rsid w:val="00A13158"/>
    <w:rsid w:val="00A13246"/>
    <w:rsid w:val="00A138A9"/>
    <w:rsid w:val="00A139AA"/>
    <w:rsid w:val="00A13A73"/>
    <w:rsid w:val="00A14462"/>
    <w:rsid w:val="00A14AEE"/>
    <w:rsid w:val="00A15D51"/>
    <w:rsid w:val="00A15F37"/>
    <w:rsid w:val="00A160A1"/>
    <w:rsid w:val="00A160DA"/>
    <w:rsid w:val="00A16619"/>
    <w:rsid w:val="00A1675E"/>
    <w:rsid w:val="00A16E32"/>
    <w:rsid w:val="00A1771E"/>
    <w:rsid w:val="00A17978"/>
    <w:rsid w:val="00A17F6A"/>
    <w:rsid w:val="00A200CD"/>
    <w:rsid w:val="00A204D4"/>
    <w:rsid w:val="00A21360"/>
    <w:rsid w:val="00A21415"/>
    <w:rsid w:val="00A21459"/>
    <w:rsid w:val="00A2184F"/>
    <w:rsid w:val="00A219F0"/>
    <w:rsid w:val="00A21FD5"/>
    <w:rsid w:val="00A22599"/>
    <w:rsid w:val="00A22952"/>
    <w:rsid w:val="00A24407"/>
    <w:rsid w:val="00A2452E"/>
    <w:rsid w:val="00A2472A"/>
    <w:rsid w:val="00A24AAC"/>
    <w:rsid w:val="00A24C7C"/>
    <w:rsid w:val="00A24C8F"/>
    <w:rsid w:val="00A24EEB"/>
    <w:rsid w:val="00A25186"/>
    <w:rsid w:val="00A2585B"/>
    <w:rsid w:val="00A25A1B"/>
    <w:rsid w:val="00A25A8E"/>
    <w:rsid w:val="00A25B4C"/>
    <w:rsid w:val="00A25BE9"/>
    <w:rsid w:val="00A25F14"/>
    <w:rsid w:val="00A26691"/>
    <w:rsid w:val="00A269ED"/>
    <w:rsid w:val="00A26BB8"/>
    <w:rsid w:val="00A26C28"/>
    <w:rsid w:val="00A2778E"/>
    <w:rsid w:val="00A278EA"/>
    <w:rsid w:val="00A27C5B"/>
    <w:rsid w:val="00A27CE6"/>
    <w:rsid w:val="00A3048B"/>
    <w:rsid w:val="00A30CD9"/>
    <w:rsid w:val="00A31503"/>
    <w:rsid w:val="00A3170C"/>
    <w:rsid w:val="00A31CFE"/>
    <w:rsid w:val="00A322CB"/>
    <w:rsid w:val="00A3282F"/>
    <w:rsid w:val="00A32BFF"/>
    <w:rsid w:val="00A33361"/>
    <w:rsid w:val="00A33719"/>
    <w:rsid w:val="00A34AFB"/>
    <w:rsid w:val="00A34C9E"/>
    <w:rsid w:val="00A35684"/>
    <w:rsid w:val="00A35838"/>
    <w:rsid w:val="00A358E0"/>
    <w:rsid w:val="00A35C27"/>
    <w:rsid w:val="00A35F6B"/>
    <w:rsid w:val="00A36905"/>
    <w:rsid w:val="00A36C62"/>
    <w:rsid w:val="00A36F3A"/>
    <w:rsid w:val="00A37026"/>
    <w:rsid w:val="00A37324"/>
    <w:rsid w:val="00A3736C"/>
    <w:rsid w:val="00A3756B"/>
    <w:rsid w:val="00A377B6"/>
    <w:rsid w:val="00A379EB"/>
    <w:rsid w:val="00A37B3C"/>
    <w:rsid w:val="00A37B6F"/>
    <w:rsid w:val="00A4077C"/>
    <w:rsid w:val="00A40A8C"/>
    <w:rsid w:val="00A40D6F"/>
    <w:rsid w:val="00A414C8"/>
    <w:rsid w:val="00A41CA2"/>
    <w:rsid w:val="00A41DA2"/>
    <w:rsid w:val="00A41E4F"/>
    <w:rsid w:val="00A428DD"/>
    <w:rsid w:val="00A42F9F"/>
    <w:rsid w:val="00A42FE7"/>
    <w:rsid w:val="00A43BD7"/>
    <w:rsid w:val="00A43D11"/>
    <w:rsid w:val="00A449CE"/>
    <w:rsid w:val="00A44CA5"/>
    <w:rsid w:val="00A45819"/>
    <w:rsid w:val="00A45C55"/>
    <w:rsid w:val="00A46339"/>
    <w:rsid w:val="00A46958"/>
    <w:rsid w:val="00A46FBF"/>
    <w:rsid w:val="00A4707E"/>
    <w:rsid w:val="00A473DF"/>
    <w:rsid w:val="00A500B4"/>
    <w:rsid w:val="00A50219"/>
    <w:rsid w:val="00A50B68"/>
    <w:rsid w:val="00A5208D"/>
    <w:rsid w:val="00A52745"/>
    <w:rsid w:val="00A52BF7"/>
    <w:rsid w:val="00A52C8A"/>
    <w:rsid w:val="00A52F21"/>
    <w:rsid w:val="00A53481"/>
    <w:rsid w:val="00A5396F"/>
    <w:rsid w:val="00A53EBF"/>
    <w:rsid w:val="00A53ECE"/>
    <w:rsid w:val="00A54100"/>
    <w:rsid w:val="00A54592"/>
    <w:rsid w:val="00A5473D"/>
    <w:rsid w:val="00A54AE1"/>
    <w:rsid w:val="00A5506D"/>
    <w:rsid w:val="00A56509"/>
    <w:rsid w:val="00A5665E"/>
    <w:rsid w:val="00A56AEA"/>
    <w:rsid w:val="00A56B67"/>
    <w:rsid w:val="00A56E64"/>
    <w:rsid w:val="00A57079"/>
    <w:rsid w:val="00A602EE"/>
    <w:rsid w:val="00A60951"/>
    <w:rsid w:val="00A60C5D"/>
    <w:rsid w:val="00A60E2B"/>
    <w:rsid w:val="00A60F40"/>
    <w:rsid w:val="00A6157A"/>
    <w:rsid w:val="00A61DC7"/>
    <w:rsid w:val="00A61FBB"/>
    <w:rsid w:val="00A628FA"/>
    <w:rsid w:val="00A63102"/>
    <w:rsid w:val="00A637FA"/>
    <w:rsid w:val="00A63FE6"/>
    <w:rsid w:val="00A640AE"/>
    <w:rsid w:val="00A644FC"/>
    <w:rsid w:val="00A64646"/>
    <w:rsid w:val="00A647F4"/>
    <w:rsid w:val="00A64976"/>
    <w:rsid w:val="00A64B1B"/>
    <w:rsid w:val="00A6584C"/>
    <w:rsid w:val="00A65BF9"/>
    <w:rsid w:val="00A666E6"/>
    <w:rsid w:val="00A66CE1"/>
    <w:rsid w:val="00A67754"/>
    <w:rsid w:val="00A67C1C"/>
    <w:rsid w:val="00A67F9E"/>
    <w:rsid w:val="00A707AB"/>
    <w:rsid w:val="00A70D4E"/>
    <w:rsid w:val="00A71002"/>
    <w:rsid w:val="00A7261F"/>
    <w:rsid w:val="00A72717"/>
    <w:rsid w:val="00A72919"/>
    <w:rsid w:val="00A7348F"/>
    <w:rsid w:val="00A73898"/>
    <w:rsid w:val="00A73AA2"/>
    <w:rsid w:val="00A7436E"/>
    <w:rsid w:val="00A7490F"/>
    <w:rsid w:val="00A75011"/>
    <w:rsid w:val="00A752F1"/>
    <w:rsid w:val="00A75773"/>
    <w:rsid w:val="00A75D02"/>
    <w:rsid w:val="00A75F33"/>
    <w:rsid w:val="00A771A5"/>
    <w:rsid w:val="00A77239"/>
    <w:rsid w:val="00A772B2"/>
    <w:rsid w:val="00A7759D"/>
    <w:rsid w:val="00A77642"/>
    <w:rsid w:val="00A77914"/>
    <w:rsid w:val="00A77C5B"/>
    <w:rsid w:val="00A77F85"/>
    <w:rsid w:val="00A8039A"/>
    <w:rsid w:val="00A80924"/>
    <w:rsid w:val="00A80B37"/>
    <w:rsid w:val="00A80E37"/>
    <w:rsid w:val="00A811B7"/>
    <w:rsid w:val="00A81C41"/>
    <w:rsid w:val="00A8236D"/>
    <w:rsid w:val="00A836D2"/>
    <w:rsid w:val="00A8378F"/>
    <w:rsid w:val="00A83AB5"/>
    <w:rsid w:val="00A83D7A"/>
    <w:rsid w:val="00A8498B"/>
    <w:rsid w:val="00A857A5"/>
    <w:rsid w:val="00A85918"/>
    <w:rsid w:val="00A859D0"/>
    <w:rsid w:val="00A86A19"/>
    <w:rsid w:val="00A86A3B"/>
    <w:rsid w:val="00A86D2F"/>
    <w:rsid w:val="00A87013"/>
    <w:rsid w:val="00A870A6"/>
    <w:rsid w:val="00A877B4"/>
    <w:rsid w:val="00A87800"/>
    <w:rsid w:val="00A9052F"/>
    <w:rsid w:val="00A9076C"/>
    <w:rsid w:val="00A9194D"/>
    <w:rsid w:val="00A91CF0"/>
    <w:rsid w:val="00A92225"/>
    <w:rsid w:val="00A93504"/>
    <w:rsid w:val="00A93E91"/>
    <w:rsid w:val="00A941A9"/>
    <w:rsid w:val="00A94960"/>
    <w:rsid w:val="00A94CCD"/>
    <w:rsid w:val="00A94FB6"/>
    <w:rsid w:val="00A95084"/>
    <w:rsid w:val="00A952C9"/>
    <w:rsid w:val="00A95548"/>
    <w:rsid w:val="00A956E7"/>
    <w:rsid w:val="00A959A4"/>
    <w:rsid w:val="00A95AE3"/>
    <w:rsid w:val="00A95B4F"/>
    <w:rsid w:val="00A95DCE"/>
    <w:rsid w:val="00A96ACC"/>
    <w:rsid w:val="00A96EC8"/>
    <w:rsid w:val="00A96FF6"/>
    <w:rsid w:val="00A973F3"/>
    <w:rsid w:val="00A97466"/>
    <w:rsid w:val="00A97504"/>
    <w:rsid w:val="00A97EE7"/>
    <w:rsid w:val="00AA0261"/>
    <w:rsid w:val="00AA04F9"/>
    <w:rsid w:val="00AA099C"/>
    <w:rsid w:val="00AA09C4"/>
    <w:rsid w:val="00AA0E4E"/>
    <w:rsid w:val="00AA122F"/>
    <w:rsid w:val="00AA18A7"/>
    <w:rsid w:val="00AA197B"/>
    <w:rsid w:val="00AA20E7"/>
    <w:rsid w:val="00AA2533"/>
    <w:rsid w:val="00AA28DF"/>
    <w:rsid w:val="00AA2B67"/>
    <w:rsid w:val="00AA34F9"/>
    <w:rsid w:val="00AA3707"/>
    <w:rsid w:val="00AA3C31"/>
    <w:rsid w:val="00AA3C3C"/>
    <w:rsid w:val="00AA3F92"/>
    <w:rsid w:val="00AA4143"/>
    <w:rsid w:val="00AA4466"/>
    <w:rsid w:val="00AA46A3"/>
    <w:rsid w:val="00AA4767"/>
    <w:rsid w:val="00AA4E17"/>
    <w:rsid w:val="00AA4FD5"/>
    <w:rsid w:val="00AA633C"/>
    <w:rsid w:val="00AA6542"/>
    <w:rsid w:val="00AA65B4"/>
    <w:rsid w:val="00AA6AA1"/>
    <w:rsid w:val="00AA72A1"/>
    <w:rsid w:val="00AB0849"/>
    <w:rsid w:val="00AB0B60"/>
    <w:rsid w:val="00AB0DA4"/>
    <w:rsid w:val="00AB0DFB"/>
    <w:rsid w:val="00AB0FF4"/>
    <w:rsid w:val="00AB0FFB"/>
    <w:rsid w:val="00AB10C6"/>
    <w:rsid w:val="00AB129E"/>
    <w:rsid w:val="00AB28E0"/>
    <w:rsid w:val="00AB3083"/>
    <w:rsid w:val="00AB4161"/>
    <w:rsid w:val="00AB46AB"/>
    <w:rsid w:val="00AB49AD"/>
    <w:rsid w:val="00AB4BA0"/>
    <w:rsid w:val="00AB50E7"/>
    <w:rsid w:val="00AB5A6D"/>
    <w:rsid w:val="00AB5DF0"/>
    <w:rsid w:val="00AB60D9"/>
    <w:rsid w:val="00AB61E3"/>
    <w:rsid w:val="00AB7571"/>
    <w:rsid w:val="00AB7EA8"/>
    <w:rsid w:val="00AC07EB"/>
    <w:rsid w:val="00AC0ACE"/>
    <w:rsid w:val="00AC0D6A"/>
    <w:rsid w:val="00AC112F"/>
    <w:rsid w:val="00AC1417"/>
    <w:rsid w:val="00AC15F8"/>
    <w:rsid w:val="00AC1867"/>
    <w:rsid w:val="00AC218C"/>
    <w:rsid w:val="00AC2412"/>
    <w:rsid w:val="00AC334F"/>
    <w:rsid w:val="00AC34D2"/>
    <w:rsid w:val="00AC3932"/>
    <w:rsid w:val="00AC39BD"/>
    <w:rsid w:val="00AC3D08"/>
    <w:rsid w:val="00AC3E7F"/>
    <w:rsid w:val="00AC4259"/>
    <w:rsid w:val="00AC43B7"/>
    <w:rsid w:val="00AC44B1"/>
    <w:rsid w:val="00AC4596"/>
    <w:rsid w:val="00AC4D22"/>
    <w:rsid w:val="00AC5728"/>
    <w:rsid w:val="00AC5806"/>
    <w:rsid w:val="00AC5B2E"/>
    <w:rsid w:val="00AC5CDD"/>
    <w:rsid w:val="00AC6B2D"/>
    <w:rsid w:val="00AC738F"/>
    <w:rsid w:val="00AC7608"/>
    <w:rsid w:val="00AC7751"/>
    <w:rsid w:val="00AC7770"/>
    <w:rsid w:val="00AC7CAF"/>
    <w:rsid w:val="00AC7DB5"/>
    <w:rsid w:val="00AC7DF4"/>
    <w:rsid w:val="00AD0109"/>
    <w:rsid w:val="00AD0BD6"/>
    <w:rsid w:val="00AD0D04"/>
    <w:rsid w:val="00AD16CE"/>
    <w:rsid w:val="00AD1E14"/>
    <w:rsid w:val="00AD2396"/>
    <w:rsid w:val="00AD30E4"/>
    <w:rsid w:val="00AD330B"/>
    <w:rsid w:val="00AD3ED5"/>
    <w:rsid w:val="00AD4107"/>
    <w:rsid w:val="00AD4ADD"/>
    <w:rsid w:val="00AD4F82"/>
    <w:rsid w:val="00AD6D5A"/>
    <w:rsid w:val="00AD6E85"/>
    <w:rsid w:val="00AD7002"/>
    <w:rsid w:val="00AD7007"/>
    <w:rsid w:val="00AD7C22"/>
    <w:rsid w:val="00AD7C84"/>
    <w:rsid w:val="00AD7D39"/>
    <w:rsid w:val="00AD7F2B"/>
    <w:rsid w:val="00AE0999"/>
    <w:rsid w:val="00AE1893"/>
    <w:rsid w:val="00AE1FFB"/>
    <w:rsid w:val="00AE224A"/>
    <w:rsid w:val="00AE26FF"/>
    <w:rsid w:val="00AE378A"/>
    <w:rsid w:val="00AE4708"/>
    <w:rsid w:val="00AE4B12"/>
    <w:rsid w:val="00AE5596"/>
    <w:rsid w:val="00AE55B5"/>
    <w:rsid w:val="00AE5B52"/>
    <w:rsid w:val="00AE61B1"/>
    <w:rsid w:val="00AE6249"/>
    <w:rsid w:val="00AE7A36"/>
    <w:rsid w:val="00AF004C"/>
    <w:rsid w:val="00AF022B"/>
    <w:rsid w:val="00AF050E"/>
    <w:rsid w:val="00AF07D5"/>
    <w:rsid w:val="00AF0AB0"/>
    <w:rsid w:val="00AF0C4B"/>
    <w:rsid w:val="00AF12AB"/>
    <w:rsid w:val="00AF12FA"/>
    <w:rsid w:val="00AF15FA"/>
    <w:rsid w:val="00AF1BA7"/>
    <w:rsid w:val="00AF2925"/>
    <w:rsid w:val="00AF2BE9"/>
    <w:rsid w:val="00AF3204"/>
    <w:rsid w:val="00AF379A"/>
    <w:rsid w:val="00AF3A64"/>
    <w:rsid w:val="00AF3C62"/>
    <w:rsid w:val="00AF3FC2"/>
    <w:rsid w:val="00AF45E5"/>
    <w:rsid w:val="00AF4A6C"/>
    <w:rsid w:val="00AF4B43"/>
    <w:rsid w:val="00AF4CF7"/>
    <w:rsid w:val="00AF5183"/>
    <w:rsid w:val="00AF51D6"/>
    <w:rsid w:val="00AF5440"/>
    <w:rsid w:val="00AF669E"/>
    <w:rsid w:val="00AF6D72"/>
    <w:rsid w:val="00AF74A2"/>
    <w:rsid w:val="00AF750E"/>
    <w:rsid w:val="00AF751F"/>
    <w:rsid w:val="00AF758E"/>
    <w:rsid w:val="00AF7599"/>
    <w:rsid w:val="00AF7B55"/>
    <w:rsid w:val="00B003C8"/>
    <w:rsid w:val="00B0051F"/>
    <w:rsid w:val="00B007A2"/>
    <w:rsid w:val="00B0092F"/>
    <w:rsid w:val="00B00AEC"/>
    <w:rsid w:val="00B016C1"/>
    <w:rsid w:val="00B01CAE"/>
    <w:rsid w:val="00B01E55"/>
    <w:rsid w:val="00B022F8"/>
    <w:rsid w:val="00B027D7"/>
    <w:rsid w:val="00B02E65"/>
    <w:rsid w:val="00B03460"/>
    <w:rsid w:val="00B0347B"/>
    <w:rsid w:val="00B035D1"/>
    <w:rsid w:val="00B0383A"/>
    <w:rsid w:val="00B03BEC"/>
    <w:rsid w:val="00B03D11"/>
    <w:rsid w:val="00B03EA6"/>
    <w:rsid w:val="00B03FEA"/>
    <w:rsid w:val="00B048D5"/>
    <w:rsid w:val="00B055BD"/>
    <w:rsid w:val="00B05689"/>
    <w:rsid w:val="00B057B3"/>
    <w:rsid w:val="00B05F4F"/>
    <w:rsid w:val="00B064AB"/>
    <w:rsid w:val="00B06707"/>
    <w:rsid w:val="00B068C9"/>
    <w:rsid w:val="00B06FC8"/>
    <w:rsid w:val="00B07048"/>
    <w:rsid w:val="00B07170"/>
    <w:rsid w:val="00B078B1"/>
    <w:rsid w:val="00B07E17"/>
    <w:rsid w:val="00B109DE"/>
    <w:rsid w:val="00B1117E"/>
    <w:rsid w:val="00B1171E"/>
    <w:rsid w:val="00B1185C"/>
    <w:rsid w:val="00B1247B"/>
    <w:rsid w:val="00B12570"/>
    <w:rsid w:val="00B128E3"/>
    <w:rsid w:val="00B12B25"/>
    <w:rsid w:val="00B131BF"/>
    <w:rsid w:val="00B13568"/>
    <w:rsid w:val="00B143AD"/>
    <w:rsid w:val="00B144F7"/>
    <w:rsid w:val="00B14910"/>
    <w:rsid w:val="00B14B4C"/>
    <w:rsid w:val="00B14B51"/>
    <w:rsid w:val="00B15087"/>
    <w:rsid w:val="00B15248"/>
    <w:rsid w:val="00B15320"/>
    <w:rsid w:val="00B153E7"/>
    <w:rsid w:val="00B15537"/>
    <w:rsid w:val="00B1578F"/>
    <w:rsid w:val="00B15DF8"/>
    <w:rsid w:val="00B15EA8"/>
    <w:rsid w:val="00B160BC"/>
    <w:rsid w:val="00B16500"/>
    <w:rsid w:val="00B169CD"/>
    <w:rsid w:val="00B16BE9"/>
    <w:rsid w:val="00B16F9D"/>
    <w:rsid w:val="00B171F6"/>
    <w:rsid w:val="00B17FF9"/>
    <w:rsid w:val="00B202C3"/>
    <w:rsid w:val="00B20632"/>
    <w:rsid w:val="00B209EE"/>
    <w:rsid w:val="00B21492"/>
    <w:rsid w:val="00B222FD"/>
    <w:rsid w:val="00B223ED"/>
    <w:rsid w:val="00B22619"/>
    <w:rsid w:val="00B22DF8"/>
    <w:rsid w:val="00B23260"/>
    <w:rsid w:val="00B237C8"/>
    <w:rsid w:val="00B238BD"/>
    <w:rsid w:val="00B246DA"/>
    <w:rsid w:val="00B25776"/>
    <w:rsid w:val="00B27066"/>
    <w:rsid w:val="00B2722B"/>
    <w:rsid w:val="00B2755C"/>
    <w:rsid w:val="00B27616"/>
    <w:rsid w:val="00B27974"/>
    <w:rsid w:val="00B279AF"/>
    <w:rsid w:val="00B3037C"/>
    <w:rsid w:val="00B304D1"/>
    <w:rsid w:val="00B3079B"/>
    <w:rsid w:val="00B30899"/>
    <w:rsid w:val="00B30F37"/>
    <w:rsid w:val="00B31304"/>
    <w:rsid w:val="00B3239A"/>
    <w:rsid w:val="00B327E0"/>
    <w:rsid w:val="00B32C03"/>
    <w:rsid w:val="00B33394"/>
    <w:rsid w:val="00B339DE"/>
    <w:rsid w:val="00B33BF7"/>
    <w:rsid w:val="00B33CC7"/>
    <w:rsid w:val="00B34FDB"/>
    <w:rsid w:val="00B351C5"/>
    <w:rsid w:val="00B35632"/>
    <w:rsid w:val="00B3564B"/>
    <w:rsid w:val="00B35C4A"/>
    <w:rsid w:val="00B35CB1"/>
    <w:rsid w:val="00B35F48"/>
    <w:rsid w:val="00B360DC"/>
    <w:rsid w:val="00B36609"/>
    <w:rsid w:val="00B3662E"/>
    <w:rsid w:val="00B367F9"/>
    <w:rsid w:val="00B36E66"/>
    <w:rsid w:val="00B370E8"/>
    <w:rsid w:val="00B37693"/>
    <w:rsid w:val="00B37CEC"/>
    <w:rsid w:val="00B402EB"/>
    <w:rsid w:val="00B406C8"/>
    <w:rsid w:val="00B40ABC"/>
    <w:rsid w:val="00B40BB1"/>
    <w:rsid w:val="00B40E02"/>
    <w:rsid w:val="00B41084"/>
    <w:rsid w:val="00B41352"/>
    <w:rsid w:val="00B4161E"/>
    <w:rsid w:val="00B41E33"/>
    <w:rsid w:val="00B41F11"/>
    <w:rsid w:val="00B4276F"/>
    <w:rsid w:val="00B42AE8"/>
    <w:rsid w:val="00B42AEA"/>
    <w:rsid w:val="00B43648"/>
    <w:rsid w:val="00B438FA"/>
    <w:rsid w:val="00B43E0A"/>
    <w:rsid w:val="00B44033"/>
    <w:rsid w:val="00B442CE"/>
    <w:rsid w:val="00B45498"/>
    <w:rsid w:val="00B45F00"/>
    <w:rsid w:val="00B460A6"/>
    <w:rsid w:val="00B4665B"/>
    <w:rsid w:val="00B468C8"/>
    <w:rsid w:val="00B46D11"/>
    <w:rsid w:val="00B472B4"/>
    <w:rsid w:val="00B4738C"/>
    <w:rsid w:val="00B47748"/>
    <w:rsid w:val="00B500E7"/>
    <w:rsid w:val="00B5079B"/>
    <w:rsid w:val="00B507A7"/>
    <w:rsid w:val="00B5096E"/>
    <w:rsid w:val="00B5098D"/>
    <w:rsid w:val="00B5152A"/>
    <w:rsid w:val="00B51F7E"/>
    <w:rsid w:val="00B5318E"/>
    <w:rsid w:val="00B53D75"/>
    <w:rsid w:val="00B54386"/>
    <w:rsid w:val="00B5478B"/>
    <w:rsid w:val="00B54F45"/>
    <w:rsid w:val="00B55890"/>
    <w:rsid w:val="00B55DB3"/>
    <w:rsid w:val="00B56353"/>
    <w:rsid w:val="00B56AA2"/>
    <w:rsid w:val="00B56CEA"/>
    <w:rsid w:val="00B57013"/>
    <w:rsid w:val="00B6018B"/>
    <w:rsid w:val="00B6192D"/>
    <w:rsid w:val="00B61D07"/>
    <w:rsid w:val="00B61EAA"/>
    <w:rsid w:val="00B6239A"/>
    <w:rsid w:val="00B62493"/>
    <w:rsid w:val="00B630BC"/>
    <w:rsid w:val="00B6326B"/>
    <w:rsid w:val="00B6380A"/>
    <w:rsid w:val="00B638AB"/>
    <w:rsid w:val="00B63BBF"/>
    <w:rsid w:val="00B63DFD"/>
    <w:rsid w:val="00B63E5D"/>
    <w:rsid w:val="00B63F94"/>
    <w:rsid w:val="00B647D9"/>
    <w:rsid w:val="00B64CF6"/>
    <w:rsid w:val="00B65326"/>
    <w:rsid w:val="00B6573F"/>
    <w:rsid w:val="00B65AA7"/>
    <w:rsid w:val="00B65B6A"/>
    <w:rsid w:val="00B65BDC"/>
    <w:rsid w:val="00B660AB"/>
    <w:rsid w:val="00B671A7"/>
    <w:rsid w:val="00B671FC"/>
    <w:rsid w:val="00B6741C"/>
    <w:rsid w:val="00B67C67"/>
    <w:rsid w:val="00B67E6D"/>
    <w:rsid w:val="00B70106"/>
    <w:rsid w:val="00B7018D"/>
    <w:rsid w:val="00B70530"/>
    <w:rsid w:val="00B7054F"/>
    <w:rsid w:val="00B7079E"/>
    <w:rsid w:val="00B70C6C"/>
    <w:rsid w:val="00B71402"/>
    <w:rsid w:val="00B7140B"/>
    <w:rsid w:val="00B718E0"/>
    <w:rsid w:val="00B7190B"/>
    <w:rsid w:val="00B71C3A"/>
    <w:rsid w:val="00B71EB5"/>
    <w:rsid w:val="00B7238F"/>
    <w:rsid w:val="00B727A4"/>
    <w:rsid w:val="00B72D4A"/>
    <w:rsid w:val="00B733E5"/>
    <w:rsid w:val="00B73817"/>
    <w:rsid w:val="00B7485A"/>
    <w:rsid w:val="00B7495C"/>
    <w:rsid w:val="00B74CBD"/>
    <w:rsid w:val="00B754DD"/>
    <w:rsid w:val="00B7593C"/>
    <w:rsid w:val="00B75F34"/>
    <w:rsid w:val="00B75F66"/>
    <w:rsid w:val="00B764FB"/>
    <w:rsid w:val="00B76C7C"/>
    <w:rsid w:val="00B7727F"/>
    <w:rsid w:val="00B776CC"/>
    <w:rsid w:val="00B77ECB"/>
    <w:rsid w:val="00B8061C"/>
    <w:rsid w:val="00B807B3"/>
    <w:rsid w:val="00B807C5"/>
    <w:rsid w:val="00B81802"/>
    <w:rsid w:val="00B819C1"/>
    <w:rsid w:val="00B82E1F"/>
    <w:rsid w:val="00B83057"/>
    <w:rsid w:val="00B836BA"/>
    <w:rsid w:val="00B839E3"/>
    <w:rsid w:val="00B8437D"/>
    <w:rsid w:val="00B844B8"/>
    <w:rsid w:val="00B84ED8"/>
    <w:rsid w:val="00B85259"/>
    <w:rsid w:val="00B85592"/>
    <w:rsid w:val="00B85827"/>
    <w:rsid w:val="00B85D2E"/>
    <w:rsid w:val="00B85E6B"/>
    <w:rsid w:val="00B8607C"/>
    <w:rsid w:val="00B86D18"/>
    <w:rsid w:val="00B87A71"/>
    <w:rsid w:val="00B9024A"/>
    <w:rsid w:val="00B9040D"/>
    <w:rsid w:val="00B90A56"/>
    <w:rsid w:val="00B917BB"/>
    <w:rsid w:val="00B922BC"/>
    <w:rsid w:val="00B9236E"/>
    <w:rsid w:val="00B9251A"/>
    <w:rsid w:val="00B92712"/>
    <w:rsid w:val="00B92BDD"/>
    <w:rsid w:val="00B92D9A"/>
    <w:rsid w:val="00B931B2"/>
    <w:rsid w:val="00B931F2"/>
    <w:rsid w:val="00B936B2"/>
    <w:rsid w:val="00B93BAE"/>
    <w:rsid w:val="00B93CEB"/>
    <w:rsid w:val="00B94144"/>
    <w:rsid w:val="00B9426B"/>
    <w:rsid w:val="00B94677"/>
    <w:rsid w:val="00B94944"/>
    <w:rsid w:val="00B94A11"/>
    <w:rsid w:val="00B950BD"/>
    <w:rsid w:val="00B95554"/>
    <w:rsid w:val="00B95A07"/>
    <w:rsid w:val="00B964BE"/>
    <w:rsid w:val="00B96841"/>
    <w:rsid w:val="00B96D2F"/>
    <w:rsid w:val="00B97465"/>
    <w:rsid w:val="00B9754B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1E67"/>
    <w:rsid w:val="00BA20EC"/>
    <w:rsid w:val="00BA273E"/>
    <w:rsid w:val="00BA2B34"/>
    <w:rsid w:val="00BA2B93"/>
    <w:rsid w:val="00BA30C2"/>
    <w:rsid w:val="00BA33D4"/>
    <w:rsid w:val="00BA40F3"/>
    <w:rsid w:val="00BA429B"/>
    <w:rsid w:val="00BA4A08"/>
    <w:rsid w:val="00BA61B4"/>
    <w:rsid w:val="00BA6374"/>
    <w:rsid w:val="00BA651F"/>
    <w:rsid w:val="00BA6850"/>
    <w:rsid w:val="00BA6990"/>
    <w:rsid w:val="00BA6E7E"/>
    <w:rsid w:val="00BA71D5"/>
    <w:rsid w:val="00BA7667"/>
    <w:rsid w:val="00BA7A07"/>
    <w:rsid w:val="00BA7F5E"/>
    <w:rsid w:val="00BB04C7"/>
    <w:rsid w:val="00BB0827"/>
    <w:rsid w:val="00BB0F2A"/>
    <w:rsid w:val="00BB174F"/>
    <w:rsid w:val="00BB1A96"/>
    <w:rsid w:val="00BB1D4B"/>
    <w:rsid w:val="00BB20C2"/>
    <w:rsid w:val="00BB21E7"/>
    <w:rsid w:val="00BB2429"/>
    <w:rsid w:val="00BB2B8B"/>
    <w:rsid w:val="00BB36DA"/>
    <w:rsid w:val="00BB39A6"/>
    <w:rsid w:val="00BB4028"/>
    <w:rsid w:val="00BB4B3B"/>
    <w:rsid w:val="00BB516C"/>
    <w:rsid w:val="00BB522A"/>
    <w:rsid w:val="00BB5BEC"/>
    <w:rsid w:val="00BB6720"/>
    <w:rsid w:val="00BB6830"/>
    <w:rsid w:val="00BB6844"/>
    <w:rsid w:val="00BB6A06"/>
    <w:rsid w:val="00BB6CE2"/>
    <w:rsid w:val="00BB7053"/>
    <w:rsid w:val="00BB7137"/>
    <w:rsid w:val="00BB725E"/>
    <w:rsid w:val="00BB7329"/>
    <w:rsid w:val="00BB74C7"/>
    <w:rsid w:val="00BB76D4"/>
    <w:rsid w:val="00BB77D1"/>
    <w:rsid w:val="00BB7908"/>
    <w:rsid w:val="00BB7B86"/>
    <w:rsid w:val="00BB7D14"/>
    <w:rsid w:val="00BB7DA9"/>
    <w:rsid w:val="00BB7ECE"/>
    <w:rsid w:val="00BC00C1"/>
    <w:rsid w:val="00BC0C34"/>
    <w:rsid w:val="00BC13B9"/>
    <w:rsid w:val="00BC18A7"/>
    <w:rsid w:val="00BC2383"/>
    <w:rsid w:val="00BC3C64"/>
    <w:rsid w:val="00BC4092"/>
    <w:rsid w:val="00BC4604"/>
    <w:rsid w:val="00BC47BC"/>
    <w:rsid w:val="00BC4BCC"/>
    <w:rsid w:val="00BC6074"/>
    <w:rsid w:val="00BC60EA"/>
    <w:rsid w:val="00BC6C74"/>
    <w:rsid w:val="00BC6C9B"/>
    <w:rsid w:val="00BC6D95"/>
    <w:rsid w:val="00BC7A40"/>
    <w:rsid w:val="00BD0976"/>
    <w:rsid w:val="00BD0A52"/>
    <w:rsid w:val="00BD0DA4"/>
    <w:rsid w:val="00BD1756"/>
    <w:rsid w:val="00BD17EB"/>
    <w:rsid w:val="00BD1851"/>
    <w:rsid w:val="00BD1935"/>
    <w:rsid w:val="00BD1950"/>
    <w:rsid w:val="00BD1BB5"/>
    <w:rsid w:val="00BD1DB5"/>
    <w:rsid w:val="00BD23A2"/>
    <w:rsid w:val="00BD34C8"/>
    <w:rsid w:val="00BD4356"/>
    <w:rsid w:val="00BD47DE"/>
    <w:rsid w:val="00BD4800"/>
    <w:rsid w:val="00BD4838"/>
    <w:rsid w:val="00BD4892"/>
    <w:rsid w:val="00BD489D"/>
    <w:rsid w:val="00BD490C"/>
    <w:rsid w:val="00BD4B1F"/>
    <w:rsid w:val="00BD4E31"/>
    <w:rsid w:val="00BD5488"/>
    <w:rsid w:val="00BD55A4"/>
    <w:rsid w:val="00BD5E93"/>
    <w:rsid w:val="00BD5EA3"/>
    <w:rsid w:val="00BD6244"/>
    <w:rsid w:val="00BD6285"/>
    <w:rsid w:val="00BD6A61"/>
    <w:rsid w:val="00BD6AA4"/>
    <w:rsid w:val="00BD6CCF"/>
    <w:rsid w:val="00BD7487"/>
    <w:rsid w:val="00BD74A0"/>
    <w:rsid w:val="00BE051E"/>
    <w:rsid w:val="00BE08D3"/>
    <w:rsid w:val="00BE0DA1"/>
    <w:rsid w:val="00BE0E9F"/>
    <w:rsid w:val="00BE1738"/>
    <w:rsid w:val="00BE17E5"/>
    <w:rsid w:val="00BE1F4E"/>
    <w:rsid w:val="00BE272F"/>
    <w:rsid w:val="00BE2766"/>
    <w:rsid w:val="00BE28C6"/>
    <w:rsid w:val="00BE2950"/>
    <w:rsid w:val="00BE2CC5"/>
    <w:rsid w:val="00BE4A12"/>
    <w:rsid w:val="00BE4CFF"/>
    <w:rsid w:val="00BE5004"/>
    <w:rsid w:val="00BE52B3"/>
    <w:rsid w:val="00BE5F9D"/>
    <w:rsid w:val="00BE6F64"/>
    <w:rsid w:val="00BE73C9"/>
    <w:rsid w:val="00BE7549"/>
    <w:rsid w:val="00BE7EA5"/>
    <w:rsid w:val="00BF035D"/>
    <w:rsid w:val="00BF0440"/>
    <w:rsid w:val="00BF07E8"/>
    <w:rsid w:val="00BF0C6B"/>
    <w:rsid w:val="00BF0C81"/>
    <w:rsid w:val="00BF0DAB"/>
    <w:rsid w:val="00BF0F90"/>
    <w:rsid w:val="00BF299D"/>
    <w:rsid w:val="00BF29E2"/>
    <w:rsid w:val="00BF2EC9"/>
    <w:rsid w:val="00BF36E0"/>
    <w:rsid w:val="00BF3B13"/>
    <w:rsid w:val="00BF4251"/>
    <w:rsid w:val="00BF433E"/>
    <w:rsid w:val="00BF4819"/>
    <w:rsid w:val="00BF51C0"/>
    <w:rsid w:val="00BF536A"/>
    <w:rsid w:val="00BF57AB"/>
    <w:rsid w:val="00BF588A"/>
    <w:rsid w:val="00BF59BC"/>
    <w:rsid w:val="00BF5BC2"/>
    <w:rsid w:val="00BF5C29"/>
    <w:rsid w:val="00BF5F53"/>
    <w:rsid w:val="00BF634C"/>
    <w:rsid w:val="00BF6772"/>
    <w:rsid w:val="00BF6997"/>
    <w:rsid w:val="00BF6DFD"/>
    <w:rsid w:val="00BF6E9E"/>
    <w:rsid w:val="00BF726F"/>
    <w:rsid w:val="00BF749F"/>
    <w:rsid w:val="00BF7606"/>
    <w:rsid w:val="00BF7B4C"/>
    <w:rsid w:val="00C0030F"/>
    <w:rsid w:val="00C004D6"/>
    <w:rsid w:val="00C0057C"/>
    <w:rsid w:val="00C006CE"/>
    <w:rsid w:val="00C00B71"/>
    <w:rsid w:val="00C01049"/>
    <w:rsid w:val="00C01175"/>
    <w:rsid w:val="00C014E4"/>
    <w:rsid w:val="00C01538"/>
    <w:rsid w:val="00C01B5D"/>
    <w:rsid w:val="00C01BE5"/>
    <w:rsid w:val="00C01F55"/>
    <w:rsid w:val="00C01FE3"/>
    <w:rsid w:val="00C02436"/>
    <w:rsid w:val="00C02608"/>
    <w:rsid w:val="00C02639"/>
    <w:rsid w:val="00C02855"/>
    <w:rsid w:val="00C03629"/>
    <w:rsid w:val="00C03A4A"/>
    <w:rsid w:val="00C03B01"/>
    <w:rsid w:val="00C04075"/>
    <w:rsid w:val="00C04489"/>
    <w:rsid w:val="00C04B9F"/>
    <w:rsid w:val="00C05510"/>
    <w:rsid w:val="00C05582"/>
    <w:rsid w:val="00C05A88"/>
    <w:rsid w:val="00C0657A"/>
    <w:rsid w:val="00C06665"/>
    <w:rsid w:val="00C0679B"/>
    <w:rsid w:val="00C074F1"/>
    <w:rsid w:val="00C07715"/>
    <w:rsid w:val="00C07986"/>
    <w:rsid w:val="00C104CC"/>
    <w:rsid w:val="00C107F1"/>
    <w:rsid w:val="00C11DE4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C86"/>
    <w:rsid w:val="00C16E3A"/>
    <w:rsid w:val="00C172CD"/>
    <w:rsid w:val="00C17855"/>
    <w:rsid w:val="00C1796B"/>
    <w:rsid w:val="00C17B88"/>
    <w:rsid w:val="00C2002F"/>
    <w:rsid w:val="00C2018D"/>
    <w:rsid w:val="00C20336"/>
    <w:rsid w:val="00C20965"/>
    <w:rsid w:val="00C210D1"/>
    <w:rsid w:val="00C212D0"/>
    <w:rsid w:val="00C21FB6"/>
    <w:rsid w:val="00C22291"/>
    <w:rsid w:val="00C2234F"/>
    <w:rsid w:val="00C22D02"/>
    <w:rsid w:val="00C22E30"/>
    <w:rsid w:val="00C22F6F"/>
    <w:rsid w:val="00C22F7B"/>
    <w:rsid w:val="00C2306A"/>
    <w:rsid w:val="00C23184"/>
    <w:rsid w:val="00C231DE"/>
    <w:rsid w:val="00C231F2"/>
    <w:rsid w:val="00C234CE"/>
    <w:rsid w:val="00C23A97"/>
    <w:rsid w:val="00C245BF"/>
    <w:rsid w:val="00C24CD6"/>
    <w:rsid w:val="00C25BED"/>
    <w:rsid w:val="00C26892"/>
    <w:rsid w:val="00C26BDA"/>
    <w:rsid w:val="00C26CB1"/>
    <w:rsid w:val="00C271FD"/>
    <w:rsid w:val="00C2751F"/>
    <w:rsid w:val="00C2778F"/>
    <w:rsid w:val="00C277E2"/>
    <w:rsid w:val="00C27D5B"/>
    <w:rsid w:val="00C302DE"/>
    <w:rsid w:val="00C30899"/>
    <w:rsid w:val="00C310A7"/>
    <w:rsid w:val="00C312B9"/>
    <w:rsid w:val="00C317B0"/>
    <w:rsid w:val="00C31821"/>
    <w:rsid w:val="00C31BF9"/>
    <w:rsid w:val="00C32364"/>
    <w:rsid w:val="00C32936"/>
    <w:rsid w:val="00C32A01"/>
    <w:rsid w:val="00C32C07"/>
    <w:rsid w:val="00C33132"/>
    <w:rsid w:val="00C331DA"/>
    <w:rsid w:val="00C3322A"/>
    <w:rsid w:val="00C33362"/>
    <w:rsid w:val="00C3356D"/>
    <w:rsid w:val="00C33752"/>
    <w:rsid w:val="00C341C2"/>
    <w:rsid w:val="00C34688"/>
    <w:rsid w:val="00C34CC0"/>
    <w:rsid w:val="00C35359"/>
    <w:rsid w:val="00C35810"/>
    <w:rsid w:val="00C3595F"/>
    <w:rsid w:val="00C35ADB"/>
    <w:rsid w:val="00C35D38"/>
    <w:rsid w:val="00C35E3B"/>
    <w:rsid w:val="00C366FC"/>
    <w:rsid w:val="00C36755"/>
    <w:rsid w:val="00C36889"/>
    <w:rsid w:val="00C36D3F"/>
    <w:rsid w:val="00C404F6"/>
    <w:rsid w:val="00C40653"/>
    <w:rsid w:val="00C40742"/>
    <w:rsid w:val="00C40841"/>
    <w:rsid w:val="00C40956"/>
    <w:rsid w:val="00C409E7"/>
    <w:rsid w:val="00C40BF7"/>
    <w:rsid w:val="00C40C80"/>
    <w:rsid w:val="00C40DD4"/>
    <w:rsid w:val="00C417B7"/>
    <w:rsid w:val="00C4180E"/>
    <w:rsid w:val="00C424ED"/>
    <w:rsid w:val="00C42BA3"/>
    <w:rsid w:val="00C42DC4"/>
    <w:rsid w:val="00C42E11"/>
    <w:rsid w:val="00C436C0"/>
    <w:rsid w:val="00C439E8"/>
    <w:rsid w:val="00C43B6A"/>
    <w:rsid w:val="00C43C6E"/>
    <w:rsid w:val="00C43F52"/>
    <w:rsid w:val="00C4402B"/>
    <w:rsid w:val="00C4486B"/>
    <w:rsid w:val="00C44ADE"/>
    <w:rsid w:val="00C44AE0"/>
    <w:rsid w:val="00C451F0"/>
    <w:rsid w:val="00C452A0"/>
    <w:rsid w:val="00C457E2"/>
    <w:rsid w:val="00C45B56"/>
    <w:rsid w:val="00C45F95"/>
    <w:rsid w:val="00C46423"/>
    <w:rsid w:val="00C46F6A"/>
    <w:rsid w:val="00C47251"/>
    <w:rsid w:val="00C47AB0"/>
    <w:rsid w:val="00C47BC0"/>
    <w:rsid w:val="00C50590"/>
    <w:rsid w:val="00C5131D"/>
    <w:rsid w:val="00C51914"/>
    <w:rsid w:val="00C51F0F"/>
    <w:rsid w:val="00C51F38"/>
    <w:rsid w:val="00C520E8"/>
    <w:rsid w:val="00C522D6"/>
    <w:rsid w:val="00C52804"/>
    <w:rsid w:val="00C52983"/>
    <w:rsid w:val="00C52A59"/>
    <w:rsid w:val="00C52E1A"/>
    <w:rsid w:val="00C52EC1"/>
    <w:rsid w:val="00C538CA"/>
    <w:rsid w:val="00C53B82"/>
    <w:rsid w:val="00C546B6"/>
    <w:rsid w:val="00C54732"/>
    <w:rsid w:val="00C55985"/>
    <w:rsid w:val="00C56885"/>
    <w:rsid w:val="00C56B0C"/>
    <w:rsid w:val="00C56DED"/>
    <w:rsid w:val="00C56EF6"/>
    <w:rsid w:val="00C577BF"/>
    <w:rsid w:val="00C577C7"/>
    <w:rsid w:val="00C57B17"/>
    <w:rsid w:val="00C6048C"/>
    <w:rsid w:val="00C60D60"/>
    <w:rsid w:val="00C60EDD"/>
    <w:rsid w:val="00C610CC"/>
    <w:rsid w:val="00C6174B"/>
    <w:rsid w:val="00C617AE"/>
    <w:rsid w:val="00C61E7D"/>
    <w:rsid w:val="00C62B22"/>
    <w:rsid w:val="00C633EB"/>
    <w:rsid w:val="00C63D11"/>
    <w:rsid w:val="00C63E6A"/>
    <w:rsid w:val="00C63FBD"/>
    <w:rsid w:val="00C64E66"/>
    <w:rsid w:val="00C656D0"/>
    <w:rsid w:val="00C65D93"/>
    <w:rsid w:val="00C6684D"/>
    <w:rsid w:val="00C66B9F"/>
    <w:rsid w:val="00C66C5F"/>
    <w:rsid w:val="00C673C2"/>
    <w:rsid w:val="00C67835"/>
    <w:rsid w:val="00C679E0"/>
    <w:rsid w:val="00C67C92"/>
    <w:rsid w:val="00C67FB7"/>
    <w:rsid w:val="00C70C06"/>
    <w:rsid w:val="00C7194B"/>
    <w:rsid w:val="00C71B0C"/>
    <w:rsid w:val="00C71B56"/>
    <w:rsid w:val="00C71BA3"/>
    <w:rsid w:val="00C71C41"/>
    <w:rsid w:val="00C721BF"/>
    <w:rsid w:val="00C727F6"/>
    <w:rsid w:val="00C72EA3"/>
    <w:rsid w:val="00C72FD7"/>
    <w:rsid w:val="00C7349C"/>
    <w:rsid w:val="00C73645"/>
    <w:rsid w:val="00C73754"/>
    <w:rsid w:val="00C73D75"/>
    <w:rsid w:val="00C74252"/>
    <w:rsid w:val="00C74485"/>
    <w:rsid w:val="00C746E4"/>
    <w:rsid w:val="00C74B55"/>
    <w:rsid w:val="00C75699"/>
    <w:rsid w:val="00C762B2"/>
    <w:rsid w:val="00C7651B"/>
    <w:rsid w:val="00C76B39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AD9"/>
    <w:rsid w:val="00C81DB5"/>
    <w:rsid w:val="00C82056"/>
    <w:rsid w:val="00C824F8"/>
    <w:rsid w:val="00C82699"/>
    <w:rsid w:val="00C83265"/>
    <w:rsid w:val="00C83821"/>
    <w:rsid w:val="00C8396D"/>
    <w:rsid w:val="00C83CD0"/>
    <w:rsid w:val="00C83FD1"/>
    <w:rsid w:val="00C84584"/>
    <w:rsid w:val="00C8482D"/>
    <w:rsid w:val="00C84949"/>
    <w:rsid w:val="00C84A5E"/>
    <w:rsid w:val="00C850C6"/>
    <w:rsid w:val="00C853A1"/>
    <w:rsid w:val="00C853FE"/>
    <w:rsid w:val="00C854EE"/>
    <w:rsid w:val="00C855A0"/>
    <w:rsid w:val="00C855BA"/>
    <w:rsid w:val="00C857DF"/>
    <w:rsid w:val="00C85F67"/>
    <w:rsid w:val="00C863D5"/>
    <w:rsid w:val="00C8645C"/>
    <w:rsid w:val="00C86DF1"/>
    <w:rsid w:val="00C86E71"/>
    <w:rsid w:val="00C87071"/>
    <w:rsid w:val="00C8761C"/>
    <w:rsid w:val="00C87A04"/>
    <w:rsid w:val="00C87CA3"/>
    <w:rsid w:val="00C87D77"/>
    <w:rsid w:val="00C90644"/>
    <w:rsid w:val="00C907BA"/>
    <w:rsid w:val="00C90E95"/>
    <w:rsid w:val="00C91083"/>
    <w:rsid w:val="00C910FE"/>
    <w:rsid w:val="00C91418"/>
    <w:rsid w:val="00C91659"/>
    <w:rsid w:val="00C919FB"/>
    <w:rsid w:val="00C936AD"/>
    <w:rsid w:val="00C937C0"/>
    <w:rsid w:val="00C93B3E"/>
    <w:rsid w:val="00C94485"/>
    <w:rsid w:val="00C94C32"/>
    <w:rsid w:val="00C94EEE"/>
    <w:rsid w:val="00C95080"/>
    <w:rsid w:val="00C9525D"/>
    <w:rsid w:val="00C952E0"/>
    <w:rsid w:val="00C95394"/>
    <w:rsid w:val="00C95F58"/>
    <w:rsid w:val="00C96B06"/>
    <w:rsid w:val="00C97085"/>
    <w:rsid w:val="00C97371"/>
    <w:rsid w:val="00C975CE"/>
    <w:rsid w:val="00C976A0"/>
    <w:rsid w:val="00C97B17"/>
    <w:rsid w:val="00C97ED8"/>
    <w:rsid w:val="00CA063F"/>
    <w:rsid w:val="00CA0747"/>
    <w:rsid w:val="00CA113C"/>
    <w:rsid w:val="00CA1396"/>
    <w:rsid w:val="00CA1A26"/>
    <w:rsid w:val="00CA1E22"/>
    <w:rsid w:val="00CA1E8D"/>
    <w:rsid w:val="00CA221F"/>
    <w:rsid w:val="00CA2D2A"/>
    <w:rsid w:val="00CA30C9"/>
    <w:rsid w:val="00CA3561"/>
    <w:rsid w:val="00CA4533"/>
    <w:rsid w:val="00CA4F9F"/>
    <w:rsid w:val="00CA50F5"/>
    <w:rsid w:val="00CA519E"/>
    <w:rsid w:val="00CA587F"/>
    <w:rsid w:val="00CA5B95"/>
    <w:rsid w:val="00CA5C04"/>
    <w:rsid w:val="00CA67E0"/>
    <w:rsid w:val="00CA6819"/>
    <w:rsid w:val="00CA69AB"/>
    <w:rsid w:val="00CA72AE"/>
    <w:rsid w:val="00CA744D"/>
    <w:rsid w:val="00CA7B4E"/>
    <w:rsid w:val="00CA7D90"/>
    <w:rsid w:val="00CB00F7"/>
    <w:rsid w:val="00CB0944"/>
    <w:rsid w:val="00CB0B53"/>
    <w:rsid w:val="00CB100C"/>
    <w:rsid w:val="00CB1690"/>
    <w:rsid w:val="00CB2851"/>
    <w:rsid w:val="00CB2BAC"/>
    <w:rsid w:val="00CB304D"/>
    <w:rsid w:val="00CB39F5"/>
    <w:rsid w:val="00CB3E98"/>
    <w:rsid w:val="00CB3EC2"/>
    <w:rsid w:val="00CB4645"/>
    <w:rsid w:val="00CB4ED4"/>
    <w:rsid w:val="00CB4EE1"/>
    <w:rsid w:val="00CB4F3F"/>
    <w:rsid w:val="00CB51BB"/>
    <w:rsid w:val="00CB530B"/>
    <w:rsid w:val="00CB541E"/>
    <w:rsid w:val="00CB57E6"/>
    <w:rsid w:val="00CB5A34"/>
    <w:rsid w:val="00CB5F84"/>
    <w:rsid w:val="00CB63D4"/>
    <w:rsid w:val="00CB6633"/>
    <w:rsid w:val="00CB6BA8"/>
    <w:rsid w:val="00CB6E32"/>
    <w:rsid w:val="00CB7A50"/>
    <w:rsid w:val="00CB7B14"/>
    <w:rsid w:val="00CC0706"/>
    <w:rsid w:val="00CC07F8"/>
    <w:rsid w:val="00CC09DC"/>
    <w:rsid w:val="00CC0B2A"/>
    <w:rsid w:val="00CC0E75"/>
    <w:rsid w:val="00CC173D"/>
    <w:rsid w:val="00CC186D"/>
    <w:rsid w:val="00CC1AFE"/>
    <w:rsid w:val="00CC2033"/>
    <w:rsid w:val="00CC207A"/>
    <w:rsid w:val="00CC21FD"/>
    <w:rsid w:val="00CC2710"/>
    <w:rsid w:val="00CC272D"/>
    <w:rsid w:val="00CC2ADF"/>
    <w:rsid w:val="00CC3031"/>
    <w:rsid w:val="00CC4E20"/>
    <w:rsid w:val="00CC566D"/>
    <w:rsid w:val="00CC583A"/>
    <w:rsid w:val="00CC594A"/>
    <w:rsid w:val="00CC62DF"/>
    <w:rsid w:val="00CC65C0"/>
    <w:rsid w:val="00CC68CE"/>
    <w:rsid w:val="00CC6A7C"/>
    <w:rsid w:val="00CC75E7"/>
    <w:rsid w:val="00CD03AB"/>
    <w:rsid w:val="00CD0A37"/>
    <w:rsid w:val="00CD1CB9"/>
    <w:rsid w:val="00CD2009"/>
    <w:rsid w:val="00CD2142"/>
    <w:rsid w:val="00CD26E7"/>
    <w:rsid w:val="00CD2841"/>
    <w:rsid w:val="00CD2FE1"/>
    <w:rsid w:val="00CD39BC"/>
    <w:rsid w:val="00CD41AB"/>
    <w:rsid w:val="00CD492A"/>
    <w:rsid w:val="00CD4AE2"/>
    <w:rsid w:val="00CD4D06"/>
    <w:rsid w:val="00CD5914"/>
    <w:rsid w:val="00CD5C63"/>
    <w:rsid w:val="00CD5CFD"/>
    <w:rsid w:val="00CD6003"/>
    <w:rsid w:val="00CD6042"/>
    <w:rsid w:val="00CD609F"/>
    <w:rsid w:val="00CD6248"/>
    <w:rsid w:val="00CD6334"/>
    <w:rsid w:val="00CD6F48"/>
    <w:rsid w:val="00CD739C"/>
    <w:rsid w:val="00CD75D0"/>
    <w:rsid w:val="00CD7785"/>
    <w:rsid w:val="00CD7D60"/>
    <w:rsid w:val="00CE0036"/>
    <w:rsid w:val="00CE0195"/>
    <w:rsid w:val="00CE04C1"/>
    <w:rsid w:val="00CE0DC1"/>
    <w:rsid w:val="00CE1601"/>
    <w:rsid w:val="00CE1D2B"/>
    <w:rsid w:val="00CE2317"/>
    <w:rsid w:val="00CE25BF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746"/>
    <w:rsid w:val="00CE5E3A"/>
    <w:rsid w:val="00CE5E4F"/>
    <w:rsid w:val="00CE649D"/>
    <w:rsid w:val="00CE668D"/>
    <w:rsid w:val="00CE748B"/>
    <w:rsid w:val="00CE74CE"/>
    <w:rsid w:val="00CE7A77"/>
    <w:rsid w:val="00CF03BF"/>
    <w:rsid w:val="00CF0464"/>
    <w:rsid w:val="00CF05CF"/>
    <w:rsid w:val="00CF14A6"/>
    <w:rsid w:val="00CF1835"/>
    <w:rsid w:val="00CF18F9"/>
    <w:rsid w:val="00CF2F57"/>
    <w:rsid w:val="00CF31E5"/>
    <w:rsid w:val="00CF32E5"/>
    <w:rsid w:val="00CF35ED"/>
    <w:rsid w:val="00CF3DC3"/>
    <w:rsid w:val="00CF3DC6"/>
    <w:rsid w:val="00CF3F86"/>
    <w:rsid w:val="00CF4288"/>
    <w:rsid w:val="00CF43D5"/>
    <w:rsid w:val="00CF46DA"/>
    <w:rsid w:val="00CF48DC"/>
    <w:rsid w:val="00CF5141"/>
    <w:rsid w:val="00CF5191"/>
    <w:rsid w:val="00CF5EA7"/>
    <w:rsid w:val="00CF6602"/>
    <w:rsid w:val="00CF68DC"/>
    <w:rsid w:val="00CF6C7E"/>
    <w:rsid w:val="00CF6E17"/>
    <w:rsid w:val="00CF6F2F"/>
    <w:rsid w:val="00CF7111"/>
    <w:rsid w:val="00CF72B0"/>
    <w:rsid w:val="00CF7492"/>
    <w:rsid w:val="00D000E9"/>
    <w:rsid w:val="00D00521"/>
    <w:rsid w:val="00D010F5"/>
    <w:rsid w:val="00D0179F"/>
    <w:rsid w:val="00D01870"/>
    <w:rsid w:val="00D01DFA"/>
    <w:rsid w:val="00D01E14"/>
    <w:rsid w:val="00D02265"/>
    <w:rsid w:val="00D029FF"/>
    <w:rsid w:val="00D02A9D"/>
    <w:rsid w:val="00D02C5A"/>
    <w:rsid w:val="00D03225"/>
    <w:rsid w:val="00D0329E"/>
    <w:rsid w:val="00D0424A"/>
    <w:rsid w:val="00D04463"/>
    <w:rsid w:val="00D04689"/>
    <w:rsid w:val="00D04F88"/>
    <w:rsid w:val="00D0512F"/>
    <w:rsid w:val="00D05209"/>
    <w:rsid w:val="00D05A27"/>
    <w:rsid w:val="00D05CF9"/>
    <w:rsid w:val="00D05DC3"/>
    <w:rsid w:val="00D05E4C"/>
    <w:rsid w:val="00D06D43"/>
    <w:rsid w:val="00D07D42"/>
    <w:rsid w:val="00D100CD"/>
    <w:rsid w:val="00D10294"/>
    <w:rsid w:val="00D10374"/>
    <w:rsid w:val="00D104F0"/>
    <w:rsid w:val="00D10667"/>
    <w:rsid w:val="00D10727"/>
    <w:rsid w:val="00D10C0B"/>
    <w:rsid w:val="00D113F2"/>
    <w:rsid w:val="00D1177A"/>
    <w:rsid w:val="00D118FD"/>
    <w:rsid w:val="00D119BC"/>
    <w:rsid w:val="00D123A9"/>
    <w:rsid w:val="00D129A7"/>
    <w:rsid w:val="00D12A57"/>
    <w:rsid w:val="00D12E29"/>
    <w:rsid w:val="00D148CE"/>
    <w:rsid w:val="00D14FC9"/>
    <w:rsid w:val="00D1552C"/>
    <w:rsid w:val="00D156DD"/>
    <w:rsid w:val="00D15B10"/>
    <w:rsid w:val="00D16053"/>
    <w:rsid w:val="00D1607C"/>
    <w:rsid w:val="00D16408"/>
    <w:rsid w:val="00D16A1D"/>
    <w:rsid w:val="00D16D62"/>
    <w:rsid w:val="00D16EAD"/>
    <w:rsid w:val="00D17E40"/>
    <w:rsid w:val="00D201FC"/>
    <w:rsid w:val="00D20529"/>
    <w:rsid w:val="00D2056F"/>
    <w:rsid w:val="00D207EA"/>
    <w:rsid w:val="00D20850"/>
    <w:rsid w:val="00D20A79"/>
    <w:rsid w:val="00D20A84"/>
    <w:rsid w:val="00D20ADB"/>
    <w:rsid w:val="00D20DF0"/>
    <w:rsid w:val="00D20E16"/>
    <w:rsid w:val="00D2118A"/>
    <w:rsid w:val="00D211D5"/>
    <w:rsid w:val="00D213E8"/>
    <w:rsid w:val="00D21E42"/>
    <w:rsid w:val="00D22252"/>
    <w:rsid w:val="00D223F2"/>
    <w:rsid w:val="00D224D8"/>
    <w:rsid w:val="00D226BB"/>
    <w:rsid w:val="00D22BDC"/>
    <w:rsid w:val="00D24148"/>
    <w:rsid w:val="00D2486F"/>
    <w:rsid w:val="00D24AF4"/>
    <w:rsid w:val="00D25171"/>
    <w:rsid w:val="00D258F4"/>
    <w:rsid w:val="00D25BD9"/>
    <w:rsid w:val="00D2616D"/>
    <w:rsid w:val="00D263E6"/>
    <w:rsid w:val="00D26592"/>
    <w:rsid w:val="00D2666B"/>
    <w:rsid w:val="00D2679A"/>
    <w:rsid w:val="00D26B45"/>
    <w:rsid w:val="00D26BAC"/>
    <w:rsid w:val="00D275F9"/>
    <w:rsid w:val="00D27704"/>
    <w:rsid w:val="00D27F7E"/>
    <w:rsid w:val="00D30147"/>
    <w:rsid w:val="00D30AE6"/>
    <w:rsid w:val="00D30EF2"/>
    <w:rsid w:val="00D31D2D"/>
    <w:rsid w:val="00D31E6E"/>
    <w:rsid w:val="00D32BC9"/>
    <w:rsid w:val="00D32D62"/>
    <w:rsid w:val="00D32E37"/>
    <w:rsid w:val="00D32FF5"/>
    <w:rsid w:val="00D3345F"/>
    <w:rsid w:val="00D3347A"/>
    <w:rsid w:val="00D335A0"/>
    <w:rsid w:val="00D33605"/>
    <w:rsid w:val="00D33C70"/>
    <w:rsid w:val="00D34071"/>
    <w:rsid w:val="00D34E69"/>
    <w:rsid w:val="00D3510A"/>
    <w:rsid w:val="00D3522D"/>
    <w:rsid w:val="00D354C2"/>
    <w:rsid w:val="00D35A8B"/>
    <w:rsid w:val="00D35EB6"/>
    <w:rsid w:val="00D35F62"/>
    <w:rsid w:val="00D3600C"/>
    <w:rsid w:val="00D365B8"/>
    <w:rsid w:val="00D365C0"/>
    <w:rsid w:val="00D365F9"/>
    <w:rsid w:val="00D366A4"/>
    <w:rsid w:val="00D367E6"/>
    <w:rsid w:val="00D370D4"/>
    <w:rsid w:val="00D37A9B"/>
    <w:rsid w:val="00D37E4D"/>
    <w:rsid w:val="00D40705"/>
    <w:rsid w:val="00D4126E"/>
    <w:rsid w:val="00D4136B"/>
    <w:rsid w:val="00D416E6"/>
    <w:rsid w:val="00D417E3"/>
    <w:rsid w:val="00D417FB"/>
    <w:rsid w:val="00D42FC4"/>
    <w:rsid w:val="00D43444"/>
    <w:rsid w:val="00D43A95"/>
    <w:rsid w:val="00D43CEF"/>
    <w:rsid w:val="00D44055"/>
    <w:rsid w:val="00D4412C"/>
    <w:rsid w:val="00D44352"/>
    <w:rsid w:val="00D44814"/>
    <w:rsid w:val="00D4489F"/>
    <w:rsid w:val="00D44F9E"/>
    <w:rsid w:val="00D44FC2"/>
    <w:rsid w:val="00D46A04"/>
    <w:rsid w:val="00D46B4C"/>
    <w:rsid w:val="00D4751B"/>
    <w:rsid w:val="00D47929"/>
    <w:rsid w:val="00D47ACB"/>
    <w:rsid w:val="00D47F83"/>
    <w:rsid w:val="00D50375"/>
    <w:rsid w:val="00D50417"/>
    <w:rsid w:val="00D510FC"/>
    <w:rsid w:val="00D51143"/>
    <w:rsid w:val="00D515FB"/>
    <w:rsid w:val="00D51A1F"/>
    <w:rsid w:val="00D51EC5"/>
    <w:rsid w:val="00D52A12"/>
    <w:rsid w:val="00D53232"/>
    <w:rsid w:val="00D537F9"/>
    <w:rsid w:val="00D53856"/>
    <w:rsid w:val="00D5389A"/>
    <w:rsid w:val="00D53A6E"/>
    <w:rsid w:val="00D542D3"/>
    <w:rsid w:val="00D54758"/>
    <w:rsid w:val="00D54DAC"/>
    <w:rsid w:val="00D5581E"/>
    <w:rsid w:val="00D559EC"/>
    <w:rsid w:val="00D55B2D"/>
    <w:rsid w:val="00D55D69"/>
    <w:rsid w:val="00D56081"/>
    <w:rsid w:val="00D5627E"/>
    <w:rsid w:val="00D5772A"/>
    <w:rsid w:val="00D57B0C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605"/>
    <w:rsid w:val="00D61A7A"/>
    <w:rsid w:val="00D61A7F"/>
    <w:rsid w:val="00D61EA5"/>
    <w:rsid w:val="00D624A5"/>
    <w:rsid w:val="00D6286B"/>
    <w:rsid w:val="00D628A3"/>
    <w:rsid w:val="00D62D53"/>
    <w:rsid w:val="00D62F68"/>
    <w:rsid w:val="00D6379A"/>
    <w:rsid w:val="00D63CBD"/>
    <w:rsid w:val="00D63F70"/>
    <w:rsid w:val="00D6436C"/>
    <w:rsid w:val="00D64495"/>
    <w:rsid w:val="00D65274"/>
    <w:rsid w:val="00D6552A"/>
    <w:rsid w:val="00D6629E"/>
    <w:rsid w:val="00D6680B"/>
    <w:rsid w:val="00D66ADA"/>
    <w:rsid w:val="00D66B50"/>
    <w:rsid w:val="00D675C5"/>
    <w:rsid w:val="00D67738"/>
    <w:rsid w:val="00D67801"/>
    <w:rsid w:val="00D67970"/>
    <w:rsid w:val="00D67E9C"/>
    <w:rsid w:val="00D700AC"/>
    <w:rsid w:val="00D71193"/>
    <w:rsid w:val="00D71194"/>
    <w:rsid w:val="00D71D60"/>
    <w:rsid w:val="00D72107"/>
    <w:rsid w:val="00D72428"/>
    <w:rsid w:val="00D72CB4"/>
    <w:rsid w:val="00D73036"/>
    <w:rsid w:val="00D7331F"/>
    <w:rsid w:val="00D73A36"/>
    <w:rsid w:val="00D74128"/>
    <w:rsid w:val="00D74282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80263"/>
    <w:rsid w:val="00D816F4"/>
    <w:rsid w:val="00D81912"/>
    <w:rsid w:val="00D81C80"/>
    <w:rsid w:val="00D8238F"/>
    <w:rsid w:val="00D825D6"/>
    <w:rsid w:val="00D84252"/>
    <w:rsid w:val="00D84751"/>
    <w:rsid w:val="00D84EC5"/>
    <w:rsid w:val="00D850DC"/>
    <w:rsid w:val="00D8512C"/>
    <w:rsid w:val="00D851ED"/>
    <w:rsid w:val="00D85452"/>
    <w:rsid w:val="00D854D1"/>
    <w:rsid w:val="00D85514"/>
    <w:rsid w:val="00D85998"/>
    <w:rsid w:val="00D85B4B"/>
    <w:rsid w:val="00D85D8F"/>
    <w:rsid w:val="00D863FE"/>
    <w:rsid w:val="00D8683C"/>
    <w:rsid w:val="00D869E3"/>
    <w:rsid w:val="00D86A30"/>
    <w:rsid w:val="00D86DBD"/>
    <w:rsid w:val="00D86E4A"/>
    <w:rsid w:val="00D879BB"/>
    <w:rsid w:val="00D9059D"/>
    <w:rsid w:val="00D90A66"/>
    <w:rsid w:val="00D90B09"/>
    <w:rsid w:val="00D91BAF"/>
    <w:rsid w:val="00D92085"/>
    <w:rsid w:val="00D9217D"/>
    <w:rsid w:val="00D9218A"/>
    <w:rsid w:val="00D9229A"/>
    <w:rsid w:val="00D924B4"/>
    <w:rsid w:val="00D9255C"/>
    <w:rsid w:val="00D92EA4"/>
    <w:rsid w:val="00D9354C"/>
    <w:rsid w:val="00D93EB5"/>
    <w:rsid w:val="00D93FE4"/>
    <w:rsid w:val="00D941DE"/>
    <w:rsid w:val="00D9452A"/>
    <w:rsid w:val="00D95C64"/>
    <w:rsid w:val="00D95F53"/>
    <w:rsid w:val="00D960EB"/>
    <w:rsid w:val="00D96176"/>
    <w:rsid w:val="00D96206"/>
    <w:rsid w:val="00D966F6"/>
    <w:rsid w:val="00D96722"/>
    <w:rsid w:val="00D9681D"/>
    <w:rsid w:val="00D96F12"/>
    <w:rsid w:val="00D97069"/>
    <w:rsid w:val="00D979EE"/>
    <w:rsid w:val="00D97E65"/>
    <w:rsid w:val="00DA031C"/>
    <w:rsid w:val="00DA040F"/>
    <w:rsid w:val="00DA0869"/>
    <w:rsid w:val="00DA13E2"/>
    <w:rsid w:val="00DA1772"/>
    <w:rsid w:val="00DA1BE7"/>
    <w:rsid w:val="00DA1D73"/>
    <w:rsid w:val="00DA24ED"/>
    <w:rsid w:val="00DA26B6"/>
    <w:rsid w:val="00DA26D8"/>
    <w:rsid w:val="00DA2E28"/>
    <w:rsid w:val="00DA3169"/>
    <w:rsid w:val="00DA3605"/>
    <w:rsid w:val="00DA38B0"/>
    <w:rsid w:val="00DA41D9"/>
    <w:rsid w:val="00DA56BB"/>
    <w:rsid w:val="00DA5B07"/>
    <w:rsid w:val="00DA5F54"/>
    <w:rsid w:val="00DA609B"/>
    <w:rsid w:val="00DA6583"/>
    <w:rsid w:val="00DA6A88"/>
    <w:rsid w:val="00DA6F6B"/>
    <w:rsid w:val="00DA7442"/>
    <w:rsid w:val="00DA7647"/>
    <w:rsid w:val="00DA77D7"/>
    <w:rsid w:val="00DA77E6"/>
    <w:rsid w:val="00DB01B1"/>
    <w:rsid w:val="00DB0290"/>
    <w:rsid w:val="00DB04AD"/>
    <w:rsid w:val="00DB2AC1"/>
    <w:rsid w:val="00DB31F1"/>
    <w:rsid w:val="00DB3899"/>
    <w:rsid w:val="00DB408A"/>
    <w:rsid w:val="00DB40CF"/>
    <w:rsid w:val="00DB44A2"/>
    <w:rsid w:val="00DB44C5"/>
    <w:rsid w:val="00DB49B4"/>
    <w:rsid w:val="00DB506C"/>
    <w:rsid w:val="00DB5321"/>
    <w:rsid w:val="00DB5A84"/>
    <w:rsid w:val="00DB5DAA"/>
    <w:rsid w:val="00DB5E19"/>
    <w:rsid w:val="00DB5EA6"/>
    <w:rsid w:val="00DB63C9"/>
    <w:rsid w:val="00DB6B6B"/>
    <w:rsid w:val="00DB6C92"/>
    <w:rsid w:val="00DB6CF2"/>
    <w:rsid w:val="00DB783D"/>
    <w:rsid w:val="00DC0696"/>
    <w:rsid w:val="00DC06D0"/>
    <w:rsid w:val="00DC0A33"/>
    <w:rsid w:val="00DC0B9C"/>
    <w:rsid w:val="00DC0F11"/>
    <w:rsid w:val="00DC1380"/>
    <w:rsid w:val="00DC1D48"/>
    <w:rsid w:val="00DC1F27"/>
    <w:rsid w:val="00DC2378"/>
    <w:rsid w:val="00DC2519"/>
    <w:rsid w:val="00DC35A3"/>
    <w:rsid w:val="00DC3639"/>
    <w:rsid w:val="00DC4129"/>
    <w:rsid w:val="00DC4A58"/>
    <w:rsid w:val="00DC6268"/>
    <w:rsid w:val="00DC663F"/>
    <w:rsid w:val="00DC68F7"/>
    <w:rsid w:val="00DC6D7B"/>
    <w:rsid w:val="00DC7496"/>
    <w:rsid w:val="00DC7A44"/>
    <w:rsid w:val="00DC7DB6"/>
    <w:rsid w:val="00DD1CEF"/>
    <w:rsid w:val="00DD1E81"/>
    <w:rsid w:val="00DD25B5"/>
    <w:rsid w:val="00DD2EDD"/>
    <w:rsid w:val="00DD2FF3"/>
    <w:rsid w:val="00DD3125"/>
    <w:rsid w:val="00DD321E"/>
    <w:rsid w:val="00DD3464"/>
    <w:rsid w:val="00DD3903"/>
    <w:rsid w:val="00DD3FBB"/>
    <w:rsid w:val="00DD516E"/>
    <w:rsid w:val="00DD517A"/>
    <w:rsid w:val="00DD56F0"/>
    <w:rsid w:val="00DD59C7"/>
    <w:rsid w:val="00DD5AEB"/>
    <w:rsid w:val="00DD5C1A"/>
    <w:rsid w:val="00DD5F2D"/>
    <w:rsid w:val="00DD6085"/>
    <w:rsid w:val="00DD6B68"/>
    <w:rsid w:val="00DD6C78"/>
    <w:rsid w:val="00DD72E9"/>
    <w:rsid w:val="00DD7863"/>
    <w:rsid w:val="00DD7970"/>
    <w:rsid w:val="00DD7E9F"/>
    <w:rsid w:val="00DE0188"/>
    <w:rsid w:val="00DE03E4"/>
    <w:rsid w:val="00DE06F3"/>
    <w:rsid w:val="00DE06FE"/>
    <w:rsid w:val="00DE11C2"/>
    <w:rsid w:val="00DE13D3"/>
    <w:rsid w:val="00DE17F7"/>
    <w:rsid w:val="00DE23D3"/>
    <w:rsid w:val="00DE25AC"/>
    <w:rsid w:val="00DE25C1"/>
    <w:rsid w:val="00DE2737"/>
    <w:rsid w:val="00DE3790"/>
    <w:rsid w:val="00DE3CF0"/>
    <w:rsid w:val="00DE3F53"/>
    <w:rsid w:val="00DE410E"/>
    <w:rsid w:val="00DE42E3"/>
    <w:rsid w:val="00DE4D51"/>
    <w:rsid w:val="00DE51EE"/>
    <w:rsid w:val="00DE6005"/>
    <w:rsid w:val="00DE6218"/>
    <w:rsid w:val="00DE6626"/>
    <w:rsid w:val="00DE7025"/>
    <w:rsid w:val="00DE78CB"/>
    <w:rsid w:val="00DE7AAD"/>
    <w:rsid w:val="00DE7BC3"/>
    <w:rsid w:val="00DF1568"/>
    <w:rsid w:val="00DF19B1"/>
    <w:rsid w:val="00DF1B14"/>
    <w:rsid w:val="00DF1C73"/>
    <w:rsid w:val="00DF2873"/>
    <w:rsid w:val="00DF28B3"/>
    <w:rsid w:val="00DF373B"/>
    <w:rsid w:val="00DF37D3"/>
    <w:rsid w:val="00DF4257"/>
    <w:rsid w:val="00DF4D59"/>
    <w:rsid w:val="00DF573B"/>
    <w:rsid w:val="00DF5EC8"/>
    <w:rsid w:val="00DF6276"/>
    <w:rsid w:val="00DF63F9"/>
    <w:rsid w:val="00DF676F"/>
    <w:rsid w:val="00DF6819"/>
    <w:rsid w:val="00DF6987"/>
    <w:rsid w:val="00DF6AD0"/>
    <w:rsid w:val="00E002C5"/>
    <w:rsid w:val="00E00B66"/>
    <w:rsid w:val="00E00E2E"/>
    <w:rsid w:val="00E00F70"/>
    <w:rsid w:val="00E0117C"/>
    <w:rsid w:val="00E01478"/>
    <w:rsid w:val="00E016D0"/>
    <w:rsid w:val="00E01895"/>
    <w:rsid w:val="00E01B6F"/>
    <w:rsid w:val="00E01C21"/>
    <w:rsid w:val="00E022C3"/>
    <w:rsid w:val="00E028E5"/>
    <w:rsid w:val="00E02D50"/>
    <w:rsid w:val="00E02ED8"/>
    <w:rsid w:val="00E02F7D"/>
    <w:rsid w:val="00E03021"/>
    <w:rsid w:val="00E0309E"/>
    <w:rsid w:val="00E0387D"/>
    <w:rsid w:val="00E043BF"/>
    <w:rsid w:val="00E04821"/>
    <w:rsid w:val="00E04E50"/>
    <w:rsid w:val="00E05753"/>
    <w:rsid w:val="00E058BB"/>
    <w:rsid w:val="00E058F6"/>
    <w:rsid w:val="00E05B63"/>
    <w:rsid w:val="00E0626F"/>
    <w:rsid w:val="00E0671D"/>
    <w:rsid w:val="00E06FB3"/>
    <w:rsid w:val="00E0735B"/>
    <w:rsid w:val="00E073A2"/>
    <w:rsid w:val="00E0797F"/>
    <w:rsid w:val="00E07C86"/>
    <w:rsid w:val="00E10251"/>
    <w:rsid w:val="00E10332"/>
    <w:rsid w:val="00E1052F"/>
    <w:rsid w:val="00E10598"/>
    <w:rsid w:val="00E1077D"/>
    <w:rsid w:val="00E108AF"/>
    <w:rsid w:val="00E1090B"/>
    <w:rsid w:val="00E10CE1"/>
    <w:rsid w:val="00E11157"/>
    <w:rsid w:val="00E111AA"/>
    <w:rsid w:val="00E112A5"/>
    <w:rsid w:val="00E11ED6"/>
    <w:rsid w:val="00E11F05"/>
    <w:rsid w:val="00E11F44"/>
    <w:rsid w:val="00E1206A"/>
    <w:rsid w:val="00E12426"/>
    <w:rsid w:val="00E128F8"/>
    <w:rsid w:val="00E12918"/>
    <w:rsid w:val="00E132F8"/>
    <w:rsid w:val="00E1340F"/>
    <w:rsid w:val="00E13BD4"/>
    <w:rsid w:val="00E13E06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499"/>
    <w:rsid w:val="00E16C86"/>
    <w:rsid w:val="00E16CA8"/>
    <w:rsid w:val="00E20209"/>
    <w:rsid w:val="00E20979"/>
    <w:rsid w:val="00E20D3B"/>
    <w:rsid w:val="00E211B4"/>
    <w:rsid w:val="00E21231"/>
    <w:rsid w:val="00E21748"/>
    <w:rsid w:val="00E21FE5"/>
    <w:rsid w:val="00E22024"/>
    <w:rsid w:val="00E2221E"/>
    <w:rsid w:val="00E22A63"/>
    <w:rsid w:val="00E23194"/>
    <w:rsid w:val="00E232F0"/>
    <w:rsid w:val="00E235CA"/>
    <w:rsid w:val="00E23807"/>
    <w:rsid w:val="00E23B2E"/>
    <w:rsid w:val="00E23CE6"/>
    <w:rsid w:val="00E23FB1"/>
    <w:rsid w:val="00E240B6"/>
    <w:rsid w:val="00E243CE"/>
    <w:rsid w:val="00E24B84"/>
    <w:rsid w:val="00E253AD"/>
    <w:rsid w:val="00E2659A"/>
    <w:rsid w:val="00E2678B"/>
    <w:rsid w:val="00E27A10"/>
    <w:rsid w:val="00E27D8D"/>
    <w:rsid w:val="00E27E54"/>
    <w:rsid w:val="00E27E65"/>
    <w:rsid w:val="00E301D2"/>
    <w:rsid w:val="00E30E14"/>
    <w:rsid w:val="00E311D9"/>
    <w:rsid w:val="00E31313"/>
    <w:rsid w:val="00E313C2"/>
    <w:rsid w:val="00E317AF"/>
    <w:rsid w:val="00E319E0"/>
    <w:rsid w:val="00E31A3B"/>
    <w:rsid w:val="00E31C3C"/>
    <w:rsid w:val="00E31FD7"/>
    <w:rsid w:val="00E3250E"/>
    <w:rsid w:val="00E325EB"/>
    <w:rsid w:val="00E32AFC"/>
    <w:rsid w:val="00E32D63"/>
    <w:rsid w:val="00E3337E"/>
    <w:rsid w:val="00E3345D"/>
    <w:rsid w:val="00E335F9"/>
    <w:rsid w:val="00E3390A"/>
    <w:rsid w:val="00E33943"/>
    <w:rsid w:val="00E33BF9"/>
    <w:rsid w:val="00E3406A"/>
    <w:rsid w:val="00E3419E"/>
    <w:rsid w:val="00E35131"/>
    <w:rsid w:val="00E35685"/>
    <w:rsid w:val="00E35952"/>
    <w:rsid w:val="00E35E53"/>
    <w:rsid w:val="00E360E3"/>
    <w:rsid w:val="00E366BF"/>
    <w:rsid w:val="00E368D8"/>
    <w:rsid w:val="00E36C32"/>
    <w:rsid w:val="00E37232"/>
    <w:rsid w:val="00E3748D"/>
    <w:rsid w:val="00E376BE"/>
    <w:rsid w:val="00E40494"/>
    <w:rsid w:val="00E4114E"/>
    <w:rsid w:val="00E415EE"/>
    <w:rsid w:val="00E4163B"/>
    <w:rsid w:val="00E41647"/>
    <w:rsid w:val="00E418A4"/>
    <w:rsid w:val="00E41AF3"/>
    <w:rsid w:val="00E41EAE"/>
    <w:rsid w:val="00E424A1"/>
    <w:rsid w:val="00E4263C"/>
    <w:rsid w:val="00E42812"/>
    <w:rsid w:val="00E43E22"/>
    <w:rsid w:val="00E43E8A"/>
    <w:rsid w:val="00E43F6E"/>
    <w:rsid w:val="00E4425E"/>
    <w:rsid w:val="00E44D3F"/>
    <w:rsid w:val="00E45143"/>
    <w:rsid w:val="00E452F5"/>
    <w:rsid w:val="00E455D4"/>
    <w:rsid w:val="00E45844"/>
    <w:rsid w:val="00E459A2"/>
    <w:rsid w:val="00E459A8"/>
    <w:rsid w:val="00E45ADC"/>
    <w:rsid w:val="00E45AFC"/>
    <w:rsid w:val="00E45F42"/>
    <w:rsid w:val="00E462B8"/>
    <w:rsid w:val="00E462CE"/>
    <w:rsid w:val="00E464F1"/>
    <w:rsid w:val="00E468AC"/>
    <w:rsid w:val="00E468DD"/>
    <w:rsid w:val="00E46B55"/>
    <w:rsid w:val="00E4727A"/>
    <w:rsid w:val="00E47BA8"/>
    <w:rsid w:val="00E50060"/>
    <w:rsid w:val="00E500A1"/>
    <w:rsid w:val="00E500FD"/>
    <w:rsid w:val="00E50587"/>
    <w:rsid w:val="00E50600"/>
    <w:rsid w:val="00E50B34"/>
    <w:rsid w:val="00E50CB0"/>
    <w:rsid w:val="00E51204"/>
    <w:rsid w:val="00E51C0B"/>
    <w:rsid w:val="00E51FDF"/>
    <w:rsid w:val="00E525CC"/>
    <w:rsid w:val="00E534B0"/>
    <w:rsid w:val="00E5430D"/>
    <w:rsid w:val="00E5459F"/>
    <w:rsid w:val="00E55A17"/>
    <w:rsid w:val="00E55D04"/>
    <w:rsid w:val="00E55EBF"/>
    <w:rsid w:val="00E55EED"/>
    <w:rsid w:val="00E55FAC"/>
    <w:rsid w:val="00E56191"/>
    <w:rsid w:val="00E567D6"/>
    <w:rsid w:val="00E56B76"/>
    <w:rsid w:val="00E57955"/>
    <w:rsid w:val="00E57CFB"/>
    <w:rsid w:val="00E57F84"/>
    <w:rsid w:val="00E612A2"/>
    <w:rsid w:val="00E613A1"/>
    <w:rsid w:val="00E61C51"/>
    <w:rsid w:val="00E6240D"/>
    <w:rsid w:val="00E62519"/>
    <w:rsid w:val="00E626B7"/>
    <w:rsid w:val="00E6291C"/>
    <w:rsid w:val="00E63173"/>
    <w:rsid w:val="00E636EB"/>
    <w:rsid w:val="00E64BFF"/>
    <w:rsid w:val="00E64EBD"/>
    <w:rsid w:val="00E65114"/>
    <w:rsid w:val="00E6515A"/>
    <w:rsid w:val="00E65F8D"/>
    <w:rsid w:val="00E65FAC"/>
    <w:rsid w:val="00E65FFF"/>
    <w:rsid w:val="00E66394"/>
    <w:rsid w:val="00E66559"/>
    <w:rsid w:val="00E66681"/>
    <w:rsid w:val="00E674DF"/>
    <w:rsid w:val="00E676DA"/>
    <w:rsid w:val="00E67DBF"/>
    <w:rsid w:val="00E67F77"/>
    <w:rsid w:val="00E705A4"/>
    <w:rsid w:val="00E706AA"/>
    <w:rsid w:val="00E70A20"/>
    <w:rsid w:val="00E70D32"/>
    <w:rsid w:val="00E70E87"/>
    <w:rsid w:val="00E70F1A"/>
    <w:rsid w:val="00E71179"/>
    <w:rsid w:val="00E71D49"/>
    <w:rsid w:val="00E71E2C"/>
    <w:rsid w:val="00E720D7"/>
    <w:rsid w:val="00E72C9A"/>
    <w:rsid w:val="00E73343"/>
    <w:rsid w:val="00E73779"/>
    <w:rsid w:val="00E73D73"/>
    <w:rsid w:val="00E74095"/>
    <w:rsid w:val="00E74C2D"/>
    <w:rsid w:val="00E74CF9"/>
    <w:rsid w:val="00E75224"/>
    <w:rsid w:val="00E7535E"/>
    <w:rsid w:val="00E75AFA"/>
    <w:rsid w:val="00E75CF2"/>
    <w:rsid w:val="00E76612"/>
    <w:rsid w:val="00E76D23"/>
    <w:rsid w:val="00E77BBF"/>
    <w:rsid w:val="00E77D9E"/>
    <w:rsid w:val="00E80263"/>
    <w:rsid w:val="00E80277"/>
    <w:rsid w:val="00E805FE"/>
    <w:rsid w:val="00E80840"/>
    <w:rsid w:val="00E80881"/>
    <w:rsid w:val="00E80D8B"/>
    <w:rsid w:val="00E80DD0"/>
    <w:rsid w:val="00E80E30"/>
    <w:rsid w:val="00E80E88"/>
    <w:rsid w:val="00E81474"/>
    <w:rsid w:val="00E81D3A"/>
    <w:rsid w:val="00E82839"/>
    <w:rsid w:val="00E82A76"/>
    <w:rsid w:val="00E82CE8"/>
    <w:rsid w:val="00E83304"/>
    <w:rsid w:val="00E833CD"/>
    <w:rsid w:val="00E83899"/>
    <w:rsid w:val="00E83C37"/>
    <w:rsid w:val="00E84A53"/>
    <w:rsid w:val="00E84C9A"/>
    <w:rsid w:val="00E84EA4"/>
    <w:rsid w:val="00E851D5"/>
    <w:rsid w:val="00E85A61"/>
    <w:rsid w:val="00E85EFE"/>
    <w:rsid w:val="00E86085"/>
    <w:rsid w:val="00E8774D"/>
    <w:rsid w:val="00E87CCE"/>
    <w:rsid w:val="00E9004D"/>
    <w:rsid w:val="00E9032A"/>
    <w:rsid w:val="00E909E6"/>
    <w:rsid w:val="00E91034"/>
    <w:rsid w:val="00E915EB"/>
    <w:rsid w:val="00E9161F"/>
    <w:rsid w:val="00E917E1"/>
    <w:rsid w:val="00E919A1"/>
    <w:rsid w:val="00E91FF5"/>
    <w:rsid w:val="00E9262F"/>
    <w:rsid w:val="00E92D6D"/>
    <w:rsid w:val="00E92FC0"/>
    <w:rsid w:val="00E93037"/>
    <w:rsid w:val="00E933AF"/>
    <w:rsid w:val="00E93B2F"/>
    <w:rsid w:val="00E93E4A"/>
    <w:rsid w:val="00E93E9F"/>
    <w:rsid w:val="00E94037"/>
    <w:rsid w:val="00E9563C"/>
    <w:rsid w:val="00E95E7D"/>
    <w:rsid w:val="00E96004"/>
    <w:rsid w:val="00E960EE"/>
    <w:rsid w:val="00E9679A"/>
    <w:rsid w:val="00E96E6B"/>
    <w:rsid w:val="00E97DED"/>
    <w:rsid w:val="00EA0637"/>
    <w:rsid w:val="00EA06A4"/>
    <w:rsid w:val="00EA0855"/>
    <w:rsid w:val="00EA0BDA"/>
    <w:rsid w:val="00EA0DB3"/>
    <w:rsid w:val="00EA1240"/>
    <w:rsid w:val="00EA129E"/>
    <w:rsid w:val="00EA1E03"/>
    <w:rsid w:val="00EA1F6B"/>
    <w:rsid w:val="00EA2406"/>
    <w:rsid w:val="00EA296E"/>
    <w:rsid w:val="00EA29CC"/>
    <w:rsid w:val="00EA2AD5"/>
    <w:rsid w:val="00EA2AF8"/>
    <w:rsid w:val="00EA3340"/>
    <w:rsid w:val="00EA37AC"/>
    <w:rsid w:val="00EA37CC"/>
    <w:rsid w:val="00EA3FD4"/>
    <w:rsid w:val="00EA4390"/>
    <w:rsid w:val="00EA44A3"/>
    <w:rsid w:val="00EA4CF3"/>
    <w:rsid w:val="00EA53A2"/>
    <w:rsid w:val="00EA563D"/>
    <w:rsid w:val="00EA573B"/>
    <w:rsid w:val="00EA60C1"/>
    <w:rsid w:val="00EA628D"/>
    <w:rsid w:val="00EA6540"/>
    <w:rsid w:val="00EA6647"/>
    <w:rsid w:val="00EA66CC"/>
    <w:rsid w:val="00EA6C1D"/>
    <w:rsid w:val="00EA6CA8"/>
    <w:rsid w:val="00EA6E7C"/>
    <w:rsid w:val="00EA71EB"/>
    <w:rsid w:val="00EA736C"/>
    <w:rsid w:val="00EB0560"/>
    <w:rsid w:val="00EB0724"/>
    <w:rsid w:val="00EB0A96"/>
    <w:rsid w:val="00EB100C"/>
    <w:rsid w:val="00EB1041"/>
    <w:rsid w:val="00EB212D"/>
    <w:rsid w:val="00EB2163"/>
    <w:rsid w:val="00EB25EA"/>
    <w:rsid w:val="00EB3291"/>
    <w:rsid w:val="00EB3448"/>
    <w:rsid w:val="00EB3506"/>
    <w:rsid w:val="00EB3FE1"/>
    <w:rsid w:val="00EB4D3D"/>
    <w:rsid w:val="00EB50B6"/>
    <w:rsid w:val="00EB57CF"/>
    <w:rsid w:val="00EB57E9"/>
    <w:rsid w:val="00EB5838"/>
    <w:rsid w:val="00EB5A98"/>
    <w:rsid w:val="00EB5F6F"/>
    <w:rsid w:val="00EB607E"/>
    <w:rsid w:val="00EB60F3"/>
    <w:rsid w:val="00EB764A"/>
    <w:rsid w:val="00EC0A2E"/>
    <w:rsid w:val="00EC1B25"/>
    <w:rsid w:val="00EC20BA"/>
    <w:rsid w:val="00EC2796"/>
    <w:rsid w:val="00EC28FD"/>
    <w:rsid w:val="00EC2BBE"/>
    <w:rsid w:val="00EC2BF5"/>
    <w:rsid w:val="00EC2FB2"/>
    <w:rsid w:val="00EC339E"/>
    <w:rsid w:val="00EC3A0D"/>
    <w:rsid w:val="00EC3A4C"/>
    <w:rsid w:val="00EC3E31"/>
    <w:rsid w:val="00EC4136"/>
    <w:rsid w:val="00EC4200"/>
    <w:rsid w:val="00EC4B64"/>
    <w:rsid w:val="00EC4E38"/>
    <w:rsid w:val="00EC5B74"/>
    <w:rsid w:val="00EC60DD"/>
    <w:rsid w:val="00EC6196"/>
    <w:rsid w:val="00EC6B2A"/>
    <w:rsid w:val="00EC6F03"/>
    <w:rsid w:val="00EC722B"/>
    <w:rsid w:val="00EC7467"/>
    <w:rsid w:val="00EC7650"/>
    <w:rsid w:val="00EC79D2"/>
    <w:rsid w:val="00EC7FEE"/>
    <w:rsid w:val="00ED0B0F"/>
    <w:rsid w:val="00ED1E96"/>
    <w:rsid w:val="00ED1ECF"/>
    <w:rsid w:val="00ED1EF3"/>
    <w:rsid w:val="00ED2790"/>
    <w:rsid w:val="00ED2A5C"/>
    <w:rsid w:val="00ED2DBF"/>
    <w:rsid w:val="00ED2F1E"/>
    <w:rsid w:val="00ED3047"/>
    <w:rsid w:val="00ED3205"/>
    <w:rsid w:val="00ED347C"/>
    <w:rsid w:val="00ED3B01"/>
    <w:rsid w:val="00ED3BB6"/>
    <w:rsid w:val="00ED3C1B"/>
    <w:rsid w:val="00ED3E43"/>
    <w:rsid w:val="00ED3F44"/>
    <w:rsid w:val="00ED42A5"/>
    <w:rsid w:val="00ED5143"/>
    <w:rsid w:val="00ED6174"/>
    <w:rsid w:val="00ED6741"/>
    <w:rsid w:val="00ED691C"/>
    <w:rsid w:val="00ED6997"/>
    <w:rsid w:val="00ED69DA"/>
    <w:rsid w:val="00ED6C77"/>
    <w:rsid w:val="00ED73DF"/>
    <w:rsid w:val="00ED7820"/>
    <w:rsid w:val="00ED7FAD"/>
    <w:rsid w:val="00EE018D"/>
    <w:rsid w:val="00EE1666"/>
    <w:rsid w:val="00EE1775"/>
    <w:rsid w:val="00EE17EF"/>
    <w:rsid w:val="00EE189C"/>
    <w:rsid w:val="00EE1DA4"/>
    <w:rsid w:val="00EE1E93"/>
    <w:rsid w:val="00EE2163"/>
    <w:rsid w:val="00EE22F7"/>
    <w:rsid w:val="00EE27A5"/>
    <w:rsid w:val="00EE28E0"/>
    <w:rsid w:val="00EE2B02"/>
    <w:rsid w:val="00EE2D5D"/>
    <w:rsid w:val="00EE2E74"/>
    <w:rsid w:val="00EE2EED"/>
    <w:rsid w:val="00EE36C4"/>
    <w:rsid w:val="00EE492B"/>
    <w:rsid w:val="00EE4D8E"/>
    <w:rsid w:val="00EE5250"/>
    <w:rsid w:val="00EE55C3"/>
    <w:rsid w:val="00EE572F"/>
    <w:rsid w:val="00EE5C0F"/>
    <w:rsid w:val="00EE63BB"/>
    <w:rsid w:val="00EE6F0D"/>
    <w:rsid w:val="00EE7930"/>
    <w:rsid w:val="00EE7AF3"/>
    <w:rsid w:val="00EE7C77"/>
    <w:rsid w:val="00EF0089"/>
    <w:rsid w:val="00EF05DE"/>
    <w:rsid w:val="00EF09F3"/>
    <w:rsid w:val="00EF15A8"/>
    <w:rsid w:val="00EF1AD2"/>
    <w:rsid w:val="00EF2443"/>
    <w:rsid w:val="00EF2478"/>
    <w:rsid w:val="00EF25E7"/>
    <w:rsid w:val="00EF284B"/>
    <w:rsid w:val="00EF3204"/>
    <w:rsid w:val="00EF32F8"/>
    <w:rsid w:val="00EF38D5"/>
    <w:rsid w:val="00EF4B27"/>
    <w:rsid w:val="00EF5D04"/>
    <w:rsid w:val="00EF6018"/>
    <w:rsid w:val="00EF6151"/>
    <w:rsid w:val="00EF663E"/>
    <w:rsid w:val="00EF6828"/>
    <w:rsid w:val="00EF68A3"/>
    <w:rsid w:val="00EF70B9"/>
    <w:rsid w:val="00F004FC"/>
    <w:rsid w:val="00F0054A"/>
    <w:rsid w:val="00F00A24"/>
    <w:rsid w:val="00F00C1B"/>
    <w:rsid w:val="00F00D49"/>
    <w:rsid w:val="00F0144D"/>
    <w:rsid w:val="00F01C29"/>
    <w:rsid w:val="00F020C3"/>
    <w:rsid w:val="00F02134"/>
    <w:rsid w:val="00F0213D"/>
    <w:rsid w:val="00F021B0"/>
    <w:rsid w:val="00F0275F"/>
    <w:rsid w:val="00F034B3"/>
    <w:rsid w:val="00F0366E"/>
    <w:rsid w:val="00F038B7"/>
    <w:rsid w:val="00F03BD1"/>
    <w:rsid w:val="00F03FDF"/>
    <w:rsid w:val="00F04307"/>
    <w:rsid w:val="00F044C6"/>
    <w:rsid w:val="00F04633"/>
    <w:rsid w:val="00F04A3B"/>
    <w:rsid w:val="00F04BD7"/>
    <w:rsid w:val="00F05073"/>
    <w:rsid w:val="00F054EE"/>
    <w:rsid w:val="00F057C7"/>
    <w:rsid w:val="00F06243"/>
    <w:rsid w:val="00F063A5"/>
    <w:rsid w:val="00F063BC"/>
    <w:rsid w:val="00F068A3"/>
    <w:rsid w:val="00F06F8E"/>
    <w:rsid w:val="00F0746C"/>
    <w:rsid w:val="00F0755A"/>
    <w:rsid w:val="00F07AB3"/>
    <w:rsid w:val="00F07D07"/>
    <w:rsid w:val="00F07F15"/>
    <w:rsid w:val="00F07FB3"/>
    <w:rsid w:val="00F11332"/>
    <w:rsid w:val="00F11463"/>
    <w:rsid w:val="00F117F2"/>
    <w:rsid w:val="00F11CA7"/>
    <w:rsid w:val="00F11D2B"/>
    <w:rsid w:val="00F11D8F"/>
    <w:rsid w:val="00F124C6"/>
    <w:rsid w:val="00F127DF"/>
    <w:rsid w:val="00F1295A"/>
    <w:rsid w:val="00F12CFB"/>
    <w:rsid w:val="00F1328E"/>
    <w:rsid w:val="00F13BB9"/>
    <w:rsid w:val="00F13C39"/>
    <w:rsid w:val="00F13E40"/>
    <w:rsid w:val="00F14289"/>
    <w:rsid w:val="00F142FA"/>
    <w:rsid w:val="00F143F7"/>
    <w:rsid w:val="00F145F5"/>
    <w:rsid w:val="00F14722"/>
    <w:rsid w:val="00F14BE6"/>
    <w:rsid w:val="00F15018"/>
    <w:rsid w:val="00F1558F"/>
    <w:rsid w:val="00F15777"/>
    <w:rsid w:val="00F15907"/>
    <w:rsid w:val="00F15AE8"/>
    <w:rsid w:val="00F15E93"/>
    <w:rsid w:val="00F15E94"/>
    <w:rsid w:val="00F15F28"/>
    <w:rsid w:val="00F160BE"/>
    <w:rsid w:val="00F16CC4"/>
    <w:rsid w:val="00F16E98"/>
    <w:rsid w:val="00F1719F"/>
    <w:rsid w:val="00F172AF"/>
    <w:rsid w:val="00F17530"/>
    <w:rsid w:val="00F17CB7"/>
    <w:rsid w:val="00F20262"/>
    <w:rsid w:val="00F20716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245"/>
    <w:rsid w:val="00F233E1"/>
    <w:rsid w:val="00F23A8D"/>
    <w:rsid w:val="00F23E0C"/>
    <w:rsid w:val="00F2449D"/>
    <w:rsid w:val="00F24D4F"/>
    <w:rsid w:val="00F24F8A"/>
    <w:rsid w:val="00F254E7"/>
    <w:rsid w:val="00F25AA6"/>
    <w:rsid w:val="00F26214"/>
    <w:rsid w:val="00F26302"/>
    <w:rsid w:val="00F26646"/>
    <w:rsid w:val="00F26A7B"/>
    <w:rsid w:val="00F270A2"/>
    <w:rsid w:val="00F27594"/>
    <w:rsid w:val="00F279C1"/>
    <w:rsid w:val="00F27C73"/>
    <w:rsid w:val="00F27DC8"/>
    <w:rsid w:val="00F30112"/>
    <w:rsid w:val="00F30621"/>
    <w:rsid w:val="00F30BA1"/>
    <w:rsid w:val="00F30EC9"/>
    <w:rsid w:val="00F30F2D"/>
    <w:rsid w:val="00F3149D"/>
    <w:rsid w:val="00F31657"/>
    <w:rsid w:val="00F31C3E"/>
    <w:rsid w:val="00F323B3"/>
    <w:rsid w:val="00F32448"/>
    <w:rsid w:val="00F32922"/>
    <w:rsid w:val="00F329EE"/>
    <w:rsid w:val="00F32C40"/>
    <w:rsid w:val="00F33638"/>
    <w:rsid w:val="00F3395E"/>
    <w:rsid w:val="00F33FBC"/>
    <w:rsid w:val="00F34B20"/>
    <w:rsid w:val="00F34EC5"/>
    <w:rsid w:val="00F34FCB"/>
    <w:rsid w:val="00F3504D"/>
    <w:rsid w:val="00F3598C"/>
    <w:rsid w:val="00F37279"/>
    <w:rsid w:val="00F37663"/>
    <w:rsid w:val="00F37799"/>
    <w:rsid w:val="00F37D4B"/>
    <w:rsid w:val="00F37FEB"/>
    <w:rsid w:val="00F400EB"/>
    <w:rsid w:val="00F4061C"/>
    <w:rsid w:val="00F40713"/>
    <w:rsid w:val="00F4099F"/>
    <w:rsid w:val="00F40C26"/>
    <w:rsid w:val="00F40CE2"/>
    <w:rsid w:val="00F410B5"/>
    <w:rsid w:val="00F41954"/>
    <w:rsid w:val="00F41A40"/>
    <w:rsid w:val="00F42496"/>
    <w:rsid w:val="00F4297B"/>
    <w:rsid w:val="00F42BEB"/>
    <w:rsid w:val="00F42D25"/>
    <w:rsid w:val="00F42D7C"/>
    <w:rsid w:val="00F4342A"/>
    <w:rsid w:val="00F43BD3"/>
    <w:rsid w:val="00F4469E"/>
    <w:rsid w:val="00F44E64"/>
    <w:rsid w:val="00F45712"/>
    <w:rsid w:val="00F45904"/>
    <w:rsid w:val="00F45AA0"/>
    <w:rsid w:val="00F45D35"/>
    <w:rsid w:val="00F462DA"/>
    <w:rsid w:val="00F46CDD"/>
    <w:rsid w:val="00F47565"/>
    <w:rsid w:val="00F477B5"/>
    <w:rsid w:val="00F47FFB"/>
    <w:rsid w:val="00F502C4"/>
    <w:rsid w:val="00F50EFC"/>
    <w:rsid w:val="00F5117E"/>
    <w:rsid w:val="00F51365"/>
    <w:rsid w:val="00F51BEF"/>
    <w:rsid w:val="00F51D71"/>
    <w:rsid w:val="00F520D0"/>
    <w:rsid w:val="00F52215"/>
    <w:rsid w:val="00F526E0"/>
    <w:rsid w:val="00F52D53"/>
    <w:rsid w:val="00F53123"/>
    <w:rsid w:val="00F53CB6"/>
    <w:rsid w:val="00F53F58"/>
    <w:rsid w:val="00F545FE"/>
    <w:rsid w:val="00F54BD6"/>
    <w:rsid w:val="00F55060"/>
    <w:rsid w:val="00F5532B"/>
    <w:rsid w:val="00F55A83"/>
    <w:rsid w:val="00F56051"/>
    <w:rsid w:val="00F561D0"/>
    <w:rsid w:val="00F563A5"/>
    <w:rsid w:val="00F564D5"/>
    <w:rsid w:val="00F56A6C"/>
    <w:rsid w:val="00F56C49"/>
    <w:rsid w:val="00F57351"/>
    <w:rsid w:val="00F57790"/>
    <w:rsid w:val="00F57B2D"/>
    <w:rsid w:val="00F608F9"/>
    <w:rsid w:val="00F60919"/>
    <w:rsid w:val="00F60BF4"/>
    <w:rsid w:val="00F617AD"/>
    <w:rsid w:val="00F61D7F"/>
    <w:rsid w:val="00F6208D"/>
    <w:rsid w:val="00F62235"/>
    <w:rsid w:val="00F6225B"/>
    <w:rsid w:val="00F62882"/>
    <w:rsid w:val="00F633CE"/>
    <w:rsid w:val="00F63871"/>
    <w:rsid w:val="00F63D94"/>
    <w:rsid w:val="00F64046"/>
    <w:rsid w:val="00F64083"/>
    <w:rsid w:val="00F64160"/>
    <w:rsid w:val="00F647F8"/>
    <w:rsid w:val="00F64ABD"/>
    <w:rsid w:val="00F65158"/>
    <w:rsid w:val="00F65353"/>
    <w:rsid w:val="00F654BA"/>
    <w:rsid w:val="00F657C0"/>
    <w:rsid w:val="00F667EA"/>
    <w:rsid w:val="00F6689F"/>
    <w:rsid w:val="00F6696E"/>
    <w:rsid w:val="00F67192"/>
    <w:rsid w:val="00F67554"/>
    <w:rsid w:val="00F67683"/>
    <w:rsid w:val="00F67693"/>
    <w:rsid w:val="00F676E4"/>
    <w:rsid w:val="00F70464"/>
    <w:rsid w:val="00F70932"/>
    <w:rsid w:val="00F70EAC"/>
    <w:rsid w:val="00F710D1"/>
    <w:rsid w:val="00F7140E"/>
    <w:rsid w:val="00F71588"/>
    <w:rsid w:val="00F7163E"/>
    <w:rsid w:val="00F71891"/>
    <w:rsid w:val="00F7199C"/>
    <w:rsid w:val="00F71A27"/>
    <w:rsid w:val="00F71CBF"/>
    <w:rsid w:val="00F71FC9"/>
    <w:rsid w:val="00F72425"/>
    <w:rsid w:val="00F725CF"/>
    <w:rsid w:val="00F72678"/>
    <w:rsid w:val="00F727D7"/>
    <w:rsid w:val="00F73BEB"/>
    <w:rsid w:val="00F73C4A"/>
    <w:rsid w:val="00F73E57"/>
    <w:rsid w:val="00F741D2"/>
    <w:rsid w:val="00F74AD4"/>
    <w:rsid w:val="00F74C0E"/>
    <w:rsid w:val="00F754C2"/>
    <w:rsid w:val="00F762BF"/>
    <w:rsid w:val="00F76AE7"/>
    <w:rsid w:val="00F7741A"/>
    <w:rsid w:val="00F77E1F"/>
    <w:rsid w:val="00F80074"/>
    <w:rsid w:val="00F802FB"/>
    <w:rsid w:val="00F80462"/>
    <w:rsid w:val="00F8118C"/>
    <w:rsid w:val="00F8142C"/>
    <w:rsid w:val="00F816BB"/>
    <w:rsid w:val="00F82318"/>
    <w:rsid w:val="00F8246C"/>
    <w:rsid w:val="00F835BA"/>
    <w:rsid w:val="00F83A3B"/>
    <w:rsid w:val="00F8401C"/>
    <w:rsid w:val="00F84367"/>
    <w:rsid w:val="00F845CD"/>
    <w:rsid w:val="00F84DF6"/>
    <w:rsid w:val="00F856EE"/>
    <w:rsid w:val="00F85AA8"/>
    <w:rsid w:val="00F85B6F"/>
    <w:rsid w:val="00F85EEF"/>
    <w:rsid w:val="00F860C4"/>
    <w:rsid w:val="00F86B28"/>
    <w:rsid w:val="00F8743A"/>
    <w:rsid w:val="00F87AD6"/>
    <w:rsid w:val="00F87C66"/>
    <w:rsid w:val="00F90072"/>
    <w:rsid w:val="00F90476"/>
    <w:rsid w:val="00F91286"/>
    <w:rsid w:val="00F91483"/>
    <w:rsid w:val="00F921A7"/>
    <w:rsid w:val="00F92B8C"/>
    <w:rsid w:val="00F92FE5"/>
    <w:rsid w:val="00F938C3"/>
    <w:rsid w:val="00F93A3B"/>
    <w:rsid w:val="00F93B03"/>
    <w:rsid w:val="00F93D3D"/>
    <w:rsid w:val="00F94416"/>
    <w:rsid w:val="00F94683"/>
    <w:rsid w:val="00F946C1"/>
    <w:rsid w:val="00F94732"/>
    <w:rsid w:val="00F94AFE"/>
    <w:rsid w:val="00F94EE7"/>
    <w:rsid w:val="00F94F3C"/>
    <w:rsid w:val="00F95077"/>
    <w:rsid w:val="00F952FB"/>
    <w:rsid w:val="00F957E2"/>
    <w:rsid w:val="00F95E4B"/>
    <w:rsid w:val="00F95EDA"/>
    <w:rsid w:val="00F95F76"/>
    <w:rsid w:val="00F9608B"/>
    <w:rsid w:val="00F96647"/>
    <w:rsid w:val="00F96F26"/>
    <w:rsid w:val="00F97A53"/>
    <w:rsid w:val="00F97BE1"/>
    <w:rsid w:val="00F97C68"/>
    <w:rsid w:val="00FA08FC"/>
    <w:rsid w:val="00FA0928"/>
    <w:rsid w:val="00FA1361"/>
    <w:rsid w:val="00FA13D0"/>
    <w:rsid w:val="00FA17CE"/>
    <w:rsid w:val="00FA1A3E"/>
    <w:rsid w:val="00FA1B5D"/>
    <w:rsid w:val="00FA1C67"/>
    <w:rsid w:val="00FA1F9F"/>
    <w:rsid w:val="00FA1FEB"/>
    <w:rsid w:val="00FA21DA"/>
    <w:rsid w:val="00FA2FE2"/>
    <w:rsid w:val="00FA30D3"/>
    <w:rsid w:val="00FA317B"/>
    <w:rsid w:val="00FA347F"/>
    <w:rsid w:val="00FA3A2E"/>
    <w:rsid w:val="00FA3D83"/>
    <w:rsid w:val="00FA3F34"/>
    <w:rsid w:val="00FA4217"/>
    <w:rsid w:val="00FA430A"/>
    <w:rsid w:val="00FA46DC"/>
    <w:rsid w:val="00FA4CA0"/>
    <w:rsid w:val="00FA4E90"/>
    <w:rsid w:val="00FA4FA2"/>
    <w:rsid w:val="00FA59C5"/>
    <w:rsid w:val="00FA5A96"/>
    <w:rsid w:val="00FA5FAB"/>
    <w:rsid w:val="00FA673B"/>
    <w:rsid w:val="00FA6988"/>
    <w:rsid w:val="00FA6AAE"/>
    <w:rsid w:val="00FA739C"/>
    <w:rsid w:val="00FA78D0"/>
    <w:rsid w:val="00FA7E9D"/>
    <w:rsid w:val="00FB06CC"/>
    <w:rsid w:val="00FB0C28"/>
    <w:rsid w:val="00FB12CD"/>
    <w:rsid w:val="00FB15C1"/>
    <w:rsid w:val="00FB2152"/>
    <w:rsid w:val="00FB2260"/>
    <w:rsid w:val="00FB2D9F"/>
    <w:rsid w:val="00FB30C0"/>
    <w:rsid w:val="00FB311C"/>
    <w:rsid w:val="00FB38AA"/>
    <w:rsid w:val="00FB3B00"/>
    <w:rsid w:val="00FB3BBE"/>
    <w:rsid w:val="00FB3BF5"/>
    <w:rsid w:val="00FB3E27"/>
    <w:rsid w:val="00FB47EF"/>
    <w:rsid w:val="00FB4E08"/>
    <w:rsid w:val="00FB4F9E"/>
    <w:rsid w:val="00FB50A5"/>
    <w:rsid w:val="00FB518D"/>
    <w:rsid w:val="00FB51E9"/>
    <w:rsid w:val="00FB5471"/>
    <w:rsid w:val="00FB54EB"/>
    <w:rsid w:val="00FB6581"/>
    <w:rsid w:val="00FB67B9"/>
    <w:rsid w:val="00FB68BF"/>
    <w:rsid w:val="00FB6F32"/>
    <w:rsid w:val="00FB7387"/>
    <w:rsid w:val="00FB75E3"/>
    <w:rsid w:val="00FB7802"/>
    <w:rsid w:val="00FC010F"/>
    <w:rsid w:val="00FC0886"/>
    <w:rsid w:val="00FC1099"/>
    <w:rsid w:val="00FC1382"/>
    <w:rsid w:val="00FC14E4"/>
    <w:rsid w:val="00FC18FB"/>
    <w:rsid w:val="00FC1967"/>
    <w:rsid w:val="00FC2246"/>
    <w:rsid w:val="00FC25C0"/>
    <w:rsid w:val="00FC26A7"/>
    <w:rsid w:val="00FC289A"/>
    <w:rsid w:val="00FC2B6C"/>
    <w:rsid w:val="00FC2C95"/>
    <w:rsid w:val="00FC2E22"/>
    <w:rsid w:val="00FC33CB"/>
    <w:rsid w:val="00FC3463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B72"/>
    <w:rsid w:val="00FC5E7D"/>
    <w:rsid w:val="00FC5F8D"/>
    <w:rsid w:val="00FC606C"/>
    <w:rsid w:val="00FC68F6"/>
    <w:rsid w:val="00FC6F63"/>
    <w:rsid w:val="00FC728E"/>
    <w:rsid w:val="00FD03E7"/>
    <w:rsid w:val="00FD1140"/>
    <w:rsid w:val="00FD17E3"/>
    <w:rsid w:val="00FD18A4"/>
    <w:rsid w:val="00FD1B81"/>
    <w:rsid w:val="00FD2889"/>
    <w:rsid w:val="00FD364D"/>
    <w:rsid w:val="00FD417D"/>
    <w:rsid w:val="00FD4424"/>
    <w:rsid w:val="00FD4CBD"/>
    <w:rsid w:val="00FD4E62"/>
    <w:rsid w:val="00FD51E0"/>
    <w:rsid w:val="00FD598D"/>
    <w:rsid w:val="00FD5E03"/>
    <w:rsid w:val="00FD5F9E"/>
    <w:rsid w:val="00FD606C"/>
    <w:rsid w:val="00FD643A"/>
    <w:rsid w:val="00FD7053"/>
    <w:rsid w:val="00FD713B"/>
    <w:rsid w:val="00FD7464"/>
    <w:rsid w:val="00FD7CB7"/>
    <w:rsid w:val="00FD7DA7"/>
    <w:rsid w:val="00FD7F20"/>
    <w:rsid w:val="00FD7F4F"/>
    <w:rsid w:val="00FE0BEE"/>
    <w:rsid w:val="00FE0C3E"/>
    <w:rsid w:val="00FE0D61"/>
    <w:rsid w:val="00FE1AB7"/>
    <w:rsid w:val="00FE1E46"/>
    <w:rsid w:val="00FE224A"/>
    <w:rsid w:val="00FE22FF"/>
    <w:rsid w:val="00FE2590"/>
    <w:rsid w:val="00FE2C6E"/>
    <w:rsid w:val="00FE3CA3"/>
    <w:rsid w:val="00FE468A"/>
    <w:rsid w:val="00FE479E"/>
    <w:rsid w:val="00FE4D47"/>
    <w:rsid w:val="00FE5382"/>
    <w:rsid w:val="00FE5672"/>
    <w:rsid w:val="00FE56C6"/>
    <w:rsid w:val="00FE56E9"/>
    <w:rsid w:val="00FE5D0E"/>
    <w:rsid w:val="00FE6255"/>
    <w:rsid w:val="00FE62B5"/>
    <w:rsid w:val="00FE6311"/>
    <w:rsid w:val="00FE63AA"/>
    <w:rsid w:val="00FE68FB"/>
    <w:rsid w:val="00FE6FAD"/>
    <w:rsid w:val="00FE78BA"/>
    <w:rsid w:val="00FE79CF"/>
    <w:rsid w:val="00FF054A"/>
    <w:rsid w:val="00FF0785"/>
    <w:rsid w:val="00FF0989"/>
    <w:rsid w:val="00FF100A"/>
    <w:rsid w:val="00FF12E5"/>
    <w:rsid w:val="00FF141F"/>
    <w:rsid w:val="00FF1830"/>
    <w:rsid w:val="00FF23C6"/>
    <w:rsid w:val="00FF2554"/>
    <w:rsid w:val="00FF39DF"/>
    <w:rsid w:val="00FF41EF"/>
    <w:rsid w:val="00FF4223"/>
    <w:rsid w:val="00FF4466"/>
    <w:rsid w:val="00FF474B"/>
    <w:rsid w:val="00FF47B3"/>
    <w:rsid w:val="00FF480A"/>
    <w:rsid w:val="00FF5260"/>
    <w:rsid w:val="00FF5995"/>
    <w:rsid w:val="00FF5A79"/>
    <w:rsid w:val="00FF64F9"/>
    <w:rsid w:val="00FF6DAA"/>
    <w:rsid w:val="00FF714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06E48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EBA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qFormat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character" w:customStyle="1" w:styleId="odrkaChar">
    <w:name w:val="odrážka Char"/>
    <w:basedOn w:val="Standardnpsmoodstavce"/>
    <w:link w:val="odrka"/>
    <w:locked/>
    <w:rsid w:val="00D50417"/>
    <w:rPr>
      <w:rFonts w:cs="Calibri"/>
    </w:rPr>
  </w:style>
  <w:style w:type="paragraph" w:customStyle="1" w:styleId="odrka">
    <w:name w:val="odrážka"/>
    <w:basedOn w:val="Normln"/>
    <w:link w:val="odrkaChar"/>
    <w:qFormat/>
    <w:rsid w:val="00D50417"/>
    <w:pPr>
      <w:numPr>
        <w:numId w:val="3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customStyle="1" w:styleId="Styl1">
    <w:name w:val="Styl1"/>
    <w:basedOn w:val="Nadpis1"/>
    <w:link w:val="Styl1Char"/>
    <w:qFormat/>
    <w:rsid w:val="00201480"/>
    <w:pPr>
      <w:keepNext/>
      <w:numPr>
        <w:numId w:val="5"/>
      </w:numPr>
      <w:spacing w:after="0" w:line="240" w:lineRule="auto"/>
    </w:pPr>
  </w:style>
  <w:style w:type="paragraph" w:customStyle="1" w:styleId="Styl2">
    <w:name w:val="Styl2"/>
    <w:basedOn w:val="Nadpis2"/>
    <w:link w:val="Styl2Char"/>
    <w:qFormat/>
    <w:rsid w:val="00201480"/>
    <w:pPr>
      <w:keepNext/>
      <w:numPr>
        <w:ilvl w:val="1"/>
        <w:numId w:val="5"/>
      </w:numPr>
      <w:spacing w:after="240" w:line="240" w:lineRule="auto"/>
      <w:contextualSpacing w:val="0"/>
      <w:jc w:val="left"/>
    </w:pPr>
    <w:rPr>
      <w:rFonts w:ascii="Calibri" w:hAnsi="Calibri" w:cs="Calibri"/>
    </w:rPr>
  </w:style>
  <w:style w:type="character" w:customStyle="1" w:styleId="Styl1Char">
    <w:name w:val="Styl1 Char"/>
    <w:basedOn w:val="Nadpis1Char"/>
    <w:link w:val="Styl1"/>
    <w:rsid w:val="00201480"/>
    <w:rPr>
      <w:rFonts w:eastAsiaTheme="minorHAnsi" w:cstheme="minorHAnsi"/>
      <w:b/>
      <w:sz w:val="28"/>
      <w:szCs w:val="28"/>
    </w:rPr>
  </w:style>
  <w:style w:type="paragraph" w:customStyle="1" w:styleId="Styl3">
    <w:name w:val="Styl3"/>
    <w:basedOn w:val="Nadpis4"/>
    <w:link w:val="Styl3Char"/>
    <w:qFormat/>
    <w:rsid w:val="00201480"/>
    <w:pPr>
      <w:ind w:left="360" w:hanging="360"/>
    </w:pPr>
    <w:rPr>
      <w:rFonts w:asciiTheme="minorHAnsi" w:eastAsia="Times New Roman" w:hAnsiTheme="minorHAnsi" w:cstheme="minorHAnsi"/>
      <w:b/>
      <w:i w:val="0"/>
      <w:color w:val="000000" w:themeColor="text1"/>
    </w:rPr>
  </w:style>
  <w:style w:type="character" w:customStyle="1" w:styleId="Styl2Char">
    <w:name w:val="Styl2 Char"/>
    <w:basedOn w:val="Nadpis2Char"/>
    <w:link w:val="Styl2"/>
    <w:rsid w:val="00201480"/>
    <w:rPr>
      <w:rFonts w:ascii="Calibri" w:eastAsia="Calibri" w:hAnsi="Calibri" w:cs="Calibri"/>
      <w:b/>
      <w:sz w:val="24"/>
      <w:szCs w:val="24"/>
    </w:rPr>
  </w:style>
  <w:style w:type="character" w:customStyle="1" w:styleId="Styl3Char">
    <w:name w:val="Styl3 Char"/>
    <w:basedOn w:val="Nadpis4Char"/>
    <w:link w:val="Styl3"/>
    <w:rsid w:val="00201480"/>
    <w:rPr>
      <w:rFonts w:asciiTheme="majorHAnsi" w:eastAsiaTheme="majorEastAsia" w:hAnsiTheme="majorHAnsi" w:cstheme="minorHAnsi"/>
      <w:b/>
      <w:i w:val="0"/>
      <w:iCs/>
      <w:color w:val="000000" w:themeColor="text1"/>
      <w:sz w:val="24"/>
      <w:szCs w:val="24"/>
    </w:rPr>
  </w:style>
  <w:style w:type="table" w:customStyle="1" w:styleId="Mkatabulky3">
    <w:name w:val="Mřížka tabulky3"/>
    <w:basedOn w:val="Normlntabulka"/>
    <w:next w:val="Mkatabulky"/>
    <w:uiPriority w:val="39"/>
    <w:rsid w:val="00DD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adpis1"/>
    <w:qFormat/>
    <w:rsid w:val="00A41CA2"/>
    <w:pPr>
      <w:keepNext/>
      <w:numPr>
        <w:ilvl w:val="4"/>
        <w:numId w:val="8"/>
      </w:numPr>
      <w:spacing w:before="120" w:after="0" w:line="360" w:lineRule="auto"/>
      <w:ind w:left="360" w:hanging="360"/>
      <w:jc w:val="left"/>
    </w:pPr>
    <w:rPr>
      <w:rFonts w:ascii="Arial" w:eastAsia="Times New Roman" w:hAnsi="Arial" w:cs="Arial"/>
      <w:szCs w:val="24"/>
    </w:rPr>
  </w:style>
  <w:style w:type="paragraph" w:customStyle="1" w:styleId="rove2">
    <w:name w:val="úroveň 2"/>
    <w:basedOn w:val="rove1"/>
    <w:qFormat/>
    <w:rsid w:val="00A41CA2"/>
    <w:pPr>
      <w:numPr>
        <w:ilvl w:val="5"/>
      </w:numPr>
      <w:ind w:left="792" w:hanging="432"/>
      <w:jc w:val="both"/>
    </w:pPr>
    <w:rPr>
      <w:sz w:val="24"/>
    </w:rPr>
  </w:style>
  <w:style w:type="paragraph" w:customStyle="1" w:styleId="rove3">
    <w:name w:val="úroveň3"/>
    <w:basedOn w:val="Normln"/>
    <w:qFormat/>
    <w:rsid w:val="00A41CA2"/>
    <w:pPr>
      <w:keepNext/>
      <w:numPr>
        <w:ilvl w:val="2"/>
        <w:numId w:val="8"/>
      </w:numPr>
      <w:spacing w:before="120" w:after="0" w:line="360" w:lineRule="auto"/>
      <w:ind w:left="709" w:hanging="709"/>
      <w:jc w:val="both"/>
      <w:outlineLvl w:val="0"/>
    </w:pPr>
    <w:rPr>
      <w:rFonts w:ascii="Arial" w:hAnsi="Arial" w:cs="Arial"/>
      <w:b/>
      <w:sz w:val="22"/>
    </w:rPr>
  </w:style>
  <w:style w:type="paragraph" w:customStyle="1" w:styleId="rove4">
    <w:name w:val="úroveň4"/>
    <w:basedOn w:val="rove3"/>
    <w:qFormat/>
    <w:rsid w:val="00A41CA2"/>
    <w:pPr>
      <w:numPr>
        <w:ilvl w:val="3"/>
      </w:numPr>
      <w:ind w:left="567" w:hanging="567"/>
    </w:pPr>
    <w:rPr>
      <w:i/>
    </w:rPr>
  </w:style>
  <w:style w:type="paragraph" w:customStyle="1" w:styleId="tabulka">
    <w:name w:val="tabulka"/>
    <w:basedOn w:val="Normln"/>
    <w:link w:val="tabulkaChar"/>
    <w:qFormat/>
    <w:rsid w:val="00476D94"/>
    <w:pPr>
      <w:spacing w:after="0"/>
      <w:jc w:val="both"/>
    </w:pPr>
    <w:rPr>
      <w:sz w:val="20"/>
    </w:rPr>
  </w:style>
  <w:style w:type="character" w:customStyle="1" w:styleId="tabulkaChar">
    <w:name w:val="tabulka Char"/>
    <w:link w:val="tabulka"/>
    <w:locked/>
    <w:rsid w:val="00476D94"/>
    <w:rPr>
      <w:rFonts w:ascii="Calibri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2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header" Target="header5.xml"/><Relationship Id="rId21" Type="http://schemas.microsoft.com/office/2007/relationships/diagramDrawing" Target="diagrams/drawing2.xm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header" Target="header4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1.xml"/><Relationship Id="rId38" Type="http://schemas.openxmlformats.org/officeDocument/2006/relationships/footer" Target="footer3.xml"/><Relationship Id="rId46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nitor.statnipokladna.cz/ucetni-jednotka/66002222/rozpocet/souhrnny?rad=j&amp;obdobi=2312" TargetMode="External"/><Relationship Id="rId1" Type="http://schemas.openxmlformats.org/officeDocument/2006/relationships/hyperlink" Target="https://monitor.statnipokladna.cz/ucetni-jednotka/66002222/ucetni-zaverka/rozvaha?rad=j&amp;obdobi=23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V účetnictví ve výši     2 651 mil. Kč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 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opravy ve výši           16 mil. Kč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 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V oblasti účetnictví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V účetnictví ve výši     2 651 mil. Kč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 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opravy ve výši           16 mil. Kč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 opravy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nedostatků</a:t>
          </a:r>
        </a:p>
      </dsp:txBody>
      <dsp:txXfrm>
        <a:off x="4271290" y="20998"/>
        <a:ext cx="1474153" cy="67491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V oblasti účetnictví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nedostatků</a:t>
          </a:r>
        </a:p>
      </dsp:txBody>
      <dsp:txXfrm>
        <a:off x="4271290" y="20998"/>
        <a:ext cx="1474153" cy="6749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F923-7150-41FF-A829-D5640C567F8E}">
  <ds:schemaRefs>
    <ds:schemaRef ds:uri="http://schemas.microsoft.com/office/infopath/2007/PartnerControls"/>
    <ds:schemaRef ds:uri="http://www.w3.org/XML/1998/namespace"/>
    <ds:schemaRef ds:uri="http://schemas.microsoft.com/sharepoint/v3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E8A74-8651-4F92-B98B-04E39542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F1B70-C7D8-4F30-8316-85B4C1AE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6883</Words>
  <Characters>40616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23/20 - Závěrečný účet kapitoly státního rozpočtu Ministerstvo pro místní rozvoj za rok 2023, účetní závěrka Ministerstva pro místní rozvoj za rok 2023 a údaje předkládané Ministerstvem pro místní rozvoj pro hodnoce</vt:lpstr>
    </vt:vector>
  </TitlesOfParts>
  <Company>NKU</Company>
  <LinksUpToDate>false</LinksUpToDate>
  <CharactersWithSpaces>47405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23/20 - Závěrečný účet kapitoly státního rozpočtu Ministerstvo pro místní rozvoj za rok 2023, účetní závěrka Ministerstva pro místní rozvoj za rok 2023 a údaje předkládané Ministerstvem pro místní rozvoj pro hodnocení plnění státního rozpočtu za rok 2023</dc:title>
  <dc:subject>Kontrolní závěr z kontrolní akce NKÚ č. 23/20 - Závěrečný účet kapitoly státního rozpočtu Ministerstvo pro místní rozvoj za rok 2023, účetní závěrka Ministerstva pro místní rozvoj za rok 2023 a údaje předkládané Ministerstvem pro místní rozvoj pro hodnocení plnění státního rozpočtu za rok 2023</dc:subject>
  <dc:creator>Nejvyšší kontrolní úřad</dc:creator>
  <cp:keywords>kontrolní závěr; ministerstvo pro místní rozvoj; MMR</cp:keywords>
  <cp:lastModifiedBy>KOKRDA Daniel</cp:lastModifiedBy>
  <cp:revision>3</cp:revision>
  <cp:lastPrinted>2024-09-02T08:03:00Z</cp:lastPrinted>
  <dcterms:created xsi:type="dcterms:W3CDTF">2024-09-02T08:02:00Z</dcterms:created>
  <dcterms:modified xsi:type="dcterms:W3CDTF">2024-09-02T08:05:00Z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  <property fmtid="{D5CDD505-2E9C-101B-9397-08002B2CF9AE}" pid="38" name="MSIP_Label_577fbee6-ebd8-4412-8950-2ac0a4298383_Enabled">
    <vt:lpwstr>true</vt:lpwstr>
  </property>
  <property fmtid="{D5CDD505-2E9C-101B-9397-08002B2CF9AE}" pid="39" name="MSIP_Label_577fbee6-ebd8-4412-8950-2ac0a4298383_SetDate">
    <vt:lpwstr>2024-06-26T13:49:46Z</vt:lpwstr>
  </property>
  <property fmtid="{D5CDD505-2E9C-101B-9397-08002B2CF9AE}" pid="40" name="MSIP_Label_577fbee6-ebd8-4412-8950-2ac0a4298383_Method">
    <vt:lpwstr>Standard</vt:lpwstr>
  </property>
  <property fmtid="{D5CDD505-2E9C-101B-9397-08002B2CF9AE}" pid="41" name="MSIP_Label_577fbee6-ebd8-4412-8950-2ac0a4298383_Name">
    <vt:lpwstr>Střední</vt:lpwstr>
  </property>
  <property fmtid="{D5CDD505-2E9C-101B-9397-08002B2CF9AE}" pid="42" name="MSIP_Label_577fbee6-ebd8-4412-8950-2ac0a4298383_SiteId">
    <vt:lpwstr>e6d36204-fa0a-4bdb-9b60-80f84bb090cf</vt:lpwstr>
  </property>
  <property fmtid="{D5CDD505-2E9C-101B-9397-08002B2CF9AE}" pid="43" name="MSIP_Label_577fbee6-ebd8-4412-8950-2ac0a4298383_ActionId">
    <vt:lpwstr>79dc7b04-d08c-405a-ac94-2632460f1f55</vt:lpwstr>
  </property>
  <property fmtid="{D5CDD505-2E9C-101B-9397-08002B2CF9AE}" pid="44" name="MSIP_Label_577fbee6-ebd8-4412-8950-2ac0a4298383_ContentBits">
    <vt:lpwstr>0</vt:lpwstr>
  </property>
</Properties>
</file>