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4925" w14:textId="77777777" w:rsidR="004D6B7A" w:rsidRDefault="004D6B7A" w:rsidP="0027474C">
      <w:pPr>
        <w:spacing w:after="0" w:line="240" w:lineRule="auto"/>
        <w:rPr>
          <w:rFonts w:cs="Calibri"/>
          <w:b/>
          <w:szCs w:val="24"/>
        </w:rPr>
      </w:pPr>
      <w:r w:rsidRPr="00C930AE">
        <w:rPr>
          <w:rFonts w:cstheme="minorHAnsi"/>
          <w:b/>
          <w:noProof/>
          <w:szCs w:val="28"/>
          <w:highlight w:val="yellow"/>
        </w:rPr>
        <w:drawing>
          <wp:anchor distT="0" distB="0" distL="114300" distR="114300" simplePos="0" relativeHeight="251658243" behindDoc="0" locked="0" layoutInCell="1" allowOverlap="1" wp14:anchorId="344F552A" wp14:editId="6283014D">
            <wp:simplePos x="0" y="0"/>
            <wp:positionH relativeFrom="column">
              <wp:posOffset>2468245</wp:posOffset>
            </wp:positionH>
            <wp:positionV relativeFrom="paragraph">
              <wp:posOffset>44450</wp:posOffset>
            </wp:positionV>
            <wp:extent cx="827405" cy="713740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0E363" w14:textId="77777777" w:rsidR="004D6B7A" w:rsidRDefault="004D6B7A" w:rsidP="00AF3A3F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241029BA" w14:textId="77777777" w:rsidR="004D6B7A" w:rsidRDefault="004D6B7A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1B1D9977" w14:textId="77777777" w:rsidR="004D6B7A" w:rsidRDefault="004D6B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65CF3">
        <w:rPr>
          <w:rFonts w:cstheme="minorHAnsi"/>
          <w:b/>
          <w:sz w:val="28"/>
          <w:szCs w:val="28"/>
        </w:rPr>
        <w:t>Kontrolní závěr z kontrolní akce</w:t>
      </w:r>
    </w:p>
    <w:p w14:paraId="59953C5A" w14:textId="77777777" w:rsidR="004D6B7A" w:rsidRPr="00165CF3" w:rsidRDefault="004D6B7A"/>
    <w:p w14:paraId="4D392588" w14:textId="77777777" w:rsidR="004D6B7A" w:rsidRDefault="004D6B7A" w:rsidP="001F42D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65CF3">
        <w:rPr>
          <w:rFonts w:cstheme="minorHAnsi"/>
          <w:b/>
          <w:sz w:val="28"/>
          <w:szCs w:val="28"/>
        </w:rPr>
        <w:t>23/11</w:t>
      </w:r>
    </w:p>
    <w:p w14:paraId="2461AE45" w14:textId="77777777" w:rsidR="004D6B7A" w:rsidRPr="00165CF3" w:rsidRDefault="004D6B7A" w:rsidP="00AF3A3F"/>
    <w:p w14:paraId="52675B11" w14:textId="77777777" w:rsidR="004D6B7A" w:rsidRPr="00165CF3" w:rsidRDefault="004D6B7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65CF3">
        <w:rPr>
          <w:rFonts w:cstheme="minorHAnsi"/>
          <w:b/>
          <w:sz w:val="28"/>
          <w:szCs w:val="28"/>
        </w:rPr>
        <w:t>Peněžní prostředky státu a Evropské unie určené</w:t>
      </w:r>
      <w:r>
        <w:rPr>
          <w:rFonts w:cstheme="minorHAnsi"/>
          <w:b/>
          <w:sz w:val="28"/>
          <w:szCs w:val="28"/>
        </w:rPr>
        <w:br/>
      </w:r>
      <w:r w:rsidRPr="00165CF3">
        <w:rPr>
          <w:rFonts w:cstheme="minorHAnsi"/>
          <w:b/>
          <w:sz w:val="28"/>
          <w:szCs w:val="28"/>
        </w:rPr>
        <w:t>na systém péče o ohrožené děti a jeho transformaci</w:t>
      </w:r>
    </w:p>
    <w:p w14:paraId="621D7863" w14:textId="77777777" w:rsidR="004D6B7A" w:rsidRDefault="004D6B7A"/>
    <w:p w14:paraId="1FA0464F" w14:textId="77777777" w:rsidR="004D6B7A" w:rsidRPr="00CE25AF" w:rsidRDefault="004D6B7A">
      <w:pPr>
        <w:spacing w:after="0" w:line="240" w:lineRule="auto"/>
        <w:rPr>
          <w:rFonts w:cstheme="minorHAnsi"/>
          <w:b/>
          <w:szCs w:val="24"/>
        </w:rPr>
      </w:pPr>
    </w:p>
    <w:p w14:paraId="62B5FE18" w14:textId="77777777" w:rsidR="004D6B7A" w:rsidRPr="00CE25AF" w:rsidRDefault="004D6B7A">
      <w:pPr>
        <w:spacing w:after="240" w:line="240" w:lineRule="auto"/>
        <w:rPr>
          <w:rFonts w:cstheme="minorHAnsi"/>
          <w:szCs w:val="24"/>
        </w:rPr>
      </w:pPr>
      <w:r w:rsidRPr="00CE25AF">
        <w:rPr>
          <w:rFonts w:cstheme="minorHAnsi"/>
          <w:szCs w:val="24"/>
        </w:rPr>
        <w:t>Kontrolní akce byla zařazena do plánu kontrolní činnosti Nejvyššího kontrolního úřadu (dále také „NKÚ“) na rok 2023 pod číslem 23/11. Kontrolní akci řídil a kontrolní závěr vypracoval člen NKÚ Mgr. Roman Sklenák.</w:t>
      </w:r>
    </w:p>
    <w:p w14:paraId="7AE1BDCD" w14:textId="5AFFF17F" w:rsidR="004D6B7A" w:rsidRPr="00CE25AF" w:rsidRDefault="004D6B7A">
      <w:pPr>
        <w:spacing w:after="240" w:line="240" w:lineRule="auto"/>
        <w:rPr>
          <w:rFonts w:cstheme="minorHAnsi"/>
          <w:szCs w:val="24"/>
        </w:rPr>
      </w:pPr>
      <w:r w:rsidRPr="00165CF3">
        <w:rPr>
          <w:rFonts w:cstheme="minorHAnsi"/>
          <w:szCs w:val="24"/>
        </w:rPr>
        <w:t xml:space="preserve">Cílem kontroly </w:t>
      </w:r>
      <w:r w:rsidRPr="00326EF9">
        <w:rPr>
          <w:rFonts w:cstheme="minorHAnsi"/>
          <w:szCs w:val="24"/>
        </w:rPr>
        <w:t>bylo prověřit</w:t>
      </w:r>
      <w:r w:rsidRPr="00CE25AF">
        <w:rPr>
          <w:rFonts w:cstheme="minorHAnsi"/>
          <w:szCs w:val="24"/>
        </w:rPr>
        <w:t>, zda byly peněžní prostředky státu a Evropské unie určené na</w:t>
      </w:r>
      <w:r w:rsidR="00417DBE">
        <w:rPr>
          <w:rFonts w:cstheme="minorHAnsi"/>
          <w:szCs w:val="24"/>
        </w:rPr>
        <w:t> </w:t>
      </w:r>
      <w:r w:rsidRPr="00CE25AF">
        <w:rPr>
          <w:rFonts w:cstheme="minorHAnsi"/>
          <w:szCs w:val="24"/>
        </w:rPr>
        <w:t>systém péče o ohrožené děti a jeho transformaci vynakládány ústředními orgány státní správy účelně a hospodárně.</w:t>
      </w:r>
    </w:p>
    <w:p w14:paraId="413B4E92" w14:textId="77777777" w:rsidR="004D6B7A" w:rsidRPr="00CE25AF" w:rsidRDefault="004D6B7A">
      <w:pPr>
        <w:spacing w:after="240" w:line="240" w:lineRule="auto"/>
        <w:rPr>
          <w:rFonts w:cstheme="minorHAnsi"/>
          <w:szCs w:val="24"/>
        </w:rPr>
      </w:pPr>
      <w:r w:rsidRPr="00165CF3">
        <w:rPr>
          <w:rFonts w:eastAsia="Times New Roman" w:cstheme="minorHAnsi"/>
          <w:szCs w:val="24"/>
        </w:rPr>
        <w:t>Kontrolováno bylo období</w:t>
      </w:r>
      <w:r w:rsidRPr="00326EF9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let</w:t>
      </w:r>
      <w:r w:rsidRPr="00CE25AF">
        <w:rPr>
          <w:rFonts w:eastAsia="Times New Roman" w:cstheme="minorHAnsi"/>
          <w:szCs w:val="24"/>
        </w:rPr>
        <w:t xml:space="preserve"> </w:t>
      </w:r>
      <w:r w:rsidR="00104411" w:rsidRPr="00CE25AF">
        <w:rPr>
          <w:rFonts w:eastAsia="Times New Roman" w:cstheme="minorHAnsi"/>
          <w:szCs w:val="24"/>
        </w:rPr>
        <w:t>2015–2022</w:t>
      </w:r>
      <w:r>
        <w:rPr>
          <w:rFonts w:eastAsia="Times New Roman" w:cstheme="minorHAnsi"/>
          <w:szCs w:val="24"/>
        </w:rPr>
        <w:t>,</w:t>
      </w:r>
      <w:r w:rsidRPr="00CE25AF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v</w:t>
      </w:r>
      <w:r w:rsidRPr="00CE25AF">
        <w:rPr>
          <w:rFonts w:eastAsia="Times New Roman" w:cstheme="minorHAnsi"/>
          <w:szCs w:val="24"/>
        </w:rPr>
        <w:t xml:space="preserve"> případě věcných souvislostí i období předcházející a následující.</w:t>
      </w:r>
      <w:r>
        <w:rPr>
          <w:rFonts w:eastAsia="Times New Roman" w:cstheme="minorHAnsi"/>
          <w:szCs w:val="24"/>
        </w:rPr>
        <w:t xml:space="preserve"> Kontrol</w:t>
      </w:r>
      <w:r w:rsidR="001B5946">
        <w:rPr>
          <w:rFonts w:eastAsia="Times New Roman" w:cstheme="minorHAnsi"/>
          <w:szCs w:val="24"/>
        </w:rPr>
        <w:t>a</w:t>
      </w:r>
      <w:r>
        <w:rPr>
          <w:rFonts w:eastAsia="Times New Roman" w:cstheme="minorHAnsi"/>
          <w:szCs w:val="24"/>
        </w:rPr>
        <w:t xml:space="preserve"> byla prováděna u kontrolovaných osob od listopadu 2023 do srpna 2024. </w:t>
      </w:r>
    </w:p>
    <w:p w14:paraId="1B41FC80" w14:textId="77777777" w:rsidR="004D6B7A" w:rsidRPr="00CE25AF" w:rsidRDefault="004D6B7A">
      <w:pPr>
        <w:pStyle w:val="Zkladn"/>
        <w:spacing w:before="0" w:after="0" w:line="240" w:lineRule="auto"/>
        <w:rPr>
          <w:rFonts w:cstheme="minorHAnsi"/>
          <w:b/>
          <w:szCs w:val="24"/>
        </w:rPr>
      </w:pPr>
      <w:r w:rsidRPr="00CE25AF">
        <w:rPr>
          <w:rFonts w:cstheme="minorHAnsi"/>
          <w:b/>
          <w:szCs w:val="24"/>
        </w:rPr>
        <w:t>Kontrolované osoby:</w:t>
      </w:r>
    </w:p>
    <w:p w14:paraId="4D807C96" w14:textId="77777777" w:rsidR="004D6B7A" w:rsidRPr="00CE25AF" w:rsidRDefault="004D6B7A">
      <w:pPr>
        <w:pStyle w:val="Zkladn"/>
        <w:spacing w:before="0" w:after="0" w:line="240" w:lineRule="auto"/>
        <w:rPr>
          <w:rFonts w:cstheme="minorHAnsi"/>
          <w:szCs w:val="24"/>
        </w:rPr>
      </w:pPr>
      <w:r w:rsidRPr="00CE25AF">
        <w:rPr>
          <w:rFonts w:cstheme="minorHAnsi"/>
          <w:szCs w:val="24"/>
        </w:rPr>
        <w:t>Ministerstvo práce a sociálních věcí (dále také „MPSV“)</w:t>
      </w:r>
      <w:r>
        <w:rPr>
          <w:rFonts w:cstheme="minorHAnsi"/>
          <w:szCs w:val="24"/>
        </w:rPr>
        <w:t>;</w:t>
      </w:r>
    </w:p>
    <w:p w14:paraId="55386846" w14:textId="77777777" w:rsidR="004D6B7A" w:rsidRPr="00CE25AF" w:rsidRDefault="004D6B7A">
      <w:pPr>
        <w:pStyle w:val="Zkladn"/>
        <w:spacing w:before="0" w:after="0" w:line="240" w:lineRule="auto"/>
        <w:rPr>
          <w:rFonts w:cstheme="minorHAnsi"/>
          <w:szCs w:val="24"/>
        </w:rPr>
      </w:pPr>
      <w:r w:rsidRPr="00CE25AF">
        <w:rPr>
          <w:rFonts w:cstheme="minorHAnsi"/>
          <w:szCs w:val="24"/>
        </w:rPr>
        <w:t>Ministerstvo školství, mládeže a tělovýchovy (dále také „MŠMT“)</w:t>
      </w:r>
      <w:r>
        <w:rPr>
          <w:rFonts w:cstheme="minorHAnsi"/>
          <w:szCs w:val="24"/>
        </w:rPr>
        <w:t>;</w:t>
      </w:r>
    </w:p>
    <w:p w14:paraId="700520D7" w14:textId="77777777" w:rsidR="004D6B7A" w:rsidRPr="00CE25AF" w:rsidRDefault="004D6B7A">
      <w:pPr>
        <w:pStyle w:val="Zkladn"/>
        <w:spacing w:before="0" w:after="0" w:line="240" w:lineRule="auto"/>
        <w:rPr>
          <w:rFonts w:cstheme="minorHAnsi"/>
          <w:szCs w:val="24"/>
        </w:rPr>
      </w:pPr>
      <w:r w:rsidRPr="00CE25AF">
        <w:rPr>
          <w:rFonts w:cstheme="minorHAnsi"/>
          <w:szCs w:val="24"/>
        </w:rPr>
        <w:t>Ministerstvo zdravotnictví (dále také „MZd“).</w:t>
      </w:r>
    </w:p>
    <w:p w14:paraId="0FC9C907" w14:textId="77777777" w:rsidR="004D6B7A" w:rsidRPr="00CE25AF" w:rsidRDefault="004D6B7A">
      <w:pPr>
        <w:spacing w:line="240" w:lineRule="auto"/>
        <w:rPr>
          <w:rFonts w:cstheme="minorHAnsi"/>
          <w:szCs w:val="24"/>
        </w:rPr>
      </w:pPr>
    </w:p>
    <w:p w14:paraId="4B31BAD4" w14:textId="77777777" w:rsidR="004D6B7A" w:rsidRPr="00CE25AF" w:rsidRDefault="004D6B7A">
      <w:pPr>
        <w:spacing w:after="240" w:line="240" w:lineRule="auto"/>
      </w:pPr>
    </w:p>
    <w:p w14:paraId="4DD93413" w14:textId="6A90C2ED" w:rsidR="004D6B7A" w:rsidRPr="00EB3511" w:rsidRDefault="004D6B7A">
      <w:pPr>
        <w:spacing w:after="0" w:line="360" w:lineRule="auto"/>
        <w:rPr>
          <w:rFonts w:cstheme="minorHAnsi"/>
          <w:szCs w:val="24"/>
        </w:rPr>
      </w:pPr>
      <w:r w:rsidRPr="00EB3511">
        <w:rPr>
          <w:rFonts w:cstheme="minorHAnsi"/>
          <w:b/>
          <w:i/>
          <w:szCs w:val="24"/>
        </w:rPr>
        <w:t xml:space="preserve">K o l e g i u m   N K Ú  </w:t>
      </w:r>
      <w:r w:rsidRPr="00EB3511">
        <w:rPr>
          <w:rFonts w:cstheme="minorHAnsi"/>
          <w:szCs w:val="24"/>
        </w:rPr>
        <w:t xml:space="preserve"> na svém </w:t>
      </w:r>
      <w:r w:rsidR="00104411" w:rsidRPr="00EB3511">
        <w:rPr>
          <w:rFonts w:cstheme="minorHAnsi"/>
          <w:szCs w:val="24"/>
        </w:rPr>
        <w:t>X</w:t>
      </w:r>
      <w:r w:rsidR="00EB3511" w:rsidRPr="00EB3511">
        <w:rPr>
          <w:rFonts w:cstheme="minorHAnsi"/>
          <w:szCs w:val="24"/>
        </w:rPr>
        <w:t>VII</w:t>
      </w:r>
      <w:r w:rsidRPr="00EB3511">
        <w:rPr>
          <w:rFonts w:cstheme="minorHAnsi"/>
          <w:szCs w:val="24"/>
        </w:rPr>
        <w:t xml:space="preserve">. jednání, které se konalo dne </w:t>
      </w:r>
      <w:r w:rsidR="00EB3511" w:rsidRPr="00EB3511">
        <w:rPr>
          <w:rFonts w:cstheme="minorHAnsi"/>
          <w:szCs w:val="24"/>
        </w:rPr>
        <w:t>25</w:t>
      </w:r>
      <w:r w:rsidRPr="00EB3511">
        <w:rPr>
          <w:rFonts w:cstheme="minorHAnsi"/>
          <w:szCs w:val="24"/>
        </w:rPr>
        <w:t>. listopadu 2024,</w:t>
      </w:r>
    </w:p>
    <w:p w14:paraId="20AFADAC" w14:textId="169693E1" w:rsidR="004D6B7A" w:rsidRPr="00CE25AF" w:rsidRDefault="004D6B7A">
      <w:pPr>
        <w:pStyle w:val="NormlnKZ"/>
        <w:spacing w:after="0" w:line="360" w:lineRule="auto"/>
        <w:ind w:firstLine="0"/>
        <w:rPr>
          <w:rFonts w:asciiTheme="minorHAnsi" w:hAnsiTheme="minorHAnsi" w:cstheme="minorHAnsi"/>
        </w:rPr>
      </w:pPr>
      <w:r w:rsidRPr="00EB3511">
        <w:rPr>
          <w:rFonts w:asciiTheme="minorHAnsi" w:hAnsiTheme="minorHAnsi" w:cstheme="minorHAnsi"/>
          <w:b/>
          <w:i/>
        </w:rPr>
        <w:t xml:space="preserve">s c h v á l i l o  </w:t>
      </w:r>
      <w:r w:rsidRPr="00EB3511">
        <w:rPr>
          <w:rFonts w:asciiTheme="minorHAnsi" w:hAnsiTheme="minorHAnsi" w:cstheme="minorHAnsi"/>
        </w:rPr>
        <w:t xml:space="preserve"> usnesením č. </w:t>
      </w:r>
      <w:r w:rsidR="001547ED">
        <w:rPr>
          <w:rFonts w:asciiTheme="minorHAnsi" w:hAnsiTheme="minorHAnsi" w:cstheme="minorHAnsi"/>
        </w:rPr>
        <w:t>7</w:t>
      </w:r>
      <w:r w:rsidRPr="00EB3511">
        <w:rPr>
          <w:rFonts w:asciiTheme="minorHAnsi" w:hAnsiTheme="minorHAnsi" w:cstheme="minorHAnsi"/>
        </w:rPr>
        <w:t>/</w:t>
      </w:r>
      <w:r w:rsidR="00EB3511" w:rsidRPr="00EB3511">
        <w:rPr>
          <w:rFonts w:asciiTheme="minorHAnsi" w:hAnsiTheme="minorHAnsi" w:cstheme="minorHAnsi"/>
        </w:rPr>
        <w:t>XVII</w:t>
      </w:r>
      <w:r w:rsidRPr="00EB3511">
        <w:rPr>
          <w:rFonts w:asciiTheme="minorHAnsi" w:hAnsiTheme="minorHAnsi" w:cstheme="minorHAnsi"/>
        </w:rPr>
        <w:t>/2024</w:t>
      </w:r>
    </w:p>
    <w:p w14:paraId="0EA66120" w14:textId="77777777" w:rsidR="004D6B7A" w:rsidRPr="00CE25AF" w:rsidRDefault="004D6B7A">
      <w:pPr>
        <w:spacing w:after="0" w:line="360" w:lineRule="auto"/>
        <w:rPr>
          <w:rFonts w:cstheme="minorHAnsi"/>
          <w:szCs w:val="24"/>
        </w:rPr>
      </w:pPr>
      <w:r w:rsidRPr="00CE25AF">
        <w:rPr>
          <w:rFonts w:cstheme="minorHAnsi"/>
          <w:b/>
          <w:i/>
          <w:szCs w:val="24"/>
        </w:rPr>
        <w:t>k o n t r o l n í   z á v ě r</w:t>
      </w:r>
      <w:r w:rsidRPr="00CE25AF">
        <w:rPr>
          <w:rFonts w:cstheme="minorHAnsi"/>
          <w:szCs w:val="24"/>
        </w:rPr>
        <w:t xml:space="preserve">   v tomto znění:</w:t>
      </w:r>
    </w:p>
    <w:p w14:paraId="1FE8C099" w14:textId="77777777" w:rsidR="004D6B7A" w:rsidRDefault="004D6B7A">
      <w:pPr>
        <w:spacing w:after="0"/>
      </w:pPr>
    </w:p>
    <w:p w14:paraId="3F317B5C" w14:textId="77777777" w:rsidR="009B4397" w:rsidRDefault="009B4397"/>
    <w:p w14:paraId="685640BA" w14:textId="237A9E66" w:rsidR="009B4397" w:rsidRDefault="00813DE3">
      <w:pPr>
        <w:jc w:val="left"/>
      </w:pPr>
      <w:r>
        <w:br w:type="page"/>
      </w:r>
    </w:p>
    <w:p w14:paraId="4AEB015F" w14:textId="060804EF" w:rsidR="00567852" w:rsidRPr="00790872" w:rsidRDefault="00567852">
      <w:pPr>
        <w:pStyle w:val="NormlnKZ"/>
        <w:ind w:left="284" w:firstLine="0"/>
        <w:rPr>
          <w:rFonts w:asciiTheme="majorHAnsi" w:hAnsiTheme="majorHAnsi" w:cstheme="majorHAnsi"/>
          <w:b/>
          <w:color w:val="auto"/>
        </w:rPr>
      </w:pPr>
      <w:r w:rsidRPr="0026283F">
        <w:rPr>
          <w:rFonts w:asciiTheme="majorHAnsi" w:hAnsiTheme="majorHAnsi" w:cstheme="majorHAnsi"/>
          <w:b/>
          <w:noProof/>
          <w:color w:val="2EB3A1"/>
        </w:rPr>
        <w:lastRenderedPageBreak/>
        <w:drawing>
          <wp:inline distT="0" distB="0" distL="0" distR="0" wp14:anchorId="7D3338E1" wp14:editId="34DAA223">
            <wp:extent cx="5397500" cy="1431290"/>
            <wp:effectExtent l="0" t="0" r="1270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4A08350" w14:textId="77777777" w:rsidR="00567852" w:rsidRDefault="00567852">
      <w:pPr>
        <w:spacing w:after="0" w:line="240" w:lineRule="auto"/>
        <w:ind w:left="567"/>
        <w:rPr>
          <w:rFonts w:asciiTheme="majorHAnsi" w:hAnsiTheme="majorHAnsi" w:cstheme="majorHAnsi"/>
        </w:rPr>
      </w:pPr>
    </w:p>
    <w:p w14:paraId="0CDA59D3" w14:textId="77777777" w:rsidR="00567852" w:rsidRDefault="00567852">
      <w:pPr>
        <w:spacing w:after="0" w:line="240" w:lineRule="auto"/>
        <w:ind w:left="567"/>
      </w:pPr>
      <w:r w:rsidRPr="0026283F">
        <w:rPr>
          <w:rFonts w:asciiTheme="majorHAnsi" w:hAnsiTheme="majorHAnsi" w:cstheme="majorHAnsi"/>
          <w:b/>
          <w:noProof/>
          <w:color w:val="AF1953"/>
        </w:rPr>
        <w:drawing>
          <wp:anchor distT="0" distB="0" distL="114300" distR="114300" simplePos="0" relativeHeight="251658244" behindDoc="0" locked="0" layoutInCell="1" allowOverlap="1" wp14:anchorId="50F37616" wp14:editId="7188BE72">
            <wp:simplePos x="0" y="0"/>
            <wp:positionH relativeFrom="margin">
              <wp:posOffset>179070</wp:posOffset>
            </wp:positionH>
            <wp:positionV relativeFrom="paragraph">
              <wp:posOffset>241935</wp:posOffset>
            </wp:positionV>
            <wp:extent cx="5407025" cy="1778000"/>
            <wp:effectExtent l="0" t="0" r="22225" b="0"/>
            <wp:wrapSquare wrapText="bothSides"/>
            <wp:docPr id="30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4AB40" w14:textId="77777777" w:rsidR="00567852" w:rsidRPr="008A32F3" w:rsidDel="009361AB" w:rsidRDefault="00567852">
      <w:pPr>
        <w:rPr>
          <w:sz w:val="16"/>
          <w:szCs w:val="16"/>
        </w:rPr>
      </w:pPr>
    </w:p>
    <w:p w14:paraId="411A878C" w14:textId="58C23154" w:rsidR="00567852" w:rsidRPr="003B6DBB" w:rsidRDefault="00F066F9">
      <w:pPr>
        <w:spacing w:after="240"/>
        <w:jc w:val="center"/>
      </w:pPr>
      <w:r>
        <w:rPr>
          <w:rFonts w:cstheme="minorHAnsi"/>
          <w:b/>
          <w:caps/>
          <w:color w:val="AF1953"/>
          <w:sz w:val="28"/>
          <w:szCs w:val="28"/>
        </w:rPr>
        <w:t xml:space="preserve">REALIZACE PROJEKTŮ </w:t>
      </w:r>
      <w:r w:rsidR="00567852">
        <w:rPr>
          <w:rFonts w:cstheme="minorHAnsi"/>
          <w:b/>
          <w:caps/>
          <w:color w:val="AF1953"/>
          <w:sz w:val="28"/>
          <w:szCs w:val="28"/>
        </w:rPr>
        <w:t>nevedla</w:t>
      </w:r>
      <w:r w:rsidR="00567852" w:rsidRPr="003857AF">
        <w:rPr>
          <w:rFonts w:cstheme="minorHAnsi"/>
          <w:b/>
          <w:caps/>
          <w:color w:val="AF1953"/>
          <w:sz w:val="28"/>
          <w:szCs w:val="28"/>
        </w:rPr>
        <w:t xml:space="preserve"> K </w:t>
      </w:r>
      <w:r w:rsidR="00567852">
        <w:rPr>
          <w:rFonts w:cstheme="minorHAnsi"/>
          <w:b/>
          <w:caps/>
          <w:color w:val="AF1953"/>
          <w:sz w:val="28"/>
          <w:szCs w:val="28"/>
        </w:rPr>
        <w:t>na</w:t>
      </w:r>
      <w:r w:rsidR="00567852" w:rsidRPr="003857AF">
        <w:rPr>
          <w:rFonts w:cstheme="minorHAnsi"/>
          <w:b/>
          <w:caps/>
          <w:color w:val="AF1953"/>
          <w:sz w:val="28"/>
          <w:szCs w:val="28"/>
        </w:rPr>
        <w:t>PLNĚNÍ transformačních cílů</w:t>
      </w:r>
    </w:p>
    <w:p w14:paraId="31CEE2C6" w14:textId="77777777" w:rsidR="00567852" w:rsidRPr="003857AF" w:rsidRDefault="00567852" w:rsidP="001F42D9">
      <w:pPr>
        <w:pStyle w:val="Nadpis2"/>
        <w:widowControl/>
        <w:numPr>
          <w:ilvl w:val="0"/>
          <w:numId w:val="0"/>
        </w:num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DA56A5A" wp14:editId="3DEDD5EA">
                <wp:simplePos x="0" y="0"/>
                <wp:positionH relativeFrom="margin">
                  <wp:align>left</wp:align>
                </wp:positionH>
                <wp:positionV relativeFrom="paragraph">
                  <wp:posOffset>140042</wp:posOffset>
                </wp:positionV>
                <wp:extent cx="5752221" cy="10111"/>
                <wp:effectExtent l="0" t="0" r="20320" b="2857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2221" cy="101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C83AEA" id="Přímá spojnice 22" o:spid="_x0000_s1026" style="position:absolute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452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8DE8265" w14:textId="77777777" w:rsidR="00567852" w:rsidRPr="008A32F3" w:rsidRDefault="00567852" w:rsidP="00AF3A3F">
      <w:pPr>
        <w:pStyle w:val="NormlnKZ"/>
        <w:ind w:firstLine="0"/>
        <w:jc w:val="center"/>
        <w:rPr>
          <w:rFonts w:ascii="Calibri" w:hAnsi="Calibri" w:cs="Calibri"/>
          <w:b/>
          <w:color w:val="2EB3A1"/>
          <w:sz w:val="12"/>
          <w:szCs w:val="12"/>
        </w:rPr>
      </w:pPr>
    </w:p>
    <w:p w14:paraId="3B3D4CEF" w14:textId="77777777" w:rsidR="00567852" w:rsidRPr="00946DE4" w:rsidRDefault="00567852">
      <w:pPr>
        <w:pStyle w:val="NormlnKZ"/>
        <w:spacing w:before="240"/>
        <w:ind w:firstLine="0"/>
        <w:jc w:val="center"/>
        <w:rPr>
          <w:rFonts w:asciiTheme="majorHAnsi" w:hAnsiTheme="majorHAnsi" w:cstheme="majorHAnsi"/>
          <w:b/>
          <w:caps/>
          <w:color w:val="AF1953"/>
        </w:rPr>
      </w:pPr>
      <w:r>
        <w:rPr>
          <w:rFonts w:ascii="Calibri" w:hAnsi="Calibri" w:cs="Calibri"/>
          <w:b/>
          <w:color w:val="2EB3A1"/>
          <w:sz w:val="28"/>
          <w:szCs w:val="28"/>
        </w:rPr>
        <w:t xml:space="preserve">POČET DĚTÍ V ÚSTAVNÍ A PĚSTOUNSKÉ PÉČI A SOUVISEJÍCÍ </w:t>
      </w:r>
      <w:r w:rsidRPr="00E84ABE">
        <w:rPr>
          <w:rFonts w:ascii="Calibri" w:hAnsi="Calibri" w:cs="Calibri"/>
          <w:b/>
          <w:color w:val="2EB3A1"/>
          <w:sz w:val="28"/>
          <w:szCs w:val="28"/>
        </w:rPr>
        <w:t>VÝDAJE</w:t>
      </w:r>
      <w:r w:rsidRPr="00A75099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3435F7" wp14:editId="0C67A35F">
            <wp:extent cx="5760720" cy="3212327"/>
            <wp:effectExtent l="0" t="0" r="0" b="7620"/>
            <wp:docPr id="28" name="Graf 28">
              <a:extLst xmlns:a="http://schemas.openxmlformats.org/drawingml/2006/main">
                <a:ext uri="{FF2B5EF4-FFF2-40B4-BE49-F238E27FC236}">
                  <a16:creationId xmlns:a16="http://schemas.microsoft.com/office/drawing/2014/main" id="{B9C6270A-9670-4FF9-AA57-292EED18F3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BD4A69" w14:textId="2CEB41ED" w:rsidR="00567852" w:rsidRPr="001F42D9" w:rsidRDefault="00567852" w:rsidP="001F42D9">
      <w:pPr>
        <w:pStyle w:val="NormlnKZ"/>
        <w:spacing w:after="0"/>
        <w:ind w:left="993" w:hanging="568"/>
        <w:rPr>
          <w:rFonts w:ascii="Calibri" w:hAnsi="Calibri" w:cs="Calibri"/>
          <w:color w:val="auto"/>
          <w:sz w:val="20"/>
          <w:szCs w:val="20"/>
        </w:rPr>
      </w:pPr>
      <w:r w:rsidRPr="00605B67">
        <w:rPr>
          <w:rFonts w:ascii="Calibri" w:hAnsi="Calibri" w:cs="Calibri"/>
          <w:b/>
          <w:color w:val="auto"/>
          <w:sz w:val="20"/>
          <w:szCs w:val="20"/>
        </w:rPr>
        <w:t>Pozn.:</w:t>
      </w:r>
      <w:r w:rsidRPr="00605B67">
        <w:rPr>
          <w:rFonts w:ascii="Calibri" w:hAnsi="Calibri" w:cs="Calibri"/>
          <w:color w:val="auto"/>
          <w:sz w:val="20"/>
          <w:szCs w:val="20"/>
        </w:rPr>
        <w:tab/>
      </w:r>
      <w:r w:rsidRPr="001F42D9">
        <w:rPr>
          <w:rFonts w:ascii="Calibri" w:hAnsi="Calibri" w:cs="Calibri"/>
          <w:color w:val="auto"/>
          <w:sz w:val="20"/>
          <w:szCs w:val="20"/>
        </w:rPr>
        <w:t>Počty dětí jsou uvedeny za MPSV a MZd k 31. 12., za MŠMT k 31. 10. daného roku</w:t>
      </w:r>
      <w:r w:rsidR="00C57A79">
        <w:rPr>
          <w:rFonts w:ascii="Calibri" w:hAnsi="Calibri" w:cs="Calibri"/>
          <w:color w:val="auto"/>
          <w:sz w:val="20"/>
          <w:szCs w:val="20"/>
        </w:rPr>
        <w:t>.</w:t>
      </w:r>
    </w:p>
    <w:p w14:paraId="2DDC72F7" w14:textId="1B8023A8" w:rsidR="00567852" w:rsidRPr="001F42D9" w:rsidRDefault="00567852" w:rsidP="001F42D9">
      <w:pPr>
        <w:pStyle w:val="NormlnKZ"/>
        <w:spacing w:after="0"/>
        <w:ind w:left="993" w:hanging="993"/>
        <w:rPr>
          <w:rFonts w:ascii="Calibri" w:hAnsi="Calibri" w:cs="Calibri"/>
          <w:color w:val="auto"/>
          <w:sz w:val="20"/>
          <w:szCs w:val="20"/>
        </w:rPr>
      </w:pPr>
      <w:r w:rsidRPr="001F42D9">
        <w:rPr>
          <w:rFonts w:ascii="Calibri" w:hAnsi="Calibri" w:cs="Calibri"/>
          <w:color w:val="auto"/>
          <w:sz w:val="20"/>
          <w:szCs w:val="20"/>
        </w:rPr>
        <w:tab/>
        <w:t>Roční výdaje tvoří součet výdajů na pěstounskou péči, na provoz ústavních zařízení pro péči o děti a</w:t>
      </w:r>
      <w:r w:rsidR="00426881" w:rsidRPr="001F42D9">
        <w:rPr>
          <w:rFonts w:ascii="Calibri" w:hAnsi="Calibri" w:cs="Calibri"/>
          <w:color w:val="auto"/>
          <w:sz w:val="20"/>
          <w:szCs w:val="20"/>
        </w:rPr>
        <w:t> </w:t>
      </w:r>
      <w:r w:rsidRPr="001F42D9">
        <w:rPr>
          <w:rFonts w:ascii="Calibri" w:hAnsi="Calibri" w:cs="Calibri"/>
          <w:color w:val="auto"/>
          <w:sz w:val="20"/>
          <w:szCs w:val="20"/>
        </w:rPr>
        <w:t>mládež a na příspěvek k zajištění výkonu agendy sociálně-právní ochrany dětí.</w:t>
      </w:r>
    </w:p>
    <w:p w14:paraId="5241033A" w14:textId="59F8A4C4" w:rsidR="00A46B2C" w:rsidDel="004B46B2" w:rsidRDefault="00A46B2C">
      <w:pPr>
        <w:pStyle w:val="NormlnKZ"/>
        <w:ind w:firstLine="0"/>
        <w:rPr>
          <w:rFonts w:asciiTheme="majorHAnsi" w:hAnsiTheme="majorHAnsi" w:cstheme="majorHAnsi"/>
          <w:color w:val="auto"/>
          <w:sz w:val="20"/>
          <w:szCs w:val="20"/>
        </w:rPr>
      </w:pPr>
    </w:p>
    <w:p w14:paraId="0A72E1F5" w14:textId="03B917D2" w:rsidR="00DD195C" w:rsidRPr="00BF746A" w:rsidRDefault="00A81C7D">
      <w:pPr>
        <w:pStyle w:val="Nadpis1"/>
        <w:spacing w:before="0" w:after="240" w:line="254" w:lineRule="auto"/>
        <w:ind w:left="426"/>
        <w:rPr>
          <w:sz w:val="28"/>
          <w:szCs w:val="28"/>
        </w:rPr>
      </w:pPr>
      <w:bookmarkStart w:id="0" w:name="_Toc179807881"/>
      <w:r w:rsidRPr="00BF746A">
        <w:rPr>
          <w:sz w:val="28"/>
          <w:szCs w:val="28"/>
        </w:rPr>
        <w:t>I</w:t>
      </w:r>
      <w:r w:rsidR="00E376E8" w:rsidRPr="00BF746A">
        <w:rPr>
          <w:sz w:val="28"/>
          <w:szCs w:val="28"/>
        </w:rPr>
        <w:t>.</w:t>
      </w:r>
      <w:r w:rsidRPr="00BF746A">
        <w:rPr>
          <w:sz w:val="28"/>
          <w:szCs w:val="28"/>
        </w:rPr>
        <w:t xml:space="preserve"> </w:t>
      </w:r>
      <w:r w:rsidR="00C33626" w:rsidRPr="00BF746A">
        <w:rPr>
          <w:sz w:val="28"/>
          <w:szCs w:val="28"/>
        </w:rPr>
        <w:t>Shrnutí a vyhodnocení</w:t>
      </w:r>
      <w:bookmarkEnd w:id="0"/>
    </w:p>
    <w:p w14:paraId="75ADFF37" w14:textId="075E7C8E" w:rsidR="003B3003" w:rsidRPr="00E1736E" w:rsidRDefault="003B3003" w:rsidP="00F12FAF">
      <w:pPr>
        <w:pStyle w:val="Nadpis2"/>
        <w:widowControl/>
        <w:spacing w:before="0" w:after="120" w:line="254" w:lineRule="auto"/>
      </w:pPr>
      <w:r w:rsidRPr="00664C19">
        <w:t xml:space="preserve">NKÚ </w:t>
      </w:r>
      <w:r w:rsidRPr="00E1736E">
        <w:t>prověřil, zda v období 2015–2023 peněžní prostředky státu a Evropské unie (dále také „EU“) na systém péče o</w:t>
      </w:r>
      <w:r w:rsidR="00284A2A">
        <w:t xml:space="preserve"> </w:t>
      </w:r>
      <w:r w:rsidRPr="00E1736E">
        <w:t>ohrožené děti</w:t>
      </w:r>
      <w:r w:rsidR="005B6B9B">
        <w:rPr>
          <w:rStyle w:val="Znakapoznpodarou"/>
          <w:szCs w:val="24"/>
        </w:rPr>
        <w:footnoteReference w:id="2"/>
      </w:r>
      <w:r w:rsidRPr="00E1736E">
        <w:t xml:space="preserve"> a jeho transformaci vynakládal</w:t>
      </w:r>
      <w:r w:rsidR="00422A3C">
        <w:t>y</w:t>
      </w:r>
      <w:r w:rsidRPr="00E1736E">
        <w:t xml:space="preserve"> MPSV, MŠMT</w:t>
      </w:r>
      <w:r w:rsidR="00F007BF">
        <w:t xml:space="preserve"> </w:t>
      </w:r>
      <w:r w:rsidRPr="00E1736E">
        <w:t xml:space="preserve">a MZd účelně a hospodárně. </w:t>
      </w:r>
    </w:p>
    <w:p w14:paraId="7679677D" w14:textId="77777777" w:rsidR="001F42D9" w:rsidRDefault="003B3003" w:rsidP="00F12FAF">
      <w:pPr>
        <w:pStyle w:val="Nadpis2"/>
        <w:widowControl/>
        <w:spacing w:before="0" w:after="120" w:line="254" w:lineRule="auto"/>
      </w:pPr>
      <w:r w:rsidRPr="00E1736E">
        <w:t>Tyto tři resorty v průběhu uvedených devíti let vynaložily ze státního rozpočtu na systém péče o ohrožené děti peněžní prostředky v celkové výši 86,7</w:t>
      </w:r>
      <w:r w:rsidR="00384065">
        <w:t>5</w:t>
      </w:r>
      <w:r w:rsidRPr="00E1736E">
        <w:t xml:space="preserve"> mld. Kč, z toho na výplatu státních příspěvků pěstounům a organizacím věnujícím se doprovázení pěstounů 42,</w:t>
      </w:r>
      <w:r w:rsidR="00F066F9">
        <w:t>1</w:t>
      </w:r>
      <w:r w:rsidR="00384065">
        <w:t>5</w:t>
      </w:r>
      <w:r w:rsidRPr="00E1736E">
        <w:t> mld.</w:t>
      </w:r>
      <w:r w:rsidR="00E376E8" w:rsidRPr="00E1736E">
        <w:t> </w:t>
      </w:r>
      <w:r w:rsidRPr="00E1736E">
        <w:t>Kč, na úhradu provozu ústavních zařízení 31,2</w:t>
      </w:r>
      <w:r w:rsidR="00384065">
        <w:t>8</w:t>
      </w:r>
      <w:r w:rsidRPr="00E1736E">
        <w:t xml:space="preserve"> mld. Kč a na výkon agendy orgánu sociálně-právní ochrany dětí 13,3</w:t>
      </w:r>
      <w:r w:rsidR="00384065">
        <w:t>2</w:t>
      </w:r>
      <w:r w:rsidRPr="00E1736E">
        <w:t xml:space="preserve"> mld. Kč. Mezi lety 2015 a 2023 se </w:t>
      </w:r>
      <w:r w:rsidR="00961E71">
        <w:t xml:space="preserve">celkové </w:t>
      </w:r>
      <w:r w:rsidRPr="00E1736E">
        <w:t>náklady zvýšily o</w:t>
      </w:r>
      <w:r w:rsidR="00727D6A">
        <w:t xml:space="preserve"> </w:t>
      </w:r>
      <w:r w:rsidRPr="00E1736E">
        <w:t>61</w:t>
      </w:r>
      <w:r w:rsidR="00727D6A">
        <w:t xml:space="preserve"> </w:t>
      </w:r>
      <w:r w:rsidRPr="00E1736E">
        <w:t>% a v roce 2023 představovaly výdaje státního rozpočtu 11,</w:t>
      </w:r>
      <w:r w:rsidR="00384065">
        <w:t>79</w:t>
      </w:r>
      <w:r w:rsidRPr="00E1736E">
        <w:t xml:space="preserve"> mld. Kč. </w:t>
      </w:r>
    </w:p>
    <w:p w14:paraId="2F24DFB0" w14:textId="2A842CD5" w:rsidR="003B3003" w:rsidRPr="00856A9D" w:rsidRDefault="00961E71" w:rsidP="00F12FAF">
      <w:pPr>
        <w:pStyle w:val="Nadpis2"/>
        <w:widowControl/>
        <w:spacing w:before="0" w:after="120" w:line="254" w:lineRule="auto"/>
      </w:pPr>
      <w:r>
        <w:t>O</w:t>
      </w:r>
      <w:r w:rsidR="003B3003" w:rsidRPr="00E1736E">
        <w:t xml:space="preserve">d roku 2012 </w:t>
      </w:r>
      <w:r w:rsidR="009361AB">
        <w:t>poskytlo</w:t>
      </w:r>
      <w:r w:rsidRPr="00E1736E">
        <w:t xml:space="preserve"> MPSV</w:t>
      </w:r>
      <w:r>
        <w:t xml:space="preserve"> </w:t>
      </w:r>
      <w:r w:rsidR="003B3003" w:rsidRPr="00E1736E">
        <w:t>70</w:t>
      </w:r>
      <w:r w:rsidR="00C55A98" w:rsidRPr="00E1736E">
        <w:t>1</w:t>
      </w:r>
      <w:r w:rsidR="003B3003" w:rsidRPr="00E1736E">
        <w:t xml:space="preserve"> mil. Kč na </w:t>
      </w:r>
      <w:r w:rsidR="004A49BD">
        <w:t xml:space="preserve">transformační </w:t>
      </w:r>
      <w:r w:rsidR="003B3003" w:rsidRPr="00E1736E">
        <w:t xml:space="preserve">projekty spolufinancované z EU, přičemž </w:t>
      </w:r>
      <w:r w:rsidR="003B3003" w:rsidRPr="00856A9D">
        <w:t xml:space="preserve">část z nich </w:t>
      </w:r>
      <w:r w:rsidRPr="00856A9D">
        <w:t xml:space="preserve">realizovalo </w:t>
      </w:r>
      <w:r w:rsidR="003B3003" w:rsidRPr="00856A9D">
        <w:t>i samo</w:t>
      </w:r>
      <w:r w:rsidRPr="00856A9D">
        <w:t xml:space="preserve"> MPSV</w:t>
      </w:r>
      <w:r w:rsidR="003B3003" w:rsidRPr="00856A9D">
        <w:t xml:space="preserve">. Počty dětí </w:t>
      </w:r>
      <w:r w:rsidR="00BE46C4" w:rsidRPr="00856A9D">
        <w:t>v</w:t>
      </w:r>
      <w:r w:rsidR="003B3003" w:rsidRPr="00856A9D">
        <w:t xml:space="preserve"> </w:t>
      </w:r>
      <w:r w:rsidR="00BE46C4" w:rsidRPr="00856A9D">
        <w:t>ústavní a pěstounské péči</w:t>
      </w:r>
      <w:r w:rsidR="004A49BD" w:rsidRPr="00856A9D">
        <w:t xml:space="preserve">, </w:t>
      </w:r>
      <w:r w:rsidR="003B3003" w:rsidRPr="00856A9D">
        <w:t>kapacita</w:t>
      </w:r>
      <w:r w:rsidR="00BE46C4" w:rsidRPr="00856A9D">
        <w:t xml:space="preserve"> ústavních zařízení a počet pěstounů</w:t>
      </w:r>
      <w:r w:rsidR="003B3003" w:rsidRPr="00856A9D">
        <w:t xml:space="preserve"> jsou obsahem interaktivního zobrazení dat, které společně s výsledky dotazníkového šetření tvoří </w:t>
      </w:r>
      <w:r w:rsidR="00727D6A">
        <w:t>p</w:t>
      </w:r>
      <w:r w:rsidR="003B3003" w:rsidRPr="00856A9D">
        <w:t>řílohu</w:t>
      </w:r>
      <w:r w:rsidR="00727D6A">
        <w:t xml:space="preserve"> </w:t>
      </w:r>
      <w:r w:rsidR="003B3003" w:rsidRPr="00856A9D">
        <w:t>č. 1 kontrolního závěru.</w:t>
      </w:r>
    </w:p>
    <w:p w14:paraId="25C5BA96" w14:textId="77777777" w:rsidR="001F42D9" w:rsidRPr="00433EE4" w:rsidRDefault="001F42D9" w:rsidP="00F12FAF">
      <w:pPr>
        <w:pStyle w:val="Nadpis2"/>
        <w:widowControl/>
        <w:spacing w:before="0" w:after="120" w:line="254" w:lineRule="auto"/>
        <w:rPr>
          <w:b/>
        </w:rPr>
      </w:pPr>
      <w:r w:rsidRPr="00433EE4">
        <w:rPr>
          <w:b/>
        </w:rPr>
        <w:t>MPSV a spolupracující resorty MŠMT a MZd nedokončily ani po 16 letech transformaci systému</w:t>
      </w:r>
      <w:r>
        <w:rPr>
          <w:b/>
        </w:rPr>
        <w:t xml:space="preserve"> a </w:t>
      </w:r>
      <w:r w:rsidRPr="00433EE4">
        <w:rPr>
          <w:b/>
        </w:rPr>
        <w:t>sjednocení systému péče o ohrožené děti. Transformační projekty realizované MPSV, jejichž hodnota dosáhla 498,4</w:t>
      </w:r>
      <w:r>
        <w:rPr>
          <w:b/>
        </w:rPr>
        <w:t xml:space="preserve"> </w:t>
      </w:r>
      <w:r w:rsidRPr="00433EE4">
        <w:rPr>
          <w:b/>
        </w:rPr>
        <w:t>mil.</w:t>
      </w:r>
      <w:r>
        <w:rPr>
          <w:b/>
        </w:rPr>
        <w:t xml:space="preserve"> </w:t>
      </w:r>
      <w:r w:rsidRPr="00433EE4">
        <w:rPr>
          <w:b/>
        </w:rPr>
        <w:t>Kč, nevedly k</w:t>
      </w:r>
      <w:r>
        <w:rPr>
          <w:b/>
        </w:rPr>
        <w:t xml:space="preserve"> </w:t>
      </w:r>
      <w:r w:rsidRPr="00433EE4">
        <w:rPr>
          <w:b/>
        </w:rPr>
        <w:t xml:space="preserve">dosažení transformačních cílů. Počet dětí v ústavní péči se zásadně nesnížil, nedošlo ke sjednocení systému péče pod jeden resort a nebylo dosaženo žádoucích změn v oblasti standardů kvality péče. Účelnost takto vynaložených peněžních prostředků tak byla významně snížena. </w:t>
      </w:r>
    </w:p>
    <w:p w14:paraId="47839870" w14:textId="58E3A3A9" w:rsidR="001F42D9" w:rsidRDefault="001F42D9" w:rsidP="00F12FAF">
      <w:pPr>
        <w:pStyle w:val="Nadpis2"/>
        <w:widowControl/>
        <w:spacing w:before="0" w:after="120" w:line="254" w:lineRule="auto"/>
        <w:rPr>
          <w:b/>
        </w:rPr>
      </w:pPr>
      <w:r w:rsidRPr="00464A41">
        <w:rPr>
          <w:b/>
        </w:rPr>
        <w:t>Na podporu transformace systému</w:t>
      </w:r>
      <w:r w:rsidRPr="00464A41" w:rsidDel="00C25EAC">
        <w:rPr>
          <w:b/>
          <w:szCs w:val="24"/>
        </w:rPr>
        <w:t xml:space="preserve"> </w:t>
      </w:r>
      <w:r w:rsidRPr="00464A41">
        <w:rPr>
          <w:b/>
          <w:szCs w:val="24"/>
        </w:rPr>
        <w:t xml:space="preserve">dále </w:t>
      </w:r>
      <w:r w:rsidRPr="00464A41">
        <w:rPr>
          <w:b/>
        </w:rPr>
        <w:t>MPSV poskytlo 202,9</w:t>
      </w:r>
      <w:r>
        <w:rPr>
          <w:b/>
        </w:rPr>
        <w:t xml:space="preserve"> </w:t>
      </w:r>
      <w:r w:rsidRPr="00464A41">
        <w:rPr>
          <w:b/>
        </w:rPr>
        <w:t xml:space="preserve">mil. Kč v rámci </w:t>
      </w:r>
      <w:r w:rsidR="00605B67">
        <w:rPr>
          <w:b/>
        </w:rPr>
        <w:br/>
      </w:r>
      <w:r w:rsidRPr="00464A41">
        <w:rPr>
          <w:b/>
        </w:rPr>
        <w:t>71</w:t>
      </w:r>
      <w:r w:rsidR="00605B67">
        <w:rPr>
          <w:b/>
        </w:rPr>
        <w:t xml:space="preserve"> </w:t>
      </w:r>
      <w:r w:rsidRPr="00464A41">
        <w:rPr>
          <w:b/>
        </w:rPr>
        <w:t>soutěžních projektů</w:t>
      </w:r>
      <w:r>
        <w:rPr>
          <w:b/>
        </w:rPr>
        <w:t>, které realizovali především poskytovatelé sociálních služeb</w:t>
      </w:r>
      <w:r w:rsidRPr="00464A41">
        <w:rPr>
          <w:b/>
        </w:rPr>
        <w:t xml:space="preserve">. </w:t>
      </w:r>
      <w:r>
        <w:rPr>
          <w:b/>
        </w:rPr>
        <w:t>Příjemci však v těchto projektech</w:t>
      </w:r>
      <w:r w:rsidRPr="00464A41">
        <w:rPr>
          <w:b/>
        </w:rPr>
        <w:t xml:space="preserve"> </w:t>
      </w:r>
      <w:r>
        <w:rPr>
          <w:b/>
        </w:rPr>
        <w:t>o</w:t>
      </w:r>
      <w:r w:rsidRPr="00464A41">
        <w:rPr>
          <w:b/>
        </w:rPr>
        <w:t xml:space="preserve">pakovaně vytvářeli obdobné, vzájemně přenositelné analytické a metodické produkty, a to v období, kdy MPSV realizovalo vlastní systémové projekty, jejichž výstupy byly využitelné v rámci celé ČR. Tato skutečnost významně snížila účelnost vynaložených peněžních prostředků. Současně NKÚ vyhodnotil </w:t>
      </w:r>
      <w:r>
        <w:rPr>
          <w:b/>
        </w:rPr>
        <w:t xml:space="preserve">v případě jednoho projektu peněžní prostředky ve výši </w:t>
      </w:r>
      <w:r w:rsidRPr="00464A41">
        <w:rPr>
          <w:b/>
        </w:rPr>
        <w:t>1,3 mil. Kč jako neúčelně a nehospodárně vynaložené.</w:t>
      </w:r>
    </w:p>
    <w:p w14:paraId="34A61C69" w14:textId="1D3F3E70" w:rsidR="003B3003" w:rsidRPr="00433EE4" w:rsidDel="00454BBE" w:rsidRDefault="00E1571B" w:rsidP="00F12FAF">
      <w:pPr>
        <w:pStyle w:val="Nadpis2"/>
        <w:widowControl/>
        <w:spacing w:before="0" w:after="120" w:line="254" w:lineRule="auto"/>
        <w:rPr>
          <w:b/>
        </w:rPr>
      </w:pPr>
      <w:r w:rsidRPr="00433EE4">
        <w:rPr>
          <w:b/>
        </w:rPr>
        <w:t>Neshody mezi kontrolovanými ministerstvy trvající d</w:t>
      </w:r>
      <w:r w:rsidR="003B3003" w:rsidRPr="00433EE4">
        <w:rPr>
          <w:b/>
        </w:rPr>
        <w:t>o roku 2021 zapříčinily ne</w:t>
      </w:r>
      <w:r w:rsidR="00727D6A">
        <w:rPr>
          <w:b/>
        </w:rPr>
        <w:t>s</w:t>
      </w:r>
      <w:r w:rsidR="003B3003" w:rsidRPr="00433EE4">
        <w:rPr>
          <w:b/>
        </w:rPr>
        <w:t xml:space="preserve">plnění </w:t>
      </w:r>
      <w:r w:rsidR="009F4983" w:rsidRPr="00433EE4">
        <w:rPr>
          <w:b/>
        </w:rPr>
        <w:t xml:space="preserve">úkolu </w:t>
      </w:r>
      <w:r w:rsidRPr="00433EE4">
        <w:rPr>
          <w:b/>
        </w:rPr>
        <w:t>uloženého vládou</w:t>
      </w:r>
      <w:r w:rsidR="009F4983" w:rsidRPr="00433EE4">
        <w:rPr>
          <w:b/>
        </w:rPr>
        <w:t xml:space="preserve"> </w:t>
      </w:r>
      <w:r w:rsidR="003B3003" w:rsidRPr="00433EE4">
        <w:rPr>
          <w:b/>
        </w:rPr>
        <w:t>sjednotit služby pro ohrožené děti pod jeden resort. MPSV</w:t>
      </w:r>
      <w:r w:rsidRPr="00433EE4">
        <w:rPr>
          <w:b/>
        </w:rPr>
        <w:t xml:space="preserve"> v rozporu se zákonem</w:t>
      </w:r>
      <w:r w:rsidRPr="002A5B18">
        <w:rPr>
          <w:rStyle w:val="Znakapoznpodarou"/>
          <w:b/>
          <w:szCs w:val="24"/>
        </w:rPr>
        <w:footnoteReference w:id="3"/>
      </w:r>
      <w:r w:rsidR="003B3003" w:rsidRPr="00433EE4">
        <w:rPr>
          <w:b/>
        </w:rPr>
        <w:t xml:space="preserve"> nezajistilo efektivní informační podporu, což negativně ovlivňuje činnost orgánů v</w:t>
      </w:r>
      <w:r w:rsidR="00727D6A">
        <w:rPr>
          <w:b/>
        </w:rPr>
        <w:t xml:space="preserve"> </w:t>
      </w:r>
      <w:r w:rsidR="003B3003" w:rsidRPr="00433EE4">
        <w:rPr>
          <w:b/>
        </w:rPr>
        <w:t>systému péče o</w:t>
      </w:r>
      <w:r w:rsidR="00727D6A">
        <w:rPr>
          <w:b/>
        </w:rPr>
        <w:t xml:space="preserve"> </w:t>
      </w:r>
      <w:r w:rsidR="003B3003" w:rsidRPr="00433EE4">
        <w:rPr>
          <w:b/>
        </w:rPr>
        <w:t>ohrožené děti</w:t>
      </w:r>
      <w:r w:rsidR="00727D6A">
        <w:rPr>
          <w:b/>
        </w:rPr>
        <w:t>.</w:t>
      </w:r>
      <w:r w:rsidR="003B3003" w:rsidRPr="00433EE4">
        <w:rPr>
          <w:b/>
        </w:rPr>
        <w:t xml:space="preserve"> </w:t>
      </w:r>
      <w:r w:rsidR="00727D6A">
        <w:rPr>
          <w:b/>
        </w:rPr>
        <w:t>Tyto orgány</w:t>
      </w:r>
      <w:r w:rsidR="003B3003" w:rsidRPr="00433EE4">
        <w:rPr>
          <w:b/>
        </w:rPr>
        <w:t xml:space="preserve"> nemají spolehlivé a aktuální údaje o ohrožených dětech, volných kapacitách pěstounů či </w:t>
      </w:r>
      <w:r w:rsidR="00F27BFB" w:rsidRPr="00433EE4">
        <w:rPr>
          <w:b/>
        </w:rPr>
        <w:t>v</w:t>
      </w:r>
      <w:r w:rsidR="00BB731A" w:rsidRPr="00433EE4">
        <w:rPr>
          <w:b/>
        </w:rPr>
        <w:t> </w:t>
      </w:r>
      <w:r w:rsidR="003B3003" w:rsidRPr="00433EE4">
        <w:rPr>
          <w:b/>
        </w:rPr>
        <w:t>ústavních zařízeních. Dosud je k</w:t>
      </w:r>
      <w:r w:rsidR="0075446E">
        <w:rPr>
          <w:b/>
        </w:rPr>
        <w:t xml:space="preserve"> </w:t>
      </w:r>
      <w:r w:rsidR="003B3003" w:rsidRPr="00433EE4">
        <w:rPr>
          <w:b/>
        </w:rPr>
        <w:t>dispozici pouze provizorní řešení založené na sdílených tabulkách.</w:t>
      </w:r>
    </w:p>
    <w:p w14:paraId="639CA7D5" w14:textId="55EC625E" w:rsidR="003B3003" w:rsidRPr="00E1736E" w:rsidRDefault="003B3003" w:rsidP="00F12FAF">
      <w:pPr>
        <w:pStyle w:val="Nadpis2"/>
        <w:widowControl/>
        <w:spacing w:before="0" w:after="120" w:line="256" w:lineRule="auto"/>
      </w:pPr>
      <w:r w:rsidRPr="00E1736E">
        <w:t xml:space="preserve">Toto celkové vyhodnocení vyplývá z následujících </w:t>
      </w:r>
      <w:r w:rsidR="004D0521" w:rsidRPr="00E1736E">
        <w:t>z</w:t>
      </w:r>
      <w:r w:rsidRPr="00E1736E">
        <w:t>jištění:</w:t>
      </w:r>
    </w:p>
    <w:p w14:paraId="0BDF7F5B" w14:textId="2F845C23" w:rsidR="003B3003" w:rsidRPr="00392165" w:rsidRDefault="003B3003" w:rsidP="00F12FAF">
      <w:pPr>
        <w:pStyle w:val="Odstavecseseznamem"/>
        <w:numPr>
          <w:ilvl w:val="0"/>
          <w:numId w:val="71"/>
        </w:numPr>
        <w:spacing w:after="120" w:line="257" w:lineRule="auto"/>
        <w:ind w:left="851" w:hanging="284"/>
        <w:contextualSpacing w:val="0"/>
      </w:pPr>
      <w:r w:rsidRPr="00E1736E">
        <w:t xml:space="preserve">MPSV ve snaze podpořit změny v systému péče o ohrožené děti realizovalo od roku 2012 celkem pět transformačních </w:t>
      </w:r>
      <w:r w:rsidR="006A7B5A">
        <w:t xml:space="preserve">neinvestičních </w:t>
      </w:r>
      <w:r w:rsidRPr="00E1736E">
        <w:t>projektů podpořených z </w:t>
      </w:r>
      <w:r w:rsidR="004D254C">
        <w:t>o</w:t>
      </w:r>
      <w:r w:rsidR="00412CB4">
        <w:t xml:space="preserve">peračního programu </w:t>
      </w:r>
      <w:r w:rsidR="004846A0" w:rsidRPr="001F42D9">
        <w:rPr>
          <w:i/>
          <w:iCs/>
        </w:rPr>
        <w:t>L</w:t>
      </w:r>
      <w:r w:rsidR="00412CB4" w:rsidRPr="001F42D9">
        <w:rPr>
          <w:i/>
          <w:iCs/>
        </w:rPr>
        <w:t>idské zdroje a zaměstnanost</w:t>
      </w:r>
      <w:r w:rsidR="00412CB4">
        <w:t xml:space="preserve"> (dále také „OP LZZ“), </w:t>
      </w:r>
      <w:r w:rsidR="004D254C">
        <w:t>o</w:t>
      </w:r>
      <w:r w:rsidR="00981276" w:rsidRPr="00E1736E">
        <w:t xml:space="preserve">peračního programu </w:t>
      </w:r>
      <w:r w:rsidR="00981276" w:rsidRPr="001F42D9">
        <w:rPr>
          <w:i/>
          <w:iCs/>
        </w:rPr>
        <w:t>Zaměstnanost</w:t>
      </w:r>
      <w:r w:rsidR="00981276" w:rsidRPr="00E1736E">
        <w:t xml:space="preserve"> (dále také „OPZ“)</w:t>
      </w:r>
      <w:r w:rsidR="00412CB4">
        <w:t xml:space="preserve"> a </w:t>
      </w:r>
      <w:r w:rsidR="00727D6A">
        <w:t>o</w:t>
      </w:r>
      <w:r w:rsidR="00412CB4" w:rsidRPr="00E1736E">
        <w:t xml:space="preserve">peračního programu </w:t>
      </w:r>
      <w:r w:rsidR="00412CB4" w:rsidRPr="001F42D9">
        <w:rPr>
          <w:i/>
          <w:iCs/>
        </w:rPr>
        <w:t>Zaměstnanost plus</w:t>
      </w:r>
      <w:r w:rsidR="00412CB4" w:rsidRPr="00E1736E">
        <w:t xml:space="preserve"> (dále také „OPZ+“)</w:t>
      </w:r>
      <w:r w:rsidR="00AF640A">
        <w:t xml:space="preserve"> </w:t>
      </w:r>
      <w:r w:rsidR="00727D6A">
        <w:t xml:space="preserve">částkou </w:t>
      </w:r>
      <w:r w:rsidRPr="00E1736E">
        <w:t>v</w:t>
      </w:r>
      <w:r w:rsidR="00412CB4">
        <w:t> </w:t>
      </w:r>
      <w:r w:rsidRPr="00E1736E">
        <w:t>celkové výši 498,</w:t>
      </w:r>
      <w:r w:rsidR="00C55A98" w:rsidRPr="00E1736E">
        <w:t>4</w:t>
      </w:r>
      <w:r w:rsidRPr="00E1736E">
        <w:t xml:space="preserve"> mil. Kč.</w:t>
      </w:r>
      <w:r w:rsidR="00335176">
        <w:t xml:space="preserve"> Tyto p</w:t>
      </w:r>
      <w:r w:rsidRPr="00E1736E">
        <w:t>rojekt</w:t>
      </w:r>
      <w:r w:rsidR="00335176">
        <w:t>y</w:t>
      </w:r>
      <w:r w:rsidRPr="00E1736E">
        <w:t xml:space="preserve"> však dle zjištění NKÚ v</w:t>
      </w:r>
      <w:r w:rsidR="00412CB4">
        <w:t> </w:t>
      </w:r>
      <w:r w:rsidRPr="00E1736E">
        <w:t>kontrolovaném období nepřinesl</w:t>
      </w:r>
      <w:r w:rsidR="00335176">
        <w:t>y</w:t>
      </w:r>
      <w:r w:rsidRPr="00E1736E">
        <w:t xml:space="preserve"> </w:t>
      </w:r>
      <w:r w:rsidR="00856A9D">
        <w:t>významný posun</w:t>
      </w:r>
      <w:r w:rsidRPr="00E1736E">
        <w:t xml:space="preserve"> ve snižování počtu dětí v</w:t>
      </w:r>
      <w:r w:rsidR="00412CB4">
        <w:t> </w:t>
      </w:r>
      <w:r w:rsidRPr="00E1736E">
        <w:t xml:space="preserve">ústavních zařízeních </w:t>
      </w:r>
      <w:r w:rsidR="00F27BFB">
        <w:t>ani</w:t>
      </w:r>
      <w:r w:rsidR="004D254C">
        <w:t xml:space="preserve"> </w:t>
      </w:r>
      <w:r w:rsidRPr="00E1736E">
        <w:t>v</w:t>
      </w:r>
      <w:r w:rsidR="00412CB4">
        <w:t> </w:t>
      </w:r>
      <w:r w:rsidRPr="00E1736E">
        <w:t xml:space="preserve">podpoře náhradní rodinné péče. Orgány věnující se péči o děti stále nemají stanovené jednotné </w:t>
      </w:r>
      <w:r w:rsidRPr="00F32191">
        <w:t>standardy kvality</w:t>
      </w:r>
      <w:r w:rsidR="00F32191" w:rsidRPr="004846A0">
        <w:t xml:space="preserve"> péče</w:t>
      </w:r>
      <w:r w:rsidR="00F26F6B">
        <w:t>.</w:t>
      </w:r>
      <w:r w:rsidRPr="00E1736E">
        <w:t xml:space="preserve"> </w:t>
      </w:r>
      <w:r w:rsidR="00F26F6B">
        <w:t>I</w:t>
      </w:r>
      <w:r w:rsidRPr="00E1736E">
        <w:t xml:space="preserve">nformační podporu </w:t>
      </w:r>
      <w:r w:rsidR="004A067C">
        <w:t>činností v</w:t>
      </w:r>
      <w:r w:rsidR="00412CB4">
        <w:t> </w:t>
      </w:r>
      <w:r w:rsidRPr="00E1736E">
        <w:t>agend</w:t>
      </w:r>
      <w:r w:rsidR="004A067C">
        <w:t>ě</w:t>
      </w:r>
      <w:r w:rsidRPr="00E1736E">
        <w:t xml:space="preserve"> sociálně-právní ochrany dětí</w:t>
      </w:r>
      <w:r w:rsidR="004A067C">
        <w:t xml:space="preserve"> </w:t>
      </w:r>
      <w:r w:rsidR="00727D6A">
        <w:t xml:space="preserve">nezajišťovalo </w:t>
      </w:r>
      <w:r w:rsidRPr="00E1736E">
        <w:t xml:space="preserve">MPSV řadu let </w:t>
      </w:r>
      <w:r w:rsidR="00F26F6B">
        <w:t>podle požadavků zákona</w:t>
      </w:r>
      <w:r w:rsidRPr="00E1736E">
        <w:t xml:space="preserve">. </w:t>
      </w:r>
      <w:r w:rsidR="00F32191">
        <w:t>Vzhledem k</w:t>
      </w:r>
      <w:r w:rsidR="004D254C">
        <w:t xml:space="preserve"> </w:t>
      </w:r>
      <w:r w:rsidR="00F32191">
        <w:t>nenaplnění cílů transformačních aktivit tak byla účelnost vynaložených peněžních prostředků</w:t>
      </w:r>
      <w:r w:rsidR="00C171F2">
        <w:t xml:space="preserve"> </w:t>
      </w:r>
      <w:r w:rsidR="008F76D7" w:rsidRPr="007B2755">
        <w:rPr>
          <w:szCs w:val="24"/>
        </w:rPr>
        <w:t xml:space="preserve">významně snížena. </w:t>
      </w:r>
      <w:r w:rsidRPr="00E1736E">
        <w:t>(Viz odstavce</w:t>
      </w:r>
      <w:r w:rsidR="00AC72EE" w:rsidRPr="00E1736E">
        <w:t xml:space="preserve"> </w:t>
      </w:r>
      <w:r w:rsidR="00CA3641" w:rsidRPr="00E1736E">
        <w:t>4.</w:t>
      </w:r>
      <w:r w:rsidR="00295953">
        <w:t>7</w:t>
      </w:r>
      <w:r w:rsidR="005145FD" w:rsidRPr="00E1736E">
        <w:t xml:space="preserve"> až 4.1</w:t>
      </w:r>
      <w:r w:rsidR="00295953">
        <w:t>4.</w:t>
      </w:r>
      <w:r w:rsidR="00AC72EE" w:rsidRPr="00E1736E">
        <w:t>)</w:t>
      </w:r>
    </w:p>
    <w:p w14:paraId="49F4ABFA" w14:textId="468D259B" w:rsidR="00E47261" w:rsidRDefault="00EE3D48" w:rsidP="00F12FAF">
      <w:pPr>
        <w:pStyle w:val="Odstavecseseznamem"/>
        <w:numPr>
          <w:ilvl w:val="0"/>
          <w:numId w:val="71"/>
        </w:numPr>
        <w:spacing w:after="0" w:line="257" w:lineRule="auto"/>
        <w:ind w:left="851" w:hanging="284"/>
        <w:contextualSpacing w:val="0"/>
      </w:pPr>
      <w:r w:rsidRPr="007B2755">
        <w:rPr>
          <w:szCs w:val="24"/>
        </w:rPr>
        <w:t xml:space="preserve">Dále </w:t>
      </w:r>
      <w:r w:rsidRPr="007B2755">
        <w:t xml:space="preserve">MPSV schválilo k podpoře transformace systému 71 soutěžních projektů ve výši </w:t>
      </w:r>
      <w:r w:rsidR="004D254C">
        <w:br/>
      </w:r>
      <w:r w:rsidRPr="007B2755">
        <w:t>202,9</w:t>
      </w:r>
      <w:r w:rsidR="004D254C">
        <w:t xml:space="preserve"> </w:t>
      </w:r>
      <w:r w:rsidRPr="007B2755">
        <w:t>mil. Kč</w:t>
      </w:r>
      <w:r w:rsidR="003B3003" w:rsidRPr="00C31E9F">
        <w:t>, jejichž realizace rovněž měla přispět k</w:t>
      </w:r>
      <w:r w:rsidR="00412CB4" w:rsidRPr="00C31E9F">
        <w:t> </w:t>
      </w:r>
      <w:r w:rsidR="003B3003" w:rsidRPr="00C31E9F">
        <w:t>transformaci systému péče o</w:t>
      </w:r>
      <w:r w:rsidR="00CD4428">
        <w:t> </w:t>
      </w:r>
      <w:r w:rsidR="003B3003" w:rsidRPr="00C31E9F">
        <w:t>ohrožené děti a zkvalitnění péče poskytované různými subjekty v</w:t>
      </w:r>
      <w:r w:rsidR="00C967A2">
        <w:t> České republice (dále také „</w:t>
      </w:r>
      <w:r w:rsidR="003B3003" w:rsidRPr="00C31E9F">
        <w:t>ČR</w:t>
      </w:r>
      <w:r w:rsidR="00C967A2">
        <w:t>“)</w:t>
      </w:r>
      <w:r w:rsidR="003B3003" w:rsidRPr="00C31E9F">
        <w:t>. V</w:t>
      </w:r>
      <w:r w:rsidR="00412CB4" w:rsidRPr="00C31E9F">
        <w:t> </w:t>
      </w:r>
      <w:r w:rsidR="003B3003" w:rsidRPr="00C31E9F">
        <w:t xml:space="preserve">68 projektech příjemci </w:t>
      </w:r>
      <w:r w:rsidR="001B7723">
        <w:t xml:space="preserve">dotací </w:t>
      </w:r>
      <w:r w:rsidR="003B3003" w:rsidRPr="00C31E9F">
        <w:t xml:space="preserve">dodali </w:t>
      </w:r>
      <w:r w:rsidR="001B7723">
        <w:t xml:space="preserve">jako finální výstup </w:t>
      </w:r>
      <w:r w:rsidR="003B3003" w:rsidRPr="00C31E9F">
        <w:t>metodiky a u 28 projektů byly výstupem analýzy</w:t>
      </w:r>
      <w:r w:rsidR="00E330E3" w:rsidRPr="00C31E9F">
        <w:t>, v některých projekt</w:t>
      </w:r>
      <w:r w:rsidR="007D0A59">
        <w:t>ech</w:t>
      </w:r>
      <w:r w:rsidR="00E330E3" w:rsidRPr="00D9523C">
        <w:t xml:space="preserve"> vznikaly metodiky </w:t>
      </w:r>
      <w:r w:rsidR="00605B67">
        <w:br/>
      </w:r>
      <w:r w:rsidR="00E330E3" w:rsidRPr="00D9523C">
        <w:t>i</w:t>
      </w:r>
      <w:r w:rsidR="00605B67">
        <w:t xml:space="preserve"> </w:t>
      </w:r>
      <w:r w:rsidR="00E330E3" w:rsidRPr="00D9523C">
        <w:t>analýzy</w:t>
      </w:r>
      <w:r w:rsidR="001B7723">
        <w:t xml:space="preserve"> zároveň</w:t>
      </w:r>
      <w:r w:rsidR="004F0FD6" w:rsidRPr="00D9523C">
        <w:t>.</w:t>
      </w:r>
      <w:r w:rsidR="003B3003" w:rsidRPr="00D9523C">
        <w:t xml:space="preserve"> </w:t>
      </w:r>
      <w:r w:rsidR="00E330E3" w:rsidRPr="00D866B2">
        <w:t xml:space="preserve">NKÚ zjistil, že </w:t>
      </w:r>
      <w:r w:rsidR="003B3003" w:rsidRPr="000E747C">
        <w:t>ve sho</w:t>
      </w:r>
      <w:r w:rsidR="003B3003" w:rsidRPr="00C31E9F">
        <w:t>dném období obdobné a celorepublikově využitelné materiály</w:t>
      </w:r>
      <w:r w:rsidR="000A0E5D" w:rsidRPr="00C31E9F">
        <w:t xml:space="preserve"> vytvářelo ve</w:t>
      </w:r>
      <w:r w:rsidR="007F3882" w:rsidRPr="00C31E9F">
        <w:t xml:space="preserve"> </w:t>
      </w:r>
      <w:r w:rsidR="000A0E5D" w:rsidRPr="00C31E9F">
        <w:t>vlastních projektech rovněž samo MPSV</w:t>
      </w:r>
      <w:r w:rsidR="003B3003" w:rsidRPr="00C31E9F">
        <w:t xml:space="preserve">. </w:t>
      </w:r>
      <w:r w:rsidR="00940BE9">
        <w:t>Ú</w:t>
      </w:r>
      <w:r w:rsidR="008F76D7" w:rsidRPr="007B2755">
        <w:rPr>
          <w:szCs w:val="24"/>
        </w:rPr>
        <w:t xml:space="preserve">čelnost </w:t>
      </w:r>
      <w:r w:rsidR="00940BE9">
        <w:rPr>
          <w:szCs w:val="24"/>
        </w:rPr>
        <w:t>takto</w:t>
      </w:r>
      <w:r w:rsidR="008F76D7" w:rsidRPr="007B2755">
        <w:rPr>
          <w:szCs w:val="24"/>
        </w:rPr>
        <w:t xml:space="preserve"> vynaložených peněžních prostředků tak byla významně snížena</w:t>
      </w:r>
      <w:r w:rsidR="00A4059A">
        <w:rPr>
          <w:szCs w:val="24"/>
        </w:rPr>
        <w:t xml:space="preserve"> a p</w:t>
      </w:r>
      <w:r w:rsidR="003B3003" w:rsidRPr="00D9523C">
        <w:t>řínos</w:t>
      </w:r>
      <w:r w:rsidR="003B3003" w:rsidRPr="00E1736E">
        <w:t xml:space="preserve"> projektů pro dosažení cílů transformace systému péče o ohrožené děti byl omezený. (Viz odstavce</w:t>
      </w:r>
      <w:r w:rsidR="000C2C7E" w:rsidRPr="00E1736E">
        <w:t xml:space="preserve"> 4.</w:t>
      </w:r>
      <w:r w:rsidR="005939BC">
        <w:t>15</w:t>
      </w:r>
      <w:r w:rsidR="00CC5B48">
        <w:t xml:space="preserve"> </w:t>
      </w:r>
      <w:r w:rsidR="00AC72EE" w:rsidRPr="00E1736E">
        <w:t xml:space="preserve">až </w:t>
      </w:r>
      <w:r w:rsidR="000C2C7E" w:rsidRPr="00E1736E">
        <w:t>4.</w:t>
      </w:r>
      <w:r w:rsidR="005939BC">
        <w:t>21</w:t>
      </w:r>
      <w:r w:rsidR="003B3A25">
        <w:t>.</w:t>
      </w:r>
      <w:r w:rsidR="003B3003" w:rsidRPr="00E1736E">
        <w:t>)</w:t>
      </w:r>
    </w:p>
    <w:p w14:paraId="18258BE5" w14:textId="4BA4272E" w:rsidR="003B3003" w:rsidRPr="00E1736E" w:rsidRDefault="000D61D4" w:rsidP="00F12FAF">
      <w:pPr>
        <w:pStyle w:val="Odstavecseseznamem"/>
        <w:spacing w:after="120" w:line="257" w:lineRule="auto"/>
        <w:ind w:left="851"/>
        <w:contextualSpacing w:val="0"/>
      </w:pPr>
      <w:r>
        <w:t>U dvou projektů schv</w:t>
      </w:r>
      <w:r w:rsidR="00941572">
        <w:t>álených</w:t>
      </w:r>
      <w:r>
        <w:t xml:space="preserve"> M</w:t>
      </w:r>
      <w:r w:rsidR="004D254C">
        <w:t>inisterstvem práce a sociálních věcí</w:t>
      </w:r>
      <w:r>
        <w:t xml:space="preserve"> </w:t>
      </w:r>
      <w:r w:rsidR="004D254C">
        <w:t xml:space="preserve">NKÚ </w:t>
      </w:r>
      <w:r w:rsidRPr="007B2755">
        <w:t>zjistil, že uhrazené výstupy nebyly po šesti letech od ukončení projektu funkční a MPSV nezajistilo ani auditní stopu, která by prokázala, že tyto výstupy vůbec vznikly.</w:t>
      </w:r>
      <w:r w:rsidRPr="007B2755" w:rsidDel="008F76D7">
        <w:t xml:space="preserve"> </w:t>
      </w:r>
      <w:r w:rsidRPr="007B2755">
        <w:t>V rámci jednoho soutěžního projektu</w:t>
      </w:r>
      <w:r w:rsidR="009A3E75">
        <w:t>, u</w:t>
      </w:r>
      <w:r w:rsidR="00C40266">
        <w:t xml:space="preserve"> </w:t>
      </w:r>
      <w:r w:rsidR="009A3E75">
        <w:t xml:space="preserve">něhož MPSV </w:t>
      </w:r>
      <w:r w:rsidR="00F32191">
        <w:t xml:space="preserve">poskytlo </w:t>
      </w:r>
      <w:r w:rsidR="009A3E75">
        <w:t>příjemci 1,3 mil. Kč</w:t>
      </w:r>
      <w:r w:rsidR="00402A07">
        <w:t>,</w:t>
      </w:r>
      <w:r w:rsidRPr="007B2755">
        <w:t xml:space="preserve"> NKÚ </w:t>
      </w:r>
      <w:r w:rsidR="009538EE">
        <w:t>vyhodnotil</w:t>
      </w:r>
      <w:r w:rsidRPr="007B2755">
        <w:t xml:space="preserve">, že </w:t>
      </w:r>
      <w:r w:rsidR="009A3E75">
        <w:t xml:space="preserve">MPSV vydalo </w:t>
      </w:r>
      <w:r w:rsidRPr="007B2755">
        <w:t>peněžní prostředky</w:t>
      </w:r>
      <w:r w:rsidR="009A3E75">
        <w:t xml:space="preserve"> </w:t>
      </w:r>
      <w:r w:rsidR="00F32191">
        <w:t>v</w:t>
      </w:r>
      <w:r w:rsidR="0075446E">
        <w:t xml:space="preserve"> </w:t>
      </w:r>
      <w:r w:rsidR="00F32191">
        <w:t>rozporu s</w:t>
      </w:r>
      <w:r w:rsidR="0075446E">
        <w:t xml:space="preserve"> </w:t>
      </w:r>
      <w:r w:rsidR="00F32191">
        <w:t xml:space="preserve">právními předpisy </w:t>
      </w:r>
      <w:r w:rsidR="00040043" w:rsidRPr="007B2755">
        <w:t>neúčelně a nehospodárně</w:t>
      </w:r>
      <w:r w:rsidR="00040043">
        <w:t>, protože</w:t>
      </w:r>
      <w:r w:rsidR="009A3E75">
        <w:t xml:space="preserve"> projekt</w:t>
      </w:r>
      <w:r w:rsidR="00040043">
        <w:t xml:space="preserve"> byl nepotřebný</w:t>
      </w:r>
      <w:r w:rsidR="00F32191">
        <w:t xml:space="preserve">. Jedná se o skutečnost </w:t>
      </w:r>
      <w:r w:rsidRPr="007B2755">
        <w:t>nasvědčuj</w:t>
      </w:r>
      <w:r w:rsidR="005219D0">
        <w:t>í</w:t>
      </w:r>
      <w:r w:rsidR="00F32191">
        <w:t>cí</w:t>
      </w:r>
      <w:r w:rsidRPr="007B2755">
        <w:t xml:space="preserve"> porušení rozpočtové kázně.</w:t>
      </w:r>
      <w:r w:rsidR="00E47261" w:rsidRPr="00E47261">
        <w:t xml:space="preserve"> </w:t>
      </w:r>
    </w:p>
    <w:p w14:paraId="73748EC1" w14:textId="4A981ED6" w:rsidR="003B3003" w:rsidRPr="00E1736E" w:rsidRDefault="003B3003" w:rsidP="00F12FAF">
      <w:pPr>
        <w:pStyle w:val="Odstavecseseznamem"/>
        <w:numPr>
          <w:ilvl w:val="0"/>
          <w:numId w:val="71"/>
        </w:numPr>
        <w:spacing w:after="120" w:line="257" w:lineRule="auto"/>
        <w:ind w:left="851" w:hanging="284"/>
        <w:contextualSpacing w:val="0"/>
      </w:pPr>
      <w:r w:rsidRPr="00E1736E">
        <w:t xml:space="preserve">Od roku 2015 vzniklo nejen napříč resorty MPSV, MŠMT a MZd minimálně </w:t>
      </w:r>
      <w:r w:rsidR="004D254C">
        <w:br/>
      </w:r>
      <w:r w:rsidRPr="00E1736E">
        <w:t>32 strategických a koncepčních dokumentů, které se dotýkaly problematiky ohrožených dětí</w:t>
      </w:r>
      <w:r w:rsidR="005219D0">
        <w:t xml:space="preserve">, </w:t>
      </w:r>
      <w:r w:rsidRPr="00E1736E">
        <w:t>vycház</w:t>
      </w:r>
      <w:r w:rsidR="00C967A2">
        <w:t>ely</w:t>
      </w:r>
      <w:r w:rsidRPr="00E1736E">
        <w:t xml:space="preserve"> z</w:t>
      </w:r>
      <w:r w:rsidR="00412CB4">
        <w:t> </w:t>
      </w:r>
      <w:r w:rsidRPr="001F42D9">
        <w:rPr>
          <w:i/>
          <w:iCs/>
        </w:rPr>
        <w:t>Úmluvy o právech dítěte</w:t>
      </w:r>
      <w:r w:rsidR="000E2BF2">
        <w:rPr>
          <w:rStyle w:val="Znakapoznpodarou"/>
        </w:rPr>
        <w:footnoteReference w:id="4"/>
      </w:r>
      <w:r w:rsidR="000E2BF2">
        <w:t xml:space="preserve"> (dále také „Úmluva“</w:t>
      </w:r>
      <w:r w:rsidR="00392165">
        <w:t>)</w:t>
      </w:r>
      <w:r w:rsidR="005219D0">
        <w:t>, avšak nebyly vzájemně koordinovány</w:t>
      </w:r>
      <w:r w:rsidRPr="00E1736E">
        <w:t xml:space="preserve">. Resorty nespolupracovaly na úrovni nastavených meziresortních pracovních skupin na plnění cílů </w:t>
      </w:r>
      <w:r w:rsidR="005219D0">
        <w:t xml:space="preserve">stanovených ve </w:t>
      </w:r>
      <w:r w:rsidRPr="00E1736E">
        <w:t>strategických dokument</w:t>
      </w:r>
      <w:r w:rsidR="005219D0">
        <w:t>ech</w:t>
      </w:r>
      <w:r w:rsidRPr="00E1736E">
        <w:t>. (Viz</w:t>
      </w:r>
      <w:r w:rsidR="00417DBE" w:rsidRPr="00E1736E">
        <w:t> </w:t>
      </w:r>
      <w:r w:rsidRPr="00E1736E">
        <w:t xml:space="preserve">odstavce </w:t>
      </w:r>
      <w:r w:rsidR="00E37214" w:rsidRPr="00E1736E">
        <w:fldChar w:fldCharType="begin"/>
      </w:r>
      <w:r w:rsidR="00E37214" w:rsidRPr="00E1736E">
        <w:instrText xml:space="preserve"> REF _Ref180427648 \r \h </w:instrText>
      </w:r>
      <w:r w:rsidR="00F7248C" w:rsidRPr="00E1736E">
        <w:instrText xml:space="preserve"> \* MERGEFORMAT </w:instrText>
      </w:r>
      <w:r w:rsidR="00E37214" w:rsidRPr="00E1736E">
        <w:fldChar w:fldCharType="separate"/>
      </w:r>
      <w:r w:rsidR="0077156B">
        <w:t>4.1</w:t>
      </w:r>
      <w:r w:rsidR="00E37214" w:rsidRPr="00E1736E">
        <w:fldChar w:fldCharType="end"/>
      </w:r>
      <w:r w:rsidR="00B13AE2">
        <w:t xml:space="preserve"> až 4.3 a</w:t>
      </w:r>
      <w:r w:rsidR="00CA3641" w:rsidRPr="00E1736E">
        <w:t xml:space="preserve"> 4.</w:t>
      </w:r>
      <w:r w:rsidR="00B13AE2">
        <w:t>5</w:t>
      </w:r>
      <w:r w:rsidR="003B3A25">
        <w:t>.</w:t>
      </w:r>
      <w:r w:rsidRPr="00E1736E">
        <w:t>)</w:t>
      </w:r>
    </w:p>
    <w:p w14:paraId="599575A7" w14:textId="41B82D76" w:rsidR="003B3003" w:rsidRPr="00E1736E" w:rsidRDefault="003B3003" w:rsidP="00F12FAF">
      <w:pPr>
        <w:pStyle w:val="Odstavecseseznamem"/>
        <w:numPr>
          <w:ilvl w:val="0"/>
          <w:numId w:val="71"/>
        </w:numPr>
        <w:spacing w:after="120" w:line="257" w:lineRule="auto"/>
        <w:ind w:left="851" w:hanging="284"/>
        <w:contextualSpacing w:val="0"/>
      </w:pPr>
      <w:r w:rsidRPr="00E1736E">
        <w:t xml:space="preserve">Do doby ukončení kontroly neexistovala jednotná právní úprava (zákon o podpoře rodin a ochraně dětí), </w:t>
      </w:r>
      <w:r w:rsidR="00B868BE">
        <w:t>jejíž návrh</w:t>
      </w:r>
      <w:r w:rsidR="00B868BE" w:rsidRPr="00E1736E">
        <w:t xml:space="preserve"> </w:t>
      </w:r>
      <w:r w:rsidRPr="00E1736E">
        <w:t>mělo MPSV původně zpracovat do prosince 2014</w:t>
      </w:r>
      <w:r w:rsidR="00B868BE">
        <w:rPr>
          <w:rStyle w:val="Znakapoznpodarou"/>
        </w:rPr>
        <w:footnoteReference w:id="5"/>
      </w:r>
      <w:r w:rsidRPr="00E1736E">
        <w:t>. Důležitým krokem pro zlepšení metodického vedení v</w:t>
      </w:r>
      <w:r w:rsidR="00412CB4">
        <w:t> </w:t>
      </w:r>
      <w:r w:rsidRPr="00E1736E">
        <w:t>systému péče o ohrožené děti byl návrh na sloučení poskytované péče. Tento záměr vyústil v</w:t>
      </w:r>
      <w:r w:rsidR="009E1B62">
        <w:t xml:space="preserve"> přijetí</w:t>
      </w:r>
      <w:r w:rsidR="00CD4428">
        <w:t xml:space="preserve"> </w:t>
      </w:r>
      <w:r w:rsidRPr="00E1736E">
        <w:t>usnesení vlády</w:t>
      </w:r>
      <w:r w:rsidRPr="00E1736E">
        <w:rPr>
          <w:vertAlign w:val="superscript"/>
        </w:rPr>
        <w:footnoteReference w:id="6"/>
      </w:r>
      <w:r w:rsidRPr="00E1736E">
        <w:t>, kterým bylo MPSV uloženo, aby ve spolupráci s</w:t>
      </w:r>
      <w:r w:rsidR="00412CB4">
        <w:t> </w:t>
      </w:r>
      <w:r w:rsidRPr="00E1736E">
        <w:t xml:space="preserve">MŠMT a MZd předložilo návrh právní úpravy sjednocení služeb pro ohrožené děti pod jeden resort. </w:t>
      </w:r>
      <w:r w:rsidR="008D21BC">
        <w:t>N</w:t>
      </w:r>
      <w:r w:rsidR="008D21BC" w:rsidRPr="00E1736E">
        <w:t xml:space="preserve">eshody mezi kontrolovanými ministerstvy trvající </w:t>
      </w:r>
      <w:r w:rsidR="008D21BC">
        <w:t>d</w:t>
      </w:r>
      <w:r w:rsidRPr="00E1736E">
        <w:t xml:space="preserve">o roku 2021 a neschopnost nalézt </w:t>
      </w:r>
      <w:r w:rsidR="005219D0">
        <w:t>konsenzuální</w:t>
      </w:r>
      <w:r w:rsidR="005219D0" w:rsidRPr="00E1736E">
        <w:t xml:space="preserve"> </w:t>
      </w:r>
      <w:r w:rsidRPr="00E1736E">
        <w:t xml:space="preserve">řešení zapříčinily odklon od tohoto původního zadání. Systémový nedostatek roztříštěnosti agendy péče o ohrožené děti </w:t>
      </w:r>
      <w:r w:rsidR="00A84BE8">
        <w:t>trval do ukončení kontroly</w:t>
      </w:r>
      <w:r w:rsidRPr="00E1736E">
        <w:t>. (Viz odstav</w:t>
      </w:r>
      <w:r w:rsidR="00417DBE" w:rsidRPr="00E1736E">
        <w:t>c</w:t>
      </w:r>
      <w:r w:rsidR="00CA3641" w:rsidRPr="00E1736E">
        <w:t>e 4.</w:t>
      </w:r>
      <w:r w:rsidR="000206F4" w:rsidRPr="00E1736E">
        <w:t>2</w:t>
      </w:r>
      <w:r w:rsidR="00B13AE2">
        <w:t xml:space="preserve"> až</w:t>
      </w:r>
      <w:r w:rsidR="000206F4" w:rsidRPr="00E1736E">
        <w:t xml:space="preserve"> </w:t>
      </w:r>
      <w:r w:rsidR="00CA3641" w:rsidRPr="00E1736E">
        <w:t>4.</w:t>
      </w:r>
      <w:r w:rsidR="00B13AE2">
        <w:t>6.</w:t>
      </w:r>
      <w:r w:rsidRPr="00E1736E">
        <w:t>)</w:t>
      </w:r>
    </w:p>
    <w:p w14:paraId="55CF651A" w14:textId="7FA7E582" w:rsidR="003B3003" w:rsidRPr="00E1736E" w:rsidRDefault="00513933" w:rsidP="00F12FAF">
      <w:pPr>
        <w:pStyle w:val="Odstavecseseznamem"/>
        <w:numPr>
          <w:ilvl w:val="0"/>
          <w:numId w:val="71"/>
        </w:numPr>
        <w:spacing w:after="120" w:line="257" w:lineRule="auto"/>
        <w:ind w:left="851" w:hanging="284"/>
        <w:contextualSpacing w:val="0"/>
      </w:pPr>
      <w:r>
        <w:t>V několika případech NKÚ</w:t>
      </w:r>
      <w:r w:rsidRPr="00E1736E">
        <w:t xml:space="preserve"> vyhodnotil </w:t>
      </w:r>
      <w:r>
        <w:t xml:space="preserve">u </w:t>
      </w:r>
      <w:r w:rsidRPr="00E1736E">
        <w:t xml:space="preserve">MPSV a MŠMT </w:t>
      </w:r>
      <w:r w:rsidR="003B3003" w:rsidRPr="00E1736E">
        <w:t>porušení kompetenčního zákona</w:t>
      </w:r>
      <w:r w:rsidR="003B3003" w:rsidRPr="00E1736E">
        <w:rPr>
          <w:vertAlign w:val="superscript"/>
        </w:rPr>
        <w:footnoteReference w:id="7"/>
      </w:r>
      <w:r w:rsidR="003B3003" w:rsidRPr="00E1736E">
        <w:t>, neboť se výše uvedená ministerstva neřídila zákony a usneseními vlády, nečinila opatření k</w:t>
      </w:r>
      <w:r w:rsidR="00412CB4">
        <w:t> </w:t>
      </w:r>
      <w:r w:rsidR="003B3003" w:rsidRPr="00E1736E">
        <w:t>řešení aktuálních otázek a nepečovala o náležitou právní úpravu v</w:t>
      </w:r>
      <w:r w:rsidR="00412CB4">
        <w:t> </w:t>
      </w:r>
      <w:r w:rsidR="003B3003" w:rsidRPr="00E1736E">
        <w:t>oblasti péče o ohrožené děti.</w:t>
      </w:r>
      <w:r>
        <w:t xml:space="preserve"> </w:t>
      </w:r>
      <w:r w:rsidR="003B3003" w:rsidRPr="00E1736E">
        <w:t>(Viz odstavce</w:t>
      </w:r>
      <w:r w:rsidR="00CA3641" w:rsidRPr="00E1736E">
        <w:t xml:space="preserve"> </w:t>
      </w:r>
      <w:r w:rsidR="00B7342B" w:rsidRPr="00E1736E">
        <w:t>4.2</w:t>
      </w:r>
      <w:r w:rsidR="00AB64FB">
        <w:t>,</w:t>
      </w:r>
      <w:r w:rsidR="00B7342B" w:rsidRPr="00E1736E">
        <w:t xml:space="preserve"> 4.</w:t>
      </w:r>
      <w:r w:rsidR="00F15666">
        <w:t>4</w:t>
      </w:r>
      <w:r w:rsidR="00B7342B" w:rsidRPr="00E1736E">
        <w:t xml:space="preserve"> až 4.</w:t>
      </w:r>
      <w:r w:rsidR="00F15666">
        <w:t>6</w:t>
      </w:r>
      <w:r w:rsidR="00F06A4A">
        <w:t xml:space="preserve"> a 4.3</w:t>
      </w:r>
      <w:r w:rsidR="00B72EF5">
        <w:t>1</w:t>
      </w:r>
      <w:r w:rsidR="00411EE3">
        <w:t>.</w:t>
      </w:r>
      <w:r w:rsidR="003B3003" w:rsidRPr="00E1736E">
        <w:t>)</w:t>
      </w:r>
    </w:p>
    <w:p w14:paraId="106683B2" w14:textId="613180FF" w:rsidR="003B3003" w:rsidRPr="00E1736E" w:rsidRDefault="003B3003" w:rsidP="00F12FAF">
      <w:pPr>
        <w:pStyle w:val="Odstavecseseznamem"/>
        <w:numPr>
          <w:ilvl w:val="0"/>
          <w:numId w:val="71"/>
        </w:numPr>
        <w:spacing w:after="120" w:line="257" w:lineRule="auto"/>
        <w:ind w:left="851" w:hanging="284"/>
        <w:contextualSpacing w:val="0"/>
      </w:pPr>
      <w:r w:rsidRPr="00E1736E">
        <w:t>MPSV nenaplnilo požadavky zákona o SPOD</w:t>
      </w:r>
      <w:r w:rsidRPr="00E1736E">
        <w:rPr>
          <w:vertAlign w:val="superscript"/>
        </w:rPr>
        <w:footnoteReference w:id="8"/>
      </w:r>
      <w:r w:rsidRPr="00E1736E">
        <w:t xml:space="preserve">, jelikož od roku 2013 nezajistilo </w:t>
      </w:r>
      <w:r w:rsidR="004D254C">
        <w:t>i</w:t>
      </w:r>
      <w:r w:rsidRPr="00AC7624">
        <w:t>nformační systém sociálně-právní ochran</w:t>
      </w:r>
      <w:r w:rsidR="004D254C">
        <w:t>y</w:t>
      </w:r>
      <w:r w:rsidRPr="00AC7624">
        <w:t xml:space="preserve"> dětí</w:t>
      </w:r>
      <w:r w:rsidRPr="00E1736E">
        <w:t xml:space="preserve"> (dále také „IS SPOD“)</w:t>
      </w:r>
      <w:r w:rsidR="009746C9">
        <w:t>, který by poskytl příslušným</w:t>
      </w:r>
      <w:r w:rsidR="007013BD">
        <w:t xml:space="preserve"> </w:t>
      </w:r>
      <w:r w:rsidR="00984EA2">
        <w:t>orgánům</w:t>
      </w:r>
      <w:r w:rsidR="007013BD">
        <w:t xml:space="preserve"> </w:t>
      </w:r>
      <w:r w:rsidR="00A84BE8">
        <w:t>sociálně-právní ochrany dětí (dále také „</w:t>
      </w:r>
      <w:r w:rsidR="007013BD">
        <w:t>SPOD</w:t>
      </w:r>
      <w:r w:rsidR="00A84BE8">
        <w:t>“)</w:t>
      </w:r>
      <w:r w:rsidRPr="00E1736E">
        <w:t xml:space="preserve"> údaje o</w:t>
      </w:r>
      <w:r w:rsidR="00CD4428">
        <w:t> </w:t>
      </w:r>
      <w:r w:rsidRPr="00E1736E">
        <w:t>žadatelích o zprostředkování osvojení nebo pěstounské péče a o dětech zařazených v</w:t>
      </w:r>
      <w:r w:rsidR="00412CB4">
        <w:t> </w:t>
      </w:r>
      <w:r w:rsidRPr="00E1736E">
        <w:t>evidenci dětí pro zprostředkování osvojení nebo pěstounské péče</w:t>
      </w:r>
      <w:r w:rsidR="007013BD">
        <w:t xml:space="preserve"> </w:t>
      </w:r>
      <w:r w:rsidRPr="00E1736E">
        <w:t>a o</w:t>
      </w:r>
      <w:r w:rsidR="0075446E">
        <w:t xml:space="preserve"> </w:t>
      </w:r>
      <w:r w:rsidRPr="00E1736E">
        <w:t>osobách v</w:t>
      </w:r>
      <w:r w:rsidR="00412CB4">
        <w:t> </w:t>
      </w:r>
      <w:r w:rsidRPr="00E1736E">
        <w:t xml:space="preserve">evidenci. </w:t>
      </w:r>
      <w:r w:rsidR="00F31B35">
        <w:t>V</w:t>
      </w:r>
      <w:r w:rsidR="00412CB4">
        <w:t> </w:t>
      </w:r>
      <w:r w:rsidR="00F31B35">
        <w:t>období 2018</w:t>
      </w:r>
      <w:r w:rsidR="00824101">
        <w:t>–</w:t>
      </w:r>
      <w:r w:rsidR="00837241">
        <w:t xml:space="preserve">2022 </w:t>
      </w:r>
      <w:r w:rsidR="00F31B35">
        <w:t xml:space="preserve">uhradilo MPSV </w:t>
      </w:r>
      <w:r w:rsidR="004E1A1D" w:rsidRPr="00525BEB">
        <w:t>c</w:t>
      </w:r>
      <w:r w:rsidR="004E1A1D" w:rsidRPr="00CB2C90">
        <w:t>elkem 2</w:t>
      </w:r>
      <w:r w:rsidR="00681522">
        <w:t>,</w:t>
      </w:r>
      <w:r w:rsidR="004E1A1D" w:rsidRPr="00CB2C90">
        <w:t>1</w:t>
      </w:r>
      <w:r w:rsidR="00681522">
        <w:t xml:space="preserve"> mil. </w:t>
      </w:r>
      <w:r w:rsidR="004E1A1D" w:rsidRPr="00CB2C90">
        <w:t>Kč</w:t>
      </w:r>
      <w:r w:rsidR="00392165">
        <w:t xml:space="preserve"> </w:t>
      </w:r>
      <w:r w:rsidR="00F31B35">
        <w:t>za analý</w:t>
      </w:r>
      <w:r w:rsidR="00837241">
        <w:t>z</w:t>
      </w:r>
      <w:r w:rsidR="00F31B35">
        <w:t>y a návrhy řešení, které měl</w:t>
      </w:r>
      <w:r w:rsidR="000A2A01">
        <w:t>y</w:t>
      </w:r>
      <w:r w:rsidR="00F31B35">
        <w:t xml:space="preserve"> vést k</w:t>
      </w:r>
      <w:r w:rsidR="0075446E">
        <w:t xml:space="preserve"> </w:t>
      </w:r>
      <w:r w:rsidR="00F31B35">
        <w:t>naplnění zákonných povinností a zároveň k</w:t>
      </w:r>
      <w:r w:rsidR="0075446E">
        <w:t xml:space="preserve"> </w:t>
      </w:r>
      <w:r w:rsidR="00F31B35">
        <w:t>vytvoření efektivního informačního systému</w:t>
      </w:r>
      <w:r w:rsidR="00E1331B" w:rsidRPr="00FE2E7A">
        <w:t xml:space="preserve">. Tyto </w:t>
      </w:r>
      <w:r w:rsidR="00F31B35" w:rsidRPr="00FE2E7A">
        <w:t>návrhy však</w:t>
      </w:r>
      <w:r w:rsidR="00E1331B" w:rsidRPr="00FE2E7A">
        <w:t xml:space="preserve"> MPSV ne</w:t>
      </w:r>
      <w:r w:rsidR="007013BD" w:rsidRPr="00FE2E7A">
        <w:t>v</w:t>
      </w:r>
      <w:r w:rsidR="00E1331B" w:rsidRPr="00FE2E7A">
        <w:t>yužilo</w:t>
      </w:r>
      <w:r w:rsidR="00F066F9">
        <w:t xml:space="preserve"> a IS nevytvořilo</w:t>
      </w:r>
      <w:r w:rsidR="007013BD" w:rsidRPr="00FE2E7A">
        <w:t>, což NKÚ vyhodnotil jako neúčeln</w:t>
      </w:r>
      <w:r w:rsidR="004E1A1D">
        <w:t>é</w:t>
      </w:r>
      <w:r w:rsidR="007013BD" w:rsidRPr="00FE2E7A">
        <w:t xml:space="preserve"> vynaložení peněžních prostředků. </w:t>
      </w:r>
      <w:r w:rsidR="00517F7F" w:rsidRPr="00FE2E7A">
        <w:t>O</w:t>
      </w:r>
      <w:r w:rsidR="00E1331B" w:rsidRPr="00FE2E7A">
        <w:t xml:space="preserve">d roku 2023 vynakládá </w:t>
      </w:r>
      <w:r w:rsidR="00517F7F" w:rsidRPr="00FE2E7A">
        <w:t xml:space="preserve">MPSV </w:t>
      </w:r>
      <w:r w:rsidR="00E1331B" w:rsidRPr="00FE2E7A">
        <w:t>další</w:t>
      </w:r>
      <w:r w:rsidR="009746C9" w:rsidRPr="00FE2E7A">
        <w:t xml:space="preserve"> </w:t>
      </w:r>
      <w:r w:rsidR="00E1331B" w:rsidRPr="00FE2E7A">
        <w:t>peněžní prostředky (až 6,4 mil. Kč</w:t>
      </w:r>
      <w:r w:rsidR="00C3633B">
        <w:rPr>
          <w:rStyle w:val="Znakapoznpodarou"/>
        </w:rPr>
        <w:footnoteReference w:id="9"/>
      </w:r>
      <w:r w:rsidR="00E1331B" w:rsidRPr="00FE2E7A">
        <w:t>) na realizaci jiného řešení</w:t>
      </w:r>
      <w:r w:rsidR="00CC6999">
        <w:t xml:space="preserve">, konkrétně na tvorbu evidence </w:t>
      </w:r>
      <w:r w:rsidR="00E43B72">
        <w:t xml:space="preserve">ve </w:t>
      </w:r>
      <w:r w:rsidR="00E43B72" w:rsidRPr="00EA3C8C">
        <w:t>form</w:t>
      </w:r>
      <w:r w:rsidR="00E43B72">
        <w:t>ě</w:t>
      </w:r>
      <w:r w:rsidR="006F4FFD" w:rsidRPr="00EA3C8C">
        <w:t xml:space="preserve"> sdílených tabulek</w:t>
      </w:r>
      <w:r w:rsidR="00281430">
        <w:t xml:space="preserve"> MS Excel</w:t>
      </w:r>
      <w:r w:rsidR="00CC6999">
        <w:t>. Toto řešení</w:t>
      </w:r>
      <w:r w:rsidR="00E43B72" w:rsidRPr="00E43B72">
        <w:t xml:space="preserve"> </w:t>
      </w:r>
      <w:r w:rsidR="006F4FFD" w:rsidRPr="00FE2E7A">
        <w:t>nesplňuj</w:t>
      </w:r>
      <w:r w:rsidR="00CC6999">
        <w:t>e</w:t>
      </w:r>
      <w:r w:rsidR="006F4FFD" w:rsidRPr="00FE2E7A">
        <w:t xml:space="preserve"> po</w:t>
      </w:r>
      <w:r w:rsidR="00E1331B" w:rsidRPr="00FE2E7A">
        <w:t>žadavk</w:t>
      </w:r>
      <w:r w:rsidR="006F4FFD" w:rsidRPr="00FE2E7A">
        <w:t xml:space="preserve">y </w:t>
      </w:r>
      <w:r w:rsidR="00E1331B" w:rsidRPr="00FE2E7A">
        <w:t xml:space="preserve">zákona a samo MPSV </w:t>
      </w:r>
      <w:r w:rsidR="00CC6999">
        <w:t xml:space="preserve">ho </w:t>
      </w:r>
      <w:r w:rsidR="00E1331B" w:rsidRPr="00FE2E7A">
        <w:t>považuje za provizorní</w:t>
      </w:r>
      <w:r w:rsidR="00F31B35" w:rsidRPr="00FE2E7A">
        <w:t xml:space="preserve">. I tyto peněžní prostředky tak </w:t>
      </w:r>
      <w:r w:rsidR="00517F7F" w:rsidRPr="00FE2E7A">
        <w:t xml:space="preserve">MPSV </w:t>
      </w:r>
      <w:r w:rsidR="00CC6999">
        <w:t>v</w:t>
      </w:r>
      <w:r w:rsidR="004D254C">
        <w:t xml:space="preserve"> </w:t>
      </w:r>
      <w:r w:rsidR="00CC6999">
        <w:t xml:space="preserve">rámci probíhajícího projektu </w:t>
      </w:r>
      <w:r w:rsidR="00517F7F" w:rsidRPr="00FE2E7A">
        <w:t>vynakládá neúčelně</w:t>
      </w:r>
      <w:r w:rsidR="009746C9" w:rsidRPr="00FE2E7A">
        <w:t xml:space="preserve"> a</w:t>
      </w:r>
      <w:r w:rsidR="00CD4428">
        <w:t> </w:t>
      </w:r>
      <w:r w:rsidR="009746C9" w:rsidRPr="00FE2E7A">
        <w:t>neefe</w:t>
      </w:r>
      <w:r w:rsidR="005252F3" w:rsidRPr="00FE2E7A">
        <w:t>k</w:t>
      </w:r>
      <w:r w:rsidR="009746C9" w:rsidRPr="00FE2E7A">
        <w:t>tivně</w:t>
      </w:r>
      <w:r w:rsidR="00E1331B" w:rsidRPr="00FE2E7A">
        <w:t>.</w:t>
      </w:r>
      <w:r w:rsidR="003614C1" w:rsidRPr="00FE2E7A">
        <w:t xml:space="preserve"> </w:t>
      </w:r>
      <w:r w:rsidR="00EE1BD5" w:rsidRPr="00FE2E7A">
        <w:t>Úroveň IT podpor</w:t>
      </w:r>
      <w:r w:rsidR="008D21BC">
        <w:t>y</w:t>
      </w:r>
      <w:r w:rsidR="00EE1BD5" w:rsidRPr="00FE2E7A">
        <w:t xml:space="preserve"> </w:t>
      </w:r>
      <w:r w:rsidR="00F31B35" w:rsidRPr="00FE2E7A">
        <w:t xml:space="preserve">podle zjištění NKÚ </w:t>
      </w:r>
      <w:r w:rsidR="00EE1BD5" w:rsidRPr="00FE2E7A">
        <w:t>nedosáhl</w:t>
      </w:r>
      <w:r w:rsidR="006F4FFD" w:rsidRPr="00FE2E7A">
        <w:t>a</w:t>
      </w:r>
      <w:r w:rsidR="00EE1BD5" w:rsidRPr="00FE2E7A">
        <w:t xml:space="preserve"> </w:t>
      </w:r>
      <w:r w:rsidR="006F4FFD" w:rsidRPr="00FE2E7A">
        <w:t>ani</w:t>
      </w:r>
      <w:r w:rsidR="00EE1BD5" w:rsidRPr="00FE2E7A">
        <w:t xml:space="preserve"> stavu, který si MPSV definovalo již v</w:t>
      </w:r>
      <w:r w:rsidR="00EE1BD5" w:rsidRPr="00FE2E7A" w:rsidDel="00412CB4">
        <w:t xml:space="preserve"> </w:t>
      </w:r>
      <w:r w:rsidR="00EE1BD5" w:rsidRPr="00FE2E7A">
        <w:t xml:space="preserve">roce 2018. </w:t>
      </w:r>
      <w:r w:rsidR="008D21BC">
        <w:t>V důsledku</w:t>
      </w:r>
      <w:r w:rsidR="008D21BC" w:rsidRPr="00FE2E7A">
        <w:t xml:space="preserve"> </w:t>
      </w:r>
      <w:r w:rsidR="00517F7F" w:rsidRPr="00FE2E7A">
        <w:t>nečinnost</w:t>
      </w:r>
      <w:r w:rsidR="00496805">
        <w:t>i</w:t>
      </w:r>
      <w:r w:rsidR="00517F7F" w:rsidRPr="00FE2E7A">
        <w:t xml:space="preserve"> MPSV jsou sociální pracovníci zatíženi nadbytečnou administrativou.</w:t>
      </w:r>
      <w:r w:rsidR="00EE1BD5" w:rsidRPr="00FE2E7A">
        <w:t xml:space="preserve"> </w:t>
      </w:r>
      <w:r w:rsidR="006F4FFD">
        <w:t xml:space="preserve">Pracovníci </w:t>
      </w:r>
      <w:r w:rsidR="00F066F9">
        <w:t>orgánu sociálně-právní ochrany dětí (dále také „</w:t>
      </w:r>
      <w:r w:rsidR="00A84BE8">
        <w:t>O</w:t>
      </w:r>
      <w:r w:rsidR="006F4FFD">
        <w:t>SPOD</w:t>
      </w:r>
      <w:r w:rsidR="00F066F9">
        <w:t>“)</w:t>
      </w:r>
      <w:r w:rsidR="00DE0C99">
        <w:t xml:space="preserve"> </w:t>
      </w:r>
      <w:r w:rsidR="006F4FFD">
        <w:t xml:space="preserve">tak například </w:t>
      </w:r>
      <w:r w:rsidR="00837241">
        <w:t>spis</w:t>
      </w:r>
      <w:r w:rsidR="006F4FFD">
        <w:t xml:space="preserve">y </w:t>
      </w:r>
      <w:r w:rsidR="00DE0C99">
        <w:t xml:space="preserve">stále </w:t>
      </w:r>
      <w:r w:rsidR="006F4FFD">
        <w:t>ne</w:t>
      </w:r>
      <w:r w:rsidR="00837241">
        <w:t>předáv</w:t>
      </w:r>
      <w:r w:rsidR="006F4FFD">
        <w:t>ají</w:t>
      </w:r>
      <w:r w:rsidR="00837241">
        <w:t xml:space="preserve"> elektr</w:t>
      </w:r>
      <w:r w:rsidR="006F4FFD">
        <w:t>o</w:t>
      </w:r>
      <w:r w:rsidR="00837241">
        <w:t xml:space="preserve">nicky </w:t>
      </w:r>
      <w:r w:rsidR="006F4FFD">
        <w:t>v</w:t>
      </w:r>
      <w:r w:rsidR="006F4FFD" w:rsidDel="00412CB4">
        <w:t> </w:t>
      </w:r>
      <w:r w:rsidR="006F4FFD">
        <w:t>jednotném prostředí, a</w:t>
      </w:r>
      <w:r w:rsidR="00837241">
        <w:t>le poštovní službou</w:t>
      </w:r>
      <w:r w:rsidR="00A84BE8">
        <w:t>.</w:t>
      </w:r>
      <w:r w:rsidR="00837241">
        <w:t xml:space="preserve"> </w:t>
      </w:r>
      <w:r w:rsidRPr="00E1736E">
        <w:t>(Viz</w:t>
      </w:r>
      <w:r w:rsidR="00417DBE" w:rsidRPr="00E1736E">
        <w:t> </w:t>
      </w:r>
      <w:r w:rsidRPr="00E1736E">
        <w:t>odstavce</w:t>
      </w:r>
      <w:r w:rsidR="002713FC" w:rsidRPr="00E1736E">
        <w:t xml:space="preserve"> 4.</w:t>
      </w:r>
      <w:r w:rsidR="00660532">
        <w:t>40</w:t>
      </w:r>
      <w:r w:rsidR="00A84BE8">
        <w:t xml:space="preserve"> </w:t>
      </w:r>
      <w:r w:rsidR="00660532">
        <w:t xml:space="preserve">až </w:t>
      </w:r>
      <w:r w:rsidR="002713FC" w:rsidRPr="00E1736E">
        <w:t>4.5</w:t>
      </w:r>
      <w:r w:rsidR="0071076C">
        <w:t>2</w:t>
      </w:r>
      <w:r w:rsidR="00411EE3">
        <w:t>.</w:t>
      </w:r>
      <w:r w:rsidRPr="00E1736E">
        <w:t>)</w:t>
      </w:r>
    </w:p>
    <w:p w14:paraId="47D6F0B2" w14:textId="432E9B6A" w:rsidR="003B3003" w:rsidRPr="00E1736E" w:rsidRDefault="00594E7A" w:rsidP="00F12FAF">
      <w:pPr>
        <w:pStyle w:val="Odstavecseseznamem"/>
        <w:keepNext/>
        <w:keepLines/>
        <w:numPr>
          <w:ilvl w:val="0"/>
          <w:numId w:val="71"/>
        </w:numPr>
        <w:spacing w:after="60" w:line="257" w:lineRule="auto"/>
        <w:ind w:left="851" w:hanging="284"/>
        <w:contextualSpacing w:val="0"/>
      </w:pPr>
      <w:r w:rsidRPr="00E1736E">
        <w:t>Nedostatečná informační podpora znesnadňuje činnost OSPOD při um</w:t>
      </w:r>
      <w:r w:rsidR="00BE56B4">
        <w:t>í</w:t>
      </w:r>
      <w:r w:rsidRPr="00E1736E">
        <w:t xml:space="preserve">sťování dětí do ústavních zařízení. </w:t>
      </w:r>
      <w:r w:rsidR="003B3003" w:rsidRPr="00E1736E">
        <w:t>M</w:t>
      </w:r>
      <w:r>
        <w:t>imo jiné</w:t>
      </w:r>
      <w:r w:rsidR="003B3003" w:rsidRPr="00E1736E">
        <w:t xml:space="preserve"> chybí aktuální a ověřitelná data o volné kapacitě v</w:t>
      </w:r>
      <w:r w:rsidR="00412CB4">
        <w:t> </w:t>
      </w:r>
      <w:r w:rsidR="003B3003" w:rsidRPr="00E1736E">
        <w:t>těchto zařízeních, což zvyšuje časovou náročnost hledání vhodného zařízení</w:t>
      </w:r>
      <w:r w:rsidR="002B52F2">
        <w:t xml:space="preserve">, neboť volné kapacity zařízení musí </w:t>
      </w:r>
      <w:r w:rsidR="00863262">
        <w:t xml:space="preserve">být </w:t>
      </w:r>
      <w:r w:rsidR="002B52F2">
        <w:t>zjišťov</w:t>
      </w:r>
      <w:r w:rsidR="00863262">
        <w:t>ány</w:t>
      </w:r>
      <w:r w:rsidR="002B52F2">
        <w:t xml:space="preserve"> telefonicky</w:t>
      </w:r>
      <w:r w:rsidR="003B3003" w:rsidRPr="00E1736E">
        <w:t>. (Viz odstavce</w:t>
      </w:r>
      <w:r w:rsidR="00C84FE2" w:rsidRPr="00E1736E">
        <w:t xml:space="preserve"> 4.</w:t>
      </w:r>
      <w:r w:rsidR="00411EE3">
        <w:t>26</w:t>
      </w:r>
      <w:r w:rsidR="000206F4" w:rsidRPr="00E1736E">
        <w:t xml:space="preserve"> až 4.2</w:t>
      </w:r>
      <w:r w:rsidR="00411EE3">
        <w:t>8.</w:t>
      </w:r>
      <w:r w:rsidR="003B3003" w:rsidRPr="00E1736E">
        <w:t>)</w:t>
      </w:r>
    </w:p>
    <w:p w14:paraId="6EDB4EA7" w14:textId="0C646D13" w:rsidR="004A2415" w:rsidRPr="00E1736E" w:rsidRDefault="00A81C7D" w:rsidP="00F12FAF">
      <w:pPr>
        <w:pStyle w:val="Nadpis1"/>
        <w:spacing w:before="720" w:after="240" w:line="256" w:lineRule="auto"/>
        <w:ind w:left="284"/>
        <w:rPr>
          <w:sz w:val="28"/>
          <w:szCs w:val="28"/>
        </w:rPr>
      </w:pPr>
      <w:bookmarkStart w:id="1" w:name="_Toc179807882"/>
      <w:r w:rsidRPr="00E1736E">
        <w:rPr>
          <w:sz w:val="28"/>
          <w:szCs w:val="28"/>
        </w:rPr>
        <w:t>II</w:t>
      </w:r>
      <w:r w:rsidR="00E376E8" w:rsidRPr="00E1736E">
        <w:rPr>
          <w:sz w:val="28"/>
          <w:szCs w:val="28"/>
        </w:rPr>
        <w:t>.</w:t>
      </w:r>
      <w:r w:rsidRPr="00E1736E">
        <w:rPr>
          <w:sz w:val="28"/>
          <w:szCs w:val="28"/>
        </w:rPr>
        <w:t xml:space="preserve"> </w:t>
      </w:r>
      <w:r w:rsidR="004A2415" w:rsidRPr="00E1736E">
        <w:rPr>
          <w:sz w:val="28"/>
          <w:szCs w:val="28"/>
        </w:rPr>
        <w:t>Informace o kontrolované oblasti</w:t>
      </w:r>
      <w:bookmarkEnd w:id="1"/>
    </w:p>
    <w:p w14:paraId="6E6543C4" w14:textId="2715E02F" w:rsidR="00823241" w:rsidRPr="00E1736E" w:rsidRDefault="0098306D" w:rsidP="00F12FAF">
      <w:pPr>
        <w:pStyle w:val="Nadpis2"/>
        <w:widowControl/>
        <w:spacing w:before="0" w:after="120" w:line="256" w:lineRule="auto"/>
      </w:pPr>
      <w:r w:rsidRPr="00E1736E">
        <w:t>Péče o ohrožené děti je v</w:t>
      </w:r>
      <w:r w:rsidR="00412CB4">
        <w:t> </w:t>
      </w:r>
      <w:r w:rsidRPr="00E1736E">
        <w:t xml:space="preserve">kompetenci zejména MPSV, MŠMT a MZd. </w:t>
      </w:r>
      <w:r w:rsidR="00361682">
        <w:t>V</w:t>
      </w:r>
      <w:r w:rsidR="004F47FE">
        <w:t xml:space="preserve"> </w:t>
      </w:r>
      <w:r w:rsidR="00361682">
        <w:t xml:space="preserve">roce 2009 zainteresované resorty deklarovaly vůli </w:t>
      </w:r>
      <w:r w:rsidR="00361682" w:rsidRPr="0045025C">
        <w:t>ke sjednocení praktických postupů, metodik a</w:t>
      </w:r>
      <w:r w:rsidR="00426881">
        <w:t> </w:t>
      </w:r>
      <w:r w:rsidR="00361682" w:rsidRPr="0045025C">
        <w:t>legislativy v</w:t>
      </w:r>
      <w:r w:rsidR="00361682">
        <w:t> </w:t>
      </w:r>
      <w:r w:rsidR="00361682" w:rsidRPr="0045025C">
        <w:t>rámci systému péče o ohrožené děti</w:t>
      </w:r>
      <w:r w:rsidR="00361682">
        <w:t xml:space="preserve"> v materiálu </w:t>
      </w:r>
      <w:r w:rsidR="00361682" w:rsidRPr="0045025C">
        <w:rPr>
          <w:i/>
        </w:rPr>
        <w:t>Návrh opatření k</w:t>
      </w:r>
      <w:r w:rsidR="00361682">
        <w:rPr>
          <w:i/>
        </w:rPr>
        <w:t> </w:t>
      </w:r>
      <w:r w:rsidR="00361682" w:rsidRPr="0045025C">
        <w:rPr>
          <w:i/>
        </w:rPr>
        <w:t>transformaci a sjednocení systému péče o ohrožené děti – základní principy</w:t>
      </w:r>
      <w:r w:rsidR="00361682" w:rsidRPr="001F42D9">
        <w:rPr>
          <w:rStyle w:val="Znakapoznpodarou"/>
        </w:rPr>
        <w:footnoteReference w:id="10"/>
      </w:r>
      <w:r w:rsidR="00361682" w:rsidRPr="00AF3A3F">
        <w:t>.</w:t>
      </w:r>
      <w:r w:rsidR="00361682">
        <w:t xml:space="preserve"> MPSV následně zpracovalo </w:t>
      </w:r>
      <w:r w:rsidR="00361682" w:rsidRPr="0045025C">
        <w:rPr>
          <w:i/>
        </w:rPr>
        <w:t>Národní akční plán k</w:t>
      </w:r>
      <w:r w:rsidR="00361682">
        <w:rPr>
          <w:i/>
        </w:rPr>
        <w:t> </w:t>
      </w:r>
      <w:r w:rsidR="00361682" w:rsidRPr="0045025C">
        <w:rPr>
          <w:i/>
        </w:rPr>
        <w:t>transformaci a sjednocení systému péče o</w:t>
      </w:r>
      <w:r w:rsidR="00361682">
        <w:rPr>
          <w:i/>
        </w:rPr>
        <w:t> </w:t>
      </w:r>
      <w:r w:rsidR="00361682" w:rsidRPr="0045025C">
        <w:rPr>
          <w:i/>
        </w:rPr>
        <w:t>ohrožené děti na období 2009–2011</w:t>
      </w:r>
      <w:r w:rsidR="00361682" w:rsidRPr="001F42D9">
        <w:rPr>
          <w:rStyle w:val="Znakapoznpodarou"/>
        </w:rPr>
        <w:footnoteReference w:id="11"/>
      </w:r>
      <w:r w:rsidR="00361682" w:rsidRPr="001F42D9">
        <w:t>,</w:t>
      </w:r>
      <w:r w:rsidR="00361682">
        <w:t xml:space="preserve"> který byl p</w:t>
      </w:r>
      <w:r w:rsidR="00361682" w:rsidRPr="0045025C">
        <w:t>rvní</w:t>
      </w:r>
      <w:r w:rsidR="00361682">
        <w:t>m</w:t>
      </w:r>
      <w:r w:rsidR="00361682" w:rsidRPr="0045025C">
        <w:t xml:space="preserve"> materiál</w:t>
      </w:r>
      <w:r w:rsidR="00361682">
        <w:t>em</w:t>
      </w:r>
      <w:r w:rsidR="00361682" w:rsidRPr="0045025C">
        <w:t xml:space="preserve"> meziresortního charakteru k</w:t>
      </w:r>
      <w:r w:rsidR="00361682">
        <w:t> </w:t>
      </w:r>
      <w:r w:rsidR="00361682" w:rsidRPr="0045025C">
        <w:t>transformaci a sjednocení systému péče o</w:t>
      </w:r>
      <w:r w:rsidR="00361682">
        <w:t> </w:t>
      </w:r>
      <w:r w:rsidR="00361682" w:rsidRPr="0045025C">
        <w:t>ohrožené děti.</w:t>
      </w:r>
      <w:r w:rsidR="00361682">
        <w:t xml:space="preserve"> </w:t>
      </w:r>
      <w:r w:rsidR="003D449C">
        <w:t xml:space="preserve">Dokument mj. uvádí, že cílem </w:t>
      </w:r>
      <w:r w:rsidR="003D449C" w:rsidRPr="003D449C">
        <w:t>transformace systému práce s</w:t>
      </w:r>
      <w:r w:rsidR="00AC7624">
        <w:t> </w:t>
      </w:r>
      <w:r w:rsidR="003D449C" w:rsidRPr="003D449C">
        <w:t>ohroženými dětmi</w:t>
      </w:r>
      <w:r w:rsidR="003D449C">
        <w:t xml:space="preserve"> je z</w:t>
      </w:r>
      <w:r w:rsidR="003D449C" w:rsidRPr="003D449C">
        <w:t>výšení kvality práce a dostupnosti služeb pro ohrožené děti a rodiny</w:t>
      </w:r>
      <w:r w:rsidR="003D449C">
        <w:t>, sj</w:t>
      </w:r>
      <w:r w:rsidR="003D449C" w:rsidRPr="003D449C">
        <w:t>ednocení postupu pracovníků při řešení konkrétní situace ohrožení dítěte</w:t>
      </w:r>
      <w:r w:rsidR="003D449C">
        <w:t xml:space="preserve">, </w:t>
      </w:r>
      <w:r w:rsidR="003D449C" w:rsidRPr="003D449C">
        <w:t xml:space="preserve">snížení počtu dětí dlouhodobě umístěných ve všech typech ústavní péče </w:t>
      </w:r>
      <w:r w:rsidR="003D449C">
        <w:t xml:space="preserve">a </w:t>
      </w:r>
      <w:r w:rsidR="003D449C" w:rsidRPr="003D449C">
        <w:t>podpora rozvoje osobnosti dítěte</w:t>
      </w:r>
      <w:r w:rsidR="004F47FE">
        <w:t>.</w:t>
      </w:r>
      <w:r w:rsidR="00012603">
        <w:rPr>
          <w:rStyle w:val="Znakapoznpodarou"/>
        </w:rPr>
        <w:footnoteReference w:id="12"/>
      </w:r>
    </w:p>
    <w:p w14:paraId="58DAE3B3" w14:textId="289C5C25" w:rsidR="005E58F1" w:rsidRPr="00E1736E" w:rsidRDefault="00746239" w:rsidP="00F12FAF">
      <w:pPr>
        <w:pStyle w:val="Nadpis2"/>
        <w:widowControl/>
        <w:spacing w:before="0" w:after="120" w:line="256" w:lineRule="auto"/>
      </w:pPr>
      <w:bookmarkStart w:id="2" w:name="_Hlk180509839"/>
      <w:r w:rsidRPr="00E1736E">
        <w:t>MPSV je ústředním orgánem státní správy pro péči o rodinu a děti a má největší podíl na činnostech v</w:t>
      </w:r>
      <w:r w:rsidR="00412CB4">
        <w:t> </w:t>
      </w:r>
      <w:r w:rsidRPr="00E1736E">
        <w:t>oblasti sociálně-právní ochrany dětí. Ve vztahu k</w:t>
      </w:r>
      <w:r w:rsidR="00412CB4">
        <w:t> </w:t>
      </w:r>
      <w:r w:rsidRPr="00E1736E">
        <w:t xml:space="preserve">ní vykonává zejména legislativní, metodickou a kontrolní činnost, vytváří </w:t>
      </w:r>
      <w:r w:rsidR="00983E6A">
        <w:t xml:space="preserve">návrhy </w:t>
      </w:r>
      <w:r w:rsidRPr="00E1736E">
        <w:t>právní</w:t>
      </w:r>
      <w:r w:rsidR="00983E6A">
        <w:t>ch</w:t>
      </w:r>
      <w:r w:rsidR="0074085E">
        <w:t xml:space="preserve"> </w:t>
      </w:r>
      <w:r w:rsidRPr="00E1736E">
        <w:t>předpis</w:t>
      </w:r>
      <w:r w:rsidR="00983E6A">
        <w:t>ů</w:t>
      </w:r>
      <w:r w:rsidRPr="00E1736E">
        <w:t>, národní strategie. Dále je odpovědné za zajištění výplat</w:t>
      </w:r>
      <w:r w:rsidR="004379B6">
        <w:t>y</w:t>
      </w:r>
      <w:r w:rsidRPr="00E1736E">
        <w:t xml:space="preserve"> dávek pěstounské péče vč. příspěvku na výkon pěstounské péče, příspěvku provozovatelům zařízení pro děti vyžadující okamžitou pomoc (dále také „ZDVOP“) či transferu na výkon činnosti obce s</w:t>
      </w:r>
      <w:r w:rsidR="00412CB4">
        <w:t> </w:t>
      </w:r>
      <w:r w:rsidRPr="00E1736E">
        <w:t xml:space="preserve">rozšířenou působností </w:t>
      </w:r>
      <w:r w:rsidR="00925894">
        <w:t xml:space="preserve">(dále také „ORP“) </w:t>
      </w:r>
      <w:r w:rsidRPr="00E1736E">
        <w:t>v</w:t>
      </w:r>
      <w:r w:rsidR="00412CB4">
        <w:t> </w:t>
      </w:r>
      <w:r w:rsidRPr="00E1736E">
        <w:t xml:space="preserve">oblasti sociálně-právní ochrany dětí. </w:t>
      </w:r>
    </w:p>
    <w:p w14:paraId="3B5DBE37" w14:textId="0D462AEB" w:rsidR="007F226A" w:rsidRPr="00E1736E" w:rsidRDefault="005E58F1" w:rsidP="00F12FAF">
      <w:pPr>
        <w:pStyle w:val="Nadpis2"/>
        <w:widowControl/>
        <w:spacing w:before="0" w:after="120" w:line="256" w:lineRule="auto"/>
      </w:pPr>
      <w:r w:rsidRPr="00E1736E">
        <w:t>Sociálně-právní ochrana dětí je upravena zákonem o</w:t>
      </w:r>
      <w:r w:rsidR="00CD4428">
        <w:t xml:space="preserve"> </w:t>
      </w:r>
      <w:r w:rsidRPr="00E1736E">
        <w:t xml:space="preserve">SPOD. MPSV koordinuje vnitrostátní agendu týkající se implementace Úmluvy na základě usnesení vlády České republiky ze dne 4. května 2005 č. 530, </w:t>
      </w:r>
      <w:r w:rsidRPr="0008795F">
        <w:rPr>
          <w:i/>
        </w:rPr>
        <w:t>o Analýze současného stavu institucionálního zajištění implementace Úmluvy o právech dítěte</w:t>
      </w:r>
      <w:r w:rsidRPr="00E1736E">
        <w:t xml:space="preserve">. Dále na základě usnesení vlády České republiky ze dne 4. ledna 2012 č. 4, </w:t>
      </w:r>
      <w:r w:rsidRPr="0008795F">
        <w:rPr>
          <w:i/>
        </w:rPr>
        <w:t>o Národní strategii ochrany práv dětí</w:t>
      </w:r>
      <w:r w:rsidR="004F47FE">
        <w:rPr>
          <w:iCs/>
        </w:rPr>
        <w:t>,</w:t>
      </w:r>
      <w:r w:rsidRPr="0008795F">
        <w:rPr>
          <w:i/>
        </w:rPr>
        <w:t xml:space="preserve"> </w:t>
      </w:r>
      <w:r w:rsidRPr="0008795F">
        <w:t xml:space="preserve">mělo MPSV zajistit naplňování ustanovení Úmluvy ve smyslu </w:t>
      </w:r>
      <w:r w:rsidR="004F47FE">
        <w:t>„</w:t>
      </w:r>
      <w:r w:rsidRPr="0008795F">
        <w:t xml:space="preserve">doporučení </w:t>
      </w:r>
      <w:r w:rsidRPr="001F42D9">
        <w:rPr>
          <w:iCs/>
        </w:rPr>
        <w:t>Výboru OSN pro práva dítěte</w:t>
      </w:r>
      <w:r w:rsidR="004F47FE">
        <w:rPr>
          <w:iCs/>
        </w:rPr>
        <w:t>“</w:t>
      </w:r>
      <w:r w:rsidRPr="0008795F">
        <w:t xml:space="preserve"> ze dne 4. srpna 2011 (CRC/C/CZE/CO/3-4) při vypracování navazujících akčních plánů.</w:t>
      </w:r>
      <w:r w:rsidRPr="00E1736E">
        <w:t xml:space="preserve"> </w:t>
      </w:r>
    </w:p>
    <w:p w14:paraId="0038CC0B" w14:textId="4CB69AA8" w:rsidR="00746239" w:rsidRPr="00E1736E" w:rsidRDefault="00746239" w:rsidP="00F12FAF">
      <w:pPr>
        <w:pStyle w:val="Nadpis2"/>
        <w:widowControl/>
        <w:spacing w:before="0" w:after="120" w:line="256" w:lineRule="auto"/>
      </w:pPr>
      <w:r w:rsidRPr="00E1736E">
        <w:t>MŠMT je ústředním</w:t>
      </w:r>
      <w:r w:rsidR="005E58F1" w:rsidRPr="00E1736E">
        <w:t xml:space="preserve"> </w:t>
      </w:r>
      <w:r w:rsidRPr="00E1736E">
        <w:t>orgánem státní správy pro školská zařízení a pro státní péči o děti</w:t>
      </w:r>
      <w:r w:rsidR="00B66703">
        <w:t xml:space="preserve"> </w:t>
      </w:r>
      <w:r w:rsidR="005B3B1E">
        <w:br/>
      </w:r>
      <w:r w:rsidR="00B66703">
        <w:t>a</w:t>
      </w:r>
      <w:r w:rsidR="005B3B1E">
        <w:t xml:space="preserve"> </w:t>
      </w:r>
      <w:r w:rsidR="00B66703">
        <w:t>mládež</w:t>
      </w:r>
      <w:r w:rsidRPr="00E1736E">
        <w:t>. Ústavní výchova je upravena zákonem č.</w:t>
      </w:r>
      <w:r w:rsidR="005B3B1E">
        <w:t xml:space="preserve"> </w:t>
      </w:r>
      <w:r w:rsidRPr="00E1736E">
        <w:t>109/2002</w:t>
      </w:r>
      <w:r w:rsidR="005B3B1E">
        <w:t xml:space="preserve"> </w:t>
      </w:r>
      <w:r w:rsidRPr="00E1736E">
        <w:t xml:space="preserve">Sb., </w:t>
      </w:r>
      <w:r w:rsidRPr="00B73BD3">
        <w:t>o výkonu ústavní výchovy nebo ochranné výchovy ve školských zařízeních a</w:t>
      </w:r>
      <w:r w:rsidR="005B3B1E">
        <w:t xml:space="preserve"> </w:t>
      </w:r>
      <w:r w:rsidRPr="00B73BD3">
        <w:t>o</w:t>
      </w:r>
      <w:r w:rsidR="005B3B1E">
        <w:t xml:space="preserve"> </w:t>
      </w:r>
      <w:r w:rsidRPr="00B73BD3">
        <w:t>preventivně výchovné péči ve školských zařízeních a o změně dalších zákonů</w:t>
      </w:r>
      <w:r w:rsidRPr="00E1736E">
        <w:t xml:space="preserve"> (dále také „zákon o ústavní výchově“). Do soustavy ústavní péče patří mj. dětské domovy, dětské domovy se školou, výchovné ústavy a diagnostické ústavy</w:t>
      </w:r>
      <w:r w:rsidR="00234A01">
        <w:t xml:space="preserve"> </w:t>
      </w:r>
      <w:r w:rsidR="005768FB">
        <w:t>(dále také „školská ústavní zařízení“)</w:t>
      </w:r>
      <w:r w:rsidRPr="00E1736E">
        <w:t>. MŠMT poskytuje příspěvky svým ústavním zařízením</w:t>
      </w:r>
      <w:r w:rsidR="008116ED">
        <w:t>. P</w:t>
      </w:r>
      <w:r w:rsidRPr="00E1736E">
        <w:t xml:space="preserve">rovozní náklady </w:t>
      </w:r>
      <w:r w:rsidR="008116ED">
        <w:t>d</w:t>
      </w:r>
      <w:r w:rsidR="008116ED" w:rsidRPr="008116ED">
        <w:t>ětsk</w:t>
      </w:r>
      <w:r w:rsidR="008116ED">
        <w:t>ých</w:t>
      </w:r>
      <w:r w:rsidR="008116ED" w:rsidRPr="008116ED">
        <w:t xml:space="preserve"> domov</w:t>
      </w:r>
      <w:r w:rsidR="008116ED">
        <w:t>ů</w:t>
      </w:r>
      <w:r w:rsidR="008116ED" w:rsidRPr="008116ED">
        <w:t xml:space="preserve"> zřízen</w:t>
      </w:r>
      <w:r w:rsidR="00863262">
        <w:t>ých</w:t>
      </w:r>
      <w:r w:rsidR="008116ED" w:rsidRPr="008116ED">
        <w:t xml:space="preserve"> církv</w:t>
      </w:r>
      <w:r w:rsidR="00176093">
        <w:t>emi</w:t>
      </w:r>
      <w:r w:rsidR="008116ED" w:rsidRPr="008116ED">
        <w:t xml:space="preserve"> financuje MŠMT na základě normativního financování přímo ze své </w:t>
      </w:r>
      <w:r w:rsidR="004F47FE">
        <w:t xml:space="preserve">rozpočtové </w:t>
      </w:r>
      <w:r w:rsidR="008116ED" w:rsidRPr="008116ED">
        <w:t xml:space="preserve">kapitoly, </w:t>
      </w:r>
      <w:r w:rsidR="008116ED">
        <w:t>d</w:t>
      </w:r>
      <w:r w:rsidR="008116ED" w:rsidRPr="008116ED">
        <w:t>ětské domovy krajů a soukromých subjektů financuje rovněž na základě normativního financování, ale peněžní prostředky souhrnně posílá krajům.</w:t>
      </w:r>
    </w:p>
    <w:p w14:paraId="4C5EA745" w14:textId="173468B9" w:rsidR="00746239" w:rsidRDefault="00746239" w:rsidP="00F12FAF">
      <w:pPr>
        <w:pStyle w:val="Nadpis2"/>
        <w:widowControl/>
        <w:spacing w:before="0" w:after="120" w:line="256" w:lineRule="auto"/>
      </w:pPr>
      <w:r w:rsidRPr="00E1736E">
        <w:t>MZd je ústředním</w:t>
      </w:r>
      <w:r w:rsidR="005E58F1" w:rsidRPr="00E1736E">
        <w:t xml:space="preserve"> </w:t>
      </w:r>
      <w:r w:rsidRPr="00E1736E">
        <w:t>orgánem státní správy pro</w:t>
      </w:r>
      <w:r w:rsidR="004F47FE">
        <w:t xml:space="preserve"> </w:t>
      </w:r>
      <w:r w:rsidRPr="00E1736E">
        <w:t>zdravotní služby a pro poskytovatele zdravotních služeb v</w:t>
      </w:r>
      <w:r w:rsidR="004F47FE">
        <w:t xml:space="preserve"> </w:t>
      </w:r>
      <w:r w:rsidRPr="00E1736E">
        <w:t>přímé řídicí působnosti. V</w:t>
      </w:r>
      <w:r w:rsidR="004F47FE">
        <w:t xml:space="preserve"> </w:t>
      </w:r>
      <w:r w:rsidRPr="00E1736E">
        <w:t xml:space="preserve">rámci systému péče o ohrožené děti spadá do působnosti MZd činnost dětských domovů </w:t>
      </w:r>
      <w:r w:rsidR="00983E6A">
        <w:t xml:space="preserve">pro děti </w:t>
      </w:r>
      <w:r w:rsidRPr="00E1736E">
        <w:t>do 3 let</w:t>
      </w:r>
      <w:r w:rsidR="00983E6A">
        <w:t xml:space="preserve"> věku</w:t>
      </w:r>
      <w:r w:rsidR="00D3480F" w:rsidRPr="00D3480F">
        <w:t xml:space="preserve"> a dětských</w:t>
      </w:r>
      <w:r w:rsidR="00D3480F">
        <w:t xml:space="preserve"> center (dále také „</w:t>
      </w:r>
      <w:r w:rsidR="00D3480F" w:rsidRPr="00E1736E">
        <w:t>dětsk</w:t>
      </w:r>
      <w:r w:rsidR="00D3480F">
        <w:t>é</w:t>
      </w:r>
      <w:r w:rsidR="00D3480F" w:rsidRPr="00E1736E">
        <w:t xml:space="preserve"> domov</w:t>
      </w:r>
      <w:r w:rsidR="00D3480F">
        <w:t>y</w:t>
      </w:r>
      <w:r w:rsidR="00D3480F" w:rsidRPr="00E1736E">
        <w:t xml:space="preserve"> </w:t>
      </w:r>
      <w:r w:rsidR="00D3480F">
        <w:t xml:space="preserve">pro </w:t>
      </w:r>
      <w:r w:rsidR="00D3480F" w:rsidRPr="00045618">
        <w:t>děti do 3 let věku</w:t>
      </w:r>
      <w:r w:rsidR="00D3480F">
        <w:t>“)</w:t>
      </w:r>
      <w:r w:rsidRPr="00E1736E">
        <w:t>, které mají statu</w:t>
      </w:r>
      <w:r w:rsidR="004F47FE">
        <w:t>s</w:t>
      </w:r>
      <w:r w:rsidRPr="00E1736E">
        <w:t xml:space="preserve"> zdravotnického zařízení</w:t>
      </w:r>
      <w:r w:rsidR="00F559C4" w:rsidRPr="00E1736E">
        <w:t xml:space="preserve"> a jsou upraveny zákonem č</w:t>
      </w:r>
      <w:r w:rsidR="00F559C4" w:rsidRPr="00E1736E">
        <w:rPr>
          <w:rFonts w:cstheme="minorHAnsi"/>
          <w:color w:val="000000" w:themeColor="text1"/>
          <w:szCs w:val="24"/>
        </w:rPr>
        <w:t>.</w:t>
      </w:r>
      <w:r w:rsidR="004F47FE">
        <w:rPr>
          <w:rFonts w:cstheme="minorHAnsi"/>
          <w:color w:val="000000" w:themeColor="text1"/>
          <w:szCs w:val="24"/>
        </w:rPr>
        <w:t xml:space="preserve"> </w:t>
      </w:r>
      <w:r w:rsidR="00F559C4" w:rsidRPr="00E1736E">
        <w:rPr>
          <w:rFonts w:cstheme="minorHAnsi"/>
          <w:color w:val="000000" w:themeColor="text1"/>
          <w:szCs w:val="24"/>
        </w:rPr>
        <w:t xml:space="preserve">372/2011 Sb., </w:t>
      </w:r>
      <w:r w:rsidR="00F559C4" w:rsidRPr="00B73BD3">
        <w:rPr>
          <w:rFonts w:cstheme="minorHAnsi"/>
          <w:color w:val="000000" w:themeColor="text1"/>
          <w:szCs w:val="24"/>
        </w:rPr>
        <w:t>o</w:t>
      </w:r>
      <w:r w:rsidR="00426881">
        <w:rPr>
          <w:rFonts w:cstheme="minorHAnsi"/>
          <w:color w:val="000000" w:themeColor="text1"/>
          <w:szCs w:val="24"/>
        </w:rPr>
        <w:t xml:space="preserve"> </w:t>
      </w:r>
      <w:r w:rsidR="00F559C4" w:rsidRPr="00B73BD3">
        <w:rPr>
          <w:rFonts w:cstheme="minorHAnsi"/>
          <w:color w:val="000000" w:themeColor="text1"/>
          <w:szCs w:val="24"/>
        </w:rPr>
        <w:t xml:space="preserve">zdravotních službách a podmínkách jejich poskytování </w:t>
      </w:r>
      <w:r w:rsidR="006C75D8">
        <w:rPr>
          <w:rFonts w:cstheme="minorHAnsi"/>
          <w:color w:val="000000" w:themeColor="text1"/>
          <w:szCs w:val="24"/>
        </w:rPr>
        <w:t>(</w:t>
      </w:r>
      <w:r w:rsidR="00F559C4" w:rsidRPr="00E1736E">
        <w:rPr>
          <w:rFonts w:cstheme="minorHAnsi"/>
          <w:color w:val="000000" w:themeColor="text1"/>
          <w:szCs w:val="24"/>
        </w:rPr>
        <w:t>zákon o zdravotních službách)</w:t>
      </w:r>
      <w:r w:rsidRPr="00E1736E">
        <w:t xml:space="preserve">. Dětské domovy </w:t>
      </w:r>
      <w:r w:rsidR="00983E6A">
        <w:t xml:space="preserve">pro děti </w:t>
      </w:r>
      <w:r w:rsidRPr="00E1736E">
        <w:t>do 3 let</w:t>
      </w:r>
      <w:r w:rsidR="00983E6A">
        <w:t xml:space="preserve"> věku</w:t>
      </w:r>
      <w:r w:rsidRPr="00E1736E">
        <w:t xml:space="preserve"> jsou zpravidla zřizovány kraji a městy v</w:t>
      </w:r>
      <w:r w:rsidR="00412CB4">
        <w:t> </w:t>
      </w:r>
      <w:r w:rsidRPr="00E1736E">
        <w:t xml:space="preserve">jejich samostatné působnosti. Pouze jeden dětský domov </w:t>
      </w:r>
      <w:r w:rsidR="00983E6A">
        <w:t xml:space="preserve">pro děti </w:t>
      </w:r>
      <w:r w:rsidRPr="00E1736E">
        <w:t xml:space="preserve">do 3 let </w:t>
      </w:r>
      <w:r w:rsidR="00983E6A">
        <w:t xml:space="preserve">věku </w:t>
      </w:r>
      <w:r w:rsidRPr="00E1736E">
        <w:t xml:space="preserve">je součástí </w:t>
      </w:r>
      <w:r w:rsidR="00FE0AED">
        <w:t xml:space="preserve">příspěvkové </w:t>
      </w:r>
      <w:r w:rsidR="004F47FE" w:rsidRPr="00E1736E">
        <w:t>organizace</w:t>
      </w:r>
      <w:r w:rsidR="004F47FE">
        <w:t xml:space="preserve"> </w:t>
      </w:r>
      <w:r w:rsidR="00347555">
        <w:t>z</w:t>
      </w:r>
      <w:r w:rsidRPr="00E1736E">
        <w:t xml:space="preserve">řízené </w:t>
      </w:r>
      <w:r w:rsidR="004F47FE">
        <w:t>Ministerstvem zdravotnictví</w:t>
      </w:r>
      <w:r w:rsidRPr="00E1736E">
        <w:t xml:space="preserve">, a to </w:t>
      </w:r>
      <w:r w:rsidR="007D66C5">
        <w:t xml:space="preserve">konkrétně </w:t>
      </w:r>
      <w:r w:rsidRPr="00E1736E">
        <w:t>Dětské centr</w:t>
      </w:r>
      <w:r w:rsidR="00AC31CC">
        <w:t>um</w:t>
      </w:r>
      <w:r w:rsidRPr="00E1736E">
        <w:t xml:space="preserve"> Fakultní Thomayerovy nemocnice v</w:t>
      </w:r>
      <w:r w:rsidR="0075446E">
        <w:t xml:space="preserve"> </w:t>
      </w:r>
      <w:r w:rsidRPr="00E1736E">
        <w:t>Praze. MZd poskytuje příspěvek na provoz pouze tomuto zařízení.</w:t>
      </w:r>
    </w:p>
    <w:p w14:paraId="54E49F7B" w14:textId="341C0581" w:rsidR="00620F5F" w:rsidRDefault="00620F5F" w:rsidP="001F42D9">
      <w:pPr>
        <w:pStyle w:val="Nadpis2"/>
        <w:widowControl/>
        <w:spacing w:line="256" w:lineRule="auto"/>
      </w:pPr>
      <w:r>
        <w:t>Pro účely této kontrolní akce pod pojem „systém péče o ohrožené děti</w:t>
      </w:r>
      <w:r w:rsidR="007D66C5">
        <w:t>“</w:t>
      </w:r>
      <w:r>
        <w:t xml:space="preserve"> </w:t>
      </w:r>
      <w:r w:rsidR="00F52887">
        <w:t>NKÚ zařadil</w:t>
      </w:r>
      <w:r>
        <w:t>:</w:t>
      </w:r>
    </w:p>
    <w:p w14:paraId="61C70B5F" w14:textId="793A1F48" w:rsidR="00620F5F" w:rsidRDefault="007C5589" w:rsidP="00AF3A3F">
      <w:pPr>
        <w:pStyle w:val="Odstavecseseznamem"/>
        <w:numPr>
          <w:ilvl w:val="0"/>
          <w:numId w:val="77"/>
        </w:numPr>
        <w:spacing w:line="256" w:lineRule="auto"/>
      </w:pPr>
      <w:r w:rsidRPr="007C5589">
        <w:t>zařízení pro děti vyžadující okamžitou pomoc</w:t>
      </w:r>
      <w:r w:rsidR="00F52887">
        <w:t xml:space="preserve"> </w:t>
      </w:r>
      <w:r w:rsidR="00620F5F">
        <w:t xml:space="preserve">ve smyslu zákona </w:t>
      </w:r>
      <w:r w:rsidR="00F52887">
        <w:t>o SPOD</w:t>
      </w:r>
      <w:r w:rsidR="00620F5F">
        <w:t>,</w:t>
      </w:r>
    </w:p>
    <w:p w14:paraId="2C0C259D" w14:textId="3BB72F3C" w:rsidR="00620F5F" w:rsidRDefault="00620F5F">
      <w:pPr>
        <w:pStyle w:val="Odstavecseseznamem"/>
        <w:numPr>
          <w:ilvl w:val="0"/>
          <w:numId w:val="77"/>
        </w:numPr>
        <w:spacing w:line="256" w:lineRule="auto"/>
      </w:pPr>
      <w:r>
        <w:t xml:space="preserve">dětské domovy pro děti do 3 let </w:t>
      </w:r>
      <w:r w:rsidR="00DB06D2">
        <w:t xml:space="preserve">věku </w:t>
      </w:r>
      <w:r>
        <w:t>ve smyslu zákona o zdravotních službách,</w:t>
      </w:r>
    </w:p>
    <w:p w14:paraId="690BB34D" w14:textId="71C1BBCD" w:rsidR="00620F5F" w:rsidRDefault="00F52887">
      <w:pPr>
        <w:pStyle w:val="Odstavecseseznamem"/>
        <w:numPr>
          <w:ilvl w:val="0"/>
          <w:numId w:val="77"/>
        </w:numPr>
        <w:spacing w:line="256" w:lineRule="auto"/>
      </w:pPr>
      <w:r>
        <w:t xml:space="preserve">školská ústavní zařízení </w:t>
      </w:r>
      <w:r w:rsidR="00620F5F">
        <w:t xml:space="preserve">ve smyslu zákona </w:t>
      </w:r>
      <w:r>
        <w:t>o ústavní výchově</w:t>
      </w:r>
      <w:r w:rsidR="005F2458">
        <w:t>,</w:t>
      </w:r>
    </w:p>
    <w:p w14:paraId="1EDFC1C4" w14:textId="51757F2E" w:rsidR="00D35151" w:rsidRDefault="00620F5F">
      <w:pPr>
        <w:pStyle w:val="Odstavecseseznamem"/>
        <w:numPr>
          <w:ilvl w:val="0"/>
          <w:numId w:val="77"/>
        </w:numPr>
        <w:spacing w:after="0" w:line="256" w:lineRule="auto"/>
      </w:pPr>
      <w:r>
        <w:t>pěstounsk</w:t>
      </w:r>
      <w:r w:rsidR="00863262">
        <w:t>ou</w:t>
      </w:r>
      <w:r>
        <w:t xml:space="preserve"> péč</w:t>
      </w:r>
      <w:r w:rsidR="00863262">
        <w:t>i</w:t>
      </w:r>
      <w:r>
        <w:t xml:space="preserve"> ve smyslu zákona o </w:t>
      </w:r>
      <w:r w:rsidR="00F52887">
        <w:t>SPOD</w:t>
      </w:r>
      <w:r>
        <w:t>,</w:t>
      </w:r>
    </w:p>
    <w:p w14:paraId="7ADB8241" w14:textId="239CF8DB" w:rsidR="00482ED7" w:rsidRPr="00482ED7" w:rsidRDefault="00620F5F">
      <w:pPr>
        <w:pStyle w:val="Odstavecseseznamem"/>
        <w:numPr>
          <w:ilvl w:val="0"/>
          <w:numId w:val="77"/>
        </w:numPr>
        <w:spacing w:after="0" w:line="256" w:lineRule="auto"/>
      </w:pPr>
      <w:r>
        <w:t>orgán</w:t>
      </w:r>
      <w:r w:rsidR="00863262">
        <w:t>y</w:t>
      </w:r>
      <w:r>
        <w:t xml:space="preserve"> sociálně-právní ochrany dětí ve smyslu zákona </w:t>
      </w:r>
      <w:r w:rsidR="00F52887">
        <w:t>o SPOD</w:t>
      </w:r>
      <w:r>
        <w:t>.</w:t>
      </w:r>
      <w:bookmarkEnd w:id="2"/>
    </w:p>
    <w:p w14:paraId="131A3C5C" w14:textId="77777777" w:rsidR="005D3025" w:rsidRPr="001F42D9" w:rsidRDefault="005D3025" w:rsidP="001F42D9">
      <w:pPr>
        <w:spacing w:after="0" w:line="256" w:lineRule="auto"/>
        <w:rPr>
          <w:szCs w:val="24"/>
        </w:rPr>
      </w:pPr>
    </w:p>
    <w:p w14:paraId="690F0669" w14:textId="6F7FF0B2" w:rsidR="004A2415" w:rsidRPr="00BF746A" w:rsidRDefault="008858C0" w:rsidP="00284A2A">
      <w:pPr>
        <w:pStyle w:val="Titulek"/>
        <w:tabs>
          <w:tab w:val="right" w:pos="9072"/>
        </w:tabs>
        <w:spacing w:after="40" w:line="256" w:lineRule="auto"/>
        <w:rPr>
          <w:b/>
          <w:i w:val="0"/>
          <w:color w:val="auto"/>
          <w:sz w:val="24"/>
          <w:szCs w:val="24"/>
        </w:rPr>
      </w:pPr>
      <w:r w:rsidRPr="00BF746A">
        <w:rPr>
          <w:b/>
          <w:i w:val="0"/>
          <w:color w:val="auto"/>
          <w:sz w:val="24"/>
          <w:szCs w:val="24"/>
        </w:rPr>
        <w:t>Tabulka č.</w:t>
      </w:r>
      <w:r w:rsidR="00CD550D">
        <w:rPr>
          <w:b/>
          <w:i w:val="0"/>
          <w:color w:val="auto"/>
          <w:sz w:val="24"/>
          <w:szCs w:val="24"/>
        </w:rPr>
        <w:t xml:space="preserve"> 1</w:t>
      </w:r>
      <w:r w:rsidR="00BD6A79">
        <w:rPr>
          <w:b/>
          <w:i w:val="0"/>
          <w:color w:val="auto"/>
          <w:sz w:val="24"/>
          <w:szCs w:val="24"/>
        </w:rPr>
        <w:t>:</w:t>
      </w:r>
      <w:r w:rsidR="004A2415" w:rsidRPr="00BF746A">
        <w:rPr>
          <w:b/>
          <w:i w:val="0"/>
          <w:color w:val="auto"/>
          <w:sz w:val="24"/>
          <w:szCs w:val="24"/>
        </w:rPr>
        <w:t xml:space="preserve"> Výdaje MPSV, MŠMT a MZd </w:t>
      </w:r>
      <w:r w:rsidR="002D400D">
        <w:rPr>
          <w:b/>
          <w:i w:val="0"/>
          <w:color w:val="auto"/>
          <w:sz w:val="24"/>
          <w:szCs w:val="24"/>
        </w:rPr>
        <w:t xml:space="preserve">na provoz </w:t>
      </w:r>
      <w:r w:rsidR="00BD6A79">
        <w:rPr>
          <w:b/>
          <w:i w:val="0"/>
          <w:color w:val="auto"/>
          <w:sz w:val="24"/>
          <w:szCs w:val="24"/>
        </w:rPr>
        <w:t>v</w:t>
      </w:r>
      <w:r w:rsidR="007B349B">
        <w:rPr>
          <w:b/>
          <w:i w:val="0"/>
          <w:color w:val="auto"/>
          <w:sz w:val="24"/>
          <w:szCs w:val="24"/>
        </w:rPr>
        <w:t xml:space="preserve"> letech</w:t>
      </w:r>
      <w:r w:rsidR="00BD6A79">
        <w:rPr>
          <w:b/>
          <w:i w:val="0"/>
          <w:color w:val="auto"/>
          <w:sz w:val="24"/>
          <w:szCs w:val="24"/>
        </w:rPr>
        <w:t xml:space="preserve"> 2015–2023 </w:t>
      </w:r>
      <w:r w:rsidR="00426881">
        <w:rPr>
          <w:b/>
          <w:i w:val="0"/>
          <w:color w:val="auto"/>
          <w:sz w:val="24"/>
          <w:szCs w:val="24"/>
        </w:rPr>
        <w:tab/>
      </w:r>
      <w:r w:rsidR="00546C8C" w:rsidRPr="00546C8C">
        <w:rPr>
          <w:rFonts w:cs="Calibri"/>
          <w:b/>
          <w:bCs/>
          <w:i w:val="0"/>
          <w:color w:val="000000"/>
          <w:sz w:val="24"/>
          <w:szCs w:val="24"/>
          <w:lang w:eastAsia="cs-CZ"/>
        </w:rPr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9"/>
        <w:gridCol w:w="3773"/>
      </w:tblGrid>
      <w:tr w:rsidR="004A2415" w:rsidRPr="000F45BB" w14:paraId="7DB0C7A2" w14:textId="77777777" w:rsidTr="00605B67">
        <w:trPr>
          <w:trHeight w:val="397"/>
        </w:trPr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75D73F" w14:textId="77777777" w:rsidR="004A2415" w:rsidRPr="00D14B5D" w:rsidRDefault="004A2415" w:rsidP="00AF3A3F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4B5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2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CF2AFB" w14:textId="6081DF18" w:rsidR="004A2415" w:rsidRPr="00D14B5D" w:rsidRDefault="004A2415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4B5D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Výdaje celkem </w:t>
            </w:r>
          </w:p>
        </w:tc>
      </w:tr>
      <w:tr w:rsidR="00B3065C" w:rsidRPr="000F45BB" w14:paraId="0E5BA946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F1A" w14:textId="77777777" w:rsidR="004A2415" w:rsidRPr="00B3065C" w:rsidRDefault="004A2415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ZDVOP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B5A1" w14:textId="77777777" w:rsidR="004A2415" w:rsidRPr="00B3065C" w:rsidRDefault="004912AA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theme="minorHAnsi"/>
                <w:bCs/>
                <w:sz w:val="20"/>
                <w:szCs w:val="20"/>
              </w:rPr>
              <w:t>1 902 587 474</w:t>
            </w:r>
          </w:p>
        </w:tc>
      </w:tr>
      <w:tr w:rsidR="00B3065C" w:rsidRPr="000F45BB" w14:paraId="4226FFE2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D5B" w14:textId="77777777" w:rsidR="004A2415" w:rsidRPr="00B3065C" w:rsidRDefault="004A2415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Dětský domov pro děti do 3 let věku*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6E79" w14:textId="77777777" w:rsidR="004A2415" w:rsidRPr="00B3065C" w:rsidRDefault="00B3065C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theme="minorHAnsi"/>
                <w:bCs/>
                <w:sz w:val="20"/>
                <w:szCs w:val="20"/>
                <w:lang w:eastAsia="cs-CZ"/>
              </w:rPr>
              <w:t>529 763</w:t>
            </w:r>
            <w:r>
              <w:rPr>
                <w:rFonts w:cstheme="minorHAnsi"/>
                <w:bCs/>
                <w:sz w:val="20"/>
                <w:szCs w:val="20"/>
                <w:lang w:eastAsia="cs-CZ"/>
              </w:rPr>
              <w:t> </w:t>
            </w:r>
            <w:r w:rsidRPr="00B3065C">
              <w:rPr>
                <w:rFonts w:cstheme="minorHAnsi"/>
                <w:bCs/>
                <w:sz w:val="20"/>
                <w:szCs w:val="20"/>
                <w:lang w:eastAsia="cs-CZ"/>
              </w:rPr>
              <w:t>000</w:t>
            </w:r>
          </w:p>
        </w:tc>
      </w:tr>
      <w:tr w:rsidR="00B3065C" w:rsidRPr="000F45BB" w14:paraId="434CA4BF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88A" w14:textId="77777777" w:rsidR="004A2415" w:rsidRPr="00B3065C" w:rsidRDefault="00544AB3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 xml:space="preserve">Školská ústavní </w:t>
            </w:r>
            <w:r w:rsidR="004A2415" w:rsidRPr="00B3065C">
              <w:rPr>
                <w:rFonts w:cs="Calibri"/>
                <w:sz w:val="20"/>
                <w:szCs w:val="20"/>
                <w:lang w:eastAsia="cs-CZ"/>
              </w:rPr>
              <w:t>zařízení</w:t>
            </w:r>
            <w:r w:rsidR="006F680C" w:rsidRPr="00B3065C">
              <w:rPr>
                <w:rFonts w:cs="Calibri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5C" w14:textId="77777777" w:rsidR="004A2415" w:rsidRPr="00B3065C" w:rsidRDefault="004912AA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28 846 838</w:t>
            </w:r>
            <w:r w:rsidR="00B3065C">
              <w:rPr>
                <w:rFonts w:cs="Calibri"/>
                <w:sz w:val="20"/>
                <w:szCs w:val="20"/>
                <w:lang w:eastAsia="cs-CZ"/>
              </w:rPr>
              <w:t> </w:t>
            </w:r>
            <w:r w:rsidRPr="00B3065C">
              <w:rPr>
                <w:rFonts w:cs="Calibri"/>
                <w:sz w:val="20"/>
                <w:szCs w:val="20"/>
                <w:lang w:eastAsia="cs-CZ"/>
              </w:rPr>
              <w:t>789</w:t>
            </w:r>
          </w:p>
        </w:tc>
      </w:tr>
      <w:tr w:rsidR="00B3065C" w:rsidRPr="000F45BB" w14:paraId="274E6598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38F" w14:textId="77777777" w:rsidR="004A2415" w:rsidRPr="00B3065C" w:rsidRDefault="004A2415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Dávky pěstounské péče**</w:t>
            </w:r>
            <w:r w:rsidR="006F680C" w:rsidRPr="00B3065C">
              <w:rPr>
                <w:rFonts w:cs="Calibr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C6C" w14:textId="77777777" w:rsidR="004A2415" w:rsidRPr="00B3065C" w:rsidRDefault="004912AA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eastAsia="Calibri" w:cs="Times New Roman"/>
                <w:bCs/>
                <w:sz w:val="20"/>
                <w:szCs w:val="20"/>
              </w:rPr>
              <w:t>38 336 906 423</w:t>
            </w:r>
          </w:p>
        </w:tc>
      </w:tr>
      <w:tr w:rsidR="00B3065C" w:rsidRPr="000F45BB" w14:paraId="2AB464F9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373" w14:textId="77777777" w:rsidR="004A2415" w:rsidRPr="00B3065C" w:rsidRDefault="004A2415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Příspěvek na výkon pěstounské péče**</w:t>
            </w:r>
            <w:r w:rsidR="006F680C" w:rsidRPr="00B3065C">
              <w:rPr>
                <w:rFonts w:cs="Calibr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457" w14:textId="77777777" w:rsidR="004A2415" w:rsidRPr="00B3065C" w:rsidRDefault="00D04BE1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D04BE1">
              <w:rPr>
                <w:rFonts w:eastAsia="Calibri" w:cs="Times New Roman"/>
                <w:bCs/>
                <w:sz w:val="20"/>
                <w:szCs w:val="20"/>
              </w:rPr>
              <w:t>3 816 506 708</w:t>
            </w:r>
          </w:p>
        </w:tc>
      </w:tr>
      <w:tr w:rsidR="00B3065C" w:rsidRPr="000F45BB" w14:paraId="4AA3FA23" w14:textId="77777777" w:rsidTr="001F42D9">
        <w:trPr>
          <w:trHeight w:val="283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65A" w14:textId="77777777" w:rsidR="004912AA" w:rsidRPr="00B3065C" w:rsidRDefault="004912AA" w:rsidP="00AF3A3F">
            <w:pPr>
              <w:spacing w:after="0" w:line="256" w:lineRule="auto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cs="Calibri"/>
                <w:sz w:val="20"/>
                <w:szCs w:val="20"/>
                <w:lang w:eastAsia="cs-CZ"/>
              </w:rPr>
              <w:t>Výkon</w:t>
            </w:r>
            <w:r w:rsidR="00403C4D">
              <w:rPr>
                <w:rFonts w:cs="Calibri"/>
                <w:sz w:val="20"/>
                <w:szCs w:val="20"/>
                <w:lang w:eastAsia="cs-CZ"/>
              </w:rPr>
              <w:t xml:space="preserve"> agendy</w:t>
            </w:r>
            <w:r w:rsidRPr="00B3065C">
              <w:rPr>
                <w:rFonts w:cs="Calibri"/>
                <w:sz w:val="20"/>
                <w:szCs w:val="20"/>
                <w:lang w:eastAsia="cs-CZ"/>
              </w:rPr>
              <w:t xml:space="preserve"> SPOD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48FD" w14:textId="77777777" w:rsidR="004912AA" w:rsidRPr="00B3065C" w:rsidRDefault="004912AA">
            <w:pPr>
              <w:spacing w:after="0" w:line="256" w:lineRule="auto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B3065C">
              <w:rPr>
                <w:rFonts w:eastAsia="Times New Roman" w:cs="Times New Roman"/>
                <w:bCs/>
                <w:sz w:val="20"/>
                <w:szCs w:val="20"/>
                <w:lang w:eastAsia="cs-CZ"/>
              </w:rPr>
              <w:t>13 315 629 24</w:t>
            </w:r>
            <w:r w:rsidR="00D04BE1">
              <w:rPr>
                <w:rFonts w:eastAsia="Times New Roman" w:cs="Times New Roman"/>
                <w:bCs/>
                <w:sz w:val="20"/>
                <w:szCs w:val="20"/>
                <w:lang w:eastAsia="cs-CZ"/>
              </w:rPr>
              <w:t>8</w:t>
            </w:r>
          </w:p>
        </w:tc>
      </w:tr>
      <w:tr w:rsidR="004912AA" w:rsidRPr="000F45BB" w14:paraId="240AFD49" w14:textId="77777777" w:rsidTr="00605B67">
        <w:trPr>
          <w:trHeight w:val="397"/>
        </w:trPr>
        <w:tc>
          <w:tcPr>
            <w:tcW w:w="2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0FBFDD98" w14:textId="77777777" w:rsidR="004912AA" w:rsidRPr="00114E6F" w:rsidRDefault="004912AA" w:rsidP="00605B67">
            <w:pPr>
              <w:spacing w:after="0" w:line="256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14E6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EA4D1A1" w14:textId="77777777" w:rsidR="004912AA" w:rsidRPr="00114E6F" w:rsidRDefault="00D04BE1">
            <w:pPr>
              <w:spacing w:after="0" w:line="256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BE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86 748 231 642</w:t>
            </w:r>
          </w:p>
        </w:tc>
      </w:tr>
    </w:tbl>
    <w:p w14:paraId="54A38D4B" w14:textId="6FCE618F" w:rsidR="004A2415" w:rsidRDefault="004A2415" w:rsidP="00AF3A3F">
      <w:pPr>
        <w:spacing w:before="40" w:after="0" w:line="256" w:lineRule="auto"/>
        <w:rPr>
          <w:sz w:val="20"/>
          <w:szCs w:val="20"/>
        </w:rPr>
      </w:pPr>
      <w:r w:rsidRPr="001F42D9">
        <w:rPr>
          <w:b/>
          <w:sz w:val="20"/>
          <w:szCs w:val="20"/>
        </w:rPr>
        <w:t>Zdroj:</w:t>
      </w:r>
      <w:r w:rsidRPr="009D0A27">
        <w:rPr>
          <w:sz w:val="20"/>
          <w:szCs w:val="20"/>
        </w:rPr>
        <w:t xml:space="preserve"> </w:t>
      </w:r>
      <w:r w:rsidR="007D66C5">
        <w:rPr>
          <w:sz w:val="20"/>
          <w:szCs w:val="20"/>
        </w:rPr>
        <w:t xml:space="preserve">informační portál </w:t>
      </w:r>
      <w:r>
        <w:rPr>
          <w:sz w:val="20"/>
          <w:szCs w:val="20"/>
        </w:rPr>
        <w:t>MONITOR</w:t>
      </w:r>
      <w:r w:rsidR="007D66C5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</w:t>
      </w:r>
      <w:r w:rsidR="004912AA">
        <w:rPr>
          <w:sz w:val="20"/>
          <w:szCs w:val="20"/>
        </w:rPr>
        <w:t xml:space="preserve"> </w:t>
      </w:r>
      <w:r w:rsidR="00F260CB">
        <w:rPr>
          <w:sz w:val="20"/>
          <w:szCs w:val="20"/>
        </w:rPr>
        <w:t>NKÚ</w:t>
      </w:r>
      <w:r w:rsidR="007B0CC0">
        <w:rPr>
          <w:sz w:val="20"/>
          <w:szCs w:val="20"/>
        </w:rPr>
        <w:t>.</w:t>
      </w:r>
    </w:p>
    <w:p w14:paraId="217063CB" w14:textId="7170BC8F" w:rsidR="004A2415" w:rsidRDefault="004A2415" w:rsidP="001F42D9">
      <w:pPr>
        <w:spacing w:after="0" w:line="25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426881">
        <w:rPr>
          <w:sz w:val="20"/>
          <w:szCs w:val="20"/>
        </w:rPr>
        <w:tab/>
      </w:r>
      <w:r>
        <w:rPr>
          <w:sz w:val="20"/>
          <w:szCs w:val="20"/>
        </w:rPr>
        <w:t>MZd financuje provoz pouze jednoho dětského domova pro děti do 3 let věku</w:t>
      </w:r>
      <w:r w:rsidR="00ED7B63">
        <w:rPr>
          <w:sz w:val="20"/>
          <w:szCs w:val="20"/>
        </w:rPr>
        <w:t>.</w:t>
      </w:r>
    </w:p>
    <w:p w14:paraId="6FB12BA6" w14:textId="0CFEB12A" w:rsidR="006F680C" w:rsidRDefault="006F680C" w:rsidP="001F42D9">
      <w:pPr>
        <w:spacing w:after="0" w:line="256" w:lineRule="auto"/>
        <w:ind w:left="426" w:hanging="426"/>
        <w:rPr>
          <w:rFonts w:cs="Calibri"/>
          <w:color w:val="000000"/>
          <w:sz w:val="20"/>
          <w:szCs w:val="20"/>
          <w:lang w:eastAsia="cs-CZ"/>
        </w:rPr>
      </w:pPr>
      <w:r w:rsidRPr="00B3065C">
        <w:rPr>
          <w:rFonts w:cs="Calibri"/>
          <w:sz w:val="20"/>
          <w:szCs w:val="20"/>
          <w:lang w:eastAsia="cs-CZ"/>
        </w:rPr>
        <w:t>**</w:t>
      </w:r>
      <w:r>
        <w:rPr>
          <w:rFonts w:cs="Calibri"/>
          <w:sz w:val="20"/>
          <w:szCs w:val="20"/>
          <w:lang w:eastAsia="cs-CZ"/>
        </w:rPr>
        <w:t xml:space="preserve"> </w:t>
      </w:r>
      <w:r w:rsidR="00426881">
        <w:rPr>
          <w:rFonts w:cs="Calibri"/>
          <w:sz w:val="20"/>
          <w:szCs w:val="20"/>
          <w:lang w:eastAsia="cs-CZ"/>
        </w:rPr>
        <w:tab/>
      </w:r>
      <w:r>
        <w:rPr>
          <w:rFonts w:cs="Calibri"/>
          <w:sz w:val="20"/>
          <w:szCs w:val="20"/>
          <w:lang w:eastAsia="cs-CZ"/>
        </w:rPr>
        <w:t>Jedná se o příspěvky dětským domovům, dětským domovům se školou, diagnostickým a výchovným ústavům</w:t>
      </w:r>
      <w:r w:rsidR="00FE3A02">
        <w:rPr>
          <w:rFonts w:cs="Calibri"/>
          <w:sz w:val="20"/>
          <w:szCs w:val="20"/>
          <w:lang w:eastAsia="cs-CZ"/>
        </w:rPr>
        <w:t>.</w:t>
      </w:r>
    </w:p>
    <w:p w14:paraId="50617994" w14:textId="14375AE4" w:rsidR="00126679" w:rsidRPr="00F0720C" w:rsidRDefault="004A2415" w:rsidP="001F42D9">
      <w:pPr>
        <w:spacing w:after="0" w:line="256" w:lineRule="auto"/>
        <w:ind w:left="426" w:hanging="426"/>
        <w:rPr>
          <w:rFonts w:cs="Calibri"/>
          <w:color w:val="000000"/>
          <w:sz w:val="20"/>
          <w:szCs w:val="20"/>
          <w:lang w:eastAsia="cs-CZ"/>
        </w:rPr>
      </w:pPr>
      <w:r>
        <w:rPr>
          <w:rFonts w:cs="Calibri"/>
          <w:color w:val="000000"/>
          <w:sz w:val="20"/>
          <w:szCs w:val="20"/>
          <w:lang w:eastAsia="cs-CZ"/>
        </w:rPr>
        <w:t>**</w:t>
      </w:r>
      <w:r w:rsidR="006F680C" w:rsidRPr="00B3065C">
        <w:rPr>
          <w:rFonts w:cs="Calibri"/>
          <w:sz w:val="20"/>
          <w:szCs w:val="20"/>
          <w:lang w:eastAsia="cs-CZ"/>
        </w:rPr>
        <w:t>*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426881">
        <w:rPr>
          <w:rFonts w:cs="Calibri"/>
          <w:color w:val="000000"/>
          <w:sz w:val="20"/>
          <w:szCs w:val="20"/>
          <w:lang w:eastAsia="cs-CZ"/>
        </w:rPr>
        <w:tab/>
      </w:r>
      <w:r>
        <w:rPr>
          <w:rFonts w:cs="Calibri"/>
          <w:color w:val="000000"/>
          <w:sz w:val="20"/>
          <w:szCs w:val="20"/>
          <w:lang w:eastAsia="cs-CZ"/>
        </w:rPr>
        <w:t>Náklady spojené s</w:t>
      </w:r>
      <w:r w:rsidR="009C274F">
        <w:rPr>
          <w:rFonts w:cs="Calibri"/>
          <w:color w:val="000000"/>
          <w:sz w:val="20"/>
          <w:szCs w:val="20"/>
          <w:lang w:eastAsia="cs-CZ"/>
        </w:rPr>
        <w:t xml:space="preserve"> </w:t>
      </w:r>
      <w:r>
        <w:rPr>
          <w:rFonts w:cs="Calibri"/>
          <w:color w:val="000000"/>
          <w:sz w:val="20"/>
          <w:szCs w:val="20"/>
          <w:lang w:eastAsia="cs-CZ"/>
        </w:rPr>
        <w:t>pěstounskou péčí se dělí na dávky pěstounské péče vyplácené osobám p</w:t>
      </w:r>
      <w:r w:rsidR="00ED7B63">
        <w:rPr>
          <w:rFonts w:cs="Calibri"/>
          <w:color w:val="000000"/>
          <w:sz w:val="20"/>
          <w:szCs w:val="20"/>
          <w:lang w:eastAsia="cs-CZ"/>
        </w:rPr>
        <w:t>e</w:t>
      </w:r>
      <w:r>
        <w:rPr>
          <w:rFonts w:cs="Calibri"/>
          <w:color w:val="000000"/>
          <w:sz w:val="20"/>
          <w:szCs w:val="20"/>
          <w:lang w:eastAsia="cs-CZ"/>
        </w:rPr>
        <w:t>čujícím a</w:t>
      </w:r>
      <w:r w:rsidR="00426881">
        <w:rPr>
          <w:rFonts w:cs="Calibri"/>
          <w:color w:val="000000"/>
          <w:sz w:val="20"/>
          <w:szCs w:val="20"/>
          <w:lang w:eastAsia="cs-CZ"/>
        </w:rPr>
        <w:t> </w:t>
      </w:r>
      <w:r>
        <w:rPr>
          <w:rFonts w:cs="Calibri"/>
          <w:color w:val="000000"/>
          <w:sz w:val="20"/>
          <w:szCs w:val="20"/>
          <w:lang w:eastAsia="cs-CZ"/>
        </w:rPr>
        <w:t>příspěvky na výkon pěstounské péče vyplácené OSPOD nebo pověřeným osobám, tzv. doprovázejícím organizacím.</w:t>
      </w:r>
    </w:p>
    <w:p w14:paraId="0B1725AF" w14:textId="77777777" w:rsidR="002D400D" w:rsidRPr="003916DA" w:rsidRDefault="002D400D" w:rsidP="001F42D9">
      <w:pPr>
        <w:pStyle w:val="Nadpis2"/>
        <w:widowControl/>
        <w:numPr>
          <w:ilvl w:val="0"/>
          <w:numId w:val="0"/>
        </w:numPr>
        <w:spacing w:before="0"/>
        <w:ind w:left="567" w:hanging="567"/>
      </w:pPr>
    </w:p>
    <w:p w14:paraId="31FBC821" w14:textId="77777777" w:rsidR="00F12FAF" w:rsidRDefault="00F12FAF">
      <w:pPr>
        <w:jc w:val="left"/>
        <w:rPr>
          <w:rFonts w:ascii="Calibri" w:eastAsia="Times New Roman" w:hAnsi="Calibri" w:cs="Times New Roman"/>
          <w:b/>
          <w:iCs/>
          <w:szCs w:val="24"/>
        </w:rPr>
      </w:pPr>
      <w:r>
        <w:rPr>
          <w:b/>
          <w:i/>
          <w:szCs w:val="24"/>
        </w:rPr>
        <w:br w:type="page"/>
      </w:r>
    </w:p>
    <w:p w14:paraId="44502186" w14:textId="793184C1" w:rsidR="00126679" w:rsidRDefault="00126679" w:rsidP="00AF3A3F">
      <w:pPr>
        <w:pStyle w:val="Titulek"/>
        <w:spacing w:after="40" w:line="256" w:lineRule="auto"/>
        <w:rPr>
          <w:b/>
          <w:i w:val="0"/>
          <w:color w:val="auto"/>
          <w:sz w:val="24"/>
          <w:szCs w:val="24"/>
        </w:rPr>
      </w:pPr>
      <w:r w:rsidRPr="00126679">
        <w:rPr>
          <w:b/>
          <w:i w:val="0"/>
          <w:color w:val="auto"/>
          <w:sz w:val="24"/>
          <w:szCs w:val="24"/>
        </w:rPr>
        <w:t>Tabulka č.</w:t>
      </w:r>
      <w:r w:rsidR="00CD550D">
        <w:rPr>
          <w:b/>
          <w:i w:val="0"/>
          <w:color w:val="auto"/>
          <w:sz w:val="24"/>
          <w:szCs w:val="24"/>
        </w:rPr>
        <w:t xml:space="preserve"> 2</w:t>
      </w:r>
      <w:r w:rsidR="007B349B">
        <w:rPr>
          <w:b/>
          <w:i w:val="0"/>
          <w:color w:val="auto"/>
          <w:sz w:val="24"/>
          <w:szCs w:val="24"/>
        </w:rPr>
        <w:t>:</w:t>
      </w:r>
      <w:r>
        <w:rPr>
          <w:b/>
          <w:i w:val="0"/>
          <w:color w:val="auto"/>
          <w:sz w:val="24"/>
          <w:szCs w:val="24"/>
        </w:rPr>
        <w:t xml:space="preserve"> Počet ústavních zařízení v letech 2015 a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1133"/>
        <w:gridCol w:w="1133"/>
        <w:gridCol w:w="1133"/>
        <w:gridCol w:w="1133"/>
        <w:gridCol w:w="1133"/>
        <w:gridCol w:w="1133"/>
      </w:tblGrid>
      <w:tr w:rsidR="00126679" w:rsidRPr="00747242" w14:paraId="4B2FF068" w14:textId="77777777" w:rsidTr="00126679">
        <w:trPr>
          <w:trHeight w:val="28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3D0E84F9" w14:textId="77777777" w:rsidR="00126679" w:rsidRPr="004B716E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25C9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Diagnostické ústavy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8E5A" w14:textId="2AA6A5CF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Dětské domovy se školou a</w:t>
            </w:r>
            <w:r w:rsidR="00426881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 </w:t>
            </w: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výchovné ústavy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CFC3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Výchovné ústavy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719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Dětské domovy</w:t>
            </w:r>
          </w:p>
          <w:p w14:paraId="6D8E936C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všech zřizovatelů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947E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Dětské domovy pro děti do 3 let věku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5BCC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ZDVOP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3CD17986" w14:textId="77777777" w:rsidR="00126679" w:rsidRPr="00126679" w:rsidRDefault="00126679">
            <w:pPr>
              <w:spacing w:after="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1266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126679" w:rsidRPr="00747242" w14:paraId="72BBC663" w14:textId="77777777" w:rsidTr="001F42D9">
        <w:trPr>
          <w:trHeight w:val="283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926A0BF" w14:textId="77777777" w:rsidR="00126679" w:rsidRPr="004B716E" w:rsidRDefault="00126679" w:rsidP="00AF3A3F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4B716E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867F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7813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44BF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370B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6ACD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1117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31C8784C" w14:textId="77777777" w:rsidR="00126679" w:rsidRPr="00ED19EC" w:rsidRDefault="00126679">
            <w:pPr>
              <w:spacing w:after="0" w:line="256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ED19EC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319</w:t>
            </w:r>
          </w:p>
        </w:tc>
      </w:tr>
      <w:tr w:rsidR="00126679" w:rsidRPr="00747242" w14:paraId="62C0EE52" w14:textId="77777777" w:rsidTr="001F42D9">
        <w:trPr>
          <w:trHeight w:val="283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AEEAA4F" w14:textId="77777777" w:rsidR="00126679" w:rsidRPr="004B716E" w:rsidRDefault="00126679" w:rsidP="00AF3A3F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4B716E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 xml:space="preserve">2023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4882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525B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90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203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2D91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0186" w14:textId="77777777" w:rsidR="00126679" w:rsidRPr="00ED19EC" w:rsidRDefault="00126679">
            <w:pPr>
              <w:spacing w:after="0" w:line="256" w:lineRule="auto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19EC">
              <w:rPr>
                <w:rFonts w:cstheme="minorHAnsi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5C8B3018" w14:textId="77777777" w:rsidR="00126679" w:rsidRPr="00ED19EC" w:rsidRDefault="00126679">
            <w:pPr>
              <w:spacing w:after="0" w:line="256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ED19EC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272</w:t>
            </w:r>
          </w:p>
        </w:tc>
      </w:tr>
    </w:tbl>
    <w:p w14:paraId="7120AEC5" w14:textId="6570F347" w:rsidR="00126679" w:rsidRPr="00F0720C" w:rsidRDefault="00F0720C" w:rsidP="00AF3A3F">
      <w:pPr>
        <w:spacing w:before="40" w:after="240" w:line="256" w:lineRule="auto"/>
        <w:rPr>
          <w:sz w:val="20"/>
          <w:szCs w:val="20"/>
        </w:rPr>
      </w:pPr>
      <w:r w:rsidRPr="001F42D9">
        <w:rPr>
          <w:b/>
          <w:sz w:val="20"/>
          <w:szCs w:val="20"/>
        </w:rPr>
        <w:t>Zdroj:</w:t>
      </w:r>
      <w:r w:rsidRPr="00AD512E">
        <w:rPr>
          <w:sz w:val="20"/>
          <w:szCs w:val="20"/>
        </w:rPr>
        <w:t xml:space="preserve"> </w:t>
      </w:r>
      <w:r w:rsidR="007D66C5">
        <w:rPr>
          <w:sz w:val="20"/>
          <w:szCs w:val="20"/>
        </w:rPr>
        <w:t>s</w:t>
      </w:r>
      <w:r>
        <w:rPr>
          <w:sz w:val="20"/>
          <w:szCs w:val="20"/>
        </w:rPr>
        <w:t>tatistick</w:t>
      </w:r>
      <w:r w:rsidR="007D66C5">
        <w:rPr>
          <w:sz w:val="20"/>
          <w:szCs w:val="20"/>
        </w:rPr>
        <w:t>é</w:t>
      </w:r>
      <w:r>
        <w:rPr>
          <w:sz w:val="20"/>
          <w:szCs w:val="20"/>
        </w:rPr>
        <w:t xml:space="preserve"> ročenk</w:t>
      </w:r>
      <w:r w:rsidR="007D66C5">
        <w:rPr>
          <w:sz w:val="20"/>
          <w:szCs w:val="20"/>
        </w:rPr>
        <w:t>y</w:t>
      </w:r>
      <w:r>
        <w:rPr>
          <w:sz w:val="20"/>
          <w:szCs w:val="20"/>
        </w:rPr>
        <w:t xml:space="preserve"> školství</w:t>
      </w:r>
      <w:r w:rsidRPr="00AD512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doklady </w:t>
      </w:r>
      <w:r w:rsidR="00F23382">
        <w:rPr>
          <w:sz w:val="20"/>
          <w:szCs w:val="20"/>
        </w:rPr>
        <w:t>MPSV a MZd</w:t>
      </w:r>
      <w:r w:rsidR="007D66C5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AD512E">
        <w:rPr>
          <w:sz w:val="20"/>
          <w:szCs w:val="20"/>
        </w:rPr>
        <w:t>vlastní zpracování NKÚ.</w:t>
      </w:r>
    </w:p>
    <w:p w14:paraId="1FB4BD29" w14:textId="3931D75D" w:rsidR="00953B61" w:rsidRDefault="00DF7943" w:rsidP="003817D4">
      <w:pPr>
        <w:pStyle w:val="Nadpis2"/>
        <w:widowControl/>
        <w:spacing w:line="256" w:lineRule="auto"/>
      </w:pPr>
      <w:r>
        <w:t>S</w:t>
      </w:r>
      <w:r w:rsidR="000E430A">
        <w:t>jednocení</w:t>
      </w:r>
      <w:r w:rsidR="009C274F">
        <w:t xml:space="preserve"> </w:t>
      </w:r>
      <w:r w:rsidR="004A2415" w:rsidRPr="00F915EB">
        <w:t>systému péče o ohrožené děti bylo</w:t>
      </w:r>
      <w:r>
        <w:t xml:space="preserve"> akcentováno</w:t>
      </w:r>
      <w:r w:rsidR="00DA26BC">
        <w:t xml:space="preserve"> usnesení</w:t>
      </w:r>
      <w:r>
        <w:t>m</w:t>
      </w:r>
      <w:r w:rsidR="00DA26BC">
        <w:t xml:space="preserve"> vlády </w:t>
      </w:r>
      <w:r w:rsidR="00F10CBA" w:rsidRPr="00F10CBA">
        <w:t>České republiky ze dne</w:t>
      </w:r>
      <w:r w:rsidR="00F10CBA">
        <w:t xml:space="preserve"> 23. listopadu 2016 č. 1033</w:t>
      </w:r>
      <w:r w:rsidR="0024052A" w:rsidRPr="00A14EA7">
        <w:t>,</w:t>
      </w:r>
      <w:r w:rsidR="00F10CBA" w:rsidRPr="00A14EA7">
        <w:t xml:space="preserve"> </w:t>
      </w:r>
      <w:r w:rsidR="00F10CBA" w:rsidRPr="00E163F4">
        <w:rPr>
          <w:i/>
        </w:rPr>
        <w:t>k podnětu Rady vlády České republiky pro lidská práva ke sjednocení služeb pro ohrožené děti a k úpravě podmínek pro poskytování pobytových služeb těmto dětem</w:t>
      </w:r>
      <w:r w:rsidR="00953B61">
        <w:t xml:space="preserve">. </w:t>
      </w:r>
      <w:r w:rsidR="00953B61" w:rsidRPr="00F915EB">
        <w:t>Z tohoto usnesení vyplynuly dva hlavní úkoly pro MPSV ve spolupráci s MŠMT a MZd</w:t>
      </w:r>
      <w:r w:rsidR="00953B61">
        <w:t>:</w:t>
      </w:r>
    </w:p>
    <w:p w14:paraId="73C980FE" w14:textId="58CF4D97" w:rsidR="00953B61" w:rsidRDefault="00953B61" w:rsidP="001F42D9">
      <w:pPr>
        <w:spacing w:after="0" w:line="256" w:lineRule="auto"/>
        <w:ind w:left="1134" w:hanging="567"/>
      </w:pPr>
      <w:r>
        <w:t xml:space="preserve">1.a) </w:t>
      </w:r>
      <w:r w:rsidR="0075446E">
        <w:tab/>
      </w:r>
      <w:r>
        <w:t>do 30. 6. 2017 předložit návrh právní úpravy sjednocení služeb sociální prevence, služeb poskytujících pobytovou péči dětem, služeb sociálně zdravotních nebo výchovných a dalších služeb pro ohrožené děti a jejich rodiny v působnosti</w:t>
      </w:r>
      <w:r w:rsidR="009C274F">
        <w:t xml:space="preserve"> MPSV, MŠMT a MZd</w:t>
      </w:r>
      <w:r>
        <w:t xml:space="preserve"> pod jeden resort;</w:t>
      </w:r>
    </w:p>
    <w:p w14:paraId="14668BD5" w14:textId="77022B78" w:rsidR="00953B61" w:rsidRDefault="00953B61" w:rsidP="001F42D9">
      <w:pPr>
        <w:spacing w:after="0" w:line="256" w:lineRule="auto"/>
        <w:ind w:left="1134" w:hanging="567"/>
      </w:pPr>
      <w:r>
        <w:t xml:space="preserve">1.b) </w:t>
      </w:r>
      <w:r w:rsidR="0075446E">
        <w:tab/>
      </w:r>
      <w:r>
        <w:t>do 30. 6. 2017 předložit strategii rozvoje služeb pro ohrožené děti a jejich rodiny za účelem jejich územní dostupnosti pro uživatele a diverzifikace poskytovaných služeb podle potřeb jednotlivých skupin dětí podle příčin jejich ohrožení, včetně koncepce koordinace a udržitelného financování rozvoje těchto služeb;</w:t>
      </w:r>
    </w:p>
    <w:p w14:paraId="33324FC3" w14:textId="660A82B0" w:rsidR="00953B61" w:rsidRDefault="00953B61" w:rsidP="001F42D9">
      <w:pPr>
        <w:spacing w:after="0" w:line="256" w:lineRule="auto"/>
        <w:ind w:left="1134" w:hanging="567"/>
      </w:pPr>
      <w:r>
        <w:t xml:space="preserve">1.c) </w:t>
      </w:r>
      <w:r w:rsidR="0075446E">
        <w:tab/>
      </w:r>
      <w:r>
        <w:t>do 30. 6. 2017 předložit návrh změn příslušných zákonů, který omezí možnost um</w:t>
      </w:r>
      <w:r w:rsidR="00BE56B4">
        <w:t>í</w:t>
      </w:r>
      <w:r>
        <w:t xml:space="preserve">sťování dětí do 7 let věku v zařízeních kolektivní péče, a to s postupným stanovováním věkové hranice jednoho roku, tří a sedmi let věku pro umístění do zařízení kolektivní péče v přechodném období nejvýše šesti let od platnosti zákona, spolu se stanovením podmínek, kdy by taková forma péče byla výjimečně přípustná; </w:t>
      </w:r>
    </w:p>
    <w:p w14:paraId="6C8C695C" w14:textId="29BB63B9" w:rsidR="00953B61" w:rsidRPr="00953B61" w:rsidRDefault="00953B61" w:rsidP="001F42D9">
      <w:pPr>
        <w:spacing w:line="256" w:lineRule="auto"/>
        <w:ind w:left="1134" w:hanging="567"/>
      </w:pPr>
      <w:r>
        <w:t>2</w:t>
      </w:r>
      <w:r w:rsidR="009C274F">
        <w:t>)</w:t>
      </w:r>
      <w:r>
        <w:t xml:space="preserve"> </w:t>
      </w:r>
      <w:r w:rsidR="0075446E">
        <w:tab/>
      </w:r>
      <w:r>
        <w:t>do 31. 10. 2017 předložit návrh právní úpravy postupného snižování kapacity jednotlivých sjednocených typů zařízení služeb pobytové péče o ohrožené děti</w:t>
      </w:r>
      <w:r w:rsidR="00387B7A">
        <w:t>.</w:t>
      </w:r>
    </w:p>
    <w:p w14:paraId="48F69E75" w14:textId="6ED38351" w:rsidR="00D3340B" w:rsidRPr="00BF746A" w:rsidRDefault="00A81C7D" w:rsidP="00F12FAF">
      <w:pPr>
        <w:pStyle w:val="Nadpis1"/>
        <w:spacing w:before="720" w:after="240" w:line="256" w:lineRule="auto"/>
        <w:ind w:left="284"/>
        <w:rPr>
          <w:sz w:val="28"/>
          <w:szCs w:val="28"/>
        </w:rPr>
      </w:pPr>
      <w:bookmarkStart w:id="3" w:name="_Toc179807883"/>
      <w:r w:rsidRPr="00BF746A">
        <w:rPr>
          <w:sz w:val="28"/>
          <w:szCs w:val="28"/>
        </w:rPr>
        <w:t>III</w:t>
      </w:r>
      <w:r w:rsidR="00E376E8" w:rsidRPr="00BF746A">
        <w:rPr>
          <w:sz w:val="28"/>
          <w:szCs w:val="28"/>
        </w:rPr>
        <w:t>.</w:t>
      </w:r>
      <w:r w:rsidRPr="00BF746A">
        <w:rPr>
          <w:sz w:val="28"/>
          <w:szCs w:val="28"/>
        </w:rPr>
        <w:t xml:space="preserve"> </w:t>
      </w:r>
      <w:r w:rsidR="00D3340B" w:rsidRPr="00BF746A">
        <w:rPr>
          <w:sz w:val="28"/>
          <w:szCs w:val="28"/>
        </w:rPr>
        <w:t>Rozsah kontroly</w:t>
      </w:r>
      <w:bookmarkEnd w:id="3"/>
    </w:p>
    <w:p w14:paraId="3829D36F" w14:textId="4E6C9702" w:rsidR="00AA3B37" w:rsidRPr="005F6637" w:rsidRDefault="00AA3B37" w:rsidP="00F12FAF">
      <w:pPr>
        <w:pStyle w:val="Nadpis2"/>
        <w:widowControl/>
        <w:spacing w:before="0" w:after="120" w:line="256" w:lineRule="auto"/>
      </w:pPr>
      <w:r w:rsidRPr="005F6637">
        <w:t>Předmětem kontrolní akce byly</w:t>
      </w:r>
      <w:r>
        <w:t xml:space="preserve"> peněžní </w:t>
      </w:r>
      <w:r w:rsidRPr="007809C4">
        <w:t>prostředky stát</w:t>
      </w:r>
      <w:r>
        <w:t xml:space="preserve">ního rozpočtu </w:t>
      </w:r>
      <w:r w:rsidRPr="007809C4">
        <w:t xml:space="preserve">a </w:t>
      </w:r>
      <w:r w:rsidR="005D2652">
        <w:t>EU</w:t>
      </w:r>
      <w:r w:rsidRPr="007809C4">
        <w:t xml:space="preserve"> určené na systém péče o</w:t>
      </w:r>
      <w:r w:rsidR="009C274F">
        <w:t xml:space="preserve"> </w:t>
      </w:r>
      <w:r w:rsidRPr="007809C4">
        <w:t>ohrožené děti a jeho transformaci</w:t>
      </w:r>
      <w:r w:rsidR="009C274F">
        <w:t>;</w:t>
      </w:r>
      <w:r w:rsidRPr="007809C4">
        <w:t xml:space="preserve"> </w:t>
      </w:r>
      <w:r>
        <w:t xml:space="preserve">cílem </w:t>
      </w:r>
      <w:r w:rsidR="009C274F">
        <w:t xml:space="preserve">bylo </w:t>
      </w:r>
      <w:r>
        <w:t>prověřit, zda vybran</w:t>
      </w:r>
      <w:r w:rsidR="009C274F">
        <w:t>é</w:t>
      </w:r>
      <w:r>
        <w:t xml:space="preserve"> </w:t>
      </w:r>
      <w:r w:rsidRPr="007809C4">
        <w:t xml:space="preserve">ústřední orgány státní správy </w:t>
      </w:r>
      <w:r w:rsidR="009C274F">
        <w:t xml:space="preserve">vynakládaly tyto prostředky </w:t>
      </w:r>
      <w:r w:rsidRPr="007809C4">
        <w:t>účelně</w:t>
      </w:r>
      <w:r>
        <w:t xml:space="preserve"> </w:t>
      </w:r>
      <w:r w:rsidRPr="007809C4">
        <w:t>a</w:t>
      </w:r>
      <w:r w:rsidR="0097660F">
        <w:t xml:space="preserve"> </w:t>
      </w:r>
      <w:r w:rsidRPr="007809C4">
        <w:t>hospodárně</w:t>
      </w:r>
      <w:r>
        <w:t>.</w:t>
      </w:r>
      <w:r w:rsidRPr="005F6637">
        <w:t xml:space="preserve"> Kontrolovaným obdobím bylo období od roku 201</w:t>
      </w:r>
      <w:r w:rsidR="00C04660">
        <w:t>5</w:t>
      </w:r>
      <w:r w:rsidRPr="005F6637">
        <w:t xml:space="preserve"> do roku 202</w:t>
      </w:r>
      <w:r w:rsidR="002E2DC2">
        <w:t>2</w:t>
      </w:r>
      <w:r>
        <w:t xml:space="preserve"> a </w:t>
      </w:r>
      <w:r w:rsidRPr="005F6637">
        <w:t>v</w:t>
      </w:r>
      <w:r w:rsidR="00412CB4">
        <w:t> </w:t>
      </w:r>
      <w:r w:rsidRPr="005F6637">
        <w:t>případě věcných souvislostí</w:t>
      </w:r>
      <w:r>
        <w:t xml:space="preserve"> </w:t>
      </w:r>
      <w:r w:rsidR="009C274F">
        <w:t>(</w:t>
      </w:r>
      <w:r>
        <w:t>zejména v</w:t>
      </w:r>
      <w:r w:rsidR="00AB79C4">
        <w:t xml:space="preserve"> </w:t>
      </w:r>
      <w:r>
        <w:t>kontextu požadavků vyplývající</w:t>
      </w:r>
      <w:r w:rsidR="000C395F">
        <w:t>ch</w:t>
      </w:r>
      <w:r>
        <w:t xml:space="preserve"> ze zákona o SPOD</w:t>
      </w:r>
      <w:r w:rsidR="009C274F">
        <w:t>)</w:t>
      </w:r>
      <w:r w:rsidRPr="005F6637">
        <w:t xml:space="preserve"> i období předcházející</w:t>
      </w:r>
      <w:r w:rsidR="00734509">
        <w:t xml:space="preserve"> a</w:t>
      </w:r>
      <w:r w:rsidR="0097660F">
        <w:t> </w:t>
      </w:r>
      <w:r w:rsidR="00734509">
        <w:t>následující</w:t>
      </w:r>
      <w:r w:rsidRPr="005F6637">
        <w:t xml:space="preserve">. </w:t>
      </w:r>
    </w:p>
    <w:p w14:paraId="37A11680" w14:textId="4917572F" w:rsidR="00865117" w:rsidRDefault="009C274F" w:rsidP="00F12FAF">
      <w:pPr>
        <w:pStyle w:val="Nadpis2"/>
        <w:widowControl/>
        <w:spacing w:before="0" w:after="120" w:line="256" w:lineRule="auto"/>
      </w:pPr>
      <w:r>
        <w:t xml:space="preserve">Na </w:t>
      </w:r>
      <w:r w:rsidR="00AA3B37">
        <w:t>systémové úrovni vynakládaných peněžních prostředků státního rozpočtu byly kontrol</w:t>
      </w:r>
      <w:r w:rsidR="00565D0C">
        <w:t xml:space="preserve">ou </w:t>
      </w:r>
      <w:r w:rsidR="0049299C">
        <w:t xml:space="preserve">posuzovány </w:t>
      </w:r>
      <w:r w:rsidR="00AA3B37">
        <w:t xml:space="preserve">výdaje </w:t>
      </w:r>
      <w:r w:rsidR="00AA3B37" w:rsidRPr="00681D2E">
        <w:t>MPSV, MŠMT a MZ</w:t>
      </w:r>
      <w:r w:rsidR="00A90EEC" w:rsidRPr="00681D2E">
        <w:t>d</w:t>
      </w:r>
      <w:r w:rsidR="004B7170">
        <w:t xml:space="preserve"> na </w:t>
      </w:r>
      <w:r w:rsidR="004B7170" w:rsidRPr="00935B5F">
        <w:t>pěstounskou péči,</w:t>
      </w:r>
      <w:r w:rsidR="00565D0C">
        <w:t xml:space="preserve"> provoz</w:t>
      </w:r>
      <w:r w:rsidR="004B7170" w:rsidRPr="00935B5F">
        <w:t xml:space="preserve"> ústavní</w:t>
      </w:r>
      <w:r w:rsidR="00565D0C">
        <w:t>ch</w:t>
      </w:r>
      <w:r w:rsidR="004B7170" w:rsidRPr="00935B5F">
        <w:t xml:space="preserve"> zařízení a výkon agendy SPOD, více viz odstavec 2.</w:t>
      </w:r>
      <w:r w:rsidR="00A945A5">
        <w:t>6</w:t>
      </w:r>
      <w:r w:rsidR="004B7170" w:rsidRPr="00935B5F">
        <w:t>.</w:t>
      </w:r>
    </w:p>
    <w:p w14:paraId="5A488644" w14:textId="2C246408" w:rsidR="00BF746A" w:rsidRDefault="009C274F" w:rsidP="00F12FAF">
      <w:pPr>
        <w:pStyle w:val="Nadpis2"/>
        <w:widowControl/>
        <w:spacing w:before="0" w:line="256" w:lineRule="auto"/>
      </w:pPr>
      <w:r>
        <w:t xml:space="preserve">Na </w:t>
      </w:r>
      <w:r w:rsidR="00AA3B37" w:rsidRPr="00935B5F">
        <w:t xml:space="preserve">projektové úrovni vynaložených peněžních prostředků </w:t>
      </w:r>
      <w:r w:rsidR="00437586" w:rsidRPr="00935B5F">
        <w:t>EU</w:t>
      </w:r>
      <w:r w:rsidR="00AA3B37" w:rsidRPr="00935B5F">
        <w:t xml:space="preserve"> a </w:t>
      </w:r>
      <w:r w:rsidR="004A20D7">
        <w:t>prostředků</w:t>
      </w:r>
      <w:r w:rsidR="0097660F">
        <w:t xml:space="preserve"> </w:t>
      </w:r>
      <w:r w:rsidR="00AA3B37" w:rsidRPr="00935B5F">
        <w:t>státního rozpočtu byly kontrole podrobeny výdaje spojené s</w:t>
      </w:r>
      <w:r>
        <w:t xml:space="preserve"> </w:t>
      </w:r>
      <w:r w:rsidR="00AA3B37" w:rsidRPr="00935B5F">
        <w:t>transformací systému péče o</w:t>
      </w:r>
      <w:r w:rsidR="0097660F">
        <w:t> </w:t>
      </w:r>
      <w:r w:rsidR="00AA3B37" w:rsidRPr="00935B5F">
        <w:t>ohrožené děti, zejména projekt</w:t>
      </w:r>
      <w:r w:rsidR="00437586" w:rsidRPr="00935B5F">
        <w:t>y</w:t>
      </w:r>
      <w:r w:rsidR="0049299C">
        <w:t xml:space="preserve">, v jejichž rámci MPSV čerpalo peněžní prostředky. </w:t>
      </w:r>
      <w:r w:rsidR="00AA3B37" w:rsidRPr="00935B5F">
        <w:t xml:space="preserve">Kontrole byly podrobeny rovněž vybrané činnosti řídicího orgánu </w:t>
      </w:r>
      <w:r w:rsidR="005F7587" w:rsidRPr="00935B5F">
        <w:t>OPZ</w:t>
      </w:r>
      <w:r w:rsidR="00AA3B37" w:rsidRPr="00935B5F">
        <w:t xml:space="preserve"> a </w:t>
      </w:r>
      <w:r w:rsidR="005F7587" w:rsidRPr="00935B5F">
        <w:t>OPZ+</w:t>
      </w:r>
      <w:r w:rsidR="00AA3B37" w:rsidRPr="00935B5F">
        <w:t>, kterým</w:t>
      </w:r>
      <w:r w:rsidR="00AA3B37">
        <w:t xml:space="preserve"> je příslušný útvar v</w:t>
      </w:r>
      <w:r w:rsidR="00412CB4">
        <w:t> </w:t>
      </w:r>
      <w:r w:rsidR="00AA3B37">
        <w:t xml:space="preserve">organizační struktuře MPSV – </w:t>
      </w:r>
      <w:r w:rsidR="00A8297A" w:rsidRPr="00133AF1">
        <w:t>O</w:t>
      </w:r>
      <w:r w:rsidR="00AA3B37" w:rsidRPr="00133AF1">
        <w:t>dbor řízení</w:t>
      </w:r>
      <w:r w:rsidR="00A8297A" w:rsidRPr="00133AF1">
        <w:t xml:space="preserve"> programů</w:t>
      </w:r>
      <w:r w:rsidR="00AA3B37" w:rsidRPr="00133AF1">
        <w:t xml:space="preserve"> ESF</w:t>
      </w:r>
      <w:r w:rsidR="00AA3B37">
        <w:t xml:space="preserve">. </w:t>
      </w:r>
      <w:r w:rsidR="00E163F4">
        <w:t xml:space="preserve">NKÚ ke </w:t>
      </w:r>
      <w:r w:rsidR="00AA3B37">
        <w:t xml:space="preserve">kontrole vybral </w:t>
      </w:r>
      <w:r>
        <w:t xml:space="preserve">nesoutěžní </w:t>
      </w:r>
      <w:r w:rsidR="00AA3B37">
        <w:t xml:space="preserve">projekty, </w:t>
      </w:r>
      <w:r>
        <w:t>na které MPSV obdrželo peněžní prostředky</w:t>
      </w:r>
      <w:r w:rsidR="001427CD">
        <w:t xml:space="preserve"> a </w:t>
      </w:r>
      <w:r w:rsidR="00AA3B37">
        <w:t xml:space="preserve">které </w:t>
      </w:r>
      <w:r w:rsidR="001427CD">
        <w:t xml:space="preserve">lze </w:t>
      </w:r>
      <w:r w:rsidR="00AA3B37">
        <w:t>z</w:t>
      </w:r>
      <w:r w:rsidR="00412CB4">
        <w:t> </w:t>
      </w:r>
      <w:r w:rsidR="00AA3B37">
        <w:t>hlediska vazby na transformační úkoly a cíle považovat za zásadní</w:t>
      </w:r>
      <w:r w:rsidR="001427CD">
        <w:t>.</w:t>
      </w:r>
      <w:r w:rsidR="00AA3B37">
        <w:rPr>
          <w:rStyle w:val="Znakapoznpodarou"/>
        </w:rPr>
        <w:footnoteReference w:id="13"/>
      </w:r>
    </w:p>
    <w:p w14:paraId="670BA3C6" w14:textId="77777777" w:rsidR="00433EE4" w:rsidRPr="00433EE4" w:rsidRDefault="00433EE4" w:rsidP="001F42D9">
      <w:pPr>
        <w:spacing w:after="0"/>
      </w:pPr>
    </w:p>
    <w:p w14:paraId="1608C928" w14:textId="7E9180C2" w:rsidR="00015B0F" w:rsidRPr="00BF746A" w:rsidRDefault="008858C0" w:rsidP="00176093">
      <w:pPr>
        <w:pStyle w:val="Titulek"/>
        <w:tabs>
          <w:tab w:val="right" w:pos="9072"/>
        </w:tabs>
        <w:spacing w:after="40" w:line="256" w:lineRule="auto"/>
        <w:rPr>
          <w:b/>
          <w:i w:val="0"/>
          <w:color w:val="auto"/>
          <w:sz w:val="24"/>
          <w:szCs w:val="24"/>
        </w:rPr>
      </w:pPr>
      <w:r w:rsidRPr="00BF746A">
        <w:rPr>
          <w:b/>
          <w:i w:val="0"/>
          <w:color w:val="auto"/>
          <w:sz w:val="24"/>
          <w:szCs w:val="24"/>
        </w:rPr>
        <w:t>Tabulka č.</w:t>
      </w:r>
      <w:r w:rsidR="00CD550D">
        <w:rPr>
          <w:b/>
          <w:i w:val="0"/>
          <w:color w:val="auto"/>
          <w:sz w:val="24"/>
          <w:szCs w:val="24"/>
        </w:rPr>
        <w:t xml:space="preserve"> 3</w:t>
      </w:r>
      <w:r w:rsidR="0033065D">
        <w:rPr>
          <w:b/>
          <w:i w:val="0"/>
          <w:color w:val="auto"/>
          <w:sz w:val="24"/>
          <w:szCs w:val="24"/>
        </w:rPr>
        <w:t>:</w:t>
      </w:r>
      <w:r w:rsidR="00625A83" w:rsidRPr="00BF746A">
        <w:rPr>
          <w:b/>
          <w:i w:val="0"/>
          <w:color w:val="auto"/>
          <w:sz w:val="24"/>
          <w:szCs w:val="24"/>
        </w:rPr>
        <w:t xml:space="preserve"> </w:t>
      </w:r>
      <w:r w:rsidR="001427CD">
        <w:rPr>
          <w:b/>
          <w:i w:val="0"/>
          <w:color w:val="auto"/>
          <w:sz w:val="24"/>
          <w:szCs w:val="24"/>
        </w:rPr>
        <w:t>Přehled nesoutěžních projektů kontrolovaných u MPSV</w:t>
      </w:r>
      <w:r w:rsidR="00DE2D57">
        <w:rPr>
          <w:b/>
          <w:i w:val="0"/>
          <w:color w:val="auto"/>
          <w:sz w:val="24"/>
          <w:szCs w:val="24"/>
        </w:rPr>
        <w:t xml:space="preserve"> </w:t>
      </w:r>
      <w:r w:rsidR="001427CD">
        <w:rPr>
          <w:b/>
          <w:i w:val="0"/>
          <w:color w:val="auto"/>
          <w:sz w:val="24"/>
          <w:szCs w:val="24"/>
        </w:rPr>
        <w:tab/>
      </w:r>
      <w:r w:rsidR="00DE2D57">
        <w:rPr>
          <w:b/>
          <w:i w:val="0"/>
          <w:color w:val="auto"/>
          <w:sz w:val="24"/>
          <w:szCs w:val="24"/>
        </w:rPr>
        <w:t>(v Kč)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847"/>
        <w:gridCol w:w="1276"/>
        <w:gridCol w:w="1421"/>
        <w:gridCol w:w="1408"/>
      </w:tblGrid>
      <w:tr w:rsidR="00015B0F" w:rsidRPr="006D628D" w14:paraId="14E18AD8" w14:textId="77777777" w:rsidTr="003817D4">
        <w:trPr>
          <w:trHeight w:val="907"/>
          <w:tblHeader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9BCA0" w14:textId="77777777" w:rsidR="00015B0F" w:rsidRPr="006D628D" w:rsidRDefault="00015B0F" w:rsidP="003817D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2FB2" w14:textId="52D18CE9" w:rsidR="00015B0F" w:rsidRPr="006D628D" w:rsidRDefault="00015B0F" w:rsidP="003817D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Reg. </w:t>
            </w:r>
            <w:r w:rsidR="00315DF0">
              <w:rPr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0BD3F" w14:textId="77777777" w:rsidR="00015B0F" w:rsidRPr="006D628D" w:rsidRDefault="00015B0F" w:rsidP="003817D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8DDD8" w14:textId="2E10A8AC" w:rsidR="00015B0F" w:rsidRPr="006D628D" w:rsidRDefault="00015B0F" w:rsidP="003817D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Rozpočet podle právního aktu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39E03" w14:textId="50238734" w:rsidR="00015B0F" w:rsidRPr="006D628D" w:rsidRDefault="00015B0F" w:rsidP="003817D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Vyčerpáno</w:t>
            </w:r>
          </w:p>
        </w:tc>
      </w:tr>
      <w:tr w:rsidR="00015B0F" w:rsidRPr="006D628D" w14:paraId="6DE8EB11" w14:textId="77777777" w:rsidTr="001F42D9">
        <w:trPr>
          <w:trHeight w:val="38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E743D" w14:textId="78683D65" w:rsidR="00015B0F" w:rsidRPr="006D628D" w:rsidRDefault="00015B0F" w:rsidP="001D391D">
            <w:pPr>
              <w:spacing w:after="0" w:line="256" w:lineRule="auto"/>
              <w:jc w:val="left"/>
              <w:rPr>
                <w:color w:val="000000"/>
                <w:sz w:val="20"/>
                <w:szCs w:val="20"/>
                <w:lang w:eastAsia="cs-CZ"/>
              </w:rPr>
            </w:pPr>
            <w:bookmarkStart w:id="4" w:name="_Hlk157681904"/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Systémová podpora procesů transformace systému péče o</w:t>
            </w:r>
            <w:r w:rsidR="0097660F"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ohrožené děti</w:t>
            </w:r>
            <w:r w:rsidR="00B52273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 a rodiny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,</w:t>
            </w:r>
            <w:r w:rsidR="00832F92">
              <w:rPr>
                <w:color w:val="000000"/>
                <w:sz w:val="20"/>
                <w:szCs w:val="20"/>
                <w:lang w:eastAsia="cs-CZ"/>
              </w:rPr>
              <w:br/>
            </w:r>
            <w:r w:rsidRPr="00981BDA">
              <w:rPr>
                <w:color w:val="000000"/>
                <w:sz w:val="20"/>
                <w:szCs w:val="20"/>
                <w:lang w:eastAsia="cs-CZ"/>
              </w:rPr>
              <w:t xml:space="preserve">tzv. </w:t>
            </w:r>
            <w:r w:rsidRPr="00E3447C">
              <w:rPr>
                <w:b/>
                <w:color w:val="000000"/>
                <w:sz w:val="20"/>
                <w:szCs w:val="20"/>
                <w:lang w:eastAsia="cs-CZ"/>
              </w:rPr>
              <w:t>„</w:t>
            </w:r>
            <w:r w:rsidRPr="00E3447C">
              <w:rPr>
                <w:rFonts w:cstheme="minorHAnsi"/>
                <w:b/>
                <w:sz w:val="20"/>
                <w:szCs w:val="20"/>
              </w:rPr>
              <w:t>SPOD0“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(OP LZZ)</w:t>
            </w:r>
            <w:bookmarkEnd w:id="4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E0DC5" w14:textId="77777777" w:rsidR="00015B0F" w:rsidRPr="006D628D" w:rsidRDefault="00015B0F" w:rsidP="00AF3A3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bookmarkStart w:id="5" w:name="_Hlk157683769"/>
            <w:r w:rsidRPr="006D628D">
              <w:rPr>
                <w:color w:val="000000"/>
                <w:sz w:val="20"/>
                <w:szCs w:val="20"/>
                <w:lang w:eastAsia="cs-CZ"/>
              </w:rPr>
              <w:t>CZ.1.04/3.1.00/04.00008</w:t>
            </w:r>
            <w:bookmarkEnd w:id="5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30E97" w14:textId="0ED1390D" w:rsidR="00015B0F" w:rsidRPr="006D628D" w:rsidRDefault="00015B0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bookmarkStart w:id="6" w:name="_Hlk157681963"/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1. 7. 2012 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 xml:space="preserve">až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31.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12.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2015</w:t>
            </w:r>
            <w:bookmarkEnd w:id="6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39065" w14:textId="1DD321FC" w:rsidR="00015B0F" w:rsidRPr="006D628D" w:rsidRDefault="001427CD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4EDA" w14:textId="7F703A0F" w:rsidR="00015B0F" w:rsidRPr="006D628D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178 885 643</w:t>
            </w:r>
          </w:p>
        </w:tc>
      </w:tr>
      <w:tr w:rsidR="00015B0F" w:rsidRPr="006D628D" w14:paraId="43947774" w14:textId="77777777" w:rsidTr="001F42D9">
        <w:trPr>
          <w:trHeight w:val="38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EDE58" w14:textId="039A8FD3" w:rsidR="00015B0F" w:rsidRPr="006D628D" w:rsidRDefault="00015B0F" w:rsidP="001F42D9">
            <w:pPr>
              <w:spacing w:after="0" w:line="256" w:lineRule="auto"/>
              <w:jc w:val="left"/>
              <w:rPr>
                <w:color w:val="000000"/>
                <w:sz w:val="20"/>
                <w:szCs w:val="20"/>
                <w:lang w:eastAsia="cs-CZ"/>
              </w:rPr>
            </w:pP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Systémový rozvoj a podpora nástrojů sociálně-právní ochrany dětí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,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81BDA">
              <w:rPr>
                <w:color w:val="000000"/>
                <w:sz w:val="20"/>
                <w:szCs w:val="20"/>
                <w:lang w:eastAsia="cs-CZ"/>
              </w:rPr>
              <w:t xml:space="preserve">tzv. </w:t>
            </w:r>
            <w:r w:rsidRPr="00E3447C">
              <w:rPr>
                <w:b/>
                <w:color w:val="000000"/>
                <w:sz w:val="20"/>
                <w:szCs w:val="20"/>
                <w:lang w:eastAsia="cs-CZ"/>
              </w:rPr>
              <w:t>„</w:t>
            </w:r>
            <w:r w:rsidRPr="00E3447C">
              <w:rPr>
                <w:rFonts w:cstheme="minorHAnsi"/>
                <w:b/>
                <w:sz w:val="20"/>
                <w:szCs w:val="20"/>
              </w:rPr>
              <w:t>SPOD1“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(OPZ)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4907D" w14:textId="77777777" w:rsidR="00015B0F" w:rsidRPr="006D628D" w:rsidRDefault="00015B0F" w:rsidP="00AF3A3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CZ.03.2.63/0.0/0.0/15_017/0001687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7DFEF" w14:textId="0B86725B" w:rsidR="00015B0F" w:rsidRPr="006D628D" w:rsidRDefault="00015B0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1.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1.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2016 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až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 30.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6.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6831B" w14:textId="77777777" w:rsidR="00015B0F" w:rsidRPr="006D628D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325 582 620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06DE3" w14:textId="3A1BFFC8" w:rsidR="00015B0F" w:rsidRPr="006D628D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218 805 20</w:t>
            </w:r>
            <w:r w:rsidR="00F54D2B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015B0F" w:rsidRPr="006D628D" w14:paraId="7FF18F2B" w14:textId="77777777" w:rsidTr="001F42D9">
        <w:trPr>
          <w:trHeight w:val="38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77CC0" w14:textId="3FDDBD3D" w:rsidR="00015B0F" w:rsidRPr="006D628D" w:rsidRDefault="00015B0F" w:rsidP="001F42D9">
            <w:pPr>
              <w:spacing w:after="0" w:line="256" w:lineRule="auto"/>
              <w:jc w:val="left"/>
              <w:rPr>
                <w:color w:val="000000"/>
                <w:sz w:val="20"/>
                <w:szCs w:val="20"/>
                <w:lang w:eastAsia="cs-CZ"/>
              </w:rPr>
            </w:pP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Podpora systémových změn v</w:t>
            </w:r>
            <w:r w:rsidR="00412CB4"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oblasti služeb péče o ohrožené děti, mladé lidi a rodiny v</w:t>
            </w:r>
            <w:r w:rsidR="00412CB4"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České republice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81BDA">
              <w:rPr>
                <w:color w:val="000000"/>
                <w:sz w:val="20"/>
                <w:szCs w:val="20"/>
                <w:lang w:eastAsia="cs-CZ"/>
              </w:rPr>
              <w:t>tzv.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D906B1">
              <w:rPr>
                <w:b/>
                <w:color w:val="000000"/>
                <w:sz w:val="20"/>
                <w:szCs w:val="20"/>
                <w:lang w:eastAsia="cs-CZ"/>
              </w:rPr>
              <w:t>„</w:t>
            </w:r>
            <w:r w:rsidRPr="00D906B1">
              <w:rPr>
                <w:rFonts w:cstheme="minorHAnsi"/>
                <w:b/>
                <w:sz w:val="20"/>
                <w:szCs w:val="20"/>
              </w:rPr>
              <w:t>SPOD2“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(OPZ)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9A2E5" w14:textId="77777777" w:rsidR="00015B0F" w:rsidRPr="006D628D" w:rsidRDefault="00015B0F" w:rsidP="00AF3A3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CZ.03.2.63/0.0/0.0/15_017/0009381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B2088" w14:textId="38B19F22" w:rsidR="00015B0F" w:rsidRPr="006D628D" w:rsidRDefault="00015B0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bookmarkStart w:id="7" w:name="_Hlk157686271"/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1. 10. 2018 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až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 xml:space="preserve"> 31.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12.</w:t>
            </w:r>
            <w:r w:rsidR="00625A83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D628D">
              <w:rPr>
                <w:color w:val="000000"/>
                <w:sz w:val="20"/>
                <w:szCs w:val="20"/>
                <w:lang w:eastAsia="cs-CZ"/>
              </w:rPr>
              <w:t>2022</w:t>
            </w:r>
            <w:bookmarkEnd w:id="7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BC61D" w14:textId="213405DD" w:rsidR="00015B0F" w:rsidRPr="006D628D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color w:val="000000"/>
                <w:sz w:val="20"/>
                <w:szCs w:val="20"/>
                <w:lang w:eastAsia="cs-CZ"/>
              </w:rPr>
              <w:t>72 565 25</w:t>
            </w:r>
            <w:r w:rsidR="00F54D2B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C3607" w14:textId="5440E770" w:rsidR="00015B0F" w:rsidRPr="006D628D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bookmarkStart w:id="8" w:name="_Hlk157686285"/>
            <w:r w:rsidRPr="006D628D">
              <w:rPr>
                <w:color w:val="000000"/>
                <w:sz w:val="20"/>
                <w:szCs w:val="20"/>
                <w:lang w:eastAsia="cs-CZ"/>
              </w:rPr>
              <w:t>71 106 714</w:t>
            </w:r>
            <w:bookmarkEnd w:id="8"/>
          </w:p>
        </w:tc>
      </w:tr>
      <w:tr w:rsidR="00015B0F" w:rsidRPr="00EB6E17" w14:paraId="52E22D8A" w14:textId="77777777" w:rsidTr="001F42D9">
        <w:trPr>
          <w:trHeight w:val="38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E62B9" w14:textId="611150A5" w:rsidR="00015B0F" w:rsidRPr="00EB6E17" w:rsidRDefault="00015B0F" w:rsidP="001F42D9">
            <w:pPr>
              <w:spacing w:after="0" w:line="256" w:lineRule="auto"/>
              <w:jc w:val="left"/>
              <w:rPr>
                <w:color w:val="000000"/>
                <w:sz w:val="20"/>
                <w:szCs w:val="20"/>
                <w:lang w:eastAsia="cs-CZ"/>
              </w:rPr>
            </w:pPr>
            <w:bookmarkStart w:id="9" w:name="_Hlk157688422"/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Standardizace procesu zabezpečení náhradní rodinné péče o děti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,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bookmarkEnd w:id="9"/>
            <w:r w:rsidRPr="00EB6E17">
              <w:rPr>
                <w:color w:val="000000"/>
                <w:sz w:val="20"/>
                <w:szCs w:val="20"/>
                <w:lang w:eastAsia="cs-CZ"/>
              </w:rPr>
              <w:t>tzv.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EB6E17">
              <w:rPr>
                <w:b/>
                <w:color w:val="000000"/>
                <w:sz w:val="20"/>
                <w:szCs w:val="20"/>
                <w:lang w:eastAsia="cs-CZ"/>
              </w:rPr>
              <w:t>„Standardizace NRP“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(OPZ+)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E4805" w14:textId="77777777" w:rsidR="00015B0F" w:rsidRPr="00EB6E17" w:rsidRDefault="00015B0F" w:rsidP="00AF3A3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bookmarkStart w:id="10" w:name="_Hlk157688438"/>
            <w:r w:rsidRPr="00EB6E17">
              <w:rPr>
                <w:color w:val="000000"/>
                <w:sz w:val="20"/>
                <w:szCs w:val="20"/>
                <w:lang w:eastAsia="cs-CZ"/>
              </w:rPr>
              <w:t>CZ.03.02.02/00/22_004/0000210</w:t>
            </w:r>
            <w:bookmarkEnd w:id="10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DC88E" w14:textId="193387B9" w:rsidR="00015B0F" w:rsidRPr="00EB6E17" w:rsidRDefault="00015B0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1. 11. 2022 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až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br/>
              <w:t>31. 12. 2025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38FCE" w14:textId="77777777" w:rsidR="00015B0F" w:rsidRPr="00EB6E17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43 662 000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0AFB9" w14:textId="3F9E997F" w:rsidR="00015B0F" w:rsidRPr="00EB6E17" w:rsidRDefault="00015B0F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13 231 576</w:t>
            </w:r>
          </w:p>
        </w:tc>
      </w:tr>
      <w:tr w:rsidR="00281CD6" w:rsidRPr="00EB6E17" w14:paraId="6B298EDC" w14:textId="77777777" w:rsidTr="001F42D9">
        <w:trPr>
          <w:trHeight w:val="715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9DF19" w14:textId="1921025C" w:rsidR="00281CD6" w:rsidRPr="00EB6E17" w:rsidRDefault="00281CD6" w:rsidP="001F42D9">
            <w:pPr>
              <w:spacing w:after="0" w:line="256" w:lineRule="auto"/>
              <w:jc w:val="left"/>
              <w:rPr>
                <w:color w:val="000000"/>
                <w:sz w:val="20"/>
                <w:szCs w:val="20"/>
                <w:lang w:eastAsia="cs-CZ"/>
              </w:rPr>
            </w:pPr>
            <w:bookmarkStart w:id="11" w:name="_Hlk157688555"/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Sjednocení přístupu k</w:t>
            </w:r>
            <w:r w:rsidR="00412CB4"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1F42D9">
              <w:rPr>
                <w:i/>
                <w:iCs/>
                <w:color w:val="000000"/>
                <w:sz w:val="20"/>
                <w:szCs w:val="20"/>
                <w:lang w:eastAsia="cs-CZ"/>
              </w:rPr>
              <w:t>ohroženým dětem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,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bookmarkEnd w:id="11"/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tzv. </w:t>
            </w:r>
            <w:r w:rsidRPr="00EB6E17">
              <w:rPr>
                <w:b/>
                <w:color w:val="000000"/>
                <w:sz w:val="20"/>
                <w:szCs w:val="20"/>
                <w:lang w:eastAsia="cs-CZ"/>
              </w:rPr>
              <w:t>„SPOD3“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(OPZ+)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0A55D" w14:textId="77777777" w:rsidR="00281CD6" w:rsidRPr="00EB6E17" w:rsidRDefault="00281CD6" w:rsidP="00AF3A3F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CZ.03.02.02/00/22_004/0000500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4AE1C" w14:textId="536158EB" w:rsidR="00281CD6" w:rsidRPr="00EB6E17" w:rsidRDefault="00281CD6">
            <w:pPr>
              <w:spacing w:after="0" w:line="256" w:lineRule="auto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1.</w:t>
            </w:r>
            <w:r w:rsidR="00625A83"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>1.</w:t>
            </w:r>
            <w:r w:rsidR="00625A83"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2023 </w:t>
            </w:r>
            <w:r w:rsidR="001427CD">
              <w:rPr>
                <w:color w:val="000000"/>
                <w:sz w:val="20"/>
                <w:szCs w:val="20"/>
                <w:lang w:eastAsia="cs-CZ"/>
              </w:rPr>
              <w:t>až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 xml:space="preserve"> 31.</w:t>
            </w:r>
            <w:r w:rsidR="00625A83"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>12.</w:t>
            </w:r>
            <w:r w:rsidR="00625A83" w:rsidRPr="00EB6E1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6E17">
              <w:rPr>
                <w:color w:val="000000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85365" w14:textId="589D2455" w:rsidR="00281CD6" w:rsidRPr="00EB6E17" w:rsidRDefault="00281CD6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47 687 040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420C2" w14:textId="6A76DFF4" w:rsidR="00281CD6" w:rsidRPr="00EB6E17" w:rsidRDefault="00281CD6" w:rsidP="001F42D9">
            <w:pPr>
              <w:spacing w:after="0" w:line="256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B6E17">
              <w:rPr>
                <w:color w:val="000000"/>
                <w:sz w:val="20"/>
                <w:szCs w:val="20"/>
                <w:lang w:eastAsia="cs-CZ"/>
              </w:rPr>
              <w:t>16 333 851</w:t>
            </w:r>
          </w:p>
        </w:tc>
      </w:tr>
      <w:tr w:rsidR="00015B0F" w:rsidRPr="006D628D" w14:paraId="5C5C969B" w14:textId="77777777" w:rsidTr="003817D4">
        <w:trPr>
          <w:trHeight w:val="397"/>
        </w:trPr>
        <w:tc>
          <w:tcPr>
            <w:tcW w:w="4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AB1F1" w14:textId="1F87BF7A" w:rsidR="00015B0F" w:rsidRPr="006D628D" w:rsidRDefault="00015B0F" w:rsidP="00AF3A3F">
            <w:pPr>
              <w:keepNext/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628D">
              <w:rPr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91CA4" w14:textId="5A5C2FC0" w:rsidR="00015B0F" w:rsidRPr="006D628D" w:rsidRDefault="00015B0F" w:rsidP="001F42D9">
            <w:pPr>
              <w:keepNext/>
              <w:spacing w:after="0"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41AC">
              <w:rPr>
                <w:b/>
                <w:bCs/>
                <w:color w:val="000000"/>
                <w:sz w:val="20"/>
                <w:szCs w:val="20"/>
                <w:lang w:eastAsia="cs-CZ"/>
              </w:rPr>
              <w:t>498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141AC">
              <w:rPr>
                <w:b/>
                <w:bCs/>
                <w:color w:val="000000"/>
                <w:sz w:val="20"/>
                <w:szCs w:val="20"/>
                <w:lang w:eastAsia="cs-CZ"/>
              </w:rPr>
              <w:t>362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141AC">
              <w:rPr>
                <w:b/>
                <w:bCs/>
                <w:color w:val="000000"/>
                <w:sz w:val="20"/>
                <w:szCs w:val="20"/>
                <w:lang w:eastAsia="cs-CZ"/>
              </w:rPr>
              <w:t>986</w:t>
            </w:r>
          </w:p>
        </w:tc>
      </w:tr>
    </w:tbl>
    <w:p w14:paraId="0037DE25" w14:textId="5129EDFB" w:rsidR="00015B0F" w:rsidRDefault="00015B0F" w:rsidP="001F42D9">
      <w:pPr>
        <w:pStyle w:val="Titulekzdroj"/>
        <w:spacing w:before="40" w:after="240" w:line="256" w:lineRule="auto"/>
      </w:pPr>
      <w:r w:rsidRPr="001F42D9">
        <w:rPr>
          <w:b/>
        </w:rPr>
        <w:t>Zdroj:</w:t>
      </w:r>
      <w:r w:rsidRPr="006D628D">
        <w:t xml:space="preserve"> </w:t>
      </w:r>
      <w:r w:rsidR="0097660F">
        <w:t>d</w:t>
      </w:r>
      <w:r w:rsidRPr="006D628D">
        <w:t xml:space="preserve">oklady MPSV </w:t>
      </w:r>
      <w:r>
        <w:t>a z</w:t>
      </w:r>
      <w:r w:rsidR="00412CB4">
        <w:t> </w:t>
      </w:r>
      <w:r>
        <w:t>MS2014+;</w:t>
      </w:r>
      <w:r w:rsidRPr="006D628D">
        <w:t xml:space="preserve"> vlastní zpracování NKÚ</w:t>
      </w:r>
      <w:r w:rsidR="00625A83">
        <w:t>.</w:t>
      </w:r>
    </w:p>
    <w:p w14:paraId="509BA766" w14:textId="77777777" w:rsidR="003817D4" w:rsidRPr="006D628D" w:rsidRDefault="003817D4" w:rsidP="003817D4">
      <w:pPr>
        <w:pStyle w:val="Titulekzdroj"/>
        <w:spacing w:line="256" w:lineRule="auto"/>
      </w:pPr>
    </w:p>
    <w:p w14:paraId="7A51E79D" w14:textId="586E195C" w:rsidR="00AA3B37" w:rsidRPr="009A43A9" w:rsidRDefault="00AA3B37" w:rsidP="00F12FAF">
      <w:pPr>
        <w:pStyle w:val="Nadpis2"/>
        <w:widowControl/>
        <w:spacing w:before="0" w:after="120" w:line="256" w:lineRule="auto"/>
      </w:pPr>
      <w:r w:rsidRPr="007271B7">
        <w:t xml:space="preserve">MŠMT </w:t>
      </w:r>
      <w:r w:rsidR="00F06A10" w:rsidRPr="007271B7">
        <w:t xml:space="preserve">ani MZd </w:t>
      </w:r>
      <w:r w:rsidR="000A5814" w:rsidRPr="007271B7">
        <w:t xml:space="preserve">peněžní prostředky </w:t>
      </w:r>
      <w:r w:rsidR="004A20D7">
        <w:t>z</w:t>
      </w:r>
      <w:r w:rsidR="001427CD">
        <w:t> </w:t>
      </w:r>
      <w:r w:rsidR="004A1A68">
        <w:t>OP</w:t>
      </w:r>
      <w:r w:rsidR="001427CD">
        <w:t> </w:t>
      </w:r>
      <w:r w:rsidR="004A1A68">
        <w:t xml:space="preserve">LZZ, </w:t>
      </w:r>
      <w:r w:rsidR="004A20D7">
        <w:t>OPZ</w:t>
      </w:r>
      <w:r w:rsidR="004A1A68">
        <w:t xml:space="preserve"> či OPZ+</w:t>
      </w:r>
      <w:r w:rsidR="000A5814">
        <w:t xml:space="preserve"> v</w:t>
      </w:r>
      <w:r w:rsidR="00412CB4">
        <w:t> </w:t>
      </w:r>
      <w:r w:rsidR="000A5814">
        <w:t xml:space="preserve">rámci </w:t>
      </w:r>
      <w:r w:rsidRPr="007271B7">
        <w:t>transformac</w:t>
      </w:r>
      <w:r w:rsidR="000A5814">
        <w:t>e</w:t>
      </w:r>
      <w:r w:rsidRPr="007271B7">
        <w:t xml:space="preserve"> systému péče o ohrožené děti</w:t>
      </w:r>
      <w:r>
        <w:t xml:space="preserve"> nevynakládaly</w:t>
      </w:r>
      <w:r w:rsidR="00736517">
        <w:t>.</w:t>
      </w:r>
      <w:r w:rsidR="000A5814">
        <w:t xml:space="preserve"> </w:t>
      </w:r>
    </w:p>
    <w:p w14:paraId="332F5864" w14:textId="292FCF5D" w:rsidR="00BD189F" w:rsidRPr="002A4E73" w:rsidRDefault="00AA3B37" w:rsidP="00F12FAF">
      <w:pPr>
        <w:pStyle w:val="Nadpis2"/>
        <w:widowControl/>
        <w:spacing w:before="0" w:after="120" w:line="256" w:lineRule="auto"/>
        <w:rPr>
          <w:rFonts w:ascii="Calibri" w:hAnsi="Calibri" w:cs="Calibri"/>
          <w:szCs w:val="24"/>
        </w:rPr>
      </w:pPr>
      <w:r>
        <w:t>V</w:t>
      </w:r>
      <w:r w:rsidR="00412CB4">
        <w:t> </w:t>
      </w:r>
      <w:r>
        <w:t>souvislosti</w:t>
      </w:r>
      <w:r w:rsidR="00722EA4">
        <w:t xml:space="preserve"> s</w:t>
      </w:r>
      <w:r w:rsidR="00412CB4">
        <w:t> </w:t>
      </w:r>
      <w:r>
        <w:t>kontrolou na projektové úrovni se NKÚ také zaměřil</w:t>
      </w:r>
      <w:r w:rsidR="00722EA4">
        <w:t xml:space="preserve"> na</w:t>
      </w:r>
      <w:r>
        <w:t xml:space="preserve"> </w:t>
      </w:r>
      <w:r w:rsidRPr="00F915EB">
        <w:t xml:space="preserve">71 </w:t>
      </w:r>
      <w:r>
        <w:t xml:space="preserve">soutěžních </w:t>
      </w:r>
      <w:r w:rsidRPr="00F915EB">
        <w:t>projektů</w:t>
      </w:r>
      <w:r>
        <w:t xml:space="preserve"> s</w:t>
      </w:r>
      <w:r w:rsidR="00412CB4">
        <w:t> </w:t>
      </w:r>
      <w:r>
        <w:t>cílem posoudit možný věcný překryv těchto projektů s</w:t>
      </w:r>
      <w:r w:rsidR="00412CB4">
        <w:t> </w:t>
      </w:r>
      <w:r>
        <w:t xml:space="preserve">klíčovými aktivitami nesoutěžních projektů. NKÚ se </w:t>
      </w:r>
      <w:r w:rsidR="0049299C">
        <w:t xml:space="preserve">při kontrole </w:t>
      </w:r>
      <w:r>
        <w:t xml:space="preserve">zaměřil na činnosti </w:t>
      </w:r>
      <w:r w:rsidR="0049299C">
        <w:t xml:space="preserve">MPSV jako </w:t>
      </w:r>
      <w:r>
        <w:t xml:space="preserve">poskytovatele </w:t>
      </w:r>
      <w:r w:rsidR="00625F54">
        <w:t xml:space="preserve">a </w:t>
      </w:r>
      <w:r w:rsidR="004527BC">
        <w:t>řídicí</w:t>
      </w:r>
      <w:r w:rsidR="00625F54">
        <w:t>ho</w:t>
      </w:r>
      <w:r>
        <w:t xml:space="preserve"> orgán</w:t>
      </w:r>
      <w:r w:rsidR="00625F54">
        <w:t>u</w:t>
      </w:r>
      <w:r w:rsidRPr="00F915EB">
        <w:t>. Na realizaci těchto projektů bylo vynaloženo celkem 202</w:t>
      </w:r>
      <w:r>
        <w:t>,</w:t>
      </w:r>
      <w:r w:rsidR="004527BC">
        <w:t>9</w:t>
      </w:r>
      <w:r>
        <w:t xml:space="preserve"> mil. Kč</w:t>
      </w:r>
      <w:r w:rsidR="00BD189F">
        <w:t xml:space="preserve">. </w:t>
      </w:r>
    </w:p>
    <w:p w14:paraId="0C594F9A" w14:textId="77777777" w:rsidR="003817D4" w:rsidRDefault="003817D4">
      <w:pPr>
        <w:jc w:val="left"/>
        <w:rPr>
          <w:rFonts w:eastAsiaTheme="majorEastAsia" w:cstheme="majorBidi"/>
          <w:szCs w:val="26"/>
          <w:lang w:eastAsia="cs-CZ"/>
        </w:rPr>
      </w:pPr>
      <w:r>
        <w:br w:type="page"/>
      </w:r>
    </w:p>
    <w:p w14:paraId="5F327AA8" w14:textId="4C6FFD31" w:rsidR="00CE350E" w:rsidRPr="00935B5F" w:rsidRDefault="00AA3B37" w:rsidP="00F12FAF">
      <w:pPr>
        <w:pStyle w:val="Nadpis2"/>
        <w:widowControl/>
        <w:spacing w:before="0" w:after="120" w:line="256" w:lineRule="auto"/>
      </w:pPr>
      <w:r w:rsidRPr="00B24AE8">
        <w:t>V</w:t>
      </w:r>
      <w:r w:rsidR="00412CB4">
        <w:t> </w:t>
      </w:r>
      <w:r w:rsidRPr="00B24AE8">
        <w:t xml:space="preserve">rámci posouzení účelnosti vynaložených peněžních prostředků NKÚ </w:t>
      </w:r>
      <w:r w:rsidR="00291DD8">
        <w:t>prověřoval</w:t>
      </w:r>
      <w:r w:rsidRPr="00B24AE8">
        <w:t xml:space="preserve">, </w:t>
      </w:r>
      <w:r w:rsidR="00291DD8">
        <w:t xml:space="preserve">zda </w:t>
      </w:r>
      <w:r w:rsidRPr="00B24AE8">
        <w:t>realizované projekty přispěly k</w:t>
      </w:r>
      <w:r w:rsidR="00412CB4">
        <w:t> </w:t>
      </w:r>
      <w:r w:rsidRPr="00B24AE8">
        <w:t xml:space="preserve">naplnění </w:t>
      </w:r>
      <w:r w:rsidR="00604CBC">
        <w:t xml:space="preserve">cílů a </w:t>
      </w:r>
      <w:r w:rsidRPr="00B24AE8">
        <w:t>potřeb, resp. zmírnění či odstranění nedostatků v</w:t>
      </w:r>
      <w:r w:rsidR="00412CB4">
        <w:t> </w:t>
      </w:r>
      <w:r w:rsidRPr="00B24AE8">
        <w:t>sociálně-právní ochraně dětí. Tyto aktivity,</w:t>
      </w:r>
      <w:r w:rsidR="00722EA4">
        <w:t xml:space="preserve"> </w:t>
      </w:r>
      <w:r>
        <w:t>úkoly a opatření vymezuje celá řada strategických, koncepčních i</w:t>
      </w:r>
      <w:r w:rsidR="003817D4">
        <w:t xml:space="preserve"> </w:t>
      </w:r>
      <w:r>
        <w:t xml:space="preserve">metodických dokumentů a také právních předpisů, které </w:t>
      </w:r>
      <w:r w:rsidR="00684918">
        <w:t>v</w:t>
      </w:r>
      <w:r w:rsidR="00412CB4">
        <w:t> </w:t>
      </w:r>
      <w:r>
        <w:t>průběhu kontrolovaného období, resp. od roku 2009</w:t>
      </w:r>
      <w:r w:rsidR="00736912">
        <w:t>,</w:t>
      </w:r>
      <w:r>
        <w:t xml:space="preserve"> utvářely </w:t>
      </w:r>
      <w:r w:rsidRPr="00935B5F">
        <w:t xml:space="preserve">požadavky na transformaci systému sociálně-právní ochrany dětí. </w:t>
      </w:r>
      <w:r w:rsidR="002B34F8">
        <w:t>NKÚ pro účely kontroly</w:t>
      </w:r>
      <w:r w:rsidRPr="00935B5F">
        <w:t xml:space="preserve"> vybr</w:t>
      </w:r>
      <w:r w:rsidR="002B34F8">
        <w:t>al</w:t>
      </w:r>
      <w:r w:rsidRPr="00935B5F">
        <w:t xml:space="preserve"> cíle z</w:t>
      </w:r>
      <w:r w:rsidR="009A43A9" w:rsidRPr="00935B5F">
        <w:t>e strategický</w:t>
      </w:r>
      <w:r w:rsidR="004E4E5B" w:rsidRPr="00935B5F">
        <w:t>ch</w:t>
      </w:r>
      <w:r w:rsidR="009A43A9" w:rsidRPr="00935B5F">
        <w:t xml:space="preserve"> </w:t>
      </w:r>
      <w:r w:rsidRPr="00935B5F">
        <w:t>dokumentů</w:t>
      </w:r>
      <w:r w:rsidR="0099446F" w:rsidRPr="00935B5F">
        <w:t xml:space="preserve">: </w:t>
      </w:r>
      <w:r w:rsidR="0099446F" w:rsidRPr="00935B5F">
        <w:rPr>
          <w:i/>
        </w:rPr>
        <w:t>Národní strategi</w:t>
      </w:r>
      <w:r w:rsidR="00863262">
        <w:rPr>
          <w:i/>
        </w:rPr>
        <w:t>e</w:t>
      </w:r>
      <w:r w:rsidR="0099446F" w:rsidRPr="00935B5F">
        <w:rPr>
          <w:i/>
        </w:rPr>
        <w:t xml:space="preserve"> ochrany práv dětí</w:t>
      </w:r>
      <w:r w:rsidR="003A2DF8" w:rsidRPr="001F42D9">
        <w:rPr>
          <w:rStyle w:val="Znakapoznpodarou"/>
        </w:rPr>
        <w:footnoteReference w:id="14"/>
      </w:r>
      <w:r w:rsidR="0099446F" w:rsidRPr="00AF3A3F">
        <w:t xml:space="preserve"> </w:t>
      </w:r>
      <w:r w:rsidR="0099446F" w:rsidRPr="00935B5F">
        <w:t>(dále také „Národní strategie 2012</w:t>
      </w:r>
      <w:bookmarkStart w:id="12" w:name="_Hlk184255796"/>
      <w:r w:rsidR="0099446F" w:rsidRPr="00935B5F">
        <w:t>–</w:t>
      </w:r>
      <w:bookmarkEnd w:id="12"/>
      <w:r w:rsidR="0099446F" w:rsidRPr="00935B5F">
        <w:t>2018“) a její</w:t>
      </w:r>
      <w:r w:rsidR="00736912">
        <w:t>ho</w:t>
      </w:r>
      <w:r w:rsidR="0099446F" w:rsidRPr="00935B5F">
        <w:t xml:space="preserve"> </w:t>
      </w:r>
      <w:r w:rsidR="0099446F" w:rsidRPr="00935B5F">
        <w:rPr>
          <w:i/>
        </w:rPr>
        <w:t>Akční</w:t>
      </w:r>
      <w:r w:rsidR="00736912">
        <w:rPr>
          <w:i/>
        </w:rPr>
        <w:t>ho</w:t>
      </w:r>
      <w:r w:rsidR="0099446F" w:rsidRPr="00935B5F">
        <w:rPr>
          <w:i/>
        </w:rPr>
        <w:t xml:space="preserve"> plán</w:t>
      </w:r>
      <w:r w:rsidR="00736912">
        <w:rPr>
          <w:i/>
        </w:rPr>
        <w:t>u</w:t>
      </w:r>
      <w:r w:rsidR="0099446F" w:rsidRPr="00935B5F">
        <w:rPr>
          <w:i/>
        </w:rPr>
        <w:t xml:space="preserve"> k</w:t>
      </w:r>
      <w:r w:rsidR="00736912">
        <w:rPr>
          <w:i/>
        </w:rPr>
        <w:t xml:space="preserve"> </w:t>
      </w:r>
      <w:r w:rsidR="0099446F" w:rsidRPr="00935B5F">
        <w:rPr>
          <w:i/>
        </w:rPr>
        <w:t xml:space="preserve">naplnění Národní strategie ochrany práv dětí </w:t>
      </w:r>
      <w:r w:rsidR="00736912">
        <w:rPr>
          <w:i/>
        </w:rPr>
        <w:t xml:space="preserve">na období </w:t>
      </w:r>
      <w:r w:rsidR="0099446F" w:rsidRPr="00935B5F">
        <w:rPr>
          <w:i/>
        </w:rPr>
        <w:t>2012–2015</w:t>
      </w:r>
      <w:r w:rsidR="003A2DF8" w:rsidRPr="001F42D9">
        <w:rPr>
          <w:rStyle w:val="Znakapoznpodarou"/>
        </w:rPr>
        <w:footnoteReference w:id="15"/>
      </w:r>
      <w:r w:rsidR="0099446F" w:rsidRPr="00AF3A3F">
        <w:t xml:space="preserve"> </w:t>
      </w:r>
      <w:r w:rsidR="00563CEC">
        <w:t>(dále také „Akční plán 2012</w:t>
      </w:r>
      <w:r w:rsidR="00563CEC" w:rsidRPr="00935B5F">
        <w:t>–</w:t>
      </w:r>
      <w:r w:rsidR="00563CEC">
        <w:t xml:space="preserve">2015“) </w:t>
      </w:r>
      <w:r w:rsidR="0099446F" w:rsidRPr="00935B5F">
        <w:t xml:space="preserve">a </w:t>
      </w:r>
      <w:r w:rsidR="00736912">
        <w:t xml:space="preserve">dále z </w:t>
      </w:r>
      <w:r w:rsidR="0099446F" w:rsidRPr="00935B5F">
        <w:rPr>
          <w:i/>
        </w:rPr>
        <w:t>Národní strategi</w:t>
      </w:r>
      <w:r w:rsidR="00BE4DDA">
        <w:rPr>
          <w:i/>
        </w:rPr>
        <w:t>e</w:t>
      </w:r>
      <w:r w:rsidR="0099446F" w:rsidRPr="00935B5F">
        <w:rPr>
          <w:i/>
        </w:rPr>
        <w:t xml:space="preserve"> ochrany práv dětí 2021–2029</w:t>
      </w:r>
      <w:r w:rsidR="003A2DF8" w:rsidRPr="001F42D9">
        <w:rPr>
          <w:rStyle w:val="Znakapoznpodarou"/>
        </w:rPr>
        <w:footnoteReference w:id="16"/>
      </w:r>
      <w:r w:rsidR="0099446F" w:rsidRPr="00AF3A3F">
        <w:t xml:space="preserve"> </w:t>
      </w:r>
      <w:r w:rsidR="0099446F" w:rsidRPr="00935B5F">
        <w:t>(dále také „Národní strategie 2021–2029“)</w:t>
      </w:r>
      <w:r w:rsidR="00867C91">
        <w:br/>
      </w:r>
      <w:r w:rsidR="0099446F" w:rsidRPr="00935B5F">
        <w:t>a její</w:t>
      </w:r>
      <w:r w:rsidR="00736912">
        <w:t>ho</w:t>
      </w:r>
      <w:r w:rsidR="0099446F" w:rsidRPr="00935B5F">
        <w:t xml:space="preserve"> </w:t>
      </w:r>
      <w:r w:rsidR="0099446F" w:rsidRPr="00935B5F">
        <w:rPr>
          <w:i/>
        </w:rPr>
        <w:t>I. Akční</w:t>
      </w:r>
      <w:r w:rsidR="00736912">
        <w:rPr>
          <w:i/>
        </w:rPr>
        <w:t>ho</w:t>
      </w:r>
      <w:r w:rsidR="0099446F" w:rsidRPr="00935B5F">
        <w:rPr>
          <w:i/>
        </w:rPr>
        <w:t xml:space="preserve"> plán</w:t>
      </w:r>
      <w:r w:rsidR="00736912">
        <w:rPr>
          <w:i/>
        </w:rPr>
        <w:t>u</w:t>
      </w:r>
      <w:r w:rsidR="0099446F" w:rsidRPr="00935B5F">
        <w:rPr>
          <w:i/>
        </w:rPr>
        <w:t xml:space="preserve"> k</w:t>
      </w:r>
      <w:r w:rsidR="00412CB4">
        <w:rPr>
          <w:i/>
        </w:rPr>
        <w:t> </w:t>
      </w:r>
      <w:r w:rsidR="0099446F" w:rsidRPr="00935B5F">
        <w:rPr>
          <w:i/>
        </w:rPr>
        <w:t>naplnění Národní strategie ochrany práv dětí 2021–2029 na období 2021–2024</w:t>
      </w:r>
      <w:r w:rsidR="00DE6EF1" w:rsidRPr="001F42D9">
        <w:rPr>
          <w:rStyle w:val="Znakapoznpodarou"/>
        </w:rPr>
        <w:footnoteReference w:id="17"/>
      </w:r>
      <w:r w:rsidR="0099446F" w:rsidRPr="00AF3A3F">
        <w:t xml:space="preserve"> </w:t>
      </w:r>
      <w:r w:rsidR="0099446F" w:rsidRPr="00935B5F">
        <w:t xml:space="preserve">(dále také „Akční plán 2021–2024“). </w:t>
      </w:r>
      <w:r w:rsidRPr="00935B5F">
        <w:t>Tyto dokumenty byly vedle podmínek stanovených relevantními právními předpisy v</w:t>
      </w:r>
      <w:r w:rsidR="00412CB4">
        <w:t> </w:t>
      </w:r>
      <w:r w:rsidRPr="00935B5F">
        <w:t xml:space="preserve">oblasti SPOD podkladem pro systémové vyhodnocení naplnění žádoucích změn, které byly podporovány nesoutěžními projekty. </w:t>
      </w:r>
      <w:r w:rsidR="008E224A">
        <w:t>Jako peněžní prostředky vynaložené se sníženou účelností vyhod</w:t>
      </w:r>
      <w:r w:rsidR="002B34F8">
        <w:t>notil</w:t>
      </w:r>
      <w:r w:rsidR="008E224A">
        <w:t xml:space="preserve"> </w:t>
      </w:r>
      <w:r w:rsidR="00736912">
        <w:t xml:space="preserve">NKÚ </w:t>
      </w:r>
      <w:r w:rsidR="008E224A">
        <w:t>ty, které byly vynaloženy na projekty</w:t>
      </w:r>
      <w:r w:rsidR="008E224A" w:rsidRPr="00C21F72">
        <w:t xml:space="preserve">, </w:t>
      </w:r>
      <w:r w:rsidR="00F10537" w:rsidRPr="00C21F72">
        <w:t>jejichž cíle byly splněny pouze</w:t>
      </w:r>
      <w:r w:rsidR="00867C91">
        <w:br/>
      </w:r>
      <w:r w:rsidR="00D21F3F">
        <w:t>z</w:t>
      </w:r>
      <w:r w:rsidR="00845593">
        <w:t xml:space="preserve"> </w:t>
      </w:r>
      <w:r w:rsidR="00D21F3F">
        <w:t>části a</w:t>
      </w:r>
      <w:r w:rsidR="00F10537" w:rsidRPr="00C21F72">
        <w:t xml:space="preserve"> </w:t>
      </w:r>
      <w:r w:rsidR="008E224A" w:rsidRPr="00C21F72">
        <w:t>realizace</w:t>
      </w:r>
      <w:r w:rsidR="00F10537" w:rsidRPr="00C21F72">
        <w:t xml:space="preserve"> těchto projektů nevedl</w:t>
      </w:r>
      <w:r w:rsidR="008E224A" w:rsidRPr="00C21F72">
        <w:t>a</w:t>
      </w:r>
      <w:r w:rsidR="00F10537" w:rsidRPr="00C21F72">
        <w:t xml:space="preserve"> k</w:t>
      </w:r>
      <w:r w:rsidR="00D21F3F">
        <w:t> </w:t>
      </w:r>
      <w:r w:rsidR="00F10537" w:rsidRPr="00C21F72">
        <w:t xml:space="preserve">naplnění </w:t>
      </w:r>
      <w:r w:rsidR="00D21F3F">
        <w:t xml:space="preserve">transformačních </w:t>
      </w:r>
      <w:r w:rsidR="00F10537" w:rsidRPr="00C21F72">
        <w:t xml:space="preserve">cílů v oblasti péče o ohrožené děti. </w:t>
      </w:r>
    </w:p>
    <w:p w14:paraId="12B94E51" w14:textId="055A3F37" w:rsidR="003D7634" w:rsidRPr="00AA3B37" w:rsidRDefault="003D7634" w:rsidP="00F12FAF">
      <w:pPr>
        <w:pStyle w:val="Nadpis2"/>
        <w:widowControl/>
        <w:spacing w:before="0" w:after="120" w:line="256" w:lineRule="auto"/>
        <w:rPr>
          <w:rFonts w:ascii="Calibri" w:hAnsi="Calibri" w:cs="Calibri"/>
          <w:szCs w:val="24"/>
        </w:rPr>
      </w:pPr>
      <w:r w:rsidRPr="00E42F0F">
        <w:t>Posouzení soutěžních a nesoutěžních</w:t>
      </w:r>
      <w:r>
        <w:t xml:space="preserve"> projektů zahrnovalo dále hledisko hospodárnosti, tj. požadavek vyplývající z</w:t>
      </w:r>
      <w:r w:rsidR="00605B67">
        <w:t xml:space="preserve"> </w:t>
      </w:r>
      <w:r w:rsidR="00CE0B14">
        <w:t>tzv. f</w:t>
      </w:r>
      <w:r>
        <w:t>inančního nařízení EU</w:t>
      </w:r>
      <w:r>
        <w:rPr>
          <w:rStyle w:val="Znakapoznpodarou"/>
        </w:rPr>
        <w:footnoteReference w:id="18"/>
      </w:r>
      <w:r w:rsidRPr="003D7634">
        <w:t xml:space="preserve">, aby zdroje používané </w:t>
      </w:r>
      <w:r w:rsidR="00BE4DDA">
        <w:t xml:space="preserve">řídicím </w:t>
      </w:r>
      <w:r w:rsidRPr="003D7634">
        <w:t>orgánem k výkonu jeho činnosti byly dány k dispozici ve správnou dobu, v dostatečném množství a přiměřené kvalitě a za nejvýhodnější cenu.</w:t>
      </w:r>
      <w:r>
        <w:t xml:space="preserve"> </w:t>
      </w:r>
    </w:p>
    <w:p w14:paraId="2E9873D9" w14:textId="734F004D" w:rsidR="00AA3B37" w:rsidRPr="00172469" w:rsidRDefault="00CE350E" w:rsidP="00F12FAF">
      <w:pPr>
        <w:pStyle w:val="Nadpis2"/>
        <w:widowControl/>
        <w:spacing w:before="0" w:after="120" w:line="256" w:lineRule="auto"/>
      </w:pPr>
      <w:r w:rsidRPr="00935B5F">
        <w:t xml:space="preserve">Při kontrole účelnosti </w:t>
      </w:r>
      <w:r w:rsidR="00805838">
        <w:t xml:space="preserve">se </w:t>
      </w:r>
      <w:r w:rsidR="0024247F">
        <w:t xml:space="preserve">NKÚ </w:t>
      </w:r>
      <w:r w:rsidR="00805838">
        <w:t>zabýval</w:t>
      </w:r>
      <w:r w:rsidR="0024247F">
        <w:t xml:space="preserve"> </w:t>
      </w:r>
      <w:r w:rsidRPr="00935B5F">
        <w:t>rovněž</w:t>
      </w:r>
      <w:r w:rsidRPr="00935B5F" w:rsidDel="0024247F">
        <w:t xml:space="preserve"> </w:t>
      </w:r>
      <w:r w:rsidR="002E6857">
        <w:t>aspekt</w:t>
      </w:r>
      <w:r w:rsidR="00805838">
        <w:t>em</w:t>
      </w:r>
      <w:r w:rsidRPr="00935B5F">
        <w:t xml:space="preserve"> „potřebnost</w:t>
      </w:r>
      <w:r w:rsidR="002E6857">
        <w:t>i</w:t>
      </w:r>
      <w:r w:rsidRPr="00935B5F">
        <w:t>“</w:t>
      </w:r>
      <w:r w:rsidR="002E6857">
        <w:t>,</w:t>
      </w:r>
      <w:r w:rsidRPr="00935B5F">
        <w:t xml:space="preserve"> </w:t>
      </w:r>
      <w:r w:rsidR="00785AE5" w:rsidRPr="00935B5F">
        <w:t>v</w:t>
      </w:r>
      <w:r w:rsidR="00412CB4">
        <w:t> </w:t>
      </w:r>
      <w:r w:rsidR="00785AE5" w:rsidRPr="00935B5F">
        <w:t xml:space="preserve">rámci </w:t>
      </w:r>
      <w:r w:rsidR="002E6857">
        <w:t>něhož</w:t>
      </w:r>
      <w:r w:rsidR="002E6857" w:rsidRPr="00935B5F">
        <w:t xml:space="preserve"> </w:t>
      </w:r>
      <w:r w:rsidR="00785AE5" w:rsidRPr="00935B5F">
        <w:t>je třeba posuzovat smysl projektů</w:t>
      </w:r>
      <w:r w:rsidR="00785AE5">
        <w:t xml:space="preserve"> pro naplňování cílů. Podstatou je posouzení soutěžních i nesoutěžních projektů v</w:t>
      </w:r>
      <w:r w:rsidR="00412CB4">
        <w:t> </w:t>
      </w:r>
      <w:r w:rsidR="00785AE5">
        <w:t>konkrétních podmínkách, kdy nepostačuje shoda odůvodnění projektu s</w:t>
      </w:r>
      <w:r w:rsidR="00E42F0F">
        <w:t xml:space="preserve"> </w:t>
      </w:r>
      <w:r w:rsidR="00785AE5">
        <w:t>cíli programu, resp. příslušn</w:t>
      </w:r>
      <w:r w:rsidR="00E42F0F">
        <w:t>é</w:t>
      </w:r>
      <w:r w:rsidR="00785AE5">
        <w:t xml:space="preserve"> výzv</w:t>
      </w:r>
      <w:r w:rsidR="00E42F0F">
        <w:t>y</w:t>
      </w:r>
      <w:r w:rsidR="00785AE5">
        <w:t xml:space="preserve">. </w:t>
      </w:r>
      <w:r w:rsidR="00D82F3A">
        <w:t>Při</w:t>
      </w:r>
      <w:r w:rsidR="00785AE5">
        <w:t xml:space="preserve"> posuzování potřebnosti</w:t>
      </w:r>
      <w:r w:rsidR="003050AC">
        <w:t>, resp</w:t>
      </w:r>
      <w:r w:rsidR="00A67877">
        <w:t>. účelnosti</w:t>
      </w:r>
      <w:r w:rsidR="00D82F3A">
        <w:t xml:space="preserve"> projekt</w:t>
      </w:r>
      <w:r w:rsidR="000C64C3">
        <w:t>ů</w:t>
      </w:r>
      <w:r w:rsidR="00D82F3A">
        <w:t xml:space="preserve"> vycházel</w:t>
      </w:r>
      <w:r w:rsidR="00785AE5">
        <w:t xml:space="preserve"> NKÚ </w:t>
      </w:r>
      <w:r w:rsidR="00422F97">
        <w:t>mj.</w:t>
      </w:r>
      <w:r w:rsidR="00785AE5">
        <w:t xml:space="preserve"> z</w:t>
      </w:r>
      <w:r w:rsidR="00412CB4">
        <w:t> </w:t>
      </w:r>
      <w:r w:rsidR="00785AE5" w:rsidRPr="0056631E">
        <w:rPr>
          <w:i/>
        </w:rPr>
        <w:t>Metodického pokynu pro řízení výzev, hodnocení a výběr projektů v</w:t>
      </w:r>
      <w:r w:rsidR="00412CB4">
        <w:rPr>
          <w:i/>
        </w:rPr>
        <w:t> </w:t>
      </w:r>
      <w:r w:rsidR="00785AE5" w:rsidRPr="0056631E">
        <w:rPr>
          <w:i/>
        </w:rPr>
        <w:t>programovém období 2014–2020</w:t>
      </w:r>
      <w:r w:rsidR="004606C9" w:rsidRPr="001F42D9">
        <w:rPr>
          <w:rStyle w:val="Znakapoznpodarou"/>
        </w:rPr>
        <w:footnoteReference w:id="19"/>
      </w:r>
      <w:r w:rsidR="00785AE5" w:rsidRPr="00785AE5">
        <w:t>, který schválila vláda v</w:t>
      </w:r>
      <w:r w:rsidR="00412CB4">
        <w:t> </w:t>
      </w:r>
      <w:r w:rsidR="00785AE5" w:rsidRPr="00785AE5">
        <w:t>listopadu 2013, tj. před začátkem realizace programového období 2014</w:t>
      </w:r>
      <w:r w:rsidR="00C14F23">
        <w:t>–2020</w:t>
      </w:r>
      <w:r w:rsidR="00E42F0F">
        <w:t>,</w:t>
      </w:r>
      <w:r w:rsidR="008C699C">
        <w:t xml:space="preserve"> a</w:t>
      </w:r>
      <w:r w:rsidR="007752F9">
        <w:t xml:space="preserve"> který </w:t>
      </w:r>
      <w:r w:rsidR="008C699C">
        <w:t>byl</w:t>
      </w:r>
      <w:r w:rsidR="007752F9">
        <w:t xml:space="preserve"> pro </w:t>
      </w:r>
      <w:r w:rsidR="004606C9">
        <w:t xml:space="preserve">řídicí </w:t>
      </w:r>
      <w:r w:rsidR="007752F9">
        <w:t xml:space="preserve">orgány </w:t>
      </w:r>
      <w:r w:rsidR="008C699C">
        <w:t xml:space="preserve">v kontrolovaném období </w:t>
      </w:r>
      <w:r w:rsidR="007752F9">
        <w:t>závazný</w:t>
      </w:r>
      <w:r w:rsidR="00785AE5" w:rsidRPr="00785AE5">
        <w:t>.</w:t>
      </w:r>
    </w:p>
    <w:p w14:paraId="1BB2F8F4" w14:textId="021CFB95" w:rsidR="00BE5D17" w:rsidRPr="00935B5F" w:rsidRDefault="00AA3B37" w:rsidP="003817D4">
      <w:pPr>
        <w:pStyle w:val="Nadpis2"/>
        <w:widowControl/>
        <w:spacing w:before="0" w:line="256" w:lineRule="auto"/>
      </w:pPr>
      <w:r>
        <w:t xml:space="preserve">Do </w:t>
      </w:r>
      <w:r w:rsidRPr="00DF4401">
        <w:t>hodnocení účelnosti</w:t>
      </w:r>
      <w:r>
        <w:t xml:space="preserve"> výdajů na transformační aktivity dále vstupoval aspekt</w:t>
      </w:r>
      <w:r w:rsidRPr="00DF4401">
        <w:t xml:space="preserve"> vzájemn</w:t>
      </w:r>
      <w:r>
        <w:t>é</w:t>
      </w:r>
      <w:r w:rsidRPr="00DF4401">
        <w:t xml:space="preserve"> spolupráce </w:t>
      </w:r>
      <w:r w:rsidRPr="00701186">
        <w:t>ministerstev</w:t>
      </w:r>
      <w:r w:rsidRPr="00DF4401">
        <w:t xml:space="preserve"> při plnění cílů</w:t>
      </w:r>
      <w:r>
        <w:t>, kterých mělo být transformací dosaženo</w:t>
      </w:r>
      <w:r w:rsidRPr="00DF4401">
        <w:t>. V</w:t>
      </w:r>
      <w:r w:rsidR="00412CB4">
        <w:t> </w:t>
      </w:r>
      <w:r w:rsidRPr="00DF4401">
        <w:t xml:space="preserve">rámci kontroly se </w:t>
      </w:r>
      <w:r>
        <w:t xml:space="preserve">proto </w:t>
      </w:r>
      <w:r w:rsidR="00E42F0F" w:rsidRPr="00DF4401">
        <w:t xml:space="preserve">NKÚ </w:t>
      </w:r>
      <w:r w:rsidRPr="00DF4401">
        <w:t>zaměř</w:t>
      </w:r>
      <w:r>
        <w:t xml:space="preserve">il </w:t>
      </w:r>
      <w:r w:rsidRPr="00DF4401">
        <w:t>na činnosti související s</w:t>
      </w:r>
      <w:r w:rsidR="00412CB4">
        <w:t> </w:t>
      </w:r>
      <w:r w:rsidRPr="00DF4401">
        <w:t>implementací informační podpory (MPSV</w:t>
      </w:r>
      <w:r w:rsidR="008E6209">
        <w:t>/MŠMT/MZd</w:t>
      </w:r>
      <w:r w:rsidRPr="00DF4401">
        <w:t>), podporou pěstounské péče (MPSV), optimalizací kapacit ústavních zařízení (</w:t>
      </w:r>
      <w:r w:rsidR="00603E0E">
        <w:t>MPSV/</w:t>
      </w:r>
      <w:r w:rsidRPr="00DF4401">
        <w:t>MŠMT/MZd). Celkové posouzení naplnění vybraných cílů v</w:t>
      </w:r>
      <w:r w:rsidR="00AB79C4">
        <w:t xml:space="preserve"> </w:t>
      </w:r>
      <w:r w:rsidRPr="00DF4401">
        <w:t xml:space="preserve">systému péče o ohrožené děti </w:t>
      </w:r>
      <w:r w:rsidR="000A5814">
        <w:t>podložil NKÚ</w:t>
      </w:r>
      <w:r w:rsidRPr="00DF4401">
        <w:t xml:space="preserve"> statistickými daty vypovídajícími o činnosti </w:t>
      </w:r>
      <w:r w:rsidRPr="00935B5F">
        <w:t xml:space="preserve">kontrolovaných osob </w:t>
      </w:r>
      <w:r w:rsidR="009A2802" w:rsidRPr="00935B5F">
        <w:t>–</w:t>
      </w:r>
      <w:r w:rsidRPr="00935B5F">
        <w:t xml:space="preserve"> ministerstev, případně i dalších subjektů plnících úkoly v</w:t>
      </w:r>
      <w:r w:rsidR="00AB79C4">
        <w:t xml:space="preserve"> </w:t>
      </w:r>
      <w:r w:rsidRPr="00935B5F">
        <w:t>gesci příslušného ministerstva.</w:t>
      </w:r>
    </w:p>
    <w:p w14:paraId="573E083E" w14:textId="77777777" w:rsidR="003817D4" w:rsidRDefault="003817D4" w:rsidP="003817D4">
      <w:pPr>
        <w:spacing w:after="0" w:line="256" w:lineRule="auto"/>
        <w:ind w:left="567" w:hanging="567"/>
        <w:rPr>
          <w:b/>
          <w:sz w:val="20"/>
          <w:szCs w:val="20"/>
        </w:rPr>
      </w:pPr>
    </w:p>
    <w:p w14:paraId="3C057298" w14:textId="594F6E0F" w:rsidR="00097BF4" w:rsidRDefault="00097BF4" w:rsidP="00AF3A3F">
      <w:pPr>
        <w:spacing w:after="240" w:line="256" w:lineRule="auto"/>
        <w:ind w:left="567" w:hanging="567"/>
        <w:rPr>
          <w:sz w:val="20"/>
          <w:szCs w:val="20"/>
        </w:rPr>
      </w:pPr>
      <w:r w:rsidRPr="001F42D9">
        <w:rPr>
          <w:b/>
          <w:sz w:val="20"/>
          <w:szCs w:val="20"/>
        </w:rPr>
        <w:t>Pozn.:</w:t>
      </w:r>
      <w:r w:rsidRPr="00935B5F">
        <w:rPr>
          <w:sz w:val="20"/>
          <w:szCs w:val="20"/>
        </w:rPr>
        <w:t xml:space="preserve"> </w:t>
      </w:r>
      <w:r w:rsidR="000645E4">
        <w:rPr>
          <w:sz w:val="20"/>
          <w:szCs w:val="20"/>
        </w:rPr>
        <w:tab/>
      </w:r>
      <w:r w:rsidRPr="00935B5F">
        <w:rPr>
          <w:sz w:val="20"/>
          <w:szCs w:val="20"/>
        </w:rPr>
        <w:t>Právní předpisy uvedené v</w:t>
      </w:r>
      <w:r w:rsidR="00412CB4">
        <w:rPr>
          <w:sz w:val="20"/>
          <w:szCs w:val="20"/>
        </w:rPr>
        <w:t> </w:t>
      </w:r>
      <w:r w:rsidRPr="00935B5F">
        <w:rPr>
          <w:sz w:val="20"/>
          <w:szCs w:val="20"/>
        </w:rPr>
        <w:t>tomto kontrolním závěru jsou aplikovány ve znění účinném pro kontrolované období. Peněžní prostředky jsou uváděny včetně daně z</w:t>
      </w:r>
      <w:r w:rsidR="00412CB4">
        <w:rPr>
          <w:sz w:val="20"/>
          <w:szCs w:val="20"/>
        </w:rPr>
        <w:t> </w:t>
      </w:r>
      <w:r w:rsidRPr="00935B5F">
        <w:rPr>
          <w:sz w:val="20"/>
          <w:szCs w:val="20"/>
        </w:rPr>
        <w:t>přidané</w:t>
      </w:r>
      <w:r w:rsidRPr="00097BF4">
        <w:rPr>
          <w:sz w:val="20"/>
          <w:szCs w:val="20"/>
        </w:rPr>
        <w:t xml:space="preserve"> hodnoty.</w:t>
      </w:r>
    </w:p>
    <w:p w14:paraId="75F21DA0" w14:textId="7DCA4A4C" w:rsidR="00F31534" w:rsidRDefault="00AF737A" w:rsidP="003817D4">
      <w:pPr>
        <w:pStyle w:val="Nadpis1"/>
        <w:spacing w:before="720" w:after="240" w:line="256" w:lineRule="auto"/>
        <w:ind w:left="2552"/>
        <w:jc w:val="both"/>
        <w:rPr>
          <w:sz w:val="28"/>
          <w:szCs w:val="28"/>
        </w:rPr>
      </w:pPr>
      <w:bookmarkStart w:id="13" w:name="_Toc179807884"/>
      <w:r w:rsidRPr="0084452E">
        <w:rPr>
          <w:sz w:val="28"/>
          <w:szCs w:val="28"/>
        </w:rPr>
        <w:t>IV</w:t>
      </w:r>
      <w:r w:rsidR="00E376E8" w:rsidRPr="0084452E">
        <w:rPr>
          <w:sz w:val="28"/>
          <w:szCs w:val="28"/>
        </w:rPr>
        <w:t>.</w:t>
      </w:r>
      <w:r w:rsidRPr="0084452E">
        <w:rPr>
          <w:sz w:val="28"/>
          <w:szCs w:val="28"/>
        </w:rPr>
        <w:t xml:space="preserve"> </w:t>
      </w:r>
      <w:r w:rsidR="007A74E5" w:rsidRPr="0084452E">
        <w:rPr>
          <w:sz w:val="28"/>
          <w:szCs w:val="28"/>
        </w:rPr>
        <w:t>P</w:t>
      </w:r>
      <w:r w:rsidR="00D3340B" w:rsidRPr="0084452E">
        <w:rPr>
          <w:sz w:val="28"/>
          <w:szCs w:val="28"/>
        </w:rPr>
        <w:t xml:space="preserve">odrobné skutečnosti zjištěné </w:t>
      </w:r>
      <w:r w:rsidR="00D3340B" w:rsidRPr="00266CF8">
        <w:rPr>
          <w:sz w:val="28"/>
          <w:szCs w:val="28"/>
        </w:rPr>
        <w:t>kontrolou</w:t>
      </w:r>
      <w:bookmarkEnd w:id="13"/>
    </w:p>
    <w:p w14:paraId="549135DA" w14:textId="4C933B09" w:rsidR="00A94076" w:rsidRPr="00A94076" w:rsidRDefault="00A94076" w:rsidP="0034755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r>
        <w:rPr>
          <w:color w:val="C00000"/>
          <w:sz w:val="24"/>
        </w:rPr>
        <w:t>Splnění úkolů vlády bránily neshody mezi MPSV, MŠMT a MZd</w:t>
      </w:r>
    </w:p>
    <w:p w14:paraId="7000F7E3" w14:textId="36B7DA32" w:rsidR="0066213E" w:rsidRDefault="00C930AE" w:rsidP="003817D4">
      <w:pPr>
        <w:pStyle w:val="Nadpis2"/>
        <w:widowControl/>
        <w:spacing w:before="0" w:after="120" w:line="256" w:lineRule="auto"/>
      </w:pPr>
      <w:bookmarkStart w:id="14" w:name="_Toc179807885"/>
      <w:bookmarkStart w:id="15" w:name="_Ref180427648"/>
      <w:r w:rsidRPr="004E4E5B">
        <w:t>V</w:t>
      </w:r>
      <w:r w:rsidR="00412CB4">
        <w:t> </w:t>
      </w:r>
      <w:r w:rsidR="00BC5C81" w:rsidRPr="004E4E5B">
        <w:t>sociálně-právní</w:t>
      </w:r>
      <w:r w:rsidR="004E639C">
        <w:t xml:space="preserve"> </w:t>
      </w:r>
      <w:r w:rsidR="00BC5C81" w:rsidRPr="004E4E5B">
        <w:t>ochraně dětí</w:t>
      </w:r>
      <w:r w:rsidR="00283BA0" w:rsidRPr="004E4E5B">
        <w:t xml:space="preserve"> chybí jednotn</w:t>
      </w:r>
      <w:r w:rsidR="00286483">
        <w:t>é</w:t>
      </w:r>
      <w:r w:rsidR="00283BA0" w:rsidRPr="004E4E5B">
        <w:t xml:space="preserve"> </w:t>
      </w:r>
      <w:r w:rsidR="00286483">
        <w:t>směřování</w:t>
      </w:r>
      <w:r w:rsidR="00CD2979">
        <w:t xml:space="preserve">. </w:t>
      </w:r>
      <w:bookmarkStart w:id="16" w:name="_Ref178975482"/>
      <w:bookmarkEnd w:id="14"/>
      <w:bookmarkEnd w:id="15"/>
      <w:r w:rsidR="00CD2979">
        <w:t>O</w:t>
      </w:r>
      <w:r w:rsidR="007A158D">
        <w:t xml:space="preserve">blast </w:t>
      </w:r>
      <w:r w:rsidR="007A158D">
        <w:rPr>
          <w:szCs w:val="24"/>
        </w:rPr>
        <w:t>od roku 2015</w:t>
      </w:r>
      <w:r w:rsidR="007A158D" w:rsidRPr="008832B4">
        <w:rPr>
          <w:szCs w:val="24"/>
        </w:rPr>
        <w:t xml:space="preserve"> částečně </w:t>
      </w:r>
      <w:r w:rsidR="00CD2979">
        <w:rPr>
          <w:szCs w:val="24"/>
        </w:rPr>
        <w:t>řeší</w:t>
      </w:r>
      <w:r w:rsidR="007A158D">
        <w:rPr>
          <w:szCs w:val="24"/>
        </w:rPr>
        <w:t xml:space="preserve"> minimálně</w:t>
      </w:r>
      <w:r w:rsidR="007A158D" w:rsidRPr="008832B4">
        <w:rPr>
          <w:szCs w:val="24"/>
        </w:rPr>
        <w:t xml:space="preserve"> </w:t>
      </w:r>
      <w:r w:rsidR="008B1F81" w:rsidRPr="000B7E8A">
        <w:t>32</w:t>
      </w:r>
      <w:r w:rsidR="0066213E" w:rsidRPr="000B7E8A">
        <w:t xml:space="preserve"> strategických</w:t>
      </w:r>
      <w:r w:rsidR="0066213E">
        <w:t xml:space="preserve"> a koncepčních dokumentů</w:t>
      </w:r>
      <w:r w:rsidR="008B1F81">
        <w:t xml:space="preserve">, které </w:t>
      </w:r>
      <w:r w:rsidR="00392165">
        <w:t>i podle vyhodnocení MPSV</w:t>
      </w:r>
      <w:r w:rsidR="00392165">
        <w:rPr>
          <w:rStyle w:val="Znakapoznpodarou"/>
        </w:rPr>
        <w:footnoteReference w:id="20"/>
      </w:r>
      <w:r w:rsidR="00392165">
        <w:t xml:space="preserve"> </w:t>
      </w:r>
      <w:r w:rsidR="008B1F81">
        <w:t>nejsou vzájemně koordinovány. V</w:t>
      </w:r>
      <w:r w:rsidR="00E42F0F">
        <w:t xml:space="preserve"> </w:t>
      </w:r>
      <w:r w:rsidR="0066213E" w:rsidRPr="00980DAF">
        <w:t xml:space="preserve">gesci MPSV </w:t>
      </w:r>
      <w:r w:rsidR="008B1F81">
        <w:t xml:space="preserve">vzniklo </w:t>
      </w:r>
      <w:r w:rsidR="008B1F81" w:rsidRPr="00980DAF">
        <w:t>11</w:t>
      </w:r>
      <w:r w:rsidR="008B1F81">
        <w:t xml:space="preserve"> materiálů</w:t>
      </w:r>
      <w:r w:rsidR="0066213E">
        <w:t xml:space="preserve">, MŠMT vytvořilo další dva </w:t>
      </w:r>
      <w:r w:rsidR="008B1F81">
        <w:t>koncepční</w:t>
      </w:r>
      <w:r w:rsidR="0066213E">
        <w:t xml:space="preserve"> materiály a dva </w:t>
      </w:r>
      <w:r w:rsidR="00E42F0F">
        <w:t>„</w:t>
      </w:r>
      <w:r w:rsidR="00E42F0F">
        <w:rPr>
          <w:i/>
        </w:rPr>
        <w:t>d</w:t>
      </w:r>
      <w:r w:rsidR="0066213E" w:rsidRPr="00EA2227">
        <w:rPr>
          <w:i/>
        </w:rPr>
        <w:t>louhodobé záměry rozvoje vzdělávací soustavy České republiky</w:t>
      </w:r>
      <w:r w:rsidR="00E42F0F">
        <w:rPr>
          <w:iCs/>
        </w:rPr>
        <w:t>“,</w:t>
      </w:r>
      <w:r w:rsidR="008B1F81">
        <w:t xml:space="preserve"> </w:t>
      </w:r>
      <w:r w:rsidR="00C62F36">
        <w:t>zbývajících</w:t>
      </w:r>
      <w:r w:rsidR="008B1F81">
        <w:t xml:space="preserve"> </w:t>
      </w:r>
      <w:r w:rsidR="00E42F0F" w:rsidRPr="00980DAF">
        <w:t xml:space="preserve">17 </w:t>
      </w:r>
      <w:r w:rsidR="008B1F81">
        <w:t>dokumentů je v</w:t>
      </w:r>
      <w:r w:rsidR="00E42F0F">
        <w:t xml:space="preserve"> </w:t>
      </w:r>
      <w:r w:rsidR="008B1F81" w:rsidRPr="00980DAF">
        <w:t>gesci jiných orgánů státní správy</w:t>
      </w:r>
      <w:r w:rsidR="008B1F81">
        <w:t>.</w:t>
      </w:r>
      <w:bookmarkEnd w:id="16"/>
      <w:r w:rsidR="00A94076" w:rsidRPr="00A94076">
        <w:t xml:space="preserve"> </w:t>
      </w:r>
      <w:r w:rsidR="00A94076">
        <w:t>R</w:t>
      </w:r>
      <w:r w:rsidR="00A94076" w:rsidRPr="004E4E5B">
        <w:t xml:space="preserve">esorty MPSV, MŠMT a MZd </w:t>
      </w:r>
      <w:r w:rsidR="00A94076" w:rsidRPr="00A94076">
        <w:t>na plnění cílů stanovených ve strategických dokumentech</w:t>
      </w:r>
      <w:r w:rsidR="00A94076">
        <w:t xml:space="preserve"> </w:t>
      </w:r>
      <w:r w:rsidR="00E42F0F" w:rsidRPr="004E4E5B">
        <w:t>spolupr</w:t>
      </w:r>
      <w:r w:rsidR="00E42F0F">
        <w:t>acovaly ne</w:t>
      </w:r>
      <w:r w:rsidR="00A94076">
        <w:t>dostatečně.</w:t>
      </w:r>
      <w:r w:rsidR="00A94076" w:rsidRPr="00A94076">
        <w:t xml:space="preserve"> </w:t>
      </w:r>
    </w:p>
    <w:p w14:paraId="7032ACB5" w14:textId="1866E4BD" w:rsidR="00516442" w:rsidRDefault="00D330D5" w:rsidP="003817D4">
      <w:pPr>
        <w:pStyle w:val="Nadpis2"/>
        <w:widowControl/>
        <w:spacing w:before="0" w:line="256" w:lineRule="auto"/>
      </w:pPr>
      <w:bookmarkStart w:id="17" w:name="_Ref178977062"/>
      <w:r w:rsidRPr="00D330D5">
        <w:t>Z</w:t>
      </w:r>
      <w:r w:rsidRPr="00D330D5" w:rsidDel="00412CB4">
        <w:t xml:space="preserve"> </w:t>
      </w:r>
      <w:r w:rsidRPr="00D330D5">
        <w:t xml:space="preserve">podnětu </w:t>
      </w:r>
      <w:r w:rsidRPr="001F42D9">
        <w:rPr>
          <w:iCs/>
        </w:rPr>
        <w:t>Rady vlády České republiky pro lidská práva</w:t>
      </w:r>
      <w:r w:rsidRPr="00D330D5">
        <w:t xml:space="preserve"> v </w:t>
      </w:r>
      <w:r w:rsidR="00D34BB7" w:rsidRPr="00D330D5">
        <w:t>roce 2016 uložila vláda</w:t>
      </w:r>
      <w:r w:rsidR="00A94076" w:rsidRPr="00D330D5">
        <w:t> UV</w:t>
      </w:r>
      <w:r>
        <w:t> </w:t>
      </w:r>
      <w:r w:rsidR="00A94076" w:rsidRPr="00D330D5">
        <w:t>1033</w:t>
      </w:r>
      <w:r w:rsidR="00A94076">
        <w:t xml:space="preserve">/2016 </w:t>
      </w:r>
      <w:r w:rsidR="00D34BB7">
        <w:t xml:space="preserve">MPSV </w:t>
      </w:r>
      <w:r w:rsidR="00E42F0F">
        <w:t xml:space="preserve">plnit </w:t>
      </w:r>
      <w:r w:rsidR="00D34BB7">
        <w:t>ve spolupráci s</w:t>
      </w:r>
      <w:r w:rsidR="00412CB4">
        <w:t> </w:t>
      </w:r>
      <w:r w:rsidR="00A02EF8">
        <w:t xml:space="preserve">MŠMT a </w:t>
      </w:r>
      <w:r w:rsidR="00D34BB7">
        <w:t xml:space="preserve">MZd </w:t>
      </w:r>
      <w:r w:rsidR="00516442">
        <w:t>řadu úkolů, které měly vést k</w:t>
      </w:r>
      <w:r w:rsidR="00E42F0F">
        <w:t> </w:t>
      </w:r>
      <w:r w:rsidR="00BD0AFA">
        <w:t>pokračování</w:t>
      </w:r>
      <w:r w:rsidR="00E42F0F">
        <w:t xml:space="preserve"> </w:t>
      </w:r>
      <w:r w:rsidR="00516442">
        <w:t>transformac</w:t>
      </w:r>
      <w:r w:rsidR="00BD0AFA">
        <w:t>e</w:t>
      </w:r>
      <w:r w:rsidR="00516442">
        <w:t xml:space="preserve"> systému péče o ohrožené děti</w:t>
      </w:r>
      <w:r w:rsidR="00E42F0F">
        <w:t>; jednalo se o tyto úkoly</w:t>
      </w:r>
      <w:r w:rsidR="00516442">
        <w:t>:</w:t>
      </w:r>
      <w:bookmarkEnd w:id="17"/>
      <w:r w:rsidR="00516442">
        <w:t xml:space="preserve"> </w:t>
      </w:r>
    </w:p>
    <w:p w14:paraId="631895A9" w14:textId="62518483" w:rsidR="00516442" w:rsidRPr="00935B5F" w:rsidRDefault="00A02EF8" w:rsidP="00AF3A3F">
      <w:pPr>
        <w:pStyle w:val="Odstavecseseznamem"/>
        <w:numPr>
          <w:ilvl w:val="0"/>
          <w:numId w:val="13"/>
        </w:numPr>
        <w:spacing w:line="256" w:lineRule="auto"/>
      </w:pPr>
      <w:r w:rsidRPr="00935B5F">
        <w:t>p</w:t>
      </w:r>
      <w:r w:rsidR="00D34BB7" w:rsidRPr="00935B5F">
        <w:t xml:space="preserve">řipravit </w:t>
      </w:r>
      <w:r w:rsidR="00CD6DC5" w:rsidRPr="00935B5F">
        <w:t xml:space="preserve">a </w:t>
      </w:r>
      <w:r w:rsidR="00D34BB7" w:rsidRPr="00935B5F">
        <w:t xml:space="preserve">předložit návrh právní úpravy sjednocení služeb sociální prevence </w:t>
      </w:r>
      <w:r w:rsidR="00A45B96">
        <w:t xml:space="preserve">a </w:t>
      </w:r>
      <w:r w:rsidR="00D34BB7" w:rsidRPr="00935B5F">
        <w:t>služeb poskytujících pobytovou péči dětem</w:t>
      </w:r>
      <w:r w:rsidR="00574EEB" w:rsidRPr="00935B5F">
        <w:t xml:space="preserve"> </w:t>
      </w:r>
      <w:r w:rsidR="00D34BB7" w:rsidRPr="00935B5F">
        <w:t>v</w:t>
      </w:r>
      <w:r w:rsidR="00412CB4">
        <w:t> </w:t>
      </w:r>
      <w:r w:rsidR="00D34BB7" w:rsidRPr="00935B5F">
        <w:t xml:space="preserve">působnosti </w:t>
      </w:r>
      <w:r w:rsidR="00A45B96" w:rsidRPr="004E4E5B">
        <w:t xml:space="preserve">MPSV, MŠMT a MZd </w:t>
      </w:r>
      <w:r w:rsidR="00D34BB7" w:rsidRPr="00935B5F">
        <w:t>pod jeden resort</w:t>
      </w:r>
      <w:r w:rsidR="00574EEB" w:rsidRPr="00935B5F">
        <w:t>.</w:t>
      </w:r>
      <w:r w:rsidR="00D34BB7" w:rsidRPr="00935B5F">
        <w:t xml:space="preserve"> </w:t>
      </w:r>
      <w:r w:rsidR="00C1256E" w:rsidRPr="00935B5F">
        <w:t>MPSV v</w:t>
      </w:r>
      <w:r w:rsidR="00412CB4">
        <w:t> </w:t>
      </w:r>
      <w:r w:rsidR="00C1256E" w:rsidRPr="00935B5F">
        <w:t xml:space="preserve">roce 2017 zpracovalo </w:t>
      </w:r>
      <w:r w:rsidR="00C1256E" w:rsidRPr="00935B5F">
        <w:rPr>
          <w:i/>
        </w:rPr>
        <w:t>Záměr právní úpravy sjednocení služeb sociální prevence, služeb poskytujících pobytovou péči dětem, služeb sociálně zdravotních nebo výchovných a dalších služeb pro ohrožené děti a jejich rodiny v</w:t>
      </w:r>
      <w:r w:rsidR="00605B67">
        <w:rPr>
          <w:i/>
        </w:rPr>
        <w:t xml:space="preserve"> </w:t>
      </w:r>
      <w:r w:rsidR="00C1256E" w:rsidRPr="00935B5F">
        <w:rPr>
          <w:i/>
        </w:rPr>
        <w:t xml:space="preserve">působnosti MPSV, MŠMT a MZd do působnosti MPSV, zavedení věkové hranice, před jejímž dosažením není možné děti umisťovat do zařízení kolektivní </w:t>
      </w:r>
      <w:r w:rsidR="00C1256E" w:rsidRPr="001F42D9">
        <w:rPr>
          <w:i/>
          <w:iCs/>
        </w:rPr>
        <w:t>péče</w:t>
      </w:r>
      <w:r w:rsidR="007427AD" w:rsidRPr="00935B5F">
        <w:t xml:space="preserve"> (dále také „Záměr právní úpravy“)</w:t>
      </w:r>
      <w:r w:rsidR="00C1256E" w:rsidRPr="00935B5F">
        <w:t xml:space="preserve">. </w:t>
      </w:r>
      <w:r w:rsidR="00574EEB" w:rsidRPr="00935B5F">
        <w:t xml:space="preserve">MŠMT </w:t>
      </w:r>
      <w:r w:rsidR="00C1256E" w:rsidRPr="00935B5F">
        <w:t>k</w:t>
      </w:r>
      <w:r w:rsidR="00A45B96">
        <w:t xml:space="preserve"> </w:t>
      </w:r>
      <w:r w:rsidR="00C1256E" w:rsidRPr="00935B5F">
        <w:t>před</w:t>
      </w:r>
      <w:r w:rsidR="00341D2E" w:rsidRPr="00935B5F">
        <w:t>loženému</w:t>
      </w:r>
      <w:r w:rsidR="00C1256E" w:rsidRPr="00935B5F">
        <w:t xml:space="preserve"> materiálu uplatnilo </w:t>
      </w:r>
      <w:r w:rsidR="00574EEB" w:rsidRPr="00935B5F">
        <w:t>39 zásadních připomínek a</w:t>
      </w:r>
      <w:r w:rsidR="00C114C8">
        <w:t> </w:t>
      </w:r>
      <w:r w:rsidR="00574EEB" w:rsidRPr="00935B5F">
        <w:t>MZd 36</w:t>
      </w:r>
      <w:r w:rsidRPr="00935B5F">
        <w:t>. P</w:t>
      </w:r>
      <w:r w:rsidR="00574EEB" w:rsidRPr="00935B5F">
        <w:t xml:space="preserve">ředložený </w:t>
      </w:r>
      <w:r w:rsidR="0042659E" w:rsidRPr="00935B5F">
        <w:t>Záměr</w:t>
      </w:r>
      <w:r w:rsidR="00574EEB" w:rsidRPr="00935B5F">
        <w:t xml:space="preserve"> právní úpravy vláda neschválila</w:t>
      </w:r>
      <w:r w:rsidR="006E5ED5" w:rsidRPr="00935B5F">
        <w:t xml:space="preserve"> </w:t>
      </w:r>
      <w:r w:rsidR="00D64585" w:rsidRPr="00935B5F">
        <w:t xml:space="preserve">a MPSV </w:t>
      </w:r>
      <w:r w:rsidR="00A3283F">
        <w:t xml:space="preserve">jiný </w:t>
      </w:r>
      <w:r w:rsidR="00D330D5">
        <w:t>záměr</w:t>
      </w:r>
      <w:r w:rsidR="00A3283F">
        <w:t xml:space="preserve"> nepřipravilo</w:t>
      </w:r>
      <w:r w:rsidR="00D64585" w:rsidRPr="00935B5F">
        <w:t>;</w:t>
      </w:r>
    </w:p>
    <w:p w14:paraId="4132629D" w14:textId="14E220FD" w:rsidR="00516442" w:rsidRPr="00935B5F" w:rsidRDefault="00D34BB7">
      <w:pPr>
        <w:pStyle w:val="Odstavecseseznamem"/>
        <w:numPr>
          <w:ilvl w:val="0"/>
          <w:numId w:val="13"/>
        </w:numPr>
        <w:spacing w:line="256" w:lineRule="auto"/>
      </w:pPr>
      <w:r w:rsidRPr="00935B5F">
        <w:t>předložit strategii rozvoje služeb pro ohrožené děti</w:t>
      </w:r>
      <w:r w:rsidR="00BF668D" w:rsidRPr="00935B5F">
        <w:t>. Tu</w:t>
      </w:r>
      <w:r w:rsidRPr="00935B5F">
        <w:t xml:space="preserve"> </w:t>
      </w:r>
      <w:r w:rsidR="00BF668D" w:rsidRPr="00935B5F">
        <w:t xml:space="preserve">MPSV </w:t>
      </w:r>
      <w:r w:rsidR="00B60765" w:rsidRPr="00935B5F">
        <w:t>v</w:t>
      </w:r>
      <w:r w:rsidR="00412CB4">
        <w:t> </w:t>
      </w:r>
      <w:r w:rsidR="00B60765" w:rsidRPr="00935B5F">
        <w:t xml:space="preserve">rámci plnění úkolu nezpracovalo a </w:t>
      </w:r>
      <w:r w:rsidR="00BF668D" w:rsidRPr="00935B5F">
        <w:t xml:space="preserve">nepředložilo, </w:t>
      </w:r>
      <w:r w:rsidR="00A45B96">
        <w:t>čímž</w:t>
      </w:r>
      <w:r w:rsidR="00BF668D" w:rsidRPr="00935B5F">
        <w:t xml:space="preserve"> porušilo ustanovení § 21 </w:t>
      </w:r>
      <w:r w:rsidR="00B7342B" w:rsidRPr="00935B5F">
        <w:t xml:space="preserve">kompetenčního </w:t>
      </w:r>
      <w:r w:rsidR="00BF668D" w:rsidRPr="00935B5F">
        <w:t>zákona</w:t>
      </w:r>
      <w:r w:rsidR="00A02EF8" w:rsidRPr="00935B5F">
        <w:t>;</w:t>
      </w:r>
    </w:p>
    <w:p w14:paraId="44FE024B" w14:textId="5ED5E4DF" w:rsidR="00771DA8" w:rsidRPr="00935B5F" w:rsidRDefault="00BF668D">
      <w:pPr>
        <w:pStyle w:val="Odstavecseseznamem"/>
        <w:numPr>
          <w:ilvl w:val="0"/>
          <w:numId w:val="13"/>
        </w:numPr>
        <w:spacing w:line="256" w:lineRule="auto"/>
      </w:pPr>
      <w:r w:rsidRPr="00935B5F">
        <w:t xml:space="preserve">předložit </w:t>
      </w:r>
      <w:r w:rsidR="00D34BB7" w:rsidRPr="00935B5F">
        <w:t>návrh změn příslušných zákonů, který omezí možnost um</w:t>
      </w:r>
      <w:r w:rsidR="009358DC" w:rsidRPr="00935B5F">
        <w:t>í</w:t>
      </w:r>
      <w:r w:rsidR="00D34BB7" w:rsidRPr="00935B5F">
        <w:t>sťování dětí do</w:t>
      </w:r>
      <w:r w:rsidR="00F26ABF" w:rsidRPr="00935B5F">
        <w:t> </w:t>
      </w:r>
      <w:r w:rsidR="00D34BB7" w:rsidRPr="00935B5F">
        <w:t>7</w:t>
      </w:r>
      <w:r w:rsidR="00FA3442" w:rsidRPr="00935B5F">
        <w:t> </w:t>
      </w:r>
      <w:r w:rsidR="00D34BB7" w:rsidRPr="00935B5F">
        <w:t>let věku v</w:t>
      </w:r>
      <w:r w:rsidR="00412CB4">
        <w:t> </w:t>
      </w:r>
      <w:r w:rsidR="00D34BB7" w:rsidRPr="00935B5F">
        <w:t>zařízeních kolektivní péče</w:t>
      </w:r>
      <w:r w:rsidR="007427AD" w:rsidRPr="00935B5F">
        <w:t>. Tento návrh byl součástí materiálu Záměr právní úpravy</w:t>
      </w:r>
      <w:r w:rsidR="00F40EFC" w:rsidRPr="00935B5F">
        <w:t>;</w:t>
      </w:r>
      <w:r w:rsidR="00D34BB7" w:rsidRPr="00935B5F">
        <w:t xml:space="preserve"> </w:t>
      </w:r>
    </w:p>
    <w:p w14:paraId="5FAAC83E" w14:textId="46CF3E64" w:rsidR="00D34BB7" w:rsidRPr="00954162" w:rsidRDefault="00771DA8" w:rsidP="003817D4">
      <w:pPr>
        <w:pStyle w:val="Odstavecseseznamem"/>
        <w:numPr>
          <w:ilvl w:val="0"/>
          <w:numId w:val="13"/>
        </w:numPr>
        <w:spacing w:after="120" w:line="256" w:lineRule="auto"/>
      </w:pPr>
      <w:r w:rsidRPr="00935B5F">
        <w:t>předložit</w:t>
      </w:r>
      <w:r w:rsidR="00D34BB7" w:rsidRPr="00935B5F">
        <w:t xml:space="preserve"> </w:t>
      </w:r>
      <w:r w:rsidR="00A3283F">
        <w:t xml:space="preserve">návrh </w:t>
      </w:r>
      <w:r w:rsidR="00D34BB7" w:rsidRPr="00935B5F">
        <w:t xml:space="preserve">právní úpravy postupného snižování kapacity jednotlivých zařízení pro ohrožené děti. </w:t>
      </w:r>
      <w:r w:rsidR="00BF668D" w:rsidRPr="00935B5F">
        <w:t xml:space="preserve">Tím, že </w:t>
      </w:r>
      <w:r w:rsidR="00B60765" w:rsidRPr="00935B5F">
        <w:t xml:space="preserve">mezi resorty </w:t>
      </w:r>
      <w:r w:rsidR="00BF668D" w:rsidRPr="00935B5F">
        <w:t>nedošlo</w:t>
      </w:r>
      <w:r w:rsidR="00BF668D" w:rsidRPr="00954162">
        <w:t xml:space="preserve"> ke shodě</w:t>
      </w:r>
      <w:r w:rsidR="00B60765">
        <w:t>,</w:t>
      </w:r>
      <w:r w:rsidR="00BF668D" w:rsidRPr="00954162">
        <w:t xml:space="preserve"> vláda </w:t>
      </w:r>
      <w:r w:rsidR="00A02EF8">
        <w:t xml:space="preserve">na žádost </w:t>
      </w:r>
      <w:r w:rsidR="00730B32">
        <w:t>ministryně</w:t>
      </w:r>
      <w:r w:rsidR="00A02EF8">
        <w:t xml:space="preserve"> práce a sociálních věcí </w:t>
      </w:r>
      <w:r w:rsidR="00B60765">
        <w:t xml:space="preserve">úkol </w:t>
      </w:r>
      <w:r w:rsidR="00BF668D" w:rsidRPr="00954162">
        <w:t>zrušila</w:t>
      </w:r>
      <w:r w:rsidR="003F1F4A">
        <w:rPr>
          <w:rStyle w:val="Znakapoznpodarou"/>
        </w:rPr>
        <w:footnoteReference w:id="21"/>
      </w:r>
      <w:r w:rsidR="00B60765">
        <w:t>.</w:t>
      </w:r>
    </w:p>
    <w:p w14:paraId="2845260D" w14:textId="21A8EED4" w:rsidR="00DB0D8F" w:rsidRPr="005C26B5" w:rsidRDefault="00DB0D8F" w:rsidP="003817D4">
      <w:pPr>
        <w:pStyle w:val="Nadpis2"/>
        <w:widowControl/>
        <w:spacing w:before="0" w:line="256" w:lineRule="auto"/>
      </w:pPr>
      <w:bookmarkStart w:id="18" w:name="_Ref180441465"/>
      <w:bookmarkStart w:id="19" w:name="_Ref178977521"/>
      <w:bookmarkStart w:id="20" w:name="_Hlk180484464"/>
      <w:r w:rsidRPr="005C26B5">
        <w:t>Meziresortní spolupráce</w:t>
      </w:r>
      <w:r w:rsidR="004E639C">
        <w:t xml:space="preserve"> </w:t>
      </w:r>
      <w:r w:rsidR="00611F7E" w:rsidRPr="005C26B5">
        <w:t>v</w:t>
      </w:r>
      <w:r w:rsidR="00412CB4">
        <w:t> </w:t>
      </w:r>
      <w:r w:rsidR="00611F7E" w:rsidRPr="005C26B5">
        <w:t>letech 2015</w:t>
      </w:r>
      <w:r w:rsidR="00611F7E">
        <w:t>–</w:t>
      </w:r>
      <w:r w:rsidR="00611F7E" w:rsidRPr="005C26B5">
        <w:t>2021</w:t>
      </w:r>
      <w:r w:rsidR="00611F7E">
        <w:t xml:space="preserve"> </w:t>
      </w:r>
      <w:r w:rsidRPr="005C26B5">
        <w:t>ne</w:t>
      </w:r>
      <w:r w:rsidR="00AB64FB">
        <w:t>přinesla očekávané výsledky</w:t>
      </w:r>
      <w:r w:rsidRPr="005C26B5">
        <w:t>:</w:t>
      </w:r>
      <w:bookmarkEnd w:id="18"/>
    </w:p>
    <w:p w14:paraId="5E74D4E3" w14:textId="42185391" w:rsidR="002D400D" w:rsidRPr="002D400D" w:rsidRDefault="00913CEB" w:rsidP="00AF3A3F">
      <w:pPr>
        <w:pStyle w:val="Textodstavce"/>
        <w:numPr>
          <w:ilvl w:val="0"/>
          <w:numId w:val="82"/>
        </w:numPr>
        <w:spacing w:after="0" w:line="256" w:lineRule="auto"/>
        <w:rPr>
          <w:rFonts w:cs="Calibri"/>
          <w:bCs/>
        </w:rPr>
      </w:pPr>
      <w:r>
        <w:rPr>
          <w:rFonts w:cs="Calibri"/>
          <w:bCs/>
        </w:rPr>
        <w:t>r</w:t>
      </w:r>
      <w:r w:rsidR="00DB0D8F" w:rsidRPr="002D400D">
        <w:rPr>
          <w:rFonts w:cs="Calibri"/>
          <w:bCs/>
        </w:rPr>
        <w:t xml:space="preserve">esorty neuzavřely </w:t>
      </w:r>
      <w:r w:rsidR="00A45B96">
        <w:rPr>
          <w:rFonts w:cs="Calibri"/>
          <w:bCs/>
          <w:i/>
        </w:rPr>
        <w:t>m</w:t>
      </w:r>
      <w:r w:rsidR="00DB0D8F" w:rsidRPr="002D400D">
        <w:rPr>
          <w:rFonts w:cs="Calibri"/>
          <w:bCs/>
          <w:i/>
        </w:rPr>
        <w:t>emorandum o spolupráci</w:t>
      </w:r>
      <w:r w:rsidR="00AA4E01" w:rsidRPr="002D400D">
        <w:rPr>
          <w:rFonts w:cs="Calibri"/>
          <w:bCs/>
          <w:i/>
        </w:rPr>
        <w:t xml:space="preserve"> </w:t>
      </w:r>
      <w:r w:rsidR="00AA4E01" w:rsidRPr="002D400D">
        <w:rPr>
          <w:rFonts w:cs="Calibri"/>
          <w:bCs/>
        </w:rPr>
        <w:t>připravené MPSV</w:t>
      </w:r>
      <w:r w:rsidR="002D400D" w:rsidRPr="002D400D">
        <w:rPr>
          <w:rFonts w:cs="Calibri"/>
          <w:bCs/>
        </w:rPr>
        <w:t>;</w:t>
      </w:r>
    </w:p>
    <w:p w14:paraId="53D20377" w14:textId="1D71828E" w:rsidR="007A158D" w:rsidRPr="001F42D9" w:rsidRDefault="00DB0D8F">
      <w:pPr>
        <w:pStyle w:val="Textodstavce"/>
        <w:numPr>
          <w:ilvl w:val="0"/>
          <w:numId w:val="82"/>
        </w:numPr>
        <w:spacing w:after="0" w:line="256" w:lineRule="auto"/>
        <w:rPr>
          <w:rFonts w:cs="Calibri"/>
          <w:bCs/>
          <w:iCs/>
        </w:rPr>
      </w:pPr>
      <w:r w:rsidRPr="001F42D9">
        <w:rPr>
          <w:rFonts w:cs="Calibri"/>
          <w:bCs/>
        </w:rPr>
        <w:t>Meziresortní koordinační skupina pro oblast ochrany práv dětí a péče o</w:t>
      </w:r>
      <w:r w:rsidR="00A45B96">
        <w:rPr>
          <w:rFonts w:cs="Calibri"/>
          <w:bCs/>
        </w:rPr>
        <w:t xml:space="preserve"> </w:t>
      </w:r>
      <w:r w:rsidRPr="001F42D9">
        <w:rPr>
          <w:rFonts w:cs="Calibri"/>
          <w:bCs/>
        </w:rPr>
        <w:t>ohrožené děti</w:t>
      </w:r>
      <w:r w:rsidRPr="005C26B5">
        <w:rPr>
          <w:rFonts w:cs="Calibri"/>
          <w:bCs/>
        </w:rPr>
        <w:t xml:space="preserve"> nenaplňovala působnost, která jí byla dána jejím </w:t>
      </w:r>
      <w:r w:rsidR="00A45B96">
        <w:rPr>
          <w:rFonts w:cs="Calibri"/>
          <w:bCs/>
        </w:rPr>
        <w:t>s</w:t>
      </w:r>
      <w:r w:rsidRPr="005C26B5">
        <w:rPr>
          <w:rFonts w:cs="Calibri"/>
          <w:bCs/>
        </w:rPr>
        <w:t>tatutem, ale v</w:t>
      </w:r>
      <w:r w:rsidR="00A45B96">
        <w:rPr>
          <w:rFonts w:cs="Calibri"/>
          <w:bCs/>
        </w:rPr>
        <w:t xml:space="preserve"> </w:t>
      </w:r>
      <w:r w:rsidRPr="005C26B5">
        <w:rPr>
          <w:rFonts w:cs="Calibri"/>
          <w:bCs/>
        </w:rPr>
        <w:t xml:space="preserve">období </w:t>
      </w:r>
      <w:r w:rsidR="00A45B96">
        <w:rPr>
          <w:rFonts w:cs="Calibri"/>
          <w:bCs/>
        </w:rPr>
        <w:br/>
      </w:r>
      <w:r w:rsidRPr="005C26B5">
        <w:rPr>
          <w:rFonts w:cs="Calibri"/>
          <w:bCs/>
        </w:rPr>
        <w:t>2015–2018 plnila pouze formální roli</w:t>
      </w:r>
      <w:r w:rsidR="002D400D">
        <w:rPr>
          <w:rFonts w:cs="Calibri"/>
          <w:bCs/>
        </w:rPr>
        <w:t>;</w:t>
      </w:r>
      <w:bookmarkStart w:id="21" w:name="_Ref180427687"/>
    </w:p>
    <w:p w14:paraId="33DCD77D" w14:textId="6D68D9F6" w:rsidR="00CB505D" w:rsidRPr="005E4AAA" w:rsidRDefault="00913CEB">
      <w:pPr>
        <w:pStyle w:val="Textodstavce"/>
        <w:numPr>
          <w:ilvl w:val="0"/>
          <w:numId w:val="82"/>
        </w:numPr>
        <w:spacing w:line="256" w:lineRule="auto"/>
        <w:rPr>
          <w:rFonts w:cs="Calibri"/>
          <w:bCs/>
          <w:iCs/>
        </w:rPr>
      </w:pPr>
      <w:r>
        <w:t>k</w:t>
      </w:r>
      <w:r w:rsidR="00CB505D">
        <w:t>vůli meziresortní</w:t>
      </w:r>
      <w:r w:rsidR="004E639C">
        <w:t xml:space="preserve"> </w:t>
      </w:r>
      <w:r w:rsidR="00CB505D">
        <w:t xml:space="preserve">neshodě </w:t>
      </w:r>
      <w:r w:rsidR="00A45B96">
        <w:t>ohledně</w:t>
      </w:r>
      <w:r w:rsidR="00CB505D">
        <w:t xml:space="preserve"> sjednocení systému péče o ohrožené děti ministryně práce a sociálních věcí stáhla z</w:t>
      </w:r>
      <w:r w:rsidR="00412CB4">
        <w:t> </w:t>
      </w:r>
      <w:r w:rsidR="00CB505D">
        <w:t xml:space="preserve">programu </w:t>
      </w:r>
      <w:r w:rsidR="00A3283F">
        <w:t xml:space="preserve">jednání </w:t>
      </w:r>
      <w:r w:rsidR="00CB505D">
        <w:t xml:space="preserve">vlády akční plán pro období 2016–2018, který měl </w:t>
      </w:r>
      <w:r w:rsidR="007B625E">
        <w:t xml:space="preserve">pro toto období </w:t>
      </w:r>
      <w:r w:rsidR="00CB505D">
        <w:t xml:space="preserve">rozpracovat nastavené cíle </w:t>
      </w:r>
      <w:r w:rsidR="007B625E" w:rsidRPr="00E1736E">
        <w:t>z</w:t>
      </w:r>
      <w:r w:rsidR="00412CB4">
        <w:t> </w:t>
      </w:r>
      <w:r w:rsidR="00CB505D" w:rsidRPr="00E1736E">
        <w:t>Národní strategi</w:t>
      </w:r>
      <w:r w:rsidR="003038DF" w:rsidRPr="00E1736E">
        <w:t>e</w:t>
      </w:r>
      <w:r w:rsidR="00CB505D" w:rsidRPr="00E1736E">
        <w:t xml:space="preserve"> 2012</w:t>
      </w:r>
      <w:r w:rsidR="00CB505D" w:rsidRPr="006E5ED5">
        <w:t>–2018</w:t>
      </w:r>
      <w:r w:rsidR="00CB505D">
        <w:t xml:space="preserve"> na dílčí aktivity.</w:t>
      </w:r>
      <w:bookmarkEnd w:id="19"/>
      <w:bookmarkEnd w:id="21"/>
      <w:r w:rsidR="001901CF">
        <w:t xml:space="preserve"> </w:t>
      </w:r>
    </w:p>
    <w:p w14:paraId="3A43A10A" w14:textId="3B8C4FF5" w:rsidR="00D80C12" w:rsidRPr="00C2702F" w:rsidRDefault="0069335A" w:rsidP="003817D4">
      <w:pPr>
        <w:pStyle w:val="Nadpis2"/>
        <w:widowControl/>
        <w:spacing w:before="0" w:after="120" w:line="256" w:lineRule="auto"/>
      </w:pPr>
      <w:bookmarkStart w:id="22" w:name="_Ref178977450"/>
      <w:bookmarkEnd w:id="20"/>
      <w:r>
        <w:t>Pro období 2016</w:t>
      </w:r>
      <w:r w:rsidR="007B625E">
        <w:t>–</w:t>
      </w:r>
      <w:r>
        <w:t>2020 chyběl harmonogram dílčích aktivit směřující</w:t>
      </w:r>
      <w:r w:rsidR="00A45B96">
        <w:t>ch</w:t>
      </w:r>
      <w:r>
        <w:t xml:space="preserve"> k</w:t>
      </w:r>
      <w:r w:rsidR="00350930">
        <w:t>e</w:t>
      </w:r>
      <w:r>
        <w:t xml:space="preserve"> splnění nastavených cílů a </w:t>
      </w:r>
      <w:r w:rsidR="00A45B96">
        <w:t xml:space="preserve">chybělo i stanovení </w:t>
      </w:r>
      <w:r>
        <w:t>odpovědnost</w:t>
      </w:r>
      <w:r w:rsidR="00A45B96">
        <w:t>i</w:t>
      </w:r>
      <w:r>
        <w:t xml:space="preserve"> </w:t>
      </w:r>
      <w:r w:rsidR="00A45B96">
        <w:t xml:space="preserve">zapojených </w:t>
      </w:r>
      <w:r>
        <w:t xml:space="preserve">subjektů. </w:t>
      </w:r>
      <w:r w:rsidR="00B60765">
        <w:t xml:space="preserve">Následujícím </w:t>
      </w:r>
      <w:r w:rsidR="000B13C9">
        <w:t>s</w:t>
      </w:r>
      <w:r w:rsidR="00C440BF">
        <w:t>trategickým dokumentem v</w:t>
      </w:r>
      <w:r w:rsidR="00412CB4">
        <w:t> </w:t>
      </w:r>
      <w:r w:rsidR="00C440BF">
        <w:t xml:space="preserve">oblasti péče o ohrožené děti </w:t>
      </w:r>
      <w:r w:rsidR="00B60765">
        <w:t xml:space="preserve">je </w:t>
      </w:r>
      <w:r w:rsidR="000B13C9">
        <w:t xml:space="preserve">až </w:t>
      </w:r>
      <w:r w:rsidR="00B60765" w:rsidRPr="00EC4485">
        <w:t xml:space="preserve">aktuální </w:t>
      </w:r>
      <w:r w:rsidR="00C440BF" w:rsidRPr="00EC4485">
        <w:t>Národní strategie 2021–2029</w:t>
      </w:r>
      <w:r w:rsidR="000B13C9" w:rsidRPr="00EC4485">
        <w:t>.</w:t>
      </w:r>
      <w:r w:rsidR="001C0C0B">
        <w:t xml:space="preserve"> Tato národní strategie </w:t>
      </w:r>
      <w:r w:rsidR="00601345">
        <w:t xml:space="preserve">měla </w:t>
      </w:r>
      <w:r w:rsidR="00A42085">
        <w:t>v</w:t>
      </w:r>
      <w:r w:rsidR="00412CB4">
        <w:t> </w:t>
      </w:r>
      <w:r w:rsidR="00A42085">
        <w:t>době kontroly</w:t>
      </w:r>
      <w:r w:rsidR="001C0C0B">
        <w:t xml:space="preserve"> </w:t>
      </w:r>
      <w:r w:rsidR="00601345">
        <w:t xml:space="preserve">NKÚ </w:t>
      </w:r>
      <w:r w:rsidR="001C0C0B">
        <w:t xml:space="preserve">jeden schválený </w:t>
      </w:r>
      <w:r w:rsidR="00BB6CFE">
        <w:t>A</w:t>
      </w:r>
      <w:r w:rsidR="001C0C0B">
        <w:t xml:space="preserve">kční plán 2021–2024. Při nastavení této strategie nepostupovalo </w:t>
      </w:r>
      <w:r w:rsidR="00A45B96">
        <w:t xml:space="preserve">MPSV </w:t>
      </w:r>
      <w:r w:rsidR="001C0C0B">
        <w:t>v</w:t>
      </w:r>
      <w:r w:rsidR="00412CB4">
        <w:t> </w:t>
      </w:r>
      <w:r w:rsidR="001C0C0B">
        <w:t>souladu s</w:t>
      </w:r>
      <w:r w:rsidR="00412CB4">
        <w:t> </w:t>
      </w:r>
      <w:r w:rsidR="001C0C0B" w:rsidRPr="00DA55DF">
        <w:rPr>
          <w:i/>
        </w:rPr>
        <w:t xml:space="preserve">Metodikou </w:t>
      </w:r>
      <w:r w:rsidR="00A45B96">
        <w:rPr>
          <w:i/>
        </w:rPr>
        <w:t xml:space="preserve">přípravy </w:t>
      </w:r>
      <w:r w:rsidR="001C0C0B" w:rsidRPr="00DA55DF">
        <w:rPr>
          <w:i/>
        </w:rPr>
        <w:t>veřejných strategií</w:t>
      </w:r>
      <w:r w:rsidR="001C0C0B">
        <w:t xml:space="preserve">, neboť </w:t>
      </w:r>
      <w:r w:rsidR="003C5F62">
        <w:t xml:space="preserve">nenastavilo </w:t>
      </w:r>
      <w:r w:rsidR="001C0C0B">
        <w:t>indikátory sledující stav plnění jednotlivých cílů ani jejich výchozí či cílové hodnoty. MPSV tak nemá nástroj pro vyhodnocení plnění cílů této strategie.</w:t>
      </w:r>
      <w:r w:rsidR="00BF668D">
        <w:t xml:space="preserve"> </w:t>
      </w:r>
      <w:r w:rsidR="001C0C0B">
        <w:t xml:space="preserve">MPSV se při nastavení strategie </w:t>
      </w:r>
      <w:r w:rsidR="001C0C0B" w:rsidRPr="00A94417">
        <w:t>neřídilo UV</w:t>
      </w:r>
      <w:r w:rsidR="00520D88">
        <w:t> </w:t>
      </w:r>
      <w:r w:rsidR="001C0C0B" w:rsidRPr="00A94417">
        <w:t>71/20</w:t>
      </w:r>
      <w:r w:rsidR="00A42085">
        <w:t>1</w:t>
      </w:r>
      <w:r w:rsidR="001C0C0B" w:rsidRPr="00A94417">
        <w:t>9</w:t>
      </w:r>
      <w:r w:rsidR="00A42085">
        <w:rPr>
          <w:rStyle w:val="Znakapoznpodarou"/>
        </w:rPr>
        <w:footnoteReference w:id="22"/>
      </w:r>
      <w:r w:rsidR="00923FD3">
        <w:t>,</w:t>
      </w:r>
      <w:r w:rsidR="001C0C0B">
        <w:t xml:space="preserve"> </w:t>
      </w:r>
      <w:r w:rsidR="00D76510">
        <w:t>čímž</w:t>
      </w:r>
      <w:r w:rsidR="001C0C0B">
        <w:t xml:space="preserve"> </w:t>
      </w:r>
      <w:r w:rsidR="001C0C0B" w:rsidRPr="00A94417">
        <w:t>porušilo</w:t>
      </w:r>
      <w:r w:rsidR="001C0C0B" w:rsidRPr="001C0C0B">
        <w:t xml:space="preserve"> </w:t>
      </w:r>
      <w:r w:rsidR="001C0C0B" w:rsidRPr="00A94417">
        <w:t xml:space="preserve">ustanovení § 21 </w:t>
      </w:r>
      <w:r w:rsidR="006A49AD">
        <w:t xml:space="preserve">kompetenčního </w:t>
      </w:r>
      <w:r w:rsidR="001C0C0B" w:rsidRPr="00A94417">
        <w:t>zákona.</w:t>
      </w:r>
      <w:bookmarkStart w:id="23" w:name="_Ref178977616"/>
      <w:bookmarkStart w:id="24" w:name="_Ref178977374"/>
      <w:bookmarkEnd w:id="22"/>
    </w:p>
    <w:p w14:paraId="4F85D32D" w14:textId="24862564" w:rsidR="00D80C12" w:rsidRPr="005C26B5" w:rsidRDefault="00827BC4" w:rsidP="001F42D9">
      <w:pPr>
        <w:pStyle w:val="Nadpis2"/>
        <w:widowControl/>
        <w:spacing w:line="256" w:lineRule="auto"/>
      </w:pPr>
      <w:r>
        <w:t>Meziresortní s</w:t>
      </w:r>
      <w:r w:rsidR="007C59FD">
        <w:t>polupráce</w:t>
      </w:r>
      <w:r w:rsidR="004E639C">
        <w:t xml:space="preserve"> </w:t>
      </w:r>
      <w:r>
        <w:t xml:space="preserve">neprobíhala </w:t>
      </w:r>
      <w:r w:rsidR="0099446F">
        <w:t>s</w:t>
      </w:r>
      <w:r w:rsidR="00D76510">
        <w:t xml:space="preserve"> </w:t>
      </w:r>
      <w:r w:rsidR="0099446F">
        <w:t>žádoucími výsledky</w:t>
      </w:r>
      <w:r w:rsidR="002E71A2">
        <w:t xml:space="preserve"> </w:t>
      </w:r>
      <w:r>
        <w:t>ani v</w:t>
      </w:r>
      <w:r w:rsidR="00D76510">
        <w:t xml:space="preserve"> </w:t>
      </w:r>
      <w:r w:rsidR="00D80C12" w:rsidRPr="005C26B5">
        <w:t xml:space="preserve">období </w:t>
      </w:r>
      <w:r>
        <w:t>2021</w:t>
      </w:r>
      <w:r w:rsidR="007B625E">
        <w:t>–</w:t>
      </w:r>
      <w:r>
        <w:t>2024 v</w:t>
      </w:r>
      <w:r w:rsidR="00412CB4">
        <w:t> </w:t>
      </w:r>
      <w:r>
        <w:t>rámci</w:t>
      </w:r>
      <w:r w:rsidR="0099446F">
        <w:t xml:space="preserve"> </w:t>
      </w:r>
      <w:r w:rsidR="00D76510">
        <w:t>„</w:t>
      </w:r>
      <w:r w:rsidR="00D76510" w:rsidRPr="001F42D9">
        <w:rPr>
          <w:iCs/>
        </w:rPr>
        <w:t>m</w:t>
      </w:r>
      <w:r w:rsidRPr="001F42D9">
        <w:rPr>
          <w:iCs/>
        </w:rPr>
        <w:t>eziresortní koordinační skupiny</w:t>
      </w:r>
      <w:r w:rsidR="00D76510">
        <w:rPr>
          <w:iCs/>
        </w:rPr>
        <w:t>“</w:t>
      </w:r>
      <w:r>
        <w:t xml:space="preserve"> při</w:t>
      </w:r>
      <w:r w:rsidRPr="00827BC4">
        <w:t xml:space="preserve"> </w:t>
      </w:r>
      <w:r w:rsidR="00D80C12" w:rsidRPr="005C26B5">
        <w:t>plnění Akčního plánu 2021–2024:</w:t>
      </w:r>
    </w:p>
    <w:p w14:paraId="5C033751" w14:textId="66EB960D" w:rsidR="00D80C12" w:rsidRPr="005C26B5" w:rsidRDefault="00D80C12" w:rsidP="00AF3A3F">
      <w:pPr>
        <w:pStyle w:val="Textodstavce"/>
        <w:numPr>
          <w:ilvl w:val="0"/>
          <w:numId w:val="82"/>
        </w:numPr>
        <w:spacing w:after="0" w:line="256" w:lineRule="auto"/>
        <w:rPr>
          <w:rFonts w:cs="Calibri"/>
          <w:bCs/>
        </w:rPr>
      </w:pPr>
      <w:r w:rsidRPr="005C26B5">
        <w:rPr>
          <w:rFonts w:cs="Calibri"/>
          <w:bCs/>
        </w:rPr>
        <w:t xml:space="preserve">MPSV z šesti plánovaných </w:t>
      </w:r>
      <w:r w:rsidR="00EA47B7">
        <w:rPr>
          <w:rFonts w:cs="Calibri"/>
          <w:bCs/>
        </w:rPr>
        <w:t xml:space="preserve">pracovních </w:t>
      </w:r>
      <w:r w:rsidRPr="005C26B5">
        <w:rPr>
          <w:rFonts w:cs="Calibri"/>
          <w:bCs/>
        </w:rPr>
        <w:t>skupin ustavilo jen dvě</w:t>
      </w:r>
      <w:r w:rsidR="00EA47B7">
        <w:rPr>
          <w:rFonts w:cs="Calibri"/>
          <w:bCs/>
        </w:rPr>
        <w:t>;</w:t>
      </w:r>
      <w:r w:rsidRPr="005C26B5">
        <w:rPr>
          <w:rFonts w:cs="Calibri"/>
          <w:bCs/>
        </w:rPr>
        <w:t xml:space="preserve"> </w:t>
      </w:r>
    </w:p>
    <w:p w14:paraId="026E13B1" w14:textId="76E85B31" w:rsidR="00D80C12" w:rsidRPr="005C26B5" w:rsidRDefault="00D80C12">
      <w:pPr>
        <w:pStyle w:val="Textodstavce"/>
        <w:numPr>
          <w:ilvl w:val="0"/>
          <w:numId w:val="82"/>
        </w:numPr>
        <w:spacing w:after="0" w:line="256" w:lineRule="auto"/>
        <w:rPr>
          <w:rFonts w:cs="Calibri"/>
          <w:bCs/>
        </w:rPr>
      </w:pPr>
      <w:r w:rsidRPr="005C26B5">
        <w:rPr>
          <w:rFonts w:cs="Calibri"/>
          <w:bCs/>
        </w:rPr>
        <w:t>MPSV ustavilo jiné skupiny k</w:t>
      </w:r>
      <w:r w:rsidR="00412CB4">
        <w:rPr>
          <w:rFonts w:cs="Calibri"/>
          <w:bCs/>
        </w:rPr>
        <w:t> </w:t>
      </w:r>
      <w:r w:rsidRPr="005C26B5">
        <w:rPr>
          <w:rFonts w:cs="Calibri"/>
          <w:bCs/>
        </w:rPr>
        <w:t>nové právní úpravě ochrany dětí a podpory rodin</w:t>
      </w:r>
      <w:r w:rsidR="00EA47B7">
        <w:rPr>
          <w:rFonts w:cs="Calibri"/>
          <w:bCs/>
        </w:rPr>
        <w:t>;</w:t>
      </w:r>
    </w:p>
    <w:p w14:paraId="53F62B0A" w14:textId="33D4BD6E" w:rsidR="00D80C12" w:rsidRPr="005C26B5" w:rsidRDefault="00D80C12">
      <w:pPr>
        <w:pStyle w:val="Textodstavce"/>
        <w:numPr>
          <w:ilvl w:val="0"/>
          <w:numId w:val="82"/>
        </w:numPr>
        <w:spacing w:after="0" w:line="256" w:lineRule="auto"/>
        <w:rPr>
          <w:rFonts w:cs="Calibri"/>
          <w:bCs/>
        </w:rPr>
      </w:pPr>
      <w:r w:rsidRPr="005C26B5">
        <w:rPr>
          <w:rFonts w:cs="Calibri"/>
          <w:bCs/>
        </w:rPr>
        <w:t>MPSV z</w:t>
      </w:r>
      <w:r w:rsidR="00412CB4">
        <w:rPr>
          <w:rFonts w:cs="Calibri"/>
          <w:bCs/>
        </w:rPr>
        <w:t> </w:t>
      </w:r>
      <w:r w:rsidRPr="005C26B5">
        <w:rPr>
          <w:rFonts w:cs="Calibri"/>
          <w:bCs/>
        </w:rPr>
        <w:t>16 dílčích aktivit nesplnilo celkem 10 a částečně splnilo 6 dílčích aktivit. Žádný z</w:t>
      </w:r>
      <w:r w:rsidR="00412CB4">
        <w:rPr>
          <w:rFonts w:cs="Calibri"/>
          <w:bCs/>
        </w:rPr>
        <w:t> </w:t>
      </w:r>
      <w:r>
        <w:rPr>
          <w:rFonts w:cs="Calibri"/>
          <w:bCs/>
        </w:rPr>
        <w:t xml:space="preserve">těchto </w:t>
      </w:r>
      <w:r w:rsidRPr="005C26B5">
        <w:rPr>
          <w:rFonts w:cs="Calibri"/>
          <w:bCs/>
        </w:rPr>
        <w:t xml:space="preserve">výstupů neprojednalo </w:t>
      </w:r>
      <w:r w:rsidR="00D76510" w:rsidRPr="005C26B5">
        <w:rPr>
          <w:rFonts w:cs="Calibri"/>
          <w:bCs/>
        </w:rPr>
        <w:t xml:space="preserve">MPSV </w:t>
      </w:r>
      <w:r w:rsidRPr="005C26B5">
        <w:rPr>
          <w:rFonts w:cs="Calibri"/>
          <w:bCs/>
        </w:rPr>
        <w:t>v</w:t>
      </w:r>
      <w:r w:rsidR="00D76510">
        <w:rPr>
          <w:rFonts w:cs="Calibri"/>
          <w:bCs/>
        </w:rPr>
        <w:t xml:space="preserve"> „</w:t>
      </w:r>
      <w:r w:rsidR="00D76510" w:rsidRPr="001F42D9">
        <w:rPr>
          <w:rFonts w:cs="Calibri"/>
          <w:iCs/>
        </w:rPr>
        <w:t>m</w:t>
      </w:r>
      <w:r w:rsidRPr="001F42D9">
        <w:rPr>
          <w:rFonts w:cs="Calibri"/>
          <w:iCs/>
        </w:rPr>
        <w:t>eziresortní koordinační skupině</w:t>
      </w:r>
      <w:r w:rsidR="00D76510">
        <w:rPr>
          <w:rFonts w:cs="Calibri"/>
          <w:iCs/>
        </w:rPr>
        <w:t>“</w:t>
      </w:r>
      <w:r>
        <w:rPr>
          <w:rFonts w:cs="Calibri"/>
          <w:bCs/>
        </w:rPr>
        <w:t xml:space="preserve"> </w:t>
      </w:r>
      <w:r w:rsidRPr="005C26B5">
        <w:rPr>
          <w:rFonts w:cs="Calibri"/>
          <w:bCs/>
        </w:rPr>
        <w:t>tak, jak požadoval Akční plán 2021–2024</w:t>
      </w:r>
      <w:r w:rsidR="00EA47B7">
        <w:rPr>
          <w:rFonts w:cs="Calibri"/>
          <w:bCs/>
        </w:rPr>
        <w:t>;</w:t>
      </w:r>
    </w:p>
    <w:p w14:paraId="25DE1240" w14:textId="0373E22E" w:rsidR="008A7810" w:rsidRPr="00856BE9" w:rsidRDefault="00856BE9" w:rsidP="003817D4">
      <w:pPr>
        <w:pStyle w:val="Textodstavce"/>
        <w:numPr>
          <w:ilvl w:val="0"/>
          <w:numId w:val="82"/>
        </w:numPr>
        <w:spacing w:line="256" w:lineRule="auto"/>
        <w:rPr>
          <w:rFonts w:cs="Calibri"/>
          <w:bCs/>
        </w:rPr>
      </w:pPr>
      <w:r w:rsidRPr="00856BE9">
        <w:rPr>
          <w:rFonts w:cs="Calibri"/>
          <w:bCs/>
        </w:rPr>
        <w:t xml:space="preserve">MŠMT nespolupracovalo na 14 ze 17 nastavených dílčích aktivit </w:t>
      </w:r>
      <w:r w:rsidR="00D76510">
        <w:rPr>
          <w:rFonts w:cs="Calibri"/>
          <w:bCs/>
        </w:rPr>
        <w:t xml:space="preserve">a </w:t>
      </w:r>
      <w:r w:rsidR="00601345">
        <w:rPr>
          <w:rFonts w:cs="Calibri"/>
          <w:bCs/>
        </w:rPr>
        <w:t>nezpracovalo</w:t>
      </w:r>
      <w:r>
        <w:rPr>
          <w:rFonts w:cs="Calibri"/>
          <w:bCs/>
        </w:rPr>
        <w:t xml:space="preserve"> požadované výstupy z</w:t>
      </w:r>
      <w:r w:rsidR="00B4728C">
        <w:rPr>
          <w:rFonts w:cs="Calibri"/>
          <w:bCs/>
        </w:rPr>
        <w:t> </w:t>
      </w:r>
      <w:r>
        <w:rPr>
          <w:rFonts w:cs="Calibri"/>
          <w:bCs/>
        </w:rPr>
        <w:t>aktivit</w:t>
      </w:r>
      <w:r w:rsidR="00B4728C">
        <w:rPr>
          <w:rFonts w:cs="Calibri"/>
          <w:bCs/>
        </w:rPr>
        <w:t>.</w:t>
      </w:r>
      <w:r w:rsidR="00845192">
        <w:rPr>
          <w:rFonts w:cs="Calibri"/>
          <w:bCs/>
        </w:rPr>
        <w:t xml:space="preserve"> </w:t>
      </w:r>
      <w:r w:rsidR="00845192" w:rsidRPr="00845192">
        <w:rPr>
          <w:rFonts w:cs="Calibri"/>
          <w:bCs/>
        </w:rPr>
        <w:t>Tím, že MŠMT nerealizovalo v</w:t>
      </w:r>
      <w:r w:rsidR="00412CB4">
        <w:rPr>
          <w:rFonts w:cs="Calibri"/>
          <w:bCs/>
        </w:rPr>
        <w:t> </w:t>
      </w:r>
      <w:r w:rsidR="00845192" w:rsidRPr="00845192">
        <w:rPr>
          <w:rFonts w:cs="Calibri"/>
          <w:bCs/>
        </w:rPr>
        <w:t>rámci své působnosti aktivity obsažené v</w:t>
      </w:r>
      <w:r w:rsidR="00412CB4">
        <w:rPr>
          <w:rFonts w:cs="Calibri"/>
          <w:bCs/>
        </w:rPr>
        <w:t> </w:t>
      </w:r>
      <w:r w:rsidR="00845192" w:rsidRPr="00845192">
        <w:rPr>
          <w:rFonts w:cs="Calibri"/>
          <w:bCs/>
        </w:rPr>
        <w:t>Akčním plánu 2021–2024, neřídilo se UV 686/2021</w:t>
      </w:r>
      <w:r w:rsidR="003B1FBA">
        <w:rPr>
          <w:rFonts w:cs="Calibri"/>
          <w:bCs/>
        </w:rPr>
        <w:t xml:space="preserve"> </w:t>
      </w:r>
      <w:r w:rsidR="00845192" w:rsidRPr="00845192">
        <w:rPr>
          <w:rFonts w:cs="Calibri"/>
          <w:bCs/>
        </w:rPr>
        <w:t xml:space="preserve">a porušilo tak ustanovení § 21 </w:t>
      </w:r>
      <w:r w:rsidR="00845192">
        <w:rPr>
          <w:rFonts w:cs="Calibri"/>
          <w:bCs/>
        </w:rPr>
        <w:t xml:space="preserve">kompetenčního </w:t>
      </w:r>
      <w:r w:rsidR="00845192" w:rsidRPr="00845192">
        <w:rPr>
          <w:rFonts w:cs="Calibri"/>
          <w:bCs/>
        </w:rPr>
        <w:t>zákona</w:t>
      </w:r>
      <w:r w:rsidRPr="00856BE9">
        <w:rPr>
          <w:rFonts w:cs="Calibri"/>
          <w:bCs/>
        </w:rPr>
        <w:t>.</w:t>
      </w:r>
    </w:p>
    <w:p w14:paraId="45542239" w14:textId="72F9C308" w:rsidR="00FC00CB" w:rsidRPr="00137B93" w:rsidRDefault="006E5ED5" w:rsidP="003817D4">
      <w:pPr>
        <w:pStyle w:val="Nadpis2"/>
        <w:widowControl/>
        <w:spacing w:before="0" w:after="120" w:line="256" w:lineRule="auto"/>
        <w:rPr>
          <w:rFonts w:cstheme="minorHAnsi"/>
          <w:b/>
        </w:rPr>
      </w:pPr>
      <w:bookmarkStart w:id="25" w:name="_Ref180440346"/>
      <w:bookmarkEnd w:id="23"/>
      <w:r>
        <w:t>Vytvoření právní úprav</w:t>
      </w:r>
      <w:r w:rsidR="00D64585">
        <w:t>y</w:t>
      </w:r>
      <w:r w:rsidR="004E639C">
        <w:t xml:space="preserve"> </w:t>
      </w:r>
      <w:r w:rsidRPr="006E5ED5">
        <w:t>zaměřen</w:t>
      </w:r>
      <w:r w:rsidR="005C71F6">
        <w:t>é</w:t>
      </w:r>
      <w:r w:rsidRPr="006E5ED5">
        <w:t xml:space="preserve"> na efektivní řešení potřeb dětí </w:t>
      </w:r>
      <w:r>
        <w:t xml:space="preserve">mělo MPSV realizovat </w:t>
      </w:r>
      <w:r w:rsidR="00D64585">
        <w:t xml:space="preserve">do </w:t>
      </w:r>
      <w:r>
        <w:t>prosinc</w:t>
      </w:r>
      <w:r w:rsidR="00D64585">
        <w:t>e</w:t>
      </w:r>
      <w:r>
        <w:t xml:space="preserve"> 2014, </w:t>
      </w:r>
      <w:r w:rsidR="00D64585">
        <w:t>což</w:t>
      </w:r>
      <w:r>
        <w:t xml:space="preserve"> bylo </w:t>
      </w:r>
      <w:r w:rsidR="00FA49DC">
        <w:t>uvedeno v</w:t>
      </w:r>
      <w:r w:rsidR="005E4AAA">
        <w:t> </w:t>
      </w:r>
      <w:r w:rsidR="00FA49DC">
        <w:t>dílčím</w:t>
      </w:r>
      <w:r w:rsidR="005E4AAA">
        <w:t xml:space="preserve"> </w:t>
      </w:r>
      <w:r w:rsidRPr="00EC4485">
        <w:t>cíl</w:t>
      </w:r>
      <w:r w:rsidR="00FA49DC">
        <w:t>i č. 13</w:t>
      </w:r>
      <w:r w:rsidRPr="00EC4485">
        <w:t xml:space="preserve"> Národní strategie 2012–201</w:t>
      </w:r>
      <w:r w:rsidR="00D76510">
        <w:t>8</w:t>
      </w:r>
      <w:r w:rsidR="00FA49DC">
        <w:rPr>
          <w:rStyle w:val="Znakapoznpodarou"/>
        </w:rPr>
        <w:footnoteReference w:id="23"/>
      </w:r>
      <w:r w:rsidRPr="00EC4485">
        <w:t xml:space="preserve">. Tento úkol MPSV nesplnilo a přesunulo do následující </w:t>
      </w:r>
      <w:r w:rsidR="00D64585" w:rsidRPr="00EC4485">
        <w:t>Národní strategie 2021–2029 s</w:t>
      </w:r>
      <w:r w:rsidR="00412CB4">
        <w:t> </w:t>
      </w:r>
      <w:r w:rsidR="00D64585">
        <w:t>termínem plnění 12/2024</w:t>
      </w:r>
      <w:r w:rsidRPr="006E5ED5">
        <w:t xml:space="preserve">. </w:t>
      </w:r>
      <w:r w:rsidR="00DA55DF">
        <w:t>V</w:t>
      </w:r>
      <w:r w:rsidR="00412CB4">
        <w:t> </w:t>
      </w:r>
      <w:r w:rsidR="00DA55DF">
        <w:t>době</w:t>
      </w:r>
      <w:r w:rsidR="00D64585">
        <w:t xml:space="preserve"> kontroly</w:t>
      </w:r>
      <w:r w:rsidR="00DA55DF">
        <w:t xml:space="preserve"> </w:t>
      </w:r>
      <w:r w:rsidR="005A1BD3">
        <w:t>pra</w:t>
      </w:r>
      <w:r w:rsidR="00AB26A8">
        <w:t>covalo</w:t>
      </w:r>
      <w:r w:rsidR="005A1BD3">
        <w:t xml:space="preserve"> </w:t>
      </w:r>
      <w:r w:rsidR="00D76510">
        <w:t xml:space="preserve">MPSV </w:t>
      </w:r>
      <w:r w:rsidR="005A1BD3">
        <w:t>na paragrafovém znění</w:t>
      </w:r>
      <w:r w:rsidR="00AB26A8">
        <w:t xml:space="preserve">, které dle svého </w:t>
      </w:r>
      <w:r w:rsidR="000D388B">
        <w:t xml:space="preserve">vyjádření </w:t>
      </w:r>
      <w:r w:rsidR="00AB26A8">
        <w:t>nestihne ve stanoveném</w:t>
      </w:r>
      <w:r w:rsidR="001D3D71">
        <w:t xml:space="preserve"> </w:t>
      </w:r>
      <w:r w:rsidR="00AB26A8">
        <w:t xml:space="preserve">termínu </w:t>
      </w:r>
      <w:r w:rsidR="000D388B">
        <w:t>dokončit</w:t>
      </w:r>
      <w:r w:rsidR="006D61D9">
        <w:t>.</w:t>
      </w:r>
      <w:r w:rsidR="008427A8" w:rsidRPr="008427A8">
        <w:t xml:space="preserve"> </w:t>
      </w:r>
      <w:r w:rsidR="008427A8" w:rsidRPr="00A94417">
        <w:t>MPSV dlouhodobě nejedná v</w:t>
      </w:r>
      <w:r w:rsidR="00412CB4">
        <w:t> </w:t>
      </w:r>
      <w:r w:rsidR="008427A8" w:rsidRPr="00A94417">
        <w:t xml:space="preserve">souladu se zásadou stanovenou § 24 </w:t>
      </w:r>
      <w:r w:rsidR="00BC36E4">
        <w:t xml:space="preserve">kompetenčního </w:t>
      </w:r>
      <w:r w:rsidR="008427A8" w:rsidRPr="00A94417">
        <w:t xml:space="preserve">zákona. Nepečuje </w:t>
      </w:r>
      <w:r w:rsidR="005E4AAA">
        <w:br/>
      </w:r>
      <w:r w:rsidR="008427A8" w:rsidRPr="00A94417">
        <w:t>o</w:t>
      </w:r>
      <w:r w:rsidR="005E4AAA">
        <w:t xml:space="preserve"> </w:t>
      </w:r>
      <w:r w:rsidR="008427A8" w:rsidRPr="00A94417">
        <w:t xml:space="preserve">náležitou právní úpravu věcí </w:t>
      </w:r>
      <w:r w:rsidR="00D76510">
        <w:t>ve své</w:t>
      </w:r>
      <w:r w:rsidR="008427A8" w:rsidRPr="00A94417">
        <w:t xml:space="preserve"> působnosti, když od roku 2012 nepřipravilo komplexní návrh zákona/zákonů týkající se obecně systému péče o ohrožené děti.</w:t>
      </w:r>
      <w:bookmarkEnd w:id="25"/>
      <w:r w:rsidR="008427A8" w:rsidRPr="00A94417">
        <w:t xml:space="preserve"> </w:t>
      </w:r>
      <w:bookmarkEnd w:id="24"/>
    </w:p>
    <w:p w14:paraId="06075DE1" w14:textId="474CB4B1" w:rsidR="003459C7" w:rsidRPr="005E5648" w:rsidRDefault="003459C7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bookmarkStart w:id="26" w:name="_Toc179807894"/>
      <w:bookmarkStart w:id="27" w:name="_Toc179807887"/>
      <w:r w:rsidRPr="005E5648">
        <w:rPr>
          <w:color w:val="C00000"/>
          <w:sz w:val="24"/>
        </w:rPr>
        <w:t>Prostřednictvím projektů EU plynou peněžní prostředky na transformaci systému již 12 let, k</w:t>
      </w:r>
      <w:r>
        <w:rPr>
          <w:color w:val="C00000"/>
          <w:sz w:val="24"/>
        </w:rPr>
        <w:t> </w:t>
      </w:r>
      <w:r w:rsidRPr="005E5648">
        <w:rPr>
          <w:color w:val="C00000"/>
          <w:sz w:val="24"/>
        </w:rPr>
        <w:t>výrazné změně však nevedly</w:t>
      </w:r>
      <w:bookmarkEnd w:id="26"/>
    </w:p>
    <w:p w14:paraId="63A9437F" w14:textId="2E08AD67" w:rsidR="003459C7" w:rsidRDefault="003459C7" w:rsidP="003817D4">
      <w:pPr>
        <w:pStyle w:val="Nadpis2"/>
        <w:widowControl/>
        <w:spacing w:before="0" w:after="120" w:line="256" w:lineRule="auto"/>
      </w:pPr>
      <w:r>
        <w:t xml:space="preserve">V období 2012–2024 realizovalo MPSV projekty </w:t>
      </w:r>
      <w:r w:rsidR="00295953">
        <w:t xml:space="preserve">na přípravu podmínek transformace SPOD0, SPOD1, SPOD2, Standardizace NRP a SPOD3 </w:t>
      </w:r>
      <w:r>
        <w:t>financované z</w:t>
      </w:r>
      <w:r w:rsidR="00E041EF">
        <w:t xml:space="preserve"> </w:t>
      </w:r>
      <w:r>
        <w:t xml:space="preserve">fondů EU, viz </w:t>
      </w:r>
      <w:r w:rsidR="00C114C8">
        <w:t>t</w:t>
      </w:r>
      <w:r w:rsidRPr="00F77583">
        <w:t>abulk</w:t>
      </w:r>
      <w:r>
        <w:t>a</w:t>
      </w:r>
      <w:r w:rsidRPr="00F77583">
        <w:t xml:space="preserve"> č. </w:t>
      </w:r>
      <w:r w:rsidR="00087E20">
        <w:t>3</w:t>
      </w:r>
      <w:r w:rsidRPr="00F77583">
        <w:t>.</w:t>
      </w:r>
      <w:r>
        <w:t xml:space="preserve"> </w:t>
      </w:r>
      <w:r w:rsidRPr="00F77583">
        <w:t>V</w:t>
      </w:r>
      <w:r>
        <w:t> </w:t>
      </w:r>
      <w:r w:rsidRPr="00EF7ACB">
        <w:t xml:space="preserve">operačních programech </w:t>
      </w:r>
      <w:r>
        <w:t xml:space="preserve">MPSV </w:t>
      </w:r>
      <w:r w:rsidR="00C546DC">
        <w:t>nesledovalo vynaložené peněžní prostředky podle dílčích klíčových aktivit</w:t>
      </w:r>
      <w:r w:rsidRPr="00EF7ACB">
        <w:t>.</w:t>
      </w:r>
      <w:r w:rsidRPr="00664F6E">
        <w:t xml:space="preserve"> </w:t>
      </w:r>
      <w:r w:rsidR="00C546DC">
        <w:t xml:space="preserve">Částky MPSV stanovilo pouze na úrovni rozpočtu. Proto NKÚ vyčíslil </w:t>
      </w:r>
      <w:r>
        <w:t>zjištěné nedostatk</w:t>
      </w:r>
      <w:r w:rsidR="00577737">
        <w:t>y</w:t>
      </w:r>
      <w:r>
        <w:t xml:space="preserve"> ve výši rozpočtu klíčové aktivity. </w:t>
      </w:r>
    </w:p>
    <w:p w14:paraId="6F8F5944" w14:textId="49CE0061" w:rsidR="003459C7" w:rsidRPr="006C7A6E" w:rsidRDefault="003459C7" w:rsidP="003817D4">
      <w:pPr>
        <w:pStyle w:val="Nadpis2"/>
        <w:widowControl/>
        <w:spacing w:before="0" w:after="120" w:line="256" w:lineRule="auto"/>
      </w:pPr>
      <w:r w:rsidRPr="00981BDA">
        <w:t>Výstupy a zjištění</w:t>
      </w:r>
      <w:r>
        <w:t xml:space="preserve"> </w:t>
      </w:r>
      <w:r w:rsidRPr="00981BDA">
        <w:t xml:space="preserve">projektu SPOD0 </w:t>
      </w:r>
      <w:r w:rsidRPr="00981BDA">
        <w:rPr>
          <w:i/>
        </w:rPr>
        <w:t>Systémová podpora procesů transformace systému péče</w:t>
      </w:r>
      <w:r w:rsidR="00562917">
        <w:rPr>
          <w:i/>
        </w:rPr>
        <w:t xml:space="preserve"> o ohro</w:t>
      </w:r>
      <w:r w:rsidRPr="00981BDA">
        <w:rPr>
          <w:i/>
        </w:rPr>
        <w:t>žené děti</w:t>
      </w:r>
      <w:r w:rsidR="001D391D">
        <w:rPr>
          <w:i/>
        </w:rPr>
        <w:t xml:space="preserve"> a rodiny</w:t>
      </w:r>
      <w:r w:rsidRPr="00981BDA">
        <w:t xml:space="preserve"> využilo MPSV při stanovení většiny klíčových aktivit </w:t>
      </w:r>
      <w:r w:rsidRPr="006C7A6E">
        <w:t>u následných projektů.</w:t>
      </w:r>
    </w:p>
    <w:p w14:paraId="696088C0" w14:textId="21611540" w:rsidR="003459C7" w:rsidRPr="006C7A6E" w:rsidRDefault="003459C7" w:rsidP="003817D4">
      <w:pPr>
        <w:pStyle w:val="Nadpis2"/>
        <w:widowControl/>
        <w:spacing w:before="0" w:after="120" w:line="256" w:lineRule="auto"/>
      </w:pPr>
      <w:r w:rsidRPr="006C7A6E">
        <w:t>Jedním z</w:t>
      </w:r>
      <w:r>
        <w:t> </w:t>
      </w:r>
      <w:r w:rsidRPr="006C7A6E">
        <w:t>cílů projektu SPOD1 bylo zmapování existujících služeb, zjištění reálné potřeby služeb a nastavení optimální struktury služeb využívaných při každodenní péči o</w:t>
      </w:r>
      <w:r w:rsidR="00C114C8">
        <w:t> </w:t>
      </w:r>
      <w:r w:rsidRPr="006C7A6E">
        <w:t>ohrožené děti v</w:t>
      </w:r>
      <w:r>
        <w:t> </w:t>
      </w:r>
      <w:r w:rsidRPr="006C7A6E">
        <w:t>příslušném regionu, tzv. síťování služeb.</w:t>
      </w:r>
      <w:r w:rsidRPr="006C7A6E">
        <w:rPr>
          <w:rStyle w:val="Znakapoznpodarou"/>
        </w:rPr>
        <w:footnoteReference w:id="24"/>
      </w:r>
      <w:r w:rsidRPr="006C7A6E">
        <w:t xml:space="preserve"> Pro každ</w:t>
      </w:r>
      <w:r w:rsidR="00E041EF">
        <w:t>ou</w:t>
      </w:r>
      <w:r w:rsidRPr="006C7A6E">
        <w:t xml:space="preserve"> zapojen</w:t>
      </w:r>
      <w:r w:rsidR="00E041EF">
        <w:t>ou</w:t>
      </w:r>
      <w:r w:rsidRPr="006C7A6E">
        <w:t xml:space="preserve"> ORP mělo MPSV vytvořit </w:t>
      </w:r>
      <w:r w:rsidR="00E041EF">
        <w:rPr>
          <w:i/>
        </w:rPr>
        <w:t>a</w:t>
      </w:r>
      <w:r w:rsidRPr="006C7A6E">
        <w:rPr>
          <w:i/>
        </w:rPr>
        <w:t>nalýzu lokální sítě služeb a návrh její optimální podoby</w:t>
      </w:r>
      <w:r w:rsidRPr="006C7A6E">
        <w:t>. NKÚ zjistil, že MPSV nezajistilo vytvoření této analýzy pro všechny zapojené subjekty</w:t>
      </w:r>
      <w:r w:rsidR="00691E81">
        <w:t xml:space="preserve"> (z přihlášených </w:t>
      </w:r>
      <w:r w:rsidR="00691E81" w:rsidRPr="00691E81">
        <w:t>11 krajů a 124 ORP</w:t>
      </w:r>
      <w:r w:rsidR="00691E81">
        <w:t xml:space="preserve"> předalo MPSV 87 analýz)</w:t>
      </w:r>
      <w:r w:rsidRPr="006C7A6E">
        <w:t xml:space="preserve">, tím </w:t>
      </w:r>
      <w:r w:rsidR="00E041EF">
        <w:t>ne</w:t>
      </w:r>
      <w:r w:rsidRPr="006C7A6E">
        <w:t xml:space="preserve">dostatečně zajistilo navržení </w:t>
      </w:r>
      <w:r w:rsidR="005E4AAA">
        <w:br/>
      </w:r>
      <w:r w:rsidRPr="006C7A6E">
        <w:t>a</w:t>
      </w:r>
      <w:r w:rsidR="005E4AAA">
        <w:t xml:space="preserve"> </w:t>
      </w:r>
      <w:r w:rsidRPr="006C7A6E">
        <w:t>odzkoušení procesů a postupů při nastavení minimální sítě služeb na úrovni ORP a</w:t>
      </w:r>
      <w:r w:rsidR="00C114C8">
        <w:t> </w:t>
      </w:r>
      <w:r w:rsidRPr="006C7A6E">
        <w:t xml:space="preserve">krajů. Na základě </w:t>
      </w:r>
      <w:r w:rsidRPr="00412B02">
        <w:t xml:space="preserve">této </w:t>
      </w:r>
      <w:r w:rsidRPr="00C57D19">
        <w:t>skutečnosti</w:t>
      </w:r>
      <w:r w:rsidRPr="006E0635">
        <w:t xml:space="preserve"> NKÚ vyhodnotil, že </w:t>
      </w:r>
      <w:r w:rsidRPr="00546C8C">
        <w:rPr>
          <w:szCs w:val="24"/>
        </w:rPr>
        <w:t xml:space="preserve">účelnost peněžních prostředků </w:t>
      </w:r>
      <w:r w:rsidR="00A75972" w:rsidRPr="00546C8C">
        <w:rPr>
          <w:szCs w:val="24"/>
        </w:rPr>
        <w:t xml:space="preserve">vynaložených </w:t>
      </w:r>
      <w:r w:rsidRPr="00412B02">
        <w:t>na klíčovou aktivitu</w:t>
      </w:r>
      <w:r w:rsidR="00A75972" w:rsidRPr="00A75972">
        <w:t xml:space="preserve"> </w:t>
      </w:r>
      <w:r w:rsidR="00A75972" w:rsidRPr="00412B02">
        <w:t>ve výši rozpočtu</w:t>
      </w:r>
      <w:r w:rsidR="001C057F">
        <w:t xml:space="preserve"> </w:t>
      </w:r>
      <w:r w:rsidRPr="00412B02">
        <w:t>158 048 750 Kč</w:t>
      </w:r>
      <w:r w:rsidRPr="00546C8C">
        <w:rPr>
          <w:szCs w:val="24"/>
        </w:rPr>
        <w:t xml:space="preserve"> byla významně snížena.</w:t>
      </w:r>
      <w:r w:rsidRPr="00D9523C">
        <w:rPr>
          <w:b/>
          <w:szCs w:val="24"/>
        </w:rPr>
        <w:t xml:space="preserve"> </w:t>
      </w:r>
    </w:p>
    <w:p w14:paraId="376B221D" w14:textId="190CF396" w:rsidR="003459C7" w:rsidRDefault="003459C7" w:rsidP="003817D4">
      <w:pPr>
        <w:pStyle w:val="Nadpis2"/>
        <w:widowControl/>
        <w:spacing w:before="0" w:after="120" w:line="256" w:lineRule="auto"/>
      </w:pPr>
      <w:r>
        <w:t xml:space="preserve">V rámci projektu SPOD1 měl rovněž vzniknout </w:t>
      </w:r>
      <w:r w:rsidRPr="00D54EAE">
        <w:rPr>
          <w:i/>
        </w:rPr>
        <w:t>Interaktivní katalog jevů a služeb pro děti a jejich rodiny</w:t>
      </w:r>
      <w:r>
        <w:t>, který</w:t>
      </w:r>
      <w:r w:rsidRPr="00D65EE7">
        <w:t xml:space="preserve"> </w:t>
      </w:r>
      <w:r w:rsidRPr="0027615E">
        <w:t>mě</w:t>
      </w:r>
      <w:r>
        <w:t>l zjednodušit vyhledávání dostupných služeb pro řešení konkrétních problémů v</w:t>
      </w:r>
      <w:r w:rsidR="00E041EF">
        <w:t xml:space="preserve"> </w:t>
      </w:r>
      <w:r>
        <w:t>rodinách. Tento on-line nástroj</w:t>
      </w:r>
      <w:r w:rsidRPr="00D65EE7">
        <w:t xml:space="preserve"> </w:t>
      </w:r>
      <w:r>
        <w:t xml:space="preserve">byl určen </w:t>
      </w:r>
      <w:r w:rsidRPr="00D65EE7">
        <w:t>sociálním pracovníkům, neziskovým organizacím, psychologům a dalším odborníkům</w:t>
      </w:r>
      <w:r>
        <w:t xml:space="preserve">. </w:t>
      </w:r>
      <w:r w:rsidRPr="001F42D9">
        <w:rPr>
          <w:i/>
          <w:iCs/>
        </w:rPr>
        <w:t>Interaktivní katalog</w:t>
      </w:r>
      <w:r>
        <w:t xml:space="preserve"> je minimálně od září 2023 nedostupný a MPSV nezajistilo auditní stopu prokazující</w:t>
      </w:r>
      <w:r w:rsidRPr="000727F6">
        <w:t xml:space="preserve">, </w:t>
      </w:r>
      <w:r w:rsidR="00E041EF">
        <w:t>že</w:t>
      </w:r>
      <w:r w:rsidRPr="000727F6">
        <w:t xml:space="preserve"> byl on-line nástroj někdy funkční.</w:t>
      </w:r>
      <w:r>
        <w:t xml:space="preserve"> </w:t>
      </w:r>
      <w:r w:rsidRPr="00D65EE7">
        <w:t xml:space="preserve">MPSV </w:t>
      </w:r>
      <w:r>
        <w:t xml:space="preserve">na vytvoření a správu </w:t>
      </w:r>
      <w:r w:rsidRPr="00D54EAE">
        <w:rPr>
          <w:i/>
        </w:rPr>
        <w:t xml:space="preserve">Interaktivního katalogu </w:t>
      </w:r>
      <w:r>
        <w:t>vynaložilo</w:t>
      </w:r>
      <w:r w:rsidRPr="009772D9">
        <w:t xml:space="preserve"> 847</w:t>
      </w:r>
      <w:r>
        <w:t> </w:t>
      </w:r>
      <w:r w:rsidRPr="009772D9">
        <w:t>000</w:t>
      </w:r>
      <w:r>
        <w:t> </w:t>
      </w:r>
      <w:r w:rsidRPr="009772D9">
        <w:t>Kč</w:t>
      </w:r>
      <w:r>
        <w:t>. Vzhledem k</w:t>
      </w:r>
      <w:r w:rsidR="00AB79C4">
        <w:t xml:space="preserve"> </w:t>
      </w:r>
      <w:r>
        <w:t>tomu, že není možné jej využívat, NKÚ vyhodnotil</w:t>
      </w:r>
      <w:r w:rsidR="00CF3EEE">
        <w:t xml:space="preserve"> vynaložení těchto</w:t>
      </w:r>
      <w:r>
        <w:t xml:space="preserve"> peněžní</w:t>
      </w:r>
      <w:r w:rsidR="00CF3EEE">
        <w:t>ch</w:t>
      </w:r>
      <w:r>
        <w:t xml:space="preserve"> prostředk</w:t>
      </w:r>
      <w:r w:rsidR="00CF3EEE">
        <w:t>ů</w:t>
      </w:r>
      <w:r>
        <w:t xml:space="preserve"> jako</w:t>
      </w:r>
      <w:r w:rsidRPr="00200E48">
        <w:t xml:space="preserve"> </w:t>
      </w:r>
      <w:r>
        <w:t>neúčelné.</w:t>
      </w:r>
    </w:p>
    <w:p w14:paraId="24088FBF" w14:textId="5F4D6C21" w:rsidR="003459C7" w:rsidRDefault="003459C7" w:rsidP="003817D4">
      <w:pPr>
        <w:pStyle w:val="Nadpis2"/>
        <w:widowControl/>
        <w:spacing w:before="0" w:after="120" w:line="256" w:lineRule="auto"/>
      </w:pPr>
      <w:bookmarkStart w:id="28" w:name="_Hlk179444908"/>
      <w:r w:rsidRPr="00A067F9">
        <w:t>V</w:t>
      </w:r>
      <w:r>
        <w:t> </w:t>
      </w:r>
      <w:r w:rsidRPr="00A067F9">
        <w:t>rámci projektu SPOD2</w:t>
      </w:r>
      <w:r>
        <w:t xml:space="preserve"> </w:t>
      </w:r>
      <w:r w:rsidRPr="00A067F9">
        <w:t>identifikoval NKÚ pochybení MPSV v</w:t>
      </w:r>
      <w:r>
        <w:t> </w:t>
      </w:r>
      <w:r w:rsidRPr="00A067F9">
        <w:t xml:space="preserve">roli řídicího orgánu </w:t>
      </w:r>
      <w:r>
        <w:t>(</w:t>
      </w:r>
      <w:r w:rsidRPr="00A067F9">
        <w:t>tedy orgánu odpovědného za schvalování projektů a řádné vynakládání prostředků EU a</w:t>
      </w:r>
      <w:r w:rsidR="00C114C8">
        <w:t> </w:t>
      </w:r>
      <w:r w:rsidRPr="00A067F9">
        <w:t>státního rozpočtu</w:t>
      </w:r>
      <w:r>
        <w:t>), neboť</w:t>
      </w:r>
      <w:r w:rsidRPr="00A067F9">
        <w:t xml:space="preserve"> MPSV v</w:t>
      </w:r>
      <w:r>
        <w:t> </w:t>
      </w:r>
      <w:r w:rsidRPr="00A067F9">
        <w:t xml:space="preserve">roli hodnotitele při schvalování projektu neuplatnilo doporučení </w:t>
      </w:r>
      <w:r w:rsidRPr="00A067F9">
        <w:rPr>
          <w:i/>
        </w:rPr>
        <w:t>Příručky pro hodnotitele</w:t>
      </w:r>
      <w:r w:rsidRPr="00A067F9">
        <w:t xml:space="preserve"> ve smyslu postupu dle metodiky SMART, podle které mají být cíle konkrétní, měřitelné, dosažitelné, odpovídající a termínované. </w:t>
      </w:r>
      <w:r w:rsidRPr="00782E9E">
        <w:t>Hlavní cíl ani dílčí cíle</w:t>
      </w:r>
      <w:r>
        <w:t xml:space="preserve"> v</w:t>
      </w:r>
      <w:r w:rsidR="00E041EF">
        <w:t xml:space="preserve"> </w:t>
      </w:r>
      <w:r>
        <w:t>žádosti projektu, které nesplňovaly tyto požadavky</w:t>
      </w:r>
      <w:r w:rsidR="00E041EF">
        <w:t>,</w:t>
      </w:r>
      <w:r>
        <w:t xml:space="preserve"> </w:t>
      </w:r>
      <w:r w:rsidR="00E041EF" w:rsidRPr="00782E9E">
        <w:t xml:space="preserve">nepožadovalo </w:t>
      </w:r>
      <w:r w:rsidR="00CF3EEE">
        <w:t xml:space="preserve">MPSV </w:t>
      </w:r>
      <w:r w:rsidRPr="00782E9E">
        <w:t>doplnit a upřesnit</w:t>
      </w:r>
      <w:r>
        <w:t>.</w:t>
      </w:r>
    </w:p>
    <w:bookmarkEnd w:id="28"/>
    <w:p w14:paraId="777F6AB9" w14:textId="2795874F" w:rsidR="003459C7" w:rsidRPr="003D7280" w:rsidRDefault="003459C7" w:rsidP="003817D4">
      <w:pPr>
        <w:pStyle w:val="Nadpis2"/>
        <w:widowControl/>
        <w:spacing w:before="0" w:after="120" w:line="256" w:lineRule="auto"/>
      </w:pPr>
      <w:r>
        <w:t xml:space="preserve">MPSV v roli řídicího orgánu a zároveň realizátora projektu nevyhodnotilo přínos celého projektu SPOD2. V závěrečné zprávě se soustředilo pouze na hodnocení jedné ze tří klíčových aktivit. MPSV tak </w:t>
      </w:r>
      <w:r w:rsidRPr="00D32FA3">
        <w:t xml:space="preserve">nezískalo úplné </w:t>
      </w:r>
      <w:r>
        <w:t>i</w:t>
      </w:r>
      <w:r w:rsidRPr="00D32FA3">
        <w:t xml:space="preserve">nformace o hodnocení realizace </w:t>
      </w:r>
      <w:r>
        <w:t>celého</w:t>
      </w:r>
      <w:r w:rsidRPr="00D32FA3">
        <w:t xml:space="preserve"> projektu a o dopadu na systémové změny v</w:t>
      </w:r>
      <w:r>
        <w:t> </w:t>
      </w:r>
      <w:r w:rsidRPr="00D32FA3">
        <w:t xml:space="preserve">oblasti služeb péče o ohrožené děti. </w:t>
      </w:r>
      <w:r>
        <w:t xml:space="preserve">NKÚ vyhodnotil dokumenty </w:t>
      </w:r>
      <w:r w:rsidR="00E041EF">
        <w:t xml:space="preserve">vytvořené </w:t>
      </w:r>
      <w:r>
        <w:t xml:space="preserve">v projektu jako nadbytečné, neboť </w:t>
      </w:r>
      <w:r w:rsidRPr="003D7280">
        <w:t xml:space="preserve">neuváděly nové skutečnosti. </w:t>
      </w:r>
      <w:r w:rsidRPr="002376D4">
        <w:t xml:space="preserve">MPSV </w:t>
      </w:r>
      <w:r>
        <w:t>tak</w:t>
      </w:r>
      <w:r w:rsidRPr="003D7280">
        <w:t xml:space="preserve"> peněžní prostředky </w:t>
      </w:r>
      <w:r>
        <w:t xml:space="preserve">na </w:t>
      </w:r>
      <w:r w:rsidRPr="002376D4">
        <w:t>klíčovou aktivitu</w:t>
      </w:r>
      <w:r w:rsidR="00CF3EEE" w:rsidRPr="00CF3EEE">
        <w:t xml:space="preserve"> </w:t>
      </w:r>
      <w:r w:rsidR="00CF3EEE">
        <w:t>ve výši rozpočtu</w:t>
      </w:r>
      <w:r w:rsidRPr="002376D4">
        <w:t xml:space="preserve"> </w:t>
      </w:r>
      <w:r w:rsidRPr="005E4C99">
        <w:t>15</w:t>
      </w:r>
      <w:r w:rsidR="00CF3EEE">
        <w:t> </w:t>
      </w:r>
      <w:r w:rsidRPr="005E4C99">
        <w:t>685</w:t>
      </w:r>
      <w:r w:rsidR="00CF3EEE">
        <w:t> </w:t>
      </w:r>
      <w:r w:rsidRPr="005E4C99">
        <w:t>480</w:t>
      </w:r>
      <w:r>
        <w:t xml:space="preserve"> Kč</w:t>
      </w:r>
      <w:r w:rsidRPr="003D7280">
        <w:t xml:space="preserve"> </w:t>
      </w:r>
      <w:r>
        <w:t>vynaložilo se sníženou</w:t>
      </w:r>
      <w:r w:rsidRPr="003D7280">
        <w:t xml:space="preserve"> účeln</w:t>
      </w:r>
      <w:r>
        <w:t>ostí</w:t>
      </w:r>
      <w:r w:rsidRPr="003D7280">
        <w:t>.</w:t>
      </w:r>
    </w:p>
    <w:p w14:paraId="6E2E4154" w14:textId="606A352F" w:rsidR="003459C7" w:rsidRPr="00935B5F" w:rsidRDefault="003459C7" w:rsidP="003817D4">
      <w:pPr>
        <w:pStyle w:val="Nadpis2"/>
        <w:widowControl/>
        <w:spacing w:before="0" w:after="120" w:line="256" w:lineRule="auto"/>
      </w:pPr>
      <w:r w:rsidRPr="006023C8">
        <w:t>Na vytvoření vlastní sítě</w:t>
      </w:r>
      <w:r>
        <w:t xml:space="preserve"> </w:t>
      </w:r>
      <w:r w:rsidRPr="006023C8">
        <w:t>služeb moh</w:t>
      </w:r>
      <w:r w:rsidR="00550CE0">
        <w:t>ly</w:t>
      </w:r>
      <w:r>
        <w:t xml:space="preserve"> čerpat peněžní prostředky z fondů EU </w:t>
      </w:r>
      <w:r w:rsidR="001547ED">
        <w:t xml:space="preserve">také </w:t>
      </w:r>
      <w:r w:rsidRPr="002376D4">
        <w:t>ORP</w:t>
      </w:r>
      <w:r>
        <w:t xml:space="preserve"> </w:t>
      </w:r>
      <w:r w:rsidR="001547ED">
        <w:t>a</w:t>
      </w:r>
      <w:r w:rsidR="00C114C8">
        <w:t> </w:t>
      </w:r>
      <w:r>
        <w:t xml:space="preserve">další </w:t>
      </w:r>
      <w:r w:rsidRPr="006023C8">
        <w:t>organizac</w:t>
      </w:r>
      <w:r>
        <w:t>e. Při porovnání výstupů</w:t>
      </w:r>
      <w:r w:rsidR="001C057F">
        <w:t xml:space="preserve"> </w:t>
      </w:r>
      <w:r>
        <w:t>jednoho soutěžního projektu s</w:t>
      </w:r>
      <w:r w:rsidR="00BE4DDA">
        <w:t>e systémovým</w:t>
      </w:r>
      <w:r w:rsidR="001C057F">
        <w:t xml:space="preserve"> </w:t>
      </w:r>
      <w:r w:rsidRPr="00935B5F">
        <w:t>projektem MPSV zjistil NKÚ duplicity. Z</w:t>
      </w:r>
      <w:r>
        <w:t> </w:t>
      </w:r>
      <w:r w:rsidRPr="00935B5F">
        <w:t>toho</w:t>
      </w:r>
      <w:r w:rsidR="00E041EF">
        <w:t>to</w:t>
      </w:r>
      <w:r w:rsidRPr="00935B5F">
        <w:t xml:space="preserve"> důvodu upozorňuje </w:t>
      </w:r>
      <w:r w:rsidR="00E041EF" w:rsidRPr="00935B5F">
        <w:t xml:space="preserve">NKÚ </w:t>
      </w:r>
      <w:r w:rsidRPr="00935B5F">
        <w:t>na riziko nepotřebnosti těchto projektů</w:t>
      </w:r>
      <w:r>
        <w:t xml:space="preserve"> </w:t>
      </w:r>
      <w:r w:rsidRPr="00935B5F">
        <w:t>(viz odstavce 4.</w:t>
      </w:r>
      <w:r w:rsidR="00B0748E">
        <w:t>15</w:t>
      </w:r>
      <w:r w:rsidRPr="00935B5F">
        <w:t xml:space="preserve"> až 4.</w:t>
      </w:r>
      <w:r w:rsidR="00B0748E">
        <w:t>21</w:t>
      </w:r>
      <w:r w:rsidRPr="00935B5F">
        <w:t>)</w:t>
      </w:r>
      <w:r>
        <w:t>.</w:t>
      </w:r>
    </w:p>
    <w:p w14:paraId="7F8D12BF" w14:textId="0DA0C9DB" w:rsidR="003459C7" w:rsidRPr="00D46A22" w:rsidRDefault="003459C7" w:rsidP="003817D4">
      <w:pPr>
        <w:pStyle w:val="Nadpis2"/>
        <w:widowControl/>
        <w:spacing w:before="120" w:line="256" w:lineRule="auto"/>
      </w:pPr>
      <w:r w:rsidRPr="00935B5F">
        <w:t>Za posledních 16 let se MPSV</w:t>
      </w:r>
      <w:r>
        <w:t xml:space="preserve"> ve spolupráci s MŠMT a MZd</w:t>
      </w:r>
      <w:r w:rsidRPr="00935B5F">
        <w:t xml:space="preserve"> nepodařilo sjednotit systém pod jeden resort</w:t>
      </w:r>
      <w:r w:rsidRPr="005A5E60">
        <w:t xml:space="preserve"> </w:t>
      </w:r>
      <w:r w:rsidR="00FE6FFD">
        <w:t>ani</w:t>
      </w:r>
      <w:r w:rsidRPr="005A5E60">
        <w:t xml:space="preserve"> sjednotit přístupy, standardizovat procesy napříč celým systémem sociálně-právní ochrany dětí a </w:t>
      </w:r>
      <w:r>
        <w:t xml:space="preserve">zásadně </w:t>
      </w:r>
      <w:r w:rsidRPr="005A5E60">
        <w:t>snižovat počty dětí v</w:t>
      </w:r>
      <w:r w:rsidR="00FE6FFD">
        <w:t> </w:t>
      </w:r>
      <w:r w:rsidRPr="005A5E60">
        <w:t>celé soustavě ústavních zařízení, na</w:t>
      </w:r>
      <w:r w:rsidR="00C114C8">
        <w:t xml:space="preserve"> </w:t>
      </w:r>
      <w:r w:rsidRPr="005A5E60">
        <w:t xml:space="preserve">což upozorňuje i </w:t>
      </w:r>
      <w:r w:rsidRPr="001F42D9">
        <w:rPr>
          <w:iCs/>
        </w:rPr>
        <w:t>Výbor OSN pro práva dítěte</w:t>
      </w:r>
      <w:r w:rsidRPr="005A5E60">
        <w:t xml:space="preserve">. </w:t>
      </w:r>
      <w:r>
        <w:t>K</w:t>
      </w:r>
      <w:r w:rsidR="00FE6FFD">
        <w:t> naplnění cílů</w:t>
      </w:r>
      <w:r w:rsidR="00C114C8">
        <w:t xml:space="preserve"> </w:t>
      </w:r>
      <w:r>
        <w:t>transformac</w:t>
      </w:r>
      <w:r w:rsidR="0070335C">
        <w:t>e</w:t>
      </w:r>
      <w:r>
        <w:t xml:space="preserve"> </w:t>
      </w:r>
      <w:r w:rsidR="00FE6FFD">
        <w:t>nevedl</w:t>
      </w:r>
      <w:r w:rsidR="0070335C">
        <w:t>o</w:t>
      </w:r>
      <w:r w:rsidR="00FE6FFD">
        <w:t xml:space="preserve"> </w:t>
      </w:r>
      <w:r>
        <w:t xml:space="preserve">ani </w:t>
      </w:r>
      <w:r w:rsidR="00FE6FFD">
        <w:t xml:space="preserve">vynaložení </w:t>
      </w:r>
      <w:r>
        <w:t>peněžní</w:t>
      </w:r>
      <w:r w:rsidR="00FE6FFD">
        <w:t>ch</w:t>
      </w:r>
      <w:r>
        <w:t xml:space="preserve"> prostředk</w:t>
      </w:r>
      <w:r w:rsidR="00FE6FFD">
        <w:t>ů</w:t>
      </w:r>
      <w:r>
        <w:t xml:space="preserve"> z fondů EU. </w:t>
      </w:r>
      <w:r w:rsidRPr="005A5E60">
        <w:t>Na základě zjištění přínosu výsledků projektů v</w:t>
      </w:r>
      <w:r>
        <w:t> </w:t>
      </w:r>
      <w:r w:rsidRPr="005A5E60">
        <w:t xml:space="preserve">oblasti sociálně-právní ochrany </w:t>
      </w:r>
      <w:r w:rsidRPr="0033262D">
        <w:t>dětí, včetně vývoje počtu dětí v ústavních zařízení</w:t>
      </w:r>
      <w:r w:rsidR="00E041EF">
        <w:t>ch</w:t>
      </w:r>
      <w:r w:rsidRPr="0033262D">
        <w:t xml:space="preserve"> v období 2015–2023, NKÚ hodnotí účelnost peněžních prostředků ve výši 498 362 986 Kč z pohledu aktuálního stavu transformace systému SPOD jako významně sníženou.</w:t>
      </w:r>
      <w:r w:rsidRPr="005A5E60">
        <w:t xml:space="preserve"> </w:t>
      </w:r>
    </w:p>
    <w:p w14:paraId="781E76E3" w14:textId="6C6C834A" w:rsidR="003459C7" w:rsidRPr="005E5648" w:rsidRDefault="003459C7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bookmarkStart w:id="29" w:name="_Toc179807895"/>
      <w:bookmarkStart w:id="30" w:name="_Hlk172711501"/>
      <w:r w:rsidRPr="005E5648">
        <w:rPr>
          <w:color w:val="C00000"/>
          <w:sz w:val="24"/>
        </w:rPr>
        <w:t>V</w:t>
      </w:r>
      <w:r>
        <w:rPr>
          <w:color w:val="C00000"/>
          <w:sz w:val="24"/>
        </w:rPr>
        <w:t> </w:t>
      </w:r>
      <w:r w:rsidRPr="005E5648">
        <w:rPr>
          <w:color w:val="C00000"/>
          <w:sz w:val="24"/>
        </w:rPr>
        <w:t xml:space="preserve">desítkách projektů za </w:t>
      </w:r>
      <w:r>
        <w:rPr>
          <w:color w:val="C00000"/>
          <w:sz w:val="24"/>
        </w:rPr>
        <w:t xml:space="preserve">více než </w:t>
      </w:r>
      <w:r w:rsidRPr="005E5648">
        <w:rPr>
          <w:color w:val="C00000"/>
          <w:sz w:val="24"/>
        </w:rPr>
        <w:t>20</w:t>
      </w:r>
      <w:r>
        <w:rPr>
          <w:color w:val="C00000"/>
          <w:sz w:val="24"/>
        </w:rPr>
        <w:t>0</w:t>
      </w:r>
      <w:r w:rsidRPr="005E5648">
        <w:rPr>
          <w:color w:val="C00000"/>
          <w:sz w:val="24"/>
        </w:rPr>
        <w:t xml:space="preserve"> mil. Kč vytvářeli příjemci podobné metodiky, MPSV v</w:t>
      </w:r>
      <w:r>
        <w:rPr>
          <w:color w:val="C00000"/>
          <w:sz w:val="24"/>
        </w:rPr>
        <w:t> </w:t>
      </w:r>
      <w:r w:rsidRPr="005E5648">
        <w:rPr>
          <w:color w:val="C00000"/>
          <w:sz w:val="24"/>
        </w:rPr>
        <w:t>roli říd</w:t>
      </w:r>
      <w:r>
        <w:rPr>
          <w:color w:val="C00000"/>
          <w:sz w:val="24"/>
        </w:rPr>
        <w:t>i</w:t>
      </w:r>
      <w:r w:rsidRPr="005E5648">
        <w:rPr>
          <w:color w:val="C00000"/>
          <w:sz w:val="24"/>
        </w:rPr>
        <w:t xml:space="preserve">cího orgánu nehodnotilo </w:t>
      </w:r>
      <w:r w:rsidR="00E85474" w:rsidRPr="005E5648">
        <w:rPr>
          <w:color w:val="C00000"/>
          <w:sz w:val="24"/>
        </w:rPr>
        <w:t xml:space="preserve">důsledně </w:t>
      </w:r>
      <w:r w:rsidRPr="005E5648">
        <w:rPr>
          <w:color w:val="C00000"/>
          <w:sz w:val="24"/>
        </w:rPr>
        <w:t>jejich skutečnou potřebnost</w:t>
      </w:r>
      <w:bookmarkEnd w:id="29"/>
    </w:p>
    <w:p w14:paraId="43C3EAAF" w14:textId="17BD80D6" w:rsidR="003459C7" w:rsidRPr="005D06C2" w:rsidRDefault="00B5284D" w:rsidP="003817D4">
      <w:pPr>
        <w:pStyle w:val="Nadpis2"/>
        <w:widowControl/>
        <w:spacing w:before="0" w:after="120" w:line="256" w:lineRule="auto"/>
      </w:pPr>
      <w:r>
        <w:t>K transformaci systému péče o ohrožené děti a zkvalitnění péče poskytované různými subjekty v ČR o</w:t>
      </w:r>
      <w:r w:rsidR="003459C7">
        <w:t xml:space="preserve">d roku 2015 schválilo MPSV 71 projektů tzv. soutěžního charakteru, které se ucházely o podporu v sedmi otevřených výzvách OPZ. Jednalo se o projekty za celkem </w:t>
      </w:r>
      <w:r w:rsidR="003459C7" w:rsidRPr="00DA0EBE">
        <w:t>202</w:t>
      </w:r>
      <w:r w:rsidR="003459C7">
        <w:t> </w:t>
      </w:r>
      <w:r w:rsidR="003459C7" w:rsidRPr="00DA0EBE">
        <w:t>876</w:t>
      </w:r>
      <w:r w:rsidR="003459C7">
        <w:t> </w:t>
      </w:r>
      <w:r w:rsidR="003459C7" w:rsidRPr="00DA0EBE">
        <w:t>426</w:t>
      </w:r>
      <w:r w:rsidR="003459C7">
        <w:t> Kč</w:t>
      </w:r>
      <w:r>
        <w:t>.</w:t>
      </w:r>
    </w:p>
    <w:p w14:paraId="4E0F1E1B" w14:textId="437F1105" w:rsidR="003459C7" w:rsidRDefault="00A932DA" w:rsidP="003817D4">
      <w:pPr>
        <w:pStyle w:val="Nadpis2"/>
        <w:widowControl/>
        <w:spacing w:before="0" w:after="120" w:line="256" w:lineRule="auto"/>
      </w:pPr>
      <w:r>
        <w:t>Podle</w:t>
      </w:r>
      <w:r w:rsidR="00160908">
        <w:t xml:space="preserve"> zjištění NKÚ</w:t>
      </w:r>
      <w:r w:rsidR="003459C7">
        <w:t xml:space="preserve"> </w:t>
      </w:r>
      <w:r w:rsidR="00EE7E21" w:rsidRPr="005D06C2">
        <w:t>schvalovalo</w:t>
      </w:r>
      <w:r>
        <w:t xml:space="preserve"> MPSV</w:t>
      </w:r>
      <w:r w:rsidR="00EE7E21" w:rsidRPr="005D06C2">
        <w:t xml:space="preserve"> </w:t>
      </w:r>
      <w:r w:rsidR="00EE7E21">
        <w:t xml:space="preserve">v OPZ </w:t>
      </w:r>
      <w:r w:rsidR="00B14E2A" w:rsidRPr="005D06C2">
        <w:t xml:space="preserve">soutěžní </w:t>
      </w:r>
      <w:r w:rsidR="003459C7" w:rsidRPr="005D06C2">
        <w:t>projekt</w:t>
      </w:r>
      <w:r w:rsidR="003459C7">
        <w:t>y</w:t>
      </w:r>
      <w:r w:rsidR="003459C7" w:rsidRPr="005D06C2">
        <w:t>, v</w:t>
      </w:r>
      <w:r w:rsidR="003459C7">
        <w:t> </w:t>
      </w:r>
      <w:r w:rsidR="003459C7" w:rsidRPr="005D06C2">
        <w:t>nichž byly opakovaně vytvářeny obdobné a vzájemně přenositelné analytické a metodické produkty. Z</w:t>
      </w:r>
      <w:r w:rsidR="003459C7">
        <w:t> </w:t>
      </w:r>
      <w:r w:rsidR="003459C7" w:rsidRPr="005D06C2">
        <w:t xml:space="preserve">celkového počtu 71 projektů předložili </w:t>
      </w:r>
      <w:r w:rsidR="00A5783F">
        <w:t>příjemci</w:t>
      </w:r>
      <w:r w:rsidR="003459C7">
        <w:t xml:space="preserve"> </w:t>
      </w:r>
      <w:r w:rsidR="00A60AC5">
        <w:t xml:space="preserve">u 68 projektů </w:t>
      </w:r>
      <w:r w:rsidR="003459C7" w:rsidRPr="005D06C2">
        <w:t xml:space="preserve">jako výstup metodiku, </w:t>
      </w:r>
      <w:r w:rsidR="000A6EFA">
        <w:br/>
      </w:r>
      <w:r w:rsidR="003459C7" w:rsidRPr="005D06C2">
        <w:t>u</w:t>
      </w:r>
      <w:r w:rsidR="000A6EFA">
        <w:t xml:space="preserve"> </w:t>
      </w:r>
      <w:r w:rsidR="003459C7" w:rsidRPr="005D06C2">
        <w:t xml:space="preserve">28 projektů byly výstupem analýzy. </w:t>
      </w:r>
      <w:r w:rsidR="00C4294D">
        <w:t>Z</w:t>
      </w:r>
      <w:r w:rsidR="000A6EFA">
        <w:t xml:space="preserve"> </w:t>
      </w:r>
      <w:r w:rsidR="00342699" w:rsidRPr="00B14E2A">
        <w:t xml:space="preserve">výše uvedených metodik a analýz bylo </w:t>
      </w:r>
      <w:r w:rsidR="000A6EFA">
        <w:br/>
      </w:r>
      <w:r w:rsidR="00C4294D" w:rsidRPr="00B14E2A">
        <w:t>27</w:t>
      </w:r>
      <w:r w:rsidR="000A6EFA">
        <w:t xml:space="preserve"> </w:t>
      </w:r>
      <w:r w:rsidR="00342699" w:rsidRPr="00B14E2A">
        <w:t xml:space="preserve">zaměřeno na problematiku síťování služeb, přičemž u většiny z nich příjemce deklaruje přenositelnost z prostředí/místa, ve kterém byla vytvořena. </w:t>
      </w:r>
      <w:r w:rsidR="003459C7" w:rsidRPr="00B14E2A">
        <w:t>Ve</w:t>
      </w:r>
      <w:r w:rsidR="003459C7" w:rsidRPr="005D06C2">
        <w:t xml:space="preserve"> shodném období přitom samo MPSV v</w:t>
      </w:r>
      <w:r w:rsidR="000A6EFA">
        <w:t xml:space="preserve"> </w:t>
      </w:r>
      <w:r w:rsidR="003459C7" w:rsidRPr="005D06C2">
        <w:t xml:space="preserve">rámci </w:t>
      </w:r>
      <w:r w:rsidR="00B14E2A">
        <w:t xml:space="preserve">vlastního </w:t>
      </w:r>
      <w:r w:rsidR="003459C7" w:rsidRPr="005D06C2">
        <w:t>projektu SPOD1 vytvářelo obdobné a</w:t>
      </w:r>
      <w:r w:rsidR="00CD4428">
        <w:t> </w:t>
      </w:r>
      <w:r w:rsidR="003459C7" w:rsidRPr="005D06C2">
        <w:t>celorepublikově využitelné metodické materiály</w:t>
      </w:r>
      <w:r w:rsidR="00D07014">
        <w:t xml:space="preserve"> na síťování</w:t>
      </w:r>
      <w:r w:rsidR="003459C7" w:rsidRPr="005D06C2">
        <w:t>. NKÚ vyhodnotil</w:t>
      </w:r>
      <w:r w:rsidR="00160908">
        <w:t>, že</w:t>
      </w:r>
      <w:r w:rsidR="003459C7" w:rsidRPr="005D06C2">
        <w:t xml:space="preserve"> peněžní </w:t>
      </w:r>
      <w:r w:rsidR="00BF4806">
        <w:t xml:space="preserve">prostředky </w:t>
      </w:r>
      <w:r w:rsidR="003459C7" w:rsidRPr="005D06C2">
        <w:t xml:space="preserve">až </w:t>
      </w:r>
      <w:r w:rsidR="006B1F4E">
        <w:t>do</w:t>
      </w:r>
      <w:r w:rsidR="006B1F4E" w:rsidRPr="005D06C2">
        <w:t xml:space="preserve"> </w:t>
      </w:r>
      <w:r w:rsidR="003459C7" w:rsidRPr="005D06C2">
        <w:t>výš</w:t>
      </w:r>
      <w:r w:rsidR="006B1F4E">
        <w:t>e</w:t>
      </w:r>
      <w:r w:rsidR="003459C7" w:rsidRPr="005D06C2">
        <w:t xml:space="preserve"> </w:t>
      </w:r>
      <w:r w:rsidR="003459C7" w:rsidRPr="00DA0EBE">
        <w:t>202</w:t>
      </w:r>
      <w:r w:rsidR="007805D7">
        <w:t> </w:t>
      </w:r>
      <w:r w:rsidR="003459C7" w:rsidRPr="00DA0EBE">
        <w:t>876</w:t>
      </w:r>
      <w:r w:rsidR="007805D7">
        <w:t> </w:t>
      </w:r>
      <w:r w:rsidR="003459C7" w:rsidRPr="00DA0EBE">
        <w:t>426</w:t>
      </w:r>
      <w:r w:rsidR="003459C7" w:rsidRPr="005D06C2">
        <w:t xml:space="preserve"> Kč </w:t>
      </w:r>
      <w:r w:rsidR="00160908">
        <w:t xml:space="preserve">byly </w:t>
      </w:r>
      <w:r w:rsidR="00BF4806">
        <w:t xml:space="preserve">na tyto projekty </w:t>
      </w:r>
      <w:r w:rsidR="00160908">
        <w:t xml:space="preserve">vynaloženy </w:t>
      </w:r>
      <w:r w:rsidR="00B14E2A">
        <w:t>se sníženou účelností</w:t>
      </w:r>
      <w:r w:rsidR="003459C7" w:rsidRPr="005D06C2">
        <w:t>. Přínos těchto projektů pro dosažení cílů transformace systému péče o ohrožené děti byl omezený.</w:t>
      </w:r>
    </w:p>
    <w:p w14:paraId="46799A6B" w14:textId="0D4B1370" w:rsidR="003459C7" w:rsidRPr="00935B5F" w:rsidRDefault="003459C7" w:rsidP="003817D4">
      <w:pPr>
        <w:pStyle w:val="Nadpis2"/>
        <w:widowControl/>
        <w:spacing w:before="0" w:after="120" w:line="256" w:lineRule="auto"/>
      </w:pPr>
      <w:r w:rsidRPr="005D06C2">
        <w:t>Příkladem</w:t>
      </w:r>
      <w:r>
        <w:t xml:space="preserve"> </w:t>
      </w:r>
      <w:r w:rsidRPr="005D06C2">
        <w:t xml:space="preserve">nedostatečného </w:t>
      </w:r>
      <w:r>
        <w:t>posouzení a vy</w:t>
      </w:r>
      <w:r w:rsidRPr="005D06C2">
        <w:t xml:space="preserve">hodnocení </w:t>
      </w:r>
      <w:r>
        <w:t xml:space="preserve">žádosti o podporu projektu byl podle zjištění NKÚ projekt, který </w:t>
      </w:r>
      <w:r w:rsidR="000A6EFA">
        <w:t xml:space="preserve">byl financován z OPZ a </w:t>
      </w:r>
      <w:r>
        <w:t xml:space="preserve">týkal </w:t>
      </w:r>
      <w:r w:rsidR="000A6EFA">
        <w:t xml:space="preserve">se </w:t>
      </w:r>
      <w:r>
        <w:t>vytvoření místní sítě v</w:t>
      </w:r>
      <w:r w:rsidR="000A6EFA">
        <w:t> </w:t>
      </w:r>
      <w:r>
        <w:t>konkrétní ORP ve Středočeském kraji</w:t>
      </w:r>
      <w:r w:rsidR="000A6EFA">
        <w:t xml:space="preserve"> </w:t>
      </w:r>
      <w:r w:rsidR="000A6EFA" w:rsidRPr="00935B5F">
        <w:t>(dále také „</w:t>
      </w:r>
      <w:r w:rsidR="000A6EFA">
        <w:t>P</w:t>
      </w:r>
      <w:r w:rsidR="000A6EFA" w:rsidRPr="00935B5F">
        <w:t>rojekt síťování ORP“).</w:t>
      </w:r>
      <w:r w:rsidRPr="00935B5F">
        <w:rPr>
          <w:rStyle w:val="Znakapoznpodarou"/>
        </w:rPr>
        <w:footnoteReference w:id="25"/>
      </w:r>
      <w:r w:rsidRPr="00935B5F">
        <w:t xml:space="preserve"> Výstupem</w:t>
      </w:r>
      <w:r w:rsidR="00804042">
        <w:t xml:space="preserve"> projektu</w:t>
      </w:r>
      <w:r w:rsidRPr="00935B5F">
        <w:t xml:space="preserve"> byla </w:t>
      </w:r>
      <w:r w:rsidRPr="00935B5F">
        <w:rPr>
          <w:i/>
        </w:rPr>
        <w:t>Metodika síťování</w:t>
      </w:r>
      <w:r w:rsidRPr="00935B5F">
        <w:t>, která byla rovněž jediným indikátorem, jehož dosažením MPSV posuzovalo splnění cílů projektu.</w:t>
      </w:r>
      <w:r w:rsidR="005C65A0">
        <w:t xml:space="preserve"> </w:t>
      </w:r>
      <w:bookmarkStart w:id="31" w:name="_Hlk182473458"/>
      <w:r w:rsidR="005C65A0">
        <w:t>Podrobné kontrole byl tento projekt podroben s</w:t>
      </w:r>
      <w:r w:rsidR="00005F50">
        <w:t xml:space="preserve"> </w:t>
      </w:r>
      <w:r w:rsidR="005C65A0">
        <w:t>ohledem na skutečnost, že v</w:t>
      </w:r>
      <w:r w:rsidR="00005F50">
        <w:t xml:space="preserve"> </w:t>
      </w:r>
      <w:r w:rsidR="005C65A0">
        <w:t>téže lokalitě již MPSV podle zj</w:t>
      </w:r>
      <w:r w:rsidR="00713F49">
        <w:t>i</w:t>
      </w:r>
      <w:r w:rsidR="005C65A0">
        <w:t xml:space="preserve">štění NKÚ realizovalo obdobně zaměřený projekt. </w:t>
      </w:r>
    </w:p>
    <w:bookmarkEnd w:id="31"/>
    <w:p w14:paraId="4225CE31" w14:textId="52B2ED31" w:rsidR="003459C7" w:rsidRPr="001F42D9" w:rsidRDefault="003459C7" w:rsidP="003817D4">
      <w:pPr>
        <w:pStyle w:val="Nadpis2"/>
        <w:spacing w:before="0" w:after="120" w:line="256" w:lineRule="auto"/>
        <w:rPr>
          <w:iCs/>
        </w:rPr>
      </w:pPr>
      <w:r w:rsidRPr="00935B5F">
        <w:t xml:space="preserve">Žádost o podporu </w:t>
      </w:r>
      <w:r>
        <w:t>P</w:t>
      </w:r>
      <w:r w:rsidRPr="00935B5F">
        <w:t>rojekt</w:t>
      </w:r>
      <w:r w:rsidR="00B5284D">
        <w:t>u</w:t>
      </w:r>
      <w:r w:rsidRPr="00935B5F">
        <w:t xml:space="preserve"> síťování ORP přijalo MPSV dne 29. 7. 2016. Již v</w:t>
      </w:r>
      <w:r>
        <w:t> </w:t>
      </w:r>
      <w:r w:rsidRPr="00935B5F">
        <w:t>té době ale samo MPSV v</w:t>
      </w:r>
      <w:r>
        <w:t> </w:t>
      </w:r>
      <w:r w:rsidRPr="00935B5F">
        <w:t>téže lokalitě realizovalo obdobný projekt SPOD1, jehož cílem byla rovněž podpora OSPOD a dalších klíčových aktérů v</w:t>
      </w:r>
      <w:r>
        <w:t> </w:t>
      </w:r>
      <w:r w:rsidRPr="00935B5F">
        <w:t>oblasti síťování služeb pro ohrožené děti a</w:t>
      </w:r>
      <w:r w:rsidR="00CD4428">
        <w:t> </w:t>
      </w:r>
      <w:r w:rsidRPr="00935B5F">
        <w:t>rodiny. V</w:t>
      </w:r>
      <w:r>
        <w:t> </w:t>
      </w:r>
      <w:r w:rsidRPr="00935B5F">
        <w:t xml:space="preserve">tomto systémovém projektu MPSV vznikly mj. dokumenty </w:t>
      </w:r>
      <w:r w:rsidRPr="00935B5F">
        <w:rPr>
          <w:i/>
        </w:rPr>
        <w:t>Síťování služeb pro děti a jejich rodiny</w:t>
      </w:r>
      <w:r w:rsidR="000A6EFA">
        <w:rPr>
          <w:iCs/>
        </w:rPr>
        <w:t>,</w:t>
      </w:r>
      <w:r w:rsidRPr="00935B5F">
        <w:rPr>
          <w:i/>
        </w:rPr>
        <w:t xml:space="preserve"> Analýza místní sítě služeb</w:t>
      </w:r>
      <w:r w:rsidRPr="001A2BC7">
        <w:rPr>
          <w:i/>
        </w:rPr>
        <w:t xml:space="preserve"> a návrh její optimální podoby </w:t>
      </w:r>
      <w:r w:rsidRPr="001A2BC7">
        <w:t>a</w:t>
      </w:r>
      <w:r w:rsidRPr="001A2BC7">
        <w:rPr>
          <w:i/>
        </w:rPr>
        <w:t xml:space="preserve"> </w:t>
      </w:r>
      <w:r>
        <w:t xml:space="preserve">metodický materiál </w:t>
      </w:r>
      <w:r w:rsidRPr="001A2BC7">
        <w:rPr>
          <w:i/>
        </w:rPr>
        <w:t>Průvodce síťováním služeb pro děti a jejich rodiny.</w:t>
      </w:r>
    </w:p>
    <w:p w14:paraId="3F64070A" w14:textId="7F9F8F58" w:rsidR="003459C7" w:rsidRPr="001F42D9" w:rsidRDefault="003459C7" w:rsidP="003817D4">
      <w:pPr>
        <w:pStyle w:val="Nadpis2"/>
        <w:widowControl/>
        <w:spacing w:before="0" w:after="120" w:line="256" w:lineRule="auto"/>
        <w:rPr>
          <w:iCs/>
        </w:rPr>
      </w:pPr>
      <w:r w:rsidRPr="00072C20">
        <w:t>NKÚ porovnal výstupy a aktivity obou projektů</w:t>
      </w:r>
      <w:r>
        <w:t xml:space="preserve">, přičemž mj. zjistil, že byly v obdobném čase realizovány shodné aktivity. </w:t>
      </w:r>
      <w:r w:rsidRPr="00D14016">
        <w:rPr>
          <w:i/>
        </w:rPr>
        <w:t>Metodika síťování</w:t>
      </w:r>
      <w:r>
        <w:t xml:space="preserve"> vytvořená v Projektu </w:t>
      </w:r>
      <w:r w:rsidRPr="00CA1332">
        <w:t xml:space="preserve">síťování ORP </w:t>
      </w:r>
      <w:r>
        <w:t>přejímá v několika kapitolách obsah materiálů MPSV a autoři v ní dokonce odkazují na práci síťařky MPSV v projektu SPOD1.</w:t>
      </w:r>
      <w:r w:rsidRPr="00A26C46">
        <w:t xml:space="preserve"> </w:t>
      </w:r>
      <w:r w:rsidRPr="00FA1E4A">
        <w:t>MPSV v</w:t>
      </w:r>
      <w:r>
        <w:t> </w:t>
      </w:r>
      <w:r w:rsidRPr="00FA1E4A">
        <w:t>roli řídicího orgánu</w:t>
      </w:r>
      <w:r>
        <w:t xml:space="preserve"> </w:t>
      </w:r>
      <w:r w:rsidR="00831061">
        <w:t>tak</w:t>
      </w:r>
      <w:r>
        <w:t xml:space="preserve"> při schv</w:t>
      </w:r>
      <w:r w:rsidR="00072C20">
        <w:t>alování</w:t>
      </w:r>
      <w:r>
        <w:t xml:space="preserve"> Projektu </w:t>
      </w:r>
      <w:r w:rsidRPr="00CA1332">
        <w:t xml:space="preserve">síťování ORP </w:t>
      </w:r>
      <w:r>
        <w:t>nepostupovalo v souladu s </w:t>
      </w:r>
      <w:r w:rsidRPr="00C8718D">
        <w:rPr>
          <w:i/>
        </w:rPr>
        <w:t>Metodick</w:t>
      </w:r>
      <w:r>
        <w:rPr>
          <w:i/>
        </w:rPr>
        <w:t>ým</w:t>
      </w:r>
      <w:r w:rsidRPr="00C8718D">
        <w:rPr>
          <w:i/>
        </w:rPr>
        <w:t xml:space="preserve"> pokyn</w:t>
      </w:r>
      <w:r>
        <w:rPr>
          <w:i/>
        </w:rPr>
        <w:t>em</w:t>
      </w:r>
      <w:r w:rsidRPr="00C8718D">
        <w:rPr>
          <w:i/>
        </w:rPr>
        <w:t xml:space="preserve"> pro</w:t>
      </w:r>
      <w:r>
        <w:rPr>
          <w:i/>
        </w:rPr>
        <w:t xml:space="preserve"> </w:t>
      </w:r>
      <w:r w:rsidRPr="00C8718D">
        <w:rPr>
          <w:i/>
        </w:rPr>
        <w:t>řízení výzev, hodnocení a výběr projektů v</w:t>
      </w:r>
      <w:r>
        <w:rPr>
          <w:i/>
        </w:rPr>
        <w:t> </w:t>
      </w:r>
      <w:r w:rsidRPr="00C8718D">
        <w:rPr>
          <w:i/>
        </w:rPr>
        <w:t>programovém období 2014–2020</w:t>
      </w:r>
      <w:r w:rsidRPr="001F42D9">
        <w:rPr>
          <w:rStyle w:val="Znakapoznpodarou"/>
        </w:rPr>
        <w:footnoteReference w:id="26"/>
      </w:r>
      <w:r w:rsidRPr="001F42D9">
        <w:t>,</w:t>
      </w:r>
      <w:r>
        <w:rPr>
          <w:i/>
        </w:rPr>
        <w:t xml:space="preserve"> </w:t>
      </w:r>
      <w:r w:rsidRPr="000129ED">
        <w:t>který</w:t>
      </w:r>
      <w:r>
        <w:rPr>
          <w:i/>
        </w:rPr>
        <w:t xml:space="preserve"> </w:t>
      </w:r>
      <w:r w:rsidRPr="000129ED">
        <w:t>stanov</w:t>
      </w:r>
      <w:r>
        <w:t>í</w:t>
      </w:r>
      <w:r w:rsidRPr="000129ED">
        <w:t xml:space="preserve">, že </w:t>
      </w:r>
      <w:r w:rsidR="00825205">
        <w:t>je třeba zajistit</w:t>
      </w:r>
      <w:r w:rsidR="00627047">
        <w:t xml:space="preserve">, aby </w:t>
      </w:r>
      <w:r w:rsidRPr="000129ED">
        <w:t>projekty splň</w:t>
      </w:r>
      <w:r w:rsidR="00627047">
        <w:t>ovaly</w:t>
      </w:r>
      <w:r w:rsidRPr="000129ED">
        <w:t xml:space="preserve"> kromě </w:t>
      </w:r>
      <w:r w:rsidR="00627047">
        <w:t xml:space="preserve">aspektů </w:t>
      </w:r>
      <w:r w:rsidRPr="000129ED">
        <w:t>účelnosti, hospodárnosti a</w:t>
      </w:r>
      <w:r w:rsidR="00C114C8">
        <w:t> </w:t>
      </w:r>
      <w:r w:rsidRPr="000129ED">
        <w:t xml:space="preserve">efektivnosti rovněž </w:t>
      </w:r>
      <w:r w:rsidR="00627047">
        <w:t xml:space="preserve">aspekt </w:t>
      </w:r>
      <w:r w:rsidRPr="000129ED">
        <w:t>potřebnost</w:t>
      </w:r>
      <w:r w:rsidR="00627047">
        <w:t>i</w:t>
      </w:r>
      <w:r w:rsidRPr="000129ED">
        <w:t>.</w:t>
      </w:r>
      <w:r w:rsidRPr="00D14016">
        <w:rPr>
          <w:i/>
        </w:rPr>
        <w:t xml:space="preserve"> </w:t>
      </w:r>
      <w:r w:rsidR="00352D03">
        <w:t xml:space="preserve">Tento požadavek přitom vláda stanovila právě s ohledem na zjištěné nedostatky předchozích programových období. </w:t>
      </w:r>
      <w:r w:rsidR="00B07FE3">
        <w:t>MPS</w:t>
      </w:r>
      <w:r w:rsidR="00281430">
        <w:t>V</w:t>
      </w:r>
      <w:r w:rsidR="00B07FE3">
        <w:t xml:space="preserve"> Projekt síťování ORP schválilo a příjemci vyplatilo </w:t>
      </w:r>
      <w:r w:rsidR="00584ACF">
        <w:t xml:space="preserve">celkem </w:t>
      </w:r>
      <w:r w:rsidR="00B07FE3">
        <w:t>1 312 33</w:t>
      </w:r>
      <w:r w:rsidR="00B5582C">
        <w:t>7</w:t>
      </w:r>
      <w:r w:rsidR="00B07FE3">
        <w:t xml:space="preserve"> Kč.</w:t>
      </w:r>
    </w:p>
    <w:p w14:paraId="7B6EF148" w14:textId="2A4CAAFB" w:rsidR="003459C7" w:rsidRPr="0084452E" w:rsidRDefault="003459C7" w:rsidP="003817D4">
      <w:pPr>
        <w:pStyle w:val="Nadpis2"/>
        <w:widowControl/>
        <w:spacing w:before="0" w:after="120" w:line="256" w:lineRule="auto"/>
        <w:rPr>
          <w:b/>
        </w:rPr>
      </w:pPr>
      <w:r w:rsidRPr="00F83C24">
        <w:t>MPSV v</w:t>
      </w:r>
      <w:r>
        <w:t> </w:t>
      </w:r>
      <w:r w:rsidRPr="00F83C24">
        <w:t>roli řídicího orgánu zodpovídalo za řízení OPZ</w:t>
      </w:r>
      <w:r w:rsidR="00CD48A3">
        <w:t>. MPSV neoprávněně použilo peněžní prostředky státního rozpočtu tím, že uskutečnilo výd</w:t>
      </w:r>
      <w:r w:rsidR="00E163F4">
        <w:t>a</w:t>
      </w:r>
      <w:r w:rsidR="00CD48A3">
        <w:t xml:space="preserve">j, jehož provedením porušilo povinnost stanovenou </w:t>
      </w:r>
      <w:r w:rsidRPr="00F83C24">
        <w:t>nařízení</w:t>
      </w:r>
      <w:r w:rsidR="00CD48A3">
        <w:t>m</w:t>
      </w:r>
      <w:r w:rsidRPr="00F83C24">
        <w:t xml:space="preserve"> Evropského parlamentu a Rady (EU) č.</w:t>
      </w:r>
      <w:r w:rsidR="007E6493">
        <w:t> </w:t>
      </w:r>
      <w:r w:rsidRPr="00F83C24">
        <w:t xml:space="preserve">1303/2013 </w:t>
      </w:r>
      <w:r w:rsidR="00217F39">
        <w:t xml:space="preserve">(tzv. obecné nařízení) </w:t>
      </w:r>
      <w:r w:rsidRPr="00F83C24">
        <w:t>a nařízení</w:t>
      </w:r>
      <w:r w:rsidR="00CD48A3">
        <w:t>m</w:t>
      </w:r>
      <w:r w:rsidRPr="00F83C24">
        <w:t xml:space="preserve"> Evropského parlamentu a Rady (EU) č.</w:t>
      </w:r>
      <w:r w:rsidR="00072C20">
        <w:t> </w:t>
      </w:r>
      <w:r w:rsidRPr="00F83C24">
        <w:t>966/2012</w:t>
      </w:r>
      <w:r w:rsidR="00217F39">
        <w:t xml:space="preserve"> (tzv. finanční nařízení)</w:t>
      </w:r>
      <w:r w:rsidR="00CD48A3">
        <w:t>, když jako řídicí orgán OPZ a poskytovatel dotace porušilo zásadu</w:t>
      </w:r>
      <w:r w:rsidRPr="00F83C24">
        <w:t xml:space="preserve"> řádného finančního řízení, tedy zásad</w:t>
      </w:r>
      <w:r w:rsidR="00072C20">
        <w:t>u</w:t>
      </w:r>
      <w:r w:rsidRPr="00F83C24">
        <w:t xml:space="preserve"> hospodárnosti, účinnosti </w:t>
      </w:r>
      <w:r w:rsidR="00973C24">
        <w:t>(efektivnost</w:t>
      </w:r>
      <w:r w:rsidR="00E02EDB">
        <w:t>i</w:t>
      </w:r>
      <w:r w:rsidR="00973C24">
        <w:t xml:space="preserve">) </w:t>
      </w:r>
      <w:r w:rsidRPr="00F83C24">
        <w:t>a účelnosti</w:t>
      </w:r>
      <w:r w:rsidR="00CD48A3">
        <w:t>, a vydalo neúčelně a nehospodárně peněžní prostředky na nepotřebný Projekt síťování ORP</w:t>
      </w:r>
      <w:r w:rsidRPr="00F83C24">
        <w:t xml:space="preserve">. </w:t>
      </w:r>
      <w:r w:rsidR="006B1F4E">
        <w:t>J</w:t>
      </w:r>
      <w:r w:rsidR="006B1F4E" w:rsidRPr="00FA1E4A">
        <w:t>edná</w:t>
      </w:r>
      <w:r w:rsidR="006B1F4E">
        <w:t xml:space="preserve"> se o</w:t>
      </w:r>
      <w:r w:rsidR="00AB79C4">
        <w:t xml:space="preserve"> </w:t>
      </w:r>
      <w:r w:rsidR="006B1F4E">
        <w:t xml:space="preserve">skutečnost </w:t>
      </w:r>
      <w:r w:rsidR="006B1F4E" w:rsidRPr="00FA1E4A">
        <w:t xml:space="preserve">nasvědčující porušení rozpočtové kázně </w:t>
      </w:r>
      <w:r w:rsidR="006B1F4E" w:rsidRPr="00C35A79">
        <w:rPr>
          <w:rFonts w:cstheme="minorHAnsi"/>
          <w:shd w:val="clear" w:color="auto" w:fill="FFFFFF"/>
        </w:rPr>
        <w:t xml:space="preserve">podle § 44 odst. 1 písm. a) </w:t>
      </w:r>
      <w:hyperlink r:id="rId23" w:anchor="lema45" w:history="1">
        <w:r w:rsidRPr="00C35A79">
          <w:rPr>
            <w:rFonts w:cstheme="minorHAnsi"/>
          </w:rPr>
          <w:t>rozpočtových</w:t>
        </w:r>
      </w:hyperlink>
      <w:r w:rsidR="00C114C8">
        <w:rPr>
          <w:rFonts w:cstheme="minorHAnsi"/>
          <w:shd w:val="clear" w:color="auto" w:fill="FFFFFF"/>
        </w:rPr>
        <w:t xml:space="preserve"> </w:t>
      </w:r>
      <w:r w:rsidRPr="00C35A79">
        <w:rPr>
          <w:rFonts w:cstheme="minorHAnsi"/>
          <w:shd w:val="clear" w:color="auto" w:fill="FFFFFF"/>
        </w:rPr>
        <w:t>pravid</w:t>
      </w:r>
      <w:r w:rsidR="006B1F4E">
        <w:rPr>
          <w:rFonts w:cstheme="minorHAnsi"/>
          <w:shd w:val="clear" w:color="auto" w:fill="FFFFFF"/>
        </w:rPr>
        <w:t>el</w:t>
      </w:r>
      <w:r>
        <w:rPr>
          <w:rStyle w:val="Znakapoznpodarou"/>
          <w:rFonts w:cstheme="minorHAnsi"/>
          <w:shd w:val="clear" w:color="auto" w:fill="FFFFFF"/>
        </w:rPr>
        <w:footnoteReference w:id="27"/>
      </w:r>
      <w:r w:rsidR="00B6748A">
        <w:rPr>
          <w:rFonts w:cstheme="minorHAnsi"/>
          <w:shd w:val="clear" w:color="auto" w:fill="FFFFFF"/>
        </w:rPr>
        <w:t>.</w:t>
      </w:r>
    </w:p>
    <w:p w14:paraId="53AA93ED" w14:textId="7E901882" w:rsidR="00AD394A" w:rsidRPr="00AD394A" w:rsidRDefault="003459C7" w:rsidP="00CD550D">
      <w:pPr>
        <w:pStyle w:val="Nadpis2"/>
        <w:widowControl/>
        <w:spacing w:before="0" w:line="256" w:lineRule="auto"/>
      </w:pPr>
      <w:r w:rsidRPr="003441E9">
        <w:t xml:space="preserve">Kontrolou bylo zjištěno, že v případě </w:t>
      </w:r>
      <w:r w:rsidR="00072C20">
        <w:t>soutěžních</w:t>
      </w:r>
      <w:r w:rsidRPr="003441E9">
        <w:t xml:space="preserve"> projektů kladl řídicí orgán </w:t>
      </w:r>
      <w:r w:rsidR="00804042">
        <w:t xml:space="preserve">(MPSV) </w:t>
      </w:r>
      <w:r w:rsidRPr="003441E9">
        <w:t>často důraz na formální stránku monitorování projektu, tedy např. na splněný počet napsaných zpráv, a opomíjel věcný dopad vynaložených peněžních prostředků</w:t>
      </w:r>
      <w:r w:rsidR="00EB5FFA" w:rsidRPr="003441E9">
        <w:t xml:space="preserve">. </w:t>
      </w:r>
      <w:r w:rsidR="00005F50">
        <w:br/>
      </w:r>
      <w:r w:rsidR="00505E12" w:rsidRPr="003441E9">
        <w:t>Např. u</w:t>
      </w:r>
      <w:r w:rsidR="00005F50">
        <w:t xml:space="preserve"> </w:t>
      </w:r>
      <w:r w:rsidRPr="003441E9">
        <w:t>Projektu síťování ORP</w:t>
      </w:r>
      <w:r w:rsidR="00853368" w:rsidRPr="003441E9">
        <w:t xml:space="preserve"> vyhodnotil NKÚ vytvořenou </w:t>
      </w:r>
      <w:r w:rsidR="00853368" w:rsidRPr="001F42D9">
        <w:rPr>
          <w:i/>
          <w:iCs/>
        </w:rPr>
        <w:t>Metodiku síťování</w:t>
      </w:r>
      <w:r w:rsidR="00853368" w:rsidRPr="003441E9">
        <w:t xml:space="preserve"> jako nepotřebnou, neboť obdobn</w:t>
      </w:r>
      <w:r w:rsidR="00505E12" w:rsidRPr="003441E9">
        <w:t>á</w:t>
      </w:r>
      <w:r w:rsidR="000B1361" w:rsidRPr="003441E9">
        <w:t xml:space="preserve"> a</w:t>
      </w:r>
      <w:r w:rsidR="00853368" w:rsidRPr="003441E9">
        <w:t xml:space="preserve"> rozsáhlejší metodik</w:t>
      </w:r>
      <w:r w:rsidR="000B1361" w:rsidRPr="003441E9">
        <w:t>a již byla dostupná.</w:t>
      </w:r>
      <w:r w:rsidRPr="003441E9">
        <w:t xml:space="preserve"> </w:t>
      </w:r>
      <w:r w:rsidR="00853368" w:rsidRPr="003441E9">
        <w:t xml:space="preserve">MPSV však </w:t>
      </w:r>
      <w:r w:rsidR="00505E12" w:rsidRPr="003441E9">
        <w:t>měl</w:t>
      </w:r>
      <w:r w:rsidR="0079305F">
        <w:t>o</w:t>
      </w:r>
      <w:r w:rsidR="00505E12" w:rsidRPr="003441E9">
        <w:t xml:space="preserve"> </w:t>
      </w:r>
      <w:r w:rsidR="00853368" w:rsidRPr="003441E9">
        <w:t xml:space="preserve">k vytvořené </w:t>
      </w:r>
      <w:r w:rsidR="00853368" w:rsidRPr="001F42D9">
        <w:rPr>
          <w:i/>
          <w:iCs/>
        </w:rPr>
        <w:t>Metodice síťování</w:t>
      </w:r>
      <w:r w:rsidR="00853368" w:rsidRPr="003441E9">
        <w:t xml:space="preserve"> jen jednu výtku spočívajíc</w:t>
      </w:r>
      <w:r w:rsidR="000B1361" w:rsidRPr="003441E9">
        <w:t>í</w:t>
      </w:r>
      <w:r w:rsidR="00853368" w:rsidRPr="003441E9">
        <w:t xml:space="preserve"> v</w:t>
      </w:r>
      <w:r w:rsidR="00CD550D">
        <w:t xml:space="preserve"> </w:t>
      </w:r>
      <w:r w:rsidR="00853368" w:rsidRPr="003441E9">
        <w:t xml:space="preserve">nutnosti úpravy loga EU </w:t>
      </w:r>
      <w:r w:rsidR="00505E12" w:rsidRPr="003441E9">
        <w:t>(</w:t>
      </w:r>
      <w:r w:rsidR="00853368" w:rsidRPr="003441E9">
        <w:t>viz</w:t>
      </w:r>
      <w:r w:rsidR="00CD550D">
        <w:t> </w:t>
      </w:r>
      <w:proofErr w:type="spellStart"/>
      <w:r w:rsidR="00853368" w:rsidRPr="003441E9">
        <w:t>infobox</w:t>
      </w:r>
      <w:proofErr w:type="spellEnd"/>
      <w:r w:rsidR="00853368" w:rsidRPr="003441E9">
        <w:t xml:space="preserve"> </w:t>
      </w:r>
      <w:r w:rsidR="00CD550D">
        <w:t>n</w:t>
      </w:r>
      <w:r w:rsidR="002F2DDC">
        <w:t>íže</w:t>
      </w:r>
      <w:r w:rsidR="00853368" w:rsidRPr="003441E9">
        <w:t xml:space="preserve">). </w:t>
      </w:r>
      <w:r w:rsidRPr="003441E9">
        <w:t xml:space="preserve">Výše uvedené skutečnosti svědčí o selhání MPSV v oblasti schvalování soutěžních projektů financovaných prostřednictvím OPZ ze státního </w:t>
      </w:r>
      <w:r w:rsidR="00563CEC" w:rsidRPr="00804042">
        <w:rPr>
          <w:noProof/>
          <w:highlight w:val="yellow"/>
        </w:rPr>
        <mc:AlternateContent>
          <mc:Choice Requires="wps">
            <w:drawing>
              <wp:anchor distT="91440" distB="91440" distL="365760" distR="365760" simplePos="0" relativeHeight="251658241" behindDoc="0" locked="0" layoutInCell="1" allowOverlap="1" wp14:anchorId="07EB3ACF" wp14:editId="459ED10A">
                <wp:simplePos x="0" y="0"/>
                <wp:positionH relativeFrom="margin">
                  <wp:posOffset>225679</wp:posOffset>
                </wp:positionH>
                <wp:positionV relativeFrom="paragraph">
                  <wp:posOffset>709599</wp:posOffset>
                </wp:positionV>
                <wp:extent cx="5393690" cy="3153410"/>
                <wp:effectExtent l="0" t="0" r="0" b="0"/>
                <wp:wrapTopAndBottom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90" cy="3153410"/>
                        </a:xfrm>
                        <a:prstGeom prst="rect">
                          <a:avLst/>
                        </a:prstGeom>
                        <a:ln cmpd="dbl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6189B" w14:textId="6E0EBCFE" w:rsidR="007B5389" w:rsidRPr="00281430" w:rsidRDefault="007B5389" w:rsidP="0000084D">
                            <w:pPr>
                              <w:pStyle w:val="Zpat"/>
                              <w:pBdr>
                                <w:top w:val="single" w:sz="4" w:space="10" w:color="C00000"/>
                                <w:bottom w:val="single" w:sz="4" w:space="10" w:color="C00000"/>
                              </w:pBdr>
                              <w:spacing w:after="120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Jediná výhrada MPSV k vytvořené </w:t>
                            </w:r>
                            <w:r w:rsidRPr="001F42D9">
                              <w:rPr>
                                <w:i/>
                                <w:iCs/>
                                <w:color w:val="FF0000"/>
                                <w:sz w:val="22"/>
                              </w:rPr>
                              <w:t>Metodice síťování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281430">
                              <w:rPr>
                                <w:color w:val="FF0000"/>
                                <w:sz w:val="22"/>
                              </w:rPr>
                              <w:t xml:space="preserve">adresovaná příjemci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 xml:space="preserve">v rámci výzvy </w:t>
                            </w:r>
                            <w:r w:rsidRPr="00281430">
                              <w:rPr>
                                <w:color w:val="FF0000"/>
                                <w:sz w:val="22"/>
                              </w:rPr>
                              <w:t>k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 </w:t>
                            </w:r>
                            <w:r w:rsidRPr="00281430">
                              <w:rPr>
                                <w:color w:val="FF0000"/>
                                <w:sz w:val="22"/>
                              </w:rPr>
                              <w:t xml:space="preserve">odstranění nedostatků ve zprávě o realizaci Projektu síťování ORP: </w:t>
                            </w:r>
                          </w:p>
                          <w:p w14:paraId="7A3AD031" w14:textId="1A2ECE19" w:rsidR="007B5389" w:rsidRPr="001F42D9" w:rsidRDefault="007B5389" w:rsidP="0000084D">
                            <w:pPr>
                              <w:pStyle w:val="Zpat"/>
                              <w:pBdr>
                                <w:top w:val="single" w:sz="4" w:space="10" w:color="C00000"/>
                                <w:bottom w:val="single" w:sz="4" w:space="10" w:color="C00000"/>
                              </w:pBdr>
                              <w:spacing w:after="120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1F42D9">
                              <w:rPr>
                                <w:b/>
                                <w:iCs/>
                                <w:sz w:val="22"/>
                              </w:rPr>
                              <w:t>„</w:t>
                            </w:r>
                            <w:r w:rsidRPr="00281430">
                              <w:rPr>
                                <w:b/>
                                <w:i/>
                                <w:sz w:val="22"/>
                              </w:rPr>
                              <w:t>Doložený produkt „metodika síťování“, který je také dostupný na stránkách www.sluzbyrodinam.cz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Pr="00281430">
                              <w:rPr>
                                <w:b/>
                                <w:i/>
                                <w:sz w:val="22"/>
                              </w:rPr>
                              <w:t xml:space="preserve"> nesplňuje pravidla publicity. Dle pravidel OPZ musí být logo EU vždy na prvním místě v horizontálním i vertikálním řazení. Prosím opravte.</w:t>
                            </w:r>
                            <w:r w:rsidRPr="001F42D9">
                              <w:rPr>
                                <w:b/>
                                <w:iCs/>
                                <w:sz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B3ACF" id="Obdélník 10" o:spid="_x0000_s1026" style="position:absolute;left:0;text-align:left;margin-left:17.75pt;margin-top:55.85pt;width:424.7pt;height:248.3pt;z-index:251658241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" fillcolor="white [3201]" stroked="f" strokeweight="1pt">
                <v:stroke linestyle="thinThin"/>
                <v:textbox style="mso-fit-shape-to-text:t" inset="10.8pt,0,10.8pt,0">
                  <w:txbxContent>
                    <w:p w14:paraId="5596189B" w14:textId="6E0EBCFE" w:rsidR="007B5389" w:rsidRPr="00281430" w:rsidRDefault="007B5389" w:rsidP="0000084D">
                      <w:pPr>
                        <w:pStyle w:val="Zpat"/>
                        <w:pBdr>
                          <w:top w:val="single" w:sz="4" w:space="10" w:color="C00000"/>
                          <w:bottom w:val="single" w:sz="4" w:space="10" w:color="C00000"/>
                        </w:pBdr>
                        <w:spacing w:after="120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 xml:space="preserve">Jediná výhrada MPSV k vytvořené </w:t>
                      </w:r>
                      <w:r w:rsidRPr="001F42D9">
                        <w:rPr>
                          <w:i/>
                          <w:iCs/>
                          <w:color w:val="FF0000"/>
                          <w:sz w:val="22"/>
                        </w:rPr>
                        <w:t>Metodice síťování</w:t>
                      </w:r>
                      <w:r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Pr="00281430">
                        <w:rPr>
                          <w:color w:val="FF0000"/>
                          <w:sz w:val="22"/>
                        </w:rPr>
                        <w:t xml:space="preserve">adresovaná příjemci </w:t>
                      </w:r>
                      <w:r>
                        <w:rPr>
                          <w:color w:val="FF0000"/>
                          <w:sz w:val="22"/>
                        </w:rPr>
                        <w:t xml:space="preserve">v rámci výzvy </w:t>
                      </w:r>
                      <w:r w:rsidRPr="00281430">
                        <w:rPr>
                          <w:color w:val="FF0000"/>
                          <w:sz w:val="22"/>
                        </w:rPr>
                        <w:t>k</w:t>
                      </w:r>
                      <w:r>
                        <w:rPr>
                          <w:color w:val="FF0000"/>
                          <w:sz w:val="22"/>
                        </w:rPr>
                        <w:t> </w:t>
                      </w:r>
                      <w:r w:rsidRPr="00281430">
                        <w:rPr>
                          <w:color w:val="FF0000"/>
                          <w:sz w:val="22"/>
                        </w:rPr>
                        <w:t xml:space="preserve">odstranění nedostatků ve zprávě o realizaci Projektu síťování ORP: </w:t>
                      </w:r>
                    </w:p>
                    <w:p w14:paraId="7A3AD031" w14:textId="1A2ECE19" w:rsidR="007B5389" w:rsidRPr="001F42D9" w:rsidRDefault="007B5389" w:rsidP="0000084D">
                      <w:pPr>
                        <w:pStyle w:val="Zpat"/>
                        <w:pBdr>
                          <w:top w:val="single" w:sz="4" w:space="10" w:color="C00000"/>
                          <w:bottom w:val="single" w:sz="4" w:space="10" w:color="C00000"/>
                        </w:pBdr>
                        <w:spacing w:after="120"/>
                        <w:rPr>
                          <w:b/>
                          <w:iCs/>
                          <w:sz w:val="22"/>
                        </w:rPr>
                      </w:pPr>
                      <w:r w:rsidRPr="001F42D9">
                        <w:rPr>
                          <w:b/>
                          <w:iCs/>
                          <w:sz w:val="22"/>
                        </w:rPr>
                        <w:t>„</w:t>
                      </w:r>
                      <w:r w:rsidRPr="00281430">
                        <w:rPr>
                          <w:b/>
                          <w:i/>
                          <w:sz w:val="22"/>
                        </w:rPr>
                        <w:t>Doložený produkt „metodika síťování“, který je také dostupný na stránkách www.sluzbyrodinam.cz</w:t>
                      </w:r>
                      <w:r>
                        <w:rPr>
                          <w:b/>
                          <w:i/>
                          <w:sz w:val="22"/>
                        </w:rPr>
                        <w:t>,</w:t>
                      </w:r>
                      <w:r w:rsidRPr="00281430">
                        <w:rPr>
                          <w:b/>
                          <w:i/>
                          <w:sz w:val="22"/>
                        </w:rPr>
                        <w:t xml:space="preserve"> nesplňuje pravidla publicity. Dle pravidel OPZ musí být logo EU vždy na prvním místě v horizontálním i vertikálním řazení. Prosím opravte.</w:t>
                      </w:r>
                      <w:r w:rsidRPr="001F42D9">
                        <w:rPr>
                          <w:b/>
                          <w:iCs/>
                          <w:sz w:val="22"/>
                        </w:rPr>
                        <w:t>“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3441E9">
        <w:t>rozpočtu</w:t>
      </w:r>
      <w:r w:rsidRPr="00FA1E4A">
        <w:t xml:space="preserve"> a</w:t>
      </w:r>
      <w:r w:rsidR="00C114C8">
        <w:t> </w:t>
      </w:r>
      <w:r w:rsidRPr="00FA1E4A">
        <w:t>z</w:t>
      </w:r>
      <w:r>
        <w:t> </w:t>
      </w:r>
      <w:r w:rsidRPr="00FA1E4A">
        <w:t xml:space="preserve">prostředků </w:t>
      </w:r>
      <w:r w:rsidRPr="001F42D9">
        <w:rPr>
          <w:i/>
          <w:iCs/>
        </w:rPr>
        <w:t>E</w:t>
      </w:r>
      <w:r w:rsidR="0063015E" w:rsidRPr="001F42D9">
        <w:rPr>
          <w:i/>
          <w:iCs/>
        </w:rPr>
        <w:t>vropského sociálního fondu</w:t>
      </w:r>
      <w:r w:rsidRPr="00FA1E4A">
        <w:t xml:space="preserve">. </w:t>
      </w:r>
    </w:p>
    <w:p w14:paraId="64AB4593" w14:textId="6677BF13" w:rsidR="002D400D" w:rsidRPr="003916DA" w:rsidRDefault="002D400D" w:rsidP="00AF3A3F">
      <w:pPr>
        <w:spacing w:after="0"/>
        <w:rPr>
          <w:lang w:eastAsia="cs-CZ"/>
        </w:rPr>
      </w:pPr>
    </w:p>
    <w:bookmarkEnd w:id="30"/>
    <w:p w14:paraId="56C0B71A" w14:textId="64AB1565" w:rsidR="0003501D" w:rsidRPr="00666BD7" w:rsidRDefault="00072C20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240" w:line="256" w:lineRule="auto"/>
        <w:jc w:val="both"/>
        <w:rPr>
          <w:color w:val="C00000"/>
          <w:sz w:val="24"/>
        </w:rPr>
      </w:pPr>
      <w:r>
        <w:rPr>
          <w:color w:val="C00000"/>
          <w:sz w:val="24"/>
        </w:rPr>
        <w:t>O</w:t>
      </w:r>
      <w:r w:rsidR="0003501D" w:rsidRPr="00666BD7">
        <w:rPr>
          <w:color w:val="C00000"/>
          <w:sz w:val="24"/>
        </w:rPr>
        <w:t>hrožené děti se</w:t>
      </w:r>
      <w:r w:rsidR="00E970CB" w:rsidRPr="00666BD7">
        <w:rPr>
          <w:color w:val="C00000"/>
          <w:sz w:val="24"/>
        </w:rPr>
        <w:t xml:space="preserve"> </w:t>
      </w:r>
      <w:r w:rsidR="0003501D" w:rsidRPr="00666BD7">
        <w:rPr>
          <w:color w:val="C00000"/>
          <w:sz w:val="24"/>
        </w:rPr>
        <w:t>daří pře</w:t>
      </w:r>
      <w:r>
        <w:rPr>
          <w:color w:val="C00000"/>
          <w:sz w:val="24"/>
        </w:rPr>
        <w:t>mísťovat</w:t>
      </w:r>
      <w:r w:rsidR="0003501D" w:rsidRPr="00666BD7">
        <w:rPr>
          <w:color w:val="C00000"/>
          <w:sz w:val="24"/>
        </w:rPr>
        <w:t xml:space="preserve"> z</w:t>
      </w:r>
      <w:r w:rsidR="00412CB4">
        <w:rPr>
          <w:color w:val="C00000"/>
          <w:sz w:val="24"/>
        </w:rPr>
        <w:t> </w:t>
      </w:r>
      <w:r w:rsidR="0003501D" w:rsidRPr="00666BD7">
        <w:rPr>
          <w:color w:val="C00000"/>
          <w:sz w:val="24"/>
        </w:rPr>
        <w:t>ústavní do pěstounské péče</w:t>
      </w:r>
      <w:bookmarkEnd w:id="27"/>
      <w:r w:rsidR="00406B25" w:rsidRPr="00406B25">
        <w:rPr>
          <w:color w:val="C00000"/>
          <w:sz w:val="24"/>
        </w:rPr>
        <w:t xml:space="preserve"> </w:t>
      </w:r>
      <w:r w:rsidR="00406B25">
        <w:rPr>
          <w:color w:val="C00000"/>
          <w:sz w:val="24"/>
        </w:rPr>
        <w:t xml:space="preserve">jen </w:t>
      </w:r>
      <w:r w:rsidR="00406B25" w:rsidRPr="00666BD7">
        <w:rPr>
          <w:color w:val="C00000"/>
          <w:sz w:val="24"/>
        </w:rPr>
        <w:t>po</w:t>
      </w:r>
      <w:r w:rsidR="00406B25">
        <w:rPr>
          <w:color w:val="C00000"/>
          <w:sz w:val="24"/>
        </w:rPr>
        <w:t>zvolna</w:t>
      </w:r>
    </w:p>
    <w:p w14:paraId="3890DDDA" w14:textId="22E5578F" w:rsidR="0010778C" w:rsidRPr="008C035E" w:rsidRDefault="000D5772" w:rsidP="00CD550D">
      <w:pPr>
        <w:pStyle w:val="Nadpis2"/>
        <w:widowControl/>
        <w:spacing w:before="0" w:after="120" w:line="256" w:lineRule="auto"/>
      </w:pPr>
      <w:r w:rsidRPr="00EC074D">
        <w:t>ČR</w:t>
      </w:r>
      <w:r w:rsidR="00C90DAB" w:rsidRPr="00EC074D">
        <w:t xml:space="preserve"> se prostřednictvím</w:t>
      </w:r>
      <w:r w:rsidR="008C035E" w:rsidRPr="00EC074D">
        <w:t xml:space="preserve"> </w:t>
      </w:r>
      <w:r w:rsidR="00C90DAB" w:rsidRPr="00EC074D">
        <w:t xml:space="preserve">Úmluvy zavázala snižovat </w:t>
      </w:r>
      <w:r w:rsidR="00F32436" w:rsidRPr="00EC074D">
        <w:t>počet dětí v</w:t>
      </w:r>
      <w:r w:rsidR="00412CB4" w:rsidRPr="00EC074D">
        <w:t> </w:t>
      </w:r>
      <w:r w:rsidR="00F32436" w:rsidRPr="00EC074D">
        <w:t>ústavní výchově</w:t>
      </w:r>
      <w:r w:rsidR="00EC074D" w:rsidRPr="00546C8C">
        <w:t xml:space="preserve">. </w:t>
      </w:r>
      <w:r w:rsidR="00406B25">
        <w:t xml:space="preserve">Počet dětí v ústavní </w:t>
      </w:r>
      <w:r w:rsidR="00406B25" w:rsidRPr="000A4062">
        <w:t>péči klesl z</w:t>
      </w:r>
      <w:r w:rsidR="00005F50">
        <w:t xml:space="preserve"> </w:t>
      </w:r>
      <w:r w:rsidR="00406B25" w:rsidRPr="000A4062">
        <w:t>8</w:t>
      </w:r>
      <w:r w:rsidR="00005F50">
        <w:t xml:space="preserve"> </w:t>
      </w:r>
      <w:r w:rsidR="00406B25" w:rsidRPr="000A4062">
        <w:t>434 v</w:t>
      </w:r>
      <w:r w:rsidR="00005F50">
        <w:t xml:space="preserve"> </w:t>
      </w:r>
      <w:r w:rsidR="00406B25" w:rsidRPr="000A4062">
        <w:t xml:space="preserve">roce 2015 </w:t>
      </w:r>
      <w:r w:rsidR="000A4062" w:rsidRPr="000A4062">
        <w:t>n</w:t>
      </w:r>
      <w:r w:rsidR="00406B25" w:rsidRPr="000A4062">
        <w:t>a 7</w:t>
      </w:r>
      <w:r w:rsidR="00005F50">
        <w:t xml:space="preserve"> </w:t>
      </w:r>
      <w:r w:rsidR="00406B25" w:rsidRPr="000A4062">
        <w:t>341</w:t>
      </w:r>
      <w:r w:rsidR="000A4062" w:rsidRPr="000A4062">
        <w:t xml:space="preserve"> v</w:t>
      </w:r>
      <w:r w:rsidR="00005F50">
        <w:t xml:space="preserve"> </w:t>
      </w:r>
      <w:r w:rsidR="000A4062" w:rsidRPr="000A4062">
        <w:t>roce 2023.</w:t>
      </w:r>
      <w:r w:rsidR="00406B25">
        <w:t xml:space="preserve"> </w:t>
      </w:r>
      <w:r w:rsidR="005944C7" w:rsidRPr="008C035E">
        <w:t>Celkový p</w:t>
      </w:r>
      <w:r w:rsidR="00CD0B46" w:rsidRPr="008C035E">
        <w:t xml:space="preserve">očet </w:t>
      </w:r>
      <w:r w:rsidR="005D715B" w:rsidRPr="008C035E">
        <w:t>dětí</w:t>
      </w:r>
      <w:r w:rsidR="008C035E" w:rsidRPr="008C035E">
        <w:t xml:space="preserve"> </w:t>
      </w:r>
      <w:r w:rsidR="005541D2" w:rsidRPr="008C035E">
        <w:t>v</w:t>
      </w:r>
      <w:r w:rsidR="00412CB4" w:rsidRPr="008C035E">
        <w:t> </w:t>
      </w:r>
      <w:r w:rsidR="005541D2" w:rsidRPr="008C035E">
        <w:t>pěstounské péči</w:t>
      </w:r>
      <w:r w:rsidR="00CD0B46" w:rsidRPr="008C035E">
        <w:t xml:space="preserve"> </w:t>
      </w:r>
      <w:r w:rsidR="005D715B" w:rsidRPr="008C035E">
        <w:t>od roku 2015 roste</w:t>
      </w:r>
      <w:r w:rsidR="005944C7" w:rsidRPr="008C035E">
        <w:t>. V</w:t>
      </w:r>
      <w:r w:rsidR="00412CB4" w:rsidRPr="008C035E">
        <w:t> </w:t>
      </w:r>
      <w:r w:rsidR="005944C7" w:rsidRPr="008C035E">
        <w:t>roce 2015 bylo v</w:t>
      </w:r>
      <w:r w:rsidR="00412CB4" w:rsidRPr="008C035E">
        <w:t> </w:t>
      </w:r>
      <w:r w:rsidR="005944C7" w:rsidRPr="008C035E">
        <w:t>pěstounské péči 10</w:t>
      </w:r>
      <w:r w:rsidR="00E55B9E" w:rsidRPr="008C035E">
        <w:t> </w:t>
      </w:r>
      <w:r w:rsidR="005944C7" w:rsidRPr="008C035E">
        <w:t>923</w:t>
      </w:r>
      <w:r w:rsidR="00E55B9E" w:rsidRPr="008C035E">
        <w:t xml:space="preserve"> dětí</w:t>
      </w:r>
      <w:r w:rsidR="005944C7" w:rsidRPr="008C035E">
        <w:t xml:space="preserve"> a</w:t>
      </w:r>
      <w:r w:rsidR="00C114C8">
        <w:t> </w:t>
      </w:r>
      <w:r w:rsidR="005944C7" w:rsidRPr="008C035E">
        <w:t xml:space="preserve">tento počet </w:t>
      </w:r>
      <w:r w:rsidR="00072C20">
        <w:t xml:space="preserve">se </w:t>
      </w:r>
      <w:r w:rsidR="005944C7" w:rsidRPr="008C035E">
        <w:t xml:space="preserve">do roku 2023 </w:t>
      </w:r>
      <w:r w:rsidR="00072C20">
        <w:t>zvýšil</w:t>
      </w:r>
      <w:r w:rsidR="005944C7" w:rsidRPr="008C035E">
        <w:t xml:space="preserve"> na 12 973 dětí.</w:t>
      </w:r>
      <w:r w:rsidR="00406B25">
        <w:t xml:space="preserve"> </w:t>
      </w:r>
      <w:r w:rsidR="00A11754" w:rsidRPr="008C035E">
        <w:t xml:space="preserve">Pozvolna </w:t>
      </w:r>
      <w:r w:rsidR="00406B25">
        <w:t xml:space="preserve">tak </w:t>
      </w:r>
      <w:r w:rsidR="00A11754" w:rsidRPr="008C035E">
        <w:t xml:space="preserve">roste </w:t>
      </w:r>
      <w:r w:rsidR="000A4062">
        <w:t xml:space="preserve">i </w:t>
      </w:r>
      <w:r w:rsidR="00A11754" w:rsidRPr="008C035E">
        <w:t>podíl dětí umístěných v</w:t>
      </w:r>
      <w:r w:rsidR="00192F26">
        <w:t xml:space="preserve"> </w:t>
      </w:r>
      <w:r w:rsidR="00A11754" w:rsidRPr="008C035E">
        <w:t>pěstounské péči oproti ústavní péč</w:t>
      </w:r>
      <w:r w:rsidR="00406B25">
        <w:t>i</w:t>
      </w:r>
      <w:r w:rsidR="00A11754" w:rsidRPr="008C035E">
        <w:t xml:space="preserve">. </w:t>
      </w:r>
      <w:r w:rsidR="002C6421">
        <w:t>Přesun těžiště z</w:t>
      </w:r>
      <w:r w:rsidR="00192F26">
        <w:t xml:space="preserve"> </w:t>
      </w:r>
      <w:r w:rsidR="002C6421">
        <w:t xml:space="preserve">ústavní do pěstounské péče </w:t>
      </w:r>
      <w:r w:rsidR="00072C20">
        <w:t xml:space="preserve">však </w:t>
      </w:r>
      <w:r w:rsidR="002C6421">
        <w:t xml:space="preserve">hodnotí NKÚ vzhledem k vynaloženým peněžním prostředkům na projekty týkající se transformace </w:t>
      </w:r>
      <w:r w:rsidR="00072C20">
        <w:t>jako</w:t>
      </w:r>
      <w:r w:rsidR="002C6421">
        <w:t xml:space="preserve"> nedostatečn</w:t>
      </w:r>
      <w:r w:rsidR="00A914D5">
        <w:t>ý</w:t>
      </w:r>
      <w:r w:rsidR="002C6421">
        <w:t xml:space="preserve">. </w:t>
      </w:r>
      <w:r w:rsidR="00F15B0A" w:rsidRPr="008C035E">
        <w:t>(</w:t>
      </w:r>
      <w:r w:rsidR="00A11754" w:rsidRPr="008C035E">
        <w:t>Viz</w:t>
      </w:r>
      <w:r w:rsidR="00E55B9E" w:rsidRPr="008C035E">
        <w:t xml:space="preserve"> </w:t>
      </w:r>
      <w:r w:rsidR="00072C20">
        <w:t>g</w:t>
      </w:r>
      <w:r w:rsidR="00D03205">
        <w:t xml:space="preserve">raf na str. 2 a </w:t>
      </w:r>
      <w:r w:rsidR="00072C20">
        <w:t>p</w:t>
      </w:r>
      <w:r w:rsidR="00C66FB4" w:rsidRPr="008C035E">
        <w:t>říloh</w:t>
      </w:r>
      <w:r w:rsidR="00B47741" w:rsidRPr="008C035E">
        <w:t>a</w:t>
      </w:r>
      <w:r w:rsidR="00C66FB4" w:rsidRPr="008C035E">
        <w:t xml:space="preserve"> č. 1</w:t>
      </w:r>
      <w:r w:rsidR="00072C20">
        <w:t>.</w:t>
      </w:r>
      <w:r w:rsidR="00AE0617" w:rsidRPr="008C035E">
        <w:t>)</w:t>
      </w:r>
    </w:p>
    <w:p w14:paraId="4F4E33D5" w14:textId="3D7C45C5" w:rsidR="00BE7061" w:rsidRDefault="00746239" w:rsidP="00CD550D">
      <w:pPr>
        <w:pStyle w:val="Nadpis2"/>
        <w:widowControl/>
        <w:spacing w:before="0" w:line="256" w:lineRule="auto"/>
      </w:pPr>
      <w:r w:rsidRPr="005E3C08">
        <w:t>Podle zákona o SPOD se</w:t>
      </w:r>
      <w:r w:rsidR="008C035E">
        <w:t xml:space="preserve"> </w:t>
      </w:r>
      <w:r w:rsidRPr="005E3C08">
        <w:t xml:space="preserve">pěstounská péče dělí na pěstounskou péči na přechodnou dobu, </w:t>
      </w:r>
      <w:r w:rsidR="00072C20">
        <w:t>do</w:t>
      </w:r>
      <w:r w:rsidRPr="005E3C08">
        <w:t xml:space="preserve"> které se </w:t>
      </w:r>
      <w:r w:rsidR="00072C20" w:rsidRPr="005E3C08">
        <w:t xml:space="preserve">dítě </w:t>
      </w:r>
      <w:r w:rsidRPr="005E3C08">
        <w:t>umísťuje na dobu max. jednoho roku, a pěstounskou péči</w:t>
      </w:r>
      <w:r w:rsidR="00A914D5">
        <w:t>, ve které</w:t>
      </w:r>
      <w:r w:rsidRPr="005E3C08">
        <w:t xml:space="preserve"> může pobývat až do své zletilosti (tzn. dlouhodobá péče). </w:t>
      </w:r>
      <w:r w:rsidR="005541D2" w:rsidRPr="005E3C08">
        <w:t>V</w:t>
      </w:r>
      <w:r w:rsidR="00412CB4">
        <w:t> </w:t>
      </w:r>
      <w:r w:rsidR="005541D2" w:rsidRPr="005E3C08">
        <w:t>letech</w:t>
      </w:r>
      <w:r w:rsidR="00BE7061" w:rsidRPr="005E3C08">
        <w:t xml:space="preserve"> 2015</w:t>
      </w:r>
      <w:r w:rsidR="00072C20">
        <w:rPr>
          <w:rFonts w:cstheme="minorHAnsi"/>
        </w:rPr>
        <w:t>–</w:t>
      </w:r>
      <w:r w:rsidR="005541D2" w:rsidRPr="005E3C08">
        <w:t>2023 rostl</w:t>
      </w:r>
      <w:r w:rsidR="00D15054" w:rsidRPr="005E3C08">
        <w:t xml:space="preserve"> </w:t>
      </w:r>
      <w:r w:rsidR="00577FCC" w:rsidRPr="005E3C08">
        <w:t xml:space="preserve">počet </w:t>
      </w:r>
      <w:r w:rsidR="004E3E4B" w:rsidRPr="005E3C08">
        <w:t>osob vykonávající</w:t>
      </w:r>
      <w:r w:rsidR="00072C20">
        <w:t>ch</w:t>
      </w:r>
      <w:r w:rsidR="004E3E4B" w:rsidRPr="005E3C08">
        <w:t xml:space="preserve"> pěstounskou péči</w:t>
      </w:r>
      <w:r w:rsidR="00072C20">
        <w:t> </w:t>
      </w:r>
      <w:r w:rsidR="004E3E4B" w:rsidRPr="005E3C08">
        <w:t>/</w:t>
      </w:r>
      <w:r w:rsidR="00072C20">
        <w:t> </w:t>
      </w:r>
      <w:r w:rsidR="00577FCC" w:rsidRPr="005E3C08">
        <w:t>pěstounskou péč</w:t>
      </w:r>
      <w:r w:rsidR="00577FCC">
        <w:t>i na přechodnou dobu</w:t>
      </w:r>
      <w:r w:rsidR="00BE7061">
        <w:t>:</w:t>
      </w:r>
    </w:p>
    <w:p w14:paraId="062751B1" w14:textId="139BFE1E" w:rsidR="000172BD" w:rsidRDefault="00BE7061" w:rsidP="00AF3A3F">
      <w:pPr>
        <w:pStyle w:val="Odstavecseseznamem"/>
        <w:numPr>
          <w:ilvl w:val="0"/>
          <w:numId w:val="29"/>
        </w:numPr>
        <w:spacing w:line="256" w:lineRule="auto"/>
      </w:pPr>
      <w:r>
        <w:t>počet</w:t>
      </w:r>
      <w:r w:rsidRPr="00BE7061">
        <w:t xml:space="preserve"> </w:t>
      </w:r>
      <w:r w:rsidRPr="005F09C1">
        <w:t>osob vykonávající</w:t>
      </w:r>
      <w:r w:rsidR="00072C20">
        <w:t>ch</w:t>
      </w:r>
      <w:r w:rsidRPr="005F09C1">
        <w:t xml:space="preserve"> pěstounskou péči</w:t>
      </w:r>
      <w:r>
        <w:t xml:space="preserve"> se </w:t>
      </w:r>
      <w:r w:rsidR="00E55B9E">
        <w:t xml:space="preserve">od roku 2015 </w:t>
      </w:r>
      <w:r>
        <w:t xml:space="preserve">zvýšil </w:t>
      </w:r>
      <w:r w:rsidR="000172BD">
        <w:t xml:space="preserve">o 14 % </w:t>
      </w:r>
      <w:r w:rsidR="004E3E4B">
        <w:t>na 11 891 v</w:t>
      </w:r>
      <w:r w:rsidR="00412CB4">
        <w:t> </w:t>
      </w:r>
      <w:r w:rsidR="004E3E4B">
        <w:t xml:space="preserve">roce </w:t>
      </w:r>
      <w:r w:rsidR="004E3E4B" w:rsidRPr="005F09C1">
        <w:t>2023</w:t>
      </w:r>
      <w:r w:rsidR="00913CEB">
        <w:t>;</w:t>
      </w:r>
    </w:p>
    <w:p w14:paraId="2D75A894" w14:textId="638D750D" w:rsidR="000172BD" w:rsidRDefault="000172BD" w:rsidP="00CD550D">
      <w:pPr>
        <w:pStyle w:val="Odstavecseseznamem"/>
        <w:numPr>
          <w:ilvl w:val="0"/>
          <w:numId w:val="29"/>
        </w:numPr>
        <w:spacing w:after="120" w:line="256" w:lineRule="auto"/>
        <w:ind w:left="924" w:hanging="357"/>
      </w:pPr>
      <w:r>
        <w:t xml:space="preserve">počet </w:t>
      </w:r>
      <w:r w:rsidR="00BA7AE9">
        <w:t>osob vykonávající</w:t>
      </w:r>
      <w:r w:rsidR="00072C20">
        <w:t>ch</w:t>
      </w:r>
      <w:r w:rsidR="00BA7AE9">
        <w:t xml:space="preserve"> pěstounskou péči na</w:t>
      </w:r>
      <w:r>
        <w:t xml:space="preserve"> přechodnou dobu </w:t>
      </w:r>
      <w:r w:rsidR="00E55B9E">
        <w:t xml:space="preserve">se od roku 2015 </w:t>
      </w:r>
      <w:r>
        <w:t>zvýšil o</w:t>
      </w:r>
      <w:r w:rsidR="0027403F">
        <w:t xml:space="preserve"> </w:t>
      </w:r>
      <w:r>
        <w:t xml:space="preserve">33 % </w:t>
      </w:r>
      <w:r w:rsidR="00BE7061">
        <w:t xml:space="preserve">na 869 </w:t>
      </w:r>
      <w:r>
        <w:t>v</w:t>
      </w:r>
      <w:r w:rsidR="00412CB4">
        <w:t> </w:t>
      </w:r>
      <w:r>
        <w:t>roce 2023</w:t>
      </w:r>
      <w:r w:rsidR="00BE7061">
        <w:t>.</w:t>
      </w:r>
    </w:p>
    <w:p w14:paraId="0B685780" w14:textId="1A13115C" w:rsidR="00507E00" w:rsidRDefault="002C6421" w:rsidP="00CD550D">
      <w:pPr>
        <w:pStyle w:val="Nadpis2"/>
        <w:widowControl/>
        <w:spacing w:before="0" w:after="120" w:line="256" w:lineRule="auto"/>
      </w:pPr>
      <w:bookmarkStart w:id="32" w:name="_Hlk178933917"/>
      <w:bookmarkStart w:id="33" w:name="_Hlk178924398"/>
      <w:r>
        <w:t xml:space="preserve">Za hodnocené období 9 let </w:t>
      </w:r>
      <w:r w:rsidR="00C5735A">
        <w:t xml:space="preserve">významně </w:t>
      </w:r>
      <w:r>
        <w:t>klesl</w:t>
      </w:r>
      <w:r w:rsidR="00CC1153">
        <w:t>y</w:t>
      </w:r>
      <w:r>
        <w:t xml:space="preserve"> </w:t>
      </w:r>
      <w:r w:rsidR="00C5735A">
        <w:t xml:space="preserve">pouze počet a kapacita zařízení krizového charakteru – ZDVOP, a to </w:t>
      </w:r>
      <w:bookmarkEnd w:id="32"/>
      <w:bookmarkEnd w:id="33"/>
      <w:r w:rsidR="00507E00" w:rsidRPr="00E46C26">
        <w:t xml:space="preserve">oproti roku 2015 </w:t>
      </w:r>
      <w:r w:rsidR="00C5735A">
        <w:t xml:space="preserve">cca </w:t>
      </w:r>
      <w:r w:rsidR="00507E00" w:rsidRPr="00E46C26">
        <w:t>na polovinu (ze 75 na 44 zařízení)</w:t>
      </w:r>
      <w:r w:rsidR="00507E00">
        <w:t xml:space="preserve">. Počet </w:t>
      </w:r>
      <w:r w:rsidR="00851868">
        <w:t>dětských domovů pro děti</w:t>
      </w:r>
      <w:r w:rsidR="00507E00" w:rsidRPr="00FD30ED">
        <w:t xml:space="preserve"> do 3 let </w:t>
      </w:r>
      <w:r w:rsidR="00983E6A">
        <w:t xml:space="preserve">věku </w:t>
      </w:r>
      <w:r w:rsidR="00507E00" w:rsidRPr="00FD30ED">
        <w:t>zřizovaných</w:t>
      </w:r>
      <w:r w:rsidR="00507E00">
        <w:t xml:space="preserve"> </w:t>
      </w:r>
      <w:r w:rsidR="00507E00" w:rsidRPr="00FD30ED">
        <w:t>obce</w:t>
      </w:r>
      <w:r w:rsidR="00507E00">
        <w:t>mi a k</w:t>
      </w:r>
      <w:r w:rsidR="00507E00" w:rsidRPr="00FD30ED">
        <w:t>raj</w:t>
      </w:r>
      <w:r w:rsidR="00507E00">
        <w:t>i,</w:t>
      </w:r>
      <w:r w:rsidR="00507E00" w:rsidRPr="00FD30ED">
        <w:t xml:space="preserve"> případně další</w:t>
      </w:r>
      <w:r w:rsidR="00507E00">
        <w:t>mi</w:t>
      </w:r>
      <w:r w:rsidR="00507E00" w:rsidRPr="00FD30ED">
        <w:t xml:space="preserve"> právnick</w:t>
      </w:r>
      <w:r w:rsidR="00507E00">
        <w:t>ými osobami se snížil z</w:t>
      </w:r>
      <w:r w:rsidR="00412CB4">
        <w:t> </w:t>
      </w:r>
      <w:r w:rsidR="00507E00">
        <w:t>původních 31 z</w:t>
      </w:r>
      <w:r w:rsidR="00692401">
        <w:t>a</w:t>
      </w:r>
      <w:r w:rsidR="00507E00">
        <w:t>řízení v</w:t>
      </w:r>
      <w:r w:rsidR="00412CB4">
        <w:t> </w:t>
      </w:r>
      <w:r w:rsidR="00507E00">
        <w:t>roce 2015 na 26 v</w:t>
      </w:r>
      <w:r w:rsidR="00412CB4">
        <w:t> </w:t>
      </w:r>
      <w:r w:rsidR="00507E00">
        <w:t xml:space="preserve">roce 2023. </w:t>
      </w:r>
      <w:r w:rsidR="00507E00" w:rsidRPr="00AC52B2">
        <w:t xml:space="preserve">Aktuálně provozovaná školská ústavní zařízení jsou </w:t>
      </w:r>
      <w:r w:rsidR="00507E00">
        <w:t>z</w:t>
      </w:r>
      <w:r w:rsidR="00507E00" w:rsidRPr="00AC52B2">
        <w:t>řízen</w:t>
      </w:r>
      <w:r w:rsidR="00B71E95">
        <w:t>a</w:t>
      </w:r>
      <w:r w:rsidR="00507E00" w:rsidRPr="00AC52B2">
        <w:t xml:space="preserve"> MŠMT, kraji, soukromými osobami a církv</w:t>
      </w:r>
      <w:r w:rsidR="00DE17B1">
        <w:t>emi</w:t>
      </w:r>
      <w:r w:rsidR="00507E00" w:rsidRPr="00AC52B2">
        <w:t xml:space="preserve">, přičemž MŠMT provozuje 28 </w:t>
      </w:r>
      <w:r w:rsidR="004F5963">
        <w:t>dětských domovů se školou</w:t>
      </w:r>
      <w:r w:rsidR="00507E00" w:rsidRPr="00AC52B2">
        <w:t>, 12</w:t>
      </w:r>
      <w:r w:rsidR="00C114C8">
        <w:t> </w:t>
      </w:r>
      <w:r w:rsidR="00E25794">
        <w:t>diagnostických ústavů</w:t>
      </w:r>
      <w:r w:rsidR="00507E00" w:rsidRPr="00AC52B2">
        <w:t>, 25</w:t>
      </w:r>
      <w:r w:rsidR="00F26ABF">
        <w:t> </w:t>
      </w:r>
      <w:r w:rsidR="00E25794">
        <w:t>výchovných ústavů</w:t>
      </w:r>
      <w:r w:rsidR="00507E00" w:rsidRPr="00AC52B2">
        <w:t xml:space="preserve"> a jed</w:t>
      </w:r>
      <w:r w:rsidR="00CC1153">
        <w:t>en</w:t>
      </w:r>
      <w:r w:rsidR="00507E00">
        <w:t xml:space="preserve"> </w:t>
      </w:r>
      <w:r w:rsidR="00507E00" w:rsidRPr="00AC52B2">
        <w:t>dětský domov</w:t>
      </w:r>
      <w:r w:rsidR="00A914D5">
        <w:t>. K</w:t>
      </w:r>
      <w:r w:rsidR="00507E00" w:rsidRPr="00AC52B2">
        <w:t xml:space="preserve">raje </w:t>
      </w:r>
      <w:r w:rsidR="00507E00">
        <w:t xml:space="preserve">pak jsou zřizovateli současných </w:t>
      </w:r>
      <w:r w:rsidR="00507E00" w:rsidRPr="00AC52B2">
        <w:t xml:space="preserve">127 </w:t>
      </w:r>
      <w:r w:rsidR="00507E00">
        <w:t>dětských domovů</w:t>
      </w:r>
      <w:r w:rsidR="00507E00" w:rsidRPr="00AC52B2">
        <w:t xml:space="preserve">, soukromé subjekty </w:t>
      </w:r>
      <w:r w:rsidR="00E25794">
        <w:t xml:space="preserve">aktuálně </w:t>
      </w:r>
      <w:r w:rsidR="00507E00" w:rsidRPr="00AC52B2">
        <w:t>provozují 6</w:t>
      </w:r>
      <w:r w:rsidR="00C114C8">
        <w:t> </w:t>
      </w:r>
      <w:r w:rsidR="00507E00">
        <w:t>dětských domovů</w:t>
      </w:r>
      <w:r w:rsidR="00507E00" w:rsidRPr="00AC52B2">
        <w:t xml:space="preserve"> a círk</w:t>
      </w:r>
      <w:r w:rsidR="00DE17B1">
        <w:t>v</w:t>
      </w:r>
      <w:r w:rsidR="00507E00" w:rsidRPr="00AC52B2">
        <w:t xml:space="preserve">e </w:t>
      </w:r>
      <w:r w:rsidR="00CC1153">
        <w:t>tři dětské domovy</w:t>
      </w:r>
      <w:r w:rsidR="00507E00" w:rsidRPr="00AC52B2">
        <w:t xml:space="preserve">. Počet </w:t>
      </w:r>
      <w:r w:rsidR="00507E00">
        <w:t xml:space="preserve">školských </w:t>
      </w:r>
      <w:r w:rsidR="00507E00" w:rsidRPr="00AC52B2">
        <w:t xml:space="preserve">ústavních zařízení </w:t>
      </w:r>
      <w:r w:rsidR="00CC1153">
        <w:t xml:space="preserve">se </w:t>
      </w:r>
      <w:r w:rsidR="00507E00" w:rsidRPr="00AC52B2">
        <w:t>v</w:t>
      </w:r>
      <w:r w:rsidR="00412CB4">
        <w:t> </w:t>
      </w:r>
      <w:r w:rsidR="00507E00" w:rsidRPr="00AC52B2">
        <w:t>kontrolovaném období snížil o 10 napříč všemi zřizovateli, nicméně počet dětí se v</w:t>
      </w:r>
      <w:r w:rsidR="00412CB4">
        <w:t> </w:t>
      </w:r>
      <w:r w:rsidR="00507E00" w:rsidRPr="00AC52B2">
        <w:t xml:space="preserve">těchto </w:t>
      </w:r>
      <w:r w:rsidR="00E25794">
        <w:t xml:space="preserve">školských ústavních </w:t>
      </w:r>
      <w:r w:rsidR="00507E00" w:rsidRPr="00AC52B2">
        <w:t>zařízení</w:t>
      </w:r>
      <w:r w:rsidR="003161BD">
        <w:t>ch</w:t>
      </w:r>
      <w:r w:rsidR="00507E00" w:rsidRPr="00AC52B2">
        <w:t xml:space="preserve"> </w:t>
      </w:r>
      <w:r w:rsidR="00CC1153">
        <w:t>za</w:t>
      </w:r>
      <w:r w:rsidR="00507E00" w:rsidRPr="00AC52B2">
        <w:t xml:space="preserve"> </w:t>
      </w:r>
      <w:r w:rsidR="00507E00">
        <w:t>sledovanou</w:t>
      </w:r>
      <w:r w:rsidR="00507E00" w:rsidRPr="00AC52B2">
        <w:t xml:space="preserve"> dobu výrazně nezměnil.</w:t>
      </w:r>
      <w:r w:rsidR="007323AE">
        <w:t xml:space="preserve"> </w:t>
      </w:r>
    </w:p>
    <w:p w14:paraId="5AE5E641" w14:textId="77777777" w:rsidR="00CD550D" w:rsidRDefault="00CD550D">
      <w:pPr>
        <w:jc w:val="left"/>
        <w:rPr>
          <w:rFonts w:eastAsiaTheme="majorEastAsia" w:cstheme="majorBidi"/>
          <w:szCs w:val="26"/>
          <w:lang w:eastAsia="cs-CZ"/>
        </w:rPr>
      </w:pPr>
      <w:r>
        <w:br w:type="page"/>
      </w:r>
    </w:p>
    <w:p w14:paraId="53756352" w14:textId="11EC9D97" w:rsidR="00466786" w:rsidRDefault="00CC1153" w:rsidP="00CD550D">
      <w:pPr>
        <w:pStyle w:val="Nadpis2"/>
        <w:widowControl/>
        <w:spacing w:before="0" w:line="256" w:lineRule="auto"/>
      </w:pPr>
      <w:r>
        <w:t xml:space="preserve">Podle </w:t>
      </w:r>
      <w:r w:rsidRPr="001822D4">
        <w:t>novel</w:t>
      </w:r>
      <w:r>
        <w:t>y</w:t>
      </w:r>
      <w:r w:rsidRPr="001822D4">
        <w:t xml:space="preserve"> zákona o</w:t>
      </w:r>
      <w:r>
        <w:t> </w:t>
      </w:r>
      <w:r w:rsidRPr="001822D4">
        <w:t>SPOD</w:t>
      </w:r>
      <w:r>
        <w:t xml:space="preserve"> nebude možné o</w:t>
      </w:r>
      <w:r w:rsidR="00466786" w:rsidRPr="001822D4">
        <w:t>d 1. 1. 2025 umísťov</w:t>
      </w:r>
      <w:r w:rsidR="00466786">
        <w:t>at</w:t>
      </w:r>
      <w:r w:rsidR="00466786" w:rsidRPr="001822D4">
        <w:t xml:space="preserve"> dět</w:t>
      </w:r>
      <w:r w:rsidR="00466786">
        <w:t>i</w:t>
      </w:r>
      <w:r w:rsidR="00466786" w:rsidRPr="001822D4">
        <w:t xml:space="preserve"> do 3 let </w:t>
      </w:r>
      <w:r>
        <w:t xml:space="preserve">věku </w:t>
      </w:r>
      <w:r w:rsidR="00466786" w:rsidRPr="001822D4">
        <w:t>do ústavních zařízení</w:t>
      </w:r>
      <w:r w:rsidR="00876863">
        <w:t>.</w:t>
      </w:r>
      <w:r w:rsidR="000F69DB">
        <w:rPr>
          <w:rStyle w:val="Znakapoznpodarou"/>
        </w:rPr>
        <w:footnoteReference w:id="28"/>
      </w:r>
      <w:r w:rsidR="00E7024E">
        <w:t xml:space="preserve"> </w:t>
      </w:r>
      <w:r w:rsidR="000F69DB">
        <w:t xml:space="preserve">MPSV tak splnilo cíl </w:t>
      </w:r>
      <w:r w:rsidR="000F69DB" w:rsidRPr="0052090A">
        <w:t>ukotve</w:t>
      </w:r>
      <w:r w:rsidR="000F69DB">
        <w:t>ní</w:t>
      </w:r>
      <w:r w:rsidR="000F69DB" w:rsidRPr="0052090A">
        <w:t xml:space="preserve"> věkov</w:t>
      </w:r>
      <w:r w:rsidR="000F69DB">
        <w:t>é</w:t>
      </w:r>
      <w:r w:rsidR="000F69DB" w:rsidRPr="0052090A">
        <w:t xml:space="preserve"> hranice, pod níž nelze umísťovat děti do ústavní péče</w:t>
      </w:r>
      <w:r w:rsidR="000F69DB">
        <w:t>, který vyplýval z</w:t>
      </w:r>
      <w:r w:rsidR="00A003EE">
        <w:t xml:space="preserve"> Akčního plánu </w:t>
      </w:r>
      <w:r w:rsidR="00466786" w:rsidRPr="005E0FC8">
        <w:t>2012–201</w:t>
      </w:r>
      <w:r w:rsidR="00563CEC">
        <w:t>5</w:t>
      </w:r>
      <w:r w:rsidR="000F69DB">
        <w:t xml:space="preserve">, </w:t>
      </w:r>
      <w:r w:rsidR="00E600EE">
        <w:t xml:space="preserve">ale až </w:t>
      </w:r>
      <w:r w:rsidR="000F69DB">
        <w:t>o</w:t>
      </w:r>
      <w:r>
        <w:t> </w:t>
      </w:r>
      <w:r w:rsidR="000F69DB">
        <w:t>1</w:t>
      </w:r>
      <w:r w:rsidR="008A627D">
        <w:t>0</w:t>
      </w:r>
      <w:r>
        <w:t> </w:t>
      </w:r>
      <w:r w:rsidR="000F69DB">
        <w:t>let později</w:t>
      </w:r>
      <w:r w:rsidR="00E600EE">
        <w:t>, než mělo</w:t>
      </w:r>
      <w:r w:rsidR="008A627D">
        <w:t>.</w:t>
      </w:r>
    </w:p>
    <w:p w14:paraId="16EFB905" w14:textId="147369BA" w:rsidR="004015F3" w:rsidRPr="00666BD7" w:rsidRDefault="00876863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bookmarkStart w:id="34" w:name="_Toc179807888"/>
      <w:r>
        <w:rPr>
          <w:color w:val="C00000"/>
          <w:sz w:val="24"/>
        </w:rPr>
        <w:t>Resorty nezajistily p</w:t>
      </w:r>
      <w:r w:rsidR="004015F3" w:rsidRPr="00666BD7">
        <w:rPr>
          <w:color w:val="C00000"/>
          <w:sz w:val="24"/>
        </w:rPr>
        <w:t xml:space="preserve">ro pracovníky </w:t>
      </w:r>
      <w:r w:rsidR="005D781B">
        <w:rPr>
          <w:color w:val="C00000"/>
          <w:sz w:val="24"/>
        </w:rPr>
        <w:t>O</w:t>
      </w:r>
      <w:r w:rsidR="004015F3" w:rsidRPr="00666BD7">
        <w:rPr>
          <w:color w:val="C00000"/>
          <w:sz w:val="24"/>
        </w:rPr>
        <w:t xml:space="preserve">SPOD </w:t>
      </w:r>
      <w:r w:rsidR="00F537B4">
        <w:rPr>
          <w:color w:val="C00000"/>
          <w:sz w:val="24"/>
        </w:rPr>
        <w:t xml:space="preserve">údaje </w:t>
      </w:r>
      <w:r>
        <w:rPr>
          <w:color w:val="C00000"/>
          <w:sz w:val="24"/>
        </w:rPr>
        <w:t xml:space="preserve">o </w:t>
      </w:r>
      <w:r w:rsidR="00F537B4">
        <w:rPr>
          <w:color w:val="C00000"/>
          <w:sz w:val="24"/>
        </w:rPr>
        <w:t xml:space="preserve">aktuálních </w:t>
      </w:r>
      <w:r>
        <w:rPr>
          <w:color w:val="C00000"/>
          <w:sz w:val="24"/>
        </w:rPr>
        <w:t>volných kapacitách v ústavních zařízení</w:t>
      </w:r>
      <w:r w:rsidR="00BE4DDA">
        <w:rPr>
          <w:color w:val="C00000"/>
          <w:sz w:val="24"/>
        </w:rPr>
        <w:t>ch</w:t>
      </w:r>
      <w:r w:rsidR="00F537B4">
        <w:rPr>
          <w:color w:val="C00000"/>
          <w:sz w:val="24"/>
        </w:rPr>
        <w:t>, čímž je ztížen</w:t>
      </w:r>
      <w:r w:rsidR="00CF507B" w:rsidRPr="00666BD7">
        <w:rPr>
          <w:color w:val="C00000"/>
          <w:sz w:val="24"/>
        </w:rPr>
        <w:t xml:space="preserve"> proces </w:t>
      </w:r>
      <w:r w:rsidR="004015F3" w:rsidRPr="00666BD7">
        <w:rPr>
          <w:color w:val="C00000"/>
          <w:sz w:val="24"/>
        </w:rPr>
        <w:t>umístění dítěte</w:t>
      </w:r>
      <w:bookmarkEnd w:id="34"/>
    </w:p>
    <w:p w14:paraId="0599C4FE" w14:textId="0C3DBA89" w:rsidR="00C03D4E" w:rsidRPr="009823A3" w:rsidRDefault="00C6375C" w:rsidP="00CD550D">
      <w:pPr>
        <w:pStyle w:val="Nadpis2"/>
        <w:widowControl/>
        <w:spacing w:before="0" w:after="120" w:line="256" w:lineRule="auto"/>
      </w:pPr>
      <w:bookmarkStart w:id="35" w:name="_Hlk180487089"/>
      <w:r>
        <w:t xml:space="preserve">Při </w:t>
      </w:r>
      <w:r w:rsidRPr="001E3525">
        <w:t>umísťování</w:t>
      </w:r>
      <w:r>
        <w:t xml:space="preserve"> dětí </w:t>
      </w:r>
      <w:r w:rsidR="00040DC4">
        <w:t>by měl mít</w:t>
      </w:r>
      <w:r>
        <w:t xml:space="preserve"> OSPOD </w:t>
      </w:r>
      <w:r w:rsidR="00D92BF7">
        <w:t xml:space="preserve">potřebné </w:t>
      </w:r>
      <w:r>
        <w:t xml:space="preserve">informace o volných </w:t>
      </w:r>
      <w:r w:rsidR="00040DC4">
        <w:t>pěstounech</w:t>
      </w:r>
      <w:r>
        <w:t xml:space="preserve"> </w:t>
      </w:r>
      <w:r w:rsidR="00D92BF7">
        <w:t>a</w:t>
      </w:r>
      <w:r w:rsidR="00C114C8">
        <w:t> </w:t>
      </w:r>
      <w:r w:rsidR="00D92BF7">
        <w:t xml:space="preserve">volných kapacitách </w:t>
      </w:r>
      <w:r w:rsidR="0097034A">
        <w:t>v</w:t>
      </w:r>
      <w:r w:rsidR="00412CB4">
        <w:t> </w:t>
      </w:r>
      <w:r w:rsidR="00D92BF7">
        <w:t>ústavních zařízeních. Informace o volných pěstounech má OSPOD k</w:t>
      </w:r>
      <w:r w:rsidR="00412CB4">
        <w:t> </w:t>
      </w:r>
      <w:r w:rsidR="00D92BF7">
        <w:t xml:space="preserve">dispozici </w:t>
      </w:r>
      <w:r w:rsidRPr="00D21F83">
        <w:t xml:space="preserve">od </w:t>
      </w:r>
      <w:r w:rsidR="005D781B">
        <w:t>příslušného</w:t>
      </w:r>
      <w:r w:rsidR="005D781B" w:rsidRPr="00D21F83">
        <w:t xml:space="preserve"> </w:t>
      </w:r>
      <w:r w:rsidRPr="00D21F83">
        <w:t>krajského úřadu</w:t>
      </w:r>
      <w:r w:rsidR="003924DA">
        <w:t>, který vede</w:t>
      </w:r>
      <w:r w:rsidRPr="00D21F83">
        <w:t xml:space="preserve"> evidenci</w:t>
      </w:r>
      <w:r w:rsidR="00040DC4">
        <w:t xml:space="preserve"> těchto</w:t>
      </w:r>
      <w:r w:rsidRPr="00D21F83">
        <w:t xml:space="preserve"> osob</w:t>
      </w:r>
      <w:r>
        <w:t>.</w:t>
      </w:r>
      <w:r w:rsidRPr="00D21F83">
        <w:t xml:space="preserve"> </w:t>
      </w:r>
      <w:r w:rsidR="00100BD3">
        <w:t>Č</w:t>
      </w:r>
      <w:r>
        <w:t>innost krajských úřadů v</w:t>
      </w:r>
      <w:r w:rsidR="00AB79C4">
        <w:t xml:space="preserve"> </w:t>
      </w:r>
      <w:r>
        <w:t xml:space="preserve">této oblasti upravuje </w:t>
      </w:r>
      <w:r w:rsidR="005D781B">
        <w:t xml:space="preserve">MPSV </w:t>
      </w:r>
      <w:r>
        <w:t>svými stanovisky a metodickými dokumenty.</w:t>
      </w:r>
      <w:r w:rsidR="00C43F7D">
        <w:t xml:space="preserve"> </w:t>
      </w:r>
      <w:r w:rsidR="00C03D4E" w:rsidRPr="009823A3">
        <w:t>Informace o</w:t>
      </w:r>
      <w:r w:rsidR="00A25D15">
        <w:t> </w:t>
      </w:r>
      <w:r w:rsidR="00C03D4E" w:rsidRPr="009823A3">
        <w:t xml:space="preserve">volných </w:t>
      </w:r>
      <w:r w:rsidR="003D3382" w:rsidRPr="009823A3">
        <w:t xml:space="preserve">lůžkových </w:t>
      </w:r>
      <w:r w:rsidR="00C03D4E" w:rsidRPr="009823A3">
        <w:t xml:space="preserve">kapacitách </w:t>
      </w:r>
      <w:r w:rsidR="003D3382" w:rsidRPr="009823A3">
        <w:t xml:space="preserve">ve </w:t>
      </w:r>
      <w:r w:rsidR="00C03D4E" w:rsidRPr="009823A3">
        <w:t>školských ústavních zařízení</w:t>
      </w:r>
      <w:r w:rsidR="00146B52">
        <w:t>ch</w:t>
      </w:r>
      <w:r w:rsidR="00C03D4E" w:rsidRPr="009823A3">
        <w:t xml:space="preserve"> měl</w:t>
      </w:r>
      <w:r w:rsidR="000C6594">
        <w:t>o</w:t>
      </w:r>
      <w:r w:rsidR="00C03D4E" w:rsidRPr="009823A3">
        <w:t xml:space="preserve"> </w:t>
      </w:r>
      <w:r w:rsidR="000C6594" w:rsidRPr="009823A3">
        <w:t xml:space="preserve">MŠMT provizorně </w:t>
      </w:r>
      <w:r w:rsidR="00C03D4E" w:rsidRPr="009823A3">
        <w:t xml:space="preserve">poskytnout </w:t>
      </w:r>
      <w:r w:rsidR="0004354D">
        <w:t>prostřednictvím</w:t>
      </w:r>
      <w:r w:rsidR="00C03D4E" w:rsidRPr="009823A3">
        <w:t xml:space="preserve"> </w:t>
      </w:r>
      <w:r w:rsidR="00C03D4E" w:rsidRPr="00C43F7D">
        <w:rPr>
          <w:i/>
        </w:rPr>
        <w:t>Databáze ústavní výchovy</w:t>
      </w:r>
      <w:r w:rsidR="00C03D4E" w:rsidRPr="009823A3">
        <w:t xml:space="preserve">. NKÚ zjistil, že tyto informace </w:t>
      </w:r>
      <w:r w:rsidR="00DE601D" w:rsidRPr="009823A3">
        <w:t>však neobsahuje</w:t>
      </w:r>
      <w:r w:rsidR="00A25D15" w:rsidRPr="00A25D15">
        <w:t>.</w:t>
      </w:r>
      <w:r w:rsidR="00F537B4">
        <w:t xml:space="preserve"> Informace o </w:t>
      </w:r>
      <w:r w:rsidR="00146A86">
        <w:t xml:space="preserve">aktuálně </w:t>
      </w:r>
      <w:r w:rsidR="00F537B4">
        <w:t xml:space="preserve">volných kapacitách </w:t>
      </w:r>
      <w:r w:rsidR="00146A86">
        <w:t>nejsou dostupné ani v případě</w:t>
      </w:r>
      <w:r w:rsidR="00F537B4">
        <w:t xml:space="preserve"> </w:t>
      </w:r>
      <w:r w:rsidR="00146A86">
        <w:t>ZDVOP.</w:t>
      </w:r>
    </w:p>
    <w:p w14:paraId="77270562" w14:textId="1438FD24" w:rsidR="00F02FC3" w:rsidRDefault="00100BD3" w:rsidP="00CD550D">
      <w:pPr>
        <w:pStyle w:val="Nadpis2"/>
        <w:widowControl/>
        <w:spacing w:before="0" w:after="120" w:line="256" w:lineRule="auto"/>
      </w:pPr>
      <w:bookmarkStart w:id="36" w:name="_Hlk178932547"/>
      <w:bookmarkEnd w:id="35"/>
      <w:r>
        <w:t xml:space="preserve">Evidenci </w:t>
      </w:r>
      <w:r w:rsidRPr="00D6040E">
        <w:t>dětí umístěných v</w:t>
      </w:r>
      <w:r w:rsidR="00667F95">
        <w:t>e</w:t>
      </w:r>
      <w:r w:rsidRPr="00D6040E">
        <w:t xml:space="preserve"> </w:t>
      </w:r>
      <w:r w:rsidR="00667F95">
        <w:t xml:space="preserve">školských ústavních </w:t>
      </w:r>
      <w:r w:rsidRPr="00D6040E">
        <w:t>zařízení</w:t>
      </w:r>
      <w:r w:rsidR="0079305F">
        <w:t>ch</w:t>
      </w:r>
      <w:r w:rsidRPr="00D6040E">
        <w:t xml:space="preserve"> a</w:t>
      </w:r>
      <w:r w:rsidR="00C43F7D">
        <w:t xml:space="preserve"> také</w:t>
      </w:r>
      <w:r w:rsidRPr="00D6040E">
        <w:t xml:space="preserve"> evidenci volných míst v</w:t>
      </w:r>
      <w:r w:rsidR="00412CB4">
        <w:t> </w:t>
      </w:r>
      <w:r w:rsidR="00667F95">
        <w:t xml:space="preserve">těchto </w:t>
      </w:r>
      <w:r w:rsidRPr="00D6040E">
        <w:t xml:space="preserve">zařízeních ve svém územním obvodu </w:t>
      </w:r>
      <w:r>
        <w:t>má p</w:t>
      </w:r>
      <w:r w:rsidR="000749DB" w:rsidRPr="00D6040E">
        <w:t xml:space="preserve">odle </w:t>
      </w:r>
      <w:r w:rsidR="00D6040E" w:rsidRPr="00D6040E">
        <w:t>ustanovení § 8 odst.</w:t>
      </w:r>
      <w:r w:rsidR="00313795">
        <w:t xml:space="preserve"> </w:t>
      </w:r>
      <w:r w:rsidR="00D6040E" w:rsidRPr="00D6040E">
        <w:t xml:space="preserve">1 zákona </w:t>
      </w:r>
      <w:r w:rsidR="0085045E">
        <w:br/>
      </w:r>
      <w:r w:rsidR="00D6040E" w:rsidRPr="00D6040E">
        <w:t>o</w:t>
      </w:r>
      <w:r w:rsidR="0085045E">
        <w:t xml:space="preserve"> </w:t>
      </w:r>
      <w:r w:rsidR="00D6040E" w:rsidRPr="00D6040E">
        <w:t xml:space="preserve">ústavní výchově </w:t>
      </w:r>
      <w:r w:rsidR="003D3382">
        <w:t>povinnost</w:t>
      </w:r>
      <w:r w:rsidR="00D6040E" w:rsidRPr="00D6040E">
        <w:t xml:space="preserve"> vést </w:t>
      </w:r>
      <w:r w:rsidR="003D3382">
        <w:t>diagnostický ústav</w:t>
      </w:r>
      <w:r w:rsidR="00D6040E" w:rsidRPr="00D6040E">
        <w:t>.</w:t>
      </w:r>
      <w:r w:rsidR="00D6040E">
        <w:t xml:space="preserve"> </w:t>
      </w:r>
      <w:r w:rsidR="00F31044">
        <w:t xml:space="preserve">Podle § 35 </w:t>
      </w:r>
      <w:r w:rsidR="00F31044" w:rsidRPr="00D6040E">
        <w:t xml:space="preserve">zákona o ústavní výchově </w:t>
      </w:r>
      <w:r w:rsidR="00F31044">
        <w:t>má MŠMT</w:t>
      </w:r>
      <w:r w:rsidR="00F31044" w:rsidRPr="00F31044">
        <w:t xml:space="preserve"> provád</w:t>
      </w:r>
      <w:r w:rsidR="00F31044">
        <w:t>ět</w:t>
      </w:r>
      <w:r w:rsidR="00F31044" w:rsidRPr="00F31044">
        <w:t xml:space="preserve"> kontrolu nad dodržováním tohoto zákona</w:t>
      </w:r>
      <w:r w:rsidR="00F31044">
        <w:t xml:space="preserve">. </w:t>
      </w:r>
      <w:r w:rsidR="00663A14">
        <w:t xml:space="preserve">Tím, že MŠMT tuto kontrolu neprovádělo, </w:t>
      </w:r>
      <w:r w:rsidR="00AB7286">
        <w:t>nemělo informace</w:t>
      </w:r>
      <w:r w:rsidR="00663A14">
        <w:t xml:space="preserve">, zda diagnostické ústavy </w:t>
      </w:r>
      <w:r w:rsidR="0025243E" w:rsidRPr="0025243E">
        <w:t>zákonnou povinnost plní a zda pracovníci OSPOD pro potřeby um</w:t>
      </w:r>
      <w:r w:rsidR="00BE56B4">
        <w:t>í</w:t>
      </w:r>
      <w:r w:rsidR="0025243E" w:rsidRPr="0025243E">
        <w:t>sťování dětí disponují aktuálními přehledy volných kapacit ve školských ústavních zařízení</w:t>
      </w:r>
      <w:r w:rsidR="00CC1153">
        <w:t>ch</w:t>
      </w:r>
      <w:r w:rsidR="0025243E">
        <w:t>.</w:t>
      </w:r>
    </w:p>
    <w:bookmarkEnd w:id="36"/>
    <w:p w14:paraId="0E2E1ABA" w14:textId="3808E80C" w:rsidR="00D73816" w:rsidRPr="00FC7080" w:rsidRDefault="00A23FB1" w:rsidP="00CD550D">
      <w:pPr>
        <w:pStyle w:val="Nadpis2"/>
        <w:widowControl/>
        <w:spacing w:before="0" w:after="120" w:line="256" w:lineRule="auto"/>
        <w:rPr>
          <w:sz w:val="16"/>
          <w:szCs w:val="16"/>
        </w:rPr>
      </w:pPr>
      <w:r w:rsidRPr="0026357A">
        <w:t xml:space="preserve">MZd </w:t>
      </w:r>
      <w:r w:rsidR="00DD50FD">
        <w:t>nemá ze zákona povinnost sledovat</w:t>
      </w:r>
      <w:r w:rsidRPr="0026357A">
        <w:t xml:space="preserve"> </w:t>
      </w:r>
      <w:r w:rsidR="007316CA">
        <w:t>aktu</w:t>
      </w:r>
      <w:r w:rsidR="006D1EF8">
        <w:t xml:space="preserve">ální </w:t>
      </w:r>
      <w:r w:rsidR="00DD50FD">
        <w:t xml:space="preserve">informace o </w:t>
      </w:r>
      <w:r w:rsidRPr="0026357A">
        <w:t>voln</w:t>
      </w:r>
      <w:r w:rsidR="00DD50FD">
        <w:t>ých</w:t>
      </w:r>
      <w:r w:rsidRPr="0026357A">
        <w:t xml:space="preserve"> kapacit</w:t>
      </w:r>
      <w:r w:rsidR="00DD50FD">
        <w:t>ách</w:t>
      </w:r>
      <w:r w:rsidRPr="0026357A">
        <w:t xml:space="preserve"> </w:t>
      </w:r>
      <w:r w:rsidR="002E208B">
        <w:t>v</w:t>
      </w:r>
      <w:r w:rsidR="00C114C8">
        <w:t> </w:t>
      </w:r>
      <w:r w:rsidR="00AF57F0" w:rsidRPr="0026357A">
        <w:t>dětských domov</w:t>
      </w:r>
      <w:r w:rsidR="002E208B">
        <w:t>ech</w:t>
      </w:r>
      <w:r w:rsidR="00AF57F0" w:rsidRPr="0026357A">
        <w:t xml:space="preserve"> pro děti do 3 let</w:t>
      </w:r>
      <w:r w:rsidR="00DD50FD">
        <w:t xml:space="preserve"> věku</w:t>
      </w:r>
      <w:r w:rsidRPr="00EB426B">
        <w:t>.</w:t>
      </w:r>
      <w:r w:rsidR="004877D0">
        <w:t xml:space="preserve"> </w:t>
      </w:r>
      <w:r w:rsidR="00781DFD" w:rsidRPr="00781DFD">
        <w:t>Pro pracovníky</w:t>
      </w:r>
      <w:r w:rsidR="00DD50FD">
        <w:t xml:space="preserve"> </w:t>
      </w:r>
      <w:r w:rsidR="00781DFD" w:rsidRPr="00781DFD">
        <w:t xml:space="preserve">OSPOD </w:t>
      </w:r>
      <w:r w:rsidR="00DD50FD">
        <w:t>tak</w:t>
      </w:r>
      <w:r w:rsidR="00DD50FD" w:rsidRPr="00781DFD">
        <w:t xml:space="preserve"> </w:t>
      </w:r>
      <w:r w:rsidR="00781DFD" w:rsidRPr="00781DFD">
        <w:t xml:space="preserve">neexistuje souhrnný </w:t>
      </w:r>
      <w:r w:rsidR="00026C30">
        <w:t xml:space="preserve">aktuální </w:t>
      </w:r>
      <w:r w:rsidR="00781DFD" w:rsidRPr="00781DFD">
        <w:t xml:space="preserve">přehled a </w:t>
      </w:r>
      <w:r w:rsidR="00590425">
        <w:t>ti řeší situaci při umísťování dětí obvoláváním jednotlivých</w:t>
      </w:r>
      <w:r w:rsidR="00781DFD" w:rsidRPr="00781DFD">
        <w:t xml:space="preserve"> zařízení, popř. </w:t>
      </w:r>
      <w:r w:rsidR="00590425">
        <w:t>jejich zřizovatelů</w:t>
      </w:r>
      <w:r w:rsidR="00DD50FD">
        <w:t>.</w:t>
      </w:r>
    </w:p>
    <w:p w14:paraId="0EA0DEF1" w14:textId="1A6FA2A3" w:rsidR="00D73816" w:rsidRPr="00D73816" w:rsidRDefault="00D73816" w:rsidP="00AF3A3F">
      <w:pPr>
        <w:pStyle w:val="Nadpis1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bookmarkStart w:id="37" w:name="_Toc179807889"/>
      <w:r w:rsidRPr="00666BD7">
        <w:rPr>
          <w:color w:val="C00000"/>
          <w:sz w:val="24"/>
        </w:rPr>
        <w:t>Kontrolované resorty nevydaly závazné standardy kvality péče, nedošlo tak ke sjednocení poskytovaných služeb napříč celým systém</w:t>
      </w:r>
      <w:r w:rsidR="00691C9C">
        <w:rPr>
          <w:color w:val="C00000"/>
          <w:sz w:val="24"/>
        </w:rPr>
        <w:t>em</w:t>
      </w:r>
      <w:bookmarkEnd w:id="37"/>
    </w:p>
    <w:p w14:paraId="32C2ABF4" w14:textId="62A10085" w:rsidR="00C547A7" w:rsidRPr="000D0B1E" w:rsidRDefault="00BE4DDA" w:rsidP="00CD550D">
      <w:pPr>
        <w:pStyle w:val="Nadpis2"/>
        <w:widowControl/>
        <w:spacing w:before="0" w:after="120" w:line="256" w:lineRule="auto"/>
      </w:pPr>
      <w:r>
        <w:t>Podle</w:t>
      </w:r>
      <w:r w:rsidR="00CC1153">
        <w:t xml:space="preserve"> </w:t>
      </w:r>
      <w:r w:rsidR="000D0B1E" w:rsidRPr="001E3525">
        <w:rPr>
          <w:i/>
        </w:rPr>
        <w:t>Národní strategi</w:t>
      </w:r>
      <w:r>
        <w:rPr>
          <w:i/>
        </w:rPr>
        <w:t>e</w:t>
      </w:r>
      <w:r w:rsidR="000D0B1E" w:rsidRPr="001E3525">
        <w:rPr>
          <w:i/>
        </w:rPr>
        <w:t xml:space="preserve"> ochrany práv dětí</w:t>
      </w:r>
      <w:r w:rsidR="000D0B1E">
        <w:t xml:space="preserve"> </w:t>
      </w:r>
      <w:r w:rsidR="000D0B1E" w:rsidRPr="000D0B1E">
        <w:t>pro období 2012</w:t>
      </w:r>
      <w:r w:rsidR="000D0B1E">
        <w:t xml:space="preserve">–2018 </w:t>
      </w:r>
      <w:r>
        <w:t>měly</w:t>
      </w:r>
      <w:r w:rsidR="000D0B1E">
        <w:t xml:space="preserve"> resorty MPSV, MŠMT a MZd </w:t>
      </w:r>
      <w:r w:rsidR="000D0B1E" w:rsidRPr="000D0B1E">
        <w:t>vytvořit</w:t>
      </w:r>
      <w:r w:rsidR="001E3525">
        <w:t xml:space="preserve"> a</w:t>
      </w:r>
      <w:r w:rsidR="000D0B1E" w:rsidRPr="000D0B1E">
        <w:t xml:space="preserve"> </w:t>
      </w:r>
      <w:r w:rsidR="001E3525" w:rsidRPr="000D0B1E">
        <w:t xml:space="preserve">zabezpečit </w:t>
      </w:r>
      <w:r w:rsidR="000D0B1E" w:rsidRPr="000D0B1E">
        <w:t>standardy kvality péče</w:t>
      </w:r>
      <w:r w:rsidR="001E3525">
        <w:t xml:space="preserve"> u</w:t>
      </w:r>
      <w:r w:rsidR="001E3525" w:rsidRPr="001E3525">
        <w:t xml:space="preserve"> </w:t>
      </w:r>
      <w:r w:rsidR="001E3525" w:rsidRPr="000D0B1E">
        <w:t>instituc</w:t>
      </w:r>
      <w:r w:rsidR="001E3525">
        <w:t>í</w:t>
      </w:r>
      <w:r w:rsidR="001E3525" w:rsidRPr="000D0B1E">
        <w:t>, služ</w:t>
      </w:r>
      <w:r w:rsidR="001E3525">
        <w:t>e</w:t>
      </w:r>
      <w:r w:rsidR="001E3525" w:rsidRPr="000D0B1E">
        <w:t>b a zařízení odpovědn</w:t>
      </w:r>
      <w:r w:rsidR="001E3525">
        <w:t>ých</w:t>
      </w:r>
      <w:r w:rsidR="001E3525" w:rsidRPr="000D0B1E">
        <w:t xml:space="preserve"> za péči </w:t>
      </w:r>
      <w:r w:rsidR="00CC1153">
        <w:t xml:space="preserve">o děti </w:t>
      </w:r>
      <w:r w:rsidR="001E3525" w:rsidRPr="000D0B1E">
        <w:t xml:space="preserve">a </w:t>
      </w:r>
      <w:r w:rsidR="00CC1153">
        <w:t xml:space="preserve">jejich </w:t>
      </w:r>
      <w:r w:rsidR="001E3525" w:rsidRPr="000D0B1E">
        <w:t>ochranu</w:t>
      </w:r>
      <w:r w:rsidR="001E3525">
        <w:t>.</w:t>
      </w:r>
    </w:p>
    <w:p w14:paraId="714B6FB4" w14:textId="337BB769" w:rsidR="00C547A7" w:rsidRPr="00590425" w:rsidRDefault="00DD6441" w:rsidP="00CD550D">
      <w:pPr>
        <w:pStyle w:val="Nadpis2"/>
        <w:widowControl/>
        <w:spacing w:before="0" w:after="120" w:line="256" w:lineRule="auto"/>
      </w:pPr>
      <w:r>
        <w:t>MPSV</w:t>
      </w:r>
      <w:r w:rsidR="00A721EA">
        <w:t xml:space="preserve"> vydalo standardy kvality péče pro OSPOD, </w:t>
      </w:r>
      <w:r w:rsidR="00A721EA" w:rsidRPr="00590425">
        <w:t>ZDVOP a pověřené osoby poskytující sociálně-právní ochranu jako přílohu vyhlášky</w:t>
      </w:r>
      <w:r w:rsidR="00A721EA" w:rsidRPr="00590425">
        <w:rPr>
          <w:rStyle w:val="Znakapoznpodarou"/>
        </w:rPr>
        <w:footnoteReference w:id="29"/>
      </w:r>
      <w:r w:rsidR="00A721EA" w:rsidRPr="00590425">
        <w:t xml:space="preserve">. </w:t>
      </w:r>
      <w:r w:rsidR="0032480F" w:rsidRPr="00590425">
        <w:t>Podle zákona o</w:t>
      </w:r>
      <w:r w:rsidR="0081314A" w:rsidRPr="00590425">
        <w:t> </w:t>
      </w:r>
      <w:r w:rsidR="0032480F" w:rsidRPr="00590425">
        <w:t xml:space="preserve">SPOD by délka pobytu dítěte </w:t>
      </w:r>
      <w:r w:rsidR="00691C9C" w:rsidRPr="00590425">
        <w:t xml:space="preserve">v ZDVOP </w:t>
      </w:r>
      <w:r w:rsidR="0032480F" w:rsidRPr="00590425">
        <w:t>neměla přesáhnout zpravidla dobu 6 měsíců. MPSV nesleduje dobu pobytu dětí v</w:t>
      </w:r>
      <w:r w:rsidR="00412CB4" w:rsidRPr="00590425">
        <w:t> </w:t>
      </w:r>
      <w:r w:rsidR="0032480F" w:rsidRPr="00590425">
        <w:t xml:space="preserve">tomto zařízení, nemá žádné informace o tom, </w:t>
      </w:r>
      <w:r w:rsidR="00CC1153">
        <w:t xml:space="preserve">jestli zde </w:t>
      </w:r>
      <w:r w:rsidR="0032480F" w:rsidRPr="00590425">
        <w:t>děti nejsou</w:t>
      </w:r>
      <w:r w:rsidR="00C7681D">
        <w:t xml:space="preserve"> </w:t>
      </w:r>
      <w:r w:rsidR="0032480F" w:rsidRPr="00590425">
        <w:t xml:space="preserve">umístěny dlouhodobě a </w:t>
      </w:r>
      <w:r w:rsidR="00CC1153">
        <w:t xml:space="preserve">zda </w:t>
      </w:r>
      <w:r w:rsidR="0032480F" w:rsidRPr="00590425">
        <w:t>zařízení</w:t>
      </w:r>
      <w:r w:rsidR="00CC1153">
        <w:t xml:space="preserve"> takto</w:t>
      </w:r>
      <w:r w:rsidR="0032480F" w:rsidRPr="00590425">
        <w:t xml:space="preserve"> plní svůj účel. </w:t>
      </w:r>
      <w:r w:rsidR="00E438C7" w:rsidRPr="00590425">
        <w:t xml:space="preserve">Chybí standardy </w:t>
      </w:r>
      <w:r w:rsidR="00BF1D53" w:rsidRPr="00590425">
        <w:t xml:space="preserve">pro posuzování </w:t>
      </w:r>
      <w:r w:rsidR="00590425" w:rsidRPr="00590425">
        <w:t>zájemců o</w:t>
      </w:r>
      <w:r w:rsidR="0085045E">
        <w:t xml:space="preserve"> </w:t>
      </w:r>
      <w:r w:rsidR="00590425" w:rsidRPr="00590425">
        <w:t>pěstounství a pro proces hledání vhodných pěstounů pro ohrožené děti</w:t>
      </w:r>
      <w:r w:rsidR="00BF1D53" w:rsidRPr="00590425">
        <w:t xml:space="preserve">. </w:t>
      </w:r>
      <w:r w:rsidR="00C547A7" w:rsidRPr="00590425">
        <w:t>Praxe posuzování, diagnostické metody a vyhodnoc</w:t>
      </w:r>
      <w:r w:rsidR="00CC1153">
        <w:t>ování</w:t>
      </w:r>
      <w:r w:rsidR="00C547A7" w:rsidRPr="00590425">
        <w:t xml:space="preserve"> žadatelů o</w:t>
      </w:r>
      <w:r w:rsidR="0085045E">
        <w:t xml:space="preserve"> </w:t>
      </w:r>
      <w:r w:rsidR="00C547A7" w:rsidRPr="00590425">
        <w:t>pěstounskou péči se v</w:t>
      </w:r>
      <w:r w:rsidR="00412CB4" w:rsidRPr="00590425">
        <w:t> </w:t>
      </w:r>
      <w:r w:rsidR="00C547A7" w:rsidRPr="00590425">
        <w:t>jednotlivých krajích liší</w:t>
      </w:r>
      <w:r w:rsidR="00E438C7" w:rsidRPr="00590425">
        <w:t xml:space="preserve">. </w:t>
      </w:r>
      <w:r w:rsidR="00C21D08" w:rsidRPr="00590425">
        <w:t xml:space="preserve">Na podporu dětí opouštějících náhradní rodinnou péči nebo ústavní péči z důvodu dovršení věkové hranice </w:t>
      </w:r>
      <w:r w:rsidR="001F478B">
        <w:t>Ministerstvo práce a sociálních věcí</w:t>
      </w:r>
      <w:r w:rsidR="00C21D08" w:rsidRPr="00590425">
        <w:t xml:space="preserve"> konkrétní aktivity nečinilo vyjma vydání metodiky </w:t>
      </w:r>
      <w:r w:rsidR="00CC1153">
        <w:t>(</w:t>
      </w:r>
      <w:r w:rsidR="00CC1153" w:rsidRPr="00590425">
        <w:t>v listopadu 2021</w:t>
      </w:r>
      <w:r w:rsidR="00CC1153">
        <w:t xml:space="preserve">) </w:t>
      </w:r>
      <w:r w:rsidR="00C21D08" w:rsidRPr="00590425">
        <w:t>k žádosti o</w:t>
      </w:r>
      <w:r w:rsidR="001F478B">
        <w:t> </w:t>
      </w:r>
      <w:r w:rsidR="00C21D08" w:rsidRPr="00590425">
        <w:t xml:space="preserve">jednorázový či opakující </w:t>
      </w:r>
      <w:r w:rsidR="00CC1153">
        <w:t xml:space="preserve">se </w:t>
      </w:r>
      <w:r w:rsidR="00C21D08" w:rsidRPr="00590425">
        <w:t>zaopatřovací příspěvek dle zákona o SPOD.</w:t>
      </w:r>
    </w:p>
    <w:p w14:paraId="760931D7" w14:textId="585AFE95" w:rsidR="00A638FB" w:rsidRPr="00590425" w:rsidRDefault="006B3411" w:rsidP="00CD550D">
      <w:pPr>
        <w:pStyle w:val="Nadpis2"/>
        <w:widowControl/>
        <w:spacing w:before="0" w:after="120" w:line="256" w:lineRule="auto"/>
      </w:pPr>
      <w:r w:rsidRPr="00590425">
        <w:t>MŠMT mělo stanovit prostřednictvím vyhlášky standardy kvality péče v</w:t>
      </w:r>
      <w:r w:rsidR="00AB79C4">
        <w:t xml:space="preserve"> </w:t>
      </w:r>
      <w:r w:rsidR="00050FFD" w:rsidRPr="00590425">
        <w:t>souladu s</w:t>
      </w:r>
      <w:r w:rsidR="00412CB4" w:rsidRPr="00590425">
        <w:t> </w:t>
      </w:r>
      <w:r w:rsidR="00050FFD" w:rsidRPr="00590425">
        <w:t xml:space="preserve">ustanovením § 41 odst. 1 písm. i) zákona </w:t>
      </w:r>
      <w:r w:rsidR="003924DA" w:rsidRPr="00590425">
        <w:t>o ústavní výchově</w:t>
      </w:r>
      <w:r w:rsidR="00050FFD" w:rsidRPr="00590425">
        <w:t xml:space="preserve"> účinného od 1. 11. 2012. Tuto zákonnou povinnost nesplnilo a </w:t>
      </w:r>
      <w:r w:rsidR="00050FFD" w:rsidRPr="00590425">
        <w:rPr>
          <w:i/>
        </w:rPr>
        <w:t>Standardy kvality péče o děti ve školských zařízeních pro výkon ústavní výchovy nebo ochranné výchovy a ve školských zařízeních pro preventivně výchovnou péči</w:t>
      </w:r>
      <w:r w:rsidR="00050FFD" w:rsidRPr="00590425">
        <w:t xml:space="preserve"> vydalo </w:t>
      </w:r>
      <w:r w:rsidRPr="00590425">
        <w:t xml:space="preserve">až </w:t>
      </w:r>
      <w:r w:rsidR="00050FFD" w:rsidRPr="00590425">
        <w:t>v</w:t>
      </w:r>
      <w:r w:rsidR="00412CB4" w:rsidRPr="00590425">
        <w:t> </w:t>
      </w:r>
      <w:r w:rsidR="00050FFD" w:rsidRPr="00590425">
        <w:t>roce 2015 vnitřní</w:t>
      </w:r>
      <w:r w:rsidRPr="00590425">
        <w:t>mi</w:t>
      </w:r>
      <w:r w:rsidR="00050FFD" w:rsidRPr="00590425">
        <w:t xml:space="preserve"> předpis</w:t>
      </w:r>
      <w:r w:rsidRPr="00590425">
        <w:t>y</w:t>
      </w:r>
      <w:r w:rsidR="00050FFD" w:rsidRPr="00590425">
        <w:t xml:space="preserve">. </w:t>
      </w:r>
      <w:r w:rsidRPr="00590425">
        <w:t>Ty</w:t>
      </w:r>
      <w:r w:rsidR="00050FFD" w:rsidRPr="00590425">
        <w:t xml:space="preserve"> </w:t>
      </w:r>
      <w:r w:rsidRPr="00590425">
        <w:t>jsou závazn</w:t>
      </w:r>
      <w:r w:rsidR="00D82525" w:rsidRPr="00590425">
        <w:t>é</w:t>
      </w:r>
      <w:r w:rsidRPr="00590425">
        <w:t xml:space="preserve"> pouze pro </w:t>
      </w:r>
      <w:r w:rsidR="00050FFD" w:rsidRPr="00590425">
        <w:t xml:space="preserve">ústavní zařízení </w:t>
      </w:r>
      <w:r w:rsidRPr="00590425">
        <w:t xml:space="preserve">zřízená </w:t>
      </w:r>
      <w:r w:rsidR="001F478B">
        <w:t>Ministerstvem práce a sociálních věcí</w:t>
      </w:r>
      <w:r w:rsidRPr="00590425">
        <w:t xml:space="preserve">. </w:t>
      </w:r>
      <w:r w:rsidR="00767117" w:rsidRPr="00590425">
        <w:t xml:space="preserve">Tím, že MŠMT nevytvořilo </w:t>
      </w:r>
      <w:r w:rsidR="001F478B">
        <w:t>„</w:t>
      </w:r>
      <w:r w:rsidR="00767117" w:rsidRPr="00590425">
        <w:t>standardy kvality péče</w:t>
      </w:r>
      <w:r w:rsidR="001F478B">
        <w:t>“</w:t>
      </w:r>
      <w:r w:rsidR="00767117" w:rsidRPr="00590425">
        <w:t xml:space="preserve"> závazné pro všechny zřizovatele </w:t>
      </w:r>
      <w:r w:rsidR="00D12735" w:rsidRPr="00590425">
        <w:t xml:space="preserve">školských </w:t>
      </w:r>
      <w:r w:rsidR="00767117" w:rsidRPr="00590425">
        <w:t>ústavních zařízení</w:t>
      </w:r>
      <w:r w:rsidR="00561B71" w:rsidRPr="00590425">
        <w:t xml:space="preserve"> a nezajistil</w:t>
      </w:r>
      <w:r w:rsidR="00026F3C" w:rsidRPr="00590425">
        <w:t>o</w:t>
      </w:r>
      <w:r w:rsidR="00561B71" w:rsidRPr="00590425">
        <w:t xml:space="preserve"> tak srovnatelnou kvalitu jednotlivých zařízení napříč všemi zřizovateli</w:t>
      </w:r>
      <w:r w:rsidR="00767117" w:rsidRPr="00590425">
        <w:t xml:space="preserve">, </w:t>
      </w:r>
      <w:r w:rsidR="00050FFD" w:rsidRPr="00590425">
        <w:t xml:space="preserve">porušilo ustanovení § 24 </w:t>
      </w:r>
      <w:r w:rsidR="00F52097" w:rsidRPr="00590425">
        <w:t xml:space="preserve">kompetenčního </w:t>
      </w:r>
      <w:r w:rsidR="00050FFD" w:rsidRPr="00590425">
        <w:t xml:space="preserve">zákona, </w:t>
      </w:r>
      <w:r w:rsidR="00026F3C" w:rsidRPr="00590425">
        <w:t xml:space="preserve">neboť </w:t>
      </w:r>
      <w:r w:rsidR="00050FFD" w:rsidRPr="00590425">
        <w:t>nepečovalo o</w:t>
      </w:r>
      <w:r w:rsidR="001F478B">
        <w:t> </w:t>
      </w:r>
      <w:r w:rsidR="00050FFD" w:rsidRPr="00590425">
        <w:t>náležitou právní úpravu ve své působnosti.</w:t>
      </w:r>
      <w:r w:rsidR="000D0B1E" w:rsidRPr="00590425">
        <w:t xml:space="preserve"> </w:t>
      </w:r>
    </w:p>
    <w:p w14:paraId="0B506570" w14:textId="7E3841FB" w:rsidR="00366C19" w:rsidRPr="00590425" w:rsidRDefault="00F52097" w:rsidP="00CD550D">
      <w:pPr>
        <w:pStyle w:val="Nadpis2"/>
        <w:widowControl/>
        <w:spacing w:before="0" w:after="120" w:line="256" w:lineRule="auto"/>
        <w:rPr>
          <w:rFonts w:eastAsiaTheme="minorHAnsi" w:cstheme="minorBidi"/>
          <w:sz w:val="16"/>
          <w:szCs w:val="16"/>
        </w:rPr>
      </w:pPr>
      <w:r w:rsidRPr="00590425">
        <w:t xml:space="preserve">MŠMT je prostřednictvím </w:t>
      </w:r>
      <w:r w:rsidR="00274048" w:rsidRPr="00590425">
        <w:t>svých</w:t>
      </w:r>
      <w:r w:rsidRPr="00590425">
        <w:t xml:space="preserve"> šetření, dostupných zpráv a e</w:t>
      </w:r>
      <w:r w:rsidR="001F478B">
        <w:t>-</w:t>
      </w:r>
      <w:r w:rsidRPr="00590425">
        <w:t>mailové komunikace s</w:t>
      </w:r>
      <w:r w:rsidR="00412CB4" w:rsidRPr="00590425">
        <w:t> </w:t>
      </w:r>
      <w:r w:rsidRPr="00590425">
        <w:t>OSPOD minimálně od roku 2017</w:t>
      </w:r>
      <w:r w:rsidRPr="00590425">
        <w:rPr>
          <w:rStyle w:val="Znakapoznpodarou"/>
        </w:rPr>
        <w:footnoteReference w:id="30"/>
      </w:r>
      <w:r w:rsidRPr="00590425">
        <w:t xml:space="preserve"> </w:t>
      </w:r>
      <w:r w:rsidR="001F478B">
        <w:t>informováno</w:t>
      </w:r>
      <w:r w:rsidRPr="00590425">
        <w:t>, že děti jsou do zařízení pro výkon ústavní a</w:t>
      </w:r>
      <w:r w:rsidR="00C114C8">
        <w:t> </w:t>
      </w:r>
      <w:r w:rsidRPr="00590425">
        <w:t>ochranné výchovy přijímány zejména s</w:t>
      </w:r>
      <w:r w:rsidR="00412CB4" w:rsidRPr="00590425">
        <w:t> </w:t>
      </w:r>
      <w:r w:rsidRPr="00590425">
        <w:t>ohledem na volné kapacity v</w:t>
      </w:r>
      <w:r w:rsidR="00412CB4" w:rsidRPr="00590425">
        <w:t> </w:t>
      </w:r>
      <w:r w:rsidRPr="00590425">
        <w:t>zařízení, nikoliv s</w:t>
      </w:r>
      <w:r w:rsidR="0085045E">
        <w:t xml:space="preserve"> </w:t>
      </w:r>
      <w:r w:rsidRPr="00590425">
        <w:t xml:space="preserve">ohledem na </w:t>
      </w:r>
      <w:r w:rsidR="001F478B">
        <w:t>své</w:t>
      </w:r>
      <w:r w:rsidRPr="00590425">
        <w:t xml:space="preserve"> potřeby. Do dětských domovů jsou umísťovány </w:t>
      </w:r>
      <w:r w:rsidR="001F478B">
        <w:t xml:space="preserve">i </w:t>
      </w:r>
      <w:r w:rsidRPr="00590425">
        <w:t>děti se závažnými poruchami chování či ochrannou výchovou.</w:t>
      </w:r>
      <w:bookmarkStart w:id="38" w:name="_Hlk180132200"/>
      <w:r w:rsidR="002870B3" w:rsidRPr="00590425">
        <w:t xml:space="preserve"> NKÚ vyhodnotil, že MŠMT v</w:t>
      </w:r>
      <w:r w:rsidR="001F478B">
        <w:t> </w:t>
      </w:r>
      <w:r w:rsidR="002870B3" w:rsidRPr="00590425">
        <w:t xml:space="preserve">průběhu kontrolovaného období neiniciovalo </w:t>
      </w:r>
      <w:r w:rsidR="00B72EF5" w:rsidRPr="00590425">
        <w:t>účinné</w:t>
      </w:r>
      <w:r w:rsidR="002870B3" w:rsidRPr="00590425">
        <w:t xml:space="preserve"> kroky pro </w:t>
      </w:r>
      <w:r w:rsidR="001F478B">
        <w:t>napravení</w:t>
      </w:r>
      <w:r w:rsidR="002870B3" w:rsidRPr="00590425">
        <w:t xml:space="preserve"> tohoto systémového nedostatku.</w:t>
      </w:r>
    </w:p>
    <w:bookmarkEnd w:id="38"/>
    <w:p w14:paraId="69BA566B" w14:textId="1D6CB9FB" w:rsidR="00D73816" w:rsidRPr="00590425" w:rsidRDefault="004708FC" w:rsidP="00CD550D">
      <w:pPr>
        <w:pStyle w:val="Nadpis2"/>
        <w:widowControl/>
        <w:spacing w:before="0" w:after="120" w:line="256" w:lineRule="auto"/>
      </w:pPr>
      <w:r w:rsidRPr="00590425">
        <w:t>MZd stanovilo ve s</w:t>
      </w:r>
      <w:r w:rsidR="005D21E9" w:rsidRPr="00590425">
        <w:t>tandard</w:t>
      </w:r>
      <w:r w:rsidRPr="00590425">
        <w:t>ech</w:t>
      </w:r>
      <w:r w:rsidR="005D21E9" w:rsidRPr="00590425">
        <w:t xml:space="preserve"> kvality péče v</w:t>
      </w:r>
      <w:r w:rsidR="00412CB4" w:rsidRPr="00590425">
        <w:t> </w:t>
      </w:r>
      <w:r w:rsidR="00B24E3B" w:rsidRPr="00590425">
        <w:t>dětských domovech pro děti do 3 let</w:t>
      </w:r>
      <w:r w:rsidR="005D21E9" w:rsidRPr="00590425">
        <w:t xml:space="preserve"> </w:t>
      </w:r>
      <w:r w:rsidR="003F0296" w:rsidRPr="00590425">
        <w:t xml:space="preserve">věku </w:t>
      </w:r>
      <w:r w:rsidR="005D21E9" w:rsidRPr="00590425">
        <w:t xml:space="preserve">požadavky na personální zajištění a věcné a technické vybavení poskytovatelů zdravotních služeb </w:t>
      </w:r>
      <w:r w:rsidRPr="00590425">
        <w:t>a tyto standardy ustanovilo ve v</w:t>
      </w:r>
      <w:r w:rsidR="000B7A09" w:rsidRPr="00590425">
        <w:t>y</w:t>
      </w:r>
      <w:r w:rsidRPr="00590425">
        <w:t>hláškách</w:t>
      </w:r>
      <w:r w:rsidR="00946C36" w:rsidRPr="00590425">
        <w:rPr>
          <w:rStyle w:val="Znakapoznpodarou"/>
        </w:rPr>
        <w:footnoteReference w:id="31"/>
      </w:r>
      <w:r w:rsidR="00946C36" w:rsidRPr="00590425">
        <w:t>.</w:t>
      </w:r>
      <w:r w:rsidR="005D21E9" w:rsidRPr="00590425">
        <w:t xml:space="preserve"> Kontrolu</w:t>
      </w:r>
      <w:r w:rsidR="003D62EC" w:rsidRPr="00590425">
        <w:t xml:space="preserve"> plnění standardů kvality péče</w:t>
      </w:r>
      <w:r w:rsidR="005D21E9" w:rsidRPr="00590425">
        <w:t xml:space="preserve"> </w:t>
      </w:r>
      <w:r w:rsidRPr="00590425">
        <w:t>následně provádí zřizovatel zařízen</w:t>
      </w:r>
      <w:r w:rsidR="00B94FE5" w:rsidRPr="00590425">
        <w:t>í.</w:t>
      </w:r>
      <w:r w:rsidRPr="00590425">
        <w:t xml:space="preserve"> </w:t>
      </w:r>
      <w:r w:rsidR="00444FAC" w:rsidRPr="00590425">
        <w:t>MZd nesleduje informace o</w:t>
      </w:r>
      <w:r w:rsidR="0081314A" w:rsidRPr="00590425">
        <w:t> </w:t>
      </w:r>
      <w:r w:rsidR="00444FAC" w:rsidRPr="00590425">
        <w:t>věkovém složení dětí v</w:t>
      </w:r>
      <w:r w:rsidR="00412CB4" w:rsidRPr="00590425">
        <w:t> </w:t>
      </w:r>
      <w:r w:rsidR="00444FAC" w:rsidRPr="00590425">
        <w:t xml:space="preserve">dětských domovech </w:t>
      </w:r>
      <w:r w:rsidR="003F0296" w:rsidRPr="00590425">
        <w:t xml:space="preserve">pro děti </w:t>
      </w:r>
      <w:r w:rsidR="00444FAC" w:rsidRPr="00590425">
        <w:t xml:space="preserve">do 3 let </w:t>
      </w:r>
      <w:r w:rsidR="003F0296" w:rsidRPr="00590425">
        <w:t>věku</w:t>
      </w:r>
      <w:r w:rsidR="00444FAC" w:rsidRPr="00590425">
        <w:rPr>
          <w:rStyle w:val="Znakapoznpodarou"/>
        </w:rPr>
        <w:footnoteReference w:id="32"/>
      </w:r>
      <w:r w:rsidR="00305BC5" w:rsidRPr="00590425">
        <w:t xml:space="preserve"> </w:t>
      </w:r>
      <w:r w:rsidR="00091A00">
        <w:t xml:space="preserve">a </w:t>
      </w:r>
      <w:r w:rsidR="00305BC5" w:rsidRPr="00590425">
        <w:t xml:space="preserve">nezahrnulo tento údaj do </w:t>
      </w:r>
      <w:r w:rsidR="001F478B">
        <w:t>p</w:t>
      </w:r>
      <w:r w:rsidR="00305BC5" w:rsidRPr="00590425">
        <w:t>rogram</w:t>
      </w:r>
      <w:r w:rsidR="001F478B">
        <w:t>ů</w:t>
      </w:r>
      <w:r w:rsidR="00305BC5" w:rsidRPr="00590425">
        <w:t xml:space="preserve"> statistických zjišťování</w:t>
      </w:r>
      <w:r w:rsidR="00FA4A0D" w:rsidRPr="00590425">
        <w:t>.</w:t>
      </w:r>
    </w:p>
    <w:p w14:paraId="68C445B2" w14:textId="47BEF5E5" w:rsidR="00507E00" w:rsidRPr="005E5648" w:rsidRDefault="00507E00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56" w:lineRule="auto"/>
        <w:jc w:val="both"/>
        <w:rPr>
          <w:color w:val="C00000"/>
          <w:sz w:val="24"/>
        </w:rPr>
      </w:pPr>
      <w:bookmarkStart w:id="39" w:name="_Toc178852187"/>
      <w:bookmarkStart w:id="40" w:name="_Toc179807890"/>
      <w:bookmarkEnd w:id="39"/>
      <w:r w:rsidRPr="005E5648">
        <w:rPr>
          <w:color w:val="C00000"/>
          <w:sz w:val="24"/>
        </w:rPr>
        <w:t xml:space="preserve">Výdaje státního rozpočtu vynakládané </w:t>
      </w:r>
      <w:r w:rsidR="00CD291C">
        <w:rPr>
          <w:color w:val="C00000"/>
          <w:sz w:val="24"/>
        </w:rPr>
        <w:t>na</w:t>
      </w:r>
      <w:r w:rsidRPr="005E5648">
        <w:rPr>
          <w:color w:val="C00000"/>
          <w:sz w:val="24"/>
        </w:rPr>
        <w:t xml:space="preserve"> pěstounsk</w:t>
      </w:r>
      <w:r w:rsidR="00CD291C">
        <w:rPr>
          <w:color w:val="C00000"/>
          <w:sz w:val="24"/>
        </w:rPr>
        <w:t>ou</w:t>
      </w:r>
      <w:r w:rsidRPr="005E5648">
        <w:rPr>
          <w:color w:val="C00000"/>
          <w:sz w:val="24"/>
        </w:rPr>
        <w:t xml:space="preserve"> a ústavní péč</w:t>
      </w:r>
      <w:r w:rsidR="00CD291C">
        <w:rPr>
          <w:color w:val="C00000"/>
          <w:sz w:val="24"/>
        </w:rPr>
        <w:t>i</w:t>
      </w:r>
      <w:r w:rsidRPr="005E5648">
        <w:rPr>
          <w:color w:val="C00000"/>
          <w:sz w:val="24"/>
        </w:rPr>
        <w:t xml:space="preserve"> rostou</w:t>
      </w:r>
      <w:bookmarkEnd w:id="40"/>
    </w:p>
    <w:p w14:paraId="4CB2A5D0" w14:textId="0C90AFA1" w:rsidR="005A4389" w:rsidRPr="005A4389" w:rsidRDefault="005E5748" w:rsidP="00CD550D">
      <w:pPr>
        <w:pStyle w:val="Nadpis2"/>
        <w:widowControl/>
        <w:spacing w:before="0" w:after="120" w:line="256" w:lineRule="auto"/>
      </w:pPr>
      <w:bookmarkStart w:id="41" w:name="_Ref180427707"/>
      <w:r w:rsidRPr="005E5748">
        <w:t>V</w:t>
      </w:r>
      <w:r w:rsidR="00412CB4">
        <w:t> </w:t>
      </w:r>
      <w:r w:rsidRPr="005E5748">
        <w:t>roce 2015 vynaložilo</w:t>
      </w:r>
      <w:r w:rsidR="00EB58D5">
        <w:t xml:space="preserve"> </w:t>
      </w:r>
      <w:r w:rsidRPr="005E5748">
        <w:t>MPSV na dávky pěstounské péče 3 116 404 867 Kč a do roku 2023 tento roční objem vzrostl na 5</w:t>
      </w:r>
      <w:r w:rsidR="0066423B">
        <w:t xml:space="preserve"> </w:t>
      </w:r>
      <w:r w:rsidRPr="005E5748">
        <w:t>278</w:t>
      </w:r>
      <w:r w:rsidR="0066423B">
        <w:t xml:space="preserve"> </w:t>
      </w:r>
      <w:r w:rsidRPr="005E5748">
        <w:t>279</w:t>
      </w:r>
      <w:r w:rsidR="0066423B">
        <w:t xml:space="preserve"> </w:t>
      </w:r>
      <w:r w:rsidRPr="005E5748">
        <w:t>695 Kč.</w:t>
      </w:r>
      <w:r w:rsidRPr="00005693">
        <w:t xml:space="preserve"> </w:t>
      </w:r>
      <w:r>
        <w:t>V</w:t>
      </w:r>
      <w:r w:rsidR="00412CB4">
        <w:t> </w:t>
      </w:r>
      <w:r w:rsidR="00A672D6">
        <w:t xml:space="preserve">aplikaci </w:t>
      </w:r>
      <w:r>
        <w:t xml:space="preserve">MPSV </w:t>
      </w:r>
      <w:r w:rsidR="00A776AC">
        <w:t xml:space="preserve">označované </w:t>
      </w:r>
      <w:r w:rsidRPr="00A776AC">
        <w:rPr>
          <w:i/>
        </w:rPr>
        <w:t>OKStat</w:t>
      </w:r>
      <w:r w:rsidR="00A03959">
        <w:rPr>
          <w:i/>
        </w:rPr>
        <w:t xml:space="preserve">, </w:t>
      </w:r>
      <w:r w:rsidR="00A03959" w:rsidRPr="00546C8C">
        <w:t>která shromažďuje info</w:t>
      </w:r>
      <w:r w:rsidR="00A03959">
        <w:t>rm</w:t>
      </w:r>
      <w:r w:rsidR="00A03959" w:rsidRPr="00546C8C">
        <w:t>ace o výplatě dáv</w:t>
      </w:r>
      <w:r w:rsidR="00014F97">
        <w:t>e</w:t>
      </w:r>
      <w:r w:rsidR="00A03959" w:rsidRPr="00546C8C">
        <w:t>k,</w:t>
      </w:r>
      <w:r w:rsidR="00A03959">
        <w:rPr>
          <w:i/>
        </w:rPr>
        <w:t xml:space="preserve"> </w:t>
      </w:r>
      <w:r w:rsidR="00B94FE5">
        <w:t>nelze</w:t>
      </w:r>
      <w:r w:rsidR="00B94FE5" w:rsidRPr="007E6A1F">
        <w:t xml:space="preserve"> </w:t>
      </w:r>
      <w:r w:rsidRPr="007E6A1F">
        <w:t>rozlišit, kolik dávek je vypláceno v</w:t>
      </w:r>
      <w:r w:rsidR="00412CB4">
        <w:t> </w:t>
      </w:r>
      <w:r w:rsidRPr="007E6A1F">
        <w:t xml:space="preserve">rámci </w:t>
      </w:r>
      <w:r>
        <w:t xml:space="preserve">pěstounské péče </w:t>
      </w:r>
      <w:r w:rsidRPr="007E6A1F">
        <w:t>dlouhodobé a péče na</w:t>
      </w:r>
      <w:r w:rsidR="0066423B">
        <w:t xml:space="preserve"> </w:t>
      </w:r>
      <w:r w:rsidRPr="007E6A1F">
        <w:t xml:space="preserve">přechodnou dobu. </w:t>
      </w:r>
      <w:r w:rsidR="005A4389" w:rsidRPr="005A4389">
        <w:t xml:space="preserve">Dávky nejsou vypláceny automaticky </w:t>
      </w:r>
      <w:r w:rsidR="00C04C21">
        <w:t>na základě</w:t>
      </w:r>
      <w:r w:rsidR="005A4389" w:rsidRPr="005A4389">
        <w:t xml:space="preserve"> zařazení osoby do evidence, v</w:t>
      </w:r>
      <w:r w:rsidR="00412CB4">
        <w:t> </w:t>
      </w:r>
      <w:r w:rsidR="005A4389" w:rsidRPr="005A4389">
        <w:t xml:space="preserve">případě přidělení dítěte apod. </w:t>
      </w:r>
      <w:r w:rsidR="00B94FE5">
        <w:t>O</w:t>
      </w:r>
      <w:r w:rsidR="00B94FE5" w:rsidRPr="005A4389">
        <w:t>soba vykonávající pěstounskou péči</w:t>
      </w:r>
      <w:r w:rsidR="00B94FE5">
        <w:t xml:space="preserve"> </w:t>
      </w:r>
      <w:r w:rsidR="00B94FE5" w:rsidRPr="005A4389">
        <w:t xml:space="preserve">musí </w:t>
      </w:r>
      <w:r w:rsidR="0066423B">
        <w:t xml:space="preserve">sama </w:t>
      </w:r>
      <w:r w:rsidR="00B94FE5">
        <w:t xml:space="preserve">požádat o </w:t>
      </w:r>
      <w:r w:rsidR="00B94FE5" w:rsidRPr="005A4389">
        <w:t xml:space="preserve">výplatu dávek příslušný úřad práce. </w:t>
      </w:r>
      <w:r w:rsidR="005A4389" w:rsidRPr="005A4389">
        <w:t xml:space="preserve">MPSV </w:t>
      </w:r>
      <w:r w:rsidR="003E638E">
        <w:t>má</w:t>
      </w:r>
      <w:r w:rsidR="005A4389" w:rsidRPr="005A4389">
        <w:t xml:space="preserve"> přehled o </w:t>
      </w:r>
      <w:r w:rsidR="003E638E">
        <w:t>celkovém objemu</w:t>
      </w:r>
      <w:r w:rsidR="005A4389" w:rsidRPr="005A4389">
        <w:t xml:space="preserve"> vyplacených dávek</w:t>
      </w:r>
      <w:r w:rsidR="00A563A5">
        <w:t xml:space="preserve"> </w:t>
      </w:r>
      <w:r w:rsidR="0066423B">
        <w:t>Ú</w:t>
      </w:r>
      <w:r w:rsidR="00A563A5">
        <w:t>řadem práce</w:t>
      </w:r>
      <w:r w:rsidR="003E638E">
        <w:t xml:space="preserve"> ČR, nikoliv o</w:t>
      </w:r>
      <w:r w:rsidR="002A72BF">
        <w:t> </w:t>
      </w:r>
      <w:r w:rsidR="005A4389" w:rsidRPr="005A4389">
        <w:t>poč</w:t>
      </w:r>
      <w:r w:rsidR="003E638E">
        <w:t>tu</w:t>
      </w:r>
      <w:r w:rsidR="005A4389" w:rsidRPr="005A4389">
        <w:t xml:space="preserve"> pěstounů a </w:t>
      </w:r>
      <w:r w:rsidR="00593CEE">
        <w:t>poč</w:t>
      </w:r>
      <w:r w:rsidR="003E638E">
        <w:t>tu</w:t>
      </w:r>
      <w:r w:rsidR="00593CEE">
        <w:t xml:space="preserve"> </w:t>
      </w:r>
      <w:r w:rsidR="005A4389" w:rsidRPr="005A4389">
        <w:t>dětí v</w:t>
      </w:r>
      <w:r w:rsidR="00412CB4">
        <w:t> </w:t>
      </w:r>
      <w:r w:rsidR="005A4389" w:rsidRPr="005A4389">
        <w:t>pěstounské péči</w:t>
      </w:r>
      <w:r w:rsidR="00593CEE">
        <w:t>.</w:t>
      </w:r>
      <w:r w:rsidR="004708FC">
        <w:t xml:space="preserve"> </w:t>
      </w:r>
      <w:bookmarkEnd w:id="41"/>
    </w:p>
    <w:p w14:paraId="7C9008D5" w14:textId="27DE056A" w:rsidR="00882226" w:rsidRPr="00882226" w:rsidRDefault="00207D58" w:rsidP="00CD550D">
      <w:pPr>
        <w:pStyle w:val="Nadpis2"/>
        <w:widowControl/>
        <w:spacing w:before="0" w:after="120" w:line="256" w:lineRule="auto"/>
        <w:rPr>
          <w:rFonts w:cstheme="minorHAnsi"/>
        </w:rPr>
      </w:pPr>
      <w:bookmarkStart w:id="42" w:name="_Hlk179193800"/>
      <w:r>
        <w:t>Pro p</w:t>
      </w:r>
      <w:r w:rsidRPr="00207D58">
        <w:t>odporu</w:t>
      </w:r>
      <w:r>
        <w:t xml:space="preserve"> a</w:t>
      </w:r>
      <w:r w:rsidR="00EB58D5">
        <w:t xml:space="preserve"> </w:t>
      </w:r>
      <w:r w:rsidRPr="00207D58">
        <w:t>vzdělává</w:t>
      </w:r>
      <w:r>
        <w:t>ní</w:t>
      </w:r>
      <w:r w:rsidRPr="00207D58">
        <w:t xml:space="preserve"> pěstoun</w:t>
      </w:r>
      <w:r>
        <w:t xml:space="preserve">ů a dalších osob zapojených do systému </w:t>
      </w:r>
      <w:r w:rsidRPr="00207D58">
        <w:t>náhradní rodinné péče</w:t>
      </w:r>
      <w:r>
        <w:t xml:space="preserve"> jsou zřízen</w:t>
      </w:r>
      <w:r w:rsidR="0066423B">
        <w:t>y</w:t>
      </w:r>
      <w:r>
        <w:t xml:space="preserve"> tzv. doprovázející organizace. Jedná se především o neziskové organizace či fyzické osoby</w:t>
      </w:r>
      <w:r w:rsidR="00267538">
        <w:t>. T</w:t>
      </w:r>
      <w:r w:rsidR="00E75671">
        <w:t xml:space="preserve">yto služby </w:t>
      </w:r>
      <w:r w:rsidR="00267538">
        <w:t xml:space="preserve">zároveň </w:t>
      </w:r>
      <w:r w:rsidR="00E75671">
        <w:t>vykonává i OSPOD</w:t>
      </w:r>
      <w:r w:rsidRPr="00207D58">
        <w:t xml:space="preserve">. </w:t>
      </w:r>
      <w:r w:rsidR="00640897">
        <w:t>Každá osoba vykonávající pěstounskou péči, která má v</w:t>
      </w:r>
      <w:r w:rsidR="00412CB4">
        <w:t> </w:t>
      </w:r>
      <w:r w:rsidR="00640897">
        <w:t xml:space="preserve">péči dítě, musí mít uzavřenou </w:t>
      </w:r>
      <w:r w:rsidR="00640897" w:rsidRPr="00207D58">
        <w:t>dohodu o</w:t>
      </w:r>
      <w:r w:rsidR="0081314A">
        <w:t> </w:t>
      </w:r>
      <w:r w:rsidR="00640897" w:rsidRPr="00207D58">
        <w:t>výkonu pěstounské péče</w:t>
      </w:r>
      <w:r w:rsidR="00640897">
        <w:t xml:space="preserve"> buď s</w:t>
      </w:r>
      <w:r w:rsidR="00412CB4">
        <w:t> </w:t>
      </w:r>
      <w:r w:rsidR="00640897">
        <w:t>vybranou doprovázející organizací</w:t>
      </w:r>
      <w:bookmarkEnd w:id="42"/>
      <w:r w:rsidR="00640897">
        <w:t>, nebo s</w:t>
      </w:r>
      <w:r w:rsidR="00412CB4">
        <w:t> </w:t>
      </w:r>
      <w:r w:rsidR="00640897">
        <w:t xml:space="preserve">příslušným OSPOD. </w:t>
      </w:r>
      <w:r>
        <w:t xml:space="preserve">MPSV za poskytování služeb doprovázení vyplácí na uzavřenou dohodu </w:t>
      </w:r>
      <w:r w:rsidR="00091A00" w:rsidRPr="001547ED">
        <w:rPr>
          <w:i/>
        </w:rPr>
        <w:t xml:space="preserve">státní </w:t>
      </w:r>
      <w:r w:rsidRPr="00207D58">
        <w:rPr>
          <w:i/>
        </w:rPr>
        <w:t xml:space="preserve">příspěvek </w:t>
      </w:r>
      <w:r w:rsidR="00091A00">
        <w:rPr>
          <w:i/>
        </w:rPr>
        <w:t>na</w:t>
      </w:r>
      <w:r w:rsidRPr="00207D58">
        <w:rPr>
          <w:i/>
        </w:rPr>
        <w:t xml:space="preserve"> výkon pěstounské péče</w:t>
      </w:r>
      <w:r w:rsidR="00640897">
        <w:rPr>
          <w:i/>
        </w:rPr>
        <w:t xml:space="preserve">. </w:t>
      </w:r>
      <w:r w:rsidR="00640897">
        <w:t xml:space="preserve">Tento </w:t>
      </w:r>
      <w:r w:rsidR="00054CAC">
        <w:t xml:space="preserve">roční </w:t>
      </w:r>
      <w:r w:rsidR="00640897">
        <w:t>příspěvek aktuálně od 1. 7. 2024 činí 66 000 Kč.</w:t>
      </w:r>
      <w:r w:rsidR="0091121C">
        <w:rPr>
          <w:rFonts w:cstheme="minorHAnsi"/>
        </w:rPr>
        <w:t xml:space="preserve"> </w:t>
      </w:r>
    </w:p>
    <w:p w14:paraId="3CAFBF47" w14:textId="60024C61" w:rsidR="000E1514" w:rsidRPr="00536AA3" w:rsidRDefault="006443BA" w:rsidP="00CD550D">
      <w:pPr>
        <w:pStyle w:val="Nadpis2"/>
        <w:widowControl/>
        <w:spacing w:before="0" w:after="120" w:line="256" w:lineRule="auto"/>
      </w:pPr>
      <w:r w:rsidRPr="00536AA3">
        <w:t xml:space="preserve">Výdaje </w:t>
      </w:r>
      <w:r w:rsidR="004E3672">
        <w:t>z</w:t>
      </w:r>
      <w:r w:rsidR="00412CB4">
        <w:t> </w:t>
      </w:r>
      <w:r w:rsidR="004E3672">
        <w:t>kapitoly MPSV</w:t>
      </w:r>
      <w:r w:rsidR="00EB58D5">
        <w:t xml:space="preserve"> </w:t>
      </w:r>
      <w:r w:rsidR="00DA5014" w:rsidRPr="00536AA3">
        <w:t xml:space="preserve">na výkon činnosti </w:t>
      </w:r>
      <w:r w:rsidRPr="00536AA3">
        <w:t xml:space="preserve">SPOD </w:t>
      </w:r>
      <w:r w:rsidR="00536AA3" w:rsidRPr="00536AA3">
        <w:t>vzrostl</w:t>
      </w:r>
      <w:r w:rsidR="00A657E6">
        <w:t>y</w:t>
      </w:r>
      <w:r w:rsidR="00536AA3" w:rsidRPr="00536AA3">
        <w:t xml:space="preserve"> z</w:t>
      </w:r>
      <w:r w:rsidR="00412CB4">
        <w:t> </w:t>
      </w:r>
      <w:r w:rsidR="00536AA3" w:rsidRPr="00536AA3">
        <w:t>1 097 271 643 Kč v</w:t>
      </w:r>
      <w:r w:rsidR="00412CB4">
        <w:t> </w:t>
      </w:r>
      <w:r w:rsidR="00536AA3" w:rsidRPr="00536AA3">
        <w:t>roce</w:t>
      </w:r>
      <w:r w:rsidRPr="00536AA3">
        <w:t xml:space="preserve"> 2015 </w:t>
      </w:r>
      <w:r w:rsidR="00536AA3" w:rsidRPr="00536AA3">
        <w:t>na 1 883 855 259 Kč za rok</w:t>
      </w:r>
      <w:r w:rsidRPr="00536AA3">
        <w:t xml:space="preserve"> 2023</w:t>
      </w:r>
      <w:r w:rsidR="00536AA3" w:rsidRPr="00536AA3">
        <w:t xml:space="preserve">, přičemž se </w:t>
      </w:r>
      <w:r w:rsidR="000A24F2">
        <w:t xml:space="preserve">souběžně </w:t>
      </w:r>
      <w:r w:rsidR="00536AA3" w:rsidRPr="00536AA3">
        <w:t xml:space="preserve">zvýšil i počet </w:t>
      </w:r>
      <w:r w:rsidR="00341AC8">
        <w:t>zaměstnanců</w:t>
      </w:r>
      <w:r w:rsidR="00536AA3" w:rsidRPr="00536AA3">
        <w:t xml:space="preserve"> SPOD, </w:t>
      </w:r>
      <w:r w:rsidR="00A657E6">
        <w:t xml:space="preserve">a </w:t>
      </w:r>
      <w:r w:rsidR="00536AA3" w:rsidRPr="00536AA3">
        <w:t>to z</w:t>
      </w:r>
      <w:r w:rsidR="00412CB4">
        <w:t> </w:t>
      </w:r>
      <w:r w:rsidR="000A24F2">
        <w:t xml:space="preserve">původních </w:t>
      </w:r>
      <w:r w:rsidR="00536AA3" w:rsidRPr="00536AA3">
        <w:t>2 515 na 2</w:t>
      </w:r>
      <w:r w:rsidR="000A24F2">
        <w:t> </w:t>
      </w:r>
      <w:r w:rsidR="00536AA3" w:rsidRPr="00536AA3">
        <w:t xml:space="preserve">716 </w:t>
      </w:r>
      <w:r w:rsidR="00341AC8">
        <w:t>zaměstnanců</w:t>
      </w:r>
      <w:r w:rsidR="00536AA3" w:rsidRPr="00536AA3">
        <w:t>.</w:t>
      </w:r>
    </w:p>
    <w:p w14:paraId="3D49CFD9" w14:textId="3136D89C" w:rsidR="00753E8A" w:rsidRPr="00C51C78" w:rsidRDefault="00C031C9" w:rsidP="00CD550D">
      <w:pPr>
        <w:pStyle w:val="Nadpis2"/>
        <w:widowControl/>
        <w:spacing w:before="0" w:after="120" w:line="256" w:lineRule="auto"/>
      </w:pPr>
      <w:r>
        <w:t>ZDVOP</w:t>
      </w:r>
      <w:r w:rsidR="00C466C5" w:rsidRPr="00C51C78">
        <w:t xml:space="preserve"> </w:t>
      </w:r>
      <w:r w:rsidR="00C51C78" w:rsidRPr="00C51C78">
        <w:t>dostávají</w:t>
      </w:r>
      <w:r w:rsidR="004E639C">
        <w:t xml:space="preserve"> </w:t>
      </w:r>
      <w:r w:rsidR="00C51C78" w:rsidRPr="00C51C78">
        <w:t>z</w:t>
      </w:r>
      <w:r w:rsidR="00412CB4">
        <w:t> </w:t>
      </w:r>
      <w:r w:rsidR="00C51C78" w:rsidRPr="00C51C78">
        <w:t>kapitoly MPSV na svůj provoz státní příspěvek, který je měsíčně vyplácen prostřednictvím krajského ú</w:t>
      </w:r>
      <w:r w:rsidR="00C51C78" w:rsidRPr="00765176">
        <w:t>řadu na každé umístěné dítě</w:t>
      </w:r>
      <w:r w:rsidR="003D687D" w:rsidRPr="00765176">
        <w:t>.</w:t>
      </w:r>
      <w:r w:rsidR="00C51C78" w:rsidRPr="00765176">
        <w:t xml:space="preserve"> </w:t>
      </w:r>
      <w:r w:rsidR="0066423B">
        <w:t>V</w:t>
      </w:r>
      <w:r w:rsidR="00C51C78" w:rsidRPr="00765176">
        <w:t xml:space="preserve">ýše </w:t>
      </w:r>
      <w:r w:rsidR="0066423B">
        <w:t xml:space="preserve">této podpory </w:t>
      </w:r>
      <w:r w:rsidR="00C51C78" w:rsidRPr="00765176">
        <w:t xml:space="preserve">je dána zákonem o SPOD. Od roku 2013 </w:t>
      </w:r>
      <w:r>
        <w:t xml:space="preserve">příspěvek </w:t>
      </w:r>
      <w:r w:rsidR="00C51C78" w:rsidRPr="00765176">
        <w:t>vzrostl z</w:t>
      </w:r>
      <w:r w:rsidR="00412CB4">
        <w:t> </w:t>
      </w:r>
      <w:r w:rsidR="00C51C78" w:rsidRPr="00765176">
        <w:t>22 800 Kč na 43 560 Kč v</w:t>
      </w:r>
      <w:r w:rsidR="00412CB4">
        <w:t> </w:t>
      </w:r>
      <w:r w:rsidR="00C51C78" w:rsidRPr="00765176">
        <w:t>roce 2023.</w:t>
      </w:r>
      <w:r w:rsidR="003D687D" w:rsidRPr="00765176">
        <w:t xml:space="preserve"> </w:t>
      </w:r>
      <w:r w:rsidR="00753E8A" w:rsidRPr="00C51C78">
        <w:t xml:space="preserve">Tím, že </w:t>
      </w:r>
      <w:r w:rsidR="00C51C78" w:rsidRPr="00C51C78">
        <w:t>v</w:t>
      </w:r>
      <w:r w:rsidR="00412CB4">
        <w:t> </w:t>
      </w:r>
      <w:r w:rsidR="00C51C78" w:rsidRPr="00C51C78">
        <w:t xml:space="preserve">letech 2016–2021 nepostačovaly </w:t>
      </w:r>
      <w:r w:rsidR="00753E8A" w:rsidRPr="00C51C78">
        <w:t>poskytnuté peněžní prostředky na běžný provoz ZDVOP, byla tato ztráta hrazena z</w:t>
      </w:r>
      <w:r w:rsidR="0066423B">
        <w:t xml:space="preserve"> </w:t>
      </w:r>
      <w:r w:rsidR="00753E8A" w:rsidRPr="00C51C78">
        <w:t>každoročních dotací</w:t>
      </w:r>
      <w:r w:rsidR="00C51C78" w:rsidRPr="00C51C78">
        <w:t>. Dotace poskytovalo MPSV a</w:t>
      </w:r>
      <w:r w:rsidR="00753E8A" w:rsidRPr="00C51C78">
        <w:t xml:space="preserve"> představovaly navýšení příjmů ZDVOP průměrně o 12,78 </w:t>
      </w:r>
      <w:r w:rsidR="00753E8A" w:rsidRPr="00C51C78">
        <w:rPr>
          <w:color w:val="040C28"/>
        </w:rPr>
        <w:t>%</w:t>
      </w:r>
      <w:r w:rsidR="00753E8A" w:rsidRPr="00C51C78">
        <w:t>. Nejvyšší navýšení až o 28 % bylo v</w:t>
      </w:r>
      <w:r w:rsidR="00412CB4">
        <w:t> </w:t>
      </w:r>
      <w:r w:rsidR="00753E8A" w:rsidRPr="00C51C78">
        <w:t>roce 2021. To bylo způsoben</w:t>
      </w:r>
      <w:r w:rsidR="0066423B">
        <w:t>o</w:t>
      </w:r>
      <w:r w:rsidR="00753E8A" w:rsidRPr="00C51C78">
        <w:t xml:space="preserve"> čerpáním mimořádných dotací v</w:t>
      </w:r>
      <w:r w:rsidR="00412CB4">
        <w:t> </w:t>
      </w:r>
      <w:r w:rsidR="00753E8A" w:rsidRPr="00C51C78">
        <w:t>souvislosti s</w:t>
      </w:r>
      <w:r w:rsidR="00412CB4">
        <w:t> </w:t>
      </w:r>
      <w:r w:rsidR="00753E8A" w:rsidRPr="00C51C78">
        <w:t xml:space="preserve">pandemií </w:t>
      </w:r>
      <w:r w:rsidR="0066423B">
        <w:t>covidu</w:t>
      </w:r>
      <w:r w:rsidR="00753E8A" w:rsidRPr="00C51C78">
        <w:t>-19.</w:t>
      </w:r>
    </w:p>
    <w:p w14:paraId="4BE9D043" w14:textId="2E7E6E7B" w:rsidR="00EB15BA" w:rsidRDefault="003502D4" w:rsidP="00CD550D">
      <w:pPr>
        <w:pStyle w:val="Nadpis2"/>
        <w:spacing w:before="0" w:after="120" w:line="256" w:lineRule="auto"/>
      </w:pPr>
      <w:r>
        <w:t>MPSV si nech</w:t>
      </w:r>
      <w:r w:rsidR="00990355">
        <w:t>alo</w:t>
      </w:r>
      <w:r>
        <w:t xml:space="preserve"> </w:t>
      </w:r>
      <w:r w:rsidR="00990355">
        <w:t>od</w:t>
      </w:r>
      <w:r>
        <w:t xml:space="preserve"> </w:t>
      </w:r>
      <w:r w:rsidR="00B94FE5">
        <w:t xml:space="preserve">stejného </w:t>
      </w:r>
      <w:r>
        <w:t xml:space="preserve">externího dodavatele </w:t>
      </w:r>
      <w:r w:rsidR="005B087B">
        <w:t>ve</w:t>
      </w:r>
      <w:r w:rsidR="00C114C8">
        <w:t xml:space="preserve"> </w:t>
      </w:r>
      <w:r w:rsidR="005B087B">
        <w:t xml:space="preserve">čtyřletých intervalech </w:t>
      </w:r>
      <w:r>
        <w:t>zpracovat celkem tři analýzy obsahující přehled o</w:t>
      </w:r>
      <w:r w:rsidR="00C114C8">
        <w:t xml:space="preserve"> </w:t>
      </w:r>
      <w:r>
        <w:t>finančních tocích, a to v</w:t>
      </w:r>
      <w:r w:rsidR="002A72BF">
        <w:t xml:space="preserve"> </w:t>
      </w:r>
      <w:r>
        <w:t xml:space="preserve">letech 2014, 2018 </w:t>
      </w:r>
      <w:r w:rsidR="00C04C21">
        <w:br/>
      </w:r>
      <w:r>
        <w:t>a</w:t>
      </w:r>
      <w:r w:rsidR="00C04C21">
        <w:t xml:space="preserve"> </w:t>
      </w:r>
      <w:r>
        <w:t>2022</w:t>
      </w:r>
      <w:r w:rsidR="005B087B">
        <w:t>, přičemž analýzy z</w:t>
      </w:r>
      <w:r w:rsidR="00412CB4">
        <w:t> </w:t>
      </w:r>
      <w:r w:rsidR="005B087B">
        <w:t xml:space="preserve">roku 2018 a 2022 byly pouze aktualizací </w:t>
      </w:r>
      <w:r w:rsidR="00C47182">
        <w:t xml:space="preserve">původní analýzy </w:t>
      </w:r>
      <w:r w:rsidR="00C04C21">
        <w:br/>
      </w:r>
      <w:r w:rsidR="00C47182">
        <w:t>z</w:t>
      </w:r>
      <w:r w:rsidR="00C04C21">
        <w:t xml:space="preserve"> </w:t>
      </w:r>
      <w:r w:rsidR="00C47182">
        <w:t xml:space="preserve">roku 2014. </w:t>
      </w:r>
      <w:r w:rsidR="00BA52C2">
        <w:t>Každá analýza byla pořízena z</w:t>
      </w:r>
      <w:r w:rsidR="00412CB4">
        <w:t> </w:t>
      </w:r>
      <w:r w:rsidR="00BA52C2">
        <w:t xml:space="preserve">jiného projektu financovaného EU, a to SPOD0, SPOD1 a SPOD2. MPSV nezajistilo zpracování </w:t>
      </w:r>
      <w:r>
        <w:t>analýz z</w:t>
      </w:r>
      <w:r w:rsidR="00412CB4">
        <w:t> </w:t>
      </w:r>
      <w:r>
        <w:t xml:space="preserve">let 2018 a 2022 využitím svých </w:t>
      </w:r>
      <w:r w:rsidR="00D12407">
        <w:t xml:space="preserve">vlastních </w:t>
      </w:r>
      <w:r>
        <w:t xml:space="preserve">kapacit a </w:t>
      </w:r>
      <w:r w:rsidR="00BA52C2">
        <w:t>n</w:t>
      </w:r>
      <w:r>
        <w:t>evyužilo ani služeb Výzkumného ústavu práce a sociálních věcí, v. v. i.</w:t>
      </w:r>
      <w:r w:rsidR="00990355">
        <w:t xml:space="preserve">, jehož </w:t>
      </w:r>
      <w:r w:rsidR="00C04C21">
        <w:t>je</w:t>
      </w:r>
      <w:r w:rsidR="00990355">
        <w:t xml:space="preserve"> zřizovatelem.</w:t>
      </w:r>
      <w:r w:rsidR="001A7040">
        <w:rPr>
          <w:rStyle w:val="Znakapoznpodarou"/>
        </w:rPr>
        <w:footnoteReference w:id="33"/>
      </w:r>
    </w:p>
    <w:p w14:paraId="491830F7" w14:textId="5740A8E6" w:rsidR="00C465CA" w:rsidRPr="00E54C8D" w:rsidRDefault="009A6082" w:rsidP="00CD550D">
      <w:pPr>
        <w:pStyle w:val="Nadpis2"/>
        <w:widowControl/>
        <w:spacing w:before="0" w:after="120" w:line="256" w:lineRule="auto"/>
      </w:pPr>
      <w:r>
        <w:t>Roční v</w:t>
      </w:r>
      <w:r w:rsidR="006E2ADE" w:rsidRPr="006E2ADE">
        <w:t>ýdaje MPSV, MŠMT a MZd na ústavní zařízen</w:t>
      </w:r>
      <w:r w:rsidR="00126679">
        <w:t>í</w:t>
      </w:r>
      <w:r>
        <w:t>, pěstounsk</w:t>
      </w:r>
      <w:r w:rsidR="00990355">
        <w:t>ou</w:t>
      </w:r>
      <w:r>
        <w:t xml:space="preserve"> péč</w:t>
      </w:r>
      <w:r w:rsidR="00990355">
        <w:t>i</w:t>
      </w:r>
      <w:r>
        <w:t xml:space="preserve"> a výkon agendy SPOD</w:t>
      </w:r>
      <w:r w:rsidR="006E2ADE" w:rsidRPr="006E2ADE">
        <w:t xml:space="preserve"> </w:t>
      </w:r>
      <w:r>
        <w:t>se od roku 2015 do roku 2023 zvýšily o 61 % na 11,79 mld. Kč</w:t>
      </w:r>
      <w:r w:rsidR="00946A7D">
        <w:t xml:space="preserve"> (</w:t>
      </w:r>
      <w:r w:rsidR="00C114C8">
        <w:t>v</w:t>
      </w:r>
      <w:r w:rsidR="00946A7D">
        <w:t xml:space="preserve">iz </w:t>
      </w:r>
      <w:r w:rsidR="00C114C8">
        <w:t>g</w:t>
      </w:r>
      <w:r w:rsidR="00946A7D">
        <w:t>raf č. 1)</w:t>
      </w:r>
      <w:r w:rsidR="00C164CC">
        <w:t>.</w:t>
      </w:r>
    </w:p>
    <w:p w14:paraId="7A35EBA4" w14:textId="77777777" w:rsidR="002D400D" w:rsidRPr="003916DA" w:rsidRDefault="002D400D" w:rsidP="00AF3A3F">
      <w:pPr>
        <w:spacing w:after="0"/>
        <w:rPr>
          <w:lang w:eastAsia="cs-CZ"/>
        </w:rPr>
      </w:pPr>
    </w:p>
    <w:p w14:paraId="588E6BED" w14:textId="7F886460" w:rsidR="006E2ADE" w:rsidRPr="007B2755" w:rsidRDefault="006E2ADE" w:rsidP="00CD550D">
      <w:pPr>
        <w:pStyle w:val="Titulek"/>
        <w:keepNext/>
        <w:spacing w:after="40" w:line="257" w:lineRule="auto"/>
        <w:rPr>
          <w:b/>
          <w:i w:val="0"/>
          <w:color w:val="auto"/>
          <w:sz w:val="24"/>
          <w:szCs w:val="24"/>
        </w:rPr>
      </w:pPr>
      <w:r w:rsidRPr="007B2755">
        <w:rPr>
          <w:b/>
          <w:i w:val="0"/>
          <w:color w:val="auto"/>
          <w:sz w:val="24"/>
          <w:szCs w:val="24"/>
        </w:rPr>
        <w:t>Tabulka č.</w:t>
      </w:r>
      <w:r w:rsidR="00CD550D">
        <w:rPr>
          <w:b/>
          <w:i w:val="0"/>
          <w:color w:val="auto"/>
          <w:sz w:val="24"/>
          <w:szCs w:val="24"/>
        </w:rPr>
        <w:t xml:space="preserve"> </w:t>
      </w:r>
      <w:r w:rsidR="00AC2005">
        <w:rPr>
          <w:b/>
          <w:i w:val="0"/>
          <w:color w:val="auto"/>
          <w:sz w:val="24"/>
          <w:szCs w:val="24"/>
        </w:rPr>
        <w:t>4</w:t>
      </w:r>
      <w:r w:rsidR="0033065D">
        <w:rPr>
          <w:b/>
          <w:i w:val="0"/>
          <w:color w:val="auto"/>
          <w:sz w:val="24"/>
          <w:szCs w:val="24"/>
        </w:rPr>
        <w:t>:</w:t>
      </w:r>
      <w:r w:rsidRPr="007B2755">
        <w:rPr>
          <w:b/>
          <w:i w:val="0"/>
          <w:color w:val="auto"/>
          <w:sz w:val="24"/>
          <w:szCs w:val="24"/>
        </w:rPr>
        <w:t xml:space="preserve"> Výdaje MPSV, MŠMT a MZd na ústavní zařízení v letech 2015–2023 </w:t>
      </w:r>
      <w:r w:rsidR="006437ED">
        <w:rPr>
          <w:b/>
          <w:i w:val="0"/>
          <w:color w:val="auto"/>
          <w:sz w:val="24"/>
          <w:szCs w:val="24"/>
        </w:rPr>
        <w:t>(v mil.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987"/>
        <w:gridCol w:w="1278"/>
        <w:gridCol w:w="1133"/>
        <w:gridCol w:w="1133"/>
        <w:gridCol w:w="1133"/>
        <w:gridCol w:w="1133"/>
        <w:gridCol w:w="1133"/>
      </w:tblGrid>
      <w:tr w:rsidR="00BF1239" w:rsidRPr="00785EB4" w14:paraId="16128EE5" w14:textId="77777777" w:rsidTr="00C32106">
        <w:trPr>
          <w:trHeight w:val="1800"/>
        </w:trPr>
        <w:tc>
          <w:tcPr>
            <w:tcW w:w="625" w:type="pct"/>
            <w:shd w:val="clear" w:color="auto" w:fill="E6E6E6"/>
            <w:noWrap/>
            <w:vAlign w:val="center"/>
            <w:hideMark/>
          </w:tcPr>
          <w:p w14:paraId="0DA59D85" w14:textId="669C539F" w:rsidR="00785EB4" w:rsidRPr="00785EB4" w:rsidRDefault="00087E20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545" w:type="pct"/>
            <w:shd w:val="clear" w:color="auto" w:fill="E6E6E6"/>
            <w:vAlign w:val="center"/>
            <w:hideMark/>
          </w:tcPr>
          <w:p w14:paraId="2598B7FB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všech zařízení</w:t>
            </w:r>
          </w:p>
        </w:tc>
        <w:tc>
          <w:tcPr>
            <w:tcW w:w="705" w:type="pct"/>
            <w:shd w:val="clear" w:color="auto" w:fill="E6E6E6"/>
            <w:vAlign w:val="center"/>
            <w:hideMark/>
          </w:tcPr>
          <w:p w14:paraId="6ED6E8A7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Diagnostické ústavy</w:t>
            </w:r>
          </w:p>
        </w:tc>
        <w:tc>
          <w:tcPr>
            <w:tcW w:w="625" w:type="pct"/>
            <w:shd w:val="clear" w:color="auto" w:fill="E6E6E6"/>
            <w:vAlign w:val="center"/>
            <w:hideMark/>
          </w:tcPr>
          <w:p w14:paraId="45A85204" w14:textId="1640F353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Dětské domovy se školou a</w:t>
            </w:r>
            <w:r w:rsidR="009903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výchovné ústavy</w:t>
            </w:r>
          </w:p>
        </w:tc>
        <w:tc>
          <w:tcPr>
            <w:tcW w:w="625" w:type="pct"/>
            <w:shd w:val="clear" w:color="auto" w:fill="E6E6E6"/>
            <w:vAlign w:val="center"/>
            <w:hideMark/>
          </w:tcPr>
          <w:p w14:paraId="655F4D53" w14:textId="70EE302F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Dětské domovy </w:t>
            </w:r>
          </w:p>
        </w:tc>
        <w:tc>
          <w:tcPr>
            <w:tcW w:w="625" w:type="pct"/>
            <w:shd w:val="clear" w:color="auto" w:fill="E6E6E6"/>
            <w:vAlign w:val="center"/>
            <w:hideMark/>
          </w:tcPr>
          <w:p w14:paraId="14265C3F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Dětské domovy pro děti do 3 let věku</w:t>
            </w:r>
          </w:p>
        </w:tc>
        <w:tc>
          <w:tcPr>
            <w:tcW w:w="625" w:type="pct"/>
            <w:shd w:val="clear" w:color="auto" w:fill="E6E6E6"/>
            <w:vAlign w:val="center"/>
            <w:hideMark/>
          </w:tcPr>
          <w:p w14:paraId="1EAD905D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ZDVOP</w:t>
            </w:r>
          </w:p>
        </w:tc>
        <w:tc>
          <w:tcPr>
            <w:tcW w:w="625" w:type="pct"/>
            <w:shd w:val="clear" w:color="000000" w:fill="DCA8B3"/>
            <w:vAlign w:val="center"/>
            <w:hideMark/>
          </w:tcPr>
          <w:p w14:paraId="03881176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BF1239" w:rsidRPr="00785EB4" w14:paraId="7F16B0ED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00B56A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733C959F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319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644E719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287,8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C62B17A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793,7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13F77DB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1 242,8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7AE5BA90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A331462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240,3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74A1D288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2 613,2</w:t>
            </w:r>
          </w:p>
        </w:tc>
      </w:tr>
      <w:tr w:rsidR="00BF1239" w:rsidRPr="00785EB4" w14:paraId="7087EE1E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8E6850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0644946A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FFE67B3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301,7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DDCF28E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822,5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051F1BA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1 310,2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2B332A1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FAA1DF6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221,8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5C4C272E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2 704,8</w:t>
            </w:r>
          </w:p>
        </w:tc>
      </w:tr>
      <w:tr w:rsidR="00BF1239" w:rsidRPr="00785EB4" w14:paraId="41657C72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C6F002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4FF240FC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1BB3EF99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325,6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0FB7135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870,9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932FA0A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1 390,5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3AF07CF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CCB5031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206,6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6ED01FEB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2 842,2</w:t>
            </w:r>
          </w:p>
        </w:tc>
      </w:tr>
      <w:tr w:rsidR="00BF1239" w:rsidRPr="00785EB4" w14:paraId="41A3EEA6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6407D7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318DA88F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2884DB1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343,0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2194DAD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973,7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7FC5BF89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1 572,6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051D4DE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55,9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E602A48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197,7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0A42D9A3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3 142,9</w:t>
            </w:r>
          </w:p>
        </w:tc>
      </w:tr>
      <w:tr w:rsidR="00BF1239" w:rsidRPr="00785EB4" w14:paraId="26B44F7D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072521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32284020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D30DCFF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382,2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69B0684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1 082,8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455D4A9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1 815,7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BCC4803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76F37527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189,9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74E23FBE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3 531,4</w:t>
            </w:r>
          </w:p>
        </w:tc>
      </w:tr>
      <w:tr w:rsidR="00BF1239" w:rsidRPr="00785EB4" w14:paraId="13576137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5A44CD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180E56E0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9278026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399,8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7B6C3B85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1 188,7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2345821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2 004,1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D259260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56D430C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214,0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1BB1E97F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3 870,4</w:t>
            </w:r>
          </w:p>
        </w:tc>
      </w:tr>
      <w:tr w:rsidR="00BF1239" w:rsidRPr="00785EB4" w14:paraId="31831D24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3937AD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2019A045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1226484B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423,7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1B014D3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1 243,2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B1BC99B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2 149,8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41208D0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67,6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32E8F4AC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205,6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2DFF2D8C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4 089,8</w:t>
            </w:r>
          </w:p>
        </w:tc>
      </w:tr>
      <w:tr w:rsidR="00BF1239" w:rsidRPr="00785EB4" w14:paraId="33D2D27E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01BA49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73542B94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F18BB48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436,0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72D5B65C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1 242,7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BC1D558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2 179,7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622566E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71,6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E5A7C0D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200,1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4055BA24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4 130,1</w:t>
            </w:r>
          </w:p>
        </w:tc>
      </w:tr>
      <w:tr w:rsidR="00BF1239" w:rsidRPr="00785EB4" w14:paraId="167D8547" w14:textId="77777777" w:rsidTr="00AE3215">
        <w:trPr>
          <w:trHeight w:val="340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E1F654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545" w:type="pct"/>
            <w:shd w:val="clear" w:color="auto" w:fill="FFE7AC"/>
            <w:vAlign w:val="center"/>
            <w:hideMark/>
          </w:tcPr>
          <w:p w14:paraId="2CB3C417" w14:textId="77777777" w:rsidR="00785EB4" w:rsidRPr="00785EB4" w:rsidRDefault="00785E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7767C74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454,3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791164D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1 310,6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4116F99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2 298,4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BF32270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64,5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97D0511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226,5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7C384A0B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4 354,4</w:t>
            </w:r>
          </w:p>
        </w:tc>
      </w:tr>
      <w:tr w:rsidR="00BF1239" w:rsidRPr="00785EB4" w14:paraId="6646F12E" w14:textId="77777777" w:rsidTr="00AE3215">
        <w:trPr>
          <w:trHeight w:val="397"/>
        </w:trPr>
        <w:tc>
          <w:tcPr>
            <w:tcW w:w="625" w:type="pct"/>
            <w:shd w:val="clear" w:color="000000" w:fill="DCA8B3"/>
            <w:noWrap/>
            <w:vAlign w:val="center"/>
            <w:hideMark/>
          </w:tcPr>
          <w:p w14:paraId="686EC33E" w14:textId="77777777" w:rsidR="00785EB4" w:rsidRPr="00785EB4" w:rsidRDefault="00785EB4" w:rsidP="00AF3A3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45" w:type="pct"/>
            <w:shd w:val="clear" w:color="000000" w:fill="DCA8B3"/>
            <w:vAlign w:val="center"/>
            <w:hideMark/>
          </w:tcPr>
          <w:p w14:paraId="7C45022D" w14:textId="60AC2A74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5" w:type="pct"/>
            <w:shd w:val="clear" w:color="000000" w:fill="DCA8B3"/>
            <w:noWrap/>
            <w:vAlign w:val="center"/>
            <w:hideMark/>
          </w:tcPr>
          <w:p w14:paraId="7E7184AF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3 354,1</w:t>
            </w:r>
          </w:p>
        </w:tc>
        <w:tc>
          <w:tcPr>
            <w:tcW w:w="625" w:type="pct"/>
            <w:shd w:val="clear" w:color="000000" w:fill="DCA8B3"/>
            <w:vAlign w:val="center"/>
            <w:hideMark/>
          </w:tcPr>
          <w:p w14:paraId="63FC3604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9 528,8</w:t>
            </w:r>
          </w:p>
        </w:tc>
        <w:tc>
          <w:tcPr>
            <w:tcW w:w="625" w:type="pct"/>
            <w:shd w:val="clear" w:color="000000" w:fill="DCA8B3"/>
            <w:vAlign w:val="center"/>
            <w:hideMark/>
          </w:tcPr>
          <w:p w14:paraId="5DB12ED0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15 963,9</w:t>
            </w:r>
          </w:p>
        </w:tc>
        <w:tc>
          <w:tcPr>
            <w:tcW w:w="625" w:type="pct"/>
            <w:shd w:val="clear" w:color="000000" w:fill="DCA8B3"/>
            <w:vAlign w:val="center"/>
            <w:hideMark/>
          </w:tcPr>
          <w:p w14:paraId="715DC8F6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529,8</w:t>
            </w:r>
          </w:p>
        </w:tc>
        <w:tc>
          <w:tcPr>
            <w:tcW w:w="625" w:type="pct"/>
            <w:shd w:val="clear" w:color="000000" w:fill="DCA8B3"/>
            <w:vAlign w:val="center"/>
            <w:hideMark/>
          </w:tcPr>
          <w:p w14:paraId="35F378AF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1 902,6</w:t>
            </w:r>
          </w:p>
        </w:tc>
        <w:tc>
          <w:tcPr>
            <w:tcW w:w="625" w:type="pct"/>
            <w:shd w:val="clear" w:color="000000" w:fill="DCA8B3"/>
            <w:noWrap/>
            <w:vAlign w:val="bottom"/>
            <w:hideMark/>
          </w:tcPr>
          <w:p w14:paraId="58699A07" w14:textId="77777777" w:rsidR="00785EB4" w:rsidRPr="00785EB4" w:rsidRDefault="00785EB4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31 279,2</w:t>
            </w:r>
          </w:p>
        </w:tc>
      </w:tr>
    </w:tbl>
    <w:p w14:paraId="30C689F5" w14:textId="695CC2F5" w:rsidR="00B517DF" w:rsidRDefault="00B517DF" w:rsidP="00AE3215">
      <w:pPr>
        <w:spacing w:before="40" w:after="0" w:line="256" w:lineRule="auto"/>
        <w:rPr>
          <w:sz w:val="20"/>
          <w:szCs w:val="20"/>
        </w:rPr>
      </w:pPr>
      <w:r w:rsidRPr="001F42D9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990355">
        <w:rPr>
          <w:sz w:val="20"/>
          <w:szCs w:val="20"/>
        </w:rPr>
        <w:t xml:space="preserve">informační portál </w:t>
      </w:r>
      <w:r w:rsidRPr="00AD512E">
        <w:rPr>
          <w:sz w:val="20"/>
          <w:szCs w:val="20"/>
        </w:rPr>
        <w:t xml:space="preserve">MONITOR, </w:t>
      </w:r>
      <w:r>
        <w:rPr>
          <w:sz w:val="20"/>
          <w:szCs w:val="20"/>
        </w:rPr>
        <w:t>doklady MPSV, MŠMT a MZd</w:t>
      </w:r>
      <w:r w:rsidR="00990355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AD512E">
        <w:rPr>
          <w:sz w:val="20"/>
          <w:szCs w:val="20"/>
        </w:rPr>
        <w:t>vlastní zpracování NKÚ.</w:t>
      </w:r>
    </w:p>
    <w:p w14:paraId="15706649" w14:textId="4EA4C3B6" w:rsidR="0075641E" w:rsidRDefault="0075641E" w:rsidP="001F42D9">
      <w:pPr>
        <w:spacing w:after="0" w:line="256" w:lineRule="auto"/>
        <w:ind w:left="567" w:hanging="567"/>
        <w:rPr>
          <w:sz w:val="20"/>
          <w:szCs w:val="20"/>
        </w:rPr>
      </w:pPr>
      <w:r w:rsidRPr="001F42D9">
        <w:rPr>
          <w:b/>
          <w:sz w:val="20"/>
          <w:szCs w:val="20"/>
        </w:rPr>
        <w:t>Pozn.</w:t>
      </w:r>
      <w:r w:rsidR="00C114C8" w:rsidRPr="001F42D9">
        <w:rPr>
          <w:b/>
          <w:bCs/>
          <w:sz w:val="20"/>
          <w:szCs w:val="20"/>
        </w:rPr>
        <w:t>:</w:t>
      </w:r>
      <w:r w:rsidRPr="00990355">
        <w:rPr>
          <w:sz w:val="20"/>
          <w:szCs w:val="20"/>
        </w:rPr>
        <w:t xml:space="preserve"> </w:t>
      </w:r>
      <w:r w:rsidR="00990355">
        <w:rPr>
          <w:sz w:val="20"/>
          <w:szCs w:val="20"/>
        </w:rPr>
        <w:tab/>
        <w:t>Ve sloupci „d</w:t>
      </w:r>
      <w:r w:rsidRPr="00AD512E">
        <w:rPr>
          <w:sz w:val="20"/>
          <w:szCs w:val="20"/>
        </w:rPr>
        <w:t>ětské domovy pro děti do 3 let věku</w:t>
      </w:r>
      <w:r w:rsidR="00990355">
        <w:rPr>
          <w:sz w:val="20"/>
          <w:szCs w:val="20"/>
        </w:rPr>
        <w:t>“</w:t>
      </w:r>
      <w:r w:rsidRPr="00AD512E">
        <w:rPr>
          <w:sz w:val="20"/>
          <w:szCs w:val="20"/>
        </w:rPr>
        <w:t xml:space="preserve"> </w:t>
      </w:r>
      <w:r w:rsidR="00990355">
        <w:rPr>
          <w:sz w:val="20"/>
          <w:szCs w:val="20"/>
        </w:rPr>
        <w:t>jsou uvedeny</w:t>
      </w:r>
      <w:r w:rsidRPr="00AD512E">
        <w:rPr>
          <w:sz w:val="20"/>
          <w:szCs w:val="20"/>
        </w:rPr>
        <w:t xml:space="preserve"> výdaje pouze jednoho provozovaného zařízení MZd</w:t>
      </w:r>
      <w:r w:rsidR="00946A7D">
        <w:rPr>
          <w:sz w:val="20"/>
          <w:szCs w:val="20"/>
        </w:rPr>
        <w:t>.</w:t>
      </w:r>
    </w:p>
    <w:p w14:paraId="66FF95C9" w14:textId="77777777" w:rsidR="00433EE4" w:rsidRDefault="00433EE4" w:rsidP="00AE3215">
      <w:pPr>
        <w:pStyle w:val="Titulek"/>
        <w:spacing w:before="120" w:after="0" w:line="256" w:lineRule="auto"/>
        <w:rPr>
          <w:b/>
          <w:i w:val="0"/>
          <w:color w:val="auto"/>
          <w:sz w:val="24"/>
          <w:szCs w:val="24"/>
        </w:rPr>
      </w:pPr>
    </w:p>
    <w:p w14:paraId="45A57B50" w14:textId="56D37BCC" w:rsidR="0075641E" w:rsidRPr="0075641E" w:rsidRDefault="0075641E" w:rsidP="00AE3215">
      <w:pPr>
        <w:pStyle w:val="Titulek"/>
        <w:tabs>
          <w:tab w:val="right" w:pos="9072"/>
        </w:tabs>
        <w:spacing w:after="40" w:line="256" w:lineRule="auto"/>
        <w:rPr>
          <w:b/>
          <w:i w:val="0"/>
          <w:color w:val="auto"/>
          <w:sz w:val="24"/>
          <w:szCs w:val="24"/>
        </w:rPr>
      </w:pPr>
      <w:r w:rsidRPr="0075641E">
        <w:rPr>
          <w:b/>
          <w:i w:val="0"/>
          <w:color w:val="auto"/>
          <w:sz w:val="24"/>
          <w:szCs w:val="24"/>
        </w:rPr>
        <w:t>Tabulka č.</w:t>
      </w:r>
      <w:r w:rsidR="00AC2005">
        <w:rPr>
          <w:b/>
          <w:i w:val="0"/>
          <w:color w:val="auto"/>
          <w:sz w:val="24"/>
          <w:szCs w:val="24"/>
        </w:rPr>
        <w:t xml:space="preserve"> 5</w:t>
      </w:r>
      <w:r w:rsidR="0033065D">
        <w:rPr>
          <w:b/>
          <w:i w:val="0"/>
          <w:color w:val="auto"/>
          <w:sz w:val="24"/>
          <w:szCs w:val="24"/>
        </w:rPr>
        <w:t>:</w:t>
      </w:r>
      <w:r w:rsidRPr="0075641E">
        <w:rPr>
          <w:b/>
          <w:i w:val="0"/>
          <w:color w:val="auto"/>
          <w:sz w:val="24"/>
          <w:szCs w:val="24"/>
        </w:rPr>
        <w:t xml:space="preserve"> Výdaje MPSV na pěstounskou péči a výkon</w:t>
      </w:r>
      <w:r w:rsidR="000750CA">
        <w:rPr>
          <w:b/>
          <w:i w:val="0"/>
          <w:color w:val="auto"/>
          <w:sz w:val="24"/>
          <w:szCs w:val="24"/>
        </w:rPr>
        <w:t xml:space="preserve"> agendy</w:t>
      </w:r>
      <w:r w:rsidRPr="0075641E">
        <w:rPr>
          <w:b/>
          <w:i w:val="0"/>
          <w:color w:val="auto"/>
          <w:sz w:val="24"/>
          <w:szCs w:val="24"/>
        </w:rPr>
        <w:t xml:space="preserve"> SPOD</w:t>
      </w:r>
      <w:r w:rsidR="006437ED">
        <w:rPr>
          <w:b/>
          <w:i w:val="0"/>
          <w:color w:val="auto"/>
          <w:sz w:val="24"/>
          <w:szCs w:val="24"/>
        </w:rPr>
        <w:t xml:space="preserve"> </w:t>
      </w:r>
      <w:r w:rsidR="00D15E74">
        <w:rPr>
          <w:b/>
          <w:i w:val="0"/>
          <w:color w:val="auto"/>
          <w:sz w:val="24"/>
          <w:szCs w:val="24"/>
        </w:rPr>
        <w:tab/>
      </w:r>
      <w:r w:rsidR="006437ED">
        <w:rPr>
          <w:b/>
          <w:i w:val="0"/>
          <w:color w:val="auto"/>
          <w:sz w:val="24"/>
          <w:szCs w:val="24"/>
        </w:rPr>
        <w:t>(v mil.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46"/>
        <w:gridCol w:w="3608"/>
      </w:tblGrid>
      <w:tr w:rsidR="00785EB4" w:rsidRPr="00785EB4" w14:paraId="5889033E" w14:textId="77777777" w:rsidTr="00AE3215">
        <w:trPr>
          <w:trHeight w:val="794"/>
        </w:trPr>
        <w:tc>
          <w:tcPr>
            <w:tcW w:w="1218" w:type="pct"/>
            <w:shd w:val="clear" w:color="auto" w:fill="E6E6E6"/>
            <w:noWrap/>
            <w:vAlign w:val="center"/>
            <w:hideMark/>
          </w:tcPr>
          <w:p w14:paraId="73D18973" w14:textId="21F50738" w:rsidR="00785EB4" w:rsidRPr="00785EB4" w:rsidRDefault="0008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791" w:type="pct"/>
            <w:shd w:val="clear" w:color="auto" w:fill="E6E6E6"/>
            <w:vAlign w:val="center"/>
            <w:hideMark/>
          </w:tcPr>
          <w:p w14:paraId="4892E3E8" w14:textId="77777777" w:rsidR="00785EB4" w:rsidRPr="00785EB4" w:rsidRDefault="00785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Dávky pěstounské péče vč. příspěvku na výkon pěstounské péče</w:t>
            </w:r>
          </w:p>
        </w:tc>
        <w:tc>
          <w:tcPr>
            <w:tcW w:w="1991" w:type="pct"/>
            <w:shd w:val="clear" w:color="auto" w:fill="E6E6E6"/>
            <w:vAlign w:val="center"/>
            <w:hideMark/>
          </w:tcPr>
          <w:p w14:paraId="463E211C" w14:textId="77777777" w:rsidR="00785EB4" w:rsidRPr="00785EB4" w:rsidRDefault="00785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Dotace/transfery na výkon SPOD</w:t>
            </w:r>
          </w:p>
        </w:tc>
      </w:tr>
      <w:tr w:rsidR="00785EB4" w:rsidRPr="00785EB4" w14:paraId="765417BB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1B4E33B9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2222FDA6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3 597,8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3369A10C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1 097,3</w:t>
            </w:r>
          </w:p>
        </w:tc>
      </w:tr>
      <w:tr w:rsidR="00785EB4" w:rsidRPr="00785EB4" w14:paraId="553442C5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131F60FD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35D88DB9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3 577,0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4FC1B471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1 182,7</w:t>
            </w:r>
          </w:p>
        </w:tc>
      </w:tr>
      <w:tr w:rsidR="00785EB4" w:rsidRPr="00785EB4" w14:paraId="2BF25896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50F252BC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7B5CE7F6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3 817,1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363BB743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1 312,8</w:t>
            </w:r>
          </w:p>
        </w:tc>
      </w:tr>
      <w:tr w:rsidR="00785EB4" w:rsidRPr="00785EB4" w14:paraId="0AF57CC9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0B3D44C4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4883D79D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5 106,1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04F375A9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1 339,3</w:t>
            </w:r>
          </w:p>
        </w:tc>
      </w:tr>
      <w:tr w:rsidR="00785EB4" w:rsidRPr="00785EB4" w14:paraId="5AD67225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06C0DAD4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2F97A626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5 181,2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67CDBCF2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1 504,5</w:t>
            </w:r>
          </w:p>
        </w:tc>
      </w:tr>
      <w:tr w:rsidR="00785EB4" w:rsidRPr="00785EB4" w14:paraId="24EE6577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6FE5D44C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5F0E6629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5 283,4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46722B28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1 631,1</w:t>
            </w:r>
          </w:p>
        </w:tc>
      </w:tr>
      <w:tr w:rsidR="00785EB4" w:rsidRPr="00785EB4" w14:paraId="0C41EB12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68B74817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5A558D98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5 263,1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1F25E7FF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1 710,0</w:t>
            </w:r>
          </w:p>
        </w:tc>
      </w:tr>
      <w:tr w:rsidR="00785EB4" w:rsidRPr="00785EB4" w14:paraId="1F08757E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57E3C550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58157B9B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4 776,6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4B33D894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1 654,0</w:t>
            </w:r>
          </w:p>
        </w:tc>
      </w:tr>
      <w:tr w:rsidR="00785EB4" w:rsidRPr="00785EB4" w14:paraId="2BAA466E" w14:textId="77777777" w:rsidTr="00AE3215">
        <w:trPr>
          <w:trHeight w:val="340"/>
        </w:trPr>
        <w:tc>
          <w:tcPr>
            <w:tcW w:w="1218" w:type="pct"/>
            <w:shd w:val="clear" w:color="auto" w:fill="auto"/>
            <w:noWrap/>
            <w:vAlign w:val="center"/>
            <w:hideMark/>
          </w:tcPr>
          <w:p w14:paraId="22902071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791" w:type="pct"/>
            <w:shd w:val="clear" w:color="auto" w:fill="auto"/>
            <w:vAlign w:val="center"/>
            <w:hideMark/>
          </w:tcPr>
          <w:p w14:paraId="0E395556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5 551,0</w:t>
            </w:r>
          </w:p>
        </w:tc>
        <w:tc>
          <w:tcPr>
            <w:tcW w:w="1991" w:type="pct"/>
            <w:shd w:val="clear" w:color="auto" w:fill="auto"/>
            <w:noWrap/>
            <w:vAlign w:val="center"/>
            <w:hideMark/>
          </w:tcPr>
          <w:p w14:paraId="488B8641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1 883,9</w:t>
            </w:r>
          </w:p>
        </w:tc>
      </w:tr>
      <w:tr w:rsidR="00785EB4" w:rsidRPr="00785EB4" w14:paraId="66F39E33" w14:textId="77777777" w:rsidTr="00AE3215">
        <w:trPr>
          <w:trHeight w:val="397"/>
        </w:trPr>
        <w:tc>
          <w:tcPr>
            <w:tcW w:w="1218" w:type="pct"/>
            <w:shd w:val="clear" w:color="000000" w:fill="DCA8B3"/>
            <w:noWrap/>
            <w:vAlign w:val="center"/>
            <w:hideMark/>
          </w:tcPr>
          <w:p w14:paraId="3E5CA322" w14:textId="77777777" w:rsidR="00785EB4" w:rsidRPr="00785EB4" w:rsidRDefault="00785EB4" w:rsidP="00AF3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1" w:type="pct"/>
            <w:shd w:val="clear" w:color="000000" w:fill="DCA8B3"/>
            <w:vAlign w:val="center"/>
            <w:hideMark/>
          </w:tcPr>
          <w:p w14:paraId="02EB1989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42 153,4</w:t>
            </w:r>
          </w:p>
        </w:tc>
        <w:tc>
          <w:tcPr>
            <w:tcW w:w="1991" w:type="pct"/>
            <w:shd w:val="clear" w:color="000000" w:fill="DCA8B3"/>
            <w:noWrap/>
            <w:vAlign w:val="center"/>
            <w:hideMark/>
          </w:tcPr>
          <w:p w14:paraId="103F4981" w14:textId="77777777" w:rsidR="00785EB4" w:rsidRPr="00785EB4" w:rsidRDefault="00785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5E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13 315,6</w:t>
            </w:r>
          </w:p>
        </w:tc>
      </w:tr>
    </w:tbl>
    <w:p w14:paraId="1BFE39D5" w14:textId="34847263" w:rsidR="0075641E" w:rsidRDefault="0075641E" w:rsidP="001F42D9">
      <w:pPr>
        <w:spacing w:before="40" w:after="120" w:line="240" w:lineRule="auto"/>
        <w:rPr>
          <w:sz w:val="20"/>
          <w:szCs w:val="20"/>
        </w:rPr>
      </w:pPr>
      <w:r w:rsidRPr="001F42D9">
        <w:rPr>
          <w:b/>
          <w:sz w:val="20"/>
          <w:szCs w:val="20"/>
        </w:rPr>
        <w:t>Zdroj:</w:t>
      </w:r>
      <w:r w:rsidRPr="00AD512E">
        <w:rPr>
          <w:sz w:val="20"/>
          <w:szCs w:val="20"/>
        </w:rPr>
        <w:t xml:space="preserve"> </w:t>
      </w:r>
      <w:r w:rsidR="00D15E74">
        <w:rPr>
          <w:sz w:val="20"/>
          <w:szCs w:val="20"/>
        </w:rPr>
        <w:t xml:space="preserve">informační portál </w:t>
      </w:r>
      <w:r w:rsidRPr="00AD512E">
        <w:rPr>
          <w:sz w:val="20"/>
          <w:szCs w:val="20"/>
        </w:rPr>
        <w:t xml:space="preserve">MONITOR, </w:t>
      </w:r>
      <w:r>
        <w:rPr>
          <w:sz w:val="20"/>
          <w:szCs w:val="20"/>
        </w:rPr>
        <w:t xml:space="preserve">doklady </w:t>
      </w:r>
      <w:r w:rsidR="00734509">
        <w:rPr>
          <w:sz w:val="20"/>
          <w:szCs w:val="20"/>
        </w:rPr>
        <w:t>MPSV</w:t>
      </w:r>
      <w:r w:rsidR="00D15E7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AD512E">
        <w:rPr>
          <w:sz w:val="20"/>
          <w:szCs w:val="20"/>
        </w:rPr>
        <w:t>vlastní zpracování NKÚ.</w:t>
      </w:r>
    </w:p>
    <w:p w14:paraId="7E3AE2ED" w14:textId="77777777" w:rsidR="00137B93" w:rsidRPr="00137B93" w:rsidRDefault="00137B93">
      <w:pPr>
        <w:spacing w:after="0"/>
      </w:pPr>
    </w:p>
    <w:p w14:paraId="260FB21E" w14:textId="60B7DD56" w:rsidR="00FA685B" w:rsidRPr="00FA685B" w:rsidRDefault="00FA685B" w:rsidP="00AC2005">
      <w:pPr>
        <w:pStyle w:val="Titulek"/>
        <w:keepNext/>
        <w:tabs>
          <w:tab w:val="right" w:pos="9072"/>
        </w:tabs>
        <w:spacing w:after="40"/>
        <w:ind w:left="964" w:hanging="964"/>
        <w:rPr>
          <w:b/>
          <w:i w:val="0"/>
          <w:color w:val="auto"/>
          <w:sz w:val="24"/>
          <w:szCs w:val="24"/>
        </w:rPr>
      </w:pPr>
      <w:r w:rsidRPr="00FA685B">
        <w:rPr>
          <w:b/>
          <w:i w:val="0"/>
          <w:color w:val="auto"/>
          <w:sz w:val="24"/>
          <w:szCs w:val="24"/>
        </w:rPr>
        <w:t>Graf č.</w:t>
      </w:r>
      <w:r w:rsidR="00AC2005">
        <w:rPr>
          <w:b/>
          <w:i w:val="0"/>
          <w:color w:val="auto"/>
          <w:sz w:val="24"/>
          <w:szCs w:val="24"/>
        </w:rPr>
        <w:t xml:space="preserve"> 1</w:t>
      </w:r>
      <w:r w:rsidR="0033065D">
        <w:rPr>
          <w:b/>
          <w:i w:val="0"/>
          <w:color w:val="auto"/>
          <w:sz w:val="24"/>
          <w:szCs w:val="24"/>
        </w:rPr>
        <w:t>:</w:t>
      </w:r>
      <w:r w:rsidR="0033065D">
        <w:rPr>
          <w:b/>
          <w:i w:val="0"/>
          <w:color w:val="auto"/>
          <w:sz w:val="24"/>
          <w:szCs w:val="24"/>
        </w:rPr>
        <w:tab/>
      </w:r>
      <w:r w:rsidR="00464F29">
        <w:rPr>
          <w:b/>
          <w:i w:val="0"/>
          <w:color w:val="auto"/>
          <w:sz w:val="24"/>
          <w:szCs w:val="24"/>
        </w:rPr>
        <w:t>P</w:t>
      </w:r>
      <w:r w:rsidRPr="00FA685B">
        <w:rPr>
          <w:b/>
          <w:i w:val="0"/>
          <w:color w:val="auto"/>
          <w:sz w:val="24"/>
          <w:szCs w:val="24"/>
        </w:rPr>
        <w:t xml:space="preserve">řehled </w:t>
      </w:r>
      <w:r w:rsidR="00464F29">
        <w:rPr>
          <w:b/>
          <w:i w:val="0"/>
          <w:color w:val="auto"/>
          <w:sz w:val="24"/>
          <w:szCs w:val="24"/>
        </w:rPr>
        <w:t xml:space="preserve">celkové </w:t>
      </w:r>
      <w:r w:rsidRPr="00FA685B">
        <w:rPr>
          <w:b/>
          <w:i w:val="0"/>
          <w:color w:val="auto"/>
          <w:sz w:val="24"/>
          <w:szCs w:val="24"/>
        </w:rPr>
        <w:t xml:space="preserve">výše výdajů </w:t>
      </w:r>
      <w:r w:rsidR="00464F29">
        <w:rPr>
          <w:b/>
          <w:i w:val="0"/>
          <w:color w:val="auto"/>
          <w:sz w:val="24"/>
          <w:szCs w:val="24"/>
        </w:rPr>
        <w:t xml:space="preserve">za ústavní a pěstounskou péči a </w:t>
      </w:r>
      <w:r w:rsidR="00C04C21">
        <w:rPr>
          <w:b/>
          <w:i w:val="0"/>
          <w:color w:val="auto"/>
          <w:sz w:val="24"/>
          <w:szCs w:val="24"/>
        </w:rPr>
        <w:t xml:space="preserve">výkon </w:t>
      </w:r>
      <w:r w:rsidR="00464F29">
        <w:rPr>
          <w:b/>
          <w:i w:val="0"/>
          <w:color w:val="auto"/>
          <w:sz w:val="24"/>
          <w:szCs w:val="24"/>
        </w:rPr>
        <w:t>agend</w:t>
      </w:r>
      <w:r w:rsidR="00C04C21">
        <w:rPr>
          <w:b/>
          <w:i w:val="0"/>
          <w:color w:val="auto"/>
          <w:sz w:val="24"/>
          <w:szCs w:val="24"/>
        </w:rPr>
        <w:t>y</w:t>
      </w:r>
      <w:r w:rsidR="00464F29">
        <w:rPr>
          <w:b/>
          <w:i w:val="0"/>
          <w:color w:val="auto"/>
          <w:sz w:val="24"/>
          <w:szCs w:val="24"/>
        </w:rPr>
        <w:t xml:space="preserve"> SPOD </w:t>
      </w:r>
      <w:r w:rsidRPr="00FA685B">
        <w:rPr>
          <w:b/>
          <w:i w:val="0"/>
          <w:color w:val="auto"/>
          <w:sz w:val="24"/>
          <w:szCs w:val="24"/>
        </w:rPr>
        <w:t xml:space="preserve">v letech 2015–2023 </w:t>
      </w:r>
      <w:r w:rsidR="00D15E74">
        <w:rPr>
          <w:b/>
          <w:i w:val="0"/>
          <w:color w:val="auto"/>
          <w:sz w:val="24"/>
          <w:szCs w:val="24"/>
        </w:rPr>
        <w:tab/>
        <w:t>(</w:t>
      </w:r>
      <w:r w:rsidRPr="00FA685B">
        <w:rPr>
          <w:b/>
          <w:i w:val="0"/>
          <w:color w:val="auto"/>
          <w:sz w:val="24"/>
          <w:szCs w:val="24"/>
        </w:rPr>
        <w:t>v</w:t>
      </w:r>
      <w:r w:rsidR="00C423DB">
        <w:rPr>
          <w:b/>
          <w:i w:val="0"/>
          <w:color w:val="auto"/>
          <w:sz w:val="24"/>
          <w:szCs w:val="24"/>
        </w:rPr>
        <w:t> </w:t>
      </w:r>
      <w:r w:rsidRPr="00FA685B">
        <w:rPr>
          <w:b/>
          <w:i w:val="0"/>
          <w:color w:val="auto"/>
          <w:sz w:val="24"/>
          <w:szCs w:val="24"/>
        </w:rPr>
        <w:t>mil</w:t>
      </w:r>
      <w:r w:rsidR="00C423DB">
        <w:rPr>
          <w:b/>
          <w:i w:val="0"/>
          <w:color w:val="auto"/>
          <w:sz w:val="24"/>
          <w:szCs w:val="24"/>
        </w:rPr>
        <w:t>.</w:t>
      </w:r>
      <w:r w:rsidRPr="00FA685B">
        <w:rPr>
          <w:b/>
          <w:i w:val="0"/>
          <w:color w:val="auto"/>
          <w:sz w:val="24"/>
          <w:szCs w:val="24"/>
        </w:rPr>
        <w:t xml:space="preserve"> Kč</w:t>
      </w:r>
      <w:r w:rsidR="00D15E74">
        <w:rPr>
          <w:b/>
          <w:i w:val="0"/>
          <w:color w:val="auto"/>
          <w:sz w:val="24"/>
          <w:szCs w:val="24"/>
        </w:rPr>
        <w:t>)</w:t>
      </w:r>
    </w:p>
    <w:p w14:paraId="17399F0B" w14:textId="55EC243D" w:rsidR="00781E16" w:rsidRDefault="00781E16" w:rsidP="002C41A0">
      <w:pPr>
        <w:pStyle w:val="Nadpis2"/>
        <w:numPr>
          <w:ilvl w:val="0"/>
          <w:numId w:val="0"/>
        </w:numPr>
        <w:rPr>
          <w:lang w:eastAsia="en-US"/>
        </w:rPr>
      </w:pPr>
      <w:r>
        <w:rPr>
          <w:noProof/>
        </w:rPr>
        <w:drawing>
          <wp:inline distT="0" distB="0" distL="0" distR="0" wp14:anchorId="6B678969" wp14:editId="04F6861B">
            <wp:extent cx="5753100" cy="3228975"/>
            <wp:effectExtent l="0" t="0" r="0" b="952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8B69235-E6E9-4CC9-83E3-2167E88E55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C1423F2" w14:textId="680736F4" w:rsidR="00C723CA" w:rsidRDefault="00C723CA">
      <w:pPr>
        <w:spacing w:before="40" w:after="240" w:line="240" w:lineRule="auto"/>
        <w:rPr>
          <w:sz w:val="20"/>
          <w:szCs w:val="20"/>
        </w:rPr>
      </w:pPr>
      <w:r w:rsidRPr="001F42D9">
        <w:rPr>
          <w:b/>
          <w:sz w:val="20"/>
          <w:szCs w:val="20"/>
        </w:rPr>
        <w:t>Zdroj:</w:t>
      </w:r>
      <w:r w:rsidRPr="00AD512E">
        <w:rPr>
          <w:sz w:val="20"/>
          <w:szCs w:val="20"/>
        </w:rPr>
        <w:t xml:space="preserve"> </w:t>
      </w:r>
      <w:r w:rsidR="00D15E74">
        <w:rPr>
          <w:sz w:val="20"/>
          <w:szCs w:val="20"/>
        </w:rPr>
        <w:t xml:space="preserve">data získaná kontrolou; </w:t>
      </w:r>
      <w:r w:rsidRPr="00AD512E">
        <w:rPr>
          <w:sz w:val="20"/>
          <w:szCs w:val="20"/>
        </w:rPr>
        <w:t>vlastní zpracování NKÚ.</w:t>
      </w:r>
    </w:p>
    <w:p w14:paraId="429A49EB" w14:textId="03EC3241" w:rsidR="001C0C0B" w:rsidRPr="00666BD7" w:rsidRDefault="001441FE" w:rsidP="00AE321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480" w:after="240"/>
        <w:jc w:val="both"/>
        <w:rPr>
          <w:color w:val="C00000"/>
          <w:sz w:val="24"/>
        </w:rPr>
      </w:pPr>
      <w:bookmarkStart w:id="43" w:name="_Toc179807891"/>
      <w:bookmarkStart w:id="44" w:name="_Hlk176350848"/>
      <w:r w:rsidRPr="00666BD7">
        <w:rPr>
          <w:color w:val="C00000"/>
          <w:sz w:val="24"/>
        </w:rPr>
        <w:t xml:space="preserve">MPSV </w:t>
      </w:r>
      <w:r w:rsidR="00E41543">
        <w:rPr>
          <w:color w:val="C00000"/>
          <w:sz w:val="24"/>
        </w:rPr>
        <w:t>z</w:t>
      </w:r>
      <w:r w:rsidRPr="00666BD7">
        <w:rPr>
          <w:color w:val="C00000"/>
          <w:sz w:val="24"/>
        </w:rPr>
        <w:t xml:space="preserve">a 11 let </w:t>
      </w:r>
      <w:r w:rsidR="00E41543">
        <w:rPr>
          <w:color w:val="C00000"/>
          <w:sz w:val="24"/>
        </w:rPr>
        <w:t>ne</w:t>
      </w:r>
      <w:r w:rsidRPr="00666BD7">
        <w:rPr>
          <w:color w:val="C00000"/>
          <w:sz w:val="24"/>
        </w:rPr>
        <w:t>vytvoři</w:t>
      </w:r>
      <w:r w:rsidR="00E41543">
        <w:rPr>
          <w:color w:val="C00000"/>
          <w:sz w:val="24"/>
        </w:rPr>
        <w:t>lo</w:t>
      </w:r>
      <w:r w:rsidRPr="00666BD7">
        <w:rPr>
          <w:color w:val="C00000"/>
          <w:sz w:val="24"/>
        </w:rPr>
        <w:t xml:space="preserve"> </w:t>
      </w:r>
      <w:r w:rsidR="007377DD" w:rsidRPr="00666BD7">
        <w:rPr>
          <w:color w:val="C00000"/>
          <w:sz w:val="24"/>
        </w:rPr>
        <w:t>informační systém sociálně-právní ochrany dětí</w:t>
      </w:r>
      <w:r w:rsidR="00D15E74">
        <w:rPr>
          <w:color w:val="C00000"/>
          <w:sz w:val="24"/>
        </w:rPr>
        <w:t>,</w:t>
      </w:r>
      <w:r w:rsidRPr="00666BD7">
        <w:rPr>
          <w:color w:val="C00000"/>
          <w:sz w:val="24"/>
        </w:rPr>
        <w:t xml:space="preserve"> a </w:t>
      </w:r>
      <w:r w:rsidR="00E41543">
        <w:rPr>
          <w:color w:val="C00000"/>
          <w:sz w:val="24"/>
        </w:rPr>
        <w:t>ne</w:t>
      </w:r>
      <w:r w:rsidRPr="00666BD7">
        <w:rPr>
          <w:color w:val="C00000"/>
          <w:sz w:val="24"/>
        </w:rPr>
        <w:t>splni</w:t>
      </w:r>
      <w:r w:rsidR="00E41543">
        <w:rPr>
          <w:color w:val="C00000"/>
          <w:sz w:val="24"/>
        </w:rPr>
        <w:t>lo</w:t>
      </w:r>
      <w:r w:rsidRPr="00666BD7">
        <w:rPr>
          <w:color w:val="C00000"/>
          <w:sz w:val="24"/>
        </w:rPr>
        <w:t xml:space="preserve"> tak požadavky </w:t>
      </w:r>
      <w:r w:rsidR="007377DD" w:rsidRPr="00666BD7">
        <w:rPr>
          <w:color w:val="C00000"/>
          <w:sz w:val="24"/>
        </w:rPr>
        <w:t>zákona</w:t>
      </w:r>
      <w:bookmarkEnd w:id="43"/>
    </w:p>
    <w:p w14:paraId="3412A798" w14:textId="634617B0" w:rsidR="00CD47F7" w:rsidRDefault="00AA146E" w:rsidP="00347555">
      <w:pPr>
        <w:pStyle w:val="Nadpis2"/>
      </w:pPr>
      <w:bookmarkStart w:id="45" w:name="_Hlk176453068"/>
      <w:r>
        <w:t>Od roku 2013 má MPSV</w:t>
      </w:r>
      <w:r w:rsidR="00622A02">
        <w:t xml:space="preserve"> </w:t>
      </w:r>
      <w:r w:rsidR="00114D7E">
        <w:t xml:space="preserve">povinnost spravovat informační systém </w:t>
      </w:r>
      <w:r w:rsidR="00244A26">
        <w:t>sociálně</w:t>
      </w:r>
      <w:r w:rsidR="000B4A59">
        <w:t>-</w:t>
      </w:r>
      <w:r w:rsidR="00244A26">
        <w:t>právní ochrany dětí (IS SPOD)</w:t>
      </w:r>
      <w:r w:rsidR="00AB3274">
        <w:t>, který má</w:t>
      </w:r>
      <w:r w:rsidR="00244A26">
        <w:t xml:space="preserve"> podle </w:t>
      </w:r>
      <w:r w:rsidR="00FF40A4">
        <w:t xml:space="preserve">ustanovení </w:t>
      </w:r>
      <w:r w:rsidR="00244A26">
        <w:t>§</w:t>
      </w:r>
      <w:r w:rsidR="00FF40A4">
        <w:t xml:space="preserve"> </w:t>
      </w:r>
      <w:r w:rsidR="007F1117">
        <w:t>53a</w:t>
      </w:r>
      <w:r w:rsidR="00244A26">
        <w:t xml:space="preserve"> odst. 1</w:t>
      </w:r>
      <w:r>
        <w:t xml:space="preserve"> zákona o SPOD</w:t>
      </w:r>
      <w:r w:rsidR="00244A26">
        <w:t xml:space="preserve"> </w:t>
      </w:r>
      <w:r w:rsidR="00244A26" w:rsidRPr="00C7543D">
        <w:t>obsahova</w:t>
      </w:r>
      <w:r w:rsidR="00C7543D" w:rsidRPr="00C7543D">
        <w:t>t</w:t>
      </w:r>
      <w:r w:rsidR="00C7543D">
        <w:t xml:space="preserve"> údaje</w:t>
      </w:r>
      <w:r w:rsidR="00CD47F7">
        <w:t xml:space="preserve">: </w:t>
      </w:r>
    </w:p>
    <w:p w14:paraId="4AB44949" w14:textId="5EAF21E0" w:rsidR="00CD47F7" w:rsidRDefault="00CD47F7" w:rsidP="00AF3A3F">
      <w:pPr>
        <w:spacing w:after="0"/>
        <w:ind w:left="851" w:hanging="284"/>
        <w:rPr>
          <w:rFonts w:cs="Calibri"/>
          <w:i/>
          <w:color w:val="000000"/>
          <w:spacing w:val="2"/>
          <w:lang w:eastAsia="cs-CZ"/>
        </w:rPr>
      </w:pPr>
      <w:r>
        <w:rPr>
          <w:rFonts w:cs="Calibri"/>
          <w:i/>
          <w:color w:val="000000"/>
          <w:spacing w:val="2"/>
          <w:lang w:eastAsia="cs-CZ"/>
        </w:rPr>
        <w:t>a)</w:t>
      </w:r>
      <w:r w:rsidR="007B349B">
        <w:rPr>
          <w:rFonts w:cs="Calibri"/>
          <w:i/>
          <w:color w:val="000000"/>
          <w:spacing w:val="2"/>
          <w:lang w:eastAsia="cs-CZ"/>
        </w:rPr>
        <w:tab/>
      </w:r>
      <w:r>
        <w:rPr>
          <w:rFonts w:cs="Calibri"/>
          <w:i/>
          <w:color w:val="000000"/>
          <w:spacing w:val="2"/>
          <w:lang w:eastAsia="cs-CZ"/>
        </w:rPr>
        <w:t>o dávkách pěstounské péče a jejich výši, o žadatelích o tyto dávky a o příjemcích těchto dávek,</w:t>
      </w:r>
    </w:p>
    <w:p w14:paraId="016C51E9" w14:textId="19212E3D" w:rsidR="00CD47F7" w:rsidRDefault="00CD47F7">
      <w:pPr>
        <w:spacing w:after="0"/>
        <w:ind w:left="851" w:hanging="284"/>
        <w:rPr>
          <w:rFonts w:cs="Calibri"/>
          <w:i/>
          <w:color w:val="000000"/>
          <w:spacing w:val="2"/>
          <w:lang w:eastAsia="cs-CZ"/>
        </w:rPr>
      </w:pPr>
      <w:r>
        <w:rPr>
          <w:rFonts w:cs="Calibri"/>
          <w:i/>
          <w:color w:val="000000"/>
          <w:spacing w:val="2"/>
          <w:lang w:eastAsia="cs-CZ"/>
        </w:rPr>
        <w:t>b)</w:t>
      </w:r>
      <w:r w:rsidR="007B349B">
        <w:rPr>
          <w:rFonts w:cs="Calibri"/>
          <w:i/>
          <w:color w:val="000000"/>
          <w:spacing w:val="2"/>
          <w:lang w:eastAsia="cs-CZ"/>
        </w:rPr>
        <w:tab/>
      </w:r>
      <w:r>
        <w:rPr>
          <w:rFonts w:cs="Calibri"/>
          <w:i/>
          <w:color w:val="000000"/>
          <w:spacing w:val="2"/>
          <w:lang w:eastAsia="cs-CZ"/>
        </w:rPr>
        <w:t>o žadatelích o zprostředkování osvojení nebo pěstounské péče a o dětech zařazených v</w:t>
      </w:r>
      <w:r w:rsidR="00412CB4">
        <w:rPr>
          <w:rFonts w:cs="Calibri"/>
          <w:i/>
          <w:color w:val="000000"/>
          <w:spacing w:val="2"/>
          <w:lang w:eastAsia="cs-CZ"/>
        </w:rPr>
        <w:t> </w:t>
      </w:r>
      <w:r>
        <w:rPr>
          <w:rFonts w:cs="Calibri"/>
          <w:i/>
          <w:color w:val="000000"/>
          <w:spacing w:val="2"/>
          <w:lang w:eastAsia="cs-CZ"/>
        </w:rPr>
        <w:t>evidenci dětí pro zprostředkování osvojení nebo pěstounské péče,</w:t>
      </w:r>
    </w:p>
    <w:p w14:paraId="338F09B3" w14:textId="28F7A5FD" w:rsidR="00AA146E" w:rsidRDefault="00CD47F7">
      <w:pPr>
        <w:spacing w:after="0"/>
        <w:ind w:left="851" w:hanging="284"/>
        <w:rPr>
          <w:rFonts w:cs="Calibri"/>
          <w:i/>
          <w:color w:val="000000"/>
          <w:spacing w:val="2"/>
          <w:lang w:eastAsia="cs-CZ"/>
        </w:rPr>
      </w:pPr>
      <w:r>
        <w:rPr>
          <w:rFonts w:cs="Calibri"/>
          <w:i/>
          <w:color w:val="000000"/>
          <w:spacing w:val="2"/>
          <w:lang w:eastAsia="cs-CZ"/>
        </w:rPr>
        <w:t>c)</w:t>
      </w:r>
      <w:r w:rsidR="007B349B">
        <w:rPr>
          <w:rFonts w:cs="Calibri"/>
          <w:i/>
          <w:color w:val="000000"/>
          <w:spacing w:val="2"/>
          <w:lang w:eastAsia="cs-CZ"/>
        </w:rPr>
        <w:tab/>
      </w:r>
      <w:r>
        <w:rPr>
          <w:rFonts w:cs="Calibri"/>
          <w:i/>
          <w:color w:val="000000"/>
          <w:spacing w:val="2"/>
          <w:lang w:eastAsia="cs-CZ"/>
        </w:rPr>
        <w:t>o osobách v</w:t>
      </w:r>
      <w:r w:rsidR="00412CB4">
        <w:rPr>
          <w:rFonts w:cs="Calibri"/>
          <w:i/>
          <w:color w:val="000000"/>
          <w:spacing w:val="2"/>
          <w:lang w:eastAsia="cs-CZ"/>
        </w:rPr>
        <w:t> </w:t>
      </w:r>
      <w:r>
        <w:rPr>
          <w:rFonts w:cs="Calibri"/>
          <w:i/>
          <w:color w:val="000000"/>
          <w:spacing w:val="2"/>
          <w:lang w:eastAsia="cs-CZ"/>
        </w:rPr>
        <w:t>evidenci.</w:t>
      </w:r>
    </w:p>
    <w:p w14:paraId="1173D865" w14:textId="096BBB79" w:rsidR="00AA146E" w:rsidRDefault="00C7543D" w:rsidP="00AE3215">
      <w:pPr>
        <w:spacing w:before="80" w:after="120"/>
        <w:ind w:left="567"/>
        <w:rPr>
          <w:lang w:eastAsia="cs-CZ"/>
        </w:rPr>
      </w:pPr>
      <w:r>
        <w:rPr>
          <w:lang w:eastAsia="cs-CZ"/>
        </w:rPr>
        <w:t>NKÚ</w:t>
      </w:r>
      <w:r w:rsidR="00AF2F2A">
        <w:rPr>
          <w:lang w:eastAsia="cs-CZ"/>
        </w:rPr>
        <w:t xml:space="preserve"> zjistil, že</w:t>
      </w:r>
      <w:r w:rsidR="00AA146E">
        <w:rPr>
          <w:lang w:eastAsia="cs-CZ"/>
        </w:rPr>
        <w:t xml:space="preserve"> </w:t>
      </w:r>
      <w:r w:rsidR="00537452">
        <w:rPr>
          <w:lang w:eastAsia="cs-CZ"/>
        </w:rPr>
        <w:t>údaje o dávkách</w:t>
      </w:r>
      <w:r w:rsidR="00277378">
        <w:rPr>
          <w:lang w:eastAsia="cs-CZ"/>
        </w:rPr>
        <w:t xml:space="preserve">, </w:t>
      </w:r>
      <w:r w:rsidR="00537452">
        <w:rPr>
          <w:lang w:eastAsia="cs-CZ"/>
        </w:rPr>
        <w:t xml:space="preserve">jejich výši a o příjemcích těchto dávek </w:t>
      </w:r>
      <w:r w:rsidR="00AA146E">
        <w:rPr>
          <w:lang w:eastAsia="cs-CZ"/>
        </w:rPr>
        <w:t xml:space="preserve">jsou obsaženy </w:t>
      </w:r>
      <w:r w:rsidR="00537452">
        <w:rPr>
          <w:lang w:eastAsia="cs-CZ"/>
        </w:rPr>
        <w:t>v</w:t>
      </w:r>
      <w:r w:rsidR="00412CB4">
        <w:rPr>
          <w:lang w:eastAsia="cs-CZ"/>
        </w:rPr>
        <w:t> </w:t>
      </w:r>
      <w:r w:rsidR="00537452">
        <w:rPr>
          <w:lang w:eastAsia="cs-CZ"/>
        </w:rPr>
        <w:t xml:space="preserve">informačním systému </w:t>
      </w:r>
      <w:r w:rsidR="00537452" w:rsidRPr="001F42D9">
        <w:rPr>
          <w:i/>
          <w:iCs/>
          <w:lang w:eastAsia="cs-CZ"/>
        </w:rPr>
        <w:t>Centrum</w:t>
      </w:r>
      <w:r w:rsidR="00537452">
        <w:rPr>
          <w:lang w:eastAsia="cs-CZ"/>
        </w:rPr>
        <w:t xml:space="preserve"> (rovněž uváděném jako </w:t>
      </w:r>
      <w:r w:rsidR="00537452" w:rsidRPr="001F42D9">
        <w:rPr>
          <w:i/>
          <w:iCs/>
          <w:lang w:eastAsia="cs-CZ"/>
        </w:rPr>
        <w:t>OKCentrum</w:t>
      </w:r>
      <w:r w:rsidR="00537452">
        <w:rPr>
          <w:lang w:eastAsia="cs-CZ"/>
        </w:rPr>
        <w:t>)</w:t>
      </w:r>
      <w:r w:rsidR="00AA146E">
        <w:rPr>
          <w:lang w:eastAsia="cs-CZ"/>
        </w:rPr>
        <w:t>, který spravuje MPSV</w:t>
      </w:r>
      <w:r w:rsidR="000B4A59">
        <w:rPr>
          <w:lang w:eastAsia="cs-CZ"/>
        </w:rPr>
        <w:t>.</w:t>
      </w:r>
      <w:r w:rsidR="00AA146E">
        <w:rPr>
          <w:lang w:eastAsia="cs-CZ"/>
        </w:rPr>
        <w:t xml:space="preserve"> </w:t>
      </w:r>
      <w:r w:rsidR="000B4A59">
        <w:rPr>
          <w:lang w:eastAsia="cs-CZ"/>
        </w:rPr>
        <w:t xml:space="preserve">Tím však MPSV </w:t>
      </w:r>
      <w:r w:rsidR="00537452">
        <w:rPr>
          <w:lang w:eastAsia="cs-CZ"/>
        </w:rPr>
        <w:t xml:space="preserve">naplňuje věcnou podstatu </w:t>
      </w:r>
      <w:r w:rsidR="000B4A59">
        <w:rPr>
          <w:lang w:eastAsia="cs-CZ"/>
        </w:rPr>
        <w:t xml:space="preserve">pouze </w:t>
      </w:r>
      <w:r w:rsidR="002A5062">
        <w:rPr>
          <w:lang w:eastAsia="cs-CZ"/>
        </w:rPr>
        <w:t>části</w:t>
      </w:r>
      <w:r w:rsidR="001A7040">
        <w:rPr>
          <w:lang w:eastAsia="cs-CZ"/>
        </w:rPr>
        <w:t xml:space="preserve"> </w:t>
      </w:r>
      <w:r w:rsidR="00537452">
        <w:rPr>
          <w:lang w:eastAsia="cs-CZ"/>
        </w:rPr>
        <w:t xml:space="preserve">ustanovení </w:t>
      </w:r>
      <w:r>
        <w:t>§</w:t>
      </w:r>
      <w:r w:rsidR="00AD0CF5">
        <w:t xml:space="preserve"> </w:t>
      </w:r>
      <w:r>
        <w:t>53a</w:t>
      </w:r>
      <w:r w:rsidR="000B4A59">
        <w:t xml:space="preserve"> </w:t>
      </w:r>
      <w:r w:rsidR="000B4A59">
        <w:rPr>
          <w:lang w:eastAsia="cs-CZ"/>
        </w:rPr>
        <w:t>zákona o</w:t>
      </w:r>
      <w:r w:rsidR="002A72BF">
        <w:rPr>
          <w:lang w:eastAsia="cs-CZ"/>
        </w:rPr>
        <w:t> </w:t>
      </w:r>
      <w:r w:rsidR="000B4A59">
        <w:rPr>
          <w:lang w:eastAsia="cs-CZ"/>
        </w:rPr>
        <w:t>SPOD</w:t>
      </w:r>
      <w:r>
        <w:t xml:space="preserve">, </w:t>
      </w:r>
      <w:r w:rsidR="002A5062">
        <w:t>konkrétně</w:t>
      </w:r>
      <w:r w:rsidR="00281430">
        <w:t xml:space="preserve"> </w:t>
      </w:r>
      <w:r>
        <w:t>odst. 1</w:t>
      </w:r>
      <w:r w:rsidR="00537452">
        <w:t xml:space="preserve"> písm. a)</w:t>
      </w:r>
      <w:r w:rsidR="00040EC2">
        <w:rPr>
          <w:lang w:eastAsia="cs-CZ"/>
        </w:rPr>
        <w:t>.</w:t>
      </w:r>
    </w:p>
    <w:bookmarkEnd w:id="45"/>
    <w:p w14:paraId="24415ACB" w14:textId="2771C2E2" w:rsidR="00EF0C85" w:rsidRDefault="00EF0C85" w:rsidP="00AE3215">
      <w:pPr>
        <w:pStyle w:val="Nadpis2"/>
        <w:widowControl/>
        <w:spacing w:before="0" w:after="120"/>
      </w:pPr>
      <w:r>
        <w:t>V</w:t>
      </w:r>
      <w:r w:rsidRPr="00A94417">
        <w:t>ytvoření jednotného</w:t>
      </w:r>
      <w:r w:rsidR="00622A02">
        <w:t xml:space="preserve"> </w:t>
      </w:r>
      <w:r w:rsidRPr="00A94417">
        <w:t xml:space="preserve">informačního systému ochrany dětí </w:t>
      </w:r>
      <w:r w:rsidRPr="004047C6">
        <w:t xml:space="preserve">obsahovala </w:t>
      </w:r>
      <w:r w:rsidR="00F3365E" w:rsidRPr="004047C6">
        <w:t>i</w:t>
      </w:r>
      <w:r w:rsidRPr="004047C6">
        <w:t xml:space="preserve"> </w:t>
      </w:r>
      <w:r w:rsidR="00A3256D" w:rsidRPr="004047C6">
        <w:t>Národní strategi</w:t>
      </w:r>
      <w:r w:rsidR="000C39A1" w:rsidRPr="004047C6">
        <w:t>e</w:t>
      </w:r>
      <w:r w:rsidR="00A3256D" w:rsidRPr="004047C6">
        <w:t xml:space="preserve"> 2012–2018</w:t>
      </w:r>
      <w:r w:rsidRPr="004047C6">
        <w:t>, kterou tedy MPSV v</w:t>
      </w:r>
      <w:r w:rsidR="00FD0AAB">
        <w:t xml:space="preserve"> </w:t>
      </w:r>
      <w:r w:rsidRPr="004047C6">
        <w:t>tomto bodě nenaplnilo. Vznik IS S</w:t>
      </w:r>
      <w:r w:rsidRPr="00054D30">
        <w:t xml:space="preserve">POD přesunulo </w:t>
      </w:r>
      <w:r w:rsidR="00B95C49" w:rsidRPr="00054D30">
        <w:t xml:space="preserve">MPSV </w:t>
      </w:r>
      <w:r w:rsidRPr="00054D30">
        <w:t>do</w:t>
      </w:r>
      <w:r w:rsidR="00FD0AAB">
        <w:t xml:space="preserve"> </w:t>
      </w:r>
      <w:r w:rsidRPr="00054D30">
        <w:t>Národní strategie 2021–2029.</w:t>
      </w:r>
    </w:p>
    <w:p w14:paraId="7A44F380" w14:textId="4D89B5D4" w:rsidR="004A2415" w:rsidRDefault="00CE3478" w:rsidP="00AE3215">
      <w:pPr>
        <w:pStyle w:val="Nadpis2"/>
        <w:widowControl/>
        <w:spacing w:before="0" w:after="80"/>
      </w:pPr>
      <w:r>
        <w:t>Teprve v</w:t>
      </w:r>
      <w:r w:rsidR="00412CB4">
        <w:t> </w:t>
      </w:r>
      <w:r w:rsidR="004A2415">
        <w:t>roce 2018</w:t>
      </w:r>
      <w:r w:rsidR="00622A02">
        <w:t xml:space="preserve"> </w:t>
      </w:r>
      <w:r w:rsidR="004A2415">
        <w:t xml:space="preserve">nechalo MPSV </w:t>
      </w:r>
      <w:r w:rsidR="00F1706D">
        <w:t xml:space="preserve">externě </w:t>
      </w:r>
      <w:r w:rsidR="004A2415">
        <w:t xml:space="preserve">zpracovat </w:t>
      </w:r>
      <w:r w:rsidR="00D651CF">
        <w:t>definici funkcionalit informačního systému, která vycházela z dříve zpracovaných analýz</w:t>
      </w:r>
      <w:r w:rsidR="00355BB6">
        <w:t xml:space="preserve"> a návrhů</w:t>
      </w:r>
      <w:r w:rsidR="00D651CF">
        <w:t xml:space="preserve">. Za tyto výstupy </w:t>
      </w:r>
      <w:r w:rsidR="00D651CF" w:rsidRPr="000C39A1">
        <w:t>vynaložilo MPSV celkem 1 933 580 Kč</w:t>
      </w:r>
      <w:r w:rsidR="00D651CF">
        <w:t xml:space="preserve">, nicméně navržené funkcionality IS </w:t>
      </w:r>
      <w:r w:rsidR="00D651CF" w:rsidRPr="000C39A1">
        <w:t>nezrealizovalo.</w:t>
      </w:r>
      <w:r w:rsidR="00D651CF">
        <w:t xml:space="preserve"> </w:t>
      </w:r>
      <w:r w:rsidR="004A2415">
        <w:t xml:space="preserve">Navržený </w:t>
      </w:r>
      <w:r w:rsidR="006F6A6C">
        <w:t>informační</w:t>
      </w:r>
      <w:r w:rsidR="004A2415">
        <w:t xml:space="preserve"> systém by po realizaci umožnil nejen </w:t>
      </w:r>
      <w:r w:rsidR="00B95C49">
        <w:t>s</w:t>
      </w:r>
      <w:r w:rsidR="004A2415">
        <w:t xml:space="preserve">plnění </w:t>
      </w:r>
      <w:r w:rsidR="002A5062">
        <w:t xml:space="preserve">všech </w:t>
      </w:r>
      <w:r w:rsidR="004A2415">
        <w:t>požadavků daných zákonem, ale vedl by rovněž k</w:t>
      </w:r>
      <w:r w:rsidR="00412CB4">
        <w:t> </w:t>
      </w:r>
      <w:r w:rsidR="004A2415">
        <w:t>zefektivnění dalších činností v</w:t>
      </w:r>
      <w:r w:rsidR="00412CB4">
        <w:t> </w:t>
      </w:r>
      <w:r w:rsidR="004A2415">
        <w:t>oblasti SPOD</w:t>
      </w:r>
      <w:r w:rsidR="00E167A3">
        <w:t xml:space="preserve">. Např. měl </w:t>
      </w:r>
      <w:r w:rsidR="00B95C49">
        <w:t>zajišťovat</w:t>
      </w:r>
      <w:r w:rsidR="004A2415">
        <w:t>:</w:t>
      </w:r>
    </w:p>
    <w:p w14:paraId="423E5E36" w14:textId="37115F7B" w:rsidR="004A2415" w:rsidRDefault="00913CEB" w:rsidP="00AF3A3F">
      <w:pPr>
        <w:pStyle w:val="Odstavecseseznamem"/>
        <w:numPr>
          <w:ilvl w:val="0"/>
          <w:numId w:val="8"/>
        </w:numPr>
        <w:spacing w:after="120"/>
        <w:ind w:left="927"/>
      </w:pPr>
      <w:r>
        <w:t>p</w:t>
      </w:r>
      <w:r w:rsidR="004A2415">
        <w:t>řehled</w:t>
      </w:r>
      <w:r w:rsidR="00B95C49">
        <w:t>y</w:t>
      </w:r>
      <w:r w:rsidR="004A2415">
        <w:t xml:space="preserve"> formou evidencí (registrů) o ohrožených dětech, žadatelích o náhradní rodinnou péči, pěstounech na přechodnou dobu, pověřených osobách</w:t>
      </w:r>
      <w:r w:rsidR="00C114C8">
        <w:t>;</w:t>
      </w:r>
    </w:p>
    <w:p w14:paraId="6DB124A4" w14:textId="3088C6E1" w:rsidR="004A2415" w:rsidRDefault="00913CEB">
      <w:pPr>
        <w:pStyle w:val="Odstavecseseznamem"/>
        <w:numPr>
          <w:ilvl w:val="0"/>
          <w:numId w:val="8"/>
        </w:numPr>
        <w:spacing w:after="120"/>
        <w:ind w:left="927"/>
      </w:pPr>
      <w:r>
        <w:t>p</w:t>
      </w:r>
      <w:r w:rsidR="004A2415">
        <w:t>řehled</w:t>
      </w:r>
      <w:r w:rsidR="00B95C49">
        <w:t>y</w:t>
      </w:r>
      <w:r w:rsidR="004A2415">
        <w:t xml:space="preserve"> zařízení pro výkon ústavní výchovy nebo ochranné výchovy</w:t>
      </w:r>
      <w:r w:rsidR="00B01AE0">
        <w:t xml:space="preserve"> s</w:t>
      </w:r>
      <w:r w:rsidR="00412CB4">
        <w:t> </w:t>
      </w:r>
      <w:r w:rsidR="00B01AE0">
        <w:t>informacemi</w:t>
      </w:r>
      <w:r w:rsidR="004A2415">
        <w:t xml:space="preserve"> o</w:t>
      </w:r>
      <w:r w:rsidR="0086283F">
        <w:t> </w:t>
      </w:r>
      <w:r w:rsidR="004A2415">
        <w:t>aktuální obsazenosti zařízení</w:t>
      </w:r>
      <w:r w:rsidR="00C114C8">
        <w:t>;</w:t>
      </w:r>
    </w:p>
    <w:p w14:paraId="3FD79E6A" w14:textId="0A426D60" w:rsidR="004A2415" w:rsidRDefault="00913CEB">
      <w:pPr>
        <w:pStyle w:val="Odstavecseseznamem"/>
        <w:numPr>
          <w:ilvl w:val="0"/>
          <w:numId w:val="8"/>
        </w:numPr>
        <w:spacing w:after="120"/>
        <w:ind w:left="927"/>
      </w:pPr>
      <w:r>
        <w:t>v</w:t>
      </w:r>
      <w:r w:rsidR="004A2415">
        <w:t>edení příslušných spisových dokumentací v</w:t>
      </w:r>
      <w:r w:rsidR="00412CB4">
        <w:t> </w:t>
      </w:r>
      <w:r w:rsidR="004A2415">
        <w:t>elektronické podobě</w:t>
      </w:r>
      <w:r w:rsidR="00C114C8">
        <w:t>;</w:t>
      </w:r>
    </w:p>
    <w:p w14:paraId="4DE525A5" w14:textId="316AA1DD" w:rsidR="004A2415" w:rsidRDefault="00913CEB">
      <w:pPr>
        <w:pStyle w:val="Odstavecseseznamem"/>
        <w:numPr>
          <w:ilvl w:val="0"/>
          <w:numId w:val="8"/>
        </w:numPr>
        <w:spacing w:after="120"/>
        <w:ind w:left="927"/>
      </w:pPr>
      <w:r>
        <w:t>s</w:t>
      </w:r>
      <w:r w:rsidR="004A2415" w:rsidRPr="00090BCB">
        <w:t>ledování „průchodu dítěte systémem“, čímž by orgány SPOD získaly přehled o poskytovaných službách a dalších formách pomoci</w:t>
      </w:r>
      <w:r w:rsidR="00C114C8">
        <w:t>;</w:t>
      </w:r>
    </w:p>
    <w:p w14:paraId="6AE1FC50" w14:textId="096E0323" w:rsidR="00CF5703" w:rsidRDefault="00913CEB">
      <w:pPr>
        <w:pStyle w:val="Odstavecseseznamem"/>
        <w:numPr>
          <w:ilvl w:val="0"/>
          <w:numId w:val="8"/>
        </w:numPr>
        <w:spacing w:after="0"/>
        <w:ind w:left="924" w:hanging="357"/>
        <w:contextualSpacing w:val="0"/>
      </w:pPr>
      <w:r>
        <w:t>s</w:t>
      </w:r>
      <w:r w:rsidR="004A2415" w:rsidRPr="00090BCB">
        <w:t>dílení či přenos dokumentací při změně místní příslušnosti, propojení informačních databází</w:t>
      </w:r>
      <w:r w:rsidR="003A6E55">
        <w:t>.</w:t>
      </w:r>
    </w:p>
    <w:p w14:paraId="4D881F9D" w14:textId="72B13837" w:rsidR="001B3F3C" w:rsidRPr="0071076C" w:rsidRDefault="001B3F3C" w:rsidP="00AE3215">
      <w:pPr>
        <w:pStyle w:val="Odstavecseseznamem"/>
        <w:spacing w:before="80" w:after="120"/>
        <w:ind w:left="567"/>
        <w:contextualSpacing w:val="0"/>
        <w:rPr>
          <w:lang w:eastAsia="cs-CZ"/>
        </w:rPr>
      </w:pPr>
      <w:r w:rsidRPr="0071076C">
        <w:rPr>
          <w:rFonts w:cstheme="minorHAnsi"/>
          <w:lang w:eastAsia="cs-CZ"/>
        </w:rPr>
        <w:t xml:space="preserve">NKÚ zjistil, že MPSV nedisponuje </w:t>
      </w:r>
      <w:r w:rsidR="00D44188">
        <w:rPr>
          <w:rFonts w:cstheme="minorHAnsi"/>
          <w:lang w:eastAsia="cs-CZ"/>
        </w:rPr>
        <w:t xml:space="preserve">rovněž </w:t>
      </w:r>
      <w:r w:rsidRPr="0071076C">
        <w:rPr>
          <w:rFonts w:cstheme="minorHAnsi"/>
          <w:lang w:eastAsia="cs-CZ"/>
        </w:rPr>
        <w:t xml:space="preserve">navrženým monitorovacím systémem, který by poskytoval relevantní údaje pro oblast řízení systému, plánování a financování služeb. MPSV z </w:t>
      </w:r>
      <w:r w:rsidR="00B95C49">
        <w:rPr>
          <w:rFonts w:cstheme="minorHAnsi"/>
          <w:lang w:eastAsia="cs-CZ"/>
        </w:rPr>
        <w:t>„</w:t>
      </w:r>
      <w:r w:rsidRPr="0071076C">
        <w:rPr>
          <w:rFonts w:cstheme="minorHAnsi"/>
          <w:lang w:eastAsia="cs-CZ"/>
        </w:rPr>
        <w:t>návrhů podstatných změn</w:t>
      </w:r>
      <w:r w:rsidR="00B95C49">
        <w:rPr>
          <w:rFonts w:cstheme="minorHAnsi"/>
          <w:lang w:eastAsia="cs-CZ"/>
        </w:rPr>
        <w:t>“</w:t>
      </w:r>
      <w:r w:rsidRPr="0071076C">
        <w:rPr>
          <w:rFonts w:cstheme="minorHAnsi"/>
          <w:lang w:eastAsia="cs-CZ"/>
        </w:rPr>
        <w:t xml:space="preserve"> plynoucích z praxe pracovníků OSPOD zahrnulo do svého statistického formuláře pouze jedno doporučení. Formulář na sběr statistických dat </w:t>
      </w:r>
      <w:r w:rsidR="00B95C49">
        <w:rPr>
          <w:rFonts w:cstheme="minorHAnsi"/>
          <w:lang w:eastAsia="cs-CZ"/>
        </w:rPr>
        <w:t>„</w:t>
      </w:r>
      <w:r w:rsidRPr="0071076C">
        <w:rPr>
          <w:rFonts w:cstheme="minorHAnsi"/>
          <w:lang w:eastAsia="cs-CZ"/>
        </w:rPr>
        <w:t>V (MPSV) 20-01</w:t>
      </w:r>
      <w:r w:rsidR="00B95C49">
        <w:rPr>
          <w:rFonts w:cstheme="minorHAnsi"/>
          <w:lang w:eastAsia="cs-CZ"/>
        </w:rPr>
        <w:t>“</w:t>
      </w:r>
      <w:r w:rsidRPr="0071076C">
        <w:rPr>
          <w:rFonts w:cstheme="minorHAnsi"/>
          <w:lang w:eastAsia="cs-CZ"/>
        </w:rPr>
        <w:t xml:space="preserve"> </w:t>
      </w:r>
      <w:r w:rsidR="008A72EA">
        <w:rPr>
          <w:rFonts w:cstheme="minorHAnsi"/>
          <w:lang w:eastAsia="cs-CZ"/>
        </w:rPr>
        <w:t xml:space="preserve">tak např. </w:t>
      </w:r>
      <w:r w:rsidRPr="0071076C">
        <w:rPr>
          <w:rFonts w:cstheme="minorHAnsi"/>
          <w:lang w:eastAsia="cs-CZ"/>
        </w:rPr>
        <w:t xml:space="preserve">neobsahuje údaje o skutečném počtu dětí, kterými se daný OSPOD zabývá. </w:t>
      </w:r>
    </w:p>
    <w:p w14:paraId="6AF53855" w14:textId="44233EC1" w:rsidR="000C39A1" w:rsidRPr="000C39A1" w:rsidRDefault="000C39A1" w:rsidP="00AE3215">
      <w:pPr>
        <w:pStyle w:val="Nadpis2"/>
        <w:widowControl/>
        <w:spacing w:before="0" w:after="120"/>
      </w:pPr>
      <w:r w:rsidRPr="000C39A1">
        <w:t>Dalších 196 310 Kč uhradilo MPSV v</w:t>
      </w:r>
      <w:r w:rsidR="00412CB4">
        <w:t> </w:t>
      </w:r>
      <w:r w:rsidRPr="000C39A1">
        <w:t xml:space="preserve">roce 2022 za podrobný návrh evidencí, které má MPSV podle </w:t>
      </w:r>
      <w:r w:rsidR="00DD40A8">
        <w:t>ustanovení § 53a odst. 1 písm. b) a c) zákona o SPOD</w:t>
      </w:r>
      <w:r w:rsidRPr="000C39A1">
        <w:t xml:space="preserve"> spravovat</w:t>
      </w:r>
      <w:r w:rsidR="00864727">
        <w:t xml:space="preserve"> jako součást IS SPOD</w:t>
      </w:r>
      <w:r w:rsidRPr="000C39A1">
        <w:t xml:space="preserve">. Ani </w:t>
      </w:r>
      <w:r w:rsidR="00C7278E">
        <w:t xml:space="preserve">evidence </w:t>
      </w:r>
      <w:r w:rsidR="002C3398">
        <w:t>po</w:t>
      </w:r>
      <w:r w:rsidR="00C7278E">
        <w:t>dle tohoto</w:t>
      </w:r>
      <w:r w:rsidR="00C7278E" w:rsidRPr="000C39A1">
        <w:t xml:space="preserve"> </w:t>
      </w:r>
      <w:r w:rsidRPr="000C39A1">
        <w:t>návrh</w:t>
      </w:r>
      <w:r w:rsidR="00C7278E">
        <w:t>u</w:t>
      </w:r>
      <w:r w:rsidRPr="000C39A1">
        <w:t xml:space="preserve"> však MPSV nezrealizovalo.</w:t>
      </w:r>
      <w:r w:rsidR="000E6814">
        <w:t xml:space="preserve"> </w:t>
      </w:r>
      <w:r w:rsidR="000E6814" w:rsidRPr="00617099">
        <w:t>NKÚ vyhodnotil, že MPSV vynaložilo od roku 2018 peněžní prostředky v</w:t>
      </w:r>
      <w:r w:rsidR="000E6814" w:rsidRPr="00617099" w:rsidDel="00412CB4">
        <w:t> </w:t>
      </w:r>
      <w:r w:rsidR="000E6814" w:rsidRPr="00617099">
        <w:t>celkové výši 2 129 890 Kč</w:t>
      </w:r>
      <w:r w:rsidR="000E6814" w:rsidRPr="00617099">
        <w:rPr>
          <w:rStyle w:val="Znakapoznpodarou"/>
        </w:rPr>
        <w:footnoteReference w:id="34"/>
      </w:r>
      <w:r w:rsidR="000E6814" w:rsidRPr="00617099">
        <w:t xml:space="preserve"> na zajištění IT podpory SPOD neúčelně a neefektivně.</w:t>
      </w:r>
    </w:p>
    <w:p w14:paraId="02A33D31" w14:textId="5074DD11" w:rsidR="00637E70" w:rsidRPr="00C4198F" w:rsidRDefault="00E47F14" w:rsidP="00AE3215">
      <w:pPr>
        <w:pStyle w:val="Nadpis2"/>
        <w:widowControl/>
        <w:spacing w:before="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91440" distB="91440" distL="365760" distR="365760" simplePos="0" relativeHeight="251658245" behindDoc="0" locked="0" layoutInCell="1" allowOverlap="1" wp14:anchorId="5D93454B" wp14:editId="3937F92F">
                <wp:simplePos x="0" y="0"/>
                <wp:positionH relativeFrom="margin">
                  <wp:align>right</wp:align>
                </wp:positionH>
                <wp:positionV relativeFrom="paragraph">
                  <wp:posOffset>1171627</wp:posOffset>
                </wp:positionV>
                <wp:extent cx="5392420" cy="3153410"/>
                <wp:effectExtent l="0" t="0" r="0" b="0"/>
                <wp:wrapTopAndBottom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315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F3999" w14:textId="52E20DDA" w:rsidR="007B5389" w:rsidRPr="00C164CC" w:rsidRDefault="007B5389" w:rsidP="00030B65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Není k dispozici jednotný elektronický evidenční systém (obdoba OK na úřadu práce). Evidujeme </w:t>
                            </w:r>
                            <w:r w:rsidRPr="00C164CC">
                              <w:rPr>
                                <w:i/>
                                <w:color w:val="2EB3B5"/>
                                <w:sz w:val="22"/>
                              </w:rPr>
                              <w:t>papírově, ve vlastním systému (...). Stále vedeme rejstříky papírovou formou, což je při počtu rodin v našem městě velmi zatěžující.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  <w:r w:rsidRPr="00C164CC"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 </w:t>
                            </w:r>
                          </w:p>
                          <w:p w14:paraId="0501704A" w14:textId="467547F2" w:rsidR="007B5389" w:rsidRDefault="007B5389" w:rsidP="00030B65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C164CC">
                              <w:rPr>
                                <w:i/>
                                <w:color w:val="2EB3B5"/>
                                <w:sz w:val="22"/>
                              </w:rPr>
                              <w:t>Potřebovali bychom jednotné propojení OSPOD v ČR, ale to už se plánuje</w:t>
                            </w:r>
                            <w:r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 x let a nic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>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</w:p>
                          <w:p w14:paraId="56D3CB91" w14:textId="43876E23" w:rsidR="007B5389" w:rsidRPr="00546C8C" w:rsidRDefault="007B5389" w:rsidP="00EB2110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>Musí se např</w:t>
                            </w:r>
                            <w:r>
                              <w:rPr>
                                <w:i/>
                                <w:color w:val="2EB3B5"/>
                                <w:sz w:val="22"/>
                              </w:rPr>
                              <w:t>íklad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 ručně vyplňovat kartičky dětí. Pořád čekáme od MPSV na jednotný program</w:t>
                            </w:r>
                            <w:r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2EB3B5"/>
                                <w:sz w:val="22"/>
                              </w:rPr>
                              <w:t>–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 xml:space="preserve"> informační systém, který dle zákona z r. 2013 musíme využívat, ale stále není.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</w:p>
                          <w:p w14:paraId="524C5E8B" w14:textId="77777777" w:rsidR="007B5389" w:rsidRPr="00546C8C" w:rsidRDefault="007B5389" w:rsidP="00030B65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</w:p>
                          <w:p w14:paraId="233D78DD" w14:textId="26EBC47E" w:rsidR="007B5389" w:rsidRPr="00546C8C" w:rsidRDefault="007B5389" w:rsidP="00030B65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color w:val="2EB3B5"/>
                                <w:sz w:val="18"/>
                                <w:szCs w:val="18"/>
                              </w:rPr>
                            </w:pP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Výňatek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 z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 odpovědí respondentů v dotazníkovém še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t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ření NKÚ, viz 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p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říloha č. 1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3454B" id="Obdélník 14" o:spid="_x0000_s1027" style="position:absolute;left:0;text-align:left;margin-left:373.4pt;margin-top:92.25pt;width:424.6pt;height:248.3pt;z-index:251658245;visibility:visible;mso-wrap-style:square;mso-width-percent:0;mso-height-percent:0;mso-wrap-distance-left:28.8pt;mso-wrap-distance-top:7.2pt;mso-wrap-distance-right:28.8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" filled="f" stroked="f" strokeweight="1pt">
                <v:textbox style="mso-fit-shape-to-text:t" inset="10.8pt,0,10.8pt,0">
                  <w:txbxContent>
                    <w:p w14:paraId="4B6F3999" w14:textId="52E20DDA" w:rsidR="007B5389" w:rsidRPr="00C164CC" w:rsidRDefault="007B5389" w:rsidP="00030B65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 xml:space="preserve">Není k dispozici jednotný elektronický evidenční systém (obdoba OK na úřadu práce). Evidujeme </w:t>
                      </w:r>
                      <w:r w:rsidRPr="00C164CC">
                        <w:rPr>
                          <w:i/>
                          <w:color w:val="2EB3B5"/>
                          <w:sz w:val="22"/>
                        </w:rPr>
                        <w:t>papírově, ve vlastním systému (...). Stále vedeme rejstříky papírovou formou, což je při počtu rodin v našem městě velmi zatěžující.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  <w:r w:rsidRPr="00C164CC">
                        <w:rPr>
                          <w:i/>
                          <w:color w:val="2EB3B5"/>
                          <w:sz w:val="22"/>
                        </w:rPr>
                        <w:t xml:space="preserve"> </w:t>
                      </w:r>
                    </w:p>
                    <w:p w14:paraId="0501704A" w14:textId="467547F2" w:rsidR="007B5389" w:rsidRDefault="007B5389" w:rsidP="00030B65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C164CC">
                        <w:rPr>
                          <w:i/>
                          <w:color w:val="2EB3B5"/>
                          <w:sz w:val="22"/>
                        </w:rPr>
                        <w:t>Potřebovali bychom jednotné propojení OSPOD v ČR, ale to už se plánuje</w:t>
                      </w:r>
                      <w:r>
                        <w:rPr>
                          <w:i/>
                          <w:color w:val="2EB3B5"/>
                          <w:sz w:val="22"/>
                        </w:rPr>
                        <w:t xml:space="preserve"> x let a nic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>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</w:p>
                    <w:p w14:paraId="56D3CB91" w14:textId="43876E23" w:rsidR="007B5389" w:rsidRPr="00546C8C" w:rsidRDefault="007B5389" w:rsidP="00EB2110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>Musí se např</w:t>
                      </w:r>
                      <w:r>
                        <w:rPr>
                          <w:i/>
                          <w:color w:val="2EB3B5"/>
                          <w:sz w:val="22"/>
                        </w:rPr>
                        <w:t>íklad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 xml:space="preserve"> ručně vyplňovat kartičky dětí. Pořád čekáme od MPSV na jednotný program</w:t>
                      </w:r>
                      <w:r>
                        <w:rPr>
                          <w:i/>
                          <w:color w:val="2EB3B5"/>
                          <w:sz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2EB3B5"/>
                          <w:sz w:val="22"/>
                        </w:rPr>
                        <w:t>–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 xml:space="preserve"> informační systém, který dle zákona z r. 2013 musíme využívat, ale stále není.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</w:p>
                    <w:p w14:paraId="524C5E8B" w14:textId="77777777" w:rsidR="007B5389" w:rsidRPr="00546C8C" w:rsidRDefault="007B5389" w:rsidP="00030B65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</w:p>
                    <w:p w14:paraId="233D78DD" w14:textId="26EBC47E" w:rsidR="007B5389" w:rsidRPr="00546C8C" w:rsidRDefault="007B5389" w:rsidP="00030B65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2EB3B5"/>
                          <w:sz w:val="18"/>
                          <w:szCs w:val="18"/>
                        </w:rPr>
                      </w:pP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Výňatek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 xml:space="preserve"> z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 odpovědí respondentů v dotazníkovém še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t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ření NKÚ, viz 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p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říloha č. 1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95779">
        <w:t>V</w:t>
      </w:r>
      <w:r w:rsidR="003E7F68">
        <w:t xml:space="preserve">edení MPSV bylo o </w:t>
      </w:r>
      <w:r w:rsidR="004A2415" w:rsidDel="003327C3">
        <w:t>problém</w:t>
      </w:r>
      <w:r w:rsidR="003E7F68">
        <w:t>ech</w:t>
      </w:r>
      <w:r w:rsidR="004A2415" w:rsidDel="003327C3">
        <w:t xml:space="preserve"> </w:t>
      </w:r>
      <w:r w:rsidR="003E7F68">
        <w:t>spojených s</w:t>
      </w:r>
      <w:r w:rsidR="00412CB4">
        <w:t> </w:t>
      </w:r>
      <w:r w:rsidR="004A2415" w:rsidDel="003327C3">
        <w:t>nedostatečnou IT podporou</w:t>
      </w:r>
      <w:r w:rsidR="008B1909">
        <w:t xml:space="preserve"> agendy</w:t>
      </w:r>
      <w:r w:rsidR="004A2415" w:rsidDel="003327C3">
        <w:t xml:space="preserve"> SPOD </w:t>
      </w:r>
      <w:r w:rsidR="003E7F68">
        <w:t>informováno</w:t>
      </w:r>
      <w:r w:rsidR="004A2415" w:rsidDel="003327C3">
        <w:t xml:space="preserve">. O realizaci IS SPOD opakovaně žádali pracovníci </w:t>
      </w:r>
      <w:r w:rsidR="004A2415" w:rsidRPr="00C4198F" w:rsidDel="003327C3">
        <w:rPr>
          <w:rFonts w:cs="Calibri"/>
        </w:rPr>
        <w:t>věcně příslušného odboru MPSV již od roku 2013.</w:t>
      </w:r>
      <w:r w:rsidR="004A2415" w:rsidDel="003327C3">
        <w:t xml:space="preserve"> IS SPOD podle výše uvedených návrhů </w:t>
      </w:r>
      <w:r w:rsidR="003E7F68">
        <w:t xml:space="preserve">však </w:t>
      </w:r>
      <w:r w:rsidR="003E7F68" w:rsidRPr="000C39A1">
        <w:t xml:space="preserve">MPSV </w:t>
      </w:r>
      <w:r w:rsidR="004A2415" w:rsidRPr="000C39A1" w:rsidDel="003327C3">
        <w:t>nerealizovalo</w:t>
      </w:r>
      <w:r w:rsidR="004A2415" w:rsidDel="003327C3">
        <w:t xml:space="preserve"> </w:t>
      </w:r>
      <w:r w:rsidR="00AD0CF5">
        <w:br/>
      </w:r>
      <w:r w:rsidR="004A2415" w:rsidDel="003327C3">
        <w:t>s</w:t>
      </w:r>
      <w:r w:rsidR="00AD0CF5">
        <w:t xml:space="preserve"> </w:t>
      </w:r>
      <w:r w:rsidR="004A2415" w:rsidDel="003327C3">
        <w:t>odůvodněním jiných IT priorit.</w:t>
      </w:r>
      <w:r w:rsidR="005C7601">
        <w:t xml:space="preserve"> Problémy způsobené</w:t>
      </w:r>
      <w:r w:rsidR="00B95C49">
        <w:t xml:space="preserve"> </w:t>
      </w:r>
      <w:r w:rsidR="005C7601">
        <w:t>chybějícím IS uváděli i</w:t>
      </w:r>
      <w:r w:rsidR="00C164CC">
        <w:t> </w:t>
      </w:r>
      <w:r w:rsidR="00C17B24">
        <w:t>zaměstnanci</w:t>
      </w:r>
      <w:r w:rsidR="005C7601">
        <w:t xml:space="preserve"> OSPOD v</w:t>
      </w:r>
      <w:r w:rsidR="00412CB4">
        <w:t> </w:t>
      </w:r>
      <w:r w:rsidR="005C7601">
        <w:t>dotazníkovém šetření NKÚ:</w:t>
      </w:r>
    </w:p>
    <w:p w14:paraId="1110E71F" w14:textId="23C7BFA2" w:rsidR="004A2415" w:rsidRPr="005E5648" w:rsidDel="003327C3" w:rsidRDefault="007377DD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480" w:after="240"/>
        <w:jc w:val="both"/>
        <w:rPr>
          <w:color w:val="C00000"/>
          <w:sz w:val="24"/>
          <w:lang w:eastAsia="cs-CZ"/>
        </w:rPr>
      </w:pPr>
      <w:bookmarkStart w:id="46" w:name="_Toc179807892"/>
      <w:r w:rsidRPr="005E5648">
        <w:rPr>
          <w:color w:val="C00000"/>
          <w:sz w:val="24"/>
          <w:lang w:eastAsia="cs-CZ"/>
        </w:rPr>
        <w:t xml:space="preserve">Místo </w:t>
      </w:r>
      <w:r w:rsidR="001C03D2">
        <w:rPr>
          <w:color w:val="C00000"/>
          <w:sz w:val="24"/>
          <w:lang w:eastAsia="cs-CZ"/>
        </w:rPr>
        <w:t xml:space="preserve">plánovaného </w:t>
      </w:r>
      <w:r w:rsidRPr="005E5648">
        <w:rPr>
          <w:color w:val="C00000"/>
          <w:sz w:val="24"/>
          <w:lang w:eastAsia="cs-CZ"/>
        </w:rPr>
        <w:t xml:space="preserve">informačního systému </w:t>
      </w:r>
      <w:r w:rsidR="00091A00">
        <w:rPr>
          <w:color w:val="C00000"/>
          <w:sz w:val="24"/>
          <w:lang w:eastAsia="cs-CZ"/>
        </w:rPr>
        <w:t>vytváří</w:t>
      </w:r>
      <w:r w:rsidR="000725A5">
        <w:rPr>
          <w:color w:val="C00000"/>
          <w:sz w:val="24"/>
          <w:lang w:eastAsia="cs-CZ"/>
        </w:rPr>
        <w:t xml:space="preserve"> </w:t>
      </w:r>
      <w:r w:rsidR="00917DCC" w:rsidRPr="005E5648">
        <w:rPr>
          <w:color w:val="C00000"/>
          <w:sz w:val="24"/>
          <w:lang w:eastAsia="cs-CZ"/>
        </w:rPr>
        <w:t xml:space="preserve">MPSV </w:t>
      </w:r>
      <w:r w:rsidR="000725A5">
        <w:rPr>
          <w:color w:val="C00000"/>
          <w:sz w:val="24"/>
          <w:lang w:eastAsia="cs-CZ"/>
        </w:rPr>
        <w:t xml:space="preserve">v rámci </w:t>
      </w:r>
      <w:r w:rsidR="001C03D2">
        <w:rPr>
          <w:color w:val="C00000"/>
          <w:sz w:val="24"/>
          <w:lang w:eastAsia="cs-CZ"/>
        </w:rPr>
        <w:t xml:space="preserve">projektu EU </w:t>
      </w:r>
      <w:r w:rsidRPr="005E5648">
        <w:rPr>
          <w:color w:val="C00000"/>
          <w:sz w:val="24"/>
          <w:lang w:eastAsia="cs-CZ"/>
        </w:rPr>
        <w:t>provizor</w:t>
      </w:r>
      <w:r w:rsidR="0000424C">
        <w:rPr>
          <w:color w:val="C00000"/>
          <w:sz w:val="24"/>
          <w:lang w:eastAsia="cs-CZ"/>
        </w:rPr>
        <w:t>ní řešení</w:t>
      </w:r>
      <w:r w:rsidRPr="005E5648">
        <w:rPr>
          <w:color w:val="C00000"/>
          <w:sz w:val="24"/>
          <w:lang w:eastAsia="cs-CZ"/>
        </w:rPr>
        <w:t xml:space="preserve"> ve formě sdílených tabulek </w:t>
      </w:r>
      <w:bookmarkEnd w:id="46"/>
      <w:r w:rsidR="009E6D59">
        <w:rPr>
          <w:color w:val="C00000"/>
          <w:sz w:val="24"/>
          <w:lang w:eastAsia="cs-CZ"/>
        </w:rPr>
        <w:t>MS Excel</w:t>
      </w:r>
    </w:p>
    <w:p w14:paraId="507F53B2" w14:textId="1935A663" w:rsidR="004A2415" w:rsidRPr="00054D30" w:rsidRDefault="004A2415" w:rsidP="00EF1FD9">
      <w:pPr>
        <w:pStyle w:val="Nadpis2"/>
        <w:widowControl/>
        <w:spacing w:before="0" w:after="120"/>
      </w:pPr>
      <w:r w:rsidRPr="00D71724">
        <w:t>V</w:t>
      </w:r>
      <w:r w:rsidR="00412CB4" w:rsidRPr="00D71724">
        <w:t> </w:t>
      </w:r>
      <w:r w:rsidRPr="00D71724">
        <w:t>roce 2023 začalo</w:t>
      </w:r>
      <w:r w:rsidR="00EC3F4B" w:rsidRPr="00D71724">
        <w:t xml:space="preserve"> </w:t>
      </w:r>
      <w:r w:rsidRPr="00D71724">
        <w:t>MPSV</w:t>
      </w:r>
      <w:r>
        <w:t xml:space="preserve"> </w:t>
      </w:r>
      <w:r w:rsidR="003D234F">
        <w:t>r</w:t>
      </w:r>
      <w:r>
        <w:t xml:space="preserve">ealizovat </w:t>
      </w:r>
      <w:r w:rsidR="00203F74">
        <w:t xml:space="preserve">z OPZ+ </w:t>
      </w:r>
      <w:r>
        <w:t xml:space="preserve">jiný </w:t>
      </w:r>
      <w:r w:rsidR="00281430">
        <w:t>způsob</w:t>
      </w:r>
      <w:r>
        <w:t xml:space="preserve"> evidencí</w:t>
      </w:r>
      <w:r w:rsidR="00FA42FB">
        <w:t xml:space="preserve">, které </w:t>
      </w:r>
      <w:r>
        <w:t>vyžad</w:t>
      </w:r>
      <w:r w:rsidR="00FA42FB">
        <w:t>uje</w:t>
      </w:r>
      <w:r>
        <w:t xml:space="preserve"> zákon </w:t>
      </w:r>
      <w:r w:rsidR="00FA42FB">
        <w:t>o</w:t>
      </w:r>
      <w:r w:rsidR="00C164CC">
        <w:t> </w:t>
      </w:r>
      <w:r w:rsidR="00FA42FB">
        <w:t xml:space="preserve">SPOD jako součást informačního systému. </w:t>
      </w:r>
      <w:r w:rsidRPr="0058277B">
        <w:t xml:space="preserve">Výsledným produktem snahy MPSV jsou jednoduché tabulky </w:t>
      </w:r>
      <w:r w:rsidR="001C03D2">
        <w:t>v</w:t>
      </w:r>
      <w:r w:rsidR="00577D31">
        <w:t> MS Excel</w:t>
      </w:r>
      <w:r w:rsidR="00D71724">
        <w:t>, které jsou</w:t>
      </w:r>
      <w:r w:rsidRPr="0058277B">
        <w:t xml:space="preserve"> sdílen</w:t>
      </w:r>
      <w:r w:rsidR="00D71724">
        <w:t>y</w:t>
      </w:r>
      <w:r w:rsidRPr="0058277B">
        <w:t xml:space="preserve"> prostřednictvím </w:t>
      </w:r>
      <w:r w:rsidR="00302E77">
        <w:t xml:space="preserve">cloudového </w:t>
      </w:r>
      <w:r w:rsidRPr="0058277B">
        <w:t xml:space="preserve">úložiště OneDrive </w:t>
      </w:r>
      <w:r w:rsidR="00D71724">
        <w:t xml:space="preserve">a </w:t>
      </w:r>
      <w:r w:rsidRPr="0058277B">
        <w:t>vytvářen</w:t>
      </w:r>
      <w:r w:rsidR="00D71724">
        <w:t>y</w:t>
      </w:r>
      <w:r w:rsidRPr="0058277B">
        <w:t xml:space="preserve"> v</w:t>
      </w:r>
      <w:r w:rsidR="00412CB4">
        <w:t> </w:t>
      </w:r>
      <w:r w:rsidRPr="0058277B">
        <w:t xml:space="preserve">rámci projektu </w:t>
      </w:r>
      <w:r w:rsidR="0094540F">
        <w:t xml:space="preserve">OPZ+ </w:t>
      </w:r>
      <w:r w:rsidRPr="0058277B">
        <w:rPr>
          <w:rFonts w:cs="Calibri"/>
        </w:rPr>
        <w:t xml:space="preserve">Standardizace NRP. </w:t>
      </w:r>
      <w:r w:rsidR="00D61DCE" w:rsidRPr="007B2755">
        <w:t>Návrhy a</w:t>
      </w:r>
      <w:r w:rsidR="00D71724">
        <w:t>ni</w:t>
      </w:r>
      <w:r w:rsidR="00D61DCE" w:rsidRPr="007B2755">
        <w:t xml:space="preserve"> realizovaná provizorní řešení </w:t>
      </w:r>
      <w:r w:rsidR="00D61DCE">
        <w:t xml:space="preserve">však </w:t>
      </w:r>
      <w:r w:rsidR="00D61DCE" w:rsidRPr="007B2755">
        <w:t>nevedly a nevedou k</w:t>
      </w:r>
      <w:r w:rsidR="00AD0CF5">
        <w:t xml:space="preserve"> </w:t>
      </w:r>
      <w:r w:rsidR="00D71724">
        <w:t>s</w:t>
      </w:r>
      <w:r w:rsidR="00D61DCE" w:rsidRPr="007B2755">
        <w:t>plnění povinností MPSV vyžadovaných zákonem</w:t>
      </w:r>
      <w:r w:rsidR="00AF3A3F">
        <w:t xml:space="preserve"> </w:t>
      </w:r>
      <w:r w:rsidR="00D61DCE" w:rsidRPr="007B2755">
        <w:t>o</w:t>
      </w:r>
      <w:r w:rsidR="00C164CC">
        <w:t> </w:t>
      </w:r>
      <w:r w:rsidR="00D61DCE" w:rsidRPr="007B2755">
        <w:t>SPOD již od roku 2013.</w:t>
      </w:r>
      <w:r w:rsidR="00D61DCE">
        <w:t xml:space="preserve"> </w:t>
      </w:r>
      <w:r w:rsidR="00D61DCE" w:rsidRPr="007B2755">
        <w:t xml:space="preserve">Úroveň poskytované IT podpory nedosáhla </w:t>
      </w:r>
      <w:r w:rsidR="00D61DCE">
        <w:t xml:space="preserve">podle zjištění NKÚ </w:t>
      </w:r>
      <w:r w:rsidR="00D61DCE" w:rsidRPr="007B2755">
        <w:t>optimálního stavu, který si MPSV definovalo v roce 2018</w:t>
      </w:r>
      <w:r w:rsidR="00241295">
        <w:t>, viz odst. 4.42</w:t>
      </w:r>
      <w:r w:rsidR="00D61DCE" w:rsidRPr="007B2755">
        <w:t xml:space="preserve">. </w:t>
      </w:r>
      <w:r>
        <w:rPr>
          <w:rFonts w:cs="Calibri"/>
        </w:rPr>
        <w:t xml:space="preserve">MPSV </w:t>
      </w:r>
      <w:r>
        <w:t xml:space="preserve">za </w:t>
      </w:r>
      <w:r w:rsidR="00122E19">
        <w:t xml:space="preserve">provizorní </w:t>
      </w:r>
      <w:r>
        <w:t xml:space="preserve">řešení </w:t>
      </w:r>
      <w:r w:rsidR="00D61DCE">
        <w:t xml:space="preserve">evidencí </w:t>
      </w:r>
      <w:r w:rsidR="00CE3478">
        <w:t xml:space="preserve">plánuje </w:t>
      </w:r>
      <w:r w:rsidR="006163AD">
        <w:t>v rámci projektu OPZ+</w:t>
      </w:r>
      <w:r w:rsidR="00CE3478">
        <w:t xml:space="preserve"> </w:t>
      </w:r>
      <w:r>
        <w:t xml:space="preserve">do roku 2025 </w:t>
      </w:r>
      <w:r w:rsidRPr="00054D30">
        <w:t>vynaložit</w:t>
      </w:r>
      <w:r w:rsidR="00122E19">
        <w:t xml:space="preserve"> </w:t>
      </w:r>
      <w:r w:rsidR="0094540F">
        <w:t xml:space="preserve">celkem </w:t>
      </w:r>
      <w:r w:rsidR="00122E19">
        <w:t xml:space="preserve">až </w:t>
      </w:r>
      <w:r w:rsidR="00122E19" w:rsidRPr="00122E19">
        <w:t>6 432 720</w:t>
      </w:r>
      <w:r w:rsidRPr="00054D30">
        <w:t xml:space="preserve"> Kč</w:t>
      </w:r>
      <w:r w:rsidR="0090111A">
        <w:t xml:space="preserve">, přičemž peněžní prostředky </w:t>
      </w:r>
      <w:r w:rsidR="0040140B">
        <w:t xml:space="preserve">v realizovaném projektu </w:t>
      </w:r>
      <w:r w:rsidR="0094540F">
        <w:t xml:space="preserve">používá </w:t>
      </w:r>
      <w:r w:rsidR="0090111A">
        <w:t>mj.</w:t>
      </w:r>
      <w:r w:rsidR="00577D31">
        <w:t xml:space="preserve"> </w:t>
      </w:r>
      <w:r w:rsidR="0090111A">
        <w:t xml:space="preserve">na </w:t>
      </w:r>
      <w:r w:rsidR="0090111A" w:rsidRPr="007B2755">
        <w:t>tvorbu databází</w:t>
      </w:r>
      <w:r w:rsidR="00577D31">
        <w:t xml:space="preserve">, </w:t>
      </w:r>
      <w:r w:rsidR="0090111A" w:rsidRPr="007B2755">
        <w:t>analýzu způsobu evidencí, standard evidence, manuál pro uživatele a</w:t>
      </w:r>
      <w:r w:rsidR="00FD0AAB">
        <w:t xml:space="preserve"> </w:t>
      </w:r>
      <w:r w:rsidR="0090111A" w:rsidRPr="007B2755">
        <w:t>pomoc členů projektového týmu poskytnutou jednotlivým úřadům při úvodním vkládání dat</w:t>
      </w:r>
      <w:r w:rsidR="00406037">
        <w:t xml:space="preserve">. </w:t>
      </w:r>
      <w:r w:rsidR="00D71724">
        <w:t>MPSV p</w:t>
      </w:r>
      <w:r w:rsidR="00061A0C" w:rsidRPr="0058277B">
        <w:t xml:space="preserve">ro tyto evidence nijak nevyužilo návrhy, </w:t>
      </w:r>
      <w:r w:rsidR="009E6D59">
        <w:t>za</w:t>
      </w:r>
      <w:r w:rsidR="00061A0C" w:rsidRPr="0058277B">
        <w:t xml:space="preserve"> které od roku 2018 </w:t>
      </w:r>
      <w:r w:rsidR="009E6D59">
        <w:t>uhradilo</w:t>
      </w:r>
      <w:r w:rsidR="00061A0C" w:rsidRPr="0058277B">
        <w:t xml:space="preserve"> celkem 2 129 890,40 K</w:t>
      </w:r>
      <w:r w:rsidR="00061A0C" w:rsidRPr="007B2755">
        <w:t>č</w:t>
      </w:r>
      <w:r w:rsidR="00061A0C" w:rsidRPr="007B2755">
        <w:rPr>
          <w:rStyle w:val="Znakapoznpodarou"/>
        </w:rPr>
        <w:footnoteReference w:id="35"/>
      </w:r>
      <w:r w:rsidR="00061A0C" w:rsidRPr="0058277B">
        <w:t xml:space="preserve">, viz odstavce </w:t>
      </w:r>
      <w:r w:rsidR="00061A0C" w:rsidRPr="00407850">
        <w:t>4.4</w:t>
      </w:r>
      <w:r w:rsidR="00061A0C">
        <w:t>2</w:t>
      </w:r>
      <w:r w:rsidR="00061A0C" w:rsidRPr="00407850">
        <w:t xml:space="preserve"> a 4.4</w:t>
      </w:r>
      <w:r w:rsidR="00061A0C">
        <w:t>3</w:t>
      </w:r>
      <w:r w:rsidR="00061A0C" w:rsidRPr="0058277B">
        <w:t xml:space="preserve">. </w:t>
      </w:r>
      <w:r w:rsidR="00BC3AE9" w:rsidRPr="007B2755">
        <w:t xml:space="preserve">NKÚ </w:t>
      </w:r>
      <w:r w:rsidR="00061A0C">
        <w:t>proto</w:t>
      </w:r>
      <w:r w:rsidR="00BC3AE9" w:rsidRPr="007B2755">
        <w:t xml:space="preserve"> vyhodnotil, že MPSV </w:t>
      </w:r>
      <w:r w:rsidR="002B319C">
        <w:t xml:space="preserve">tyto peněžní prostředky </w:t>
      </w:r>
      <w:r w:rsidR="00EB31A6">
        <w:t>k</w:t>
      </w:r>
      <w:r w:rsidR="00BC3AE9" w:rsidRPr="007B2755">
        <w:t xml:space="preserve"> zajištění IT podpory SPOD </w:t>
      </w:r>
      <w:r w:rsidR="002B319C">
        <w:t xml:space="preserve">vynaložilo </w:t>
      </w:r>
      <w:r w:rsidR="00BC3AE9" w:rsidRPr="007B2755">
        <w:t>neúčelně a</w:t>
      </w:r>
      <w:r w:rsidR="00AF3A3F">
        <w:t> </w:t>
      </w:r>
      <w:r w:rsidR="00BC3AE9" w:rsidRPr="007B2755">
        <w:t xml:space="preserve">neefektivně. </w:t>
      </w:r>
    </w:p>
    <w:p w14:paraId="3FBABFC9" w14:textId="4EFF229F" w:rsidR="008B3B87" w:rsidRPr="00153DE9" w:rsidRDefault="00EC3F4B" w:rsidP="00EF1FD9">
      <w:pPr>
        <w:pStyle w:val="Nadpis2"/>
        <w:widowControl/>
        <w:spacing w:before="0"/>
      </w:pPr>
      <w:r>
        <w:t>NKÚ zjistil, že</w:t>
      </w:r>
      <w:r w:rsidR="008B3B87" w:rsidRPr="00054D30">
        <w:t xml:space="preserve"> MPSV </w:t>
      </w:r>
      <w:r w:rsidR="00054D30" w:rsidRPr="00153DE9">
        <w:t>o</w:t>
      </w:r>
      <w:r w:rsidR="008B3B87" w:rsidRPr="00357577">
        <w:t>proti požadavkům zákona nezajistilo</w:t>
      </w:r>
      <w:r w:rsidR="008B3B87" w:rsidRPr="00153DE9">
        <w:t xml:space="preserve"> sdílené evidence s</w:t>
      </w:r>
      <w:r w:rsidR="00412CB4">
        <w:t> </w:t>
      </w:r>
      <w:r w:rsidR="008B3B87" w:rsidRPr="00153DE9">
        <w:t>údaji o:</w:t>
      </w:r>
    </w:p>
    <w:p w14:paraId="7A5C5FFA" w14:textId="77777777" w:rsidR="008B3B87" w:rsidRDefault="00474CE9" w:rsidP="00AF3A3F">
      <w:pPr>
        <w:pStyle w:val="Odstavecseseznamem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>ž</w:t>
      </w:r>
      <w:r w:rsidR="008B3B87">
        <w:rPr>
          <w:lang w:eastAsia="cs-CZ"/>
        </w:rPr>
        <w:t>adatelích o zprostředkování osvojení</w:t>
      </w:r>
      <w:r>
        <w:rPr>
          <w:lang w:eastAsia="cs-CZ"/>
        </w:rPr>
        <w:t>;</w:t>
      </w:r>
    </w:p>
    <w:p w14:paraId="66406FCC" w14:textId="15458090" w:rsidR="00C112CD" w:rsidRDefault="008B3B87" w:rsidP="00EF1FD9">
      <w:pPr>
        <w:pStyle w:val="Odstavecseseznamem"/>
        <w:numPr>
          <w:ilvl w:val="0"/>
          <w:numId w:val="36"/>
        </w:numPr>
        <w:spacing w:after="120"/>
        <w:rPr>
          <w:lang w:eastAsia="cs-CZ"/>
        </w:rPr>
      </w:pPr>
      <w:r>
        <w:rPr>
          <w:lang w:eastAsia="cs-CZ"/>
        </w:rPr>
        <w:t>dětech zařazených v</w:t>
      </w:r>
      <w:r w:rsidR="00412CB4">
        <w:rPr>
          <w:lang w:eastAsia="cs-CZ"/>
        </w:rPr>
        <w:t> </w:t>
      </w:r>
      <w:r>
        <w:rPr>
          <w:lang w:eastAsia="cs-CZ"/>
        </w:rPr>
        <w:t>evidenci dětí pro zprostředkování osvojení nebo pěstounské péče.</w:t>
      </w:r>
    </w:p>
    <w:p w14:paraId="1E6ED8AC" w14:textId="284EBD91" w:rsidR="00E56DD2" w:rsidRDefault="00070637" w:rsidP="00EF1FD9">
      <w:pPr>
        <w:pStyle w:val="Nadpis2"/>
        <w:widowControl/>
        <w:spacing w:before="0"/>
        <w:rPr>
          <w:rFonts w:cs="Calibri"/>
        </w:rPr>
      </w:pPr>
      <w:r w:rsidRPr="00EC3F4B">
        <w:rPr>
          <w:noProof/>
        </w:rPr>
        <mc:AlternateContent>
          <mc:Choice Requires="wps">
            <w:drawing>
              <wp:anchor distT="91440" distB="91440" distL="365760" distR="365760" simplePos="0" relativeHeight="251658242" behindDoc="0" locked="0" layoutInCell="1" allowOverlap="1" wp14:anchorId="787029AE" wp14:editId="1F93D09D">
                <wp:simplePos x="0" y="0"/>
                <wp:positionH relativeFrom="margin">
                  <wp:align>right</wp:align>
                </wp:positionH>
                <wp:positionV relativeFrom="paragraph">
                  <wp:posOffset>1776095</wp:posOffset>
                </wp:positionV>
                <wp:extent cx="5392420" cy="3153410"/>
                <wp:effectExtent l="0" t="0" r="0" b="0"/>
                <wp:wrapTopAndBottom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315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3A9E9" w14:textId="77777777" w:rsidR="007B5389" w:rsidRPr="00546C8C" w:rsidRDefault="007B5389" w:rsidP="0043182E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546C8C">
                              <w:rPr>
                                <w:i/>
                                <w:color w:val="2EB3B5"/>
                                <w:sz w:val="22"/>
                              </w:rPr>
                              <w:t>Aktuální volnou kapacitu se dozvídáme od krajského úřadu. Je to zdlouhavé a nepružné.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  <w:r w:rsidRPr="001F42D9" w:rsidDel="007F6745">
                              <w:rPr>
                                <w:iCs/>
                                <w:color w:val="2EB3B5"/>
                                <w:sz w:val="22"/>
                              </w:rPr>
                              <w:t xml:space="preserve"> </w:t>
                            </w:r>
                          </w:p>
                          <w:p w14:paraId="025A134F" w14:textId="3DDDEC51" w:rsidR="007B5389" w:rsidRPr="00546C8C" w:rsidRDefault="007B5389" w:rsidP="001F42D9">
                            <w:pPr>
                              <w:pStyle w:val="Bezmezer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</w:rPr>
                              <w:t>„</w:t>
                            </w:r>
                            <w:r w:rsidRPr="00546C8C">
                              <w:rPr>
                                <w:i/>
                                <w:color w:val="2EB3B5"/>
                              </w:rPr>
                              <w:t>Nemáme žádné hromadné info o možné volné kapacitě, prostě obvoláváme zařízení a</w:t>
                            </w:r>
                            <w:r>
                              <w:rPr>
                                <w:i/>
                                <w:color w:val="2EB3B5"/>
                              </w:rPr>
                              <w:t> </w:t>
                            </w:r>
                            <w:r w:rsidRPr="00546C8C">
                              <w:rPr>
                                <w:i/>
                                <w:color w:val="2EB3B5"/>
                              </w:rPr>
                              <w:t>zjišťujeme naplněnost</w:t>
                            </w:r>
                            <w:r>
                              <w:rPr>
                                <w:i/>
                                <w:color w:val="2EB3B5"/>
                              </w:rPr>
                              <w:t>.</w:t>
                            </w:r>
                            <w:r w:rsidRPr="001F42D9">
                              <w:rPr>
                                <w:iCs/>
                                <w:color w:val="2EB3B5"/>
                              </w:rPr>
                              <w:t>“</w:t>
                            </w:r>
                          </w:p>
                          <w:p w14:paraId="1D593B9A" w14:textId="05BFB167" w:rsidR="007B5389" w:rsidRPr="00546C8C" w:rsidRDefault="007B5389" w:rsidP="0043182E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color w:val="2EB3B5"/>
                                <w:sz w:val="18"/>
                                <w:szCs w:val="18"/>
                              </w:rPr>
                            </w:pP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Výňatek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 z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 odpovědí respondentů v dotazníkovém še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t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ření NKÚ, viz 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p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říloha č. 1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029AE" id="Obdélník 12" o:spid="_x0000_s1028" style="position:absolute;left:0;text-align:left;margin-left:373.4pt;margin-top:139.85pt;width:424.6pt;height:248.3pt;z-index:251658242;visibility:visible;mso-wrap-style:square;mso-width-percent:0;mso-height-percent:0;mso-wrap-distance-left:28.8pt;mso-wrap-distance-top:7.2pt;mso-wrap-distance-right:28.8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" filled="f" stroked="f" strokeweight="1pt">
                <v:textbox style="mso-fit-shape-to-text:t" inset="10.8pt,0,10.8pt,0">
                  <w:txbxContent>
                    <w:p w14:paraId="19C3A9E9" w14:textId="77777777" w:rsidR="007B5389" w:rsidRPr="00546C8C" w:rsidRDefault="007B5389" w:rsidP="0043182E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546C8C">
                        <w:rPr>
                          <w:i/>
                          <w:color w:val="2EB3B5"/>
                          <w:sz w:val="22"/>
                        </w:rPr>
                        <w:t>Aktuální volnou kapacitu se dozvídáme od krajského úřadu. Je to zdlouhavé a nepružné.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  <w:r w:rsidRPr="001F42D9" w:rsidDel="007F6745">
                        <w:rPr>
                          <w:iCs/>
                          <w:color w:val="2EB3B5"/>
                          <w:sz w:val="22"/>
                        </w:rPr>
                        <w:t xml:space="preserve"> </w:t>
                      </w:r>
                    </w:p>
                    <w:p w14:paraId="025A134F" w14:textId="3DDDEC51" w:rsidR="007B5389" w:rsidRPr="00546C8C" w:rsidRDefault="007B5389" w:rsidP="001F42D9">
                      <w:pPr>
                        <w:pStyle w:val="Bezmezer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</w:rPr>
                      </w:pPr>
                      <w:r w:rsidRPr="001F42D9">
                        <w:rPr>
                          <w:iCs/>
                          <w:color w:val="2EB3B5"/>
                        </w:rPr>
                        <w:t>„</w:t>
                      </w:r>
                      <w:r w:rsidRPr="00546C8C">
                        <w:rPr>
                          <w:i/>
                          <w:color w:val="2EB3B5"/>
                        </w:rPr>
                        <w:t>Nemáme žádné hromadné info o možné volné kapacitě, prostě obvoláváme zařízení a</w:t>
                      </w:r>
                      <w:r>
                        <w:rPr>
                          <w:i/>
                          <w:color w:val="2EB3B5"/>
                        </w:rPr>
                        <w:t> </w:t>
                      </w:r>
                      <w:r w:rsidRPr="00546C8C">
                        <w:rPr>
                          <w:i/>
                          <w:color w:val="2EB3B5"/>
                        </w:rPr>
                        <w:t>zjišťujeme naplněnost</w:t>
                      </w:r>
                      <w:r>
                        <w:rPr>
                          <w:i/>
                          <w:color w:val="2EB3B5"/>
                        </w:rPr>
                        <w:t>.</w:t>
                      </w:r>
                      <w:r w:rsidRPr="001F42D9">
                        <w:rPr>
                          <w:iCs/>
                          <w:color w:val="2EB3B5"/>
                        </w:rPr>
                        <w:t>“</w:t>
                      </w:r>
                    </w:p>
                    <w:p w14:paraId="1D593B9A" w14:textId="05BFB167" w:rsidR="007B5389" w:rsidRPr="00546C8C" w:rsidRDefault="007B5389" w:rsidP="0043182E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2EB3B5"/>
                          <w:sz w:val="18"/>
                          <w:szCs w:val="18"/>
                        </w:rPr>
                      </w:pP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Výňatek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 xml:space="preserve"> z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 odpovědí respondentů v dotazníkovém še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t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ření NKÚ, viz 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p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říloha č. 1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561F0E" w:rsidRPr="00EC3F4B">
        <w:t>Ani</w:t>
      </w:r>
      <w:r w:rsidR="00561F0E">
        <w:t xml:space="preserve"> v</w:t>
      </w:r>
      <w:r w:rsidR="00412CB4">
        <w:t> </w:t>
      </w:r>
      <w:r w:rsidR="00561F0E">
        <w:t>případě již</w:t>
      </w:r>
      <w:r w:rsidR="00EB58D5">
        <w:t xml:space="preserve"> </w:t>
      </w:r>
      <w:r w:rsidR="00561F0E">
        <w:t>zprovozněných evidencí</w:t>
      </w:r>
      <w:r w:rsidR="00A604E5">
        <w:rPr>
          <w:rStyle w:val="Znakapoznpodarou"/>
        </w:rPr>
        <w:footnoteReference w:id="36"/>
      </w:r>
      <w:r w:rsidR="00561F0E">
        <w:t xml:space="preserve"> však MPSV neplní další požadavek zákona</w:t>
      </w:r>
      <w:r w:rsidR="00496998">
        <w:t>, a</w:t>
      </w:r>
      <w:r w:rsidR="00AF3A3F">
        <w:t> </w:t>
      </w:r>
      <w:r w:rsidR="00496998">
        <w:t xml:space="preserve">to </w:t>
      </w:r>
      <w:r w:rsidR="00561F0E">
        <w:t>ustanovení</w:t>
      </w:r>
      <w:r w:rsidR="00561F0E" w:rsidRPr="00945298">
        <w:t xml:space="preserve"> § 53a odst. 3</w:t>
      </w:r>
      <w:r w:rsidR="00C164CC">
        <w:t xml:space="preserve"> </w:t>
      </w:r>
      <w:r w:rsidR="00561F0E">
        <w:t xml:space="preserve">zákona o SPOD, </w:t>
      </w:r>
      <w:r w:rsidR="00D71724">
        <w:t>kde je pro</w:t>
      </w:r>
      <w:r w:rsidR="00C6224A">
        <w:t xml:space="preserve"> MPSV </w:t>
      </w:r>
      <w:r w:rsidR="00C6224A" w:rsidRPr="00C164CC">
        <w:t>stanov</w:t>
      </w:r>
      <w:r w:rsidR="00D71724">
        <w:t>ena</w:t>
      </w:r>
      <w:r w:rsidR="00496998" w:rsidRPr="00C164CC">
        <w:t xml:space="preserve"> </w:t>
      </w:r>
      <w:r w:rsidR="00C164CC" w:rsidRPr="00C164CC">
        <w:t>povinnost sdělovat údaje</w:t>
      </w:r>
      <w:r w:rsidR="00561F0E">
        <w:t xml:space="preserve"> </w:t>
      </w:r>
      <w:r w:rsidR="00C164CC">
        <w:t xml:space="preserve">z </w:t>
      </w:r>
      <w:r w:rsidR="00561F0E">
        <w:t xml:space="preserve">těchto evidencí nejen </w:t>
      </w:r>
      <w:r w:rsidR="00561F0E" w:rsidRPr="00C112CD">
        <w:rPr>
          <w:rFonts w:cs="Calibri"/>
          <w:color w:val="000000"/>
          <w:spacing w:val="2"/>
        </w:rPr>
        <w:t xml:space="preserve">krajským úřadům, ale i všem </w:t>
      </w:r>
      <w:r w:rsidR="00EF2008">
        <w:rPr>
          <w:rFonts w:cs="Calibri"/>
          <w:color w:val="000000"/>
          <w:spacing w:val="2"/>
        </w:rPr>
        <w:t xml:space="preserve">obecním úřadům </w:t>
      </w:r>
      <w:r w:rsidR="00FB6A82">
        <w:rPr>
          <w:rFonts w:cs="Calibri"/>
          <w:color w:val="000000"/>
          <w:spacing w:val="2"/>
        </w:rPr>
        <w:t>ORP</w:t>
      </w:r>
      <w:r w:rsidR="00C6224A" w:rsidRPr="00C112CD">
        <w:rPr>
          <w:rFonts w:cs="Calibri"/>
          <w:color w:val="000000"/>
          <w:spacing w:val="2"/>
        </w:rPr>
        <w:t xml:space="preserve"> pro </w:t>
      </w:r>
      <w:r w:rsidR="00561F0E">
        <w:t>plnění úkolů v</w:t>
      </w:r>
      <w:r w:rsidR="00412CB4">
        <w:t> </w:t>
      </w:r>
      <w:r w:rsidR="00561F0E">
        <w:t xml:space="preserve">oblasti ochrany ohrožených dětí. </w:t>
      </w:r>
      <w:r w:rsidR="00561F0E" w:rsidRPr="00C112CD">
        <w:rPr>
          <w:rFonts w:cs="Calibri"/>
        </w:rPr>
        <w:t>MPSV</w:t>
      </w:r>
      <w:r w:rsidR="00C6224A" w:rsidRPr="00C112CD">
        <w:rPr>
          <w:rFonts w:cs="Calibri"/>
        </w:rPr>
        <w:t xml:space="preserve"> sice část potřebných evidencí zpřístupnilo </w:t>
      </w:r>
      <w:r w:rsidR="00561F0E" w:rsidRPr="00C112CD">
        <w:rPr>
          <w:rFonts w:cs="Calibri"/>
        </w:rPr>
        <w:t>všem krajským úřadům ČR</w:t>
      </w:r>
      <w:r w:rsidR="00C6224A" w:rsidRPr="00C112CD">
        <w:rPr>
          <w:rFonts w:cs="Calibri"/>
        </w:rPr>
        <w:t xml:space="preserve"> prostřednictvím sdíleného </w:t>
      </w:r>
      <w:r w:rsidR="00C6224A">
        <w:t>úložišt</w:t>
      </w:r>
      <w:r w:rsidR="00057204">
        <w:t>ě</w:t>
      </w:r>
      <w:r w:rsidR="00C6224A">
        <w:t xml:space="preserve"> OneDrive, p</w:t>
      </w:r>
      <w:r w:rsidR="00561F0E" w:rsidRPr="00C112CD">
        <w:rPr>
          <w:rFonts w:cs="Calibri"/>
        </w:rPr>
        <w:t xml:space="preserve">řístup pro </w:t>
      </w:r>
      <w:r w:rsidR="00BC46D0">
        <w:rPr>
          <w:rFonts w:cs="Calibri"/>
        </w:rPr>
        <w:t xml:space="preserve">všechny </w:t>
      </w:r>
      <w:r w:rsidR="00EF2008">
        <w:rPr>
          <w:rFonts w:cs="Calibri"/>
        </w:rPr>
        <w:t xml:space="preserve">obecní úřady </w:t>
      </w:r>
      <w:r w:rsidR="00561F0E" w:rsidRPr="002376D4">
        <w:t xml:space="preserve">ORP </w:t>
      </w:r>
      <w:r w:rsidR="00561F0E" w:rsidRPr="00C112CD">
        <w:rPr>
          <w:rFonts w:cs="Calibri"/>
        </w:rPr>
        <w:t xml:space="preserve">však </w:t>
      </w:r>
      <w:r w:rsidR="006E1622">
        <w:rPr>
          <w:rFonts w:cs="Calibri"/>
        </w:rPr>
        <w:t xml:space="preserve">v rozporu se zákonem nezajistilo. </w:t>
      </w:r>
      <w:r w:rsidR="00C6224A" w:rsidRPr="00C112CD">
        <w:rPr>
          <w:rFonts w:cs="Calibri"/>
        </w:rPr>
        <w:t xml:space="preserve">Nedostatek těchto informací </w:t>
      </w:r>
      <w:r w:rsidR="008C2A3F" w:rsidRPr="00C112CD">
        <w:rPr>
          <w:rFonts w:cs="Calibri"/>
        </w:rPr>
        <w:t>přitom</w:t>
      </w:r>
      <w:r w:rsidR="00C6224A" w:rsidRPr="00C112CD">
        <w:rPr>
          <w:rFonts w:cs="Calibri"/>
        </w:rPr>
        <w:t xml:space="preserve"> </w:t>
      </w:r>
      <w:r w:rsidR="00561F0E" w:rsidRPr="00C112CD">
        <w:rPr>
          <w:rFonts w:cs="Calibri"/>
        </w:rPr>
        <w:t xml:space="preserve">často brání výkonu práce pracovníků OSPOD, </w:t>
      </w:r>
      <w:r w:rsidR="005353B1" w:rsidRPr="00C112CD">
        <w:rPr>
          <w:rFonts w:cs="Calibri"/>
        </w:rPr>
        <w:t>což</w:t>
      </w:r>
      <w:r w:rsidR="00A604E5" w:rsidRPr="00C112CD">
        <w:rPr>
          <w:rFonts w:cs="Calibri"/>
        </w:rPr>
        <w:t xml:space="preserve"> </w:t>
      </w:r>
      <w:r w:rsidR="00D866B2" w:rsidRPr="00C112CD">
        <w:rPr>
          <w:rFonts w:cs="Calibri"/>
        </w:rPr>
        <w:t>potvr</w:t>
      </w:r>
      <w:r w:rsidR="00483A45" w:rsidRPr="00C112CD">
        <w:rPr>
          <w:rFonts w:cs="Calibri"/>
        </w:rPr>
        <w:t xml:space="preserve">zují i jejich odpovědi </w:t>
      </w:r>
      <w:r w:rsidR="00742FF9" w:rsidRPr="00C112CD">
        <w:rPr>
          <w:rFonts w:cs="Calibri"/>
        </w:rPr>
        <w:t>v</w:t>
      </w:r>
      <w:r w:rsidR="00412CB4" w:rsidRPr="00C112CD">
        <w:rPr>
          <w:rFonts w:cs="Calibri"/>
        </w:rPr>
        <w:t> </w:t>
      </w:r>
      <w:r w:rsidR="00561F0E" w:rsidRPr="00C112CD">
        <w:rPr>
          <w:rFonts w:cs="Calibri"/>
        </w:rPr>
        <w:t>dotazníkové</w:t>
      </w:r>
      <w:r w:rsidR="00742FF9" w:rsidRPr="00C112CD">
        <w:rPr>
          <w:rFonts w:cs="Calibri"/>
        </w:rPr>
        <w:t>m</w:t>
      </w:r>
      <w:r w:rsidR="00561F0E" w:rsidRPr="00C112CD">
        <w:rPr>
          <w:rFonts w:cs="Calibri"/>
        </w:rPr>
        <w:t xml:space="preserve"> šetření NKÚ</w:t>
      </w:r>
      <w:r w:rsidR="00137B93">
        <w:rPr>
          <w:rFonts w:cs="Calibri"/>
        </w:rPr>
        <w:t>:</w:t>
      </w:r>
    </w:p>
    <w:p w14:paraId="551F3FBC" w14:textId="37794F67" w:rsidR="009E172F" w:rsidRPr="00557855" w:rsidRDefault="00CE3478" w:rsidP="00EF1FD9">
      <w:pPr>
        <w:pStyle w:val="Nadpis2"/>
        <w:widowControl/>
        <w:spacing w:before="240" w:after="120"/>
      </w:pPr>
      <w:r w:rsidRPr="001825AC">
        <w:t>Podle ustanovení § 51</w:t>
      </w:r>
      <w:r w:rsidR="00C87EDC">
        <w:t xml:space="preserve"> odst. 6</w:t>
      </w:r>
      <w:r w:rsidR="004E639C">
        <w:t xml:space="preserve"> </w:t>
      </w:r>
      <w:r w:rsidRPr="001825AC">
        <w:t xml:space="preserve">zákona </w:t>
      </w:r>
      <w:r>
        <w:t>o SPOD</w:t>
      </w:r>
      <w:r w:rsidRPr="001825AC">
        <w:t xml:space="preserve"> jsou evidence vedené podle tohoto zákona informačními systémy veřejné správy.</w:t>
      </w:r>
      <w:r w:rsidR="004A2415">
        <w:t xml:space="preserve"> </w:t>
      </w:r>
      <w:r w:rsidR="00F862C9">
        <w:t>Přestože</w:t>
      </w:r>
      <w:r w:rsidR="00D30F6D">
        <w:t xml:space="preserve"> evidence vytvářené MPSV</w:t>
      </w:r>
      <w:r w:rsidR="00F862C9">
        <w:t xml:space="preserve"> </w:t>
      </w:r>
      <w:r w:rsidR="00744DCE">
        <w:t xml:space="preserve">v MS Excel </w:t>
      </w:r>
      <w:r w:rsidR="00F862C9">
        <w:t>nenaplňují požadavky zákona</w:t>
      </w:r>
      <w:r w:rsidR="006163AD">
        <w:t xml:space="preserve"> o SPOD</w:t>
      </w:r>
      <w:r w:rsidR="00F862C9">
        <w:t xml:space="preserve">, odpovídají </w:t>
      </w:r>
      <w:r w:rsidR="004A2415">
        <w:t>definic</w:t>
      </w:r>
      <w:r>
        <w:t>i</w:t>
      </w:r>
      <w:r w:rsidR="004A2415">
        <w:t xml:space="preserve"> </w:t>
      </w:r>
      <w:r w:rsidR="00C61894">
        <w:t>informačního systému veřejné správy</w:t>
      </w:r>
      <w:r w:rsidR="004A2415">
        <w:t xml:space="preserve"> podle </w:t>
      </w:r>
      <w:r w:rsidR="004A2415" w:rsidRPr="00D67308">
        <w:t>§ 2 odst. 1 zákona</w:t>
      </w:r>
      <w:r w:rsidR="00744DCE">
        <w:t xml:space="preserve"> č. 365/2000 Sb</w:t>
      </w:r>
      <w:r w:rsidR="00744DCE" w:rsidRPr="003A16A3">
        <w:t xml:space="preserve">., </w:t>
      </w:r>
      <w:r w:rsidR="00744DCE" w:rsidRPr="00A0582D">
        <w:t>o informačních systémech veřejné správy a o změně některých dalších zákonů</w:t>
      </w:r>
      <w:r w:rsidR="00474CE9">
        <w:rPr>
          <w:rStyle w:val="Znakapoznpodarou"/>
        </w:rPr>
        <w:footnoteReference w:id="37"/>
      </w:r>
      <w:r w:rsidR="004A2415">
        <w:t xml:space="preserve">, neboť </w:t>
      </w:r>
      <w:r w:rsidR="004A2415" w:rsidRPr="00D67308">
        <w:rPr>
          <w:rFonts w:cs="Calibri"/>
          <w:color w:val="000000"/>
          <w:spacing w:val="2"/>
        </w:rPr>
        <w:t>zabezpečují cílevědomou a</w:t>
      </w:r>
      <w:r w:rsidR="00D71724">
        <w:rPr>
          <w:rFonts w:cs="Calibri"/>
          <w:color w:val="000000"/>
          <w:spacing w:val="2"/>
        </w:rPr>
        <w:t> </w:t>
      </w:r>
      <w:r w:rsidR="004A2415" w:rsidRPr="00D67308">
        <w:rPr>
          <w:rFonts w:cs="Calibri"/>
          <w:color w:val="000000"/>
          <w:spacing w:val="2"/>
        </w:rPr>
        <w:t>systematickou informační činnost pro účely výkonu veřejné správy</w:t>
      </w:r>
      <w:r w:rsidR="004A2415">
        <w:rPr>
          <w:rFonts w:eastAsiaTheme="minorHAnsi" w:cstheme="minorBidi"/>
          <w:szCs w:val="22"/>
        </w:rPr>
        <w:t xml:space="preserve">. </w:t>
      </w:r>
      <w:r w:rsidR="00F862C9">
        <w:rPr>
          <w:rFonts w:eastAsiaTheme="minorHAnsi" w:cstheme="minorBidi"/>
          <w:szCs w:val="22"/>
        </w:rPr>
        <w:t xml:space="preserve">Podle zjištění NKÚ porušilo </w:t>
      </w:r>
      <w:r w:rsidR="004A2415" w:rsidRPr="00934E77">
        <w:rPr>
          <w:rFonts w:eastAsiaTheme="minorHAnsi" w:cstheme="minorBidi"/>
          <w:szCs w:val="22"/>
        </w:rPr>
        <w:t>MPSV</w:t>
      </w:r>
      <w:r w:rsidR="004A2415" w:rsidRPr="000F715D">
        <w:rPr>
          <w:rFonts w:eastAsiaTheme="minorHAnsi" w:cstheme="minorBidi"/>
          <w:szCs w:val="22"/>
        </w:rPr>
        <w:t xml:space="preserve"> </w:t>
      </w:r>
      <w:r w:rsidR="00786B74">
        <w:rPr>
          <w:rFonts w:eastAsiaTheme="minorHAnsi" w:cstheme="minorBidi"/>
          <w:szCs w:val="22"/>
        </w:rPr>
        <w:t>i</w:t>
      </w:r>
      <w:r w:rsidR="004A2415" w:rsidRPr="00934E77">
        <w:rPr>
          <w:rFonts w:eastAsiaTheme="minorHAnsi" w:cstheme="minorBidi"/>
          <w:szCs w:val="22"/>
        </w:rPr>
        <w:t xml:space="preserve"> povinnost stanovenou v</w:t>
      </w:r>
      <w:r w:rsidR="00AC2005">
        <w:rPr>
          <w:rFonts w:eastAsiaTheme="minorHAnsi" w:cstheme="minorBidi"/>
          <w:szCs w:val="22"/>
        </w:rPr>
        <w:t xml:space="preserve"> </w:t>
      </w:r>
      <w:r w:rsidR="004A2415" w:rsidRPr="00934E77">
        <w:rPr>
          <w:rFonts w:cs="Calibri"/>
          <w:color w:val="000000"/>
          <w:spacing w:val="2"/>
        </w:rPr>
        <w:t>§ 5</w:t>
      </w:r>
      <w:r w:rsidR="004B648F">
        <w:rPr>
          <w:rFonts w:cs="Calibri"/>
          <w:color w:val="000000"/>
          <w:spacing w:val="2"/>
        </w:rPr>
        <w:t xml:space="preserve"> odst. 2 písm. k)</w:t>
      </w:r>
      <w:r w:rsidR="004A2415" w:rsidRPr="00934E77">
        <w:rPr>
          <w:rFonts w:cs="Calibri"/>
          <w:color w:val="000000"/>
          <w:spacing w:val="2"/>
        </w:rPr>
        <w:t xml:space="preserve"> zákona </w:t>
      </w:r>
      <w:r w:rsidR="00C66E68">
        <w:rPr>
          <w:rFonts w:cs="Calibri"/>
          <w:color w:val="000000"/>
          <w:spacing w:val="2"/>
        </w:rPr>
        <w:t>o</w:t>
      </w:r>
      <w:r w:rsidR="00AC2005">
        <w:rPr>
          <w:rFonts w:cs="Calibri"/>
          <w:color w:val="000000"/>
          <w:spacing w:val="2"/>
        </w:rPr>
        <w:t xml:space="preserve"> </w:t>
      </w:r>
      <w:r w:rsidR="00C66E68">
        <w:rPr>
          <w:rFonts w:cs="Calibri"/>
          <w:color w:val="000000"/>
          <w:spacing w:val="2"/>
        </w:rPr>
        <w:t>ISVS</w:t>
      </w:r>
      <w:r w:rsidR="004A2415" w:rsidRPr="00934E77">
        <w:rPr>
          <w:rFonts w:cs="Calibri"/>
          <w:color w:val="000000"/>
          <w:spacing w:val="2"/>
        </w:rPr>
        <w:t xml:space="preserve">, neboť neprovedlo před pořízením tohoto </w:t>
      </w:r>
      <w:r w:rsidR="0025713D">
        <w:rPr>
          <w:rFonts w:cs="Calibri"/>
          <w:color w:val="000000"/>
          <w:spacing w:val="2"/>
        </w:rPr>
        <w:t>informačního systému</w:t>
      </w:r>
      <w:r w:rsidR="004A2415" w:rsidRPr="00934E77">
        <w:rPr>
          <w:rFonts w:cs="Calibri"/>
          <w:color w:val="000000"/>
          <w:spacing w:val="2"/>
        </w:rPr>
        <w:t xml:space="preserve"> </w:t>
      </w:r>
      <w:r w:rsidR="004A2415" w:rsidRPr="00934E77">
        <w:t>hodnocení ekonomické výhodnosti</w:t>
      </w:r>
      <w:r w:rsidR="004B648F">
        <w:t xml:space="preserve"> jeho provozu.</w:t>
      </w:r>
    </w:p>
    <w:p w14:paraId="2ADCE098" w14:textId="5538D563" w:rsidR="00B21A3A" w:rsidRDefault="00711907" w:rsidP="00EF1FD9">
      <w:pPr>
        <w:pStyle w:val="Nadpis2"/>
        <w:widowControl/>
        <w:spacing w:before="0" w:after="120"/>
      </w:pPr>
      <w:r>
        <w:t xml:space="preserve">V důsledku </w:t>
      </w:r>
      <w:r w:rsidR="004A2415" w:rsidRPr="00090BCB">
        <w:t>nečinnosti MPSV</w:t>
      </w:r>
      <w:r w:rsidR="004E639C">
        <w:t xml:space="preserve"> </w:t>
      </w:r>
      <w:r w:rsidR="004A2415" w:rsidRPr="00090BCB">
        <w:t>nedisponují orgány SPOD potřebnými informacemi, které by usnadnily práci a zrychlily např. um</w:t>
      </w:r>
      <w:r w:rsidR="009358DC">
        <w:t>í</w:t>
      </w:r>
      <w:r w:rsidR="004A2415" w:rsidRPr="00090BCB">
        <w:t>sťování dětí do pěstounských rodin. Tím, že MPSV nezprovoznilo</w:t>
      </w:r>
      <w:r w:rsidR="0062481B">
        <w:t xml:space="preserve"> </w:t>
      </w:r>
      <w:r w:rsidR="004A2415" w:rsidRPr="00090BCB">
        <w:t>IS SPOD s</w:t>
      </w:r>
      <w:r w:rsidR="00412CB4">
        <w:t> </w:t>
      </w:r>
      <w:r w:rsidR="004A2415" w:rsidRPr="00090BCB">
        <w:t>parametry daný</w:t>
      </w:r>
      <w:r w:rsidR="00827EC0">
        <w:t>mi</w:t>
      </w:r>
      <w:r w:rsidR="004A2415" w:rsidRPr="00090BCB">
        <w:t xml:space="preserve"> zákonem</w:t>
      </w:r>
      <w:r w:rsidR="0062481B">
        <w:t xml:space="preserve">, </w:t>
      </w:r>
      <w:r w:rsidR="004A2415" w:rsidRPr="00090BCB">
        <w:t>znemožnilo dalším orgánům SPOD naplnit provádě</w:t>
      </w:r>
      <w:r w:rsidR="009D296B">
        <w:t>cí</w:t>
      </w:r>
      <w:r w:rsidR="004A2415" w:rsidRPr="00090BCB">
        <w:t xml:space="preserve"> vyhlášku</w:t>
      </w:r>
      <w:r w:rsidR="00766461">
        <w:rPr>
          <w:rStyle w:val="Znakapoznpodarou"/>
        </w:rPr>
        <w:footnoteReference w:id="38"/>
      </w:r>
      <w:r w:rsidR="004A2415" w:rsidRPr="00090BCB">
        <w:t xml:space="preserve"> k</w:t>
      </w:r>
      <w:r w:rsidR="00412CB4">
        <w:t> </w:t>
      </w:r>
      <w:r w:rsidR="004A2415" w:rsidRPr="00090BCB">
        <w:t>zákonu o SPOD</w:t>
      </w:r>
      <w:r w:rsidR="0062481B">
        <w:t xml:space="preserve">. </w:t>
      </w:r>
      <w:r w:rsidR="000F27BC">
        <w:t>V</w:t>
      </w:r>
      <w:r w:rsidR="0062481B">
        <w:t>yhláška</w:t>
      </w:r>
      <w:r w:rsidR="004A2415" w:rsidRPr="00090BCB">
        <w:t xml:space="preserve"> stanoví, </w:t>
      </w:r>
      <w:r w:rsidR="009D296B">
        <w:t xml:space="preserve">že </w:t>
      </w:r>
      <w:r w:rsidR="000F27BC">
        <w:t>uvedené</w:t>
      </w:r>
      <w:r w:rsidR="004A2415" w:rsidRPr="00090BCB">
        <w:t xml:space="preserve"> subjekty zpracová</w:t>
      </w:r>
      <w:r w:rsidR="0062481B">
        <w:t>vají</w:t>
      </w:r>
      <w:r w:rsidR="004A2415" w:rsidRPr="00090BCB">
        <w:t>, ved</w:t>
      </w:r>
      <w:r w:rsidR="0062481B">
        <w:t>ou</w:t>
      </w:r>
      <w:r w:rsidR="004A2415" w:rsidRPr="00090BCB">
        <w:t>, evid</w:t>
      </w:r>
      <w:r w:rsidR="0062481B">
        <w:t>ují</w:t>
      </w:r>
      <w:r w:rsidR="004A2415" w:rsidRPr="00090BCB">
        <w:t xml:space="preserve"> a archiv</w:t>
      </w:r>
      <w:r w:rsidR="0062481B">
        <w:t>ují</w:t>
      </w:r>
      <w:r w:rsidR="004A2415" w:rsidRPr="00090BCB">
        <w:t xml:space="preserve"> dokumentac</w:t>
      </w:r>
      <w:r w:rsidR="00B46A3A">
        <w:t>i v</w:t>
      </w:r>
      <w:r w:rsidR="00412CB4">
        <w:t> </w:t>
      </w:r>
      <w:r w:rsidR="004A2415" w:rsidRPr="00090BCB">
        <w:t xml:space="preserve">elektronické </w:t>
      </w:r>
      <w:r w:rsidR="005246A9">
        <w:t>podobě</w:t>
      </w:r>
      <w:r w:rsidR="005246A9" w:rsidRPr="00090BCB">
        <w:t xml:space="preserve"> </w:t>
      </w:r>
      <w:r w:rsidR="004A2415" w:rsidRPr="00090BCB">
        <w:t>v</w:t>
      </w:r>
      <w:r w:rsidR="00412CB4">
        <w:t> </w:t>
      </w:r>
      <w:r w:rsidR="004A2415" w:rsidRPr="00090BCB">
        <w:t>IS</w:t>
      </w:r>
      <w:r w:rsidR="00243F78">
        <w:t> </w:t>
      </w:r>
      <w:r w:rsidR="004A2415" w:rsidRPr="00090BCB">
        <w:t>SPOD</w:t>
      </w:r>
      <w:r w:rsidR="004A2415" w:rsidRPr="00090BCB">
        <w:rPr>
          <w:i/>
        </w:rPr>
        <w:t>.</w:t>
      </w:r>
      <w:r w:rsidR="004A2415" w:rsidRPr="00090BCB">
        <w:t xml:space="preserve"> </w:t>
      </w:r>
      <w:r w:rsidR="005246A9">
        <w:t>Současná podoba vedení dokumentace tak n</w:t>
      </w:r>
      <w:r w:rsidR="004A2415">
        <w:t>adměrn</w:t>
      </w:r>
      <w:r w:rsidR="005246A9">
        <w:t xml:space="preserve">ě </w:t>
      </w:r>
      <w:r w:rsidR="004A2415">
        <w:t>zatěžuj</w:t>
      </w:r>
      <w:r w:rsidR="006770B2">
        <w:t>e</w:t>
      </w:r>
      <w:r w:rsidR="004A2415">
        <w:t xml:space="preserve"> pracovníky SPOD. </w:t>
      </w:r>
    </w:p>
    <w:p w14:paraId="76A10420" w14:textId="33BFD8EE" w:rsidR="005B5C55" w:rsidRDefault="00E75CBD" w:rsidP="00EF1FD9">
      <w:pPr>
        <w:pStyle w:val="Nadpis2"/>
        <w:widowControl/>
        <w:spacing w:before="0" w:after="120"/>
      </w:pPr>
      <w:r>
        <w:t xml:space="preserve">Orgány SPOD </w:t>
      </w:r>
      <w:r w:rsidR="004A2415">
        <w:t xml:space="preserve">řeší podle zjištění NKÚ chybějící elektronizaci agendy SPOD nákupem vlastních </w:t>
      </w:r>
      <w:r w:rsidR="00D06356">
        <w:rPr>
          <w:rFonts w:eastAsiaTheme="minorHAnsi" w:cstheme="minorBidi"/>
          <w:szCs w:val="22"/>
        </w:rPr>
        <w:t>informačních systémů</w:t>
      </w:r>
      <w:r w:rsidR="004A2415">
        <w:t xml:space="preserve">. </w:t>
      </w:r>
      <w:r w:rsidR="00C04C21">
        <w:t>Od roku 2011 si kraje</w:t>
      </w:r>
      <w:r w:rsidR="004A2415">
        <w:t>, ORP a</w:t>
      </w:r>
      <w:r w:rsidR="00C04C21">
        <w:t xml:space="preserve"> </w:t>
      </w:r>
      <w:r w:rsidR="004A2415" w:rsidRPr="00DE7DBC">
        <w:rPr>
          <w:rFonts w:eastAsiaTheme="minorHAnsi" w:cstheme="minorBidi"/>
          <w:szCs w:val="22"/>
        </w:rPr>
        <w:t>Úřad pro mezinárodněprávní ochranu dětí</w:t>
      </w:r>
      <w:r w:rsidR="004A2415">
        <w:t xml:space="preserve"> zaregistrovaly </w:t>
      </w:r>
      <w:r w:rsidR="00786B74">
        <w:t xml:space="preserve">podle </w:t>
      </w:r>
      <w:r w:rsidR="00E1323B">
        <w:t>údajů</w:t>
      </w:r>
      <w:r w:rsidR="00786B74">
        <w:t xml:space="preserve"> z</w:t>
      </w:r>
      <w:r w:rsidR="00AC2005">
        <w:t xml:space="preserve"> </w:t>
      </w:r>
      <w:r w:rsidR="00E1323B" w:rsidRPr="00C04C21">
        <w:rPr>
          <w:i/>
          <w:iCs/>
        </w:rPr>
        <w:t>Informačního systému</w:t>
      </w:r>
      <w:r w:rsidR="0035287B" w:rsidRPr="00C04C21">
        <w:rPr>
          <w:i/>
          <w:iCs/>
        </w:rPr>
        <w:t xml:space="preserve"> registru práv a povinností</w:t>
      </w:r>
      <w:r w:rsidR="0035287B">
        <w:rPr>
          <w:rStyle w:val="Znakapoznpodarou"/>
        </w:rPr>
        <w:footnoteReference w:id="39"/>
      </w:r>
      <w:r w:rsidR="0035287B">
        <w:t xml:space="preserve"> </w:t>
      </w:r>
      <w:r w:rsidR="004A2415">
        <w:t xml:space="preserve">celkem </w:t>
      </w:r>
      <w:r w:rsidR="004A2415" w:rsidRPr="0011053D">
        <w:rPr>
          <w:rFonts w:eastAsiaTheme="minorHAnsi" w:cstheme="minorBidi"/>
          <w:szCs w:val="22"/>
        </w:rPr>
        <w:t>95</w:t>
      </w:r>
      <w:r w:rsidR="00243F78">
        <w:rPr>
          <w:rFonts w:eastAsiaTheme="minorHAnsi" w:cstheme="minorBidi"/>
          <w:szCs w:val="22"/>
        </w:rPr>
        <w:t> </w:t>
      </w:r>
      <w:r w:rsidR="00D06356">
        <w:rPr>
          <w:rFonts w:eastAsiaTheme="minorHAnsi" w:cstheme="minorBidi"/>
          <w:szCs w:val="22"/>
        </w:rPr>
        <w:t>informačních systémů</w:t>
      </w:r>
      <w:r w:rsidR="004A2415">
        <w:t xml:space="preserve"> pro výkon agendy SPOD. Jedná se o</w:t>
      </w:r>
      <w:r w:rsidR="0031203E">
        <w:t xml:space="preserve"> </w:t>
      </w:r>
      <w:r w:rsidR="004A2415">
        <w:t xml:space="preserve">softwarová řešení, </w:t>
      </w:r>
      <w:r w:rsidR="00DB46E1">
        <w:t>na</w:t>
      </w:r>
      <w:r w:rsidR="004A2415">
        <w:t xml:space="preserve"> jejichž pořízení </w:t>
      </w:r>
      <w:r w:rsidR="0031203E">
        <w:t xml:space="preserve">(od komerčních dodavatelů) vynaložily </w:t>
      </w:r>
      <w:r w:rsidR="004A2415">
        <w:t xml:space="preserve">orgány SPOD </w:t>
      </w:r>
      <w:r w:rsidR="004A2415">
        <w:rPr>
          <w:rFonts w:cs="Calibri"/>
        </w:rPr>
        <w:t>veřejné prostředky</w:t>
      </w:r>
      <w:r w:rsidR="00711907">
        <w:rPr>
          <w:rFonts w:cs="Calibri"/>
        </w:rPr>
        <w:t>, které nepodléhají kontrolní působnosti N</w:t>
      </w:r>
      <w:r w:rsidR="00C04C21">
        <w:rPr>
          <w:rFonts w:cs="Calibri"/>
        </w:rPr>
        <w:t>KÚ</w:t>
      </w:r>
      <w:r w:rsidR="004A2415">
        <w:t>.</w:t>
      </w:r>
    </w:p>
    <w:p w14:paraId="1A2848D2" w14:textId="5CBF4F8A" w:rsidR="00080F6B" w:rsidRDefault="003E665D" w:rsidP="00EF1FD9">
      <w:pPr>
        <w:pStyle w:val="Nadpis2"/>
        <w:widowControl/>
        <w:spacing w:before="0" w:after="120"/>
      </w:pPr>
      <w:r>
        <w:rPr>
          <w:i/>
        </w:rPr>
        <w:t>D</w:t>
      </w:r>
      <w:r w:rsidRPr="00814932">
        <w:rPr>
          <w:i/>
        </w:rPr>
        <w:t>atabáze ústavní výchovy</w:t>
      </w:r>
      <w:r>
        <w:t xml:space="preserve"> MŠMT </w:t>
      </w:r>
      <w:r w:rsidRPr="00685BAE">
        <w:t>je veřejně dostupn</w:t>
      </w:r>
      <w:r>
        <w:t xml:space="preserve">ým informačním </w:t>
      </w:r>
      <w:r w:rsidR="0064697A">
        <w:t>systémem</w:t>
      </w:r>
      <w:r w:rsidRPr="00685BAE">
        <w:t xml:space="preserve"> obsahující</w:t>
      </w:r>
      <w:r>
        <w:t>m</w:t>
      </w:r>
      <w:r w:rsidRPr="00685BAE">
        <w:t xml:space="preserve"> neúplná</w:t>
      </w:r>
      <w:r>
        <w:t xml:space="preserve">, </w:t>
      </w:r>
      <w:r w:rsidRPr="00685BAE">
        <w:t>neaktuální</w:t>
      </w:r>
      <w:r>
        <w:t xml:space="preserve"> a pouze omezená</w:t>
      </w:r>
      <w:r w:rsidRPr="00685BAE">
        <w:t xml:space="preserve"> data o </w:t>
      </w:r>
      <w:r>
        <w:t xml:space="preserve">školských </w:t>
      </w:r>
      <w:r w:rsidRPr="00685BAE">
        <w:t>ústavních zařízení</w:t>
      </w:r>
      <w:r>
        <w:t>ch</w:t>
      </w:r>
      <w:r w:rsidRPr="00685BAE">
        <w:t xml:space="preserve">. Data </w:t>
      </w:r>
      <w:r w:rsidR="0031203E">
        <w:t xml:space="preserve">do </w:t>
      </w:r>
      <w:r w:rsidR="0064697A">
        <w:t>systému</w:t>
      </w:r>
      <w:r w:rsidR="0031203E">
        <w:t xml:space="preserve"> </w:t>
      </w:r>
      <w:r w:rsidR="00113ED8">
        <w:t>zadávají</w:t>
      </w:r>
      <w:r w:rsidR="00566938" w:rsidRPr="00685BAE">
        <w:t xml:space="preserve"> </w:t>
      </w:r>
      <w:r w:rsidRPr="00685BAE">
        <w:t>jednotliví ředitelé a MŠMT nemá žádný mechanismus k</w:t>
      </w:r>
      <w:r w:rsidR="00412CB4">
        <w:t> </w:t>
      </w:r>
      <w:r w:rsidRPr="00685BAE">
        <w:t xml:space="preserve">ověření aktuálnosti a správnosti těchto veřejně prezentovaných dat. </w:t>
      </w:r>
      <w:r w:rsidR="00066628">
        <w:t>NKÚ zjistil, že</w:t>
      </w:r>
      <w:r w:rsidRPr="00685BAE">
        <w:t xml:space="preserve"> </w:t>
      </w:r>
      <w:r w:rsidR="00D06356">
        <w:t xml:space="preserve">předmětnou </w:t>
      </w:r>
      <w:bookmarkStart w:id="47" w:name="_Hlk181618440"/>
      <w:r w:rsidR="00D06356">
        <w:t>databázi</w:t>
      </w:r>
      <w:r w:rsidRPr="00685BAE">
        <w:t xml:space="preserve"> nelze využít pro výkon </w:t>
      </w:r>
      <w:r w:rsidR="0031203E">
        <w:t xml:space="preserve">činnosti </w:t>
      </w:r>
      <w:r w:rsidRPr="00685BAE">
        <w:t>OSPOD při umísťování dětí, neboť neobsahuje aktuální informace o</w:t>
      </w:r>
      <w:r w:rsidR="0086283F">
        <w:t> </w:t>
      </w:r>
      <w:r w:rsidRPr="00685BAE">
        <w:t>volné kapacitě</w:t>
      </w:r>
      <w:r w:rsidR="00917454">
        <w:t xml:space="preserve"> v</w:t>
      </w:r>
      <w:r w:rsidR="00412CB4">
        <w:t> </w:t>
      </w:r>
      <w:r w:rsidR="00917454">
        <w:t>jednotlivých zařízeních</w:t>
      </w:r>
      <w:bookmarkEnd w:id="47"/>
      <w:r w:rsidR="002C2BEC">
        <w:t xml:space="preserve"> a pracovníci OSPOD musí zjišťovat volné kapacity jiným způsobem</w:t>
      </w:r>
      <w:r w:rsidRPr="00685BAE">
        <w:t>.</w:t>
      </w:r>
      <w:r w:rsidR="00BB2FBC" w:rsidRPr="00BB2FBC">
        <w:t xml:space="preserve"> </w:t>
      </w:r>
      <w:r w:rsidR="00066628">
        <w:t>D</w:t>
      </w:r>
      <w:r w:rsidR="00BB2FBC" w:rsidRPr="00BB2FBC">
        <w:t xml:space="preserve">atabáze neplní svůj účel, </w:t>
      </w:r>
      <w:r w:rsidR="0031203E">
        <w:t>tj. poskytovat</w:t>
      </w:r>
      <w:r w:rsidR="00BB2FBC" w:rsidRPr="00BB2FBC">
        <w:t xml:space="preserve"> přehled o</w:t>
      </w:r>
      <w:r w:rsidR="0064697A">
        <w:t xml:space="preserve"> </w:t>
      </w:r>
      <w:r w:rsidR="00BB2FBC" w:rsidRPr="00BB2FBC">
        <w:t>naplněnosti jednotlivých zařízení. V</w:t>
      </w:r>
      <w:r w:rsidR="002C2BEC">
        <w:t>ýdaje</w:t>
      </w:r>
      <w:r w:rsidR="00BB2FBC">
        <w:rPr>
          <w:rStyle w:val="Znakapoznpodarou"/>
        </w:rPr>
        <w:footnoteReference w:id="40"/>
      </w:r>
      <w:r w:rsidR="00BB2FBC" w:rsidRPr="00BB2FBC">
        <w:t>, které MŠMT vynaložilo na vznik databáze a její provoz, tak byly vynaloženy neúčelně.</w:t>
      </w:r>
      <w:r w:rsidR="005B5C55" w:rsidRPr="00C51A02">
        <w:t xml:space="preserve"> </w:t>
      </w:r>
      <w:r w:rsidR="00E61ED1" w:rsidRPr="00E61ED1">
        <w:t xml:space="preserve">MZd nemá vlastní informační systém obsahující data o </w:t>
      </w:r>
      <w:r w:rsidR="00F10CBA">
        <w:t>dětských domovech pro děti</w:t>
      </w:r>
      <w:r w:rsidR="00E61ED1" w:rsidRPr="00E61ED1">
        <w:t xml:space="preserve"> do 3 let</w:t>
      </w:r>
      <w:r w:rsidR="00F10CBA">
        <w:t xml:space="preserve"> věku</w:t>
      </w:r>
      <w:r w:rsidR="00E61ED1" w:rsidRPr="00E61ED1">
        <w:t xml:space="preserve"> nad rámec statistických zjišťování prováděných Ú</w:t>
      </w:r>
      <w:r w:rsidR="000F27BC">
        <w:t>stavem zdravotnických informací a statistiky ČR</w:t>
      </w:r>
      <w:r w:rsidR="00E61ED1" w:rsidRPr="00E61ED1">
        <w:t>. Sběr statistických dat se provádí v ročním intervalu a výsledky jsou známy zpravidla v srpnu následujícího roku. Aktuální data o této oblasti systému péče o ohrožené děti tedy nejsou shromažďována a vyhodnocována.</w:t>
      </w:r>
    </w:p>
    <w:p w14:paraId="7D4761DD" w14:textId="09915C15" w:rsidR="00E65F02" w:rsidRPr="00E65F02" w:rsidRDefault="001D6917" w:rsidP="00AF3A3F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/>
        <w:jc w:val="both"/>
        <w:rPr>
          <w:color w:val="C00000"/>
          <w:sz w:val="24"/>
        </w:rPr>
      </w:pPr>
      <w:bookmarkStart w:id="48" w:name="_Toc179807893"/>
      <w:r w:rsidRPr="005E5648">
        <w:rPr>
          <w:color w:val="C00000"/>
          <w:sz w:val="24"/>
        </w:rPr>
        <w:t xml:space="preserve">Bez </w:t>
      </w:r>
      <w:r w:rsidR="00B75B84" w:rsidRPr="005E5648">
        <w:rPr>
          <w:color w:val="C00000"/>
          <w:sz w:val="24"/>
        </w:rPr>
        <w:t>plnohodnotné</w:t>
      </w:r>
      <w:r w:rsidR="00E65F02">
        <w:rPr>
          <w:color w:val="C00000"/>
          <w:sz w:val="24"/>
        </w:rPr>
        <w:t xml:space="preserve"> informační podpory </w:t>
      </w:r>
      <w:r w:rsidR="000F27BC">
        <w:rPr>
          <w:color w:val="C00000"/>
          <w:sz w:val="24"/>
        </w:rPr>
        <w:t>jsou</w:t>
      </w:r>
      <w:r w:rsidR="00914327" w:rsidRPr="005E5648">
        <w:rPr>
          <w:color w:val="C00000"/>
          <w:sz w:val="24"/>
        </w:rPr>
        <w:t xml:space="preserve"> </w:t>
      </w:r>
      <w:r w:rsidRPr="005E5648">
        <w:rPr>
          <w:color w:val="C00000"/>
          <w:sz w:val="24"/>
        </w:rPr>
        <w:t xml:space="preserve">pracovníci </w:t>
      </w:r>
      <w:r w:rsidR="00914327" w:rsidRPr="005E5648">
        <w:rPr>
          <w:color w:val="C00000"/>
          <w:sz w:val="24"/>
        </w:rPr>
        <w:t xml:space="preserve">OSPOD </w:t>
      </w:r>
      <w:r w:rsidR="000F27BC">
        <w:rPr>
          <w:color w:val="C00000"/>
          <w:sz w:val="24"/>
        </w:rPr>
        <w:t>zatíženi</w:t>
      </w:r>
      <w:r w:rsidRPr="005E5648">
        <w:rPr>
          <w:color w:val="C00000"/>
          <w:sz w:val="24"/>
        </w:rPr>
        <w:t xml:space="preserve"> nadbytečnou administrativou</w:t>
      </w:r>
      <w:bookmarkEnd w:id="48"/>
    </w:p>
    <w:p w14:paraId="509C1CF6" w14:textId="74C186AA" w:rsidR="003A6396" w:rsidRDefault="00E65F02" w:rsidP="00EF1FD9">
      <w:pPr>
        <w:pStyle w:val="Nadpis2"/>
        <w:widowControl/>
        <w:spacing w:before="0"/>
      </w:pPr>
      <w:r>
        <w:t>Důsledky</w:t>
      </w:r>
      <w:r w:rsidRPr="00F17987">
        <w:t xml:space="preserve"> </w:t>
      </w:r>
      <w:r w:rsidR="003A6396">
        <w:t>nedostatečné</w:t>
      </w:r>
      <w:r w:rsidR="004E639C">
        <w:t xml:space="preserve"> </w:t>
      </w:r>
      <w:r w:rsidR="003A6396">
        <w:t>informační podpory oblasti sociálně-právní ochrany dětí</w:t>
      </w:r>
      <w:r w:rsidR="00FC707D">
        <w:t>:</w:t>
      </w:r>
    </w:p>
    <w:p w14:paraId="100FFB43" w14:textId="5994B13B" w:rsidR="00934E77" w:rsidRDefault="0064697A" w:rsidP="00AF3A3F">
      <w:pPr>
        <w:pStyle w:val="Odstavecseseznamem"/>
        <w:numPr>
          <w:ilvl w:val="0"/>
          <w:numId w:val="59"/>
        </w:numPr>
        <w:ind w:left="993" w:hanging="426"/>
        <w:rPr>
          <w:lang w:eastAsia="cs-CZ"/>
        </w:rPr>
      </w:pPr>
      <w:r>
        <w:t>P</w:t>
      </w:r>
      <w:r w:rsidR="009A07AD">
        <w:t>říslušné spisové dokumentace a záznamy jsou vedeny ve fyzické, nikoliv v</w:t>
      </w:r>
      <w:r w:rsidR="00412CB4">
        <w:t> </w:t>
      </w:r>
      <w:r w:rsidR="009A07AD">
        <w:t xml:space="preserve">jednotné elektronické podobě. Spisy jsou mezi </w:t>
      </w:r>
      <w:bookmarkEnd w:id="44"/>
      <w:r w:rsidR="00934E77">
        <w:t>orgány SPOD zasílány</w:t>
      </w:r>
      <w:r w:rsidR="00934E77" w:rsidRPr="00934E77">
        <w:t xml:space="preserve"> </w:t>
      </w:r>
      <w:r w:rsidR="00934E77">
        <w:t>poštovní službou</w:t>
      </w:r>
      <w:r>
        <w:t>.</w:t>
      </w:r>
    </w:p>
    <w:p w14:paraId="5026F069" w14:textId="3AC187BD" w:rsidR="00934E77" w:rsidRDefault="0064697A">
      <w:pPr>
        <w:pStyle w:val="Odstavecseseznamem"/>
        <w:numPr>
          <w:ilvl w:val="0"/>
          <w:numId w:val="59"/>
        </w:numPr>
        <w:ind w:left="993" w:hanging="426"/>
      </w:pPr>
      <w:r>
        <w:t>P</w:t>
      </w:r>
      <w:r w:rsidR="00AA7EB6">
        <w:t>ři změně bydliště nepřechází spis automaticky na míst</w:t>
      </w:r>
      <w:r w:rsidR="002C13E0">
        <w:t>n</w:t>
      </w:r>
      <w:r w:rsidR="00AA7EB6">
        <w:t>ě příslušný OSPOD</w:t>
      </w:r>
      <w:r w:rsidR="00A56CE2">
        <w:t>,</w:t>
      </w:r>
      <w:r w:rsidR="00AA7EB6">
        <w:t xml:space="preserve"> pracovníci si tak musí zjišťovat informace o rodině </w:t>
      </w:r>
      <w:r w:rsidR="00934E77">
        <w:t>formou e</w:t>
      </w:r>
      <w:r w:rsidR="00661B9F">
        <w:t>-</w:t>
      </w:r>
      <w:r w:rsidR="00934E77">
        <w:t>mail</w:t>
      </w:r>
      <w:r w:rsidR="00A56CE2">
        <w:t>ů</w:t>
      </w:r>
      <w:r w:rsidR="00934E77">
        <w:t xml:space="preserve"> a telefon</w:t>
      </w:r>
      <w:r w:rsidR="00A56CE2">
        <w:t>átů</w:t>
      </w:r>
      <w:r>
        <w:t>.</w:t>
      </w:r>
    </w:p>
    <w:p w14:paraId="735DA4B8" w14:textId="15B729A9" w:rsidR="00934E77" w:rsidRDefault="0064697A">
      <w:pPr>
        <w:pStyle w:val="Odstavecseseznamem"/>
        <w:numPr>
          <w:ilvl w:val="0"/>
          <w:numId w:val="15"/>
        </w:numPr>
        <w:ind w:left="993" w:hanging="426"/>
      </w:pPr>
      <w:r>
        <w:t>I</w:t>
      </w:r>
      <w:r w:rsidR="006E0635">
        <w:t>nformační podpora agendy SPOD musí být zajišťována na úrovni ORP vlastními silami</w:t>
      </w:r>
      <w:r w:rsidR="00A56CE2">
        <w:t xml:space="preserve"> obcí</w:t>
      </w:r>
      <w:r w:rsidR="00DE270C">
        <w:t>, kdy jimi provozované IS nejsou vzájemně propojen</w:t>
      </w:r>
      <w:r w:rsidR="00A56CE2">
        <w:t>y</w:t>
      </w:r>
      <w:r>
        <w:t>.</w:t>
      </w:r>
      <w:r w:rsidR="006E0635">
        <w:t xml:space="preserve"> </w:t>
      </w:r>
    </w:p>
    <w:p w14:paraId="6A852D6A" w14:textId="7DB9905B" w:rsidR="00F945DE" w:rsidRDefault="001E2D6B">
      <w:pPr>
        <w:pStyle w:val="Odstavecseseznamem"/>
        <w:numPr>
          <w:ilvl w:val="0"/>
          <w:numId w:val="15"/>
        </w:numPr>
        <w:ind w:left="993" w:hanging="426"/>
      </w:pPr>
      <w:r>
        <w:t xml:space="preserve">MPSV nesleduje aktuální </w:t>
      </w:r>
      <w:r w:rsidR="00F945DE">
        <w:t>počet ohrožených dětí v</w:t>
      </w:r>
      <w:r w:rsidR="0064697A">
        <w:t> </w:t>
      </w:r>
      <w:r w:rsidR="00F945DE">
        <w:t>ČR</w:t>
      </w:r>
      <w:r w:rsidR="0064697A">
        <w:t>.</w:t>
      </w:r>
    </w:p>
    <w:p w14:paraId="122C2995" w14:textId="0DFB02E3" w:rsidR="001E2D6B" w:rsidRDefault="00F945DE">
      <w:pPr>
        <w:pStyle w:val="Odstavecseseznamem"/>
        <w:numPr>
          <w:ilvl w:val="0"/>
          <w:numId w:val="15"/>
        </w:numPr>
        <w:ind w:left="993" w:hanging="426"/>
      </w:pPr>
      <w:r w:rsidRPr="00B1047E">
        <w:t>MPSV nemá validní informace ani přehled o tom, kolik dětí a mládeže s</w:t>
      </w:r>
      <w:r w:rsidR="00412CB4">
        <w:t> </w:t>
      </w:r>
      <w:r w:rsidRPr="00B1047E">
        <w:t>nařízenou ústavní výchovou je umístěn</w:t>
      </w:r>
      <w:r w:rsidR="00A56CE2">
        <w:t>o</w:t>
      </w:r>
      <w:r w:rsidRPr="00B1047E">
        <w:t xml:space="preserve"> v</w:t>
      </w:r>
      <w:r w:rsidR="00412CB4">
        <w:t> </w:t>
      </w:r>
      <w:r w:rsidRPr="00B1047E">
        <w:t xml:space="preserve">jednotlivých </w:t>
      </w:r>
      <w:r w:rsidRPr="00FC2717">
        <w:t>ústavních zařízení</w:t>
      </w:r>
      <w:r w:rsidR="00A56CE2">
        <w:t>ch</w:t>
      </w:r>
      <w:r w:rsidR="0064697A">
        <w:t>.</w:t>
      </w:r>
      <w:r>
        <w:t xml:space="preserve"> </w:t>
      </w:r>
    </w:p>
    <w:p w14:paraId="4343E616" w14:textId="5BCEB4D7" w:rsidR="00934E77" w:rsidRDefault="0064697A">
      <w:pPr>
        <w:pStyle w:val="Odstavecseseznamem"/>
        <w:numPr>
          <w:ilvl w:val="0"/>
          <w:numId w:val="15"/>
        </w:numPr>
        <w:ind w:left="993" w:hanging="426"/>
      </w:pPr>
      <w:r>
        <w:t>P</w:t>
      </w:r>
      <w:r w:rsidR="00340451">
        <w:t>racovníci OSPOD jsou nuceni opakovaně vyplňovat stejná data do různých spisů a</w:t>
      </w:r>
      <w:r w:rsidR="00AF3A3F">
        <w:t> </w:t>
      </w:r>
      <w:r w:rsidR="00340451">
        <w:t>formulářů</w:t>
      </w:r>
      <w:r w:rsidR="00CC2B19">
        <w:t xml:space="preserve">. </w:t>
      </w:r>
      <w:r w:rsidR="00934E77">
        <w:t>MPSV nezajistilo zautomatizování a elektronizaci těchto procesů, což neumož</w:t>
      </w:r>
      <w:r w:rsidR="00340451">
        <w:t>ňuje</w:t>
      </w:r>
      <w:r w:rsidR="00934E77">
        <w:t xml:space="preserve"> sledování a vyhodnocení dat v</w:t>
      </w:r>
      <w:r w:rsidR="00412CB4">
        <w:t> </w:t>
      </w:r>
      <w:r w:rsidR="00934E77">
        <w:t>reálném čase</w:t>
      </w:r>
      <w:r>
        <w:t>.</w:t>
      </w:r>
    </w:p>
    <w:p w14:paraId="7FBE82C9" w14:textId="4EA79A34" w:rsidR="006F0218" w:rsidRDefault="0064697A" w:rsidP="00EF1FD9">
      <w:pPr>
        <w:pStyle w:val="Odstavecseseznamem"/>
        <w:numPr>
          <w:ilvl w:val="0"/>
          <w:numId w:val="15"/>
        </w:numPr>
        <w:tabs>
          <w:tab w:val="left" w:pos="6663"/>
        </w:tabs>
        <w:ind w:left="993" w:hanging="426"/>
      </w:pPr>
      <w:r>
        <w:t>P</w:t>
      </w:r>
      <w:r w:rsidR="006F0218">
        <w:t xml:space="preserve">ři zpracování statistických formulářů zaslaných jednotlivými kraji dochází u MPSV k chybám, které jsou následně propsány do statistických ročenek MPSV. Např. </w:t>
      </w:r>
      <w:r w:rsidR="006F0218" w:rsidRPr="00EF1FD9">
        <w:rPr>
          <w:rFonts w:cstheme="minorHAnsi"/>
        </w:rPr>
        <w:t xml:space="preserve">MPSV ve své statistické ročence u Olomouckého kraje uvedlo 1 203 umístěných dětí s nařízenou ústavní výchovou v zařízení pro výkon ústavní výchovy ke dni 31. 12. 2017, přitom Olomoucký kraj prostřednictvím výkazu </w:t>
      </w:r>
      <w:r w:rsidR="00A56CE2" w:rsidRPr="00EF1FD9">
        <w:rPr>
          <w:rFonts w:cstheme="minorHAnsi"/>
        </w:rPr>
        <w:t>„</w:t>
      </w:r>
      <w:r w:rsidR="006F0218" w:rsidRPr="00EF1FD9">
        <w:rPr>
          <w:rFonts w:cstheme="minorHAnsi"/>
        </w:rPr>
        <w:t>V</w:t>
      </w:r>
      <w:r w:rsidR="00A56CE2" w:rsidRPr="00EF1FD9">
        <w:rPr>
          <w:rFonts w:cstheme="minorHAnsi"/>
        </w:rPr>
        <w:t xml:space="preserve"> </w:t>
      </w:r>
      <w:r w:rsidR="006F0218" w:rsidRPr="00EF1FD9">
        <w:rPr>
          <w:rFonts w:cstheme="minorHAnsi"/>
        </w:rPr>
        <w:t>(MPSV) 20-01</w:t>
      </w:r>
      <w:r w:rsidR="00A56CE2" w:rsidRPr="00EF1FD9">
        <w:rPr>
          <w:rFonts w:cstheme="minorHAnsi"/>
        </w:rPr>
        <w:t>“</w:t>
      </w:r>
      <w:r w:rsidR="006F0218" w:rsidRPr="00EF1FD9">
        <w:rPr>
          <w:rFonts w:cstheme="minorHAnsi"/>
        </w:rPr>
        <w:t xml:space="preserve"> vykázal 363 dětí</w:t>
      </w:r>
      <w:r w:rsidRPr="00EF1FD9">
        <w:rPr>
          <w:rFonts w:cstheme="minorHAnsi"/>
        </w:rPr>
        <w:t>.</w:t>
      </w:r>
    </w:p>
    <w:p w14:paraId="1EDEB33C" w14:textId="74EC7A1B" w:rsidR="00934E77" w:rsidRDefault="0064697A">
      <w:pPr>
        <w:pStyle w:val="Odstavecseseznamem"/>
        <w:numPr>
          <w:ilvl w:val="0"/>
          <w:numId w:val="15"/>
        </w:numPr>
        <w:ind w:left="993" w:hanging="426"/>
      </w:pPr>
      <w:r>
        <w:t>Z</w:t>
      </w:r>
      <w:r w:rsidR="00412CB4">
        <w:t> </w:t>
      </w:r>
      <w:r w:rsidR="00934E77">
        <w:t>důvodu nedostatečných informací o dětech v</w:t>
      </w:r>
      <w:r w:rsidR="00412CB4">
        <w:t> </w:t>
      </w:r>
      <w:r w:rsidR="00340451">
        <w:t xml:space="preserve">dětských domovech pro děti </w:t>
      </w:r>
      <w:r w:rsidR="00934E77">
        <w:t xml:space="preserve">do 3 let </w:t>
      </w:r>
      <w:r w:rsidR="00983E6A">
        <w:t xml:space="preserve">věku </w:t>
      </w:r>
      <w:r w:rsidR="00934E77">
        <w:t xml:space="preserve">provádí </w:t>
      </w:r>
      <w:r w:rsidR="00340451">
        <w:t>MPSV</w:t>
      </w:r>
      <w:r w:rsidR="00D65A5B">
        <w:rPr>
          <w:rStyle w:val="Znakapoznpodarou"/>
        </w:rPr>
        <w:footnoteReference w:id="41"/>
      </w:r>
      <w:r w:rsidR="00340451">
        <w:t xml:space="preserve"> od roku 2021 </w:t>
      </w:r>
      <w:r w:rsidR="00934E77">
        <w:t xml:space="preserve">každoroční </w:t>
      </w:r>
      <w:r w:rsidR="00934E77" w:rsidRPr="00C51A02">
        <w:t>mimořádná šetření</w:t>
      </w:r>
      <w:r w:rsidR="00934E77">
        <w:t>. Další čtyři mimořádn</w:t>
      </w:r>
      <w:r w:rsidR="00661B9F">
        <w:t>á</w:t>
      </w:r>
      <w:r w:rsidR="00934E77">
        <w:t xml:space="preserve"> šetření </w:t>
      </w:r>
      <w:r w:rsidR="00340451">
        <w:t>v</w:t>
      </w:r>
      <w:r w:rsidR="00412CB4">
        <w:t> </w:t>
      </w:r>
      <w:r w:rsidR="00340451">
        <w:t xml:space="preserve">rámci své působnosti </w:t>
      </w:r>
      <w:r w:rsidR="00934E77">
        <w:t>provedlo i MŠM</w:t>
      </w:r>
      <w:r w:rsidR="00934E77" w:rsidRPr="00153DE9">
        <w:rPr>
          <w:color w:val="000000" w:themeColor="text1"/>
        </w:rPr>
        <w:t>T</w:t>
      </w:r>
      <w:r w:rsidR="00B46703" w:rsidRPr="00153DE9">
        <w:rPr>
          <w:rStyle w:val="Znakapoznpodarou"/>
          <w:color w:val="000000" w:themeColor="text1"/>
        </w:rPr>
        <w:footnoteReference w:id="42"/>
      </w:r>
      <w:r>
        <w:rPr>
          <w:color w:val="000000" w:themeColor="text1"/>
        </w:rPr>
        <w:t>.</w:t>
      </w:r>
    </w:p>
    <w:p w14:paraId="608EC515" w14:textId="643C022D" w:rsidR="000772C0" w:rsidRDefault="0064697A">
      <w:pPr>
        <w:pStyle w:val="Odstavecseseznamem"/>
        <w:numPr>
          <w:ilvl w:val="0"/>
          <w:numId w:val="15"/>
        </w:numPr>
        <w:tabs>
          <w:tab w:val="left" w:pos="6663"/>
        </w:tabs>
        <w:ind w:left="993" w:hanging="426"/>
      </w:pPr>
      <w:r>
        <w:t>Z</w:t>
      </w:r>
      <w:r w:rsidR="000772C0">
        <w:t xml:space="preserve">ástupci </w:t>
      </w:r>
      <w:r w:rsidR="00A75EAE">
        <w:t>školských</w:t>
      </w:r>
      <w:r w:rsidR="000772C0">
        <w:t xml:space="preserve"> ústavních zařízení každoročně k</w:t>
      </w:r>
      <w:r w:rsidR="00A56CE2">
        <w:t xml:space="preserve"> </w:t>
      </w:r>
      <w:r w:rsidR="000772C0">
        <w:t>31. 10. kalendářního roku opakovaně vyplňují všechny údaje o svých zařízeních</w:t>
      </w:r>
      <w:r w:rsidR="00104BD7">
        <w:t xml:space="preserve"> pro účely statistického zjišťování</w:t>
      </w:r>
      <w:r w:rsidR="00DE537F">
        <w:t xml:space="preserve">, v případě existence IS </w:t>
      </w:r>
      <w:r w:rsidR="00A56CE2">
        <w:t xml:space="preserve">SPOD by tyto údaje </w:t>
      </w:r>
      <w:r w:rsidR="00DE537F">
        <w:t xml:space="preserve">byly </w:t>
      </w:r>
      <w:r w:rsidR="00A56CE2">
        <w:t xml:space="preserve">generovány </w:t>
      </w:r>
      <w:r w:rsidR="00DE537F">
        <w:t>automaticky</w:t>
      </w:r>
      <w:r>
        <w:t>.</w:t>
      </w:r>
    </w:p>
    <w:p w14:paraId="602BB0FC" w14:textId="5F627C98" w:rsidR="00B46703" w:rsidRDefault="0064697A">
      <w:pPr>
        <w:pStyle w:val="Odstavecseseznamem"/>
        <w:numPr>
          <w:ilvl w:val="0"/>
          <w:numId w:val="15"/>
        </w:numPr>
        <w:tabs>
          <w:tab w:val="left" w:pos="6663"/>
        </w:tabs>
        <w:ind w:left="993" w:hanging="426"/>
      </w:pPr>
      <w:r>
        <w:t>D</w:t>
      </w:r>
      <w:r w:rsidR="00153DE9">
        <w:t>ětsk</w:t>
      </w:r>
      <w:r w:rsidR="00650CE5">
        <w:t>é</w:t>
      </w:r>
      <w:r w:rsidR="00153DE9">
        <w:t xml:space="preserve"> domov</w:t>
      </w:r>
      <w:r w:rsidR="00650CE5">
        <w:t>y</w:t>
      </w:r>
      <w:r w:rsidR="00153DE9">
        <w:t xml:space="preserve"> pro děti</w:t>
      </w:r>
      <w:r w:rsidR="00934E77" w:rsidRPr="00C51A02">
        <w:t xml:space="preserve"> do 3 let </w:t>
      </w:r>
      <w:r w:rsidR="00983E6A">
        <w:t>věku</w:t>
      </w:r>
      <w:r w:rsidR="00934E77" w:rsidRPr="00C51A02">
        <w:t xml:space="preserve"> vyplňují a předávají </w:t>
      </w:r>
      <w:r w:rsidR="008C0EC4" w:rsidRPr="00C51A02">
        <w:t xml:space="preserve">statistický výkaz </w:t>
      </w:r>
      <w:r w:rsidR="00AF3A3F">
        <w:br/>
      </w:r>
      <w:r w:rsidR="008C0EC4" w:rsidRPr="008A1540">
        <w:rPr>
          <w:i/>
        </w:rPr>
        <w:t>A (MZ) 1-01 Roční výkaz o činnosti poskytovatele</w:t>
      </w:r>
      <w:r w:rsidR="008C0EC4" w:rsidRPr="00C51A02">
        <w:t xml:space="preserve"> </w:t>
      </w:r>
      <w:r w:rsidR="008C0EC4" w:rsidRPr="00867882">
        <w:rPr>
          <w:i/>
        </w:rPr>
        <w:t>zdravotních služeb</w:t>
      </w:r>
      <w:r w:rsidR="00A75EAE">
        <w:t>.</w:t>
      </w:r>
      <w:r w:rsidR="008C0EC4" w:rsidRPr="00C51A02">
        <w:t xml:space="preserve"> </w:t>
      </w:r>
      <w:r w:rsidR="00A56CE2">
        <w:t>Zpracování</w:t>
      </w:r>
      <w:r w:rsidR="00934E77" w:rsidRPr="00C51A02">
        <w:t xml:space="preserve"> </w:t>
      </w:r>
      <w:r w:rsidR="00934E77">
        <w:t xml:space="preserve">těchto </w:t>
      </w:r>
      <w:r w:rsidR="00A56CE2">
        <w:t>výkazů</w:t>
      </w:r>
      <w:r w:rsidR="00934E77" w:rsidRPr="00C51A02">
        <w:t xml:space="preserve"> se provádí v</w:t>
      </w:r>
      <w:r w:rsidR="00BF4551">
        <w:t xml:space="preserve"> </w:t>
      </w:r>
      <w:r w:rsidR="00934E77" w:rsidRPr="00C51A02">
        <w:t xml:space="preserve">ročním intervalu a výsledky jsou známy zpravidla </w:t>
      </w:r>
      <w:r w:rsidR="002C13E0">
        <w:t xml:space="preserve">až </w:t>
      </w:r>
      <w:r w:rsidR="008B1909">
        <w:t>v</w:t>
      </w:r>
      <w:r w:rsidR="00AF3A3F">
        <w:t> </w:t>
      </w:r>
      <w:r w:rsidR="008B1909">
        <w:t>srpnu</w:t>
      </w:r>
      <w:r w:rsidR="008A1540">
        <w:t xml:space="preserve"> </w:t>
      </w:r>
      <w:r w:rsidR="00934E77" w:rsidRPr="00C51A02">
        <w:t>následujícího roku</w:t>
      </w:r>
      <w:r>
        <w:t>.</w:t>
      </w:r>
    </w:p>
    <w:p w14:paraId="760B2650" w14:textId="07D1ACA3" w:rsidR="00137B93" w:rsidRDefault="0064697A">
      <w:pPr>
        <w:pStyle w:val="Odstavecseseznamem"/>
        <w:numPr>
          <w:ilvl w:val="0"/>
          <w:numId w:val="15"/>
        </w:numPr>
        <w:tabs>
          <w:tab w:val="left" w:pos="6663"/>
        </w:tabs>
        <w:ind w:left="993" w:hanging="426"/>
      </w:pPr>
      <w:r>
        <w:t>P</w:t>
      </w:r>
      <w:r w:rsidR="00B61592">
        <w:t xml:space="preserve">ři </w:t>
      </w:r>
      <w:r w:rsidR="00BB38A8">
        <w:t xml:space="preserve">potřebě umístění dítěte pracovníci OSPOD zjišťují aktuální volnou kapacitu časově náročným </w:t>
      </w:r>
      <w:r w:rsidR="00E65F02">
        <w:t>telefonickým kontaktováním</w:t>
      </w:r>
      <w:r w:rsidR="00BB38A8">
        <w:t xml:space="preserve"> jednotlivých zařízení</w:t>
      </w:r>
      <w:r>
        <w:t>.</w:t>
      </w:r>
    </w:p>
    <w:p w14:paraId="169917A5" w14:textId="11D8B01A" w:rsidR="009E6B67" w:rsidRDefault="0056392D">
      <w:pPr>
        <w:pStyle w:val="Odstavecseseznamem"/>
        <w:numPr>
          <w:ilvl w:val="0"/>
          <w:numId w:val="15"/>
        </w:numPr>
        <w:tabs>
          <w:tab w:val="left" w:pos="6663"/>
        </w:tabs>
        <w:ind w:left="993" w:hanging="426"/>
      </w:pPr>
      <w:r>
        <w:rPr>
          <w:noProof/>
        </w:rPr>
        <mc:AlternateContent>
          <mc:Choice Requires="wps">
            <w:drawing>
              <wp:anchor distT="91440" distB="91440" distL="365760" distR="365760" simplePos="0" relativeHeight="251658240" behindDoc="0" locked="0" layoutInCell="1" allowOverlap="1" wp14:anchorId="52BB1B2E" wp14:editId="7ABBDC63">
                <wp:simplePos x="0" y="0"/>
                <wp:positionH relativeFrom="margin">
                  <wp:align>right</wp:align>
                </wp:positionH>
                <wp:positionV relativeFrom="paragraph">
                  <wp:posOffset>795500</wp:posOffset>
                </wp:positionV>
                <wp:extent cx="5385435" cy="1512570"/>
                <wp:effectExtent l="0" t="0" r="0" b="11430"/>
                <wp:wrapTopAndBottom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151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D847" w14:textId="260564F5" w:rsidR="007B5389" w:rsidRDefault="007B5389" w:rsidP="00E47F14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EB2110">
                              <w:rPr>
                                <w:i/>
                                <w:color w:val="2EB3B5"/>
                                <w:sz w:val="22"/>
                              </w:rPr>
                              <w:t>Hodně času zabere administrativa a zbylý čas se snažíme věnovat práci v terénu. Na terén by bylo potřeba více času, zejména pro práci s dětmi.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</w:p>
                          <w:p w14:paraId="3859717A" w14:textId="0571DDE5" w:rsidR="007B5389" w:rsidRDefault="007B5389" w:rsidP="00E47F14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 w:rsidRPr="00EB2110">
                              <w:rPr>
                                <w:i/>
                                <w:color w:val="2EB3B5"/>
                                <w:sz w:val="22"/>
                              </w:rPr>
                              <w:t>Přes časovou náročnost zpracovávání administrativy se k poradenské či preventivní činnosti téměř nedostanu.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</w:p>
                          <w:p w14:paraId="7C5A5ADA" w14:textId="4F53D121" w:rsidR="007B5389" w:rsidRPr="00546C8C" w:rsidRDefault="007B5389" w:rsidP="00E47F14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after="120"/>
                              <w:rPr>
                                <w:i/>
                                <w:color w:val="2EB3B5"/>
                                <w:sz w:val="22"/>
                              </w:rPr>
                            </w:pP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i/>
                                <w:color w:val="2EB3B5"/>
                                <w:sz w:val="22"/>
                              </w:rPr>
                              <w:t>N</w:t>
                            </w:r>
                            <w:r w:rsidRPr="00EB2110">
                              <w:rPr>
                                <w:i/>
                                <w:color w:val="2EB3B5"/>
                                <w:sz w:val="22"/>
                              </w:rPr>
                              <w:t>ení čas</w:t>
                            </w:r>
                            <w:r>
                              <w:rPr>
                                <w:i/>
                                <w:color w:val="2EB3B5"/>
                                <w:sz w:val="22"/>
                              </w:rPr>
                              <w:t>.</w:t>
                            </w:r>
                            <w:r w:rsidRPr="001F42D9">
                              <w:rPr>
                                <w:iCs/>
                                <w:color w:val="2EB3B5"/>
                                <w:sz w:val="22"/>
                              </w:rPr>
                              <w:t>“</w:t>
                            </w:r>
                          </w:p>
                          <w:p w14:paraId="290DAED0" w14:textId="37FEC8BF" w:rsidR="007B5389" w:rsidRPr="00546C8C" w:rsidRDefault="007B5389" w:rsidP="00E47F14">
                            <w:pPr>
                              <w:pStyle w:val="Zpat"/>
                              <w:pBdr>
                                <w:top w:val="single" w:sz="6" w:space="10" w:color="2EB3B5"/>
                                <w:left w:val="single" w:sz="2" w:space="10" w:color="FFFFFF" w:themeColor="background1"/>
                                <w:bottom w:val="single" w:sz="6" w:space="10" w:color="2EB3B5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color w:val="2EB3B5"/>
                                <w:sz w:val="18"/>
                                <w:szCs w:val="18"/>
                              </w:rPr>
                            </w:pP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Výňatek 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odpovědí respondentů v dotazníkovém še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t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 xml:space="preserve">ření NKÚ, viz 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p</w:t>
                            </w:r>
                            <w:r w:rsidRPr="00546C8C">
                              <w:rPr>
                                <w:color w:val="2EB3B5"/>
                                <w:sz w:val="18"/>
                                <w:szCs w:val="18"/>
                              </w:rPr>
                              <w:t>říloha č. 1</w:t>
                            </w:r>
                            <w:r>
                              <w:rPr>
                                <w:color w:val="2EB3B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1B2E" id="Obdélník 11" o:spid="_x0000_s1029" style="position:absolute;left:0;text-align:left;margin-left:372.85pt;margin-top:62.65pt;width:424.05pt;height:119.1pt;z-index:251658240;visibility:visible;mso-wrap-style:square;mso-width-percent:0;mso-height-percent:0;mso-wrap-distance-left:28.8pt;mso-wrap-distance-top:7.2pt;mso-wrap-distance-right:28.8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" filled="f" stroked="f" strokeweight="1pt">
                <v:textbox inset="10.8pt,0,10.8pt,0">
                  <w:txbxContent>
                    <w:p w14:paraId="36C9D847" w14:textId="260564F5" w:rsidR="007B5389" w:rsidRDefault="007B5389" w:rsidP="00E47F14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EB2110">
                        <w:rPr>
                          <w:i/>
                          <w:color w:val="2EB3B5"/>
                          <w:sz w:val="22"/>
                        </w:rPr>
                        <w:t>Hodně času zabere administrativa a zbylý čas se snažíme věnovat práci v terénu. Na terén by bylo potřeba více času, zejména pro práci s dětmi.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</w:p>
                    <w:p w14:paraId="3859717A" w14:textId="0571DDE5" w:rsidR="007B5389" w:rsidRDefault="007B5389" w:rsidP="00E47F14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 w:rsidRPr="00EB2110">
                        <w:rPr>
                          <w:i/>
                          <w:color w:val="2EB3B5"/>
                          <w:sz w:val="22"/>
                        </w:rPr>
                        <w:t>Přes časovou náročnost zpracovávání administrativy se k poradenské či preventivní činnosti téměř nedostanu.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</w:p>
                    <w:p w14:paraId="7C5A5ADA" w14:textId="4F53D121" w:rsidR="007B5389" w:rsidRPr="00546C8C" w:rsidRDefault="007B5389" w:rsidP="00E47F14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after="120"/>
                        <w:rPr>
                          <w:i/>
                          <w:color w:val="2EB3B5"/>
                          <w:sz w:val="22"/>
                        </w:rPr>
                      </w:pP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„</w:t>
                      </w:r>
                      <w:r>
                        <w:rPr>
                          <w:i/>
                          <w:color w:val="2EB3B5"/>
                          <w:sz w:val="22"/>
                        </w:rPr>
                        <w:t>N</w:t>
                      </w:r>
                      <w:r w:rsidRPr="00EB2110">
                        <w:rPr>
                          <w:i/>
                          <w:color w:val="2EB3B5"/>
                          <w:sz w:val="22"/>
                        </w:rPr>
                        <w:t>ení čas</w:t>
                      </w:r>
                      <w:r>
                        <w:rPr>
                          <w:i/>
                          <w:color w:val="2EB3B5"/>
                          <w:sz w:val="22"/>
                        </w:rPr>
                        <w:t>.</w:t>
                      </w:r>
                      <w:r w:rsidRPr="001F42D9">
                        <w:rPr>
                          <w:iCs/>
                          <w:color w:val="2EB3B5"/>
                          <w:sz w:val="22"/>
                        </w:rPr>
                        <w:t>“</w:t>
                      </w:r>
                    </w:p>
                    <w:p w14:paraId="290DAED0" w14:textId="37FEC8BF" w:rsidR="007B5389" w:rsidRPr="00546C8C" w:rsidRDefault="007B5389" w:rsidP="00E47F14">
                      <w:pPr>
                        <w:pStyle w:val="Zpat"/>
                        <w:pBdr>
                          <w:top w:val="single" w:sz="6" w:space="10" w:color="2EB3B5"/>
                          <w:left w:val="single" w:sz="2" w:space="10" w:color="FFFFFF" w:themeColor="background1"/>
                          <w:bottom w:val="single" w:sz="6" w:space="10" w:color="2EB3B5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2EB3B5"/>
                          <w:sz w:val="18"/>
                          <w:szCs w:val="18"/>
                        </w:rPr>
                      </w:pP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Výňatek 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 xml:space="preserve">z 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odpovědí respondentů v dotazníkovém še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t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 xml:space="preserve">ření NKÚ, viz 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p</w:t>
                      </w:r>
                      <w:r w:rsidRPr="00546C8C">
                        <w:rPr>
                          <w:color w:val="2EB3B5"/>
                          <w:sz w:val="18"/>
                          <w:szCs w:val="18"/>
                        </w:rPr>
                        <w:t>říloha č. 1</w:t>
                      </w:r>
                      <w:r>
                        <w:rPr>
                          <w:color w:val="2EB3B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4697A">
        <w:t>Z</w:t>
      </w:r>
      <w:r w:rsidR="00E13AB6" w:rsidRPr="00E13AB6">
        <w:t xml:space="preserve"> důvodu časově náročné administrativy není možné kapacitu pracovníků OSPOD využít na jiné činnosti, např. </w:t>
      </w:r>
      <w:r w:rsidR="00F4169B">
        <w:t xml:space="preserve">na </w:t>
      </w:r>
      <w:r w:rsidR="00E13AB6" w:rsidRPr="00E13AB6">
        <w:t xml:space="preserve">potřebnou preventivní </w:t>
      </w:r>
      <w:r w:rsidR="00F4169B">
        <w:t xml:space="preserve">a poradenskou </w:t>
      </w:r>
      <w:r w:rsidR="00E13AB6" w:rsidRPr="00E13AB6">
        <w:t xml:space="preserve">činnost, </w:t>
      </w:r>
      <w:r w:rsidR="00237693">
        <w:t xml:space="preserve">na </w:t>
      </w:r>
      <w:r w:rsidR="003916DA">
        <w:t>což</w:t>
      </w:r>
      <w:r w:rsidR="00237693">
        <w:t xml:space="preserve"> poukázali</w:t>
      </w:r>
      <w:r w:rsidR="00E13AB6" w:rsidRPr="00E13AB6">
        <w:t xml:space="preserve"> i respondenti v dotazníkovém šetření NKÚ</w:t>
      </w:r>
      <w:r w:rsidR="00E13AB6">
        <w:t>:</w:t>
      </w:r>
      <w:r w:rsidR="00E13AB6" w:rsidRPr="00E13AB6">
        <w:t xml:space="preserve"> </w:t>
      </w:r>
    </w:p>
    <w:p w14:paraId="3345F707" w14:textId="77777777" w:rsidR="00070637" w:rsidRPr="00E54C8D" w:rsidRDefault="00070637" w:rsidP="00A57482"/>
    <w:p w14:paraId="66D88A29" w14:textId="1C393617" w:rsidR="00C4198F" w:rsidRDefault="00C4198F">
      <w:r>
        <w:br w:type="page"/>
      </w:r>
    </w:p>
    <w:p w14:paraId="59DCD91C" w14:textId="06A196A5" w:rsidR="00C4198F" w:rsidRPr="00F33F89" w:rsidRDefault="00C4198F" w:rsidP="001F42D9">
      <w:pPr>
        <w:pStyle w:val="Nadpis2"/>
        <w:widowControl/>
        <w:numPr>
          <w:ilvl w:val="0"/>
          <w:numId w:val="0"/>
        </w:numPr>
        <w:ind w:left="567"/>
        <w:rPr>
          <w:b/>
        </w:rPr>
      </w:pPr>
      <w:r w:rsidRPr="00F33F89">
        <w:rPr>
          <w:b/>
        </w:rPr>
        <w:t>Seznam zkratek</w:t>
      </w:r>
    </w:p>
    <w:p w14:paraId="001CF84F" w14:textId="77777777" w:rsidR="00C4198F" w:rsidRPr="00C4198F" w:rsidRDefault="00C4198F" w:rsidP="00AF3A3F"/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6096"/>
      </w:tblGrid>
      <w:tr w:rsidR="002636CA" w:rsidRPr="001F42D9" w14:paraId="06FF0BF6" w14:textId="77777777" w:rsidTr="00347555">
        <w:trPr>
          <w:trHeight w:val="283"/>
        </w:trPr>
        <w:tc>
          <w:tcPr>
            <w:tcW w:w="3116" w:type="dxa"/>
          </w:tcPr>
          <w:p w14:paraId="34A56197" w14:textId="07877FDE" w:rsidR="002636CA" w:rsidRPr="001F42D9" w:rsidRDefault="002636CA" w:rsidP="00347555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Akční plán 20</w:t>
            </w:r>
            <w:r w:rsidR="0064774E">
              <w:rPr>
                <w:rFonts w:cstheme="minorHAnsi"/>
                <w:sz w:val="22"/>
              </w:rPr>
              <w:t>12</w:t>
            </w:r>
            <w:r w:rsidRPr="001F42D9">
              <w:rPr>
                <w:rFonts w:cstheme="minorHAnsi"/>
                <w:sz w:val="22"/>
              </w:rPr>
              <w:t>–20</w:t>
            </w:r>
            <w:r w:rsidR="0064774E">
              <w:rPr>
                <w:rFonts w:cstheme="minorHAnsi"/>
                <w:sz w:val="22"/>
              </w:rPr>
              <w:t>15</w:t>
            </w:r>
          </w:p>
        </w:tc>
        <w:tc>
          <w:tcPr>
            <w:tcW w:w="6096" w:type="dxa"/>
          </w:tcPr>
          <w:p w14:paraId="479DACE8" w14:textId="14C30D82" w:rsidR="002636CA" w:rsidRPr="00D30E6D" w:rsidRDefault="002636CA" w:rsidP="0064774E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sz w:val="22"/>
              </w:rPr>
              <w:t xml:space="preserve">Akční plán k naplnění Národní strategie ochrany práv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1F42D9">
              <w:rPr>
                <w:rFonts w:cstheme="minorHAnsi"/>
                <w:i/>
                <w:iCs/>
                <w:sz w:val="22"/>
              </w:rPr>
              <w:t xml:space="preserve">dětí </w:t>
            </w:r>
            <w:r w:rsidR="0064774E">
              <w:rPr>
                <w:rFonts w:cstheme="minorHAnsi"/>
                <w:i/>
                <w:iCs/>
                <w:sz w:val="22"/>
              </w:rPr>
              <w:t xml:space="preserve">na období </w:t>
            </w:r>
            <w:r w:rsidRPr="001F42D9">
              <w:rPr>
                <w:rFonts w:cstheme="minorHAnsi"/>
                <w:i/>
                <w:iCs/>
                <w:sz w:val="22"/>
              </w:rPr>
              <w:t>201</w:t>
            </w:r>
            <w:r w:rsidR="0064774E">
              <w:rPr>
                <w:rFonts w:cstheme="minorHAnsi"/>
                <w:i/>
                <w:iCs/>
                <w:sz w:val="22"/>
              </w:rPr>
              <w:t>2</w:t>
            </w:r>
            <w:r w:rsidRPr="001F42D9">
              <w:rPr>
                <w:rFonts w:cstheme="minorHAnsi"/>
                <w:i/>
                <w:iCs/>
                <w:sz w:val="22"/>
              </w:rPr>
              <w:t>–20</w:t>
            </w:r>
            <w:r w:rsidR="0064774E">
              <w:rPr>
                <w:rFonts w:cstheme="minorHAnsi"/>
                <w:i/>
                <w:iCs/>
                <w:sz w:val="22"/>
              </w:rPr>
              <w:t>15</w:t>
            </w:r>
          </w:p>
        </w:tc>
      </w:tr>
      <w:tr w:rsidR="00D46E0F" w:rsidRPr="00420265" w14:paraId="28DCECCA" w14:textId="77777777" w:rsidTr="00E54C8D">
        <w:trPr>
          <w:trHeight w:val="283"/>
        </w:trPr>
        <w:tc>
          <w:tcPr>
            <w:tcW w:w="3116" w:type="dxa"/>
          </w:tcPr>
          <w:p w14:paraId="32DE3044" w14:textId="7DB6591D" w:rsidR="00D46E0F" w:rsidRPr="00D30E6D" w:rsidRDefault="00D46E0F" w:rsidP="0064774E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Akční plán 2021–2024</w:t>
            </w:r>
          </w:p>
        </w:tc>
        <w:tc>
          <w:tcPr>
            <w:tcW w:w="6096" w:type="dxa"/>
          </w:tcPr>
          <w:p w14:paraId="10EE8124" w14:textId="25178D34" w:rsidR="002636CA" w:rsidRPr="00D30E6D" w:rsidRDefault="00D46E0F" w:rsidP="00D30E6D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sz w:val="22"/>
              </w:rPr>
              <w:t>I. Akční plán k naplnění Národní strategie</w:t>
            </w:r>
            <w:r w:rsidR="00070637" w:rsidRPr="001F42D9">
              <w:rPr>
                <w:rFonts w:cstheme="minorHAnsi"/>
                <w:i/>
                <w:iCs/>
                <w:sz w:val="22"/>
              </w:rPr>
              <w:t xml:space="preserve"> </w:t>
            </w:r>
            <w:r w:rsidRPr="001F42D9">
              <w:rPr>
                <w:rFonts w:cstheme="minorHAnsi"/>
                <w:i/>
                <w:iCs/>
                <w:sz w:val="22"/>
              </w:rPr>
              <w:t xml:space="preserve">ochrany práv </w:t>
            </w:r>
            <w:r w:rsidR="00076B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1F42D9">
              <w:rPr>
                <w:rFonts w:cstheme="minorHAnsi"/>
                <w:i/>
                <w:iCs/>
                <w:sz w:val="22"/>
              </w:rPr>
              <w:t>dětí 2021–2029 na období 2021–2024</w:t>
            </w:r>
          </w:p>
        </w:tc>
      </w:tr>
      <w:tr w:rsidR="00D46E0F" w:rsidRPr="00420265" w14:paraId="4C7E4FA6" w14:textId="77777777" w:rsidTr="00A84BE8">
        <w:trPr>
          <w:trHeight w:val="283"/>
        </w:trPr>
        <w:tc>
          <w:tcPr>
            <w:tcW w:w="3116" w:type="dxa"/>
          </w:tcPr>
          <w:p w14:paraId="3E74C964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ČR</w:t>
            </w:r>
          </w:p>
        </w:tc>
        <w:tc>
          <w:tcPr>
            <w:tcW w:w="6096" w:type="dxa"/>
          </w:tcPr>
          <w:p w14:paraId="215ECA29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Česká republika</w:t>
            </w:r>
          </w:p>
        </w:tc>
      </w:tr>
      <w:tr w:rsidR="00420D72" w:rsidRPr="00420265" w14:paraId="63589ED5" w14:textId="77777777" w:rsidTr="00E54C8D">
        <w:trPr>
          <w:trHeight w:val="283"/>
        </w:trPr>
        <w:tc>
          <w:tcPr>
            <w:tcW w:w="3116" w:type="dxa"/>
          </w:tcPr>
          <w:p w14:paraId="23DB2BB3" w14:textId="32E26288" w:rsidR="00420D72" w:rsidRPr="001F42D9" w:rsidRDefault="00420D72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 xml:space="preserve">Dětský domov pro děti </w:t>
            </w:r>
            <w:r w:rsidR="000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F42D9">
              <w:rPr>
                <w:rFonts w:cstheme="minorHAnsi"/>
                <w:color w:val="000000"/>
                <w:sz w:val="22"/>
              </w:rPr>
              <w:t>do</w:t>
            </w:r>
            <w:r w:rsidR="00FE6818" w:rsidRPr="001F42D9">
              <w:rPr>
                <w:rFonts w:cstheme="minorHAnsi"/>
                <w:color w:val="000000"/>
                <w:sz w:val="22"/>
              </w:rPr>
              <w:t> </w:t>
            </w:r>
            <w:r w:rsidRPr="001F42D9">
              <w:rPr>
                <w:rFonts w:cstheme="minorHAnsi"/>
                <w:color w:val="000000"/>
                <w:sz w:val="22"/>
              </w:rPr>
              <w:t>3</w:t>
            </w:r>
            <w:r w:rsidR="00FE6818" w:rsidRPr="001F42D9">
              <w:rPr>
                <w:rFonts w:cstheme="minorHAnsi"/>
                <w:color w:val="000000"/>
                <w:sz w:val="22"/>
              </w:rPr>
              <w:t> </w:t>
            </w:r>
            <w:r w:rsidRPr="001F42D9">
              <w:rPr>
                <w:rFonts w:cstheme="minorHAnsi"/>
                <w:color w:val="000000"/>
                <w:sz w:val="22"/>
              </w:rPr>
              <w:t>let věku</w:t>
            </w:r>
          </w:p>
        </w:tc>
        <w:tc>
          <w:tcPr>
            <w:tcW w:w="6096" w:type="dxa"/>
          </w:tcPr>
          <w:p w14:paraId="2A2833D1" w14:textId="16315576" w:rsidR="00420D72" w:rsidRPr="001F42D9" w:rsidRDefault="00420D72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Dětský domov pro děti do 3 let věku a dětské centrum</w:t>
            </w:r>
          </w:p>
        </w:tc>
      </w:tr>
      <w:tr w:rsidR="00FE6818" w:rsidRPr="00420265" w14:paraId="7882CDB7" w14:textId="77777777" w:rsidTr="00E54C8D">
        <w:trPr>
          <w:trHeight w:val="283"/>
        </w:trPr>
        <w:tc>
          <w:tcPr>
            <w:tcW w:w="3116" w:type="dxa"/>
          </w:tcPr>
          <w:p w14:paraId="4177EA1B" w14:textId="7779ED2D" w:rsidR="00FE6818" w:rsidRPr="001F42D9" w:rsidRDefault="00FE6818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ESF</w:t>
            </w:r>
          </w:p>
        </w:tc>
        <w:tc>
          <w:tcPr>
            <w:tcW w:w="6096" w:type="dxa"/>
          </w:tcPr>
          <w:p w14:paraId="305CF07E" w14:textId="1A7BF204" w:rsidR="00FE6818" w:rsidRPr="001F42D9" w:rsidRDefault="00FE6818">
            <w:pPr>
              <w:spacing w:after="120"/>
              <w:ind w:left="-102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</w:rPr>
              <w:t>Evropský sociální fond</w:t>
            </w:r>
          </w:p>
        </w:tc>
      </w:tr>
      <w:tr w:rsidR="00D46E0F" w:rsidRPr="00420265" w14:paraId="2B34910B" w14:textId="77777777" w:rsidTr="00E54C8D">
        <w:trPr>
          <w:trHeight w:val="283"/>
        </w:trPr>
        <w:tc>
          <w:tcPr>
            <w:tcW w:w="3116" w:type="dxa"/>
          </w:tcPr>
          <w:p w14:paraId="24C27B75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1F42D9">
              <w:rPr>
                <w:rFonts w:cstheme="minorHAnsi"/>
                <w:color w:val="000000"/>
                <w:sz w:val="22"/>
              </w:rPr>
              <w:t>EU</w:t>
            </w:r>
          </w:p>
        </w:tc>
        <w:tc>
          <w:tcPr>
            <w:tcW w:w="6096" w:type="dxa"/>
          </w:tcPr>
          <w:p w14:paraId="5406FD69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Evropská unie</w:t>
            </w:r>
          </w:p>
        </w:tc>
      </w:tr>
      <w:tr w:rsidR="00FE6818" w:rsidRPr="00420265" w14:paraId="5C151ECF" w14:textId="77777777" w:rsidTr="00E54C8D">
        <w:trPr>
          <w:trHeight w:val="283"/>
        </w:trPr>
        <w:tc>
          <w:tcPr>
            <w:tcW w:w="3116" w:type="dxa"/>
          </w:tcPr>
          <w:p w14:paraId="5BEECA25" w14:textId="0B8D90B4" w:rsidR="00FE6818" w:rsidRPr="001F42D9" w:rsidRDefault="00FE6818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IS</w:t>
            </w:r>
          </w:p>
        </w:tc>
        <w:tc>
          <w:tcPr>
            <w:tcW w:w="6096" w:type="dxa"/>
          </w:tcPr>
          <w:p w14:paraId="72CDCBEC" w14:textId="46A12A2E" w:rsidR="00FE6818" w:rsidRPr="001F42D9" w:rsidRDefault="00FE6818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Informační systém</w:t>
            </w:r>
          </w:p>
        </w:tc>
      </w:tr>
      <w:tr w:rsidR="00D46E0F" w:rsidRPr="00420265" w14:paraId="45F41764" w14:textId="77777777" w:rsidTr="00E54C8D">
        <w:trPr>
          <w:trHeight w:val="283"/>
        </w:trPr>
        <w:tc>
          <w:tcPr>
            <w:tcW w:w="3116" w:type="dxa"/>
          </w:tcPr>
          <w:p w14:paraId="1AAD1C0E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IS SPOD</w:t>
            </w:r>
          </w:p>
        </w:tc>
        <w:tc>
          <w:tcPr>
            <w:tcW w:w="6096" w:type="dxa"/>
          </w:tcPr>
          <w:p w14:paraId="7E19FC61" w14:textId="383B7AE6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Informační systém sociálně-právní ochran</w:t>
            </w:r>
            <w:r w:rsidR="0047492C" w:rsidRPr="001F42D9">
              <w:rPr>
                <w:rFonts w:cstheme="minorHAnsi"/>
                <w:sz w:val="22"/>
              </w:rPr>
              <w:t>y</w:t>
            </w:r>
            <w:r w:rsidRPr="001F42D9">
              <w:rPr>
                <w:rFonts w:cstheme="minorHAnsi"/>
                <w:sz w:val="22"/>
              </w:rPr>
              <w:t xml:space="preserve"> dětí</w:t>
            </w:r>
          </w:p>
        </w:tc>
      </w:tr>
      <w:tr w:rsidR="00FE6818" w:rsidRPr="00420265" w14:paraId="6E51252F" w14:textId="77777777" w:rsidTr="00E54C8D">
        <w:trPr>
          <w:trHeight w:val="283"/>
        </w:trPr>
        <w:tc>
          <w:tcPr>
            <w:tcW w:w="3116" w:type="dxa"/>
          </w:tcPr>
          <w:p w14:paraId="02198C76" w14:textId="64C84D25" w:rsidR="00FE6818" w:rsidRPr="001F42D9" w:rsidRDefault="00FE6818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IT</w:t>
            </w:r>
          </w:p>
        </w:tc>
        <w:tc>
          <w:tcPr>
            <w:tcW w:w="6096" w:type="dxa"/>
          </w:tcPr>
          <w:p w14:paraId="292E3FC5" w14:textId="2AAE302D" w:rsidR="00FE6818" w:rsidRPr="001F42D9" w:rsidRDefault="00FE6818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Informační technologie</w:t>
            </w:r>
          </w:p>
        </w:tc>
      </w:tr>
      <w:tr w:rsidR="00FE6818" w:rsidRPr="00420265" w14:paraId="20F74D68" w14:textId="77777777" w:rsidTr="00E54C8D">
        <w:trPr>
          <w:trHeight w:val="283"/>
        </w:trPr>
        <w:tc>
          <w:tcPr>
            <w:tcW w:w="3116" w:type="dxa"/>
          </w:tcPr>
          <w:p w14:paraId="21C8AAA9" w14:textId="068AC89C" w:rsidR="00FE6818" w:rsidRPr="001F42D9" w:rsidRDefault="00FE6818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KA</w:t>
            </w:r>
          </w:p>
        </w:tc>
        <w:tc>
          <w:tcPr>
            <w:tcW w:w="6096" w:type="dxa"/>
          </w:tcPr>
          <w:p w14:paraId="2A47D65C" w14:textId="672C3424" w:rsidR="00FE6818" w:rsidRPr="001F42D9" w:rsidRDefault="00FE6818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Kontrolní akce NKÚ</w:t>
            </w:r>
          </w:p>
        </w:tc>
      </w:tr>
      <w:tr w:rsidR="00D46E0F" w:rsidRPr="00420265" w14:paraId="20DB7DF9" w14:textId="77777777" w:rsidTr="00A84BE8">
        <w:trPr>
          <w:trHeight w:val="283"/>
        </w:trPr>
        <w:tc>
          <w:tcPr>
            <w:tcW w:w="3116" w:type="dxa"/>
          </w:tcPr>
          <w:p w14:paraId="40321E6F" w14:textId="17222544" w:rsidR="00D46E0F" w:rsidRPr="001F42D9" w:rsidRDefault="003A20A3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K</w:t>
            </w:r>
            <w:r w:rsidR="00D46E0F" w:rsidRPr="001F42D9">
              <w:rPr>
                <w:rFonts w:cstheme="minorHAnsi"/>
                <w:color w:val="000000"/>
                <w:sz w:val="22"/>
              </w:rPr>
              <w:t>ompetenční zákon</w:t>
            </w:r>
          </w:p>
        </w:tc>
        <w:tc>
          <w:tcPr>
            <w:tcW w:w="6096" w:type="dxa"/>
          </w:tcPr>
          <w:p w14:paraId="5DC6709F" w14:textId="67BD4A9D" w:rsidR="00D46E0F" w:rsidRPr="001F42D9" w:rsidRDefault="00D46E0F" w:rsidP="00076B53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 xml:space="preserve">Zákon </w:t>
            </w:r>
            <w:r w:rsidR="00E65F02" w:rsidRPr="001F42D9">
              <w:rPr>
                <w:rFonts w:cstheme="minorHAnsi"/>
                <w:color w:val="000000"/>
                <w:sz w:val="22"/>
              </w:rPr>
              <w:t xml:space="preserve">České národní rady </w:t>
            </w:r>
            <w:r w:rsidRPr="001F42D9">
              <w:rPr>
                <w:rFonts w:cstheme="minorHAnsi"/>
                <w:color w:val="000000"/>
                <w:sz w:val="22"/>
              </w:rPr>
              <w:t>č. 2/1969 Sb., o zřízení ministerstev a</w:t>
            </w:r>
            <w:r w:rsidR="000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F42D9">
              <w:rPr>
                <w:rFonts w:cstheme="minorHAnsi"/>
                <w:color w:val="000000"/>
                <w:sz w:val="22"/>
              </w:rPr>
              <w:t>jiných ústředních orgánů státní správy České republiky</w:t>
            </w:r>
          </w:p>
        </w:tc>
      </w:tr>
      <w:tr w:rsidR="00D46E0F" w:rsidRPr="00420265" w14:paraId="4A4BB734" w14:textId="77777777" w:rsidTr="00A84BE8">
        <w:trPr>
          <w:trHeight w:val="283"/>
        </w:trPr>
        <w:tc>
          <w:tcPr>
            <w:tcW w:w="3116" w:type="dxa"/>
          </w:tcPr>
          <w:p w14:paraId="1F7C76C0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MPSV</w:t>
            </w:r>
          </w:p>
        </w:tc>
        <w:tc>
          <w:tcPr>
            <w:tcW w:w="6096" w:type="dxa"/>
          </w:tcPr>
          <w:p w14:paraId="04E46D8F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Ministerstvo práce a sociálních věcí</w:t>
            </w:r>
          </w:p>
        </w:tc>
      </w:tr>
      <w:tr w:rsidR="00FE6818" w:rsidRPr="00420265" w14:paraId="65F8104E" w14:textId="77777777" w:rsidTr="00A84BE8">
        <w:trPr>
          <w:trHeight w:val="283"/>
        </w:trPr>
        <w:tc>
          <w:tcPr>
            <w:tcW w:w="3116" w:type="dxa"/>
          </w:tcPr>
          <w:p w14:paraId="55AB2FEE" w14:textId="5B4EE30C" w:rsidR="00FE6818" w:rsidRPr="001F42D9" w:rsidRDefault="00FE6818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MS2014+</w:t>
            </w:r>
          </w:p>
        </w:tc>
        <w:tc>
          <w:tcPr>
            <w:tcW w:w="6096" w:type="dxa"/>
          </w:tcPr>
          <w:p w14:paraId="235A9AF9" w14:textId="5C5E0F0B" w:rsidR="00FE6818" w:rsidRPr="001F42D9" w:rsidRDefault="007B5CEC" w:rsidP="00076B53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Monitorovací systém evropských fondů pro programové období 2014–2020</w:t>
            </w:r>
          </w:p>
        </w:tc>
      </w:tr>
      <w:tr w:rsidR="00D46E0F" w:rsidRPr="00420265" w14:paraId="29528F03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55C01ED4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MŠMT</w:t>
            </w:r>
          </w:p>
        </w:tc>
        <w:tc>
          <w:tcPr>
            <w:tcW w:w="6096" w:type="dxa"/>
          </w:tcPr>
          <w:p w14:paraId="466B9C28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Ministerstvo školství, mládeže a tělovýchovy</w:t>
            </w:r>
          </w:p>
        </w:tc>
      </w:tr>
      <w:tr w:rsidR="00D46E0F" w:rsidRPr="00420265" w14:paraId="7ED5863F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5F452FD1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MZd</w:t>
            </w:r>
          </w:p>
        </w:tc>
        <w:tc>
          <w:tcPr>
            <w:tcW w:w="6096" w:type="dxa"/>
          </w:tcPr>
          <w:p w14:paraId="7C485AEF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Ministerstvo zdravotnictví</w:t>
            </w:r>
          </w:p>
        </w:tc>
      </w:tr>
      <w:tr w:rsidR="00D46E0F" w:rsidRPr="00420265" w14:paraId="5BDC6F1B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608C0FCD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Národní strategie 2012–2018</w:t>
            </w:r>
          </w:p>
        </w:tc>
        <w:tc>
          <w:tcPr>
            <w:tcW w:w="6096" w:type="dxa"/>
          </w:tcPr>
          <w:p w14:paraId="7847217B" w14:textId="31EAB793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sz w:val="22"/>
              </w:rPr>
              <w:t>Národní strategi</w:t>
            </w:r>
            <w:r w:rsidR="00076B53" w:rsidRPr="001F42D9">
              <w:rPr>
                <w:rFonts w:cstheme="minorHAnsi"/>
                <w:i/>
                <w:iCs/>
                <w:sz w:val="22"/>
              </w:rPr>
              <w:t>e</w:t>
            </w:r>
            <w:r w:rsidRPr="001F42D9">
              <w:rPr>
                <w:rFonts w:cstheme="minorHAnsi"/>
                <w:i/>
                <w:iCs/>
                <w:sz w:val="22"/>
              </w:rPr>
              <w:t xml:space="preserve"> ochrany práv dětí</w:t>
            </w:r>
          </w:p>
        </w:tc>
      </w:tr>
      <w:tr w:rsidR="00D46E0F" w:rsidRPr="00420265" w14:paraId="503BFB89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329F4FBA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Národní strategie 2021–2029</w:t>
            </w:r>
          </w:p>
        </w:tc>
        <w:tc>
          <w:tcPr>
            <w:tcW w:w="6096" w:type="dxa"/>
          </w:tcPr>
          <w:p w14:paraId="24C26225" w14:textId="149156C6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sz w:val="22"/>
              </w:rPr>
              <w:t>Národní strategi</w:t>
            </w:r>
            <w:r w:rsidR="00076B53" w:rsidRPr="001F42D9">
              <w:rPr>
                <w:rFonts w:cstheme="minorHAnsi"/>
                <w:i/>
                <w:iCs/>
                <w:sz w:val="22"/>
              </w:rPr>
              <w:t>e</w:t>
            </w:r>
            <w:r w:rsidRPr="001F42D9">
              <w:rPr>
                <w:rFonts w:cstheme="minorHAnsi"/>
                <w:i/>
                <w:iCs/>
                <w:sz w:val="22"/>
              </w:rPr>
              <w:t xml:space="preserve"> ochrany práv dětí 2021–2029</w:t>
            </w:r>
          </w:p>
        </w:tc>
      </w:tr>
      <w:tr w:rsidR="00D46E0F" w:rsidRPr="00420265" w14:paraId="6A39CDDE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282D854C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NKÚ</w:t>
            </w:r>
          </w:p>
        </w:tc>
        <w:tc>
          <w:tcPr>
            <w:tcW w:w="6096" w:type="dxa"/>
          </w:tcPr>
          <w:p w14:paraId="755F75DE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Nejvyšší kontrolní úřad</w:t>
            </w:r>
          </w:p>
        </w:tc>
      </w:tr>
      <w:tr w:rsidR="00D46E0F" w:rsidRPr="00420265" w14:paraId="1400C257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469BA02E" w14:textId="77777777" w:rsidR="00D46E0F" w:rsidRPr="001F42D9" w:rsidRDefault="00D46E0F" w:rsidP="00AF3A3F">
            <w:pPr>
              <w:spacing w:after="120"/>
              <w:ind w:left="-10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OP LZZ</w:t>
            </w:r>
          </w:p>
        </w:tc>
        <w:tc>
          <w:tcPr>
            <w:tcW w:w="6096" w:type="dxa"/>
          </w:tcPr>
          <w:p w14:paraId="5B5CD914" w14:textId="25EA5550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 xml:space="preserve">Operační program </w:t>
            </w:r>
            <w:r w:rsidR="004846A0" w:rsidRPr="001F42D9">
              <w:rPr>
                <w:rFonts w:cstheme="minorHAnsi"/>
                <w:i/>
                <w:iCs/>
                <w:sz w:val="22"/>
              </w:rPr>
              <w:t>L</w:t>
            </w:r>
            <w:r w:rsidRPr="001F42D9">
              <w:rPr>
                <w:rFonts w:cstheme="minorHAnsi"/>
                <w:i/>
                <w:iCs/>
                <w:sz w:val="22"/>
              </w:rPr>
              <w:t>idské zdroje a zaměstnanost</w:t>
            </w:r>
          </w:p>
        </w:tc>
      </w:tr>
      <w:tr w:rsidR="00D46E0F" w:rsidRPr="00420265" w14:paraId="00F350F4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7C2C308F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OPZ</w:t>
            </w:r>
          </w:p>
        </w:tc>
        <w:tc>
          <w:tcPr>
            <w:tcW w:w="6096" w:type="dxa"/>
          </w:tcPr>
          <w:p w14:paraId="464FDD8D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 xml:space="preserve">Operační program </w:t>
            </w:r>
            <w:r w:rsidRPr="001F42D9">
              <w:rPr>
                <w:rFonts w:cstheme="minorHAnsi"/>
                <w:i/>
                <w:iCs/>
                <w:sz w:val="22"/>
              </w:rPr>
              <w:t>Zaměstnanost</w:t>
            </w:r>
            <w:r w:rsidRPr="001F42D9">
              <w:rPr>
                <w:rFonts w:cstheme="minorHAnsi"/>
                <w:sz w:val="22"/>
              </w:rPr>
              <w:t xml:space="preserve"> </w:t>
            </w:r>
          </w:p>
        </w:tc>
      </w:tr>
      <w:tr w:rsidR="00D46E0F" w:rsidRPr="00420265" w14:paraId="788FFE49" w14:textId="77777777" w:rsidTr="00A84BE8">
        <w:trPr>
          <w:trHeight w:val="283"/>
        </w:trPr>
        <w:tc>
          <w:tcPr>
            <w:tcW w:w="3116" w:type="dxa"/>
          </w:tcPr>
          <w:p w14:paraId="1175553E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OPZ+</w:t>
            </w:r>
          </w:p>
        </w:tc>
        <w:tc>
          <w:tcPr>
            <w:tcW w:w="6096" w:type="dxa"/>
          </w:tcPr>
          <w:p w14:paraId="5D53F2A1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 xml:space="preserve">Operační program </w:t>
            </w:r>
            <w:r w:rsidRPr="001F42D9">
              <w:rPr>
                <w:rFonts w:cstheme="minorHAnsi"/>
                <w:i/>
                <w:iCs/>
                <w:sz w:val="22"/>
              </w:rPr>
              <w:t>Zaměstnanost plus</w:t>
            </w:r>
          </w:p>
        </w:tc>
      </w:tr>
      <w:tr w:rsidR="00D46E0F" w:rsidRPr="00420265" w14:paraId="3C476A4C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471B3F57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OSPOD</w:t>
            </w:r>
          </w:p>
        </w:tc>
        <w:tc>
          <w:tcPr>
            <w:tcW w:w="6096" w:type="dxa"/>
            <w:shd w:val="clear" w:color="auto" w:fill="auto"/>
          </w:tcPr>
          <w:p w14:paraId="7B59BA27" w14:textId="7777777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Orgán sociálně-právní ochrany dětí</w:t>
            </w:r>
          </w:p>
        </w:tc>
      </w:tr>
      <w:tr w:rsidR="00D46E0F" w:rsidRPr="00420265" w14:paraId="483A0B09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1AC5B077" w14:textId="6CFAA2A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ORP</w:t>
            </w:r>
          </w:p>
        </w:tc>
        <w:tc>
          <w:tcPr>
            <w:tcW w:w="6096" w:type="dxa"/>
            <w:shd w:val="clear" w:color="auto" w:fill="auto"/>
          </w:tcPr>
          <w:p w14:paraId="2D0F8A51" w14:textId="43F730F7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Obec s rozšířenou působností</w:t>
            </w:r>
          </w:p>
        </w:tc>
      </w:tr>
      <w:tr w:rsidR="00D46E0F" w:rsidRPr="00420265" w14:paraId="224C6142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75C6284A" w14:textId="686448F5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 xml:space="preserve">Projekt síťování ORP </w:t>
            </w:r>
          </w:p>
        </w:tc>
        <w:tc>
          <w:tcPr>
            <w:tcW w:w="6096" w:type="dxa"/>
            <w:shd w:val="clear" w:color="auto" w:fill="auto"/>
          </w:tcPr>
          <w:p w14:paraId="4E049EC9" w14:textId="7A002560" w:rsidR="00D46E0F" w:rsidRPr="001F42D9" w:rsidRDefault="00D46E0F" w:rsidP="00076B53">
            <w:pPr>
              <w:spacing w:after="120"/>
              <w:ind w:left="-102" w:right="-111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  <w:szCs w:val="22"/>
              </w:rPr>
              <w:t>Projekt, který se týkal vytvoření místní sítě v konkrétní ORP ve</w:t>
            </w:r>
            <w:r w:rsidR="005920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F42D9">
              <w:rPr>
                <w:rFonts w:cstheme="minorHAnsi"/>
                <w:sz w:val="22"/>
                <w:szCs w:val="22"/>
              </w:rPr>
              <w:t xml:space="preserve">Středočeském kraji </w:t>
            </w:r>
            <w:r w:rsidR="00076B53" w:rsidRPr="001F42D9">
              <w:rPr>
                <w:rFonts w:cstheme="minorHAnsi"/>
                <w:sz w:val="22"/>
                <w:szCs w:val="22"/>
              </w:rPr>
              <w:t>a</w:t>
            </w:r>
            <w:r w:rsidR="00076B53">
              <w:rPr>
                <w:rFonts w:asciiTheme="minorHAnsi" w:hAnsiTheme="minorHAnsi" w:cstheme="minorHAnsi"/>
                <w:sz w:val="22"/>
                <w:szCs w:val="22"/>
              </w:rPr>
              <w:t xml:space="preserve"> byl</w:t>
            </w:r>
            <w:r w:rsidR="00076B53" w:rsidRPr="001F42D9">
              <w:rPr>
                <w:rFonts w:cstheme="minorHAnsi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sz w:val="22"/>
                <w:szCs w:val="22"/>
              </w:rPr>
              <w:t>financov</w:t>
            </w:r>
            <w:r w:rsidR="00076B53" w:rsidRPr="001F42D9">
              <w:rPr>
                <w:rFonts w:cstheme="minorHAnsi"/>
                <w:sz w:val="22"/>
                <w:szCs w:val="22"/>
              </w:rPr>
              <w:t>án</w:t>
            </w:r>
            <w:r w:rsidRPr="001F42D9">
              <w:rPr>
                <w:rFonts w:cstheme="minorHAnsi"/>
                <w:sz w:val="22"/>
                <w:szCs w:val="22"/>
              </w:rPr>
              <w:t xml:space="preserve"> </w:t>
            </w:r>
            <w:r w:rsidR="00076B53" w:rsidRPr="001F42D9">
              <w:rPr>
                <w:rFonts w:cstheme="minorHAnsi"/>
                <w:sz w:val="22"/>
                <w:szCs w:val="22"/>
              </w:rPr>
              <w:t>z</w:t>
            </w:r>
            <w:r w:rsidRPr="001F42D9">
              <w:rPr>
                <w:rFonts w:cstheme="minorHAnsi"/>
                <w:sz w:val="22"/>
                <w:szCs w:val="22"/>
              </w:rPr>
              <w:t xml:space="preserve"> OPZ</w:t>
            </w:r>
          </w:p>
        </w:tc>
      </w:tr>
      <w:tr w:rsidR="00D46E0F" w:rsidRPr="00420265" w14:paraId="14A4FC63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004A68D6" w14:textId="58810099" w:rsidR="00A84BE8" w:rsidRPr="001F42D9" w:rsidRDefault="00A84BE8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SPOD</w:t>
            </w:r>
          </w:p>
          <w:p w14:paraId="673BEB74" w14:textId="2B6FEFAC" w:rsidR="00D46E0F" w:rsidRPr="001F42D9" w:rsidRDefault="00D46E0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SPOD0</w:t>
            </w:r>
          </w:p>
        </w:tc>
        <w:tc>
          <w:tcPr>
            <w:tcW w:w="6096" w:type="dxa"/>
            <w:shd w:val="clear" w:color="auto" w:fill="auto"/>
          </w:tcPr>
          <w:p w14:paraId="49DE4E21" w14:textId="649D909F" w:rsidR="00A84BE8" w:rsidRPr="001F42D9" w:rsidRDefault="00A84BE8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Sociálně-právní ochrana dětí</w:t>
            </w:r>
          </w:p>
          <w:p w14:paraId="00C4B01D" w14:textId="700283A4" w:rsidR="00D46E0F" w:rsidRPr="001F42D9" w:rsidRDefault="00D46E0F" w:rsidP="00076B53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Systémová podpora procesů transformace systému péče</w:t>
            </w:r>
            <w:r w:rsidR="00AE301C"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br/>
            </w: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o ohrožené děti</w:t>
            </w:r>
            <w:r w:rsidR="001D391D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 rodiny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, reg.</w:t>
            </w:r>
            <w:r w:rsidR="00AE301C" w:rsidRPr="001F42D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č. CZ.1.04/3.1.00/04.00008</w:t>
            </w:r>
          </w:p>
        </w:tc>
      </w:tr>
      <w:tr w:rsidR="00D46E0F" w:rsidRPr="00420265" w14:paraId="0EF84CD3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1873301E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SPOD1</w:t>
            </w:r>
          </w:p>
        </w:tc>
        <w:tc>
          <w:tcPr>
            <w:tcW w:w="6096" w:type="dxa"/>
            <w:shd w:val="clear" w:color="auto" w:fill="auto"/>
          </w:tcPr>
          <w:p w14:paraId="1609BF30" w14:textId="3C2BB98A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Systémový rozvoj a podpora nástrojů sociálně-právní ochrany dětí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,</w:t>
            </w:r>
            <w:r w:rsidR="00AE301C" w:rsidRPr="001F42D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reg.</w:t>
            </w:r>
            <w:r w:rsidR="00AE301C" w:rsidRPr="001F42D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č.</w:t>
            </w:r>
            <w:r w:rsidR="00AE301C" w:rsidRPr="001F42D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CZ.03.2.63/0.0/0.0/15_017/0001687</w:t>
            </w:r>
          </w:p>
        </w:tc>
      </w:tr>
      <w:tr w:rsidR="00D46E0F" w:rsidRPr="00420265" w14:paraId="6F19F87D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66A7F535" w14:textId="77777777" w:rsidR="00D46E0F" w:rsidRPr="001F42D9" w:rsidRDefault="00D46E0F" w:rsidP="00AF3A3F">
            <w:pPr>
              <w:spacing w:after="120"/>
              <w:ind w:left="-105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SPOD2</w:t>
            </w:r>
          </w:p>
        </w:tc>
        <w:tc>
          <w:tcPr>
            <w:tcW w:w="6096" w:type="dxa"/>
            <w:shd w:val="clear" w:color="auto" w:fill="auto"/>
          </w:tcPr>
          <w:p w14:paraId="2DA3F593" w14:textId="77777777" w:rsidR="00CD34F1" w:rsidRPr="001F42D9" w:rsidRDefault="00D46E0F" w:rsidP="002C41A0">
            <w:pPr>
              <w:keepNext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Podpora systémových změn v oblasti služeb péče o ohrožené děti, mladé lidi a rodiny v České republice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,</w:t>
            </w:r>
          </w:p>
          <w:p w14:paraId="5476DD70" w14:textId="7E72E131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  <w:szCs w:val="22"/>
              </w:rPr>
              <w:t>reg.</w:t>
            </w:r>
            <w:r w:rsidR="00AE301C" w:rsidRPr="001F42D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č. CZ.03.2.63/0.0/0.0/15_017/0009381</w:t>
            </w:r>
          </w:p>
        </w:tc>
      </w:tr>
      <w:tr w:rsidR="00D46E0F" w:rsidRPr="00420265" w14:paraId="708A602F" w14:textId="77777777" w:rsidTr="00A84BE8">
        <w:trPr>
          <w:trHeight w:val="283"/>
        </w:trPr>
        <w:tc>
          <w:tcPr>
            <w:tcW w:w="3116" w:type="dxa"/>
            <w:shd w:val="clear" w:color="auto" w:fill="auto"/>
          </w:tcPr>
          <w:p w14:paraId="525EB557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SPOD3</w:t>
            </w:r>
          </w:p>
        </w:tc>
        <w:tc>
          <w:tcPr>
            <w:tcW w:w="6096" w:type="dxa"/>
            <w:shd w:val="clear" w:color="auto" w:fill="auto"/>
          </w:tcPr>
          <w:p w14:paraId="44E7ACF8" w14:textId="77777777" w:rsidR="00C0484D" w:rsidRPr="001F42D9" w:rsidRDefault="00D46E0F">
            <w:pPr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Sjednocení přístupu k ohroženým dětem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,</w:t>
            </w:r>
          </w:p>
          <w:p w14:paraId="165FB408" w14:textId="6F40888E" w:rsidR="00D46E0F" w:rsidRPr="001F42D9" w:rsidRDefault="00D46E0F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  <w:szCs w:val="22"/>
              </w:rPr>
              <w:t>reg. č. CZ.03.02.02/00/22_004/0000500</w:t>
            </w:r>
          </w:p>
        </w:tc>
      </w:tr>
      <w:tr w:rsidR="00D46E0F" w:rsidRPr="00420265" w14:paraId="39854A64" w14:textId="77777777" w:rsidTr="00770BDF">
        <w:trPr>
          <w:trHeight w:val="283"/>
        </w:trPr>
        <w:tc>
          <w:tcPr>
            <w:tcW w:w="3116" w:type="dxa"/>
            <w:shd w:val="clear" w:color="auto" w:fill="auto"/>
          </w:tcPr>
          <w:p w14:paraId="0798DDA5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Standardizace NRP</w:t>
            </w:r>
          </w:p>
        </w:tc>
        <w:tc>
          <w:tcPr>
            <w:tcW w:w="6096" w:type="dxa"/>
            <w:shd w:val="clear" w:color="auto" w:fill="auto"/>
          </w:tcPr>
          <w:p w14:paraId="0E7BAC15" w14:textId="66B7815E" w:rsidR="00D46E0F" w:rsidRPr="001F42D9" w:rsidRDefault="00D46E0F" w:rsidP="00076B53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Standardizace procesu zabezpečení náhradní rodinné péče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, reg.</w:t>
            </w:r>
            <w:r w:rsidR="000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č.</w:t>
            </w:r>
            <w:r w:rsidR="000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F42D9">
              <w:rPr>
                <w:rFonts w:cstheme="minorHAnsi"/>
                <w:color w:val="000000"/>
                <w:sz w:val="22"/>
                <w:szCs w:val="22"/>
              </w:rPr>
              <w:t>CZ.03.02.02/00/22_004/0000210</w:t>
            </w:r>
          </w:p>
        </w:tc>
      </w:tr>
      <w:tr w:rsidR="00FE6818" w:rsidRPr="00420265" w14:paraId="0FAB00DF" w14:textId="77777777" w:rsidTr="00770BDF">
        <w:trPr>
          <w:trHeight w:val="283"/>
        </w:trPr>
        <w:tc>
          <w:tcPr>
            <w:tcW w:w="3116" w:type="dxa"/>
            <w:shd w:val="clear" w:color="auto" w:fill="auto"/>
          </w:tcPr>
          <w:p w14:paraId="0DEBAE6F" w14:textId="7C365444" w:rsidR="00FE6818" w:rsidRPr="001F42D9" w:rsidRDefault="00FE6818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SVP</w:t>
            </w:r>
          </w:p>
        </w:tc>
        <w:tc>
          <w:tcPr>
            <w:tcW w:w="6096" w:type="dxa"/>
            <w:shd w:val="clear" w:color="auto" w:fill="auto"/>
          </w:tcPr>
          <w:p w14:paraId="258F9099" w14:textId="75538039" w:rsidR="00FE6818" w:rsidRPr="001F42D9" w:rsidRDefault="00FE6818">
            <w:pPr>
              <w:spacing w:after="120"/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  <w:szCs w:val="22"/>
              </w:rPr>
              <w:t>Střediska výchovné péče</w:t>
            </w:r>
          </w:p>
        </w:tc>
      </w:tr>
      <w:tr w:rsidR="00D46E0F" w:rsidRPr="00420265" w14:paraId="31E53022" w14:textId="77777777" w:rsidTr="00770BDF">
        <w:trPr>
          <w:trHeight w:val="283"/>
        </w:trPr>
        <w:tc>
          <w:tcPr>
            <w:tcW w:w="3116" w:type="dxa"/>
            <w:shd w:val="clear" w:color="auto" w:fill="auto"/>
          </w:tcPr>
          <w:p w14:paraId="4983B0F9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Školská ústavní zařízení</w:t>
            </w:r>
          </w:p>
        </w:tc>
        <w:tc>
          <w:tcPr>
            <w:tcW w:w="6096" w:type="dxa"/>
            <w:shd w:val="clear" w:color="auto" w:fill="auto"/>
          </w:tcPr>
          <w:p w14:paraId="5C2927B5" w14:textId="1056BD5D" w:rsidR="003644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  <w:szCs w:val="22"/>
              </w:rPr>
              <w:t>Dětské domovy, dětské domovy se školou, výchovné ústavy, diagnostické ústavy</w:t>
            </w:r>
          </w:p>
        </w:tc>
      </w:tr>
      <w:tr w:rsidR="00E41A1E" w:rsidRPr="00420265" w14:paraId="06B74061" w14:textId="77777777" w:rsidTr="00770BDF">
        <w:trPr>
          <w:trHeight w:val="283"/>
        </w:trPr>
        <w:tc>
          <w:tcPr>
            <w:tcW w:w="3116" w:type="dxa"/>
            <w:shd w:val="clear" w:color="auto" w:fill="auto"/>
          </w:tcPr>
          <w:p w14:paraId="67CACDF5" w14:textId="3D42F741" w:rsidR="00E41A1E" w:rsidRPr="001F42D9" w:rsidRDefault="00E41A1E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UV 4/2012</w:t>
            </w:r>
          </w:p>
        </w:tc>
        <w:tc>
          <w:tcPr>
            <w:tcW w:w="6096" w:type="dxa"/>
            <w:shd w:val="clear" w:color="auto" w:fill="auto"/>
          </w:tcPr>
          <w:p w14:paraId="6A4C2869" w14:textId="0365C170" w:rsidR="00E41A1E" w:rsidRPr="001F42D9" w:rsidRDefault="00E41A1E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 xml:space="preserve">Usnesení vlády České republiky ze dne 4. ledna 2012 č. 4, </w:t>
            </w:r>
            <w:r w:rsidRPr="001F42D9">
              <w:rPr>
                <w:rFonts w:cstheme="minorHAnsi"/>
                <w:i/>
                <w:sz w:val="22"/>
              </w:rPr>
              <w:t>o</w:t>
            </w:r>
            <w:r w:rsidR="00E13AB6" w:rsidRPr="001F42D9">
              <w:rPr>
                <w:rFonts w:cstheme="minorHAnsi"/>
                <w:i/>
                <w:sz w:val="22"/>
              </w:rPr>
              <w:t> </w:t>
            </w:r>
            <w:r w:rsidRPr="001F42D9">
              <w:rPr>
                <w:rFonts w:cstheme="minorHAnsi"/>
                <w:i/>
                <w:sz w:val="22"/>
              </w:rPr>
              <w:t>Národní strategii ochrany práv dětí</w:t>
            </w:r>
          </w:p>
        </w:tc>
      </w:tr>
      <w:tr w:rsidR="00D46E0F" w:rsidRPr="00420265" w14:paraId="196DF1CC" w14:textId="77777777" w:rsidTr="00770BDF">
        <w:trPr>
          <w:trHeight w:val="283"/>
        </w:trPr>
        <w:tc>
          <w:tcPr>
            <w:tcW w:w="3116" w:type="dxa"/>
            <w:shd w:val="clear" w:color="auto" w:fill="auto"/>
          </w:tcPr>
          <w:p w14:paraId="407458FA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UV 1033/2016</w:t>
            </w:r>
          </w:p>
        </w:tc>
        <w:tc>
          <w:tcPr>
            <w:tcW w:w="6096" w:type="dxa"/>
            <w:shd w:val="clear" w:color="auto" w:fill="auto"/>
          </w:tcPr>
          <w:p w14:paraId="4A863361" w14:textId="77777777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  <w:szCs w:val="22"/>
              </w:rPr>
              <w:t xml:space="preserve">Usnesení vlády ze dne 23. listopadu 2016 č. 1033, </w:t>
            </w:r>
            <w:r w:rsidRPr="001F42D9">
              <w:rPr>
                <w:rFonts w:cstheme="minorHAnsi"/>
                <w:i/>
                <w:sz w:val="22"/>
                <w:szCs w:val="22"/>
              </w:rPr>
              <w:t xml:space="preserve">k podnětu Rady vlády České republiky pro lidská práva ke sjednocení služeb pro ohrožené děti a k úpravě podmínek pro poskytování pobytových služeb těmto dětem </w:t>
            </w:r>
          </w:p>
        </w:tc>
      </w:tr>
      <w:tr w:rsidR="009E1D4A" w:rsidRPr="00420265" w14:paraId="4BC463EA" w14:textId="77777777" w:rsidTr="00E54C8D">
        <w:trPr>
          <w:trHeight w:val="283"/>
        </w:trPr>
        <w:tc>
          <w:tcPr>
            <w:tcW w:w="3116" w:type="dxa"/>
            <w:shd w:val="clear" w:color="auto" w:fill="auto"/>
          </w:tcPr>
          <w:p w14:paraId="3EC8841D" w14:textId="4839D675" w:rsidR="009E1D4A" w:rsidRPr="001F42D9" w:rsidRDefault="009E1D4A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bCs/>
                <w:sz w:val="22"/>
              </w:rPr>
              <w:t>UV 686/2021</w:t>
            </w:r>
          </w:p>
        </w:tc>
        <w:tc>
          <w:tcPr>
            <w:tcW w:w="6096" w:type="dxa"/>
            <w:shd w:val="clear" w:color="auto" w:fill="auto"/>
          </w:tcPr>
          <w:p w14:paraId="2D81130B" w14:textId="54B84F08" w:rsidR="009E1D4A" w:rsidRPr="001F42D9" w:rsidRDefault="009E1D4A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  <w:szCs w:val="22"/>
              </w:rPr>
              <w:t>Usnesení vlády České republiky ze dne 26. července 2021 č.</w:t>
            </w:r>
            <w:r w:rsidR="00E13AB6" w:rsidRPr="001F42D9">
              <w:rPr>
                <w:rFonts w:cstheme="minorHAnsi"/>
                <w:sz w:val="22"/>
                <w:szCs w:val="22"/>
              </w:rPr>
              <w:t> </w:t>
            </w:r>
            <w:r w:rsidRPr="001F42D9">
              <w:rPr>
                <w:rFonts w:cstheme="minorHAnsi"/>
                <w:sz w:val="22"/>
                <w:szCs w:val="22"/>
              </w:rPr>
              <w:t xml:space="preserve">686, </w:t>
            </w:r>
            <w:r w:rsidRPr="001F42D9">
              <w:rPr>
                <w:rFonts w:cstheme="minorHAnsi"/>
                <w:i/>
                <w:sz w:val="22"/>
                <w:szCs w:val="22"/>
              </w:rPr>
              <w:t>o</w:t>
            </w:r>
            <w:r w:rsidR="00076B53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1F42D9">
              <w:rPr>
                <w:rFonts w:cstheme="minorHAnsi"/>
                <w:i/>
                <w:sz w:val="22"/>
                <w:szCs w:val="22"/>
              </w:rPr>
              <w:t>I.</w:t>
            </w:r>
            <w:r w:rsidR="00076B53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1F42D9">
              <w:rPr>
                <w:rFonts w:cstheme="minorHAnsi"/>
                <w:i/>
                <w:sz w:val="22"/>
                <w:szCs w:val="22"/>
              </w:rPr>
              <w:t>Akčním plánu k naplnění Národní strategie ochrany práv dětí 2021–2029 na období 2021–2024</w:t>
            </w:r>
          </w:p>
        </w:tc>
      </w:tr>
      <w:tr w:rsidR="00D46E0F" w:rsidRPr="00420265" w14:paraId="6662B2E0" w14:textId="77777777" w:rsidTr="00E54C8D">
        <w:trPr>
          <w:trHeight w:val="283"/>
        </w:trPr>
        <w:tc>
          <w:tcPr>
            <w:tcW w:w="3116" w:type="dxa"/>
            <w:shd w:val="clear" w:color="auto" w:fill="auto"/>
          </w:tcPr>
          <w:p w14:paraId="29E1E59E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Úmluva</w:t>
            </w:r>
          </w:p>
        </w:tc>
        <w:tc>
          <w:tcPr>
            <w:tcW w:w="6096" w:type="dxa"/>
            <w:shd w:val="clear" w:color="auto" w:fill="auto"/>
          </w:tcPr>
          <w:p w14:paraId="5A32B550" w14:textId="77777777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</w:rPr>
              <w:t>Úmluva o právech dítěte</w:t>
            </w:r>
          </w:p>
        </w:tc>
      </w:tr>
      <w:tr w:rsidR="00D46E0F" w:rsidRPr="00420265" w14:paraId="077C7430" w14:textId="77777777" w:rsidTr="00E54C8D">
        <w:trPr>
          <w:trHeight w:val="283"/>
        </w:trPr>
        <w:tc>
          <w:tcPr>
            <w:tcW w:w="3116" w:type="dxa"/>
          </w:tcPr>
          <w:p w14:paraId="73751C08" w14:textId="25649B6B" w:rsidR="00D46E0F" w:rsidRPr="001F42D9" w:rsidRDefault="0021241D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</w:t>
            </w:r>
            <w:r w:rsidR="00D46E0F" w:rsidRPr="001F42D9">
              <w:rPr>
                <w:rFonts w:cstheme="minorHAnsi"/>
                <w:sz w:val="22"/>
              </w:rPr>
              <w:t>ákon o ISVS</w:t>
            </w:r>
          </w:p>
        </w:tc>
        <w:tc>
          <w:tcPr>
            <w:tcW w:w="6096" w:type="dxa"/>
          </w:tcPr>
          <w:p w14:paraId="6EC144E2" w14:textId="66D2A908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Zákon č. 365/2000 Sb., o informačních systémech veřejné správy a</w:t>
            </w:r>
            <w:r w:rsidR="00076B5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F42D9">
              <w:rPr>
                <w:rFonts w:cstheme="minorHAnsi"/>
                <w:sz w:val="22"/>
              </w:rPr>
              <w:t>o</w:t>
            </w:r>
            <w:r w:rsidR="00076B5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F42D9">
              <w:rPr>
                <w:rFonts w:cstheme="minorHAnsi"/>
                <w:sz w:val="22"/>
              </w:rPr>
              <w:t>změně některých dalších zákonů</w:t>
            </w:r>
          </w:p>
        </w:tc>
      </w:tr>
      <w:tr w:rsidR="00D46E0F" w:rsidRPr="00420265" w14:paraId="4CA37F80" w14:textId="77777777" w:rsidTr="00E54C8D">
        <w:trPr>
          <w:trHeight w:val="283"/>
        </w:trPr>
        <w:tc>
          <w:tcPr>
            <w:tcW w:w="3116" w:type="dxa"/>
          </w:tcPr>
          <w:p w14:paraId="4C820012" w14:textId="008B9F40" w:rsidR="00D46E0F" w:rsidRPr="001F42D9" w:rsidRDefault="0021241D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Z</w:t>
            </w:r>
            <w:r w:rsidR="00D46E0F" w:rsidRPr="001F42D9">
              <w:rPr>
                <w:rFonts w:cstheme="minorHAnsi"/>
                <w:color w:val="000000"/>
                <w:sz w:val="22"/>
              </w:rPr>
              <w:t>ákon o SPOD</w:t>
            </w:r>
          </w:p>
        </w:tc>
        <w:tc>
          <w:tcPr>
            <w:tcW w:w="6096" w:type="dxa"/>
          </w:tcPr>
          <w:p w14:paraId="324999F1" w14:textId="77777777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Zákon č. 359/1999 Sb., o sociálně-právní ochraně dětí</w:t>
            </w:r>
          </w:p>
        </w:tc>
      </w:tr>
      <w:tr w:rsidR="00D46E0F" w:rsidRPr="00420265" w14:paraId="4A3336AD" w14:textId="77777777" w:rsidTr="00E54C8D">
        <w:trPr>
          <w:trHeight w:val="283"/>
        </w:trPr>
        <w:tc>
          <w:tcPr>
            <w:tcW w:w="3116" w:type="dxa"/>
          </w:tcPr>
          <w:p w14:paraId="375F403F" w14:textId="619FC881" w:rsidR="00D46E0F" w:rsidRPr="001F42D9" w:rsidRDefault="0021241D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</w:t>
            </w:r>
            <w:r w:rsidR="00D46E0F" w:rsidRPr="001F42D9">
              <w:rPr>
                <w:rFonts w:cstheme="minorHAnsi"/>
                <w:sz w:val="22"/>
              </w:rPr>
              <w:t>ákon o ústavní výchově</w:t>
            </w:r>
          </w:p>
        </w:tc>
        <w:tc>
          <w:tcPr>
            <w:tcW w:w="6096" w:type="dxa"/>
          </w:tcPr>
          <w:p w14:paraId="5C307632" w14:textId="72A6CE3B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Zákon č. 109/2002 Sb., o výkonu ústavní výchovy nebo ochranné výchovy ve školských zařízeních a o preventivně výchovné péči ve</w:t>
            </w:r>
            <w:r w:rsidR="00076B53" w:rsidRPr="001F42D9">
              <w:rPr>
                <w:rFonts w:cstheme="minorHAnsi"/>
                <w:sz w:val="22"/>
              </w:rPr>
              <w:t xml:space="preserve"> </w:t>
            </w:r>
            <w:r w:rsidRPr="001F42D9">
              <w:rPr>
                <w:rFonts w:cstheme="minorHAnsi"/>
                <w:sz w:val="22"/>
              </w:rPr>
              <w:t>školských zařízeních a o změně dalších zákonů</w:t>
            </w:r>
          </w:p>
        </w:tc>
      </w:tr>
      <w:tr w:rsidR="00D46E0F" w:rsidRPr="00420265" w14:paraId="77DFE371" w14:textId="77777777" w:rsidTr="00E54C8D">
        <w:trPr>
          <w:trHeight w:val="283"/>
        </w:trPr>
        <w:tc>
          <w:tcPr>
            <w:tcW w:w="3116" w:type="dxa"/>
          </w:tcPr>
          <w:p w14:paraId="29C574DF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Zákon o zdravotních službách</w:t>
            </w:r>
          </w:p>
        </w:tc>
        <w:tc>
          <w:tcPr>
            <w:tcW w:w="6096" w:type="dxa"/>
          </w:tcPr>
          <w:p w14:paraId="172169AE" w14:textId="1CD74242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color w:val="000000" w:themeColor="text1"/>
                <w:sz w:val="22"/>
                <w:szCs w:val="22"/>
              </w:rPr>
              <w:t xml:space="preserve">Zákon č. 372/2011 Sb., o zdravotních službách a podmínkách jejich poskytování </w:t>
            </w:r>
          </w:p>
        </w:tc>
      </w:tr>
      <w:tr w:rsidR="00D46E0F" w:rsidRPr="00420265" w14:paraId="34F3DFBC" w14:textId="77777777" w:rsidTr="00E54C8D">
        <w:trPr>
          <w:trHeight w:val="283"/>
        </w:trPr>
        <w:tc>
          <w:tcPr>
            <w:tcW w:w="3116" w:type="dxa"/>
          </w:tcPr>
          <w:p w14:paraId="63255ED5" w14:textId="77777777" w:rsidR="00D46E0F" w:rsidRPr="001F42D9" w:rsidRDefault="00D46E0F" w:rsidP="00AF3A3F">
            <w:pPr>
              <w:spacing w:after="120"/>
              <w:ind w:left="-11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color w:val="000000"/>
                <w:sz w:val="22"/>
              </w:rPr>
              <w:t>Záměr právní úpravy</w:t>
            </w:r>
          </w:p>
        </w:tc>
        <w:tc>
          <w:tcPr>
            <w:tcW w:w="6096" w:type="dxa"/>
          </w:tcPr>
          <w:p w14:paraId="2BB40A17" w14:textId="04429F1B" w:rsidR="00D46E0F" w:rsidRPr="001F42D9" w:rsidRDefault="00D46E0F" w:rsidP="001F42D9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F42D9">
              <w:rPr>
                <w:rFonts w:cstheme="minorHAnsi"/>
                <w:i/>
                <w:iCs/>
                <w:color w:val="000000"/>
                <w:sz w:val="22"/>
              </w:rPr>
              <w:t>Záměr právní úpravy sjednocení služeb sociální prevence, služeb poskytujících pobytovou péči dětem, služeb sociálně zdravotních nebo výchovných a dalších služeb pro ohrožené děti a jejich rodiny v působnosti MPSV, MŠMT a MZd</w:t>
            </w:r>
            <w:r w:rsidR="00076B5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F42D9">
              <w:rPr>
                <w:rFonts w:cstheme="minorHAnsi"/>
                <w:i/>
                <w:iCs/>
                <w:color w:val="000000"/>
                <w:sz w:val="22"/>
              </w:rPr>
              <w:t>do působnosti MPSV, zavedení věkové hranice, před jejímž dosažením není možné děti um</w:t>
            </w:r>
            <w:r w:rsidR="00BE56B4" w:rsidRPr="001F42D9">
              <w:rPr>
                <w:rFonts w:cstheme="minorHAnsi"/>
                <w:i/>
                <w:iCs/>
                <w:color w:val="000000"/>
                <w:sz w:val="22"/>
              </w:rPr>
              <w:t>i</w:t>
            </w:r>
            <w:r w:rsidRPr="001F42D9">
              <w:rPr>
                <w:rFonts w:cstheme="minorHAnsi"/>
                <w:i/>
                <w:iCs/>
                <w:color w:val="000000"/>
                <w:sz w:val="22"/>
              </w:rPr>
              <w:t>sťovat do zařízení kolektivní péče</w:t>
            </w:r>
          </w:p>
        </w:tc>
      </w:tr>
      <w:tr w:rsidR="00D46E0F" w:rsidRPr="00420265" w14:paraId="1FB57B72" w14:textId="77777777" w:rsidTr="00E54C8D">
        <w:trPr>
          <w:trHeight w:val="283"/>
        </w:trPr>
        <w:tc>
          <w:tcPr>
            <w:tcW w:w="3116" w:type="dxa"/>
          </w:tcPr>
          <w:p w14:paraId="0ADAFECD" w14:textId="77777777" w:rsidR="00D46E0F" w:rsidRPr="001F42D9" w:rsidRDefault="00D46E0F" w:rsidP="00AF3A3F">
            <w:pPr>
              <w:spacing w:after="12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ZDVOP</w:t>
            </w:r>
          </w:p>
        </w:tc>
        <w:tc>
          <w:tcPr>
            <w:tcW w:w="6096" w:type="dxa"/>
          </w:tcPr>
          <w:p w14:paraId="0E6DA73D" w14:textId="77777777" w:rsidR="00D46E0F" w:rsidRPr="001F42D9" w:rsidRDefault="00D46E0F" w:rsidP="00592015">
            <w:pPr>
              <w:spacing w:after="120"/>
              <w:ind w:left="-10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42D9">
              <w:rPr>
                <w:rFonts w:cstheme="minorHAnsi"/>
                <w:sz w:val="22"/>
              </w:rPr>
              <w:t>Zařízení pro děti vyžadující okamžitou pomoc</w:t>
            </w:r>
          </w:p>
        </w:tc>
      </w:tr>
    </w:tbl>
    <w:p w14:paraId="104D854E" w14:textId="77777777" w:rsidR="00D46E0F" w:rsidRDefault="00D46E0F" w:rsidP="00AF3A3F">
      <w:pPr>
        <w:jc w:val="left"/>
      </w:pPr>
    </w:p>
    <w:p w14:paraId="08FFC05B" w14:textId="77777777" w:rsidR="00D46E0F" w:rsidRDefault="00D46E0F">
      <w:pPr>
        <w:jc w:val="left"/>
        <w:rPr>
          <w:rFonts w:eastAsiaTheme="minorEastAsia"/>
          <w:b/>
          <w:sz w:val="22"/>
          <w:lang w:eastAsia="cs-CZ"/>
        </w:rPr>
      </w:pPr>
      <w:r>
        <w:rPr>
          <w:b/>
        </w:rPr>
        <w:br w:type="page"/>
      </w:r>
    </w:p>
    <w:p w14:paraId="56830D51" w14:textId="77777777" w:rsidR="00D46E0F" w:rsidRPr="00E54C8D" w:rsidRDefault="00D46E0F">
      <w:pPr>
        <w:pStyle w:val="Bezmezer"/>
        <w:spacing w:after="240"/>
        <w:ind w:left="1418" w:hanging="1418"/>
        <w:jc w:val="right"/>
        <w:rPr>
          <w:b/>
          <w:sz w:val="24"/>
          <w:szCs w:val="24"/>
        </w:rPr>
      </w:pPr>
      <w:r w:rsidRPr="00E54C8D">
        <w:rPr>
          <w:b/>
          <w:sz w:val="24"/>
          <w:szCs w:val="24"/>
        </w:rPr>
        <w:t>Příloha č. 1</w:t>
      </w:r>
    </w:p>
    <w:p w14:paraId="7CA2C758" w14:textId="77777777" w:rsidR="00D46E0F" w:rsidRDefault="00D46E0F">
      <w:pPr>
        <w:pStyle w:val="Bezmezer"/>
        <w:spacing w:after="240"/>
        <w:ind w:left="1418" w:hanging="1418"/>
      </w:pPr>
    </w:p>
    <w:p w14:paraId="0BC682E4" w14:textId="77777777" w:rsidR="00D46E0F" w:rsidRPr="007358B9" w:rsidRDefault="00D46E0F" w:rsidP="00A57482">
      <w:pPr>
        <w:spacing w:before="120" w:after="360"/>
        <w:jc w:val="center"/>
        <w:rPr>
          <w:b/>
        </w:rPr>
      </w:pPr>
      <w:r w:rsidRPr="007358B9">
        <w:rPr>
          <w:b/>
        </w:rPr>
        <w:t xml:space="preserve">Interaktivní zobrazení dat </w:t>
      </w:r>
      <w:r>
        <w:rPr>
          <w:b/>
        </w:rPr>
        <w:t>a výsledky dotazníkového šetření NKÚ</w:t>
      </w:r>
    </w:p>
    <w:p w14:paraId="59982B7C" w14:textId="12A3D9F0" w:rsidR="00D46E0F" w:rsidRDefault="00D46E0F" w:rsidP="00A57482">
      <w:pPr>
        <w:spacing w:before="120" w:after="200"/>
        <w:rPr>
          <w:highlight w:val="yellow"/>
        </w:rPr>
      </w:pPr>
      <w:bookmarkStart w:id="49" w:name="_Hlk180403536"/>
      <w:r>
        <w:t xml:space="preserve">V příloze jsou zobrazena statistická data o ústavní a pěstounské péči za MPSV, MŠMT a MZd </w:t>
      </w:r>
      <w:r w:rsidR="00820DD6">
        <w:t xml:space="preserve">pro </w:t>
      </w:r>
      <w:r>
        <w:t>období let 2015–2023, a to jak za jednotlivé kraje, tak celou ČR.</w:t>
      </w:r>
    </w:p>
    <w:p w14:paraId="3DC918E7" w14:textId="32EC9A57" w:rsidR="00D46E0F" w:rsidRDefault="00D46E0F" w:rsidP="00A57482">
      <w:pPr>
        <w:spacing w:before="120" w:after="200"/>
      </w:pPr>
      <w:r>
        <w:t>Součástí přílohy jsou také výsledky dotazníkového šetření, které NKÚ v rámci kontrolní akce č.</w:t>
      </w:r>
      <w:r w:rsidR="00BA722E">
        <w:t> </w:t>
      </w:r>
      <w:r>
        <w:t>23/11 provedl. Jeho ú</w:t>
      </w:r>
      <w:r>
        <w:rPr>
          <w:rFonts w:ascii="CIDFont+F1" w:hAnsi="CIDFont+F1" w:cs="CIDFont+F1"/>
          <w:szCs w:val="24"/>
        </w:rPr>
        <w:t xml:space="preserve">čelem bylo získat doplňující informace </w:t>
      </w:r>
      <w:r w:rsidRPr="00F638C5">
        <w:t xml:space="preserve">zejména </w:t>
      </w:r>
      <w:r>
        <w:t xml:space="preserve">k </w:t>
      </w:r>
      <w:r w:rsidRPr="00F638C5">
        <w:t>výkon</w:t>
      </w:r>
      <w:r>
        <w:t>u</w:t>
      </w:r>
      <w:r w:rsidRPr="00F638C5">
        <w:t xml:space="preserve"> činnosti OSPOD</w:t>
      </w:r>
      <w:r>
        <w:t xml:space="preserve">, </w:t>
      </w:r>
      <w:r w:rsidRPr="00F638C5">
        <w:t>skutečné</w:t>
      </w:r>
      <w:r>
        <w:t>mu</w:t>
      </w:r>
      <w:r w:rsidRPr="00F638C5">
        <w:t xml:space="preserve"> využití výstupů z</w:t>
      </w:r>
      <w:r>
        <w:t> </w:t>
      </w:r>
      <w:r w:rsidRPr="00F638C5">
        <w:t>realizovaných projektů MPSV</w:t>
      </w:r>
      <w:r>
        <w:t xml:space="preserve"> a zajištění informační podpory.</w:t>
      </w:r>
    </w:p>
    <w:p w14:paraId="66CD1C20" w14:textId="39E9C064" w:rsidR="00D46E0F" w:rsidRDefault="00820DD6" w:rsidP="00A57482">
      <w:pPr>
        <w:tabs>
          <w:tab w:val="left" w:pos="5387"/>
        </w:tabs>
        <w:spacing w:before="120" w:after="200"/>
      </w:pPr>
      <w:r>
        <w:t xml:space="preserve">NKÚ prostřednictvím datové schránky oslovil 227 OSPOD na úrovni ORP. </w:t>
      </w:r>
      <w:r w:rsidR="00D46E0F">
        <w:t>Dotazník vyplnilo celkem 182 vedoucích OSPOD a návratnost tak činila 80,2 %. Část dotazníku vyplňovali i ostatní pracovníci OSPOD. Celkem dotazník vyplnilo 671 respondentů, z</w:t>
      </w:r>
      <w:r>
        <w:t xml:space="preserve"> </w:t>
      </w:r>
      <w:r w:rsidR="00D46E0F">
        <w:t>to</w:t>
      </w:r>
      <w:r w:rsidR="001547ED">
        <w:t>ho</w:t>
      </w:r>
      <w:r w:rsidR="00D46E0F">
        <w:t xml:space="preserve"> 515 respondentů se zabývalo umísťováním dětí do náhradní rodinné péče.</w:t>
      </w:r>
    </w:p>
    <w:p w14:paraId="65BCD908" w14:textId="77777777" w:rsidR="00D46E0F" w:rsidRDefault="00D46E0F" w:rsidP="00A57482">
      <w:pPr>
        <w:spacing w:before="120" w:after="200"/>
      </w:pPr>
      <w:r>
        <w:t>Dotazník obsahoval uzavřené i otevřené otázky.</w:t>
      </w:r>
    </w:p>
    <w:p w14:paraId="18DEE6D8" w14:textId="45014CDB" w:rsidR="00D46E0F" w:rsidRDefault="00D46E0F" w:rsidP="00A57482">
      <w:pPr>
        <w:spacing w:before="120" w:after="200"/>
      </w:pPr>
      <w:r>
        <w:t xml:space="preserve">Dotazníkové šetření probíhalo v období od </w:t>
      </w:r>
      <w:r w:rsidRPr="004A6905">
        <w:t xml:space="preserve">27. </w:t>
      </w:r>
      <w:r>
        <w:t>března 202</w:t>
      </w:r>
      <w:r w:rsidR="00DE17B1">
        <w:t>4</w:t>
      </w:r>
      <w:r>
        <w:t xml:space="preserve"> do</w:t>
      </w:r>
      <w:r w:rsidRPr="004A6905">
        <w:t xml:space="preserve"> 18. </w:t>
      </w:r>
      <w:r>
        <w:t>dubna</w:t>
      </w:r>
      <w:r w:rsidRPr="004A6905">
        <w:t xml:space="preserve"> 2024</w:t>
      </w:r>
      <w:r>
        <w:t>.</w:t>
      </w:r>
    </w:p>
    <w:bookmarkEnd w:id="49"/>
    <w:p w14:paraId="5CB2EF67" w14:textId="77777777" w:rsidR="00D46E0F" w:rsidRDefault="00D46E0F" w:rsidP="00A57482">
      <w:pPr>
        <w:spacing w:before="120" w:after="200"/>
      </w:pPr>
      <w:r>
        <w:t xml:space="preserve">Interaktivní zobrazení dat a výsledky dotazníkového šetření jsou dostupné na tomto odkazu </w:t>
      </w:r>
      <w:hyperlink r:id="rId25" w:history="1">
        <w:r>
          <w:rPr>
            <w:rStyle w:val="Hypertextovodkaz"/>
          </w:rPr>
          <w:t>https://www.nku.cz/scripts/detail.php?id=14313</w:t>
        </w:r>
      </w:hyperlink>
      <w:r w:rsidRPr="001F42D9">
        <w:rPr>
          <w:rStyle w:val="Hypertextovodkaz"/>
          <w:color w:val="000000" w:themeColor="text1"/>
          <w:u w:val="none"/>
        </w:rPr>
        <w:t xml:space="preserve"> </w:t>
      </w:r>
      <w:r>
        <w:t>neb</w:t>
      </w:r>
      <w:r w:rsidRPr="00B34441">
        <w:t>o prostřednictvím následujícího QR kódu:</w:t>
      </w:r>
    </w:p>
    <w:p w14:paraId="57972A1E" w14:textId="77777777" w:rsidR="00D46E0F" w:rsidRDefault="00D46E0F">
      <w:r>
        <w:rPr>
          <w:noProof/>
        </w:rPr>
        <w:drawing>
          <wp:inline distT="0" distB="0" distL="0" distR="0" wp14:anchorId="5EC04E66" wp14:editId="2D76232C">
            <wp:extent cx="858033" cy="858033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73" cy="86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38AA" w14:textId="77777777" w:rsidR="00D46E0F" w:rsidRPr="00D46E0F" w:rsidRDefault="00D46E0F">
      <w:pPr>
        <w:rPr>
          <w:lang w:eastAsia="cs-CZ"/>
        </w:rPr>
      </w:pPr>
      <w:bookmarkStart w:id="50" w:name="_GoBack"/>
      <w:bookmarkEnd w:id="50"/>
    </w:p>
    <w:sectPr w:rsidR="00D46E0F" w:rsidRPr="00D46E0F" w:rsidSect="00284A2A">
      <w:footerReference w:type="default" r:id="rId2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4BA6AE" w16cex:dateUtc="2024-11-30T17:58:00Z"/>
  <w16cex:commentExtensible w16cex:durableId="421FA31D" w16cex:dateUtc="2024-11-30T09:58:00Z"/>
  <w16cex:commentExtensible w16cex:durableId="632D82C1" w16cex:dateUtc="2024-11-30T10:00:00Z"/>
  <w16cex:commentExtensible w16cex:durableId="4BEC2910" w16cex:dateUtc="2024-11-30T10:14:00Z"/>
  <w16cex:commentExtensible w16cex:durableId="1294C282" w16cex:dateUtc="2024-11-30T10:16:00Z"/>
  <w16cex:commentExtensible w16cex:durableId="4751DFFE" w16cex:dateUtc="2024-11-30T11:00:00Z"/>
  <w16cex:commentExtensible w16cex:durableId="4441D622" w16cex:dateUtc="2024-11-30T11:47:00Z"/>
  <w16cex:commentExtensible w16cex:durableId="36C2BA2C" w16cex:dateUtc="2024-11-30T13:40:00Z"/>
  <w16cex:commentExtensible w16cex:durableId="188E1C3C" w16cex:dateUtc="2024-11-30T13:45:00Z"/>
  <w16cex:commentExtensible w16cex:durableId="775D1B3E" w16cex:dateUtc="2024-11-30T14:20:00Z"/>
  <w16cex:commentExtensible w16cex:durableId="0CA1AA0A" w16cex:dateUtc="2024-11-30T14:34:00Z"/>
  <w16cex:commentExtensible w16cex:durableId="14A4CC18" w16cex:dateUtc="2024-11-30T14:38:00Z"/>
  <w16cex:commentExtensible w16cex:durableId="05CDFC3D" w16cex:dateUtc="2024-11-29T16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8A4AE" w14:textId="77777777" w:rsidR="007B5389" w:rsidRDefault="007B5389" w:rsidP="004A2415">
      <w:pPr>
        <w:spacing w:after="0" w:line="240" w:lineRule="auto"/>
      </w:pPr>
      <w:r>
        <w:separator/>
      </w:r>
    </w:p>
  </w:endnote>
  <w:endnote w:type="continuationSeparator" w:id="0">
    <w:p w14:paraId="0AA86E97" w14:textId="77777777" w:rsidR="007B5389" w:rsidRDefault="007B5389" w:rsidP="004A2415">
      <w:pPr>
        <w:spacing w:after="0" w:line="240" w:lineRule="auto"/>
      </w:pPr>
      <w:r>
        <w:continuationSeparator/>
      </w:r>
    </w:p>
  </w:endnote>
  <w:endnote w:type="continuationNotice" w:id="1">
    <w:p w14:paraId="7E8AF42B" w14:textId="77777777" w:rsidR="007B5389" w:rsidRDefault="007B5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28238"/>
      <w:docPartObj>
        <w:docPartGallery w:val="Page Numbers (Bottom of Page)"/>
        <w:docPartUnique/>
      </w:docPartObj>
    </w:sdtPr>
    <w:sdtEndPr/>
    <w:sdtContent>
      <w:p w14:paraId="05E7D4A3" w14:textId="70DCAB83" w:rsidR="007B5389" w:rsidRDefault="007B5389" w:rsidP="002D0D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49DD4" w14:textId="77777777" w:rsidR="007B5389" w:rsidRDefault="007B5389" w:rsidP="004A2415">
      <w:pPr>
        <w:spacing w:after="0" w:line="240" w:lineRule="auto"/>
      </w:pPr>
      <w:r>
        <w:separator/>
      </w:r>
    </w:p>
  </w:footnote>
  <w:footnote w:type="continuationSeparator" w:id="0">
    <w:p w14:paraId="2A63E9B5" w14:textId="77777777" w:rsidR="007B5389" w:rsidRDefault="007B5389" w:rsidP="004A2415">
      <w:pPr>
        <w:spacing w:after="0" w:line="240" w:lineRule="auto"/>
      </w:pPr>
      <w:r>
        <w:continuationSeparator/>
      </w:r>
    </w:p>
  </w:footnote>
  <w:footnote w:type="continuationNotice" w:id="1">
    <w:p w14:paraId="45A971D8" w14:textId="77777777" w:rsidR="007B5389" w:rsidRDefault="007B5389">
      <w:pPr>
        <w:spacing w:after="0" w:line="240" w:lineRule="auto"/>
      </w:pPr>
    </w:p>
  </w:footnote>
  <w:footnote w:id="2">
    <w:p w14:paraId="4E09BD9F" w14:textId="09558BD2" w:rsidR="007B5389" w:rsidRPr="001F42D9" w:rsidRDefault="007B5389" w:rsidP="00ED669C">
      <w:pPr>
        <w:pStyle w:val="Textpoznpodarou"/>
        <w:ind w:left="284" w:hanging="284"/>
        <w:rPr>
          <w:rFonts w:ascii="Calibri" w:hAnsi="Calibri" w:cs="Calibri"/>
        </w:rPr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</w:r>
      <w:r w:rsidRPr="001F42D9">
        <w:rPr>
          <w:rFonts w:ascii="Calibri" w:hAnsi="Calibri" w:cs="Calibri"/>
        </w:rPr>
        <w:t>Jedná se o děti, jejichž rodiče z vážných objektivních nebo subjektivních důvodů neplní nebo nedostatečně plní povinnosti plynoucí z rodičovské zodpovědnosti, popřípadě o děti v péči jiných osob, které jsou odpovědné za výchovu dítěte a neplní povinnosti vyplývající ze svěření dítěte do jejich péče. Dále jsou to děti, na kterých byl spáchán závažný trestný čin</w:t>
      </w:r>
      <w:r>
        <w:rPr>
          <w:rFonts w:ascii="Calibri" w:hAnsi="Calibri" w:cs="Calibri"/>
        </w:rPr>
        <w:t>,</w:t>
      </w:r>
      <w:r w:rsidRPr="001F42D9">
        <w:rPr>
          <w:rFonts w:ascii="Calibri" w:hAnsi="Calibri" w:cs="Calibri"/>
        </w:rPr>
        <w:t xml:space="preserve"> anebo děti, které vzhledem ke svému jednání nebo chování </w:t>
      </w:r>
      <w:r w:rsidRPr="007001E9">
        <w:rPr>
          <w:rFonts w:ascii="Calibri" w:hAnsi="Calibri" w:cs="Calibri"/>
        </w:rPr>
        <w:t>vyžadují</w:t>
      </w:r>
      <w:r>
        <w:rPr>
          <w:rFonts w:ascii="Calibri" w:hAnsi="Calibri" w:cs="Calibri"/>
        </w:rPr>
        <w:t xml:space="preserve"> </w:t>
      </w:r>
      <w:r w:rsidRPr="001F42D9">
        <w:rPr>
          <w:rFonts w:ascii="Calibri" w:hAnsi="Calibri" w:cs="Calibri"/>
        </w:rPr>
        <w:t xml:space="preserve">zvýšenou ochranu a pomoc. </w:t>
      </w:r>
    </w:p>
  </w:footnote>
  <w:footnote w:id="3">
    <w:p w14:paraId="12BD2B70" w14:textId="6C996EE3" w:rsidR="007B5389" w:rsidRPr="00ED669C" w:rsidRDefault="007B5389" w:rsidP="001F42D9">
      <w:pPr>
        <w:pStyle w:val="Textpoznpodarou"/>
        <w:tabs>
          <w:tab w:val="left" w:pos="6663"/>
        </w:tabs>
        <w:ind w:left="284" w:hanging="284"/>
      </w:pPr>
      <w:r w:rsidRPr="001F42D9">
        <w:rPr>
          <w:rStyle w:val="Znakapoznpodarou"/>
          <w:rFonts w:eastAsiaTheme="majorEastAsia"/>
          <w:sz w:val="20"/>
        </w:rPr>
        <w:footnoteRef/>
      </w:r>
      <w:r w:rsidRPr="00AF3A3F">
        <w:t xml:space="preserve"> </w:t>
      </w:r>
      <w:r w:rsidRPr="00AF3A3F">
        <w:tab/>
      </w:r>
      <w:r w:rsidRPr="00ED669C">
        <w:t>Ustanovení § 53a odst. 1 písm. b) a c) zákona č. 359/1999 Sb., o sociálně-právní ochraně dětí (dále také „zákon o SPOD“).</w:t>
      </w:r>
    </w:p>
  </w:footnote>
  <w:footnote w:id="4">
    <w:p w14:paraId="1AC039D9" w14:textId="506975B2" w:rsidR="007B5389" w:rsidRDefault="007B5389" w:rsidP="001F42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ČR</w:t>
      </w:r>
      <w:r w:rsidRPr="001E675C">
        <w:t xml:space="preserve"> k Úmluvě přistoupila</w:t>
      </w:r>
      <w:r w:rsidRPr="004F27C6">
        <w:t xml:space="preserve"> dne 30. 9. 1990.</w:t>
      </w:r>
    </w:p>
  </w:footnote>
  <w:footnote w:id="5">
    <w:p w14:paraId="08B400D5" w14:textId="3BA8789F" w:rsidR="007B5389" w:rsidRDefault="007B5389" w:rsidP="001F42D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Úkol i termín vycházejí z dokumentu </w:t>
      </w:r>
      <w:r w:rsidRPr="001F42D9">
        <w:rPr>
          <w:i/>
          <w:iCs/>
        </w:rPr>
        <w:t>Národní strategie ochrany práv dětí</w:t>
      </w:r>
      <w:r>
        <w:t xml:space="preserve">, </w:t>
      </w:r>
      <w:r w:rsidRPr="000C1E4B">
        <w:t>dílčí</w:t>
      </w:r>
      <w:r>
        <w:t xml:space="preserve"> </w:t>
      </w:r>
      <w:r w:rsidRPr="000C1E4B">
        <w:t>cíl č. 13</w:t>
      </w:r>
      <w:r>
        <w:t>.</w:t>
      </w:r>
    </w:p>
  </w:footnote>
  <w:footnote w:id="6">
    <w:p w14:paraId="757D3DDD" w14:textId="49284C92" w:rsidR="007B5389" w:rsidRPr="00605B67" w:rsidRDefault="007B5389" w:rsidP="001F42D9">
      <w:pPr>
        <w:pStyle w:val="Textpoznpodarou"/>
        <w:ind w:left="284" w:hanging="284"/>
      </w:pPr>
      <w:r w:rsidRPr="001F42D9">
        <w:rPr>
          <w:rStyle w:val="Znakapoznpodarou"/>
          <w:rFonts w:eastAsiaTheme="majorEastAsia"/>
          <w:sz w:val="20"/>
        </w:rPr>
        <w:footnoteRef/>
      </w:r>
      <w:r w:rsidRPr="00AF3A3F">
        <w:t xml:space="preserve"> </w:t>
      </w:r>
      <w:r w:rsidRPr="00AF3A3F">
        <w:tab/>
      </w:r>
      <w:r w:rsidRPr="0027474C">
        <w:t xml:space="preserve">Usnesení vlády České republiky ze dne 23. listopadu 2016 č. 1033, </w:t>
      </w:r>
      <w:r w:rsidRPr="0027474C">
        <w:rPr>
          <w:i/>
        </w:rPr>
        <w:t xml:space="preserve">k podnětu Rady vlády České republiky pro lidská práva ke sjednocení služeb pro ohrožené děti a k úpravě podmínek pro poskytování pobytových služeb těmto dětem </w:t>
      </w:r>
      <w:r w:rsidRPr="0027474C">
        <w:t>(dále také „UV 1033/2016</w:t>
      </w:r>
      <w:r>
        <w:t>“</w:t>
      </w:r>
      <w:r w:rsidRPr="00AF3A3F">
        <w:t>)</w:t>
      </w:r>
      <w:r w:rsidRPr="0027474C">
        <w:t>.</w:t>
      </w:r>
    </w:p>
  </w:footnote>
  <w:footnote w:id="7">
    <w:p w14:paraId="60BB3581" w14:textId="711B4CD1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rFonts w:eastAsiaTheme="majorEastAsia"/>
          <w:sz w:val="20"/>
        </w:rPr>
        <w:footnoteRef/>
      </w:r>
      <w:r w:rsidRPr="00AF3A3F">
        <w:t xml:space="preserve"> </w:t>
      </w:r>
      <w:r w:rsidRPr="00AF3A3F">
        <w:tab/>
      </w:r>
      <w:r w:rsidRPr="0027474C">
        <w:t>Ustanovení § 21, § 22 a § 24 zákona České národní rady č. 2/1969 Sb., o zřízení ministerstev a jiných ústředních orgánů státní správy České republiky (dále také „kompetenční zákon“).</w:t>
      </w:r>
    </w:p>
  </w:footnote>
  <w:footnote w:id="8">
    <w:p w14:paraId="09007733" w14:textId="3F5EF3D3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rFonts w:eastAsiaTheme="majorEastAsia"/>
          <w:sz w:val="20"/>
        </w:rPr>
        <w:footnoteRef/>
      </w:r>
      <w:r w:rsidRPr="00AF3A3F">
        <w:t xml:space="preserve"> </w:t>
      </w:r>
      <w:r w:rsidRPr="00AF3A3F">
        <w:tab/>
      </w:r>
      <w:r w:rsidRPr="0027474C">
        <w:t>Ustanovení § 53a odst. 1 písm. b) a c) zákona o SPOD.</w:t>
      </w:r>
    </w:p>
  </w:footnote>
  <w:footnote w:id="9">
    <w:p w14:paraId="4D4DA83E" w14:textId="38BCAFE8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</w:r>
      <w:r w:rsidRPr="0027474C">
        <w:t>Částka zahrnuje mj. náklady na tvorbu sdílených tabulek, analýzu způsobu evidencí, standard evidence, manuál pro uživatele a pomoc členů projektového týmu poskytnutou jednotlivým úřadům při úvodním vkládání dat.</w:t>
      </w:r>
    </w:p>
  </w:footnote>
  <w:footnote w:id="10">
    <w:p w14:paraId="18131F34" w14:textId="2A0E4A97" w:rsidR="007B5389" w:rsidRPr="00AF3A3F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Schválen usnesení</w:t>
      </w:r>
      <w:r w:rsidRPr="0027474C">
        <w:t xml:space="preserve">m vlády České republiky ze dne 19. ledna 2009 č. 76, </w:t>
      </w:r>
      <w:r w:rsidRPr="0027474C">
        <w:rPr>
          <w:i/>
        </w:rPr>
        <w:t>k Návrhu opatření k transformaci a</w:t>
      </w:r>
      <w:r>
        <w:rPr>
          <w:i/>
        </w:rPr>
        <w:t> </w:t>
      </w:r>
      <w:r w:rsidRPr="00AF3A3F">
        <w:rPr>
          <w:i/>
        </w:rPr>
        <w:t>sjednocení systému péče o ohrožené děti – základní principy.</w:t>
      </w:r>
    </w:p>
  </w:footnote>
  <w:footnote w:id="11">
    <w:p w14:paraId="4CA77F14" w14:textId="194F9791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Schválen usnesení</w:t>
      </w:r>
      <w:r w:rsidRPr="0027474C">
        <w:t xml:space="preserve">m vlády České republiky ze dne 13. července 2009 č. 883, </w:t>
      </w:r>
      <w:r w:rsidRPr="0027474C">
        <w:rPr>
          <w:i/>
        </w:rPr>
        <w:t>o Národním akčním plánu k transformaci a sjednocení systému péče o ohrožené děti na období 2009–2011.</w:t>
      </w:r>
    </w:p>
  </w:footnote>
  <w:footnote w:id="12">
    <w:p w14:paraId="6DF3984B" w14:textId="02FE0A78" w:rsidR="007B5389" w:rsidRPr="00AF3A3F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Jedná se o původní znění cílů, které byly ve strategických materiálech za posledních 16 let různě modifikovány, </w:t>
      </w:r>
      <w:r>
        <w:t>avšak</w:t>
      </w:r>
      <w:r w:rsidRPr="00AF3A3F">
        <w:t xml:space="preserve"> význam těchto cílů se nezměnil: zvýšení kvality práce, sjednocení služeb a systému a</w:t>
      </w:r>
      <w:r>
        <w:t> </w:t>
      </w:r>
      <w:r w:rsidRPr="00AF3A3F">
        <w:t>snížení počtu dětí v ústavních zařízení</w:t>
      </w:r>
      <w:r>
        <w:t>ch</w:t>
      </w:r>
      <w:r w:rsidRPr="00AF3A3F">
        <w:t xml:space="preserve">. </w:t>
      </w:r>
    </w:p>
  </w:footnote>
  <w:footnote w:id="13">
    <w:p w14:paraId="2ECFC465" w14:textId="1F31B0BF" w:rsidR="007B5389" w:rsidRDefault="007B5389" w:rsidP="001F42D9">
      <w:pPr>
        <w:pStyle w:val="Textpoznpodarou"/>
        <w:ind w:left="284" w:hanging="284"/>
      </w:pPr>
      <w:r w:rsidRPr="001F42D9">
        <w:rPr>
          <w:rStyle w:val="Znakapoznpodarou"/>
          <w:rFonts w:eastAsiaTheme="majorEastAsia"/>
          <w:sz w:val="20"/>
        </w:rPr>
        <w:footnoteRef/>
      </w:r>
      <w:r w:rsidRPr="00AF3A3F">
        <w:t xml:space="preserve"> </w:t>
      </w:r>
      <w:r>
        <w:tab/>
      </w:r>
      <w:r w:rsidRPr="00AF3A3F">
        <w:t>Nesoutěžní projekty si vzájemně nekonkurují a po splnění podmínek přizná řídicí orgán žadatelům podporu podle pořadí</w:t>
      </w:r>
      <w:r>
        <w:t>,</w:t>
      </w:r>
      <w:r w:rsidRPr="00AF3A3F">
        <w:t xml:space="preserve"> v jakém podali žádost o podporu. Naopak soutěžní projekty se realizují v otevřených výzvách. Jsou</w:t>
      </w:r>
      <w:r w:rsidRPr="00530BD4">
        <w:t xml:space="preserve"> nastaveny </w:t>
      </w:r>
      <w:r>
        <w:t>tak</w:t>
      </w:r>
      <w:r w:rsidRPr="00530BD4">
        <w:t xml:space="preserve">, </w:t>
      </w:r>
      <w:r>
        <w:t>že</w:t>
      </w:r>
      <w:r w:rsidRPr="00530BD4">
        <w:t xml:space="preserve"> oprávněnými žadateli o</w:t>
      </w:r>
      <w:r>
        <w:t> </w:t>
      </w:r>
      <w:r w:rsidRPr="00530BD4">
        <w:t xml:space="preserve">podporu jsou vymezené skupiny subjektů (zpravidla </w:t>
      </w:r>
      <w:r>
        <w:t>tedy nejde o</w:t>
      </w:r>
      <w:r w:rsidRPr="00530BD4">
        <w:t xml:space="preserve"> konkrétní instituce) a žadatelé o podporu spolu soutěží o alokaci výzvy – pokud je zájem o výzvu takový, že požadované prostředky převyšují alokaci výzvy.</w:t>
      </w:r>
    </w:p>
  </w:footnote>
  <w:footnote w:id="14">
    <w:p w14:paraId="357DD82F" w14:textId="277040E3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Schválen</w:t>
      </w:r>
      <w:r w:rsidRPr="0027474C">
        <w:t xml:space="preserve">a usnesením vlády České republiky ze dne 4. ledna 2012 č. 4, </w:t>
      </w:r>
      <w:r w:rsidRPr="0027474C">
        <w:rPr>
          <w:i/>
        </w:rPr>
        <w:t xml:space="preserve">o Národní strategii ochrany práv dětí </w:t>
      </w:r>
      <w:r w:rsidRPr="0027474C">
        <w:t>(dále také „UV 4/2012“).</w:t>
      </w:r>
    </w:p>
  </w:footnote>
  <w:footnote w:id="15">
    <w:p w14:paraId="6BF34464" w14:textId="1E91E9A9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</w:t>
      </w:r>
      <w:r w:rsidRPr="0027474C">
        <w:t xml:space="preserve">en usnesením vlády České republiky ze dne 11. dubna 2012 č. 258, </w:t>
      </w:r>
      <w:r w:rsidRPr="0027474C">
        <w:rPr>
          <w:i/>
        </w:rPr>
        <w:t>k Akčnímu plánu k naplnění Národní strategie ochrany práv dětí na období 2012–2015.</w:t>
      </w:r>
    </w:p>
  </w:footnote>
  <w:footnote w:id="16">
    <w:p w14:paraId="5FFDC22C" w14:textId="5EBDBF20" w:rsidR="007B5389" w:rsidRPr="001F42D9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</w:t>
      </w:r>
      <w:r w:rsidRPr="0027474C">
        <w:t xml:space="preserve">ena usnesením vlády České republiky ze dne 14. prosince 2020 č. 1323, </w:t>
      </w:r>
      <w:r w:rsidRPr="0027474C">
        <w:rPr>
          <w:i/>
        </w:rPr>
        <w:t>o Národní strategii ochrany práv dětí 2021–2029.</w:t>
      </w:r>
    </w:p>
  </w:footnote>
  <w:footnote w:id="17">
    <w:p w14:paraId="6A79A957" w14:textId="305A1A73" w:rsidR="007B5389" w:rsidRPr="001F42D9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</w:t>
      </w:r>
      <w:r w:rsidRPr="0027474C">
        <w:t xml:space="preserve">en usnesením vlády České republiky ze dne 26. července 2021 č. 686, </w:t>
      </w:r>
      <w:r w:rsidRPr="0027474C">
        <w:rPr>
          <w:i/>
        </w:rPr>
        <w:t xml:space="preserve">o I. Akčním plánu k naplnění Národní strategie ochrany práv dětí 2021–2029 na období 2021–2024 </w:t>
      </w:r>
      <w:r w:rsidRPr="0027474C">
        <w:t>(dále také „UV 686/2021“).</w:t>
      </w:r>
    </w:p>
  </w:footnote>
  <w:footnote w:id="18">
    <w:p w14:paraId="5772ABB1" w14:textId="390F9E1D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Článek 30 </w:t>
      </w:r>
      <w:r>
        <w:t>n</w:t>
      </w:r>
      <w:r w:rsidRPr="00AF3A3F">
        <w:t>ařízení (EU, E</w:t>
      </w:r>
      <w:r>
        <w:t>uratom</w:t>
      </w:r>
      <w:r w:rsidRPr="00AF3A3F">
        <w:t>) č. 966/2012 Evropského parlamentu a Rady ze dne 25. října 2012, kterým se stanoví finanční pravidla o souhrnném ro</w:t>
      </w:r>
      <w:r w:rsidRPr="0027474C">
        <w:t>zpočtu Unie a o zrušení nařízení Rady (ES, Euratom) č. 1605/2002.</w:t>
      </w:r>
    </w:p>
  </w:footnote>
  <w:footnote w:id="19">
    <w:p w14:paraId="13250EBB" w14:textId="27319800" w:rsidR="007B5389" w:rsidRPr="001F42D9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Schválen usnesení vlády Č</w:t>
      </w:r>
      <w:r w:rsidRPr="0027474C">
        <w:t>eské republiky ze dne 20. listopadu 2013 č. 873</w:t>
      </w:r>
      <w:r w:rsidRPr="0027474C">
        <w:rPr>
          <w:i/>
        </w:rPr>
        <w:t>, k Metodickému pokynu pro řízení výzev, hodnocení a výběr projektů v programovém období 2014</w:t>
      </w:r>
      <w:r>
        <w:rPr>
          <w:i/>
        </w:rPr>
        <w:t>–</w:t>
      </w:r>
      <w:r w:rsidRPr="0027474C">
        <w:rPr>
          <w:i/>
        </w:rPr>
        <w:t>2020.</w:t>
      </w:r>
    </w:p>
  </w:footnote>
  <w:footnote w:id="20">
    <w:p w14:paraId="732076FB" w14:textId="5FD2A476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Dokument </w:t>
      </w:r>
      <w:r w:rsidRPr="0027474C">
        <w:rPr>
          <w:i/>
        </w:rPr>
        <w:t xml:space="preserve">Nová právní úprava ochrany </w:t>
      </w:r>
      <w:r w:rsidRPr="00A45B96">
        <w:rPr>
          <w:i/>
        </w:rPr>
        <w:t>dětí a podpory rodin</w:t>
      </w:r>
      <w:r w:rsidRPr="001F42D9">
        <w:rPr>
          <w:i/>
        </w:rPr>
        <w:t xml:space="preserve"> </w:t>
      </w:r>
      <w:r w:rsidRPr="001F42D9">
        <w:rPr>
          <w:rFonts w:cstheme="minorHAnsi"/>
          <w:i/>
        </w:rPr>
        <w:t>–</w:t>
      </w:r>
      <w:r w:rsidRPr="001F42D9">
        <w:rPr>
          <w:i/>
        </w:rPr>
        <w:t xml:space="preserve"> věcné zásady, verze 2.1</w:t>
      </w:r>
      <w:r>
        <w:rPr>
          <w:iCs/>
        </w:rPr>
        <w:t>;</w:t>
      </w:r>
      <w:r w:rsidRPr="0027474C">
        <w:t xml:space="preserve"> únor 2024.</w:t>
      </w:r>
    </w:p>
  </w:footnote>
  <w:footnote w:id="21">
    <w:p w14:paraId="17995474" w14:textId="2EFC203B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Usnesení vlády České republiky ze dne 14. února 2018 č. 108, </w:t>
      </w:r>
      <w:r w:rsidRPr="00AF3A3F">
        <w:rPr>
          <w:i/>
        </w:rPr>
        <w:t>ke Zprávě o plnění úkolů uložených vládou s</w:t>
      </w:r>
      <w:r w:rsidRPr="0027474C">
        <w:rPr>
          <w:i/>
        </w:rPr>
        <w:t> termínem plnění od 1. listopadu 2017 do 31. prosince 2017.</w:t>
      </w:r>
    </w:p>
  </w:footnote>
  <w:footnote w:id="22">
    <w:p w14:paraId="79EAE135" w14:textId="75EFE777" w:rsidR="007B5389" w:rsidRPr="0027474C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Usnesení vlády České republiky ze dne 28. ledna 2019 č. 71, </w:t>
      </w:r>
      <w:r w:rsidRPr="0027474C">
        <w:rPr>
          <w:i/>
        </w:rPr>
        <w:t>o aktualizaci Metodiky přípravy veřejných strategií.</w:t>
      </w:r>
    </w:p>
  </w:footnote>
  <w:footnote w:id="23">
    <w:p w14:paraId="1EC8FDF6" w14:textId="0F8FC754" w:rsidR="007B5389" w:rsidRPr="00AF3A3F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Související úkoly a termíny byly uloženy UV 4/2012.</w:t>
      </w:r>
    </w:p>
  </w:footnote>
  <w:footnote w:id="24">
    <w:p w14:paraId="281E6EBD" w14:textId="196D375A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Síťování </w:t>
      </w:r>
      <w:r w:rsidRPr="00D8438D">
        <w:t>služeb má v rámci systému SPOD zlepšit a koordinovat práci všech aktérů s biologickou rodinou dítěte. Lokální, krajské i celostátní sítě mají umožnit pružně reagovat na aktuální potřeby rodiny a dítěte, standardizovat práci s informacemi a vymezit management multidisciplinární spolupráce podle potřeb dítěte. Zároveň také</w:t>
      </w:r>
      <w:r w:rsidRPr="001F42D9">
        <w:t xml:space="preserve"> </w:t>
      </w:r>
      <w:r w:rsidRPr="00AF3A3F">
        <w:t>rozdělí a vymezí kompetence jednotlivých odborníků – aktérů, kteří se mají podílet na řešení situace klienta (dítěte, rodiny) v rámci mezioborové spolupráce.</w:t>
      </w:r>
    </w:p>
  </w:footnote>
  <w:footnote w:id="25">
    <w:p w14:paraId="422FFC9B" w14:textId="77B8ECAA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</w:r>
      <w:r w:rsidRPr="00D8438D">
        <w:t>Projekt síťování ORP byl realizován v období od 1. 9. 2017 do 31. 10. 2018 a měl řešit chybějící spolupráci a</w:t>
      </w:r>
      <w:r>
        <w:t> </w:t>
      </w:r>
      <w:r w:rsidRPr="00AF3A3F">
        <w:t>síťování organizací a subjektů. Cílem projektu byla mj. podpora orgánů SPOD a dalších klíčových aktérů v</w:t>
      </w:r>
      <w:r>
        <w:t> </w:t>
      </w:r>
      <w:r w:rsidRPr="00AF3A3F">
        <w:t>oblasti síťování služeb pro ohrožené děti a rodiny.</w:t>
      </w:r>
    </w:p>
  </w:footnote>
  <w:footnote w:id="26">
    <w:p w14:paraId="45FAA35F" w14:textId="58A2ECEC" w:rsidR="007B5389" w:rsidRPr="00192F26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Schválen u</w:t>
      </w:r>
      <w:r w:rsidRPr="00D8438D">
        <w:t>snesením vlády ČR ze dne 20. listopadu 2013 č. 873</w:t>
      </w:r>
      <w:r w:rsidRPr="00D8438D">
        <w:rPr>
          <w:i/>
        </w:rPr>
        <w:t>, k Metodickému pokynu pro řízení výzev, hodnocení a výběr projektů v programovém období 2014</w:t>
      </w:r>
      <w:r>
        <w:rPr>
          <w:rFonts w:cstheme="minorHAnsi"/>
          <w:i/>
        </w:rPr>
        <w:t>–</w:t>
      </w:r>
      <w:r w:rsidRPr="00D8438D">
        <w:rPr>
          <w:i/>
        </w:rPr>
        <w:t>2020.</w:t>
      </w:r>
    </w:p>
  </w:footnote>
  <w:footnote w:id="27">
    <w:p w14:paraId="3B5A3DEB" w14:textId="4008DA9F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Zákon č. 218/2000 Sb., o rozpočtových pravidlech a o změně některých souvisejících zákonů (rozpočtová pravidla)</w:t>
      </w:r>
      <w:r w:rsidRPr="00D8438D">
        <w:t>.</w:t>
      </w:r>
    </w:p>
  </w:footnote>
  <w:footnote w:id="28">
    <w:p w14:paraId="0208E0F7" w14:textId="164ACD2B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  <w:t>Z</w:t>
      </w:r>
      <w:r w:rsidRPr="00D8438D">
        <w:t>ákon č. 242/2024 Sb., kterým se mění zákon č. 359/1999 Sb., o sociálně-právní ochraně dětí, ve znění pozdějších předpisů, a další související zákony.</w:t>
      </w:r>
    </w:p>
  </w:footnote>
  <w:footnote w:id="29">
    <w:p w14:paraId="42CEAF35" w14:textId="1E20833A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</w:r>
      <w:r w:rsidRPr="00D8438D">
        <w:t>Vyhláška č. 473/2012 Sb., o provedení některých ustanovení zákona o sociálně-právní ochraně dětí.</w:t>
      </w:r>
    </w:p>
  </w:footnote>
  <w:footnote w:id="30">
    <w:p w14:paraId="4390E9ED" w14:textId="5554C778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1F42D9">
        <w:rPr>
          <w:iCs/>
        </w:rPr>
        <w:t xml:space="preserve">Tematická zpráva </w:t>
      </w:r>
      <w:r w:rsidRPr="00D8438D">
        <w:rPr>
          <w:i/>
        </w:rPr>
        <w:t xml:space="preserve">Kvalita výchovně-vzdělávací činnosti v zařízeních pro výkon ústavní nebo ochranné výchovy </w:t>
      </w:r>
      <w:r w:rsidRPr="001F42D9">
        <w:rPr>
          <w:iCs/>
        </w:rPr>
        <w:t>z roku 2017</w:t>
      </w:r>
      <w:r w:rsidRPr="00D8438D">
        <w:t xml:space="preserve">, která byla výsledkem šetření České školní inspekce provedeného u 58 ústavních zařízení; </w:t>
      </w:r>
      <w:r w:rsidRPr="001F42D9">
        <w:rPr>
          <w:iCs/>
        </w:rPr>
        <w:t xml:space="preserve">zpráva veřejného ochránce práv </w:t>
      </w:r>
      <w:r>
        <w:rPr>
          <w:i/>
        </w:rPr>
        <w:t>Š</w:t>
      </w:r>
      <w:r w:rsidRPr="00D8438D">
        <w:rPr>
          <w:i/>
        </w:rPr>
        <w:t>kolská zařízení pro výkon ochranné výchovy</w:t>
      </w:r>
      <w:r>
        <w:rPr>
          <w:i/>
        </w:rPr>
        <w:t xml:space="preserve"> </w:t>
      </w:r>
      <w:r>
        <w:rPr>
          <w:rFonts w:cstheme="minorHAnsi"/>
          <w:i/>
        </w:rPr>
        <w:t>–</w:t>
      </w:r>
      <w:r>
        <w:rPr>
          <w:i/>
        </w:rPr>
        <w:t xml:space="preserve"> zpráva z návštěv zařízení 2024</w:t>
      </w:r>
      <w:r w:rsidRPr="00D8438D">
        <w:t>, ISBN</w:t>
      </w:r>
      <w:r>
        <w:t> </w:t>
      </w:r>
      <w:r w:rsidRPr="00AF3A3F">
        <w:t xml:space="preserve">978-80-7631-146-6. </w:t>
      </w:r>
    </w:p>
  </w:footnote>
  <w:footnote w:id="31">
    <w:p w14:paraId="21F5EA84" w14:textId="3075309E" w:rsidR="007B5389" w:rsidRPr="00D8438D" w:rsidRDefault="007B5389" w:rsidP="001F42D9">
      <w:pPr>
        <w:pStyle w:val="Textpoznpodarou"/>
        <w:tabs>
          <w:tab w:val="left" w:pos="5529"/>
        </w:tabs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Vyhláš</w:t>
      </w:r>
      <w:r w:rsidRPr="00D8438D">
        <w:t>ka č. 92/2012 Sb., o požadavcích na minimální technické a věcné vybavení zdravotnických zařízení a</w:t>
      </w:r>
      <w:r>
        <w:t> </w:t>
      </w:r>
      <w:r w:rsidRPr="00AF3A3F">
        <w:t>kontaktních pracovišť domácí péče</w:t>
      </w:r>
      <w:r>
        <w:t>,</w:t>
      </w:r>
      <w:r w:rsidRPr="00AF3A3F">
        <w:t xml:space="preserve"> a vyhláš</w:t>
      </w:r>
      <w:r w:rsidRPr="00D8438D">
        <w:t>ka č. 99/2012 Sb., o požadavcích na minimální personální zabezpečení zdravotních služeb.</w:t>
      </w:r>
    </w:p>
  </w:footnote>
  <w:footnote w:id="32">
    <w:p w14:paraId="723297CD" w14:textId="43F74F69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Podle zprávy </w:t>
      </w:r>
      <w:r w:rsidRPr="00AF3A3F">
        <w:rPr>
          <w:i/>
        </w:rPr>
        <w:t>D</w:t>
      </w:r>
      <w:r w:rsidRPr="00D8438D">
        <w:rPr>
          <w:i/>
        </w:rPr>
        <w:t>ětské domovy pro děti do 3 let věku – Závěrečná zpráva ze zjišťování realizovaného MPSV na jaře 2023</w:t>
      </w:r>
      <w:r w:rsidRPr="00D8438D">
        <w:t xml:space="preserve"> pro 17 z 23 zařízení platilo, že většinu dětí ve službě dětského domova pro děti do 3 let věku </w:t>
      </w:r>
      <w:r>
        <w:t>tvořily</w:t>
      </w:r>
      <w:r w:rsidRPr="00D8438D">
        <w:t xml:space="preserve"> děti ve věku 4 a více let.</w:t>
      </w:r>
    </w:p>
  </w:footnote>
  <w:footnote w:id="33">
    <w:p w14:paraId="15C5A5DE" w14:textId="47E5852C" w:rsidR="007B5389" w:rsidRPr="00AE3215" w:rsidRDefault="007B5389" w:rsidP="00AE3215">
      <w:pPr>
        <w:spacing w:after="0"/>
        <w:ind w:left="284" w:hanging="284"/>
        <w:rPr>
          <w:iCs/>
          <w:sz w:val="20"/>
          <w:szCs w:val="20"/>
        </w:rPr>
      </w:pPr>
      <w:r w:rsidRPr="001F42D9">
        <w:rPr>
          <w:rStyle w:val="Znakapoznpodarou"/>
          <w:sz w:val="20"/>
          <w:szCs w:val="20"/>
        </w:rPr>
        <w:footnoteRef/>
      </w:r>
      <w:r w:rsidRPr="001F42D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F3A3F">
        <w:rPr>
          <w:sz w:val="20"/>
          <w:szCs w:val="20"/>
        </w:rPr>
        <w:t>Výzkumný ústav práce a sociálních věcí, v. v. i.</w:t>
      </w:r>
      <w:r>
        <w:rPr>
          <w:sz w:val="20"/>
          <w:szCs w:val="20"/>
        </w:rPr>
        <w:t>,</w:t>
      </w:r>
      <w:r w:rsidRPr="00D8438D" w:rsidDel="00E07DC2">
        <w:rPr>
          <w:sz w:val="20"/>
          <w:szCs w:val="20"/>
        </w:rPr>
        <w:t xml:space="preserve"> </w:t>
      </w:r>
      <w:r w:rsidRPr="00D8438D">
        <w:rPr>
          <w:sz w:val="20"/>
          <w:szCs w:val="20"/>
        </w:rPr>
        <w:t>založilo MPSV zřizovací listinou ze dne 29. června 2006 mj. za účelem provádět sociálněvědní výzkum prostřednictvím zpracování dat a služby datových archivů.</w:t>
      </w:r>
    </w:p>
  </w:footnote>
  <w:footnote w:id="34">
    <w:p w14:paraId="75FCDB9A" w14:textId="1A1BBCBB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D8438D">
        <w:tab/>
        <w:t>Celková částka za tři analýzy IT podpory SPOD (odst. 4.41) a návrh evidencí (odst. 4.42).</w:t>
      </w:r>
    </w:p>
  </w:footnote>
  <w:footnote w:id="35">
    <w:p w14:paraId="09972E7D" w14:textId="15162A06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D8438D">
        <w:tab/>
        <w:t>Analýzy v projektu SPOD1 a návrh evidencí podle zákona o SPOD.</w:t>
      </w:r>
    </w:p>
  </w:footnote>
  <w:footnote w:id="36">
    <w:p w14:paraId="5A78ED2B" w14:textId="01B8F27D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Do doby ukončení KA 23/11 zajistilo MPSV sdílení údajů </w:t>
      </w:r>
      <w:r w:rsidRPr="00D8438D">
        <w:rPr>
          <w:lang w:eastAsia="cs-CZ"/>
        </w:rPr>
        <w:t>o</w:t>
      </w:r>
      <w:r>
        <w:rPr>
          <w:lang w:eastAsia="cs-CZ"/>
        </w:rPr>
        <w:t xml:space="preserve"> </w:t>
      </w:r>
      <w:r w:rsidRPr="00D8438D">
        <w:rPr>
          <w:lang w:eastAsia="cs-CZ"/>
        </w:rPr>
        <w:t>žadatelích o zprostředkování pěstounské péče a</w:t>
      </w:r>
      <w:r>
        <w:rPr>
          <w:lang w:eastAsia="cs-CZ"/>
        </w:rPr>
        <w:t> </w:t>
      </w:r>
      <w:r w:rsidRPr="00AF3A3F">
        <w:rPr>
          <w:lang w:eastAsia="cs-CZ"/>
        </w:rPr>
        <w:t>o</w:t>
      </w:r>
      <w:r w:rsidRPr="00D8438D">
        <w:rPr>
          <w:lang w:eastAsia="cs-CZ"/>
        </w:rPr>
        <w:t> osobách v této evidenci, tedy jen část vyžadovanou zákon</w:t>
      </w:r>
      <w:r>
        <w:rPr>
          <w:lang w:eastAsia="cs-CZ"/>
        </w:rPr>
        <w:t>em</w:t>
      </w:r>
      <w:r w:rsidRPr="00D8438D">
        <w:rPr>
          <w:lang w:eastAsia="cs-CZ"/>
        </w:rPr>
        <w:t xml:space="preserve"> o SPOD.</w:t>
      </w:r>
    </w:p>
  </w:footnote>
  <w:footnote w:id="37">
    <w:p w14:paraId="6C2F7B50" w14:textId="078EC7D1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Zákon č. 365/2000 Sb., </w:t>
      </w:r>
      <w:r w:rsidRPr="00D8438D">
        <w:t>o informačních systémech veřejné správy a o změně některých dalších zákonů (dále</w:t>
      </w:r>
      <w:r>
        <w:t> </w:t>
      </w:r>
      <w:r w:rsidRPr="00AF3A3F">
        <w:t>také „zákon o ISVS“).</w:t>
      </w:r>
    </w:p>
  </w:footnote>
  <w:footnote w:id="38">
    <w:p w14:paraId="749A8D17" w14:textId="19D700D2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 xml:space="preserve">Vyhláška č. 473/2012 Sb., </w:t>
      </w:r>
      <w:r w:rsidRPr="00D8438D">
        <w:t>o provedení některých ustanovení zákona o sociálně-právní ochraně dětí, bod 12a přílohy č.</w:t>
      </w:r>
      <w:r>
        <w:t> </w:t>
      </w:r>
      <w:r w:rsidRPr="00D8438D">
        <w:t>1.</w:t>
      </w:r>
    </w:p>
  </w:footnote>
  <w:footnote w:id="39">
    <w:p w14:paraId="421271A2" w14:textId="7C62C8DD" w:rsidR="007B5389" w:rsidRPr="00AF3A3F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AF3A3F">
        <w:t>Ustanovení § 52a zákona č. 111/2009 Sb., o základních registrech.</w:t>
      </w:r>
    </w:p>
  </w:footnote>
  <w:footnote w:id="40">
    <w:p w14:paraId="69AC34AC" w14:textId="0B9454FA" w:rsidR="007B5389" w:rsidRPr="00D8438D" w:rsidRDefault="007B5389" w:rsidP="001F42D9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 w:rsidRPr="00AF3A3F">
        <w:tab/>
      </w:r>
      <w:r w:rsidRPr="00D8438D">
        <w:t>Systém vytvořili pouze pracovníci MŠMT. Vzhledem k jejich souběžným pracovním činnostem nemohl NKÚ peněžní prostředky vynaložené na databázi vyčíslit.</w:t>
      </w:r>
    </w:p>
  </w:footnote>
  <w:footnote w:id="41">
    <w:p w14:paraId="096FCBA5" w14:textId="0874A95A" w:rsidR="007B5389" w:rsidRPr="00ED669C" w:rsidRDefault="007B5389" w:rsidP="00ED669C">
      <w:pPr>
        <w:pStyle w:val="Textpoznpodarou"/>
        <w:ind w:left="284" w:hanging="284"/>
      </w:pPr>
      <w:r w:rsidRPr="001F42D9">
        <w:rPr>
          <w:rStyle w:val="Znakapoznpodarou"/>
          <w:sz w:val="20"/>
        </w:rPr>
        <w:footnoteRef/>
      </w:r>
      <w:r w:rsidRPr="00AF3A3F">
        <w:t xml:space="preserve"> </w:t>
      </w:r>
      <w:r>
        <w:tab/>
      </w:r>
      <w:r w:rsidRPr="001F42D9">
        <w:rPr>
          <w:i/>
          <w:iCs/>
        </w:rPr>
        <w:t xml:space="preserve">Dětské domovy pro děti do 3 let věku </w:t>
      </w:r>
      <w:r w:rsidRPr="001F42D9">
        <w:rPr>
          <w:rFonts w:cstheme="minorHAnsi"/>
          <w:i/>
          <w:iCs/>
        </w:rPr>
        <w:t>–</w:t>
      </w:r>
      <w:r w:rsidRPr="001F42D9">
        <w:rPr>
          <w:i/>
          <w:iCs/>
        </w:rPr>
        <w:t xml:space="preserve"> závěrečná zpráva ze zjišťován</w:t>
      </w:r>
      <w:r>
        <w:rPr>
          <w:i/>
          <w:iCs/>
        </w:rPr>
        <w:t>í</w:t>
      </w:r>
      <w:r w:rsidRPr="001F42D9">
        <w:rPr>
          <w:i/>
          <w:iCs/>
        </w:rPr>
        <w:t xml:space="preserve"> realizovaného Ministerstvem práce a sociálních věcí na jaře 2021</w:t>
      </w:r>
      <w:r w:rsidRPr="00ED669C">
        <w:t xml:space="preserve">; </w:t>
      </w:r>
      <w:r w:rsidRPr="001F42D9">
        <w:rPr>
          <w:i/>
          <w:iCs/>
        </w:rPr>
        <w:t xml:space="preserve">Dětské domovy pro děti do 3 let věku </w:t>
      </w:r>
      <w:r w:rsidRPr="001F42D9">
        <w:rPr>
          <w:rFonts w:cstheme="minorHAnsi"/>
          <w:i/>
          <w:iCs/>
        </w:rPr>
        <w:t>–</w:t>
      </w:r>
      <w:r w:rsidRPr="001F42D9">
        <w:rPr>
          <w:i/>
          <w:iCs/>
        </w:rPr>
        <w:t xml:space="preserve"> závěrečná zpráva ze zjišťován</w:t>
      </w:r>
      <w:r>
        <w:rPr>
          <w:i/>
          <w:iCs/>
        </w:rPr>
        <w:t>í</w:t>
      </w:r>
      <w:r w:rsidRPr="001F42D9">
        <w:rPr>
          <w:i/>
          <w:iCs/>
        </w:rPr>
        <w:t xml:space="preserve"> realizovaného Ministerstvem práce a sociálních věcí na jaře 2022</w:t>
      </w:r>
      <w:r w:rsidRPr="00ED669C">
        <w:t xml:space="preserve">; </w:t>
      </w:r>
      <w:r w:rsidRPr="001F42D9">
        <w:rPr>
          <w:i/>
          <w:iCs/>
        </w:rPr>
        <w:t xml:space="preserve">Dětské domovy pro děti do 3 let věku </w:t>
      </w:r>
      <w:r w:rsidRPr="001F42D9">
        <w:rPr>
          <w:rFonts w:cstheme="minorHAnsi"/>
          <w:i/>
          <w:iCs/>
        </w:rPr>
        <w:t>–</w:t>
      </w:r>
      <w:r w:rsidRPr="001F42D9">
        <w:rPr>
          <w:i/>
          <w:iCs/>
        </w:rPr>
        <w:t xml:space="preserve"> závěrečná zpráva ze zjišťován</w:t>
      </w:r>
      <w:r>
        <w:rPr>
          <w:i/>
          <w:iCs/>
        </w:rPr>
        <w:t>í</w:t>
      </w:r>
      <w:r w:rsidRPr="001F42D9">
        <w:rPr>
          <w:i/>
          <w:iCs/>
        </w:rPr>
        <w:t xml:space="preserve"> realizovaného Ministerstvem práce a sociálních věcí na jaře 2023</w:t>
      </w:r>
      <w:r w:rsidRPr="00ED669C">
        <w:t xml:space="preserve">; </w:t>
      </w:r>
      <w:r w:rsidRPr="001F42D9">
        <w:rPr>
          <w:i/>
          <w:iCs/>
        </w:rPr>
        <w:t xml:space="preserve">Dětské domovy pro děti do 3 let věku </w:t>
      </w:r>
      <w:r w:rsidRPr="001F42D9">
        <w:rPr>
          <w:rFonts w:cstheme="minorHAnsi"/>
          <w:i/>
          <w:iCs/>
        </w:rPr>
        <w:t>–</w:t>
      </w:r>
      <w:r w:rsidRPr="001F42D9">
        <w:rPr>
          <w:i/>
          <w:iCs/>
        </w:rPr>
        <w:t xml:space="preserve"> závěrečná zpráva ze sběru dat realizovaného na jaře 2024</w:t>
      </w:r>
      <w:r w:rsidRPr="00ED669C">
        <w:t>. Všechny zprávy MPSV zpracovalo s Nadací J&amp;T v rámci iniciativy „8000důvodů“.</w:t>
      </w:r>
    </w:p>
  </w:footnote>
  <w:footnote w:id="42">
    <w:p w14:paraId="3CC6CFB2" w14:textId="0607A342" w:rsidR="007B5389" w:rsidRPr="00ED669C" w:rsidRDefault="007B5389" w:rsidP="00ED669C">
      <w:pPr>
        <w:spacing w:after="0" w:line="240" w:lineRule="auto"/>
        <w:ind w:left="284" w:hanging="284"/>
        <w:rPr>
          <w:sz w:val="20"/>
          <w:szCs w:val="20"/>
        </w:rPr>
      </w:pPr>
      <w:r w:rsidRPr="001F42D9">
        <w:rPr>
          <w:rStyle w:val="Znakapoznpodarou"/>
          <w:sz w:val="20"/>
          <w:szCs w:val="20"/>
        </w:rPr>
        <w:footnoteRef/>
      </w:r>
      <w:r w:rsidRPr="001F42D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F3A3F">
        <w:rPr>
          <w:sz w:val="20"/>
          <w:szCs w:val="20"/>
        </w:rPr>
        <w:t xml:space="preserve">Zpracování výkazů </w:t>
      </w:r>
      <w:r>
        <w:rPr>
          <w:sz w:val="20"/>
          <w:szCs w:val="20"/>
        </w:rPr>
        <w:t>„</w:t>
      </w:r>
      <w:r w:rsidRPr="00AF3A3F">
        <w:rPr>
          <w:sz w:val="20"/>
          <w:szCs w:val="20"/>
        </w:rPr>
        <w:t xml:space="preserve">V </w:t>
      </w:r>
      <w:r>
        <w:rPr>
          <w:sz w:val="20"/>
          <w:szCs w:val="20"/>
        </w:rPr>
        <w:t>(</w:t>
      </w:r>
      <w:r w:rsidRPr="00AF3A3F">
        <w:rPr>
          <w:sz w:val="20"/>
          <w:szCs w:val="20"/>
        </w:rPr>
        <w:t>MPSV</w:t>
      </w:r>
      <w:r>
        <w:rPr>
          <w:sz w:val="20"/>
          <w:szCs w:val="20"/>
        </w:rPr>
        <w:t>)</w:t>
      </w:r>
      <w:r w:rsidRPr="00AF3A3F">
        <w:rPr>
          <w:sz w:val="20"/>
          <w:szCs w:val="20"/>
        </w:rPr>
        <w:t xml:space="preserve"> 20-01</w:t>
      </w:r>
      <w:r>
        <w:rPr>
          <w:sz w:val="20"/>
          <w:szCs w:val="20"/>
        </w:rPr>
        <w:t>“</w:t>
      </w:r>
      <w:r w:rsidRPr="00AF3A3F">
        <w:rPr>
          <w:sz w:val="20"/>
          <w:szCs w:val="20"/>
        </w:rPr>
        <w:t xml:space="preserve"> </w:t>
      </w:r>
      <w:r>
        <w:rPr>
          <w:sz w:val="20"/>
          <w:szCs w:val="20"/>
        </w:rPr>
        <w:t>s cílem zjistit</w:t>
      </w:r>
      <w:r w:rsidRPr="00AF3A3F">
        <w:rPr>
          <w:sz w:val="20"/>
          <w:szCs w:val="20"/>
        </w:rPr>
        <w:t xml:space="preserve"> poč</w:t>
      </w:r>
      <w:r>
        <w:rPr>
          <w:sz w:val="20"/>
          <w:szCs w:val="20"/>
        </w:rPr>
        <w:t>et</w:t>
      </w:r>
      <w:r w:rsidRPr="00AF3A3F">
        <w:rPr>
          <w:sz w:val="20"/>
          <w:szCs w:val="20"/>
        </w:rPr>
        <w:t xml:space="preserve"> dětí s nařízenou ústavní výchovou ve správních obvodech ORP pro zpracování návrhu sítě SVP (nastavování kapacity)</w:t>
      </w:r>
      <w:r>
        <w:rPr>
          <w:sz w:val="20"/>
          <w:szCs w:val="20"/>
        </w:rPr>
        <w:t>.</w:t>
      </w:r>
      <w:r w:rsidRPr="00ED669C">
        <w:rPr>
          <w:sz w:val="20"/>
          <w:szCs w:val="20"/>
        </w:rPr>
        <w:t xml:space="preserve"> Dotazníkové šetření mezi SVP ve spolupráci s</w:t>
      </w:r>
      <w:r>
        <w:rPr>
          <w:sz w:val="20"/>
          <w:szCs w:val="20"/>
        </w:rPr>
        <w:t> </w:t>
      </w:r>
      <w:r w:rsidRPr="00AF3A3F">
        <w:rPr>
          <w:sz w:val="20"/>
          <w:szCs w:val="20"/>
        </w:rPr>
        <w:t>Nada</w:t>
      </w:r>
      <w:r w:rsidRPr="00ED669C">
        <w:rPr>
          <w:sz w:val="20"/>
          <w:szCs w:val="20"/>
        </w:rPr>
        <w:t>cí J&amp;T (2021) týkající se neuspokojené či pozdě uspokojené poptáv</w:t>
      </w:r>
      <w:r>
        <w:rPr>
          <w:sz w:val="20"/>
          <w:szCs w:val="20"/>
        </w:rPr>
        <w:t>ky</w:t>
      </w:r>
      <w:r w:rsidRPr="00ED669C">
        <w:rPr>
          <w:sz w:val="20"/>
          <w:szCs w:val="20"/>
        </w:rPr>
        <w:t>, hodnocení spolupráce se školami, osvědčen</w:t>
      </w:r>
      <w:r>
        <w:rPr>
          <w:sz w:val="20"/>
          <w:szCs w:val="20"/>
        </w:rPr>
        <w:t>ých</w:t>
      </w:r>
      <w:r w:rsidRPr="00ED669C">
        <w:rPr>
          <w:sz w:val="20"/>
          <w:szCs w:val="20"/>
        </w:rPr>
        <w:t xml:space="preserve"> aktivit a vnímané potřeby navýšení úvazků</w:t>
      </w:r>
      <w:r>
        <w:rPr>
          <w:sz w:val="20"/>
          <w:szCs w:val="20"/>
        </w:rPr>
        <w:t>.</w:t>
      </w:r>
      <w:r w:rsidRPr="00ED669C">
        <w:rPr>
          <w:sz w:val="20"/>
          <w:szCs w:val="20"/>
        </w:rPr>
        <w:t xml:space="preserve"> Šetření mezi krajskými úřady zaměřené na rozložení lůžkové kapacity dětských domovů (přelom 2022/2023) týkající se rozčlenění lůžkových kapacit dětských domovů zřizovaných kraji pro reformu normativního financování dětských domovů zřizovaných kraji a současně s cílem získat data pro metodické vedení krajů</w:t>
      </w:r>
      <w:r>
        <w:rPr>
          <w:sz w:val="20"/>
          <w:szCs w:val="20"/>
        </w:rPr>
        <w:t>.</w:t>
      </w:r>
      <w:r w:rsidRPr="00ED669C">
        <w:rPr>
          <w:sz w:val="20"/>
          <w:szCs w:val="20"/>
        </w:rPr>
        <w:t xml:space="preserve"> Mimořádný průzkum mezi školskými zařízeními pro výkon ústavní výchovy (leden 2023) pro přípravu Koncepce 2014–2020</w:t>
      </w:r>
      <w:r>
        <w:rPr>
          <w:sz w:val="20"/>
          <w:szCs w:val="20"/>
        </w:rPr>
        <w:t>,</w:t>
      </w:r>
      <w:r w:rsidRPr="00ED669C">
        <w:rPr>
          <w:sz w:val="20"/>
          <w:szCs w:val="20"/>
        </w:rPr>
        <w:t xml:space="preserve"> úpravy zákona o ústavní výchově</w:t>
      </w:r>
      <w:r>
        <w:rPr>
          <w:sz w:val="20"/>
          <w:szCs w:val="20"/>
        </w:rPr>
        <w:t>,</w:t>
      </w:r>
      <w:r w:rsidRPr="00ED669C">
        <w:rPr>
          <w:sz w:val="20"/>
          <w:szCs w:val="20"/>
        </w:rPr>
        <w:t xml:space="preserve"> úprav</w:t>
      </w:r>
      <w:r>
        <w:rPr>
          <w:sz w:val="20"/>
          <w:szCs w:val="20"/>
        </w:rPr>
        <w:t>y</w:t>
      </w:r>
      <w:r w:rsidRPr="00ED669C">
        <w:rPr>
          <w:sz w:val="20"/>
          <w:szCs w:val="20"/>
        </w:rPr>
        <w:t xml:space="preserve"> normativního financování dětských domovů, nastavování optimálních kapacit přímo řízených organizací ústavní a ochranné výchovy s různou specializací, nastavování sítě SVP v územích a</w:t>
      </w:r>
      <w:r>
        <w:rPr>
          <w:sz w:val="20"/>
          <w:szCs w:val="20"/>
        </w:rPr>
        <w:t xml:space="preserve"> pro </w:t>
      </w:r>
      <w:r w:rsidRPr="00AF3A3F">
        <w:rPr>
          <w:sz w:val="20"/>
          <w:szCs w:val="20"/>
        </w:rPr>
        <w:t>formulaci opatření v oblasti školní preven</w:t>
      </w:r>
      <w:r w:rsidRPr="00ED669C">
        <w:rPr>
          <w:sz w:val="20"/>
          <w:szCs w:val="20"/>
        </w:rPr>
        <w:t>ce.</w:t>
      </w:r>
    </w:p>
    <w:p w14:paraId="321AAE57" w14:textId="77777777" w:rsidR="007B5389" w:rsidRDefault="007B538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CFD"/>
    <w:multiLevelType w:val="hybridMultilevel"/>
    <w:tmpl w:val="B2C0F998"/>
    <w:lvl w:ilvl="0" w:tplc="D75EBDF8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287198C"/>
    <w:multiLevelType w:val="hybridMultilevel"/>
    <w:tmpl w:val="916204F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161A"/>
    <w:multiLevelType w:val="hybridMultilevel"/>
    <w:tmpl w:val="B0B6DB38"/>
    <w:lvl w:ilvl="0" w:tplc="15C6A3BA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93B1F"/>
    <w:multiLevelType w:val="hybridMultilevel"/>
    <w:tmpl w:val="99FE25CE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C0AD0"/>
    <w:multiLevelType w:val="hybridMultilevel"/>
    <w:tmpl w:val="657CD9C0"/>
    <w:lvl w:ilvl="0" w:tplc="EFECD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7BC4"/>
    <w:multiLevelType w:val="hybridMultilevel"/>
    <w:tmpl w:val="C11A9CA8"/>
    <w:lvl w:ilvl="0" w:tplc="D75EBD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0335D4"/>
    <w:multiLevelType w:val="hybridMultilevel"/>
    <w:tmpl w:val="6440680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B30FC"/>
    <w:multiLevelType w:val="hybridMultilevel"/>
    <w:tmpl w:val="EC90D07C"/>
    <w:lvl w:ilvl="0" w:tplc="0B12FC14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D75EBDF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C891897"/>
    <w:multiLevelType w:val="hybridMultilevel"/>
    <w:tmpl w:val="FED28428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CA70E37"/>
    <w:multiLevelType w:val="multilevel"/>
    <w:tmpl w:val="E27C365C"/>
    <w:lvl w:ilvl="0">
      <w:start w:val="1"/>
      <w:numFmt w:val="upperRoman"/>
      <w:lvlText w:val="%1."/>
      <w:lvlJc w:val="left"/>
      <w:pPr>
        <w:ind w:left="18" w:hanging="432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57" w:hanging="471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0" w:hanging="1584"/>
      </w:pPr>
      <w:rPr>
        <w:rFonts w:hint="default"/>
      </w:rPr>
    </w:lvl>
  </w:abstractNum>
  <w:abstractNum w:abstractNumId="10" w15:restartNumberingAfterBreak="0">
    <w:nsid w:val="0CAC566B"/>
    <w:multiLevelType w:val="hybridMultilevel"/>
    <w:tmpl w:val="5378BA1C"/>
    <w:lvl w:ilvl="0" w:tplc="D75EBD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0F863ECA"/>
    <w:multiLevelType w:val="hybridMultilevel"/>
    <w:tmpl w:val="0EF080D4"/>
    <w:lvl w:ilvl="0" w:tplc="D75EBDF8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1037510A"/>
    <w:multiLevelType w:val="hybridMultilevel"/>
    <w:tmpl w:val="80C45BB6"/>
    <w:lvl w:ilvl="0" w:tplc="D75EB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B7144"/>
    <w:multiLevelType w:val="hybridMultilevel"/>
    <w:tmpl w:val="0AC44AA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730E1"/>
    <w:multiLevelType w:val="hybridMultilevel"/>
    <w:tmpl w:val="E6B402B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1035A"/>
    <w:multiLevelType w:val="hybridMultilevel"/>
    <w:tmpl w:val="AA86534C"/>
    <w:lvl w:ilvl="0" w:tplc="C3D0B0A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104D1"/>
    <w:multiLevelType w:val="hybridMultilevel"/>
    <w:tmpl w:val="E444A3A6"/>
    <w:lvl w:ilvl="0" w:tplc="1A34AA3C">
      <w:numFmt w:val="bullet"/>
      <w:lvlText w:val="–"/>
      <w:lvlJc w:val="left"/>
      <w:pPr>
        <w:ind w:left="3192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1ABF34BE"/>
    <w:multiLevelType w:val="hybridMultilevel"/>
    <w:tmpl w:val="5254F1C2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B6E0180"/>
    <w:multiLevelType w:val="hybridMultilevel"/>
    <w:tmpl w:val="864487B6"/>
    <w:lvl w:ilvl="0" w:tplc="D75EBDF8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1FA70893"/>
    <w:multiLevelType w:val="hybridMultilevel"/>
    <w:tmpl w:val="600AF684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2390E4E"/>
    <w:multiLevelType w:val="hybridMultilevel"/>
    <w:tmpl w:val="677A4C0A"/>
    <w:lvl w:ilvl="0" w:tplc="2E328F20">
      <w:start w:val="13"/>
      <w:numFmt w:val="bullet"/>
      <w:lvlText w:val="–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5277CA6"/>
    <w:multiLevelType w:val="hybridMultilevel"/>
    <w:tmpl w:val="80280FA0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73B82"/>
    <w:multiLevelType w:val="hybridMultilevel"/>
    <w:tmpl w:val="440CF222"/>
    <w:lvl w:ilvl="0" w:tplc="1A34AA3C">
      <w:numFmt w:val="bullet"/>
      <w:lvlText w:val="–"/>
      <w:lvlJc w:val="left"/>
      <w:pPr>
        <w:ind w:left="1068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6DC6ED0"/>
    <w:multiLevelType w:val="hybridMultilevel"/>
    <w:tmpl w:val="AF748966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A1947D0"/>
    <w:multiLevelType w:val="hybridMultilevel"/>
    <w:tmpl w:val="5DEA46CE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BBD1A46"/>
    <w:multiLevelType w:val="hybridMultilevel"/>
    <w:tmpl w:val="4F886864"/>
    <w:lvl w:ilvl="0" w:tplc="D75EBD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EBE77AB"/>
    <w:multiLevelType w:val="hybridMultilevel"/>
    <w:tmpl w:val="6906AA0C"/>
    <w:lvl w:ilvl="0" w:tplc="1A34AA3C">
      <w:numFmt w:val="bullet"/>
      <w:lvlText w:val="–"/>
      <w:lvlJc w:val="left"/>
      <w:pPr>
        <w:ind w:left="938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7" w15:restartNumberingAfterBreak="0">
    <w:nsid w:val="374D541D"/>
    <w:multiLevelType w:val="hybridMultilevel"/>
    <w:tmpl w:val="DF901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340B"/>
    <w:multiLevelType w:val="hybridMultilevel"/>
    <w:tmpl w:val="A0428CF8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D8423E8"/>
    <w:multiLevelType w:val="hybridMultilevel"/>
    <w:tmpl w:val="5A468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F3339"/>
    <w:multiLevelType w:val="multilevel"/>
    <w:tmpl w:val="EBD62C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22E2E7A"/>
    <w:multiLevelType w:val="hybridMultilevel"/>
    <w:tmpl w:val="8D1A997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022B5"/>
    <w:multiLevelType w:val="hybridMultilevel"/>
    <w:tmpl w:val="29D4F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82A3C"/>
    <w:multiLevelType w:val="hybridMultilevel"/>
    <w:tmpl w:val="10D06360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4A876469"/>
    <w:multiLevelType w:val="hybridMultilevel"/>
    <w:tmpl w:val="B48A9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57712"/>
    <w:multiLevelType w:val="hybridMultilevel"/>
    <w:tmpl w:val="7A5A5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506E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6974BB"/>
    <w:multiLevelType w:val="hybridMultilevel"/>
    <w:tmpl w:val="254C411E"/>
    <w:lvl w:ilvl="0" w:tplc="97AE6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67EAF"/>
    <w:multiLevelType w:val="hybridMultilevel"/>
    <w:tmpl w:val="8892E7A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C70035"/>
    <w:multiLevelType w:val="hybridMultilevel"/>
    <w:tmpl w:val="38DE04EE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5195059F"/>
    <w:multiLevelType w:val="hybridMultilevel"/>
    <w:tmpl w:val="F93AE122"/>
    <w:lvl w:ilvl="0" w:tplc="86B67870">
      <w:start w:val="49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9F5C89"/>
    <w:multiLevelType w:val="hybridMultilevel"/>
    <w:tmpl w:val="7B26E580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83E0FFD"/>
    <w:multiLevelType w:val="hybridMultilevel"/>
    <w:tmpl w:val="D0BEA790"/>
    <w:lvl w:ilvl="0" w:tplc="A8BA55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475C4E"/>
    <w:multiLevelType w:val="hybridMultilevel"/>
    <w:tmpl w:val="D5DA855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F1081D"/>
    <w:multiLevelType w:val="hybridMultilevel"/>
    <w:tmpl w:val="8FF64DC2"/>
    <w:lvl w:ilvl="0" w:tplc="F8743D64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F8743D64">
      <w:start w:val="1"/>
      <w:numFmt w:val="lowerLetter"/>
      <w:lvlText w:val="%3)"/>
      <w:lvlJc w:val="left"/>
      <w:pPr>
        <w:ind w:left="4919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5" w15:restartNumberingAfterBreak="0">
    <w:nsid w:val="5FF46DBD"/>
    <w:multiLevelType w:val="hybridMultilevel"/>
    <w:tmpl w:val="8E060CD0"/>
    <w:lvl w:ilvl="0" w:tplc="787EFCBE">
      <w:numFmt w:val="bullet"/>
      <w:lvlText w:val="-"/>
      <w:lvlJc w:val="left"/>
      <w:pPr>
        <w:ind w:left="351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6" w15:restartNumberingAfterBreak="0">
    <w:nsid w:val="602D7440"/>
    <w:multiLevelType w:val="hybridMultilevel"/>
    <w:tmpl w:val="3C5261B4"/>
    <w:lvl w:ilvl="0" w:tplc="D75EB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3660F1D"/>
    <w:multiLevelType w:val="hybridMultilevel"/>
    <w:tmpl w:val="088AD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2940D7"/>
    <w:multiLevelType w:val="hybridMultilevel"/>
    <w:tmpl w:val="E55C856C"/>
    <w:lvl w:ilvl="0" w:tplc="850A7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8B42CD"/>
    <w:multiLevelType w:val="hybridMultilevel"/>
    <w:tmpl w:val="1D407322"/>
    <w:lvl w:ilvl="0" w:tplc="98AA3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DC6D6A"/>
    <w:multiLevelType w:val="hybridMultilevel"/>
    <w:tmpl w:val="E034AB48"/>
    <w:lvl w:ilvl="0" w:tplc="C64AB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E8431D"/>
    <w:multiLevelType w:val="hybridMultilevel"/>
    <w:tmpl w:val="EDB60CA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3" w15:restartNumberingAfterBreak="0">
    <w:nsid w:val="676B3B5A"/>
    <w:multiLevelType w:val="hybridMultilevel"/>
    <w:tmpl w:val="4E544D78"/>
    <w:lvl w:ilvl="0" w:tplc="1A34AA3C">
      <w:numFmt w:val="bullet"/>
      <w:lvlText w:val="–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83877"/>
    <w:multiLevelType w:val="hybridMultilevel"/>
    <w:tmpl w:val="D5663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35111"/>
    <w:multiLevelType w:val="hybridMultilevel"/>
    <w:tmpl w:val="88B28FBE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A037CA"/>
    <w:multiLevelType w:val="multilevel"/>
    <w:tmpl w:val="6FDCCC18"/>
    <w:lvl w:ilvl="0">
      <w:start w:val="4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KP-normlntext"/>
      <w:isLgl/>
      <w:lvlText w:val="%1.%2"/>
      <w:lvlJc w:val="left"/>
      <w:pPr>
        <w:ind w:left="5180" w:hanging="360"/>
      </w:pPr>
      <w:rPr>
        <w:rFonts w:asciiTheme="majorHAnsi" w:hAnsiTheme="majorHAnsi" w:cstheme="majorHAnsi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C82057F"/>
    <w:multiLevelType w:val="hybridMultilevel"/>
    <w:tmpl w:val="011E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674444"/>
    <w:multiLevelType w:val="hybridMultilevel"/>
    <w:tmpl w:val="6598F04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6316C"/>
    <w:multiLevelType w:val="hybridMultilevel"/>
    <w:tmpl w:val="530A3B80"/>
    <w:lvl w:ilvl="0" w:tplc="22FE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4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68F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E4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34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21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1E8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6B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881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50B6849"/>
    <w:multiLevelType w:val="hybridMultilevel"/>
    <w:tmpl w:val="146853EC"/>
    <w:lvl w:ilvl="0" w:tplc="1F78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A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EC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8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49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87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C6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A8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06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 w15:restartNumberingAfterBreak="0">
    <w:nsid w:val="759C374A"/>
    <w:multiLevelType w:val="multilevel"/>
    <w:tmpl w:val="348C4ECE"/>
    <w:lvl w:ilvl="0">
      <w:start w:val="1"/>
      <w:numFmt w:val="decimal"/>
      <w:pStyle w:val="Nadpis1"/>
      <w:lvlText w:val="%1"/>
      <w:lvlJc w:val="left"/>
      <w:pPr>
        <w:ind w:left="3621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7C87969"/>
    <w:multiLevelType w:val="hybridMultilevel"/>
    <w:tmpl w:val="C2E2060E"/>
    <w:lvl w:ilvl="0" w:tplc="5BCAB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1C07C7"/>
    <w:multiLevelType w:val="hybridMultilevel"/>
    <w:tmpl w:val="CA1AF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C768DC"/>
    <w:multiLevelType w:val="hybridMultilevel"/>
    <w:tmpl w:val="F668B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A17AA0"/>
    <w:multiLevelType w:val="hybridMultilevel"/>
    <w:tmpl w:val="60AE7FF2"/>
    <w:lvl w:ilvl="0" w:tplc="491C12C2">
      <w:start w:val="1"/>
      <w:numFmt w:val="bullet"/>
      <w:pStyle w:val="Odrkypunt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2A1569"/>
    <w:multiLevelType w:val="hybridMultilevel"/>
    <w:tmpl w:val="467C532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7C56D5"/>
    <w:multiLevelType w:val="hybridMultilevel"/>
    <w:tmpl w:val="CD608EA2"/>
    <w:lvl w:ilvl="0" w:tplc="3E7689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6F3FC2"/>
    <w:multiLevelType w:val="hybridMultilevel"/>
    <w:tmpl w:val="711E15B8"/>
    <w:lvl w:ilvl="0" w:tplc="D75EBDF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57"/>
  </w:num>
  <w:num w:numId="4">
    <w:abstractNumId w:val="50"/>
  </w:num>
  <w:num w:numId="5">
    <w:abstractNumId w:val="68"/>
  </w:num>
  <w:num w:numId="6">
    <w:abstractNumId w:val="59"/>
  </w:num>
  <w:num w:numId="7">
    <w:abstractNumId w:val="66"/>
  </w:num>
  <w:num w:numId="8">
    <w:abstractNumId w:val="7"/>
  </w:num>
  <w:num w:numId="9">
    <w:abstractNumId w:val="23"/>
  </w:num>
  <w:num w:numId="10">
    <w:abstractNumId w:val="69"/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1"/>
  </w:num>
  <w:num w:numId="15">
    <w:abstractNumId w:val="14"/>
  </w:num>
  <w:num w:numId="16">
    <w:abstractNumId w:val="21"/>
  </w:num>
  <w:num w:numId="17">
    <w:abstractNumId w:val="10"/>
  </w:num>
  <w:num w:numId="18">
    <w:abstractNumId w:val="29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53"/>
  </w:num>
  <w:num w:numId="22">
    <w:abstractNumId w:val="26"/>
  </w:num>
  <w:num w:numId="23">
    <w:abstractNumId w:val="15"/>
  </w:num>
  <w:num w:numId="24">
    <w:abstractNumId w:val="16"/>
  </w:num>
  <w:num w:numId="25">
    <w:abstractNumId w:val="9"/>
  </w:num>
  <w:num w:numId="26">
    <w:abstractNumId w:val="54"/>
  </w:num>
  <w:num w:numId="27">
    <w:abstractNumId w:val="1"/>
  </w:num>
  <w:num w:numId="28">
    <w:abstractNumId w:val="0"/>
  </w:num>
  <w:num w:numId="29">
    <w:abstractNumId w:val="8"/>
  </w:num>
  <w:num w:numId="30">
    <w:abstractNumId w:val="43"/>
  </w:num>
  <w:num w:numId="31">
    <w:abstractNumId w:val="3"/>
  </w:num>
  <w:num w:numId="32">
    <w:abstractNumId w:val="55"/>
  </w:num>
  <w:num w:numId="33">
    <w:abstractNumId w:val="67"/>
  </w:num>
  <w:num w:numId="34">
    <w:abstractNumId w:val="2"/>
  </w:num>
  <w:num w:numId="35">
    <w:abstractNumId w:val="32"/>
  </w:num>
  <w:num w:numId="36">
    <w:abstractNumId w:val="5"/>
  </w:num>
  <w:num w:numId="37">
    <w:abstractNumId w:val="28"/>
  </w:num>
  <w:num w:numId="38">
    <w:abstractNumId w:val="13"/>
  </w:num>
  <w:num w:numId="39">
    <w:abstractNumId w:val="12"/>
  </w:num>
  <w:num w:numId="40">
    <w:abstractNumId w:val="34"/>
  </w:num>
  <w:num w:numId="41">
    <w:abstractNumId w:val="19"/>
  </w:num>
  <w:num w:numId="42">
    <w:abstractNumId w:val="46"/>
  </w:num>
  <w:num w:numId="43">
    <w:abstractNumId w:val="18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47"/>
  </w:num>
  <w:num w:numId="49">
    <w:abstractNumId w:val="35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2"/>
  </w:num>
  <w:num w:numId="52">
    <w:abstractNumId w:val="4"/>
  </w:num>
  <w:num w:numId="53">
    <w:abstractNumId w:val="45"/>
  </w:num>
  <w:num w:numId="54">
    <w:abstractNumId w:val="37"/>
  </w:num>
  <w:num w:numId="55">
    <w:abstractNumId w:val="30"/>
  </w:num>
  <w:num w:numId="56">
    <w:abstractNumId w:val="58"/>
  </w:num>
  <w:num w:numId="57">
    <w:abstractNumId w:val="51"/>
  </w:num>
  <w:num w:numId="58">
    <w:abstractNumId w:val="63"/>
  </w:num>
  <w:num w:numId="59">
    <w:abstractNumId w:val="24"/>
  </w:num>
  <w:num w:numId="60">
    <w:abstractNumId w:val="40"/>
  </w:num>
  <w:num w:numId="61">
    <w:abstractNumId w:val="62"/>
  </w:num>
  <w:num w:numId="62">
    <w:abstractNumId w:val="62"/>
  </w:num>
  <w:num w:numId="63">
    <w:abstractNumId w:val="62"/>
  </w:num>
  <w:num w:numId="64">
    <w:abstractNumId w:val="62"/>
  </w:num>
  <w:num w:numId="65">
    <w:abstractNumId w:val="62"/>
  </w:num>
  <w:num w:numId="66">
    <w:abstractNumId w:val="62"/>
  </w:num>
  <w:num w:numId="67">
    <w:abstractNumId w:val="62"/>
  </w:num>
  <w:num w:numId="68">
    <w:abstractNumId w:val="44"/>
  </w:num>
  <w:num w:numId="69">
    <w:abstractNumId w:val="49"/>
  </w:num>
  <w:num w:numId="70">
    <w:abstractNumId w:val="48"/>
  </w:num>
  <w:num w:numId="71">
    <w:abstractNumId w:val="36"/>
  </w:num>
  <w:num w:numId="72">
    <w:abstractNumId w:val="65"/>
  </w:num>
  <w:num w:numId="73">
    <w:abstractNumId w:val="33"/>
  </w:num>
  <w:num w:numId="74">
    <w:abstractNumId w:val="60"/>
  </w:num>
  <w:num w:numId="75">
    <w:abstractNumId w:val="61"/>
  </w:num>
  <w:num w:numId="76">
    <w:abstractNumId w:val="38"/>
  </w:num>
  <w:num w:numId="77">
    <w:abstractNumId w:val="17"/>
  </w:num>
  <w:num w:numId="78">
    <w:abstractNumId w:val="41"/>
  </w:num>
  <w:num w:numId="79">
    <w:abstractNumId w:val="27"/>
  </w:num>
  <w:num w:numId="80">
    <w:abstractNumId w:val="64"/>
  </w:num>
  <w:num w:numId="81">
    <w:abstractNumId w:val="42"/>
  </w:num>
  <w:num w:numId="82">
    <w:abstractNumId w:val="2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97"/>
    <w:rsid w:val="0000084D"/>
    <w:rsid w:val="00001BF9"/>
    <w:rsid w:val="0000202F"/>
    <w:rsid w:val="00002309"/>
    <w:rsid w:val="000025FA"/>
    <w:rsid w:val="00002895"/>
    <w:rsid w:val="00002CEC"/>
    <w:rsid w:val="0000334F"/>
    <w:rsid w:val="000034F2"/>
    <w:rsid w:val="0000370C"/>
    <w:rsid w:val="00003A05"/>
    <w:rsid w:val="00003FEE"/>
    <w:rsid w:val="0000424C"/>
    <w:rsid w:val="00005693"/>
    <w:rsid w:val="00005F50"/>
    <w:rsid w:val="00005FFE"/>
    <w:rsid w:val="00006666"/>
    <w:rsid w:val="0000738E"/>
    <w:rsid w:val="000074B2"/>
    <w:rsid w:val="00007BDD"/>
    <w:rsid w:val="00011AD4"/>
    <w:rsid w:val="0001206F"/>
    <w:rsid w:val="000124D9"/>
    <w:rsid w:val="00012603"/>
    <w:rsid w:val="000129ED"/>
    <w:rsid w:val="00012BCD"/>
    <w:rsid w:val="00013038"/>
    <w:rsid w:val="00013D3F"/>
    <w:rsid w:val="00014F97"/>
    <w:rsid w:val="000151C6"/>
    <w:rsid w:val="00015428"/>
    <w:rsid w:val="000158CE"/>
    <w:rsid w:val="00015B0F"/>
    <w:rsid w:val="00015D6B"/>
    <w:rsid w:val="000172BD"/>
    <w:rsid w:val="000177DA"/>
    <w:rsid w:val="000202D7"/>
    <w:rsid w:val="00020340"/>
    <w:rsid w:val="000204BC"/>
    <w:rsid w:val="000206F4"/>
    <w:rsid w:val="00021592"/>
    <w:rsid w:val="00021973"/>
    <w:rsid w:val="00021F21"/>
    <w:rsid w:val="00022336"/>
    <w:rsid w:val="0002233B"/>
    <w:rsid w:val="0002294E"/>
    <w:rsid w:val="00022BF9"/>
    <w:rsid w:val="0002305A"/>
    <w:rsid w:val="00024308"/>
    <w:rsid w:val="00024790"/>
    <w:rsid w:val="00024B31"/>
    <w:rsid w:val="000255D1"/>
    <w:rsid w:val="000259B9"/>
    <w:rsid w:val="00025D74"/>
    <w:rsid w:val="000266E4"/>
    <w:rsid w:val="000267CD"/>
    <w:rsid w:val="000267FE"/>
    <w:rsid w:val="00026AE1"/>
    <w:rsid w:val="00026B38"/>
    <w:rsid w:val="00026C30"/>
    <w:rsid w:val="00026F3C"/>
    <w:rsid w:val="00027A3B"/>
    <w:rsid w:val="00030188"/>
    <w:rsid w:val="00030308"/>
    <w:rsid w:val="00030B65"/>
    <w:rsid w:val="00031290"/>
    <w:rsid w:val="00031948"/>
    <w:rsid w:val="00031CEC"/>
    <w:rsid w:val="000325A8"/>
    <w:rsid w:val="00032762"/>
    <w:rsid w:val="000335A6"/>
    <w:rsid w:val="00033AB0"/>
    <w:rsid w:val="00034899"/>
    <w:rsid w:val="0003501D"/>
    <w:rsid w:val="00035818"/>
    <w:rsid w:val="00036B02"/>
    <w:rsid w:val="00036C5C"/>
    <w:rsid w:val="00037143"/>
    <w:rsid w:val="000378D8"/>
    <w:rsid w:val="00040043"/>
    <w:rsid w:val="00040DC4"/>
    <w:rsid w:val="00040EC2"/>
    <w:rsid w:val="00041C8E"/>
    <w:rsid w:val="00041D46"/>
    <w:rsid w:val="00042E7E"/>
    <w:rsid w:val="0004354D"/>
    <w:rsid w:val="00043893"/>
    <w:rsid w:val="000439A3"/>
    <w:rsid w:val="0004483F"/>
    <w:rsid w:val="00044E89"/>
    <w:rsid w:val="0004633F"/>
    <w:rsid w:val="000476BE"/>
    <w:rsid w:val="00050D4D"/>
    <w:rsid w:val="00050FAA"/>
    <w:rsid w:val="00050FFD"/>
    <w:rsid w:val="00051DDF"/>
    <w:rsid w:val="00052F8B"/>
    <w:rsid w:val="000532EE"/>
    <w:rsid w:val="00053EDD"/>
    <w:rsid w:val="0005497C"/>
    <w:rsid w:val="00054CAC"/>
    <w:rsid w:val="00054D30"/>
    <w:rsid w:val="0005561A"/>
    <w:rsid w:val="0005674D"/>
    <w:rsid w:val="00057072"/>
    <w:rsid w:val="00057204"/>
    <w:rsid w:val="00061A0C"/>
    <w:rsid w:val="00063758"/>
    <w:rsid w:val="00063A8D"/>
    <w:rsid w:val="00063C25"/>
    <w:rsid w:val="00064282"/>
    <w:rsid w:val="0006458C"/>
    <w:rsid w:val="000645E4"/>
    <w:rsid w:val="00066628"/>
    <w:rsid w:val="0006676E"/>
    <w:rsid w:val="00067D43"/>
    <w:rsid w:val="00070637"/>
    <w:rsid w:val="00070BEF"/>
    <w:rsid w:val="00071863"/>
    <w:rsid w:val="000725A5"/>
    <w:rsid w:val="00072C20"/>
    <w:rsid w:val="00073097"/>
    <w:rsid w:val="00073728"/>
    <w:rsid w:val="000749DB"/>
    <w:rsid w:val="000750CA"/>
    <w:rsid w:val="00076766"/>
    <w:rsid w:val="00076A06"/>
    <w:rsid w:val="00076B53"/>
    <w:rsid w:val="000772C0"/>
    <w:rsid w:val="000807A0"/>
    <w:rsid w:val="00080A69"/>
    <w:rsid w:val="00080F6B"/>
    <w:rsid w:val="0008116A"/>
    <w:rsid w:val="00081AA7"/>
    <w:rsid w:val="0008237E"/>
    <w:rsid w:val="00082B7B"/>
    <w:rsid w:val="0008468F"/>
    <w:rsid w:val="0008611A"/>
    <w:rsid w:val="00087034"/>
    <w:rsid w:val="000876FB"/>
    <w:rsid w:val="0008795F"/>
    <w:rsid w:val="00087D8E"/>
    <w:rsid w:val="00087E20"/>
    <w:rsid w:val="00087E81"/>
    <w:rsid w:val="00090BCB"/>
    <w:rsid w:val="0009107B"/>
    <w:rsid w:val="00091A00"/>
    <w:rsid w:val="00091B04"/>
    <w:rsid w:val="00092AC3"/>
    <w:rsid w:val="0009341C"/>
    <w:rsid w:val="00093486"/>
    <w:rsid w:val="0009439F"/>
    <w:rsid w:val="00094C16"/>
    <w:rsid w:val="00095199"/>
    <w:rsid w:val="000963CE"/>
    <w:rsid w:val="00096DD3"/>
    <w:rsid w:val="000978B1"/>
    <w:rsid w:val="00097BF4"/>
    <w:rsid w:val="000A0325"/>
    <w:rsid w:val="000A0E5D"/>
    <w:rsid w:val="000A1B99"/>
    <w:rsid w:val="000A24F2"/>
    <w:rsid w:val="000A2A01"/>
    <w:rsid w:val="000A4062"/>
    <w:rsid w:val="000A4A77"/>
    <w:rsid w:val="000A53B3"/>
    <w:rsid w:val="000A5814"/>
    <w:rsid w:val="000A6EFA"/>
    <w:rsid w:val="000B0C3A"/>
    <w:rsid w:val="000B1361"/>
    <w:rsid w:val="000B13C9"/>
    <w:rsid w:val="000B1724"/>
    <w:rsid w:val="000B1862"/>
    <w:rsid w:val="000B191D"/>
    <w:rsid w:val="000B1DB2"/>
    <w:rsid w:val="000B27F9"/>
    <w:rsid w:val="000B2EB8"/>
    <w:rsid w:val="000B373E"/>
    <w:rsid w:val="000B3D65"/>
    <w:rsid w:val="000B4561"/>
    <w:rsid w:val="000B4792"/>
    <w:rsid w:val="000B4A59"/>
    <w:rsid w:val="000B557F"/>
    <w:rsid w:val="000B6288"/>
    <w:rsid w:val="000B66A7"/>
    <w:rsid w:val="000B720E"/>
    <w:rsid w:val="000B7A09"/>
    <w:rsid w:val="000B7C25"/>
    <w:rsid w:val="000B7E8A"/>
    <w:rsid w:val="000C01EB"/>
    <w:rsid w:val="000C0290"/>
    <w:rsid w:val="000C084E"/>
    <w:rsid w:val="000C1E7F"/>
    <w:rsid w:val="000C2C7E"/>
    <w:rsid w:val="000C2DE3"/>
    <w:rsid w:val="000C395F"/>
    <w:rsid w:val="000C39A1"/>
    <w:rsid w:val="000C3D0A"/>
    <w:rsid w:val="000C523A"/>
    <w:rsid w:val="000C647E"/>
    <w:rsid w:val="000C64C3"/>
    <w:rsid w:val="000C6594"/>
    <w:rsid w:val="000C6DDA"/>
    <w:rsid w:val="000C7BCE"/>
    <w:rsid w:val="000C7FF9"/>
    <w:rsid w:val="000D054B"/>
    <w:rsid w:val="000D0A41"/>
    <w:rsid w:val="000D0ADC"/>
    <w:rsid w:val="000D0B1E"/>
    <w:rsid w:val="000D1D9B"/>
    <w:rsid w:val="000D2090"/>
    <w:rsid w:val="000D257E"/>
    <w:rsid w:val="000D2991"/>
    <w:rsid w:val="000D388B"/>
    <w:rsid w:val="000D4183"/>
    <w:rsid w:val="000D4DC2"/>
    <w:rsid w:val="000D51B8"/>
    <w:rsid w:val="000D5772"/>
    <w:rsid w:val="000D5850"/>
    <w:rsid w:val="000D59D7"/>
    <w:rsid w:val="000D61D4"/>
    <w:rsid w:val="000D6452"/>
    <w:rsid w:val="000D71A0"/>
    <w:rsid w:val="000D7C73"/>
    <w:rsid w:val="000E08BB"/>
    <w:rsid w:val="000E1514"/>
    <w:rsid w:val="000E18BA"/>
    <w:rsid w:val="000E2BF2"/>
    <w:rsid w:val="000E3279"/>
    <w:rsid w:val="000E38C6"/>
    <w:rsid w:val="000E430A"/>
    <w:rsid w:val="000E4506"/>
    <w:rsid w:val="000E463C"/>
    <w:rsid w:val="000E46FA"/>
    <w:rsid w:val="000E5F4D"/>
    <w:rsid w:val="000E6814"/>
    <w:rsid w:val="000E742F"/>
    <w:rsid w:val="000E747C"/>
    <w:rsid w:val="000E76AF"/>
    <w:rsid w:val="000E79CC"/>
    <w:rsid w:val="000E7B66"/>
    <w:rsid w:val="000E7BC1"/>
    <w:rsid w:val="000F1DB3"/>
    <w:rsid w:val="000F20A6"/>
    <w:rsid w:val="000F26BE"/>
    <w:rsid w:val="000F27BC"/>
    <w:rsid w:val="000F32CB"/>
    <w:rsid w:val="000F4139"/>
    <w:rsid w:val="000F492A"/>
    <w:rsid w:val="000F563F"/>
    <w:rsid w:val="000F594C"/>
    <w:rsid w:val="000F5C26"/>
    <w:rsid w:val="000F5EAA"/>
    <w:rsid w:val="000F69DB"/>
    <w:rsid w:val="000F6D76"/>
    <w:rsid w:val="000F715D"/>
    <w:rsid w:val="000F7225"/>
    <w:rsid w:val="000F7560"/>
    <w:rsid w:val="000F7EB0"/>
    <w:rsid w:val="001001E1"/>
    <w:rsid w:val="00100BD3"/>
    <w:rsid w:val="00100D61"/>
    <w:rsid w:val="00101211"/>
    <w:rsid w:val="00101DB8"/>
    <w:rsid w:val="001026F2"/>
    <w:rsid w:val="00102C3B"/>
    <w:rsid w:val="001032B3"/>
    <w:rsid w:val="00104411"/>
    <w:rsid w:val="00104BD7"/>
    <w:rsid w:val="00105236"/>
    <w:rsid w:val="00106085"/>
    <w:rsid w:val="00106C43"/>
    <w:rsid w:val="0010778C"/>
    <w:rsid w:val="00110182"/>
    <w:rsid w:val="001108AA"/>
    <w:rsid w:val="001129B3"/>
    <w:rsid w:val="001133E2"/>
    <w:rsid w:val="00113536"/>
    <w:rsid w:val="0011382D"/>
    <w:rsid w:val="00113ED8"/>
    <w:rsid w:val="00113F8C"/>
    <w:rsid w:val="0011445D"/>
    <w:rsid w:val="00114D7E"/>
    <w:rsid w:val="001165ED"/>
    <w:rsid w:val="0011745D"/>
    <w:rsid w:val="00120004"/>
    <w:rsid w:val="001211B9"/>
    <w:rsid w:val="00121252"/>
    <w:rsid w:val="001216CA"/>
    <w:rsid w:val="001224DF"/>
    <w:rsid w:val="00122CF0"/>
    <w:rsid w:val="00122E19"/>
    <w:rsid w:val="00122FAE"/>
    <w:rsid w:val="0012359C"/>
    <w:rsid w:val="00123A8E"/>
    <w:rsid w:val="00123B11"/>
    <w:rsid w:val="00123CAA"/>
    <w:rsid w:val="00125DB7"/>
    <w:rsid w:val="00126679"/>
    <w:rsid w:val="00126EA7"/>
    <w:rsid w:val="00127E86"/>
    <w:rsid w:val="001304C5"/>
    <w:rsid w:val="001308B4"/>
    <w:rsid w:val="00130A7C"/>
    <w:rsid w:val="00130D48"/>
    <w:rsid w:val="00131535"/>
    <w:rsid w:val="001315DF"/>
    <w:rsid w:val="0013179A"/>
    <w:rsid w:val="00132210"/>
    <w:rsid w:val="0013303D"/>
    <w:rsid w:val="00133A98"/>
    <w:rsid w:val="00133AF1"/>
    <w:rsid w:val="001353B9"/>
    <w:rsid w:val="001354D2"/>
    <w:rsid w:val="00135811"/>
    <w:rsid w:val="0013609D"/>
    <w:rsid w:val="0013646E"/>
    <w:rsid w:val="0013675D"/>
    <w:rsid w:val="00137B93"/>
    <w:rsid w:val="001427CD"/>
    <w:rsid w:val="00143014"/>
    <w:rsid w:val="00143EBB"/>
    <w:rsid w:val="001441FE"/>
    <w:rsid w:val="00144482"/>
    <w:rsid w:val="001445F0"/>
    <w:rsid w:val="001448D6"/>
    <w:rsid w:val="00144D2C"/>
    <w:rsid w:val="00144F44"/>
    <w:rsid w:val="0014604C"/>
    <w:rsid w:val="00146A86"/>
    <w:rsid w:val="00146B20"/>
    <w:rsid w:val="00146B52"/>
    <w:rsid w:val="00147847"/>
    <w:rsid w:val="00147AA4"/>
    <w:rsid w:val="00150DE3"/>
    <w:rsid w:val="00150F80"/>
    <w:rsid w:val="0015103C"/>
    <w:rsid w:val="00151562"/>
    <w:rsid w:val="00151793"/>
    <w:rsid w:val="0015280E"/>
    <w:rsid w:val="00152F98"/>
    <w:rsid w:val="0015380D"/>
    <w:rsid w:val="00153DE9"/>
    <w:rsid w:val="001547A4"/>
    <w:rsid w:val="001547ED"/>
    <w:rsid w:val="00154F39"/>
    <w:rsid w:val="00154FE4"/>
    <w:rsid w:val="0015523A"/>
    <w:rsid w:val="0015573F"/>
    <w:rsid w:val="001567E7"/>
    <w:rsid w:val="00157EC5"/>
    <w:rsid w:val="00157FBC"/>
    <w:rsid w:val="00160729"/>
    <w:rsid w:val="00160908"/>
    <w:rsid w:val="00160B02"/>
    <w:rsid w:val="001611B0"/>
    <w:rsid w:val="0016174D"/>
    <w:rsid w:val="001622A9"/>
    <w:rsid w:val="001622C5"/>
    <w:rsid w:val="0016304E"/>
    <w:rsid w:val="00163542"/>
    <w:rsid w:val="00163A52"/>
    <w:rsid w:val="00163DAC"/>
    <w:rsid w:val="00165A46"/>
    <w:rsid w:val="00165D77"/>
    <w:rsid w:val="001662FF"/>
    <w:rsid w:val="001666C7"/>
    <w:rsid w:val="00166D68"/>
    <w:rsid w:val="00167149"/>
    <w:rsid w:val="00167D1D"/>
    <w:rsid w:val="00170167"/>
    <w:rsid w:val="00170223"/>
    <w:rsid w:val="00170464"/>
    <w:rsid w:val="001704E6"/>
    <w:rsid w:val="00170859"/>
    <w:rsid w:val="001710C1"/>
    <w:rsid w:val="001719A7"/>
    <w:rsid w:val="001720B5"/>
    <w:rsid w:val="00172469"/>
    <w:rsid w:val="001724CA"/>
    <w:rsid w:val="001726B5"/>
    <w:rsid w:val="00172AD1"/>
    <w:rsid w:val="00172B48"/>
    <w:rsid w:val="00173B24"/>
    <w:rsid w:val="001741B5"/>
    <w:rsid w:val="00174951"/>
    <w:rsid w:val="0017602E"/>
    <w:rsid w:val="00176093"/>
    <w:rsid w:val="00176E8A"/>
    <w:rsid w:val="00177618"/>
    <w:rsid w:val="00177CB7"/>
    <w:rsid w:val="00177FBD"/>
    <w:rsid w:val="001802EF"/>
    <w:rsid w:val="001810EA"/>
    <w:rsid w:val="001812E6"/>
    <w:rsid w:val="001822D4"/>
    <w:rsid w:val="001827B5"/>
    <w:rsid w:val="00182C0F"/>
    <w:rsid w:val="001838FC"/>
    <w:rsid w:val="00183A6F"/>
    <w:rsid w:val="00183C8E"/>
    <w:rsid w:val="001841E7"/>
    <w:rsid w:val="00184555"/>
    <w:rsid w:val="00185C52"/>
    <w:rsid w:val="00187337"/>
    <w:rsid w:val="00187A44"/>
    <w:rsid w:val="00187D0D"/>
    <w:rsid w:val="001901CF"/>
    <w:rsid w:val="0019040C"/>
    <w:rsid w:val="00190599"/>
    <w:rsid w:val="00190642"/>
    <w:rsid w:val="00190A95"/>
    <w:rsid w:val="00190F32"/>
    <w:rsid w:val="0019119A"/>
    <w:rsid w:val="00192B7A"/>
    <w:rsid w:val="00192C4C"/>
    <w:rsid w:val="00192F26"/>
    <w:rsid w:val="00193193"/>
    <w:rsid w:val="00193441"/>
    <w:rsid w:val="0019447A"/>
    <w:rsid w:val="00195A34"/>
    <w:rsid w:val="00195A3A"/>
    <w:rsid w:val="00195EBA"/>
    <w:rsid w:val="001961D9"/>
    <w:rsid w:val="00196B9F"/>
    <w:rsid w:val="0019707D"/>
    <w:rsid w:val="00197C88"/>
    <w:rsid w:val="00197EB6"/>
    <w:rsid w:val="001A225E"/>
    <w:rsid w:val="001A2BC7"/>
    <w:rsid w:val="001A2D52"/>
    <w:rsid w:val="001A2D89"/>
    <w:rsid w:val="001A314E"/>
    <w:rsid w:val="001A35AA"/>
    <w:rsid w:val="001A3631"/>
    <w:rsid w:val="001A3668"/>
    <w:rsid w:val="001A39F5"/>
    <w:rsid w:val="001A3B78"/>
    <w:rsid w:val="001A3E73"/>
    <w:rsid w:val="001A4AFE"/>
    <w:rsid w:val="001A4B7F"/>
    <w:rsid w:val="001A50BD"/>
    <w:rsid w:val="001A6AE6"/>
    <w:rsid w:val="001A6FCB"/>
    <w:rsid w:val="001A7040"/>
    <w:rsid w:val="001A7642"/>
    <w:rsid w:val="001A7BFC"/>
    <w:rsid w:val="001A7FC3"/>
    <w:rsid w:val="001B0611"/>
    <w:rsid w:val="001B0CB5"/>
    <w:rsid w:val="001B0CE1"/>
    <w:rsid w:val="001B1E2D"/>
    <w:rsid w:val="001B1E37"/>
    <w:rsid w:val="001B3F3C"/>
    <w:rsid w:val="001B4669"/>
    <w:rsid w:val="001B50A2"/>
    <w:rsid w:val="001B56CC"/>
    <w:rsid w:val="001B5946"/>
    <w:rsid w:val="001B5CAF"/>
    <w:rsid w:val="001B6BC1"/>
    <w:rsid w:val="001B6E2D"/>
    <w:rsid w:val="001B7723"/>
    <w:rsid w:val="001B7762"/>
    <w:rsid w:val="001B78C1"/>
    <w:rsid w:val="001B7DF2"/>
    <w:rsid w:val="001C03D2"/>
    <w:rsid w:val="001C057F"/>
    <w:rsid w:val="001C0B79"/>
    <w:rsid w:val="001C0C0B"/>
    <w:rsid w:val="001C330E"/>
    <w:rsid w:val="001C3C01"/>
    <w:rsid w:val="001C3FB9"/>
    <w:rsid w:val="001C4D4C"/>
    <w:rsid w:val="001C555E"/>
    <w:rsid w:val="001C5E53"/>
    <w:rsid w:val="001C600F"/>
    <w:rsid w:val="001C62E8"/>
    <w:rsid w:val="001D0298"/>
    <w:rsid w:val="001D02BC"/>
    <w:rsid w:val="001D0C8D"/>
    <w:rsid w:val="001D380E"/>
    <w:rsid w:val="001D391D"/>
    <w:rsid w:val="001D39D3"/>
    <w:rsid w:val="001D3D09"/>
    <w:rsid w:val="001D3D71"/>
    <w:rsid w:val="001D51A7"/>
    <w:rsid w:val="001D5484"/>
    <w:rsid w:val="001D6917"/>
    <w:rsid w:val="001D73D9"/>
    <w:rsid w:val="001D7418"/>
    <w:rsid w:val="001D7D6D"/>
    <w:rsid w:val="001E0F74"/>
    <w:rsid w:val="001E1EDB"/>
    <w:rsid w:val="001E242C"/>
    <w:rsid w:val="001E2D6B"/>
    <w:rsid w:val="001E3525"/>
    <w:rsid w:val="001E413D"/>
    <w:rsid w:val="001E422B"/>
    <w:rsid w:val="001E4FB6"/>
    <w:rsid w:val="001E51BE"/>
    <w:rsid w:val="001E6565"/>
    <w:rsid w:val="001E662A"/>
    <w:rsid w:val="001E675C"/>
    <w:rsid w:val="001E6CB5"/>
    <w:rsid w:val="001F0519"/>
    <w:rsid w:val="001F0B79"/>
    <w:rsid w:val="001F13D9"/>
    <w:rsid w:val="001F1F8B"/>
    <w:rsid w:val="001F2767"/>
    <w:rsid w:val="001F2F21"/>
    <w:rsid w:val="001F32CA"/>
    <w:rsid w:val="001F42D9"/>
    <w:rsid w:val="001F478B"/>
    <w:rsid w:val="001F4BCD"/>
    <w:rsid w:val="001F5417"/>
    <w:rsid w:val="001F61EE"/>
    <w:rsid w:val="001F6825"/>
    <w:rsid w:val="001F69EB"/>
    <w:rsid w:val="001F75CF"/>
    <w:rsid w:val="00200E48"/>
    <w:rsid w:val="002013D3"/>
    <w:rsid w:val="002014DE"/>
    <w:rsid w:val="002026BC"/>
    <w:rsid w:val="00203718"/>
    <w:rsid w:val="00203AFA"/>
    <w:rsid w:val="00203D3F"/>
    <w:rsid w:val="00203F74"/>
    <w:rsid w:val="00204131"/>
    <w:rsid w:val="002042DC"/>
    <w:rsid w:val="00205066"/>
    <w:rsid w:val="002053C4"/>
    <w:rsid w:val="00207D58"/>
    <w:rsid w:val="002115FF"/>
    <w:rsid w:val="00211780"/>
    <w:rsid w:val="0021241D"/>
    <w:rsid w:val="00212725"/>
    <w:rsid w:val="00212850"/>
    <w:rsid w:val="00212A87"/>
    <w:rsid w:val="00212FB1"/>
    <w:rsid w:val="0021311F"/>
    <w:rsid w:val="00213E7B"/>
    <w:rsid w:val="0021435E"/>
    <w:rsid w:val="002144AF"/>
    <w:rsid w:val="002159D5"/>
    <w:rsid w:val="00216116"/>
    <w:rsid w:val="00216D87"/>
    <w:rsid w:val="002174D2"/>
    <w:rsid w:val="00217F39"/>
    <w:rsid w:val="0022136F"/>
    <w:rsid w:val="002214FC"/>
    <w:rsid w:val="00221CDB"/>
    <w:rsid w:val="0022280C"/>
    <w:rsid w:val="00222E98"/>
    <w:rsid w:val="00223202"/>
    <w:rsid w:val="00223423"/>
    <w:rsid w:val="00223706"/>
    <w:rsid w:val="00223FAB"/>
    <w:rsid w:val="0022423A"/>
    <w:rsid w:val="0022552B"/>
    <w:rsid w:val="00225C33"/>
    <w:rsid w:val="00226E24"/>
    <w:rsid w:val="00227845"/>
    <w:rsid w:val="00227D31"/>
    <w:rsid w:val="002329FC"/>
    <w:rsid w:val="00232D47"/>
    <w:rsid w:val="00232D84"/>
    <w:rsid w:val="0023383F"/>
    <w:rsid w:val="00234A01"/>
    <w:rsid w:val="00234CA9"/>
    <w:rsid w:val="0023660F"/>
    <w:rsid w:val="002367D7"/>
    <w:rsid w:val="00237693"/>
    <w:rsid w:val="002376D4"/>
    <w:rsid w:val="00237F7A"/>
    <w:rsid w:val="0024052A"/>
    <w:rsid w:val="00240B70"/>
    <w:rsid w:val="00241295"/>
    <w:rsid w:val="00242322"/>
    <w:rsid w:val="0024247F"/>
    <w:rsid w:val="00243406"/>
    <w:rsid w:val="00243F78"/>
    <w:rsid w:val="00244A26"/>
    <w:rsid w:val="00244F9D"/>
    <w:rsid w:val="00246AC5"/>
    <w:rsid w:val="002470FF"/>
    <w:rsid w:val="00247C4C"/>
    <w:rsid w:val="00250F75"/>
    <w:rsid w:val="0025164B"/>
    <w:rsid w:val="002523A3"/>
    <w:rsid w:val="0025243E"/>
    <w:rsid w:val="00254367"/>
    <w:rsid w:val="002548DE"/>
    <w:rsid w:val="0025533A"/>
    <w:rsid w:val="002555F1"/>
    <w:rsid w:val="00255805"/>
    <w:rsid w:val="0025713D"/>
    <w:rsid w:val="00257522"/>
    <w:rsid w:val="00257682"/>
    <w:rsid w:val="00257FB2"/>
    <w:rsid w:val="00260934"/>
    <w:rsid w:val="00261325"/>
    <w:rsid w:val="00261836"/>
    <w:rsid w:val="00261967"/>
    <w:rsid w:val="00262289"/>
    <w:rsid w:val="002623A7"/>
    <w:rsid w:val="00262A10"/>
    <w:rsid w:val="00263281"/>
    <w:rsid w:val="0026357A"/>
    <w:rsid w:val="002636CA"/>
    <w:rsid w:val="00264441"/>
    <w:rsid w:val="00264DFC"/>
    <w:rsid w:val="00264F62"/>
    <w:rsid w:val="0026578F"/>
    <w:rsid w:val="00265C65"/>
    <w:rsid w:val="00266CF8"/>
    <w:rsid w:val="00267538"/>
    <w:rsid w:val="0027074D"/>
    <w:rsid w:val="002710FE"/>
    <w:rsid w:val="002713FC"/>
    <w:rsid w:val="00271D77"/>
    <w:rsid w:val="00271E61"/>
    <w:rsid w:val="00271F2D"/>
    <w:rsid w:val="00272CFA"/>
    <w:rsid w:val="002731B7"/>
    <w:rsid w:val="00273EB2"/>
    <w:rsid w:val="0027403F"/>
    <w:rsid w:val="00274048"/>
    <w:rsid w:val="002740B8"/>
    <w:rsid w:val="0027474C"/>
    <w:rsid w:val="00274939"/>
    <w:rsid w:val="00274946"/>
    <w:rsid w:val="00275398"/>
    <w:rsid w:val="002757C7"/>
    <w:rsid w:val="0027599C"/>
    <w:rsid w:val="00275C2F"/>
    <w:rsid w:val="00275C61"/>
    <w:rsid w:val="00275FAD"/>
    <w:rsid w:val="00276401"/>
    <w:rsid w:val="00276BE8"/>
    <w:rsid w:val="00277378"/>
    <w:rsid w:val="002801CB"/>
    <w:rsid w:val="002806E5"/>
    <w:rsid w:val="002807F9"/>
    <w:rsid w:val="00280EF1"/>
    <w:rsid w:val="002812F4"/>
    <w:rsid w:val="00281430"/>
    <w:rsid w:val="00281CD6"/>
    <w:rsid w:val="002833E4"/>
    <w:rsid w:val="00283BA0"/>
    <w:rsid w:val="00283CF6"/>
    <w:rsid w:val="00284105"/>
    <w:rsid w:val="00284469"/>
    <w:rsid w:val="00284A2A"/>
    <w:rsid w:val="00284A6D"/>
    <w:rsid w:val="0028530F"/>
    <w:rsid w:val="00285DFC"/>
    <w:rsid w:val="00286483"/>
    <w:rsid w:val="00286A76"/>
    <w:rsid w:val="00286E58"/>
    <w:rsid w:val="002870B3"/>
    <w:rsid w:val="00287217"/>
    <w:rsid w:val="002876B0"/>
    <w:rsid w:val="002914DC"/>
    <w:rsid w:val="00291DD8"/>
    <w:rsid w:val="0029377D"/>
    <w:rsid w:val="002948C6"/>
    <w:rsid w:val="00294C15"/>
    <w:rsid w:val="00295953"/>
    <w:rsid w:val="00295D29"/>
    <w:rsid w:val="00296160"/>
    <w:rsid w:val="002A0E55"/>
    <w:rsid w:val="002A199D"/>
    <w:rsid w:val="002A209D"/>
    <w:rsid w:val="002A25AB"/>
    <w:rsid w:val="002A4143"/>
    <w:rsid w:val="002A43C1"/>
    <w:rsid w:val="002A4DB0"/>
    <w:rsid w:val="002A4E73"/>
    <w:rsid w:val="002A5062"/>
    <w:rsid w:val="002A51B2"/>
    <w:rsid w:val="002A5544"/>
    <w:rsid w:val="002A56BB"/>
    <w:rsid w:val="002A56F2"/>
    <w:rsid w:val="002A57D6"/>
    <w:rsid w:val="002A5B18"/>
    <w:rsid w:val="002A645A"/>
    <w:rsid w:val="002A6864"/>
    <w:rsid w:val="002A72BF"/>
    <w:rsid w:val="002A76B3"/>
    <w:rsid w:val="002A7D35"/>
    <w:rsid w:val="002B0172"/>
    <w:rsid w:val="002B1A0C"/>
    <w:rsid w:val="002B1CCA"/>
    <w:rsid w:val="002B1D37"/>
    <w:rsid w:val="002B1D5A"/>
    <w:rsid w:val="002B2F43"/>
    <w:rsid w:val="002B319C"/>
    <w:rsid w:val="002B3497"/>
    <w:rsid w:val="002B34F8"/>
    <w:rsid w:val="002B433A"/>
    <w:rsid w:val="002B4A81"/>
    <w:rsid w:val="002B52F2"/>
    <w:rsid w:val="002B5893"/>
    <w:rsid w:val="002B69C0"/>
    <w:rsid w:val="002B6A1E"/>
    <w:rsid w:val="002C052A"/>
    <w:rsid w:val="002C05B3"/>
    <w:rsid w:val="002C0A3B"/>
    <w:rsid w:val="002C10C3"/>
    <w:rsid w:val="002C13E0"/>
    <w:rsid w:val="002C1858"/>
    <w:rsid w:val="002C20EB"/>
    <w:rsid w:val="002C227F"/>
    <w:rsid w:val="002C22A9"/>
    <w:rsid w:val="002C289B"/>
    <w:rsid w:val="002C2BEC"/>
    <w:rsid w:val="002C2F90"/>
    <w:rsid w:val="002C3073"/>
    <w:rsid w:val="002C3398"/>
    <w:rsid w:val="002C3553"/>
    <w:rsid w:val="002C41A0"/>
    <w:rsid w:val="002C49EC"/>
    <w:rsid w:val="002C5961"/>
    <w:rsid w:val="002C5D75"/>
    <w:rsid w:val="002C6118"/>
    <w:rsid w:val="002C6421"/>
    <w:rsid w:val="002C66AF"/>
    <w:rsid w:val="002C680C"/>
    <w:rsid w:val="002D0DAF"/>
    <w:rsid w:val="002D1094"/>
    <w:rsid w:val="002D23D5"/>
    <w:rsid w:val="002D38D4"/>
    <w:rsid w:val="002D3952"/>
    <w:rsid w:val="002D400D"/>
    <w:rsid w:val="002D7F41"/>
    <w:rsid w:val="002E084D"/>
    <w:rsid w:val="002E1A6C"/>
    <w:rsid w:val="002E1E92"/>
    <w:rsid w:val="002E208B"/>
    <w:rsid w:val="002E2A24"/>
    <w:rsid w:val="002E2DC2"/>
    <w:rsid w:val="002E32AD"/>
    <w:rsid w:val="002E367D"/>
    <w:rsid w:val="002E3749"/>
    <w:rsid w:val="002E4109"/>
    <w:rsid w:val="002E43D7"/>
    <w:rsid w:val="002E478C"/>
    <w:rsid w:val="002E48A9"/>
    <w:rsid w:val="002E5113"/>
    <w:rsid w:val="002E6857"/>
    <w:rsid w:val="002E6B61"/>
    <w:rsid w:val="002E700B"/>
    <w:rsid w:val="002E71A2"/>
    <w:rsid w:val="002E7470"/>
    <w:rsid w:val="002E7D28"/>
    <w:rsid w:val="002E7EF8"/>
    <w:rsid w:val="002F06BA"/>
    <w:rsid w:val="002F0DFF"/>
    <w:rsid w:val="002F0F45"/>
    <w:rsid w:val="002F15E6"/>
    <w:rsid w:val="002F1DEB"/>
    <w:rsid w:val="002F1F2A"/>
    <w:rsid w:val="002F2AF1"/>
    <w:rsid w:val="002F2DDC"/>
    <w:rsid w:val="002F32C1"/>
    <w:rsid w:val="002F420F"/>
    <w:rsid w:val="002F49BD"/>
    <w:rsid w:val="002F4F7C"/>
    <w:rsid w:val="002F5983"/>
    <w:rsid w:val="002F7A0D"/>
    <w:rsid w:val="002F7F52"/>
    <w:rsid w:val="00301AE9"/>
    <w:rsid w:val="00302262"/>
    <w:rsid w:val="00302AF3"/>
    <w:rsid w:val="00302E77"/>
    <w:rsid w:val="003038DF"/>
    <w:rsid w:val="003050AC"/>
    <w:rsid w:val="00305BC5"/>
    <w:rsid w:val="00305C4B"/>
    <w:rsid w:val="00307C2C"/>
    <w:rsid w:val="00307D56"/>
    <w:rsid w:val="003103DB"/>
    <w:rsid w:val="00310933"/>
    <w:rsid w:val="0031161A"/>
    <w:rsid w:val="0031203E"/>
    <w:rsid w:val="00312271"/>
    <w:rsid w:val="00313795"/>
    <w:rsid w:val="003143E3"/>
    <w:rsid w:val="00314794"/>
    <w:rsid w:val="003148C2"/>
    <w:rsid w:val="00315DF0"/>
    <w:rsid w:val="00315FF1"/>
    <w:rsid w:val="003161BD"/>
    <w:rsid w:val="003172AB"/>
    <w:rsid w:val="00320127"/>
    <w:rsid w:val="003208F0"/>
    <w:rsid w:val="0032163D"/>
    <w:rsid w:val="0032184F"/>
    <w:rsid w:val="00322130"/>
    <w:rsid w:val="00322A9F"/>
    <w:rsid w:val="00322FE0"/>
    <w:rsid w:val="00323125"/>
    <w:rsid w:val="003244FD"/>
    <w:rsid w:val="0032480F"/>
    <w:rsid w:val="00327835"/>
    <w:rsid w:val="00327B73"/>
    <w:rsid w:val="00330437"/>
    <w:rsid w:val="0033065D"/>
    <w:rsid w:val="00330CDF"/>
    <w:rsid w:val="00331BF5"/>
    <w:rsid w:val="00331F11"/>
    <w:rsid w:val="0033262D"/>
    <w:rsid w:val="003327C3"/>
    <w:rsid w:val="0033311C"/>
    <w:rsid w:val="00333C86"/>
    <w:rsid w:val="00335176"/>
    <w:rsid w:val="00337B72"/>
    <w:rsid w:val="003402AB"/>
    <w:rsid w:val="0034039A"/>
    <w:rsid w:val="00340451"/>
    <w:rsid w:val="00340A36"/>
    <w:rsid w:val="00341586"/>
    <w:rsid w:val="00341AC8"/>
    <w:rsid w:val="00341D2E"/>
    <w:rsid w:val="00341F38"/>
    <w:rsid w:val="00342699"/>
    <w:rsid w:val="0034308B"/>
    <w:rsid w:val="00343262"/>
    <w:rsid w:val="003435A5"/>
    <w:rsid w:val="00343E40"/>
    <w:rsid w:val="003441E9"/>
    <w:rsid w:val="00344B47"/>
    <w:rsid w:val="003452C3"/>
    <w:rsid w:val="003459C7"/>
    <w:rsid w:val="00345B39"/>
    <w:rsid w:val="0034692B"/>
    <w:rsid w:val="00347555"/>
    <w:rsid w:val="003502D4"/>
    <w:rsid w:val="00350930"/>
    <w:rsid w:val="003516C1"/>
    <w:rsid w:val="0035287B"/>
    <w:rsid w:val="00352C72"/>
    <w:rsid w:val="00352D03"/>
    <w:rsid w:val="00352F84"/>
    <w:rsid w:val="00352F8E"/>
    <w:rsid w:val="003534D5"/>
    <w:rsid w:val="00353C63"/>
    <w:rsid w:val="00354327"/>
    <w:rsid w:val="003544F0"/>
    <w:rsid w:val="00354BB6"/>
    <w:rsid w:val="00354BD4"/>
    <w:rsid w:val="00355BB6"/>
    <w:rsid w:val="00356916"/>
    <w:rsid w:val="0035708F"/>
    <w:rsid w:val="00357577"/>
    <w:rsid w:val="0036113C"/>
    <w:rsid w:val="003614C1"/>
    <w:rsid w:val="003615A7"/>
    <w:rsid w:val="00361682"/>
    <w:rsid w:val="00362377"/>
    <w:rsid w:val="00362E2F"/>
    <w:rsid w:val="00362FC0"/>
    <w:rsid w:val="00363E16"/>
    <w:rsid w:val="00364206"/>
    <w:rsid w:val="0036440F"/>
    <w:rsid w:val="003644CE"/>
    <w:rsid w:val="00364569"/>
    <w:rsid w:val="003648B4"/>
    <w:rsid w:val="00365B4C"/>
    <w:rsid w:val="00366869"/>
    <w:rsid w:val="003669BC"/>
    <w:rsid w:val="00366C19"/>
    <w:rsid w:val="00367864"/>
    <w:rsid w:val="00367E71"/>
    <w:rsid w:val="00370BA0"/>
    <w:rsid w:val="003718EC"/>
    <w:rsid w:val="00371F0C"/>
    <w:rsid w:val="0037213A"/>
    <w:rsid w:val="00372148"/>
    <w:rsid w:val="003722E8"/>
    <w:rsid w:val="003729FD"/>
    <w:rsid w:val="00373FC4"/>
    <w:rsid w:val="00375B80"/>
    <w:rsid w:val="003762C2"/>
    <w:rsid w:val="003765BA"/>
    <w:rsid w:val="00376C37"/>
    <w:rsid w:val="00376DE4"/>
    <w:rsid w:val="00377288"/>
    <w:rsid w:val="00380E82"/>
    <w:rsid w:val="003817D4"/>
    <w:rsid w:val="00381902"/>
    <w:rsid w:val="00381AF1"/>
    <w:rsid w:val="00381C12"/>
    <w:rsid w:val="00381C6C"/>
    <w:rsid w:val="00383135"/>
    <w:rsid w:val="0038373D"/>
    <w:rsid w:val="00383A63"/>
    <w:rsid w:val="0038405C"/>
    <w:rsid w:val="00384065"/>
    <w:rsid w:val="003845AF"/>
    <w:rsid w:val="00384935"/>
    <w:rsid w:val="00384FBA"/>
    <w:rsid w:val="003857D8"/>
    <w:rsid w:val="003866CE"/>
    <w:rsid w:val="00386B06"/>
    <w:rsid w:val="0038713A"/>
    <w:rsid w:val="003871D0"/>
    <w:rsid w:val="00387B7A"/>
    <w:rsid w:val="003901BD"/>
    <w:rsid w:val="003916DA"/>
    <w:rsid w:val="00391AFC"/>
    <w:rsid w:val="00392165"/>
    <w:rsid w:val="0039233F"/>
    <w:rsid w:val="003924DA"/>
    <w:rsid w:val="00393879"/>
    <w:rsid w:val="0039452C"/>
    <w:rsid w:val="0039510D"/>
    <w:rsid w:val="003951B9"/>
    <w:rsid w:val="003951C0"/>
    <w:rsid w:val="00395D89"/>
    <w:rsid w:val="003966BF"/>
    <w:rsid w:val="00397730"/>
    <w:rsid w:val="00397D41"/>
    <w:rsid w:val="003A0629"/>
    <w:rsid w:val="003A0C47"/>
    <w:rsid w:val="003A169E"/>
    <w:rsid w:val="003A16A3"/>
    <w:rsid w:val="003A1E3C"/>
    <w:rsid w:val="003A20A3"/>
    <w:rsid w:val="003A20AA"/>
    <w:rsid w:val="003A2DF8"/>
    <w:rsid w:val="003A340D"/>
    <w:rsid w:val="003A4184"/>
    <w:rsid w:val="003A41D2"/>
    <w:rsid w:val="003A475C"/>
    <w:rsid w:val="003A6396"/>
    <w:rsid w:val="003A6E55"/>
    <w:rsid w:val="003A7054"/>
    <w:rsid w:val="003A7257"/>
    <w:rsid w:val="003A735A"/>
    <w:rsid w:val="003A786C"/>
    <w:rsid w:val="003B0C5F"/>
    <w:rsid w:val="003B0ED2"/>
    <w:rsid w:val="003B14E6"/>
    <w:rsid w:val="003B1FBA"/>
    <w:rsid w:val="003B28D5"/>
    <w:rsid w:val="003B2964"/>
    <w:rsid w:val="003B3003"/>
    <w:rsid w:val="003B359D"/>
    <w:rsid w:val="003B38CE"/>
    <w:rsid w:val="003B3A25"/>
    <w:rsid w:val="003B4312"/>
    <w:rsid w:val="003B515C"/>
    <w:rsid w:val="003B5C4C"/>
    <w:rsid w:val="003B6BAF"/>
    <w:rsid w:val="003B6DBB"/>
    <w:rsid w:val="003B73E3"/>
    <w:rsid w:val="003B7F01"/>
    <w:rsid w:val="003C0ABF"/>
    <w:rsid w:val="003C1111"/>
    <w:rsid w:val="003C1809"/>
    <w:rsid w:val="003C1F02"/>
    <w:rsid w:val="003C21F2"/>
    <w:rsid w:val="003C288B"/>
    <w:rsid w:val="003C2A1F"/>
    <w:rsid w:val="003C2A7A"/>
    <w:rsid w:val="003C3F72"/>
    <w:rsid w:val="003C466B"/>
    <w:rsid w:val="003C4750"/>
    <w:rsid w:val="003C4B8A"/>
    <w:rsid w:val="003C4CD4"/>
    <w:rsid w:val="003C562D"/>
    <w:rsid w:val="003C56BB"/>
    <w:rsid w:val="003C5F62"/>
    <w:rsid w:val="003C63B1"/>
    <w:rsid w:val="003C6CDA"/>
    <w:rsid w:val="003C78F3"/>
    <w:rsid w:val="003D04D5"/>
    <w:rsid w:val="003D234F"/>
    <w:rsid w:val="003D2A48"/>
    <w:rsid w:val="003D2F46"/>
    <w:rsid w:val="003D336C"/>
    <w:rsid w:val="003D3382"/>
    <w:rsid w:val="003D449C"/>
    <w:rsid w:val="003D46FA"/>
    <w:rsid w:val="003D4837"/>
    <w:rsid w:val="003D5CB2"/>
    <w:rsid w:val="003D5E1B"/>
    <w:rsid w:val="003D6290"/>
    <w:rsid w:val="003D62EC"/>
    <w:rsid w:val="003D6428"/>
    <w:rsid w:val="003D6618"/>
    <w:rsid w:val="003D687D"/>
    <w:rsid w:val="003D6B94"/>
    <w:rsid w:val="003D7113"/>
    <w:rsid w:val="003D7280"/>
    <w:rsid w:val="003D7634"/>
    <w:rsid w:val="003D7C80"/>
    <w:rsid w:val="003E007A"/>
    <w:rsid w:val="003E0C4A"/>
    <w:rsid w:val="003E1167"/>
    <w:rsid w:val="003E1ABC"/>
    <w:rsid w:val="003E3D0F"/>
    <w:rsid w:val="003E41CE"/>
    <w:rsid w:val="003E4ADE"/>
    <w:rsid w:val="003E4EBC"/>
    <w:rsid w:val="003E60F9"/>
    <w:rsid w:val="003E638E"/>
    <w:rsid w:val="003E665D"/>
    <w:rsid w:val="003E6D4A"/>
    <w:rsid w:val="003E6F24"/>
    <w:rsid w:val="003E7B81"/>
    <w:rsid w:val="003E7F68"/>
    <w:rsid w:val="003F0296"/>
    <w:rsid w:val="003F0AA7"/>
    <w:rsid w:val="003F0C1B"/>
    <w:rsid w:val="003F0D4A"/>
    <w:rsid w:val="003F1101"/>
    <w:rsid w:val="003F13AE"/>
    <w:rsid w:val="003F1775"/>
    <w:rsid w:val="003F1F4A"/>
    <w:rsid w:val="003F607F"/>
    <w:rsid w:val="003F6D33"/>
    <w:rsid w:val="003F6D6A"/>
    <w:rsid w:val="003F7C7C"/>
    <w:rsid w:val="003F7DCF"/>
    <w:rsid w:val="003F7F98"/>
    <w:rsid w:val="0040009C"/>
    <w:rsid w:val="004006AB"/>
    <w:rsid w:val="004011FB"/>
    <w:rsid w:val="0040140B"/>
    <w:rsid w:val="004015F3"/>
    <w:rsid w:val="004018C8"/>
    <w:rsid w:val="00402A07"/>
    <w:rsid w:val="00402A50"/>
    <w:rsid w:val="00402D49"/>
    <w:rsid w:val="00403C4D"/>
    <w:rsid w:val="004047C6"/>
    <w:rsid w:val="004048B0"/>
    <w:rsid w:val="004049B9"/>
    <w:rsid w:val="00404B25"/>
    <w:rsid w:val="00405E5A"/>
    <w:rsid w:val="00406037"/>
    <w:rsid w:val="004063D8"/>
    <w:rsid w:val="00406413"/>
    <w:rsid w:val="00406861"/>
    <w:rsid w:val="00406B25"/>
    <w:rsid w:val="0040761F"/>
    <w:rsid w:val="0040767C"/>
    <w:rsid w:val="00407850"/>
    <w:rsid w:val="0041088D"/>
    <w:rsid w:val="00410B11"/>
    <w:rsid w:val="00410C06"/>
    <w:rsid w:val="004117E3"/>
    <w:rsid w:val="00411EE3"/>
    <w:rsid w:val="0041202A"/>
    <w:rsid w:val="0041287D"/>
    <w:rsid w:val="00412A48"/>
    <w:rsid w:val="00412A5A"/>
    <w:rsid w:val="00412B02"/>
    <w:rsid w:val="00412C3C"/>
    <w:rsid w:val="00412CB4"/>
    <w:rsid w:val="00415BC5"/>
    <w:rsid w:val="004160B1"/>
    <w:rsid w:val="004169F9"/>
    <w:rsid w:val="0041701B"/>
    <w:rsid w:val="00417C82"/>
    <w:rsid w:val="00417D6D"/>
    <w:rsid w:val="00417DBE"/>
    <w:rsid w:val="00420B99"/>
    <w:rsid w:val="00420D72"/>
    <w:rsid w:val="00422A3C"/>
    <w:rsid w:val="00422F97"/>
    <w:rsid w:val="0042328A"/>
    <w:rsid w:val="004234FB"/>
    <w:rsid w:val="00423731"/>
    <w:rsid w:val="004237A9"/>
    <w:rsid w:val="004237D3"/>
    <w:rsid w:val="00423AC6"/>
    <w:rsid w:val="00425503"/>
    <w:rsid w:val="0042659E"/>
    <w:rsid w:val="00426881"/>
    <w:rsid w:val="00427AFC"/>
    <w:rsid w:val="00430006"/>
    <w:rsid w:val="00430232"/>
    <w:rsid w:val="00430AA1"/>
    <w:rsid w:val="00430B05"/>
    <w:rsid w:val="00430DF5"/>
    <w:rsid w:val="0043182E"/>
    <w:rsid w:val="00433540"/>
    <w:rsid w:val="00433EE4"/>
    <w:rsid w:val="00434FD0"/>
    <w:rsid w:val="004357FB"/>
    <w:rsid w:val="00437586"/>
    <w:rsid w:val="004379B6"/>
    <w:rsid w:val="00437EA4"/>
    <w:rsid w:val="0044083B"/>
    <w:rsid w:val="00440B76"/>
    <w:rsid w:val="00440D33"/>
    <w:rsid w:val="0044185D"/>
    <w:rsid w:val="0044231D"/>
    <w:rsid w:val="00443C33"/>
    <w:rsid w:val="00443E37"/>
    <w:rsid w:val="00443FE8"/>
    <w:rsid w:val="00444512"/>
    <w:rsid w:val="004445AB"/>
    <w:rsid w:val="00444EBB"/>
    <w:rsid w:val="00444FAC"/>
    <w:rsid w:val="00445061"/>
    <w:rsid w:val="0044563A"/>
    <w:rsid w:val="00445CDF"/>
    <w:rsid w:val="004468AB"/>
    <w:rsid w:val="0044734D"/>
    <w:rsid w:val="0044746A"/>
    <w:rsid w:val="004505A6"/>
    <w:rsid w:val="00451312"/>
    <w:rsid w:val="00451535"/>
    <w:rsid w:val="004516F5"/>
    <w:rsid w:val="00451978"/>
    <w:rsid w:val="004525F1"/>
    <w:rsid w:val="00452624"/>
    <w:rsid w:val="004526D4"/>
    <w:rsid w:val="004527BC"/>
    <w:rsid w:val="00452EDA"/>
    <w:rsid w:val="004530B4"/>
    <w:rsid w:val="004537EF"/>
    <w:rsid w:val="00454BBE"/>
    <w:rsid w:val="00457D24"/>
    <w:rsid w:val="00457D2D"/>
    <w:rsid w:val="004606C9"/>
    <w:rsid w:val="0046131C"/>
    <w:rsid w:val="00461786"/>
    <w:rsid w:val="00461B5F"/>
    <w:rsid w:val="00461B61"/>
    <w:rsid w:val="00461C51"/>
    <w:rsid w:val="00464A41"/>
    <w:rsid w:val="00464F29"/>
    <w:rsid w:val="0046583E"/>
    <w:rsid w:val="00466217"/>
    <w:rsid w:val="00466786"/>
    <w:rsid w:val="004668BB"/>
    <w:rsid w:val="004676DA"/>
    <w:rsid w:val="00470741"/>
    <w:rsid w:val="0047075B"/>
    <w:rsid w:val="004708FC"/>
    <w:rsid w:val="004729DE"/>
    <w:rsid w:val="004730BA"/>
    <w:rsid w:val="004731D3"/>
    <w:rsid w:val="0047348D"/>
    <w:rsid w:val="00473FA2"/>
    <w:rsid w:val="004744AA"/>
    <w:rsid w:val="0047492C"/>
    <w:rsid w:val="00474CE9"/>
    <w:rsid w:val="004754FA"/>
    <w:rsid w:val="00476F26"/>
    <w:rsid w:val="004772A5"/>
    <w:rsid w:val="004773BF"/>
    <w:rsid w:val="004801F0"/>
    <w:rsid w:val="00481DD7"/>
    <w:rsid w:val="00482ED7"/>
    <w:rsid w:val="00483A45"/>
    <w:rsid w:val="004846A0"/>
    <w:rsid w:val="0048503A"/>
    <w:rsid w:val="004855CD"/>
    <w:rsid w:val="004866EC"/>
    <w:rsid w:val="00486BCF"/>
    <w:rsid w:val="00486EE9"/>
    <w:rsid w:val="004877D0"/>
    <w:rsid w:val="00487EA9"/>
    <w:rsid w:val="004908D5"/>
    <w:rsid w:val="004912AA"/>
    <w:rsid w:val="00491313"/>
    <w:rsid w:val="00491F84"/>
    <w:rsid w:val="00492050"/>
    <w:rsid w:val="004926B8"/>
    <w:rsid w:val="0049299C"/>
    <w:rsid w:val="00492B08"/>
    <w:rsid w:val="00494322"/>
    <w:rsid w:val="00494829"/>
    <w:rsid w:val="00495172"/>
    <w:rsid w:val="00495779"/>
    <w:rsid w:val="00495FFF"/>
    <w:rsid w:val="00496805"/>
    <w:rsid w:val="004968E6"/>
    <w:rsid w:val="00496998"/>
    <w:rsid w:val="00497A0F"/>
    <w:rsid w:val="004A0614"/>
    <w:rsid w:val="004A067C"/>
    <w:rsid w:val="004A0729"/>
    <w:rsid w:val="004A0A82"/>
    <w:rsid w:val="004A0CB2"/>
    <w:rsid w:val="004A0ED2"/>
    <w:rsid w:val="004A1437"/>
    <w:rsid w:val="004A1A68"/>
    <w:rsid w:val="004A2011"/>
    <w:rsid w:val="004A2067"/>
    <w:rsid w:val="004A20D7"/>
    <w:rsid w:val="004A239F"/>
    <w:rsid w:val="004A2415"/>
    <w:rsid w:val="004A2BB7"/>
    <w:rsid w:val="004A31FF"/>
    <w:rsid w:val="004A32B1"/>
    <w:rsid w:val="004A3515"/>
    <w:rsid w:val="004A3B1D"/>
    <w:rsid w:val="004A453B"/>
    <w:rsid w:val="004A4671"/>
    <w:rsid w:val="004A49BD"/>
    <w:rsid w:val="004A49DE"/>
    <w:rsid w:val="004A4C66"/>
    <w:rsid w:val="004A54D1"/>
    <w:rsid w:val="004A5C26"/>
    <w:rsid w:val="004A6905"/>
    <w:rsid w:val="004A7159"/>
    <w:rsid w:val="004A755F"/>
    <w:rsid w:val="004A7A51"/>
    <w:rsid w:val="004A7C28"/>
    <w:rsid w:val="004B06FB"/>
    <w:rsid w:val="004B25F0"/>
    <w:rsid w:val="004B2ED2"/>
    <w:rsid w:val="004B3610"/>
    <w:rsid w:val="004B3D6D"/>
    <w:rsid w:val="004B46B2"/>
    <w:rsid w:val="004B4A12"/>
    <w:rsid w:val="004B53C1"/>
    <w:rsid w:val="004B5986"/>
    <w:rsid w:val="004B6127"/>
    <w:rsid w:val="004B648F"/>
    <w:rsid w:val="004B6A2F"/>
    <w:rsid w:val="004B6DF4"/>
    <w:rsid w:val="004B7170"/>
    <w:rsid w:val="004C045A"/>
    <w:rsid w:val="004C0B09"/>
    <w:rsid w:val="004C0D57"/>
    <w:rsid w:val="004C11E1"/>
    <w:rsid w:val="004C5233"/>
    <w:rsid w:val="004C5AB3"/>
    <w:rsid w:val="004C5C12"/>
    <w:rsid w:val="004C5E97"/>
    <w:rsid w:val="004C70B2"/>
    <w:rsid w:val="004C710D"/>
    <w:rsid w:val="004C7EE3"/>
    <w:rsid w:val="004D0521"/>
    <w:rsid w:val="004D0694"/>
    <w:rsid w:val="004D14D8"/>
    <w:rsid w:val="004D1777"/>
    <w:rsid w:val="004D1ADA"/>
    <w:rsid w:val="004D22BE"/>
    <w:rsid w:val="004D254C"/>
    <w:rsid w:val="004D278B"/>
    <w:rsid w:val="004D32F7"/>
    <w:rsid w:val="004D3843"/>
    <w:rsid w:val="004D463B"/>
    <w:rsid w:val="004D6396"/>
    <w:rsid w:val="004D65F7"/>
    <w:rsid w:val="004D6B7A"/>
    <w:rsid w:val="004D7A4F"/>
    <w:rsid w:val="004E0707"/>
    <w:rsid w:val="004E19F9"/>
    <w:rsid w:val="004E1A1D"/>
    <w:rsid w:val="004E2582"/>
    <w:rsid w:val="004E3672"/>
    <w:rsid w:val="004E3DAB"/>
    <w:rsid w:val="004E3E4B"/>
    <w:rsid w:val="004E3F63"/>
    <w:rsid w:val="004E47E6"/>
    <w:rsid w:val="004E4E5B"/>
    <w:rsid w:val="004E540A"/>
    <w:rsid w:val="004E5D74"/>
    <w:rsid w:val="004E639C"/>
    <w:rsid w:val="004E794F"/>
    <w:rsid w:val="004F03D5"/>
    <w:rsid w:val="004F0593"/>
    <w:rsid w:val="004F0FD6"/>
    <w:rsid w:val="004F178F"/>
    <w:rsid w:val="004F253B"/>
    <w:rsid w:val="004F27C6"/>
    <w:rsid w:val="004F2BC8"/>
    <w:rsid w:val="004F2F9F"/>
    <w:rsid w:val="004F3136"/>
    <w:rsid w:val="004F3C51"/>
    <w:rsid w:val="004F4421"/>
    <w:rsid w:val="004F4469"/>
    <w:rsid w:val="004F46C3"/>
    <w:rsid w:val="004F47FE"/>
    <w:rsid w:val="004F49D7"/>
    <w:rsid w:val="004F4B13"/>
    <w:rsid w:val="004F5963"/>
    <w:rsid w:val="004F61A7"/>
    <w:rsid w:val="004F61E9"/>
    <w:rsid w:val="004F724C"/>
    <w:rsid w:val="005003F0"/>
    <w:rsid w:val="0050144F"/>
    <w:rsid w:val="0050158B"/>
    <w:rsid w:val="00501BB4"/>
    <w:rsid w:val="00501CEB"/>
    <w:rsid w:val="00504FF9"/>
    <w:rsid w:val="00505BBF"/>
    <w:rsid w:val="00505E12"/>
    <w:rsid w:val="005065D1"/>
    <w:rsid w:val="005068A3"/>
    <w:rsid w:val="00506CD5"/>
    <w:rsid w:val="0050769D"/>
    <w:rsid w:val="005079C1"/>
    <w:rsid w:val="00507C4D"/>
    <w:rsid w:val="00507E00"/>
    <w:rsid w:val="005107AC"/>
    <w:rsid w:val="00510B45"/>
    <w:rsid w:val="00511547"/>
    <w:rsid w:val="00512036"/>
    <w:rsid w:val="00513264"/>
    <w:rsid w:val="00513933"/>
    <w:rsid w:val="005141E8"/>
    <w:rsid w:val="005145FD"/>
    <w:rsid w:val="005146B7"/>
    <w:rsid w:val="005152D2"/>
    <w:rsid w:val="00515325"/>
    <w:rsid w:val="0051541E"/>
    <w:rsid w:val="00515801"/>
    <w:rsid w:val="00515E92"/>
    <w:rsid w:val="00516442"/>
    <w:rsid w:val="00517F7F"/>
    <w:rsid w:val="005201E8"/>
    <w:rsid w:val="0052090A"/>
    <w:rsid w:val="00520D88"/>
    <w:rsid w:val="005219D0"/>
    <w:rsid w:val="00522220"/>
    <w:rsid w:val="00522BB8"/>
    <w:rsid w:val="00523F36"/>
    <w:rsid w:val="005246A9"/>
    <w:rsid w:val="00524BCB"/>
    <w:rsid w:val="00524CE5"/>
    <w:rsid w:val="005252F3"/>
    <w:rsid w:val="00525BEB"/>
    <w:rsid w:val="00526E18"/>
    <w:rsid w:val="00527492"/>
    <w:rsid w:val="005277A0"/>
    <w:rsid w:val="00527945"/>
    <w:rsid w:val="00527A17"/>
    <w:rsid w:val="005303BC"/>
    <w:rsid w:val="0053101D"/>
    <w:rsid w:val="00531A57"/>
    <w:rsid w:val="00532132"/>
    <w:rsid w:val="005337EB"/>
    <w:rsid w:val="00533D94"/>
    <w:rsid w:val="00534D6E"/>
    <w:rsid w:val="005353B1"/>
    <w:rsid w:val="00535473"/>
    <w:rsid w:val="00536295"/>
    <w:rsid w:val="0053686B"/>
    <w:rsid w:val="00536AA3"/>
    <w:rsid w:val="00536BAC"/>
    <w:rsid w:val="00537134"/>
    <w:rsid w:val="00537248"/>
    <w:rsid w:val="00537452"/>
    <w:rsid w:val="00537914"/>
    <w:rsid w:val="00537C95"/>
    <w:rsid w:val="005402A5"/>
    <w:rsid w:val="005402F6"/>
    <w:rsid w:val="00541CAC"/>
    <w:rsid w:val="00542424"/>
    <w:rsid w:val="005424FE"/>
    <w:rsid w:val="00542C85"/>
    <w:rsid w:val="00543148"/>
    <w:rsid w:val="0054444B"/>
    <w:rsid w:val="00544925"/>
    <w:rsid w:val="00544AB3"/>
    <w:rsid w:val="00545211"/>
    <w:rsid w:val="00545369"/>
    <w:rsid w:val="0054677D"/>
    <w:rsid w:val="00546C8C"/>
    <w:rsid w:val="00546E16"/>
    <w:rsid w:val="00546F9B"/>
    <w:rsid w:val="00547196"/>
    <w:rsid w:val="00547785"/>
    <w:rsid w:val="00547A5D"/>
    <w:rsid w:val="00547DD5"/>
    <w:rsid w:val="00547EAD"/>
    <w:rsid w:val="00550B8D"/>
    <w:rsid w:val="00550CE0"/>
    <w:rsid w:val="005515B1"/>
    <w:rsid w:val="0055188B"/>
    <w:rsid w:val="005519BB"/>
    <w:rsid w:val="00551A4A"/>
    <w:rsid w:val="00551B2E"/>
    <w:rsid w:val="00551B4B"/>
    <w:rsid w:val="00552111"/>
    <w:rsid w:val="005523A2"/>
    <w:rsid w:val="005541D2"/>
    <w:rsid w:val="00554D4B"/>
    <w:rsid w:val="005554E4"/>
    <w:rsid w:val="005560A2"/>
    <w:rsid w:val="00556689"/>
    <w:rsid w:val="00557855"/>
    <w:rsid w:val="0056022C"/>
    <w:rsid w:val="00561ACB"/>
    <w:rsid w:val="00561B71"/>
    <w:rsid w:val="00561F0E"/>
    <w:rsid w:val="005627B5"/>
    <w:rsid w:val="00562917"/>
    <w:rsid w:val="00563297"/>
    <w:rsid w:val="0056392D"/>
    <w:rsid w:val="00563CEC"/>
    <w:rsid w:val="00564235"/>
    <w:rsid w:val="00564433"/>
    <w:rsid w:val="00565D0C"/>
    <w:rsid w:val="00565F01"/>
    <w:rsid w:val="0056631E"/>
    <w:rsid w:val="00566938"/>
    <w:rsid w:val="005670AB"/>
    <w:rsid w:val="00567392"/>
    <w:rsid w:val="0056742C"/>
    <w:rsid w:val="00567852"/>
    <w:rsid w:val="00570C1D"/>
    <w:rsid w:val="00571368"/>
    <w:rsid w:val="005714C0"/>
    <w:rsid w:val="0057260E"/>
    <w:rsid w:val="00572674"/>
    <w:rsid w:val="00573E93"/>
    <w:rsid w:val="00574202"/>
    <w:rsid w:val="00574290"/>
    <w:rsid w:val="005742D4"/>
    <w:rsid w:val="00574521"/>
    <w:rsid w:val="00574D42"/>
    <w:rsid w:val="00574EEB"/>
    <w:rsid w:val="005750AC"/>
    <w:rsid w:val="005755BB"/>
    <w:rsid w:val="00575E7C"/>
    <w:rsid w:val="00575F37"/>
    <w:rsid w:val="00576041"/>
    <w:rsid w:val="005768FB"/>
    <w:rsid w:val="00576911"/>
    <w:rsid w:val="00576E01"/>
    <w:rsid w:val="00576E74"/>
    <w:rsid w:val="00576FC4"/>
    <w:rsid w:val="00577647"/>
    <w:rsid w:val="00577737"/>
    <w:rsid w:val="005779D1"/>
    <w:rsid w:val="00577C7F"/>
    <w:rsid w:val="00577D31"/>
    <w:rsid w:val="00577FCC"/>
    <w:rsid w:val="00580D68"/>
    <w:rsid w:val="0058122F"/>
    <w:rsid w:val="00581257"/>
    <w:rsid w:val="0058277B"/>
    <w:rsid w:val="00582A60"/>
    <w:rsid w:val="00582EED"/>
    <w:rsid w:val="00582F09"/>
    <w:rsid w:val="00583D12"/>
    <w:rsid w:val="00583FF5"/>
    <w:rsid w:val="005842F3"/>
    <w:rsid w:val="00584380"/>
    <w:rsid w:val="005846C7"/>
    <w:rsid w:val="005848B7"/>
    <w:rsid w:val="00584ACF"/>
    <w:rsid w:val="00584FD8"/>
    <w:rsid w:val="0058516B"/>
    <w:rsid w:val="00585839"/>
    <w:rsid w:val="00587585"/>
    <w:rsid w:val="00587870"/>
    <w:rsid w:val="00587955"/>
    <w:rsid w:val="00590425"/>
    <w:rsid w:val="005918A2"/>
    <w:rsid w:val="005919C5"/>
    <w:rsid w:val="00592015"/>
    <w:rsid w:val="00592088"/>
    <w:rsid w:val="005925EC"/>
    <w:rsid w:val="005926FE"/>
    <w:rsid w:val="005939BC"/>
    <w:rsid w:val="00593CEE"/>
    <w:rsid w:val="005944C7"/>
    <w:rsid w:val="00594E7A"/>
    <w:rsid w:val="005950F0"/>
    <w:rsid w:val="005969D9"/>
    <w:rsid w:val="00596EA5"/>
    <w:rsid w:val="005976AD"/>
    <w:rsid w:val="005A009B"/>
    <w:rsid w:val="005A1BD3"/>
    <w:rsid w:val="005A1CC2"/>
    <w:rsid w:val="005A23C7"/>
    <w:rsid w:val="005A281A"/>
    <w:rsid w:val="005A28F2"/>
    <w:rsid w:val="005A2CEE"/>
    <w:rsid w:val="005A2FAC"/>
    <w:rsid w:val="005A413D"/>
    <w:rsid w:val="005A4322"/>
    <w:rsid w:val="005A4389"/>
    <w:rsid w:val="005A4464"/>
    <w:rsid w:val="005A48AF"/>
    <w:rsid w:val="005A586A"/>
    <w:rsid w:val="005A5E60"/>
    <w:rsid w:val="005A71AB"/>
    <w:rsid w:val="005B034A"/>
    <w:rsid w:val="005B087B"/>
    <w:rsid w:val="005B0A12"/>
    <w:rsid w:val="005B2B28"/>
    <w:rsid w:val="005B2D0A"/>
    <w:rsid w:val="005B2EA7"/>
    <w:rsid w:val="005B3241"/>
    <w:rsid w:val="005B33EF"/>
    <w:rsid w:val="005B3ABB"/>
    <w:rsid w:val="005B3B1E"/>
    <w:rsid w:val="005B5C55"/>
    <w:rsid w:val="005B6B9B"/>
    <w:rsid w:val="005B72C3"/>
    <w:rsid w:val="005B746D"/>
    <w:rsid w:val="005C0A11"/>
    <w:rsid w:val="005C0FE5"/>
    <w:rsid w:val="005C1238"/>
    <w:rsid w:val="005C1D91"/>
    <w:rsid w:val="005C26B5"/>
    <w:rsid w:val="005C2A27"/>
    <w:rsid w:val="005C4876"/>
    <w:rsid w:val="005C4D2C"/>
    <w:rsid w:val="005C5519"/>
    <w:rsid w:val="005C5882"/>
    <w:rsid w:val="005C5BC7"/>
    <w:rsid w:val="005C65A0"/>
    <w:rsid w:val="005C67BD"/>
    <w:rsid w:val="005C6C5D"/>
    <w:rsid w:val="005C71F6"/>
    <w:rsid w:val="005C7601"/>
    <w:rsid w:val="005C78ED"/>
    <w:rsid w:val="005D063E"/>
    <w:rsid w:val="005D06C2"/>
    <w:rsid w:val="005D0987"/>
    <w:rsid w:val="005D18E9"/>
    <w:rsid w:val="005D19A5"/>
    <w:rsid w:val="005D21E9"/>
    <w:rsid w:val="005D2652"/>
    <w:rsid w:val="005D2EE8"/>
    <w:rsid w:val="005D3025"/>
    <w:rsid w:val="005D31DF"/>
    <w:rsid w:val="005D6CE3"/>
    <w:rsid w:val="005D715B"/>
    <w:rsid w:val="005D781B"/>
    <w:rsid w:val="005E0FC8"/>
    <w:rsid w:val="005E148F"/>
    <w:rsid w:val="005E16E5"/>
    <w:rsid w:val="005E177F"/>
    <w:rsid w:val="005E1A40"/>
    <w:rsid w:val="005E23B5"/>
    <w:rsid w:val="005E341F"/>
    <w:rsid w:val="005E3575"/>
    <w:rsid w:val="005E3C08"/>
    <w:rsid w:val="005E4AAA"/>
    <w:rsid w:val="005E4C99"/>
    <w:rsid w:val="005E4FD5"/>
    <w:rsid w:val="005E541D"/>
    <w:rsid w:val="005E5648"/>
    <w:rsid w:val="005E5748"/>
    <w:rsid w:val="005E58F1"/>
    <w:rsid w:val="005E5C63"/>
    <w:rsid w:val="005E6B62"/>
    <w:rsid w:val="005E6F59"/>
    <w:rsid w:val="005E73CF"/>
    <w:rsid w:val="005E7D07"/>
    <w:rsid w:val="005F00A1"/>
    <w:rsid w:val="005F0F40"/>
    <w:rsid w:val="005F1421"/>
    <w:rsid w:val="005F15FE"/>
    <w:rsid w:val="005F2458"/>
    <w:rsid w:val="005F2708"/>
    <w:rsid w:val="005F39F2"/>
    <w:rsid w:val="005F5E13"/>
    <w:rsid w:val="005F7587"/>
    <w:rsid w:val="005F787C"/>
    <w:rsid w:val="005F7E76"/>
    <w:rsid w:val="00600145"/>
    <w:rsid w:val="00600226"/>
    <w:rsid w:val="006003BA"/>
    <w:rsid w:val="00601345"/>
    <w:rsid w:val="00601A58"/>
    <w:rsid w:val="006023C8"/>
    <w:rsid w:val="006031B7"/>
    <w:rsid w:val="006035D3"/>
    <w:rsid w:val="00603E0E"/>
    <w:rsid w:val="0060438E"/>
    <w:rsid w:val="00604CBC"/>
    <w:rsid w:val="0060550E"/>
    <w:rsid w:val="006056FD"/>
    <w:rsid w:val="00605B67"/>
    <w:rsid w:val="0061075A"/>
    <w:rsid w:val="0061091F"/>
    <w:rsid w:val="00610992"/>
    <w:rsid w:val="006109EF"/>
    <w:rsid w:val="006110E1"/>
    <w:rsid w:val="00611739"/>
    <w:rsid w:val="00611C9D"/>
    <w:rsid w:val="00611F7E"/>
    <w:rsid w:val="00613270"/>
    <w:rsid w:val="006132AC"/>
    <w:rsid w:val="00613E0D"/>
    <w:rsid w:val="00614B2E"/>
    <w:rsid w:val="006163AD"/>
    <w:rsid w:val="00617099"/>
    <w:rsid w:val="00617EFD"/>
    <w:rsid w:val="00620757"/>
    <w:rsid w:val="00620ADE"/>
    <w:rsid w:val="00620F5F"/>
    <w:rsid w:val="00621A07"/>
    <w:rsid w:val="00622A02"/>
    <w:rsid w:val="00623759"/>
    <w:rsid w:val="006239C9"/>
    <w:rsid w:val="00623D30"/>
    <w:rsid w:val="00624155"/>
    <w:rsid w:val="0062481B"/>
    <w:rsid w:val="00624C30"/>
    <w:rsid w:val="00625677"/>
    <w:rsid w:val="00625A83"/>
    <w:rsid w:val="00625F54"/>
    <w:rsid w:val="00627047"/>
    <w:rsid w:val="0062711C"/>
    <w:rsid w:val="0062721B"/>
    <w:rsid w:val="006272E0"/>
    <w:rsid w:val="00627996"/>
    <w:rsid w:val="006279E5"/>
    <w:rsid w:val="0063015E"/>
    <w:rsid w:val="00630DAE"/>
    <w:rsid w:val="006320DA"/>
    <w:rsid w:val="00632CFC"/>
    <w:rsid w:val="00632D1B"/>
    <w:rsid w:val="00633388"/>
    <w:rsid w:val="00635BDF"/>
    <w:rsid w:val="0063633C"/>
    <w:rsid w:val="006370E5"/>
    <w:rsid w:val="00637E70"/>
    <w:rsid w:val="00640897"/>
    <w:rsid w:val="00640A3D"/>
    <w:rsid w:val="006410BE"/>
    <w:rsid w:val="00642490"/>
    <w:rsid w:val="0064377F"/>
    <w:rsid w:val="006437ED"/>
    <w:rsid w:val="0064388C"/>
    <w:rsid w:val="006443BA"/>
    <w:rsid w:val="0064531C"/>
    <w:rsid w:val="006453F4"/>
    <w:rsid w:val="00645993"/>
    <w:rsid w:val="00645C93"/>
    <w:rsid w:val="0064617A"/>
    <w:rsid w:val="00646660"/>
    <w:rsid w:val="0064697A"/>
    <w:rsid w:val="0064774E"/>
    <w:rsid w:val="0064784B"/>
    <w:rsid w:val="00650A7E"/>
    <w:rsid w:val="00650CD3"/>
    <w:rsid w:val="00650CE5"/>
    <w:rsid w:val="00651C09"/>
    <w:rsid w:val="006526DC"/>
    <w:rsid w:val="00652E7D"/>
    <w:rsid w:val="0065306C"/>
    <w:rsid w:val="00654C14"/>
    <w:rsid w:val="00654D60"/>
    <w:rsid w:val="0065581F"/>
    <w:rsid w:val="00656515"/>
    <w:rsid w:val="00660532"/>
    <w:rsid w:val="0066110A"/>
    <w:rsid w:val="00661B9F"/>
    <w:rsid w:val="00661CD7"/>
    <w:rsid w:val="0066213E"/>
    <w:rsid w:val="00662245"/>
    <w:rsid w:val="006638E8"/>
    <w:rsid w:val="00663A14"/>
    <w:rsid w:val="0066423B"/>
    <w:rsid w:val="0066454F"/>
    <w:rsid w:val="006647D0"/>
    <w:rsid w:val="00664E4E"/>
    <w:rsid w:val="00664EBA"/>
    <w:rsid w:val="00664F6E"/>
    <w:rsid w:val="00665567"/>
    <w:rsid w:val="00665A9B"/>
    <w:rsid w:val="00665DCC"/>
    <w:rsid w:val="006660E3"/>
    <w:rsid w:val="00666A57"/>
    <w:rsid w:val="00666BD7"/>
    <w:rsid w:val="00667F95"/>
    <w:rsid w:val="00671E23"/>
    <w:rsid w:val="00673703"/>
    <w:rsid w:val="00673730"/>
    <w:rsid w:val="00674280"/>
    <w:rsid w:val="0067665F"/>
    <w:rsid w:val="006770B2"/>
    <w:rsid w:val="0067727A"/>
    <w:rsid w:val="00680CA9"/>
    <w:rsid w:val="0068102B"/>
    <w:rsid w:val="00681288"/>
    <w:rsid w:val="00681522"/>
    <w:rsid w:val="00681D2E"/>
    <w:rsid w:val="00682745"/>
    <w:rsid w:val="0068304C"/>
    <w:rsid w:val="0068304F"/>
    <w:rsid w:val="006832A9"/>
    <w:rsid w:val="00684740"/>
    <w:rsid w:val="00684918"/>
    <w:rsid w:val="0068534A"/>
    <w:rsid w:val="00685BAE"/>
    <w:rsid w:val="00686B4F"/>
    <w:rsid w:val="00691207"/>
    <w:rsid w:val="00691B33"/>
    <w:rsid w:val="00691C9C"/>
    <w:rsid w:val="00691E81"/>
    <w:rsid w:val="006923A9"/>
    <w:rsid w:val="00692401"/>
    <w:rsid w:val="0069335A"/>
    <w:rsid w:val="00694303"/>
    <w:rsid w:val="006959E7"/>
    <w:rsid w:val="00695D5C"/>
    <w:rsid w:val="00696942"/>
    <w:rsid w:val="006969FE"/>
    <w:rsid w:val="00696AD5"/>
    <w:rsid w:val="00696F3F"/>
    <w:rsid w:val="006A028B"/>
    <w:rsid w:val="006A0533"/>
    <w:rsid w:val="006A243E"/>
    <w:rsid w:val="006A3F1F"/>
    <w:rsid w:val="006A3F8A"/>
    <w:rsid w:val="006A492D"/>
    <w:rsid w:val="006A49AD"/>
    <w:rsid w:val="006A49E9"/>
    <w:rsid w:val="006A5C3E"/>
    <w:rsid w:val="006A671D"/>
    <w:rsid w:val="006A6829"/>
    <w:rsid w:val="006A6FF5"/>
    <w:rsid w:val="006A722A"/>
    <w:rsid w:val="006A7B5A"/>
    <w:rsid w:val="006A7D6B"/>
    <w:rsid w:val="006A7F02"/>
    <w:rsid w:val="006B0006"/>
    <w:rsid w:val="006B0469"/>
    <w:rsid w:val="006B1A3B"/>
    <w:rsid w:val="006B1F4E"/>
    <w:rsid w:val="006B2BCE"/>
    <w:rsid w:val="006B2FA7"/>
    <w:rsid w:val="006B3256"/>
    <w:rsid w:val="006B3411"/>
    <w:rsid w:val="006B3681"/>
    <w:rsid w:val="006B402D"/>
    <w:rsid w:val="006B41B2"/>
    <w:rsid w:val="006B42D6"/>
    <w:rsid w:val="006B4C8B"/>
    <w:rsid w:val="006B51D5"/>
    <w:rsid w:val="006B52CF"/>
    <w:rsid w:val="006B61C6"/>
    <w:rsid w:val="006B7564"/>
    <w:rsid w:val="006B7EE6"/>
    <w:rsid w:val="006C08E9"/>
    <w:rsid w:val="006C15F8"/>
    <w:rsid w:val="006C2A8D"/>
    <w:rsid w:val="006C37F9"/>
    <w:rsid w:val="006C4F54"/>
    <w:rsid w:val="006C5989"/>
    <w:rsid w:val="006C59DD"/>
    <w:rsid w:val="006C5E6F"/>
    <w:rsid w:val="006C6C4E"/>
    <w:rsid w:val="006C6F86"/>
    <w:rsid w:val="006C7173"/>
    <w:rsid w:val="006C75D8"/>
    <w:rsid w:val="006C7A6E"/>
    <w:rsid w:val="006C7B15"/>
    <w:rsid w:val="006D08B8"/>
    <w:rsid w:val="006D0A7E"/>
    <w:rsid w:val="006D1749"/>
    <w:rsid w:val="006D1EF8"/>
    <w:rsid w:val="006D33D5"/>
    <w:rsid w:val="006D4004"/>
    <w:rsid w:val="006D44B2"/>
    <w:rsid w:val="006D4B9C"/>
    <w:rsid w:val="006D4E36"/>
    <w:rsid w:val="006D5BEE"/>
    <w:rsid w:val="006D5CB0"/>
    <w:rsid w:val="006D61D9"/>
    <w:rsid w:val="006D628D"/>
    <w:rsid w:val="006D6E1F"/>
    <w:rsid w:val="006D6EED"/>
    <w:rsid w:val="006D73E7"/>
    <w:rsid w:val="006D7729"/>
    <w:rsid w:val="006E0635"/>
    <w:rsid w:val="006E0E13"/>
    <w:rsid w:val="006E15F3"/>
    <w:rsid w:val="006E1622"/>
    <w:rsid w:val="006E16DB"/>
    <w:rsid w:val="006E2ADE"/>
    <w:rsid w:val="006E3509"/>
    <w:rsid w:val="006E594F"/>
    <w:rsid w:val="006E5D49"/>
    <w:rsid w:val="006E5ED5"/>
    <w:rsid w:val="006E654B"/>
    <w:rsid w:val="006E6A8A"/>
    <w:rsid w:val="006E7822"/>
    <w:rsid w:val="006E7C1F"/>
    <w:rsid w:val="006F0218"/>
    <w:rsid w:val="006F14BE"/>
    <w:rsid w:val="006F21DB"/>
    <w:rsid w:val="006F4FFD"/>
    <w:rsid w:val="006F50A7"/>
    <w:rsid w:val="006F57AD"/>
    <w:rsid w:val="006F680C"/>
    <w:rsid w:val="006F6A6C"/>
    <w:rsid w:val="006F713C"/>
    <w:rsid w:val="006F72B8"/>
    <w:rsid w:val="006F747A"/>
    <w:rsid w:val="006F75E1"/>
    <w:rsid w:val="006F76DA"/>
    <w:rsid w:val="006F7AAE"/>
    <w:rsid w:val="00700254"/>
    <w:rsid w:val="00701186"/>
    <w:rsid w:val="007013BD"/>
    <w:rsid w:val="0070155B"/>
    <w:rsid w:val="00701A24"/>
    <w:rsid w:val="00701F90"/>
    <w:rsid w:val="0070335C"/>
    <w:rsid w:val="0070342E"/>
    <w:rsid w:val="00703C6C"/>
    <w:rsid w:val="00703CD5"/>
    <w:rsid w:val="0070438F"/>
    <w:rsid w:val="00704CFA"/>
    <w:rsid w:val="007050EF"/>
    <w:rsid w:val="00705498"/>
    <w:rsid w:val="007063F6"/>
    <w:rsid w:val="00707090"/>
    <w:rsid w:val="007070B7"/>
    <w:rsid w:val="0070792C"/>
    <w:rsid w:val="0071005C"/>
    <w:rsid w:val="0071076C"/>
    <w:rsid w:val="007108C7"/>
    <w:rsid w:val="0071170A"/>
    <w:rsid w:val="00711907"/>
    <w:rsid w:val="00711914"/>
    <w:rsid w:val="00711FBB"/>
    <w:rsid w:val="007124FF"/>
    <w:rsid w:val="00712E1C"/>
    <w:rsid w:val="00713733"/>
    <w:rsid w:val="00713F49"/>
    <w:rsid w:val="00714C55"/>
    <w:rsid w:val="00716E9E"/>
    <w:rsid w:val="007171EB"/>
    <w:rsid w:val="00717242"/>
    <w:rsid w:val="007174B3"/>
    <w:rsid w:val="00717B10"/>
    <w:rsid w:val="007205DF"/>
    <w:rsid w:val="00720BE2"/>
    <w:rsid w:val="007220F9"/>
    <w:rsid w:val="007222FC"/>
    <w:rsid w:val="007223A0"/>
    <w:rsid w:val="007225B5"/>
    <w:rsid w:val="00722B07"/>
    <w:rsid w:val="00722EA4"/>
    <w:rsid w:val="0072316E"/>
    <w:rsid w:val="00723970"/>
    <w:rsid w:val="00723C1B"/>
    <w:rsid w:val="00723E29"/>
    <w:rsid w:val="007245B7"/>
    <w:rsid w:val="00724670"/>
    <w:rsid w:val="00725821"/>
    <w:rsid w:val="0072587A"/>
    <w:rsid w:val="00727D6A"/>
    <w:rsid w:val="00730AD4"/>
    <w:rsid w:val="00730B32"/>
    <w:rsid w:val="00730C3B"/>
    <w:rsid w:val="00731630"/>
    <w:rsid w:val="007316CA"/>
    <w:rsid w:val="00731F3C"/>
    <w:rsid w:val="00732378"/>
    <w:rsid w:val="007323AE"/>
    <w:rsid w:val="00732CB1"/>
    <w:rsid w:val="0073327F"/>
    <w:rsid w:val="0073398E"/>
    <w:rsid w:val="00734509"/>
    <w:rsid w:val="007358B9"/>
    <w:rsid w:val="00735A9A"/>
    <w:rsid w:val="00736517"/>
    <w:rsid w:val="00736912"/>
    <w:rsid w:val="007377DD"/>
    <w:rsid w:val="00737B00"/>
    <w:rsid w:val="007405E6"/>
    <w:rsid w:val="0074085E"/>
    <w:rsid w:val="00742674"/>
    <w:rsid w:val="007427AD"/>
    <w:rsid w:val="00742FF9"/>
    <w:rsid w:val="0074368D"/>
    <w:rsid w:val="00743F89"/>
    <w:rsid w:val="00744DCE"/>
    <w:rsid w:val="00744FD7"/>
    <w:rsid w:val="007454ED"/>
    <w:rsid w:val="00745E95"/>
    <w:rsid w:val="00746195"/>
    <w:rsid w:val="007461EF"/>
    <w:rsid w:val="00746239"/>
    <w:rsid w:val="0075113D"/>
    <w:rsid w:val="007512FE"/>
    <w:rsid w:val="007520D6"/>
    <w:rsid w:val="00752E1F"/>
    <w:rsid w:val="007530A3"/>
    <w:rsid w:val="00753334"/>
    <w:rsid w:val="00753737"/>
    <w:rsid w:val="00753E8A"/>
    <w:rsid w:val="0075446E"/>
    <w:rsid w:val="007547C3"/>
    <w:rsid w:val="007550E1"/>
    <w:rsid w:val="00755EE9"/>
    <w:rsid w:val="007562D8"/>
    <w:rsid w:val="0075641E"/>
    <w:rsid w:val="00757D9F"/>
    <w:rsid w:val="00760D61"/>
    <w:rsid w:val="00760F7B"/>
    <w:rsid w:val="007613EA"/>
    <w:rsid w:val="007616F3"/>
    <w:rsid w:val="007623CD"/>
    <w:rsid w:val="00762885"/>
    <w:rsid w:val="00763357"/>
    <w:rsid w:val="00763E57"/>
    <w:rsid w:val="0076498A"/>
    <w:rsid w:val="00765176"/>
    <w:rsid w:val="00765F80"/>
    <w:rsid w:val="00766461"/>
    <w:rsid w:val="00767117"/>
    <w:rsid w:val="007674FA"/>
    <w:rsid w:val="00767982"/>
    <w:rsid w:val="00770BDF"/>
    <w:rsid w:val="00770F11"/>
    <w:rsid w:val="0077101C"/>
    <w:rsid w:val="0077156B"/>
    <w:rsid w:val="00771B0D"/>
    <w:rsid w:val="00771CA7"/>
    <w:rsid w:val="00771DA8"/>
    <w:rsid w:val="007726B5"/>
    <w:rsid w:val="00773820"/>
    <w:rsid w:val="00774690"/>
    <w:rsid w:val="00774CB0"/>
    <w:rsid w:val="007752F9"/>
    <w:rsid w:val="007753E8"/>
    <w:rsid w:val="00775E44"/>
    <w:rsid w:val="007760E0"/>
    <w:rsid w:val="007763C9"/>
    <w:rsid w:val="007764F3"/>
    <w:rsid w:val="00776924"/>
    <w:rsid w:val="007772D1"/>
    <w:rsid w:val="00777DC1"/>
    <w:rsid w:val="007801D5"/>
    <w:rsid w:val="00780396"/>
    <w:rsid w:val="007805D7"/>
    <w:rsid w:val="00780859"/>
    <w:rsid w:val="00780CEC"/>
    <w:rsid w:val="00781DFD"/>
    <w:rsid w:val="00781E16"/>
    <w:rsid w:val="00782E9E"/>
    <w:rsid w:val="007834EC"/>
    <w:rsid w:val="00783F4F"/>
    <w:rsid w:val="007846B4"/>
    <w:rsid w:val="00784CEE"/>
    <w:rsid w:val="00784EB0"/>
    <w:rsid w:val="00784F6A"/>
    <w:rsid w:val="00785356"/>
    <w:rsid w:val="00785AE5"/>
    <w:rsid w:val="00785EB4"/>
    <w:rsid w:val="00786441"/>
    <w:rsid w:val="0078662A"/>
    <w:rsid w:val="00786B74"/>
    <w:rsid w:val="00787D51"/>
    <w:rsid w:val="00790872"/>
    <w:rsid w:val="007910EB"/>
    <w:rsid w:val="0079161E"/>
    <w:rsid w:val="0079186E"/>
    <w:rsid w:val="0079206A"/>
    <w:rsid w:val="0079305F"/>
    <w:rsid w:val="00793085"/>
    <w:rsid w:val="00793F25"/>
    <w:rsid w:val="00794131"/>
    <w:rsid w:val="0079574D"/>
    <w:rsid w:val="00795ADF"/>
    <w:rsid w:val="007963F9"/>
    <w:rsid w:val="00797775"/>
    <w:rsid w:val="00797CF1"/>
    <w:rsid w:val="00797FD7"/>
    <w:rsid w:val="007A0B81"/>
    <w:rsid w:val="007A0EEC"/>
    <w:rsid w:val="007A158D"/>
    <w:rsid w:val="007A1856"/>
    <w:rsid w:val="007A1B6D"/>
    <w:rsid w:val="007A1F8C"/>
    <w:rsid w:val="007A3DF0"/>
    <w:rsid w:val="007A4FC4"/>
    <w:rsid w:val="007A57C0"/>
    <w:rsid w:val="007A67BB"/>
    <w:rsid w:val="007A6809"/>
    <w:rsid w:val="007A6823"/>
    <w:rsid w:val="007A707D"/>
    <w:rsid w:val="007A74E5"/>
    <w:rsid w:val="007A7A6F"/>
    <w:rsid w:val="007A7B83"/>
    <w:rsid w:val="007B0BCB"/>
    <w:rsid w:val="007B0C1C"/>
    <w:rsid w:val="007B0CC0"/>
    <w:rsid w:val="007B1483"/>
    <w:rsid w:val="007B1708"/>
    <w:rsid w:val="007B1EB0"/>
    <w:rsid w:val="007B2543"/>
    <w:rsid w:val="007B2755"/>
    <w:rsid w:val="007B349B"/>
    <w:rsid w:val="007B367F"/>
    <w:rsid w:val="007B39FB"/>
    <w:rsid w:val="007B3B3B"/>
    <w:rsid w:val="007B4490"/>
    <w:rsid w:val="007B478F"/>
    <w:rsid w:val="007B5387"/>
    <w:rsid w:val="007B5389"/>
    <w:rsid w:val="007B5CEC"/>
    <w:rsid w:val="007B5F7F"/>
    <w:rsid w:val="007B625E"/>
    <w:rsid w:val="007B62DE"/>
    <w:rsid w:val="007B68DB"/>
    <w:rsid w:val="007B6B39"/>
    <w:rsid w:val="007C0EB7"/>
    <w:rsid w:val="007C1995"/>
    <w:rsid w:val="007C1DB9"/>
    <w:rsid w:val="007C1E04"/>
    <w:rsid w:val="007C2611"/>
    <w:rsid w:val="007C31CF"/>
    <w:rsid w:val="007C372F"/>
    <w:rsid w:val="007C431B"/>
    <w:rsid w:val="007C5589"/>
    <w:rsid w:val="007C59FD"/>
    <w:rsid w:val="007C64EA"/>
    <w:rsid w:val="007C66D9"/>
    <w:rsid w:val="007C7C8F"/>
    <w:rsid w:val="007C7DCE"/>
    <w:rsid w:val="007D096D"/>
    <w:rsid w:val="007D0A59"/>
    <w:rsid w:val="007D0DFC"/>
    <w:rsid w:val="007D17EE"/>
    <w:rsid w:val="007D2912"/>
    <w:rsid w:val="007D2938"/>
    <w:rsid w:val="007D3D32"/>
    <w:rsid w:val="007D418E"/>
    <w:rsid w:val="007D55A8"/>
    <w:rsid w:val="007D55C5"/>
    <w:rsid w:val="007D55E4"/>
    <w:rsid w:val="007D66C5"/>
    <w:rsid w:val="007D6703"/>
    <w:rsid w:val="007D6AA4"/>
    <w:rsid w:val="007D6BD2"/>
    <w:rsid w:val="007D77D9"/>
    <w:rsid w:val="007E08E8"/>
    <w:rsid w:val="007E16B8"/>
    <w:rsid w:val="007E2024"/>
    <w:rsid w:val="007E283F"/>
    <w:rsid w:val="007E376A"/>
    <w:rsid w:val="007E45C0"/>
    <w:rsid w:val="007E4A78"/>
    <w:rsid w:val="007E6493"/>
    <w:rsid w:val="007E6C6D"/>
    <w:rsid w:val="007E6CD5"/>
    <w:rsid w:val="007E74DC"/>
    <w:rsid w:val="007E7E12"/>
    <w:rsid w:val="007F001D"/>
    <w:rsid w:val="007F1117"/>
    <w:rsid w:val="007F1512"/>
    <w:rsid w:val="007F20A9"/>
    <w:rsid w:val="007F226A"/>
    <w:rsid w:val="007F2528"/>
    <w:rsid w:val="007F3882"/>
    <w:rsid w:val="007F3D3A"/>
    <w:rsid w:val="007F41F9"/>
    <w:rsid w:val="007F48D8"/>
    <w:rsid w:val="007F5442"/>
    <w:rsid w:val="007F6B95"/>
    <w:rsid w:val="007F6E3E"/>
    <w:rsid w:val="007F72DB"/>
    <w:rsid w:val="007F7E06"/>
    <w:rsid w:val="008003E7"/>
    <w:rsid w:val="00800451"/>
    <w:rsid w:val="00800522"/>
    <w:rsid w:val="00800CF7"/>
    <w:rsid w:val="008011FF"/>
    <w:rsid w:val="00801AD2"/>
    <w:rsid w:val="00802721"/>
    <w:rsid w:val="00802DEF"/>
    <w:rsid w:val="00802F08"/>
    <w:rsid w:val="00803D0D"/>
    <w:rsid w:val="00803EEF"/>
    <w:rsid w:val="00804042"/>
    <w:rsid w:val="0080471B"/>
    <w:rsid w:val="00805613"/>
    <w:rsid w:val="00805838"/>
    <w:rsid w:val="00806948"/>
    <w:rsid w:val="008069B4"/>
    <w:rsid w:val="0080758D"/>
    <w:rsid w:val="0080789D"/>
    <w:rsid w:val="00807C71"/>
    <w:rsid w:val="00810F8B"/>
    <w:rsid w:val="008116ED"/>
    <w:rsid w:val="0081250A"/>
    <w:rsid w:val="0081314A"/>
    <w:rsid w:val="008138C2"/>
    <w:rsid w:val="00813DE3"/>
    <w:rsid w:val="00813E8C"/>
    <w:rsid w:val="00814932"/>
    <w:rsid w:val="00814BB0"/>
    <w:rsid w:val="00815A2B"/>
    <w:rsid w:val="00817401"/>
    <w:rsid w:val="00820DD6"/>
    <w:rsid w:val="008213C5"/>
    <w:rsid w:val="00823241"/>
    <w:rsid w:val="00823821"/>
    <w:rsid w:val="00824101"/>
    <w:rsid w:val="008250DE"/>
    <w:rsid w:val="00825205"/>
    <w:rsid w:val="008254C9"/>
    <w:rsid w:val="0082559A"/>
    <w:rsid w:val="00825FE8"/>
    <w:rsid w:val="0082611F"/>
    <w:rsid w:val="0082742C"/>
    <w:rsid w:val="008276A3"/>
    <w:rsid w:val="00827BC4"/>
    <w:rsid w:val="00827EC0"/>
    <w:rsid w:val="00830144"/>
    <w:rsid w:val="00830723"/>
    <w:rsid w:val="00830895"/>
    <w:rsid w:val="008308FE"/>
    <w:rsid w:val="00830B5E"/>
    <w:rsid w:val="00831061"/>
    <w:rsid w:val="00831D4C"/>
    <w:rsid w:val="00831EDF"/>
    <w:rsid w:val="00832849"/>
    <w:rsid w:val="00832F92"/>
    <w:rsid w:val="00833168"/>
    <w:rsid w:val="008341EC"/>
    <w:rsid w:val="00835470"/>
    <w:rsid w:val="0083560A"/>
    <w:rsid w:val="008357B4"/>
    <w:rsid w:val="00835AAE"/>
    <w:rsid w:val="00835D9F"/>
    <w:rsid w:val="00837241"/>
    <w:rsid w:val="008374A3"/>
    <w:rsid w:val="008409CD"/>
    <w:rsid w:val="00840E1E"/>
    <w:rsid w:val="00841E8A"/>
    <w:rsid w:val="0084255C"/>
    <w:rsid w:val="008427A8"/>
    <w:rsid w:val="00842969"/>
    <w:rsid w:val="00844489"/>
    <w:rsid w:val="0084452E"/>
    <w:rsid w:val="008447F0"/>
    <w:rsid w:val="00844A9E"/>
    <w:rsid w:val="00845192"/>
    <w:rsid w:val="00845593"/>
    <w:rsid w:val="008462B4"/>
    <w:rsid w:val="00846D5A"/>
    <w:rsid w:val="00847A6A"/>
    <w:rsid w:val="00847AA5"/>
    <w:rsid w:val="0085045E"/>
    <w:rsid w:val="008504F4"/>
    <w:rsid w:val="00850CB9"/>
    <w:rsid w:val="0085163C"/>
    <w:rsid w:val="00851868"/>
    <w:rsid w:val="00851FCC"/>
    <w:rsid w:val="008523D3"/>
    <w:rsid w:val="00852633"/>
    <w:rsid w:val="00852AE1"/>
    <w:rsid w:val="00853368"/>
    <w:rsid w:val="00853B51"/>
    <w:rsid w:val="00854AA3"/>
    <w:rsid w:val="0085606E"/>
    <w:rsid w:val="008567DC"/>
    <w:rsid w:val="00856A9D"/>
    <w:rsid w:val="00856BE9"/>
    <w:rsid w:val="00856C7A"/>
    <w:rsid w:val="00857866"/>
    <w:rsid w:val="00857C27"/>
    <w:rsid w:val="00857DC7"/>
    <w:rsid w:val="008609B2"/>
    <w:rsid w:val="00860FC5"/>
    <w:rsid w:val="008611DE"/>
    <w:rsid w:val="00861919"/>
    <w:rsid w:val="00861A08"/>
    <w:rsid w:val="00861A34"/>
    <w:rsid w:val="00861E24"/>
    <w:rsid w:val="008625EB"/>
    <w:rsid w:val="0086283F"/>
    <w:rsid w:val="00862875"/>
    <w:rsid w:val="00862AFC"/>
    <w:rsid w:val="00862EE7"/>
    <w:rsid w:val="00863262"/>
    <w:rsid w:val="00863DBB"/>
    <w:rsid w:val="00864727"/>
    <w:rsid w:val="00864880"/>
    <w:rsid w:val="00865117"/>
    <w:rsid w:val="00865A7E"/>
    <w:rsid w:val="00866804"/>
    <w:rsid w:val="008671B4"/>
    <w:rsid w:val="00867882"/>
    <w:rsid w:val="00867AD8"/>
    <w:rsid w:val="00867C91"/>
    <w:rsid w:val="008702B8"/>
    <w:rsid w:val="008702C1"/>
    <w:rsid w:val="00870668"/>
    <w:rsid w:val="00870AC5"/>
    <w:rsid w:val="00871131"/>
    <w:rsid w:val="00871938"/>
    <w:rsid w:val="00872164"/>
    <w:rsid w:val="008722A6"/>
    <w:rsid w:val="008734F8"/>
    <w:rsid w:val="00873DB5"/>
    <w:rsid w:val="00874502"/>
    <w:rsid w:val="0087476F"/>
    <w:rsid w:val="00874AAA"/>
    <w:rsid w:val="00874C6A"/>
    <w:rsid w:val="00874E4B"/>
    <w:rsid w:val="0087661C"/>
    <w:rsid w:val="00876863"/>
    <w:rsid w:val="00877BA3"/>
    <w:rsid w:val="008803E7"/>
    <w:rsid w:val="0088189C"/>
    <w:rsid w:val="0088201F"/>
    <w:rsid w:val="008820DD"/>
    <w:rsid w:val="008820FE"/>
    <w:rsid w:val="00882226"/>
    <w:rsid w:val="008822D7"/>
    <w:rsid w:val="0088251F"/>
    <w:rsid w:val="0088306D"/>
    <w:rsid w:val="00884707"/>
    <w:rsid w:val="00884D3E"/>
    <w:rsid w:val="00885780"/>
    <w:rsid w:val="008858C0"/>
    <w:rsid w:val="0088596F"/>
    <w:rsid w:val="00885B2B"/>
    <w:rsid w:val="008902EC"/>
    <w:rsid w:val="00890509"/>
    <w:rsid w:val="00890E0C"/>
    <w:rsid w:val="00891A54"/>
    <w:rsid w:val="00892C8B"/>
    <w:rsid w:val="00894553"/>
    <w:rsid w:val="008946C4"/>
    <w:rsid w:val="00894C53"/>
    <w:rsid w:val="0089526C"/>
    <w:rsid w:val="008956AB"/>
    <w:rsid w:val="00896A65"/>
    <w:rsid w:val="00896B2C"/>
    <w:rsid w:val="00897109"/>
    <w:rsid w:val="00897546"/>
    <w:rsid w:val="008A00BF"/>
    <w:rsid w:val="008A1329"/>
    <w:rsid w:val="008A1540"/>
    <w:rsid w:val="008A1D1A"/>
    <w:rsid w:val="008A21A4"/>
    <w:rsid w:val="008A2D0C"/>
    <w:rsid w:val="008A32F3"/>
    <w:rsid w:val="008A3652"/>
    <w:rsid w:val="008A41F9"/>
    <w:rsid w:val="008A461B"/>
    <w:rsid w:val="008A50DF"/>
    <w:rsid w:val="008A5398"/>
    <w:rsid w:val="008A627D"/>
    <w:rsid w:val="008A6F7D"/>
    <w:rsid w:val="008A72EA"/>
    <w:rsid w:val="008A758B"/>
    <w:rsid w:val="008A7810"/>
    <w:rsid w:val="008A7CBD"/>
    <w:rsid w:val="008B0846"/>
    <w:rsid w:val="008B1909"/>
    <w:rsid w:val="008B1B99"/>
    <w:rsid w:val="008B1F81"/>
    <w:rsid w:val="008B2D38"/>
    <w:rsid w:val="008B3B87"/>
    <w:rsid w:val="008B4549"/>
    <w:rsid w:val="008B5CA1"/>
    <w:rsid w:val="008B5D6A"/>
    <w:rsid w:val="008B7398"/>
    <w:rsid w:val="008B74AD"/>
    <w:rsid w:val="008B75BB"/>
    <w:rsid w:val="008C00F2"/>
    <w:rsid w:val="008C01DE"/>
    <w:rsid w:val="008C035E"/>
    <w:rsid w:val="008C05C5"/>
    <w:rsid w:val="008C0EC4"/>
    <w:rsid w:val="008C1260"/>
    <w:rsid w:val="008C151A"/>
    <w:rsid w:val="008C197A"/>
    <w:rsid w:val="008C2711"/>
    <w:rsid w:val="008C2A3F"/>
    <w:rsid w:val="008C2C26"/>
    <w:rsid w:val="008C2DF5"/>
    <w:rsid w:val="008C37D0"/>
    <w:rsid w:val="008C473D"/>
    <w:rsid w:val="008C49A5"/>
    <w:rsid w:val="008C5288"/>
    <w:rsid w:val="008C5A00"/>
    <w:rsid w:val="008C5A1F"/>
    <w:rsid w:val="008C699C"/>
    <w:rsid w:val="008C7F28"/>
    <w:rsid w:val="008D21BC"/>
    <w:rsid w:val="008D2D58"/>
    <w:rsid w:val="008D3022"/>
    <w:rsid w:val="008D4829"/>
    <w:rsid w:val="008D5B0F"/>
    <w:rsid w:val="008D60F9"/>
    <w:rsid w:val="008D63AC"/>
    <w:rsid w:val="008D663B"/>
    <w:rsid w:val="008D7601"/>
    <w:rsid w:val="008E0672"/>
    <w:rsid w:val="008E0A70"/>
    <w:rsid w:val="008E120E"/>
    <w:rsid w:val="008E1350"/>
    <w:rsid w:val="008E13C9"/>
    <w:rsid w:val="008E15E1"/>
    <w:rsid w:val="008E224A"/>
    <w:rsid w:val="008E2963"/>
    <w:rsid w:val="008E447A"/>
    <w:rsid w:val="008E466D"/>
    <w:rsid w:val="008E51E0"/>
    <w:rsid w:val="008E5469"/>
    <w:rsid w:val="008E6209"/>
    <w:rsid w:val="008E78FB"/>
    <w:rsid w:val="008E7A91"/>
    <w:rsid w:val="008F0EFC"/>
    <w:rsid w:val="008F1778"/>
    <w:rsid w:val="008F2491"/>
    <w:rsid w:val="008F2603"/>
    <w:rsid w:val="008F2B7D"/>
    <w:rsid w:val="008F3067"/>
    <w:rsid w:val="008F47F2"/>
    <w:rsid w:val="008F4E22"/>
    <w:rsid w:val="008F5273"/>
    <w:rsid w:val="008F54EE"/>
    <w:rsid w:val="008F5661"/>
    <w:rsid w:val="008F583F"/>
    <w:rsid w:val="008F67D3"/>
    <w:rsid w:val="008F6B3F"/>
    <w:rsid w:val="008F6C2E"/>
    <w:rsid w:val="008F76D7"/>
    <w:rsid w:val="008F78D9"/>
    <w:rsid w:val="008F79EC"/>
    <w:rsid w:val="0090111A"/>
    <w:rsid w:val="009011AB"/>
    <w:rsid w:val="009012F9"/>
    <w:rsid w:val="00901F7D"/>
    <w:rsid w:val="00902962"/>
    <w:rsid w:val="00903C28"/>
    <w:rsid w:val="00905433"/>
    <w:rsid w:val="00905886"/>
    <w:rsid w:val="0090594B"/>
    <w:rsid w:val="00906782"/>
    <w:rsid w:val="0090761A"/>
    <w:rsid w:val="009103C2"/>
    <w:rsid w:val="0091121C"/>
    <w:rsid w:val="00911478"/>
    <w:rsid w:val="00912087"/>
    <w:rsid w:val="0091267B"/>
    <w:rsid w:val="0091317B"/>
    <w:rsid w:val="00913CEB"/>
    <w:rsid w:val="00913CF2"/>
    <w:rsid w:val="00914223"/>
    <w:rsid w:val="00914327"/>
    <w:rsid w:val="0091454A"/>
    <w:rsid w:val="00915C42"/>
    <w:rsid w:val="00915D3C"/>
    <w:rsid w:val="009160F1"/>
    <w:rsid w:val="00916BB8"/>
    <w:rsid w:val="00917454"/>
    <w:rsid w:val="00917DCC"/>
    <w:rsid w:val="009200A5"/>
    <w:rsid w:val="0092029B"/>
    <w:rsid w:val="0092054D"/>
    <w:rsid w:val="0092123C"/>
    <w:rsid w:val="00922281"/>
    <w:rsid w:val="009228D5"/>
    <w:rsid w:val="009238C3"/>
    <w:rsid w:val="00923D26"/>
    <w:rsid w:val="00923FD3"/>
    <w:rsid w:val="00924378"/>
    <w:rsid w:val="009243F2"/>
    <w:rsid w:val="009248EE"/>
    <w:rsid w:val="00925635"/>
    <w:rsid w:val="00925881"/>
    <w:rsid w:val="00925894"/>
    <w:rsid w:val="00925E24"/>
    <w:rsid w:val="009262C6"/>
    <w:rsid w:val="00926441"/>
    <w:rsid w:val="0092674A"/>
    <w:rsid w:val="00927089"/>
    <w:rsid w:val="0092735D"/>
    <w:rsid w:val="00927835"/>
    <w:rsid w:val="009328ED"/>
    <w:rsid w:val="00933315"/>
    <w:rsid w:val="009334B9"/>
    <w:rsid w:val="00934BF9"/>
    <w:rsid w:val="00934E77"/>
    <w:rsid w:val="00934F76"/>
    <w:rsid w:val="00935118"/>
    <w:rsid w:val="009358DC"/>
    <w:rsid w:val="00935B5F"/>
    <w:rsid w:val="009361AB"/>
    <w:rsid w:val="009378B3"/>
    <w:rsid w:val="00937D2B"/>
    <w:rsid w:val="00937E50"/>
    <w:rsid w:val="00940087"/>
    <w:rsid w:val="00940BE9"/>
    <w:rsid w:val="009411A5"/>
    <w:rsid w:val="00941572"/>
    <w:rsid w:val="00941C35"/>
    <w:rsid w:val="00941FE4"/>
    <w:rsid w:val="009432F6"/>
    <w:rsid w:val="009435FC"/>
    <w:rsid w:val="00944EC1"/>
    <w:rsid w:val="00945298"/>
    <w:rsid w:val="0094535B"/>
    <w:rsid w:val="0094540F"/>
    <w:rsid w:val="009454A7"/>
    <w:rsid w:val="00946924"/>
    <w:rsid w:val="00946A7D"/>
    <w:rsid w:val="00946C36"/>
    <w:rsid w:val="00946DE4"/>
    <w:rsid w:val="00947ACA"/>
    <w:rsid w:val="00947C57"/>
    <w:rsid w:val="00947CA9"/>
    <w:rsid w:val="009503A5"/>
    <w:rsid w:val="0095054F"/>
    <w:rsid w:val="009509E9"/>
    <w:rsid w:val="009509FC"/>
    <w:rsid w:val="009517C2"/>
    <w:rsid w:val="009528E7"/>
    <w:rsid w:val="00952C79"/>
    <w:rsid w:val="00953148"/>
    <w:rsid w:val="009538EE"/>
    <w:rsid w:val="00953B61"/>
    <w:rsid w:val="00954162"/>
    <w:rsid w:val="0095438E"/>
    <w:rsid w:val="0095473B"/>
    <w:rsid w:val="00954F14"/>
    <w:rsid w:val="00955903"/>
    <w:rsid w:val="00956EDC"/>
    <w:rsid w:val="00960386"/>
    <w:rsid w:val="009609A8"/>
    <w:rsid w:val="00960E3D"/>
    <w:rsid w:val="009615B8"/>
    <w:rsid w:val="00961E71"/>
    <w:rsid w:val="00964646"/>
    <w:rsid w:val="00964857"/>
    <w:rsid w:val="00964CE6"/>
    <w:rsid w:val="00964ECE"/>
    <w:rsid w:val="009654C6"/>
    <w:rsid w:val="00965691"/>
    <w:rsid w:val="009662A8"/>
    <w:rsid w:val="00966C5A"/>
    <w:rsid w:val="00967749"/>
    <w:rsid w:val="00967D1B"/>
    <w:rsid w:val="00967E38"/>
    <w:rsid w:val="0097034A"/>
    <w:rsid w:val="00970D0A"/>
    <w:rsid w:val="009729D2"/>
    <w:rsid w:val="00973C24"/>
    <w:rsid w:val="009746C9"/>
    <w:rsid w:val="009759B5"/>
    <w:rsid w:val="0097660F"/>
    <w:rsid w:val="00976BD1"/>
    <w:rsid w:val="009807BA"/>
    <w:rsid w:val="00980B21"/>
    <w:rsid w:val="00980DAF"/>
    <w:rsid w:val="00981276"/>
    <w:rsid w:val="00981283"/>
    <w:rsid w:val="009814B7"/>
    <w:rsid w:val="009819CF"/>
    <w:rsid w:val="00981BDA"/>
    <w:rsid w:val="009823A3"/>
    <w:rsid w:val="0098245E"/>
    <w:rsid w:val="00982483"/>
    <w:rsid w:val="00982EB7"/>
    <w:rsid w:val="0098306D"/>
    <w:rsid w:val="00983E6A"/>
    <w:rsid w:val="00984EA2"/>
    <w:rsid w:val="00985EA1"/>
    <w:rsid w:val="009862A2"/>
    <w:rsid w:val="009879FA"/>
    <w:rsid w:val="00987B95"/>
    <w:rsid w:val="00990355"/>
    <w:rsid w:val="009920FA"/>
    <w:rsid w:val="00992171"/>
    <w:rsid w:val="00992A24"/>
    <w:rsid w:val="00992C50"/>
    <w:rsid w:val="00993CED"/>
    <w:rsid w:val="0099446F"/>
    <w:rsid w:val="009950BD"/>
    <w:rsid w:val="009953D4"/>
    <w:rsid w:val="00995629"/>
    <w:rsid w:val="00995CA7"/>
    <w:rsid w:val="00995D73"/>
    <w:rsid w:val="00995E31"/>
    <w:rsid w:val="00996AE5"/>
    <w:rsid w:val="00997369"/>
    <w:rsid w:val="00997401"/>
    <w:rsid w:val="00997FA2"/>
    <w:rsid w:val="009A0165"/>
    <w:rsid w:val="009A07AD"/>
    <w:rsid w:val="009A1745"/>
    <w:rsid w:val="009A1A54"/>
    <w:rsid w:val="009A1AD0"/>
    <w:rsid w:val="009A2802"/>
    <w:rsid w:val="009A2E34"/>
    <w:rsid w:val="009A2E7B"/>
    <w:rsid w:val="009A33E5"/>
    <w:rsid w:val="009A3C99"/>
    <w:rsid w:val="009A3E75"/>
    <w:rsid w:val="009A43A9"/>
    <w:rsid w:val="009A4443"/>
    <w:rsid w:val="009A4F9C"/>
    <w:rsid w:val="009A581B"/>
    <w:rsid w:val="009A5DE0"/>
    <w:rsid w:val="009A6082"/>
    <w:rsid w:val="009A6C17"/>
    <w:rsid w:val="009B13FC"/>
    <w:rsid w:val="009B1EB6"/>
    <w:rsid w:val="009B21A8"/>
    <w:rsid w:val="009B2338"/>
    <w:rsid w:val="009B32D1"/>
    <w:rsid w:val="009B3D40"/>
    <w:rsid w:val="009B421E"/>
    <w:rsid w:val="009B4397"/>
    <w:rsid w:val="009B5E3B"/>
    <w:rsid w:val="009B614D"/>
    <w:rsid w:val="009B67CB"/>
    <w:rsid w:val="009B6A44"/>
    <w:rsid w:val="009B6E54"/>
    <w:rsid w:val="009B7056"/>
    <w:rsid w:val="009B771C"/>
    <w:rsid w:val="009C274F"/>
    <w:rsid w:val="009C2BD3"/>
    <w:rsid w:val="009C2DC4"/>
    <w:rsid w:val="009C3C58"/>
    <w:rsid w:val="009C52FF"/>
    <w:rsid w:val="009C59A3"/>
    <w:rsid w:val="009C78A6"/>
    <w:rsid w:val="009D027C"/>
    <w:rsid w:val="009D037A"/>
    <w:rsid w:val="009D08D1"/>
    <w:rsid w:val="009D0BD8"/>
    <w:rsid w:val="009D1BD9"/>
    <w:rsid w:val="009D1C8F"/>
    <w:rsid w:val="009D1EFA"/>
    <w:rsid w:val="009D24CF"/>
    <w:rsid w:val="009D296B"/>
    <w:rsid w:val="009D315F"/>
    <w:rsid w:val="009D3F95"/>
    <w:rsid w:val="009D68B9"/>
    <w:rsid w:val="009D7136"/>
    <w:rsid w:val="009D73C0"/>
    <w:rsid w:val="009D75D4"/>
    <w:rsid w:val="009D762B"/>
    <w:rsid w:val="009E00BD"/>
    <w:rsid w:val="009E0456"/>
    <w:rsid w:val="009E0F71"/>
    <w:rsid w:val="009E172F"/>
    <w:rsid w:val="009E1B62"/>
    <w:rsid w:val="009E1D4A"/>
    <w:rsid w:val="009E2087"/>
    <w:rsid w:val="009E24E1"/>
    <w:rsid w:val="009E30C1"/>
    <w:rsid w:val="009E358E"/>
    <w:rsid w:val="009E3E03"/>
    <w:rsid w:val="009E4DB4"/>
    <w:rsid w:val="009E54A6"/>
    <w:rsid w:val="009E5C8A"/>
    <w:rsid w:val="009E69C4"/>
    <w:rsid w:val="009E6A27"/>
    <w:rsid w:val="009E6B67"/>
    <w:rsid w:val="009E6D59"/>
    <w:rsid w:val="009F0D0E"/>
    <w:rsid w:val="009F2667"/>
    <w:rsid w:val="009F2DE7"/>
    <w:rsid w:val="009F410B"/>
    <w:rsid w:val="009F4983"/>
    <w:rsid w:val="009F658D"/>
    <w:rsid w:val="009F710A"/>
    <w:rsid w:val="009F777B"/>
    <w:rsid w:val="00A00008"/>
    <w:rsid w:val="00A003EE"/>
    <w:rsid w:val="00A00DE4"/>
    <w:rsid w:val="00A02EF8"/>
    <w:rsid w:val="00A03959"/>
    <w:rsid w:val="00A041BF"/>
    <w:rsid w:val="00A043B0"/>
    <w:rsid w:val="00A049C5"/>
    <w:rsid w:val="00A04E58"/>
    <w:rsid w:val="00A05771"/>
    <w:rsid w:val="00A0582D"/>
    <w:rsid w:val="00A06335"/>
    <w:rsid w:val="00A065B2"/>
    <w:rsid w:val="00A067F9"/>
    <w:rsid w:val="00A07323"/>
    <w:rsid w:val="00A075DA"/>
    <w:rsid w:val="00A076B1"/>
    <w:rsid w:val="00A07C0D"/>
    <w:rsid w:val="00A104DC"/>
    <w:rsid w:val="00A10AAE"/>
    <w:rsid w:val="00A10B30"/>
    <w:rsid w:val="00A10B65"/>
    <w:rsid w:val="00A10EE5"/>
    <w:rsid w:val="00A11754"/>
    <w:rsid w:val="00A126D7"/>
    <w:rsid w:val="00A139F3"/>
    <w:rsid w:val="00A14073"/>
    <w:rsid w:val="00A14EA7"/>
    <w:rsid w:val="00A1576C"/>
    <w:rsid w:val="00A1588E"/>
    <w:rsid w:val="00A17A50"/>
    <w:rsid w:val="00A17B56"/>
    <w:rsid w:val="00A202C8"/>
    <w:rsid w:val="00A22E17"/>
    <w:rsid w:val="00A23C9F"/>
    <w:rsid w:val="00A23FB1"/>
    <w:rsid w:val="00A2408A"/>
    <w:rsid w:val="00A24D2C"/>
    <w:rsid w:val="00A2518F"/>
    <w:rsid w:val="00A254B8"/>
    <w:rsid w:val="00A25D15"/>
    <w:rsid w:val="00A26086"/>
    <w:rsid w:val="00A2672B"/>
    <w:rsid w:val="00A26C46"/>
    <w:rsid w:val="00A27694"/>
    <w:rsid w:val="00A3256D"/>
    <w:rsid w:val="00A3283F"/>
    <w:rsid w:val="00A328CF"/>
    <w:rsid w:val="00A32FEB"/>
    <w:rsid w:val="00A33D23"/>
    <w:rsid w:val="00A35EBA"/>
    <w:rsid w:val="00A35FB1"/>
    <w:rsid w:val="00A36263"/>
    <w:rsid w:val="00A36728"/>
    <w:rsid w:val="00A36E35"/>
    <w:rsid w:val="00A37700"/>
    <w:rsid w:val="00A4059A"/>
    <w:rsid w:val="00A40690"/>
    <w:rsid w:val="00A41046"/>
    <w:rsid w:val="00A41DCD"/>
    <w:rsid w:val="00A42085"/>
    <w:rsid w:val="00A43533"/>
    <w:rsid w:val="00A45823"/>
    <w:rsid w:val="00A45B96"/>
    <w:rsid w:val="00A460CC"/>
    <w:rsid w:val="00A46B2C"/>
    <w:rsid w:val="00A506C5"/>
    <w:rsid w:val="00A50A6A"/>
    <w:rsid w:val="00A50A86"/>
    <w:rsid w:val="00A51340"/>
    <w:rsid w:val="00A51E27"/>
    <w:rsid w:val="00A53164"/>
    <w:rsid w:val="00A5348C"/>
    <w:rsid w:val="00A53B6B"/>
    <w:rsid w:val="00A56173"/>
    <w:rsid w:val="00A5619C"/>
    <w:rsid w:val="00A563A5"/>
    <w:rsid w:val="00A5647B"/>
    <w:rsid w:val="00A567C6"/>
    <w:rsid w:val="00A56CE2"/>
    <w:rsid w:val="00A5728F"/>
    <w:rsid w:val="00A57482"/>
    <w:rsid w:val="00A5783F"/>
    <w:rsid w:val="00A60454"/>
    <w:rsid w:val="00A604E5"/>
    <w:rsid w:val="00A60AC5"/>
    <w:rsid w:val="00A60DF7"/>
    <w:rsid w:val="00A60E74"/>
    <w:rsid w:val="00A60E7D"/>
    <w:rsid w:val="00A618F7"/>
    <w:rsid w:val="00A63282"/>
    <w:rsid w:val="00A638FB"/>
    <w:rsid w:val="00A64188"/>
    <w:rsid w:val="00A64556"/>
    <w:rsid w:val="00A657E6"/>
    <w:rsid w:val="00A66086"/>
    <w:rsid w:val="00A66976"/>
    <w:rsid w:val="00A672D6"/>
    <w:rsid w:val="00A67877"/>
    <w:rsid w:val="00A67C0F"/>
    <w:rsid w:val="00A67CBD"/>
    <w:rsid w:val="00A705A2"/>
    <w:rsid w:val="00A71DB5"/>
    <w:rsid w:val="00A721EA"/>
    <w:rsid w:val="00A75099"/>
    <w:rsid w:val="00A75280"/>
    <w:rsid w:val="00A7537E"/>
    <w:rsid w:val="00A75972"/>
    <w:rsid w:val="00A75EAE"/>
    <w:rsid w:val="00A761B1"/>
    <w:rsid w:val="00A76795"/>
    <w:rsid w:val="00A76C24"/>
    <w:rsid w:val="00A776AC"/>
    <w:rsid w:val="00A80975"/>
    <w:rsid w:val="00A819E8"/>
    <w:rsid w:val="00A81C4F"/>
    <w:rsid w:val="00A81C7D"/>
    <w:rsid w:val="00A8297A"/>
    <w:rsid w:val="00A82CAF"/>
    <w:rsid w:val="00A830BB"/>
    <w:rsid w:val="00A83E61"/>
    <w:rsid w:val="00A84545"/>
    <w:rsid w:val="00A84BE8"/>
    <w:rsid w:val="00A84CC3"/>
    <w:rsid w:val="00A84EAA"/>
    <w:rsid w:val="00A85C9B"/>
    <w:rsid w:val="00A85DF4"/>
    <w:rsid w:val="00A86201"/>
    <w:rsid w:val="00A86C7A"/>
    <w:rsid w:val="00A8740E"/>
    <w:rsid w:val="00A90EEC"/>
    <w:rsid w:val="00A914D5"/>
    <w:rsid w:val="00A91867"/>
    <w:rsid w:val="00A932DA"/>
    <w:rsid w:val="00A94076"/>
    <w:rsid w:val="00A94417"/>
    <w:rsid w:val="00A945A5"/>
    <w:rsid w:val="00A951A2"/>
    <w:rsid w:val="00A95C19"/>
    <w:rsid w:val="00A95F74"/>
    <w:rsid w:val="00A96E59"/>
    <w:rsid w:val="00A97CC1"/>
    <w:rsid w:val="00AA0489"/>
    <w:rsid w:val="00AA06DB"/>
    <w:rsid w:val="00AA1010"/>
    <w:rsid w:val="00AA130F"/>
    <w:rsid w:val="00AA146E"/>
    <w:rsid w:val="00AA1FE0"/>
    <w:rsid w:val="00AA3B37"/>
    <w:rsid w:val="00AA475D"/>
    <w:rsid w:val="00AA4E01"/>
    <w:rsid w:val="00AA5771"/>
    <w:rsid w:val="00AA5DE8"/>
    <w:rsid w:val="00AA7538"/>
    <w:rsid w:val="00AA753B"/>
    <w:rsid w:val="00AA7773"/>
    <w:rsid w:val="00AA7EB6"/>
    <w:rsid w:val="00AA7F07"/>
    <w:rsid w:val="00AB01E6"/>
    <w:rsid w:val="00AB0E89"/>
    <w:rsid w:val="00AB1D99"/>
    <w:rsid w:val="00AB1ECB"/>
    <w:rsid w:val="00AB2422"/>
    <w:rsid w:val="00AB25BB"/>
    <w:rsid w:val="00AB2623"/>
    <w:rsid w:val="00AB26A8"/>
    <w:rsid w:val="00AB3274"/>
    <w:rsid w:val="00AB60CF"/>
    <w:rsid w:val="00AB64FB"/>
    <w:rsid w:val="00AB686D"/>
    <w:rsid w:val="00AB6D91"/>
    <w:rsid w:val="00AB726B"/>
    <w:rsid w:val="00AB7286"/>
    <w:rsid w:val="00AB79C4"/>
    <w:rsid w:val="00AB7D58"/>
    <w:rsid w:val="00AB7D5D"/>
    <w:rsid w:val="00AC052F"/>
    <w:rsid w:val="00AC0712"/>
    <w:rsid w:val="00AC1064"/>
    <w:rsid w:val="00AC14DD"/>
    <w:rsid w:val="00AC2005"/>
    <w:rsid w:val="00AC2ACB"/>
    <w:rsid w:val="00AC2F1F"/>
    <w:rsid w:val="00AC2FF7"/>
    <w:rsid w:val="00AC31CC"/>
    <w:rsid w:val="00AC385E"/>
    <w:rsid w:val="00AC4B7B"/>
    <w:rsid w:val="00AC52B2"/>
    <w:rsid w:val="00AC5C65"/>
    <w:rsid w:val="00AC6D04"/>
    <w:rsid w:val="00AC72EE"/>
    <w:rsid w:val="00AC7624"/>
    <w:rsid w:val="00AD0CF5"/>
    <w:rsid w:val="00AD13AF"/>
    <w:rsid w:val="00AD1E80"/>
    <w:rsid w:val="00AD394A"/>
    <w:rsid w:val="00AD3A88"/>
    <w:rsid w:val="00AD3C12"/>
    <w:rsid w:val="00AD43BC"/>
    <w:rsid w:val="00AD43C3"/>
    <w:rsid w:val="00AD4496"/>
    <w:rsid w:val="00AD5E9F"/>
    <w:rsid w:val="00AD652E"/>
    <w:rsid w:val="00AD7AFF"/>
    <w:rsid w:val="00AD7DD3"/>
    <w:rsid w:val="00AE05E6"/>
    <w:rsid w:val="00AE0617"/>
    <w:rsid w:val="00AE0A97"/>
    <w:rsid w:val="00AE0EF0"/>
    <w:rsid w:val="00AE1076"/>
    <w:rsid w:val="00AE1F04"/>
    <w:rsid w:val="00AE2F05"/>
    <w:rsid w:val="00AE301C"/>
    <w:rsid w:val="00AE3215"/>
    <w:rsid w:val="00AE3760"/>
    <w:rsid w:val="00AE5DAB"/>
    <w:rsid w:val="00AE6F4F"/>
    <w:rsid w:val="00AE72C2"/>
    <w:rsid w:val="00AE7C2F"/>
    <w:rsid w:val="00AF07F9"/>
    <w:rsid w:val="00AF112E"/>
    <w:rsid w:val="00AF2F2A"/>
    <w:rsid w:val="00AF3A3F"/>
    <w:rsid w:val="00AF3E83"/>
    <w:rsid w:val="00AF57F0"/>
    <w:rsid w:val="00AF5D67"/>
    <w:rsid w:val="00AF6087"/>
    <w:rsid w:val="00AF640A"/>
    <w:rsid w:val="00AF69AC"/>
    <w:rsid w:val="00AF6A2C"/>
    <w:rsid w:val="00AF737A"/>
    <w:rsid w:val="00AF7CA0"/>
    <w:rsid w:val="00AF7F1F"/>
    <w:rsid w:val="00B00220"/>
    <w:rsid w:val="00B0072D"/>
    <w:rsid w:val="00B01AE0"/>
    <w:rsid w:val="00B02547"/>
    <w:rsid w:val="00B03047"/>
    <w:rsid w:val="00B04CF4"/>
    <w:rsid w:val="00B0616D"/>
    <w:rsid w:val="00B062B5"/>
    <w:rsid w:val="00B0748E"/>
    <w:rsid w:val="00B07FA8"/>
    <w:rsid w:val="00B07FE3"/>
    <w:rsid w:val="00B1047E"/>
    <w:rsid w:val="00B117F5"/>
    <w:rsid w:val="00B138EB"/>
    <w:rsid w:val="00B13AE2"/>
    <w:rsid w:val="00B13AED"/>
    <w:rsid w:val="00B14E2A"/>
    <w:rsid w:val="00B152C7"/>
    <w:rsid w:val="00B155A8"/>
    <w:rsid w:val="00B15835"/>
    <w:rsid w:val="00B16966"/>
    <w:rsid w:val="00B16FFA"/>
    <w:rsid w:val="00B2035B"/>
    <w:rsid w:val="00B20460"/>
    <w:rsid w:val="00B20796"/>
    <w:rsid w:val="00B20C26"/>
    <w:rsid w:val="00B20FD6"/>
    <w:rsid w:val="00B21A3A"/>
    <w:rsid w:val="00B21DA9"/>
    <w:rsid w:val="00B2304E"/>
    <w:rsid w:val="00B2348A"/>
    <w:rsid w:val="00B23B38"/>
    <w:rsid w:val="00B23E4F"/>
    <w:rsid w:val="00B248B2"/>
    <w:rsid w:val="00B24E3B"/>
    <w:rsid w:val="00B2574A"/>
    <w:rsid w:val="00B26668"/>
    <w:rsid w:val="00B3000B"/>
    <w:rsid w:val="00B302B7"/>
    <w:rsid w:val="00B3065C"/>
    <w:rsid w:val="00B3093D"/>
    <w:rsid w:val="00B30CEB"/>
    <w:rsid w:val="00B325DD"/>
    <w:rsid w:val="00B32770"/>
    <w:rsid w:val="00B32F20"/>
    <w:rsid w:val="00B33CB3"/>
    <w:rsid w:val="00B34374"/>
    <w:rsid w:val="00B343A6"/>
    <w:rsid w:val="00B34441"/>
    <w:rsid w:val="00B348BA"/>
    <w:rsid w:val="00B34B11"/>
    <w:rsid w:val="00B36073"/>
    <w:rsid w:val="00B368EF"/>
    <w:rsid w:val="00B3756C"/>
    <w:rsid w:val="00B3771D"/>
    <w:rsid w:val="00B40246"/>
    <w:rsid w:val="00B406C7"/>
    <w:rsid w:val="00B4122E"/>
    <w:rsid w:val="00B41747"/>
    <w:rsid w:val="00B417B0"/>
    <w:rsid w:val="00B418D9"/>
    <w:rsid w:val="00B41AF4"/>
    <w:rsid w:val="00B42133"/>
    <w:rsid w:val="00B42A5A"/>
    <w:rsid w:val="00B434ED"/>
    <w:rsid w:val="00B43610"/>
    <w:rsid w:val="00B436E7"/>
    <w:rsid w:val="00B44817"/>
    <w:rsid w:val="00B4546A"/>
    <w:rsid w:val="00B46703"/>
    <w:rsid w:val="00B46A3A"/>
    <w:rsid w:val="00B46B26"/>
    <w:rsid w:val="00B4728C"/>
    <w:rsid w:val="00B47313"/>
    <w:rsid w:val="00B47741"/>
    <w:rsid w:val="00B50729"/>
    <w:rsid w:val="00B510D7"/>
    <w:rsid w:val="00B517DF"/>
    <w:rsid w:val="00B5187F"/>
    <w:rsid w:val="00B51D81"/>
    <w:rsid w:val="00B51FE7"/>
    <w:rsid w:val="00B52273"/>
    <w:rsid w:val="00B5259C"/>
    <w:rsid w:val="00B5284D"/>
    <w:rsid w:val="00B53077"/>
    <w:rsid w:val="00B54025"/>
    <w:rsid w:val="00B5582C"/>
    <w:rsid w:val="00B5615B"/>
    <w:rsid w:val="00B562A4"/>
    <w:rsid w:val="00B5648B"/>
    <w:rsid w:val="00B5657D"/>
    <w:rsid w:val="00B578F0"/>
    <w:rsid w:val="00B57CAA"/>
    <w:rsid w:val="00B60765"/>
    <w:rsid w:val="00B61592"/>
    <w:rsid w:val="00B64A26"/>
    <w:rsid w:val="00B64E60"/>
    <w:rsid w:val="00B65196"/>
    <w:rsid w:val="00B65CC7"/>
    <w:rsid w:val="00B65CCC"/>
    <w:rsid w:val="00B66703"/>
    <w:rsid w:val="00B6748A"/>
    <w:rsid w:val="00B67806"/>
    <w:rsid w:val="00B67937"/>
    <w:rsid w:val="00B70224"/>
    <w:rsid w:val="00B70A88"/>
    <w:rsid w:val="00B71E95"/>
    <w:rsid w:val="00B71F2C"/>
    <w:rsid w:val="00B72EF5"/>
    <w:rsid w:val="00B7342B"/>
    <w:rsid w:val="00B73B0D"/>
    <w:rsid w:val="00B73BD3"/>
    <w:rsid w:val="00B75B84"/>
    <w:rsid w:val="00B7707B"/>
    <w:rsid w:val="00B77207"/>
    <w:rsid w:val="00B775FA"/>
    <w:rsid w:val="00B77A02"/>
    <w:rsid w:val="00B81816"/>
    <w:rsid w:val="00B8338A"/>
    <w:rsid w:val="00B8388F"/>
    <w:rsid w:val="00B83ECA"/>
    <w:rsid w:val="00B852CC"/>
    <w:rsid w:val="00B857CF"/>
    <w:rsid w:val="00B85DA8"/>
    <w:rsid w:val="00B868BE"/>
    <w:rsid w:val="00B86C4C"/>
    <w:rsid w:val="00B86E25"/>
    <w:rsid w:val="00B90219"/>
    <w:rsid w:val="00B902D3"/>
    <w:rsid w:val="00B912F3"/>
    <w:rsid w:val="00B917FB"/>
    <w:rsid w:val="00B9246D"/>
    <w:rsid w:val="00B92CBE"/>
    <w:rsid w:val="00B93592"/>
    <w:rsid w:val="00B936FE"/>
    <w:rsid w:val="00B939AE"/>
    <w:rsid w:val="00B943F4"/>
    <w:rsid w:val="00B94FE5"/>
    <w:rsid w:val="00B95C49"/>
    <w:rsid w:val="00B964AD"/>
    <w:rsid w:val="00B966E1"/>
    <w:rsid w:val="00B97624"/>
    <w:rsid w:val="00B97CB9"/>
    <w:rsid w:val="00B97F70"/>
    <w:rsid w:val="00BA06EA"/>
    <w:rsid w:val="00BA2427"/>
    <w:rsid w:val="00BA2562"/>
    <w:rsid w:val="00BA3407"/>
    <w:rsid w:val="00BA48D3"/>
    <w:rsid w:val="00BA52C2"/>
    <w:rsid w:val="00BA534A"/>
    <w:rsid w:val="00BA5628"/>
    <w:rsid w:val="00BA5728"/>
    <w:rsid w:val="00BA5F66"/>
    <w:rsid w:val="00BA680E"/>
    <w:rsid w:val="00BA6818"/>
    <w:rsid w:val="00BA68DA"/>
    <w:rsid w:val="00BA722E"/>
    <w:rsid w:val="00BA7AE9"/>
    <w:rsid w:val="00BB0851"/>
    <w:rsid w:val="00BB0EFE"/>
    <w:rsid w:val="00BB2DAA"/>
    <w:rsid w:val="00BB2FBC"/>
    <w:rsid w:val="00BB32E6"/>
    <w:rsid w:val="00BB38A8"/>
    <w:rsid w:val="00BB52BF"/>
    <w:rsid w:val="00BB56B0"/>
    <w:rsid w:val="00BB56EF"/>
    <w:rsid w:val="00BB62EB"/>
    <w:rsid w:val="00BB6B5E"/>
    <w:rsid w:val="00BB6CFE"/>
    <w:rsid w:val="00BB731A"/>
    <w:rsid w:val="00BC0004"/>
    <w:rsid w:val="00BC10B7"/>
    <w:rsid w:val="00BC167B"/>
    <w:rsid w:val="00BC1AA3"/>
    <w:rsid w:val="00BC23AC"/>
    <w:rsid w:val="00BC36E4"/>
    <w:rsid w:val="00BC3AE9"/>
    <w:rsid w:val="00BC46D0"/>
    <w:rsid w:val="00BC490A"/>
    <w:rsid w:val="00BC4F7E"/>
    <w:rsid w:val="00BC51AB"/>
    <w:rsid w:val="00BC54D1"/>
    <w:rsid w:val="00BC5C81"/>
    <w:rsid w:val="00BC62FE"/>
    <w:rsid w:val="00BC64CC"/>
    <w:rsid w:val="00BC6E5F"/>
    <w:rsid w:val="00BC7795"/>
    <w:rsid w:val="00BC77C0"/>
    <w:rsid w:val="00BC77CE"/>
    <w:rsid w:val="00BC7E35"/>
    <w:rsid w:val="00BD0AFA"/>
    <w:rsid w:val="00BD1563"/>
    <w:rsid w:val="00BD189F"/>
    <w:rsid w:val="00BD284A"/>
    <w:rsid w:val="00BD2AB0"/>
    <w:rsid w:val="00BD6A79"/>
    <w:rsid w:val="00BD7E1F"/>
    <w:rsid w:val="00BE09D6"/>
    <w:rsid w:val="00BE0D62"/>
    <w:rsid w:val="00BE0E51"/>
    <w:rsid w:val="00BE11BF"/>
    <w:rsid w:val="00BE11CD"/>
    <w:rsid w:val="00BE18AA"/>
    <w:rsid w:val="00BE2206"/>
    <w:rsid w:val="00BE305C"/>
    <w:rsid w:val="00BE322A"/>
    <w:rsid w:val="00BE45A5"/>
    <w:rsid w:val="00BE46C4"/>
    <w:rsid w:val="00BE4DDA"/>
    <w:rsid w:val="00BE50C5"/>
    <w:rsid w:val="00BE56B4"/>
    <w:rsid w:val="00BE576C"/>
    <w:rsid w:val="00BE59F6"/>
    <w:rsid w:val="00BE5D17"/>
    <w:rsid w:val="00BE6797"/>
    <w:rsid w:val="00BE6CE9"/>
    <w:rsid w:val="00BE7061"/>
    <w:rsid w:val="00BF1186"/>
    <w:rsid w:val="00BF1239"/>
    <w:rsid w:val="00BF1D53"/>
    <w:rsid w:val="00BF20CB"/>
    <w:rsid w:val="00BF29C5"/>
    <w:rsid w:val="00BF2F5D"/>
    <w:rsid w:val="00BF4551"/>
    <w:rsid w:val="00BF45D1"/>
    <w:rsid w:val="00BF4806"/>
    <w:rsid w:val="00BF4B70"/>
    <w:rsid w:val="00BF5A8A"/>
    <w:rsid w:val="00BF6136"/>
    <w:rsid w:val="00BF668D"/>
    <w:rsid w:val="00BF671C"/>
    <w:rsid w:val="00BF6859"/>
    <w:rsid w:val="00BF71ED"/>
    <w:rsid w:val="00BF746A"/>
    <w:rsid w:val="00BF74FC"/>
    <w:rsid w:val="00BF758C"/>
    <w:rsid w:val="00BF7BA5"/>
    <w:rsid w:val="00BF7E8D"/>
    <w:rsid w:val="00C0006F"/>
    <w:rsid w:val="00C01FC2"/>
    <w:rsid w:val="00C025EF"/>
    <w:rsid w:val="00C031C9"/>
    <w:rsid w:val="00C03D4E"/>
    <w:rsid w:val="00C03D51"/>
    <w:rsid w:val="00C0452C"/>
    <w:rsid w:val="00C04660"/>
    <w:rsid w:val="00C0484D"/>
    <w:rsid w:val="00C04C21"/>
    <w:rsid w:val="00C050E8"/>
    <w:rsid w:val="00C06153"/>
    <w:rsid w:val="00C06C21"/>
    <w:rsid w:val="00C104F9"/>
    <w:rsid w:val="00C112CD"/>
    <w:rsid w:val="00C114C8"/>
    <w:rsid w:val="00C118D1"/>
    <w:rsid w:val="00C11BC8"/>
    <w:rsid w:val="00C11BCF"/>
    <w:rsid w:val="00C1256E"/>
    <w:rsid w:val="00C126CC"/>
    <w:rsid w:val="00C12CB2"/>
    <w:rsid w:val="00C13210"/>
    <w:rsid w:val="00C133DF"/>
    <w:rsid w:val="00C13963"/>
    <w:rsid w:val="00C14F23"/>
    <w:rsid w:val="00C1585E"/>
    <w:rsid w:val="00C15D82"/>
    <w:rsid w:val="00C16166"/>
    <w:rsid w:val="00C164CC"/>
    <w:rsid w:val="00C171F2"/>
    <w:rsid w:val="00C178F0"/>
    <w:rsid w:val="00C17B24"/>
    <w:rsid w:val="00C2043C"/>
    <w:rsid w:val="00C20B28"/>
    <w:rsid w:val="00C216BB"/>
    <w:rsid w:val="00C21D08"/>
    <w:rsid w:val="00C21F72"/>
    <w:rsid w:val="00C23155"/>
    <w:rsid w:val="00C23254"/>
    <w:rsid w:val="00C23E8C"/>
    <w:rsid w:val="00C249EA"/>
    <w:rsid w:val="00C249FC"/>
    <w:rsid w:val="00C24C2E"/>
    <w:rsid w:val="00C24DEA"/>
    <w:rsid w:val="00C25EAC"/>
    <w:rsid w:val="00C2676F"/>
    <w:rsid w:val="00C2702F"/>
    <w:rsid w:val="00C2787F"/>
    <w:rsid w:val="00C31E9F"/>
    <w:rsid w:val="00C32106"/>
    <w:rsid w:val="00C32182"/>
    <w:rsid w:val="00C32484"/>
    <w:rsid w:val="00C3320B"/>
    <w:rsid w:val="00C33626"/>
    <w:rsid w:val="00C33726"/>
    <w:rsid w:val="00C34AD4"/>
    <w:rsid w:val="00C34F98"/>
    <w:rsid w:val="00C35A79"/>
    <w:rsid w:val="00C3629E"/>
    <w:rsid w:val="00C3631C"/>
    <w:rsid w:val="00C3633B"/>
    <w:rsid w:val="00C36BDA"/>
    <w:rsid w:val="00C36CAF"/>
    <w:rsid w:val="00C37BF3"/>
    <w:rsid w:val="00C4013F"/>
    <w:rsid w:val="00C40266"/>
    <w:rsid w:val="00C40880"/>
    <w:rsid w:val="00C41631"/>
    <w:rsid w:val="00C418B9"/>
    <w:rsid w:val="00C4198F"/>
    <w:rsid w:val="00C41BBF"/>
    <w:rsid w:val="00C423DB"/>
    <w:rsid w:val="00C4294D"/>
    <w:rsid w:val="00C429A6"/>
    <w:rsid w:val="00C42CCF"/>
    <w:rsid w:val="00C436D0"/>
    <w:rsid w:val="00C43B8B"/>
    <w:rsid w:val="00C43F7D"/>
    <w:rsid w:val="00C440BF"/>
    <w:rsid w:val="00C452E6"/>
    <w:rsid w:val="00C465C3"/>
    <w:rsid w:val="00C465CA"/>
    <w:rsid w:val="00C466C5"/>
    <w:rsid w:val="00C46984"/>
    <w:rsid w:val="00C47182"/>
    <w:rsid w:val="00C47581"/>
    <w:rsid w:val="00C47DC8"/>
    <w:rsid w:val="00C50FBA"/>
    <w:rsid w:val="00C512D3"/>
    <w:rsid w:val="00C51385"/>
    <w:rsid w:val="00C51569"/>
    <w:rsid w:val="00C51C78"/>
    <w:rsid w:val="00C546DC"/>
    <w:rsid w:val="00C547A7"/>
    <w:rsid w:val="00C547D9"/>
    <w:rsid w:val="00C555BF"/>
    <w:rsid w:val="00C55A98"/>
    <w:rsid w:val="00C56265"/>
    <w:rsid w:val="00C5735A"/>
    <w:rsid w:val="00C57A79"/>
    <w:rsid w:val="00C57D19"/>
    <w:rsid w:val="00C57E21"/>
    <w:rsid w:val="00C601DD"/>
    <w:rsid w:val="00C60BA7"/>
    <w:rsid w:val="00C61008"/>
    <w:rsid w:val="00C61894"/>
    <w:rsid w:val="00C6224A"/>
    <w:rsid w:val="00C627A1"/>
    <w:rsid w:val="00C62F36"/>
    <w:rsid w:val="00C6375C"/>
    <w:rsid w:val="00C63AF8"/>
    <w:rsid w:val="00C6421C"/>
    <w:rsid w:val="00C64504"/>
    <w:rsid w:val="00C6543C"/>
    <w:rsid w:val="00C6695E"/>
    <w:rsid w:val="00C66E68"/>
    <w:rsid w:val="00C66FB4"/>
    <w:rsid w:val="00C672E0"/>
    <w:rsid w:val="00C6787A"/>
    <w:rsid w:val="00C67CC3"/>
    <w:rsid w:val="00C70888"/>
    <w:rsid w:val="00C70C9A"/>
    <w:rsid w:val="00C713F0"/>
    <w:rsid w:val="00C723CA"/>
    <w:rsid w:val="00C725EF"/>
    <w:rsid w:val="00C7278E"/>
    <w:rsid w:val="00C72911"/>
    <w:rsid w:val="00C731F8"/>
    <w:rsid w:val="00C73B5A"/>
    <w:rsid w:val="00C74307"/>
    <w:rsid w:val="00C7543D"/>
    <w:rsid w:val="00C7681D"/>
    <w:rsid w:val="00C770EE"/>
    <w:rsid w:val="00C80B4B"/>
    <w:rsid w:val="00C80C7A"/>
    <w:rsid w:val="00C80DBE"/>
    <w:rsid w:val="00C81625"/>
    <w:rsid w:val="00C81F53"/>
    <w:rsid w:val="00C823FD"/>
    <w:rsid w:val="00C82F2B"/>
    <w:rsid w:val="00C830B9"/>
    <w:rsid w:val="00C8363B"/>
    <w:rsid w:val="00C83A08"/>
    <w:rsid w:val="00C84FE2"/>
    <w:rsid w:val="00C86A5E"/>
    <w:rsid w:val="00C8718D"/>
    <w:rsid w:val="00C87306"/>
    <w:rsid w:val="00C87D29"/>
    <w:rsid w:val="00C87EDC"/>
    <w:rsid w:val="00C902C3"/>
    <w:rsid w:val="00C90DAB"/>
    <w:rsid w:val="00C917C4"/>
    <w:rsid w:val="00C92516"/>
    <w:rsid w:val="00C925E1"/>
    <w:rsid w:val="00C92CF2"/>
    <w:rsid w:val="00C930AE"/>
    <w:rsid w:val="00C938B3"/>
    <w:rsid w:val="00C9443A"/>
    <w:rsid w:val="00C950B5"/>
    <w:rsid w:val="00C95A8E"/>
    <w:rsid w:val="00C95ADA"/>
    <w:rsid w:val="00C95DE8"/>
    <w:rsid w:val="00C967A2"/>
    <w:rsid w:val="00C97B92"/>
    <w:rsid w:val="00CA0D66"/>
    <w:rsid w:val="00CA1332"/>
    <w:rsid w:val="00CA18E4"/>
    <w:rsid w:val="00CA1DC7"/>
    <w:rsid w:val="00CA2744"/>
    <w:rsid w:val="00CA3641"/>
    <w:rsid w:val="00CA3694"/>
    <w:rsid w:val="00CA3F01"/>
    <w:rsid w:val="00CA4104"/>
    <w:rsid w:val="00CA42FF"/>
    <w:rsid w:val="00CA4ECB"/>
    <w:rsid w:val="00CA5260"/>
    <w:rsid w:val="00CA5904"/>
    <w:rsid w:val="00CA5B69"/>
    <w:rsid w:val="00CA6CFD"/>
    <w:rsid w:val="00CA7D7F"/>
    <w:rsid w:val="00CB084D"/>
    <w:rsid w:val="00CB1D28"/>
    <w:rsid w:val="00CB2658"/>
    <w:rsid w:val="00CB3068"/>
    <w:rsid w:val="00CB4173"/>
    <w:rsid w:val="00CB4620"/>
    <w:rsid w:val="00CB4797"/>
    <w:rsid w:val="00CB4940"/>
    <w:rsid w:val="00CB4EA0"/>
    <w:rsid w:val="00CB505D"/>
    <w:rsid w:val="00CB521A"/>
    <w:rsid w:val="00CB5546"/>
    <w:rsid w:val="00CB60BB"/>
    <w:rsid w:val="00CB66E1"/>
    <w:rsid w:val="00CC07F8"/>
    <w:rsid w:val="00CC1153"/>
    <w:rsid w:val="00CC1AEC"/>
    <w:rsid w:val="00CC23FC"/>
    <w:rsid w:val="00CC2772"/>
    <w:rsid w:val="00CC2B19"/>
    <w:rsid w:val="00CC3368"/>
    <w:rsid w:val="00CC382F"/>
    <w:rsid w:val="00CC4286"/>
    <w:rsid w:val="00CC4E19"/>
    <w:rsid w:val="00CC505E"/>
    <w:rsid w:val="00CC5557"/>
    <w:rsid w:val="00CC563C"/>
    <w:rsid w:val="00CC59A5"/>
    <w:rsid w:val="00CC5B48"/>
    <w:rsid w:val="00CC66FD"/>
    <w:rsid w:val="00CC6887"/>
    <w:rsid w:val="00CC6999"/>
    <w:rsid w:val="00CC7129"/>
    <w:rsid w:val="00CC7294"/>
    <w:rsid w:val="00CC7A37"/>
    <w:rsid w:val="00CC7C41"/>
    <w:rsid w:val="00CD0B46"/>
    <w:rsid w:val="00CD0CD7"/>
    <w:rsid w:val="00CD1D20"/>
    <w:rsid w:val="00CD291C"/>
    <w:rsid w:val="00CD2979"/>
    <w:rsid w:val="00CD2A6F"/>
    <w:rsid w:val="00CD34F1"/>
    <w:rsid w:val="00CD3FEB"/>
    <w:rsid w:val="00CD4428"/>
    <w:rsid w:val="00CD47F7"/>
    <w:rsid w:val="00CD48A3"/>
    <w:rsid w:val="00CD48F7"/>
    <w:rsid w:val="00CD5045"/>
    <w:rsid w:val="00CD5280"/>
    <w:rsid w:val="00CD550D"/>
    <w:rsid w:val="00CD59B4"/>
    <w:rsid w:val="00CD5FFC"/>
    <w:rsid w:val="00CD6552"/>
    <w:rsid w:val="00CD69CF"/>
    <w:rsid w:val="00CD6DC5"/>
    <w:rsid w:val="00CD6F38"/>
    <w:rsid w:val="00CD6FB8"/>
    <w:rsid w:val="00CE0B14"/>
    <w:rsid w:val="00CE0CB9"/>
    <w:rsid w:val="00CE0F99"/>
    <w:rsid w:val="00CE1523"/>
    <w:rsid w:val="00CE1B82"/>
    <w:rsid w:val="00CE25AF"/>
    <w:rsid w:val="00CE29E9"/>
    <w:rsid w:val="00CE3478"/>
    <w:rsid w:val="00CE350E"/>
    <w:rsid w:val="00CE4BEB"/>
    <w:rsid w:val="00CE4DE2"/>
    <w:rsid w:val="00CE4F94"/>
    <w:rsid w:val="00CE5C11"/>
    <w:rsid w:val="00CE688E"/>
    <w:rsid w:val="00CF0F3C"/>
    <w:rsid w:val="00CF1527"/>
    <w:rsid w:val="00CF2F6C"/>
    <w:rsid w:val="00CF3206"/>
    <w:rsid w:val="00CF335D"/>
    <w:rsid w:val="00CF34CD"/>
    <w:rsid w:val="00CF3C67"/>
    <w:rsid w:val="00CF3EEE"/>
    <w:rsid w:val="00CF3F4D"/>
    <w:rsid w:val="00CF4781"/>
    <w:rsid w:val="00CF507B"/>
    <w:rsid w:val="00CF5703"/>
    <w:rsid w:val="00CF726C"/>
    <w:rsid w:val="00CF7DD6"/>
    <w:rsid w:val="00D0143A"/>
    <w:rsid w:val="00D020E8"/>
    <w:rsid w:val="00D02338"/>
    <w:rsid w:val="00D02DBA"/>
    <w:rsid w:val="00D03205"/>
    <w:rsid w:val="00D04BE1"/>
    <w:rsid w:val="00D05479"/>
    <w:rsid w:val="00D06236"/>
    <w:rsid w:val="00D06356"/>
    <w:rsid w:val="00D06A3D"/>
    <w:rsid w:val="00D07014"/>
    <w:rsid w:val="00D07D45"/>
    <w:rsid w:val="00D07FB4"/>
    <w:rsid w:val="00D10A62"/>
    <w:rsid w:val="00D10F34"/>
    <w:rsid w:val="00D1115C"/>
    <w:rsid w:val="00D119DD"/>
    <w:rsid w:val="00D12407"/>
    <w:rsid w:val="00D12735"/>
    <w:rsid w:val="00D1308D"/>
    <w:rsid w:val="00D14016"/>
    <w:rsid w:val="00D141D1"/>
    <w:rsid w:val="00D14613"/>
    <w:rsid w:val="00D1469E"/>
    <w:rsid w:val="00D15054"/>
    <w:rsid w:val="00D1537F"/>
    <w:rsid w:val="00D15860"/>
    <w:rsid w:val="00D15E74"/>
    <w:rsid w:val="00D168D2"/>
    <w:rsid w:val="00D17530"/>
    <w:rsid w:val="00D21118"/>
    <w:rsid w:val="00D21F3F"/>
    <w:rsid w:val="00D21F5C"/>
    <w:rsid w:val="00D22D13"/>
    <w:rsid w:val="00D22EE1"/>
    <w:rsid w:val="00D22F26"/>
    <w:rsid w:val="00D23372"/>
    <w:rsid w:val="00D23478"/>
    <w:rsid w:val="00D239F4"/>
    <w:rsid w:val="00D23DD0"/>
    <w:rsid w:val="00D24DE9"/>
    <w:rsid w:val="00D24E8F"/>
    <w:rsid w:val="00D258C2"/>
    <w:rsid w:val="00D26085"/>
    <w:rsid w:val="00D27374"/>
    <w:rsid w:val="00D27D21"/>
    <w:rsid w:val="00D27FE1"/>
    <w:rsid w:val="00D302BE"/>
    <w:rsid w:val="00D30E6D"/>
    <w:rsid w:val="00D30F6D"/>
    <w:rsid w:val="00D30FD4"/>
    <w:rsid w:val="00D31F80"/>
    <w:rsid w:val="00D32BDA"/>
    <w:rsid w:val="00D32FA3"/>
    <w:rsid w:val="00D330D5"/>
    <w:rsid w:val="00D33377"/>
    <w:rsid w:val="00D3340B"/>
    <w:rsid w:val="00D3385F"/>
    <w:rsid w:val="00D33DB5"/>
    <w:rsid w:val="00D3480F"/>
    <w:rsid w:val="00D3485B"/>
    <w:rsid w:val="00D34A08"/>
    <w:rsid w:val="00D34BB7"/>
    <w:rsid w:val="00D35151"/>
    <w:rsid w:val="00D35919"/>
    <w:rsid w:val="00D35A78"/>
    <w:rsid w:val="00D36032"/>
    <w:rsid w:val="00D4040C"/>
    <w:rsid w:val="00D40C5C"/>
    <w:rsid w:val="00D40DF4"/>
    <w:rsid w:val="00D414E3"/>
    <w:rsid w:val="00D4164F"/>
    <w:rsid w:val="00D418A6"/>
    <w:rsid w:val="00D41A1C"/>
    <w:rsid w:val="00D41CFA"/>
    <w:rsid w:val="00D422AA"/>
    <w:rsid w:val="00D422E9"/>
    <w:rsid w:val="00D42D48"/>
    <w:rsid w:val="00D43022"/>
    <w:rsid w:val="00D4394B"/>
    <w:rsid w:val="00D43A6E"/>
    <w:rsid w:val="00D43C48"/>
    <w:rsid w:val="00D44188"/>
    <w:rsid w:val="00D445B6"/>
    <w:rsid w:val="00D44BC6"/>
    <w:rsid w:val="00D44F43"/>
    <w:rsid w:val="00D44FF2"/>
    <w:rsid w:val="00D458AA"/>
    <w:rsid w:val="00D45BA4"/>
    <w:rsid w:val="00D46350"/>
    <w:rsid w:val="00D46A22"/>
    <w:rsid w:val="00D46E0F"/>
    <w:rsid w:val="00D4710C"/>
    <w:rsid w:val="00D4766C"/>
    <w:rsid w:val="00D50727"/>
    <w:rsid w:val="00D50786"/>
    <w:rsid w:val="00D508F0"/>
    <w:rsid w:val="00D50997"/>
    <w:rsid w:val="00D50E2D"/>
    <w:rsid w:val="00D50F63"/>
    <w:rsid w:val="00D50F93"/>
    <w:rsid w:val="00D52168"/>
    <w:rsid w:val="00D52E8C"/>
    <w:rsid w:val="00D530A8"/>
    <w:rsid w:val="00D546B2"/>
    <w:rsid w:val="00D54EAE"/>
    <w:rsid w:val="00D5698A"/>
    <w:rsid w:val="00D56A16"/>
    <w:rsid w:val="00D577CA"/>
    <w:rsid w:val="00D57D82"/>
    <w:rsid w:val="00D6040E"/>
    <w:rsid w:val="00D6071C"/>
    <w:rsid w:val="00D61940"/>
    <w:rsid w:val="00D61C49"/>
    <w:rsid w:val="00D61DCE"/>
    <w:rsid w:val="00D62425"/>
    <w:rsid w:val="00D629BC"/>
    <w:rsid w:val="00D63D96"/>
    <w:rsid w:val="00D643EF"/>
    <w:rsid w:val="00D64585"/>
    <w:rsid w:val="00D651CF"/>
    <w:rsid w:val="00D65A5B"/>
    <w:rsid w:val="00D65B36"/>
    <w:rsid w:val="00D66C94"/>
    <w:rsid w:val="00D67978"/>
    <w:rsid w:val="00D67C25"/>
    <w:rsid w:val="00D7013F"/>
    <w:rsid w:val="00D71724"/>
    <w:rsid w:val="00D72E2C"/>
    <w:rsid w:val="00D73383"/>
    <w:rsid w:val="00D73816"/>
    <w:rsid w:val="00D7382E"/>
    <w:rsid w:val="00D741F7"/>
    <w:rsid w:val="00D74691"/>
    <w:rsid w:val="00D74F2C"/>
    <w:rsid w:val="00D750A8"/>
    <w:rsid w:val="00D76465"/>
    <w:rsid w:val="00D76510"/>
    <w:rsid w:val="00D765F2"/>
    <w:rsid w:val="00D76E6D"/>
    <w:rsid w:val="00D772F8"/>
    <w:rsid w:val="00D8074B"/>
    <w:rsid w:val="00D80AC5"/>
    <w:rsid w:val="00D80C12"/>
    <w:rsid w:val="00D82525"/>
    <w:rsid w:val="00D82F3A"/>
    <w:rsid w:val="00D8312E"/>
    <w:rsid w:val="00D8332A"/>
    <w:rsid w:val="00D8357C"/>
    <w:rsid w:val="00D8438D"/>
    <w:rsid w:val="00D84BBD"/>
    <w:rsid w:val="00D851E6"/>
    <w:rsid w:val="00D85DD3"/>
    <w:rsid w:val="00D866B2"/>
    <w:rsid w:val="00D874F9"/>
    <w:rsid w:val="00D87AAE"/>
    <w:rsid w:val="00D903E8"/>
    <w:rsid w:val="00D906B1"/>
    <w:rsid w:val="00D90853"/>
    <w:rsid w:val="00D91B44"/>
    <w:rsid w:val="00D91E15"/>
    <w:rsid w:val="00D91F2D"/>
    <w:rsid w:val="00D92147"/>
    <w:rsid w:val="00D92BF7"/>
    <w:rsid w:val="00D92D44"/>
    <w:rsid w:val="00D93F94"/>
    <w:rsid w:val="00D9523C"/>
    <w:rsid w:val="00D95CF7"/>
    <w:rsid w:val="00D9618B"/>
    <w:rsid w:val="00D9640F"/>
    <w:rsid w:val="00D965BB"/>
    <w:rsid w:val="00D97B23"/>
    <w:rsid w:val="00DA0609"/>
    <w:rsid w:val="00DA07C0"/>
    <w:rsid w:val="00DA0EBE"/>
    <w:rsid w:val="00DA26BC"/>
    <w:rsid w:val="00DA2B51"/>
    <w:rsid w:val="00DA5014"/>
    <w:rsid w:val="00DA55DF"/>
    <w:rsid w:val="00DA58DD"/>
    <w:rsid w:val="00DA6274"/>
    <w:rsid w:val="00DA6EF1"/>
    <w:rsid w:val="00DA7CD0"/>
    <w:rsid w:val="00DB06D2"/>
    <w:rsid w:val="00DB08BA"/>
    <w:rsid w:val="00DB0D8F"/>
    <w:rsid w:val="00DB1251"/>
    <w:rsid w:val="00DB30A0"/>
    <w:rsid w:val="00DB384C"/>
    <w:rsid w:val="00DB44A5"/>
    <w:rsid w:val="00DB46E1"/>
    <w:rsid w:val="00DB4D7D"/>
    <w:rsid w:val="00DB5D93"/>
    <w:rsid w:val="00DB5FFA"/>
    <w:rsid w:val="00DB60B1"/>
    <w:rsid w:val="00DB6F63"/>
    <w:rsid w:val="00DB736D"/>
    <w:rsid w:val="00DC08B8"/>
    <w:rsid w:val="00DC0F2E"/>
    <w:rsid w:val="00DC14CB"/>
    <w:rsid w:val="00DC1EDB"/>
    <w:rsid w:val="00DC2060"/>
    <w:rsid w:val="00DC23FE"/>
    <w:rsid w:val="00DC313F"/>
    <w:rsid w:val="00DC401D"/>
    <w:rsid w:val="00DC47B7"/>
    <w:rsid w:val="00DC5D30"/>
    <w:rsid w:val="00DC66C0"/>
    <w:rsid w:val="00DC6C3E"/>
    <w:rsid w:val="00DC793B"/>
    <w:rsid w:val="00DC7E61"/>
    <w:rsid w:val="00DD04E3"/>
    <w:rsid w:val="00DD195C"/>
    <w:rsid w:val="00DD1BA7"/>
    <w:rsid w:val="00DD21EF"/>
    <w:rsid w:val="00DD2898"/>
    <w:rsid w:val="00DD3584"/>
    <w:rsid w:val="00DD3AA5"/>
    <w:rsid w:val="00DD3ABB"/>
    <w:rsid w:val="00DD3E5D"/>
    <w:rsid w:val="00DD40A8"/>
    <w:rsid w:val="00DD42F7"/>
    <w:rsid w:val="00DD4526"/>
    <w:rsid w:val="00DD4892"/>
    <w:rsid w:val="00DD4B58"/>
    <w:rsid w:val="00DD50FD"/>
    <w:rsid w:val="00DD5F22"/>
    <w:rsid w:val="00DD6441"/>
    <w:rsid w:val="00DD68AB"/>
    <w:rsid w:val="00DD6D27"/>
    <w:rsid w:val="00DE0B4D"/>
    <w:rsid w:val="00DE0C99"/>
    <w:rsid w:val="00DE17B1"/>
    <w:rsid w:val="00DE17DC"/>
    <w:rsid w:val="00DE24E3"/>
    <w:rsid w:val="00DE270C"/>
    <w:rsid w:val="00DE2D57"/>
    <w:rsid w:val="00DE2E39"/>
    <w:rsid w:val="00DE3A0D"/>
    <w:rsid w:val="00DE3FDA"/>
    <w:rsid w:val="00DE488D"/>
    <w:rsid w:val="00DE537F"/>
    <w:rsid w:val="00DE5673"/>
    <w:rsid w:val="00DE601D"/>
    <w:rsid w:val="00DE6107"/>
    <w:rsid w:val="00DE6EF1"/>
    <w:rsid w:val="00DE7C05"/>
    <w:rsid w:val="00DE7E3E"/>
    <w:rsid w:val="00DF019D"/>
    <w:rsid w:val="00DF0E7C"/>
    <w:rsid w:val="00DF165B"/>
    <w:rsid w:val="00DF1793"/>
    <w:rsid w:val="00DF275B"/>
    <w:rsid w:val="00DF465A"/>
    <w:rsid w:val="00DF67BF"/>
    <w:rsid w:val="00DF6C16"/>
    <w:rsid w:val="00DF6FFE"/>
    <w:rsid w:val="00DF7037"/>
    <w:rsid w:val="00DF7943"/>
    <w:rsid w:val="00E00D1F"/>
    <w:rsid w:val="00E01CFD"/>
    <w:rsid w:val="00E02212"/>
    <w:rsid w:val="00E02822"/>
    <w:rsid w:val="00E02EDB"/>
    <w:rsid w:val="00E03332"/>
    <w:rsid w:val="00E03569"/>
    <w:rsid w:val="00E03E0D"/>
    <w:rsid w:val="00E041EF"/>
    <w:rsid w:val="00E04EE7"/>
    <w:rsid w:val="00E05429"/>
    <w:rsid w:val="00E11778"/>
    <w:rsid w:val="00E119B2"/>
    <w:rsid w:val="00E11D53"/>
    <w:rsid w:val="00E11EE2"/>
    <w:rsid w:val="00E124BC"/>
    <w:rsid w:val="00E1251E"/>
    <w:rsid w:val="00E12DB1"/>
    <w:rsid w:val="00E1323B"/>
    <w:rsid w:val="00E1331B"/>
    <w:rsid w:val="00E13AB6"/>
    <w:rsid w:val="00E13E44"/>
    <w:rsid w:val="00E1401E"/>
    <w:rsid w:val="00E141AC"/>
    <w:rsid w:val="00E1571B"/>
    <w:rsid w:val="00E163CA"/>
    <w:rsid w:val="00E163F4"/>
    <w:rsid w:val="00E167A3"/>
    <w:rsid w:val="00E16F8E"/>
    <w:rsid w:val="00E17285"/>
    <w:rsid w:val="00E1736E"/>
    <w:rsid w:val="00E2070D"/>
    <w:rsid w:val="00E20B66"/>
    <w:rsid w:val="00E21D18"/>
    <w:rsid w:val="00E22251"/>
    <w:rsid w:val="00E223E7"/>
    <w:rsid w:val="00E22ACD"/>
    <w:rsid w:val="00E22C8A"/>
    <w:rsid w:val="00E2313B"/>
    <w:rsid w:val="00E23A5B"/>
    <w:rsid w:val="00E24458"/>
    <w:rsid w:val="00E24D7E"/>
    <w:rsid w:val="00E25794"/>
    <w:rsid w:val="00E257A0"/>
    <w:rsid w:val="00E25AE2"/>
    <w:rsid w:val="00E25F1E"/>
    <w:rsid w:val="00E26251"/>
    <w:rsid w:val="00E265A6"/>
    <w:rsid w:val="00E270D3"/>
    <w:rsid w:val="00E27919"/>
    <w:rsid w:val="00E2796D"/>
    <w:rsid w:val="00E27A7A"/>
    <w:rsid w:val="00E31C62"/>
    <w:rsid w:val="00E32997"/>
    <w:rsid w:val="00E32B23"/>
    <w:rsid w:val="00E330E3"/>
    <w:rsid w:val="00E3447C"/>
    <w:rsid w:val="00E34708"/>
    <w:rsid w:val="00E3488A"/>
    <w:rsid w:val="00E34C55"/>
    <w:rsid w:val="00E351CB"/>
    <w:rsid w:val="00E352DA"/>
    <w:rsid w:val="00E3686A"/>
    <w:rsid w:val="00E37214"/>
    <w:rsid w:val="00E3758B"/>
    <w:rsid w:val="00E376E8"/>
    <w:rsid w:val="00E41543"/>
    <w:rsid w:val="00E41A1E"/>
    <w:rsid w:val="00E429AE"/>
    <w:rsid w:val="00E42B3A"/>
    <w:rsid w:val="00E42F0F"/>
    <w:rsid w:val="00E4301F"/>
    <w:rsid w:val="00E438C7"/>
    <w:rsid w:val="00E43B72"/>
    <w:rsid w:val="00E44801"/>
    <w:rsid w:val="00E4530C"/>
    <w:rsid w:val="00E45336"/>
    <w:rsid w:val="00E454F7"/>
    <w:rsid w:val="00E4581B"/>
    <w:rsid w:val="00E45A1D"/>
    <w:rsid w:val="00E466AD"/>
    <w:rsid w:val="00E4688C"/>
    <w:rsid w:val="00E469EE"/>
    <w:rsid w:val="00E46C26"/>
    <w:rsid w:val="00E47261"/>
    <w:rsid w:val="00E47F14"/>
    <w:rsid w:val="00E50170"/>
    <w:rsid w:val="00E51239"/>
    <w:rsid w:val="00E52EB3"/>
    <w:rsid w:val="00E5322D"/>
    <w:rsid w:val="00E532A6"/>
    <w:rsid w:val="00E533BB"/>
    <w:rsid w:val="00E54015"/>
    <w:rsid w:val="00E541D5"/>
    <w:rsid w:val="00E54893"/>
    <w:rsid w:val="00E54C1F"/>
    <w:rsid w:val="00E54C8D"/>
    <w:rsid w:val="00E54DA3"/>
    <w:rsid w:val="00E558A8"/>
    <w:rsid w:val="00E55B9E"/>
    <w:rsid w:val="00E5600A"/>
    <w:rsid w:val="00E56569"/>
    <w:rsid w:val="00E56DD2"/>
    <w:rsid w:val="00E57652"/>
    <w:rsid w:val="00E600EE"/>
    <w:rsid w:val="00E6045F"/>
    <w:rsid w:val="00E60938"/>
    <w:rsid w:val="00E61226"/>
    <w:rsid w:val="00E6153F"/>
    <w:rsid w:val="00E61ED1"/>
    <w:rsid w:val="00E636A8"/>
    <w:rsid w:val="00E64932"/>
    <w:rsid w:val="00E64A2F"/>
    <w:rsid w:val="00E65F02"/>
    <w:rsid w:val="00E668BB"/>
    <w:rsid w:val="00E66ECE"/>
    <w:rsid w:val="00E673A2"/>
    <w:rsid w:val="00E674ED"/>
    <w:rsid w:val="00E67B6B"/>
    <w:rsid w:val="00E7024E"/>
    <w:rsid w:val="00E71E16"/>
    <w:rsid w:val="00E71E47"/>
    <w:rsid w:val="00E73217"/>
    <w:rsid w:val="00E74809"/>
    <w:rsid w:val="00E74D9F"/>
    <w:rsid w:val="00E750D1"/>
    <w:rsid w:val="00E7551B"/>
    <w:rsid w:val="00E75671"/>
    <w:rsid w:val="00E75923"/>
    <w:rsid w:val="00E75C3E"/>
    <w:rsid w:val="00E75CBD"/>
    <w:rsid w:val="00E774A2"/>
    <w:rsid w:val="00E80AB3"/>
    <w:rsid w:val="00E82633"/>
    <w:rsid w:val="00E82B2B"/>
    <w:rsid w:val="00E8315B"/>
    <w:rsid w:val="00E83412"/>
    <w:rsid w:val="00E83555"/>
    <w:rsid w:val="00E84096"/>
    <w:rsid w:val="00E844A1"/>
    <w:rsid w:val="00E848E0"/>
    <w:rsid w:val="00E84ABE"/>
    <w:rsid w:val="00E8516C"/>
    <w:rsid w:val="00E85474"/>
    <w:rsid w:val="00E856D0"/>
    <w:rsid w:val="00E85C17"/>
    <w:rsid w:val="00E86EBD"/>
    <w:rsid w:val="00E876B7"/>
    <w:rsid w:val="00E87723"/>
    <w:rsid w:val="00E90944"/>
    <w:rsid w:val="00E91130"/>
    <w:rsid w:val="00E92E10"/>
    <w:rsid w:val="00E93323"/>
    <w:rsid w:val="00E937BF"/>
    <w:rsid w:val="00E93809"/>
    <w:rsid w:val="00E93F15"/>
    <w:rsid w:val="00E9444F"/>
    <w:rsid w:val="00E94B73"/>
    <w:rsid w:val="00E950EC"/>
    <w:rsid w:val="00E95BE5"/>
    <w:rsid w:val="00E965CC"/>
    <w:rsid w:val="00E96ABB"/>
    <w:rsid w:val="00E970CB"/>
    <w:rsid w:val="00E97126"/>
    <w:rsid w:val="00E97896"/>
    <w:rsid w:val="00EA0F8A"/>
    <w:rsid w:val="00EA146E"/>
    <w:rsid w:val="00EA1797"/>
    <w:rsid w:val="00EA1994"/>
    <w:rsid w:val="00EA1AE2"/>
    <w:rsid w:val="00EA2188"/>
    <w:rsid w:val="00EA2227"/>
    <w:rsid w:val="00EA3313"/>
    <w:rsid w:val="00EA47B7"/>
    <w:rsid w:val="00EA49F0"/>
    <w:rsid w:val="00EA4E33"/>
    <w:rsid w:val="00EA61AF"/>
    <w:rsid w:val="00EA69DB"/>
    <w:rsid w:val="00EA6C56"/>
    <w:rsid w:val="00EA7D83"/>
    <w:rsid w:val="00EB050C"/>
    <w:rsid w:val="00EB15BA"/>
    <w:rsid w:val="00EB1B4C"/>
    <w:rsid w:val="00EB2110"/>
    <w:rsid w:val="00EB2150"/>
    <w:rsid w:val="00EB2D2A"/>
    <w:rsid w:val="00EB31A6"/>
    <w:rsid w:val="00EB3511"/>
    <w:rsid w:val="00EB394E"/>
    <w:rsid w:val="00EB4C9C"/>
    <w:rsid w:val="00EB5504"/>
    <w:rsid w:val="00EB57CF"/>
    <w:rsid w:val="00EB58D5"/>
    <w:rsid w:val="00EB5DF4"/>
    <w:rsid w:val="00EB5FFA"/>
    <w:rsid w:val="00EB60FA"/>
    <w:rsid w:val="00EB6153"/>
    <w:rsid w:val="00EB61C9"/>
    <w:rsid w:val="00EB6E17"/>
    <w:rsid w:val="00EB7834"/>
    <w:rsid w:val="00EB79D3"/>
    <w:rsid w:val="00EC074D"/>
    <w:rsid w:val="00EC27C2"/>
    <w:rsid w:val="00EC2E30"/>
    <w:rsid w:val="00EC2E6E"/>
    <w:rsid w:val="00EC3CCA"/>
    <w:rsid w:val="00EC3F4B"/>
    <w:rsid w:val="00EC417C"/>
    <w:rsid w:val="00EC4485"/>
    <w:rsid w:val="00EC51FA"/>
    <w:rsid w:val="00EC63A0"/>
    <w:rsid w:val="00EC75B4"/>
    <w:rsid w:val="00EC7EDF"/>
    <w:rsid w:val="00ED1676"/>
    <w:rsid w:val="00ED192A"/>
    <w:rsid w:val="00ED2459"/>
    <w:rsid w:val="00ED2636"/>
    <w:rsid w:val="00ED26A6"/>
    <w:rsid w:val="00ED5934"/>
    <w:rsid w:val="00ED6043"/>
    <w:rsid w:val="00ED669C"/>
    <w:rsid w:val="00ED7B63"/>
    <w:rsid w:val="00ED7E80"/>
    <w:rsid w:val="00EE0E72"/>
    <w:rsid w:val="00EE1BD5"/>
    <w:rsid w:val="00EE1F3D"/>
    <w:rsid w:val="00EE22A2"/>
    <w:rsid w:val="00EE26C4"/>
    <w:rsid w:val="00EE37CE"/>
    <w:rsid w:val="00EE3D2B"/>
    <w:rsid w:val="00EE3D48"/>
    <w:rsid w:val="00EE3FD7"/>
    <w:rsid w:val="00EE53EC"/>
    <w:rsid w:val="00EE54BC"/>
    <w:rsid w:val="00EE62C6"/>
    <w:rsid w:val="00EE67C4"/>
    <w:rsid w:val="00EE6F69"/>
    <w:rsid w:val="00EE7372"/>
    <w:rsid w:val="00EE7E21"/>
    <w:rsid w:val="00EF0C85"/>
    <w:rsid w:val="00EF1F7F"/>
    <w:rsid w:val="00EF1FD9"/>
    <w:rsid w:val="00EF2008"/>
    <w:rsid w:val="00EF2F52"/>
    <w:rsid w:val="00EF3D8A"/>
    <w:rsid w:val="00EF3EC1"/>
    <w:rsid w:val="00EF4144"/>
    <w:rsid w:val="00EF4254"/>
    <w:rsid w:val="00EF455A"/>
    <w:rsid w:val="00EF5D0A"/>
    <w:rsid w:val="00EF5FCD"/>
    <w:rsid w:val="00EF6003"/>
    <w:rsid w:val="00EF60A8"/>
    <w:rsid w:val="00EF67E1"/>
    <w:rsid w:val="00EF6DB1"/>
    <w:rsid w:val="00EF7ACB"/>
    <w:rsid w:val="00F007BF"/>
    <w:rsid w:val="00F00DBA"/>
    <w:rsid w:val="00F02C39"/>
    <w:rsid w:val="00F02FC3"/>
    <w:rsid w:val="00F03A68"/>
    <w:rsid w:val="00F044F2"/>
    <w:rsid w:val="00F049E2"/>
    <w:rsid w:val="00F053C4"/>
    <w:rsid w:val="00F06042"/>
    <w:rsid w:val="00F06217"/>
    <w:rsid w:val="00F066D3"/>
    <w:rsid w:val="00F066F9"/>
    <w:rsid w:val="00F0672F"/>
    <w:rsid w:val="00F06875"/>
    <w:rsid w:val="00F06A10"/>
    <w:rsid w:val="00F06A4A"/>
    <w:rsid w:val="00F0720C"/>
    <w:rsid w:val="00F07BDB"/>
    <w:rsid w:val="00F07FFA"/>
    <w:rsid w:val="00F10537"/>
    <w:rsid w:val="00F106C9"/>
    <w:rsid w:val="00F10CBA"/>
    <w:rsid w:val="00F10D12"/>
    <w:rsid w:val="00F10E3F"/>
    <w:rsid w:val="00F11B3D"/>
    <w:rsid w:val="00F11B66"/>
    <w:rsid w:val="00F123B8"/>
    <w:rsid w:val="00F12572"/>
    <w:rsid w:val="00F12700"/>
    <w:rsid w:val="00F12990"/>
    <w:rsid w:val="00F12FAF"/>
    <w:rsid w:val="00F13CB3"/>
    <w:rsid w:val="00F155EE"/>
    <w:rsid w:val="00F15666"/>
    <w:rsid w:val="00F1572D"/>
    <w:rsid w:val="00F15876"/>
    <w:rsid w:val="00F15B0A"/>
    <w:rsid w:val="00F16AF1"/>
    <w:rsid w:val="00F16C82"/>
    <w:rsid w:val="00F1706D"/>
    <w:rsid w:val="00F17591"/>
    <w:rsid w:val="00F17987"/>
    <w:rsid w:val="00F20DBA"/>
    <w:rsid w:val="00F2100A"/>
    <w:rsid w:val="00F23055"/>
    <w:rsid w:val="00F23382"/>
    <w:rsid w:val="00F23AE0"/>
    <w:rsid w:val="00F242DE"/>
    <w:rsid w:val="00F247F2"/>
    <w:rsid w:val="00F2529A"/>
    <w:rsid w:val="00F260CB"/>
    <w:rsid w:val="00F26933"/>
    <w:rsid w:val="00F26ABF"/>
    <w:rsid w:val="00F26F6B"/>
    <w:rsid w:val="00F27B86"/>
    <w:rsid w:val="00F27BFB"/>
    <w:rsid w:val="00F30CF7"/>
    <w:rsid w:val="00F31044"/>
    <w:rsid w:val="00F310AA"/>
    <w:rsid w:val="00F31534"/>
    <w:rsid w:val="00F31B35"/>
    <w:rsid w:val="00F32191"/>
    <w:rsid w:val="00F32262"/>
    <w:rsid w:val="00F3227B"/>
    <w:rsid w:val="00F32436"/>
    <w:rsid w:val="00F32694"/>
    <w:rsid w:val="00F3277A"/>
    <w:rsid w:val="00F327A6"/>
    <w:rsid w:val="00F3365E"/>
    <w:rsid w:val="00F3375C"/>
    <w:rsid w:val="00F33DC8"/>
    <w:rsid w:val="00F33F89"/>
    <w:rsid w:val="00F352D5"/>
    <w:rsid w:val="00F35C4A"/>
    <w:rsid w:val="00F3601B"/>
    <w:rsid w:val="00F3644B"/>
    <w:rsid w:val="00F37564"/>
    <w:rsid w:val="00F37DB5"/>
    <w:rsid w:val="00F40371"/>
    <w:rsid w:val="00F40EFC"/>
    <w:rsid w:val="00F410B0"/>
    <w:rsid w:val="00F4138C"/>
    <w:rsid w:val="00F4169B"/>
    <w:rsid w:val="00F42EF2"/>
    <w:rsid w:val="00F4344D"/>
    <w:rsid w:val="00F43589"/>
    <w:rsid w:val="00F4451B"/>
    <w:rsid w:val="00F4564C"/>
    <w:rsid w:val="00F461C1"/>
    <w:rsid w:val="00F4702A"/>
    <w:rsid w:val="00F47195"/>
    <w:rsid w:val="00F47539"/>
    <w:rsid w:val="00F50039"/>
    <w:rsid w:val="00F50309"/>
    <w:rsid w:val="00F515A9"/>
    <w:rsid w:val="00F516FF"/>
    <w:rsid w:val="00F52097"/>
    <w:rsid w:val="00F5231A"/>
    <w:rsid w:val="00F52404"/>
    <w:rsid w:val="00F5250B"/>
    <w:rsid w:val="00F52887"/>
    <w:rsid w:val="00F52A85"/>
    <w:rsid w:val="00F52D96"/>
    <w:rsid w:val="00F531C4"/>
    <w:rsid w:val="00F5369B"/>
    <w:rsid w:val="00F537B4"/>
    <w:rsid w:val="00F5495C"/>
    <w:rsid w:val="00F54D2B"/>
    <w:rsid w:val="00F54F39"/>
    <w:rsid w:val="00F55132"/>
    <w:rsid w:val="00F551D0"/>
    <w:rsid w:val="00F559C4"/>
    <w:rsid w:val="00F55C3E"/>
    <w:rsid w:val="00F55E3E"/>
    <w:rsid w:val="00F56120"/>
    <w:rsid w:val="00F56F17"/>
    <w:rsid w:val="00F57025"/>
    <w:rsid w:val="00F574AB"/>
    <w:rsid w:val="00F604D7"/>
    <w:rsid w:val="00F6079A"/>
    <w:rsid w:val="00F61AEC"/>
    <w:rsid w:val="00F62EB4"/>
    <w:rsid w:val="00F63F23"/>
    <w:rsid w:val="00F6421F"/>
    <w:rsid w:val="00F64466"/>
    <w:rsid w:val="00F65140"/>
    <w:rsid w:val="00F65201"/>
    <w:rsid w:val="00F67867"/>
    <w:rsid w:val="00F70544"/>
    <w:rsid w:val="00F705BC"/>
    <w:rsid w:val="00F7128D"/>
    <w:rsid w:val="00F7135A"/>
    <w:rsid w:val="00F7248C"/>
    <w:rsid w:val="00F72725"/>
    <w:rsid w:val="00F72746"/>
    <w:rsid w:val="00F72DC7"/>
    <w:rsid w:val="00F72E33"/>
    <w:rsid w:val="00F73BB2"/>
    <w:rsid w:val="00F741DF"/>
    <w:rsid w:val="00F74488"/>
    <w:rsid w:val="00F7484E"/>
    <w:rsid w:val="00F759D4"/>
    <w:rsid w:val="00F77444"/>
    <w:rsid w:val="00F77583"/>
    <w:rsid w:val="00F77C8E"/>
    <w:rsid w:val="00F8008A"/>
    <w:rsid w:val="00F8095D"/>
    <w:rsid w:val="00F80B9F"/>
    <w:rsid w:val="00F81032"/>
    <w:rsid w:val="00F82A7F"/>
    <w:rsid w:val="00F82ABF"/>
    <w:rsid w:val="00F83787"/>
    <w:rsid w:val="00F83C24"/>
    <w:rsid w:val="00F83E56"/>
    <w:rsid w:val="00F84672"/>
    <w:rsid w:val="00F84A6D"/>
    <w:rsid w:val="00F84C49"/>
    <w:rsid w:val="00F851D1"/>
    <w:rsid w:val="00F8542E"/>
    <w:rsid w:val="00F862C9"/>
    <w:rsid w:val="00F864FE"/>
    <w:rsid w:val="00F865BE"/>
    <w:rsid w:val="00F87DAF"/>
    <w:rsid w:val="00F9017E"/>
    <w:rsid w:val="00F903FC"/>
    <w:rsid w:val="00F91D77"/>
    <w:rsid w:val="00F92389"/>
    <w:rsid w:val="00F929F0"/>
    <w:rsid w:val="00F937C7"/>
    <w:rsid w:val="00F945DE"/>
    <w:rsid w:val="00F9471C"/>
    <w:rsid w:val="00F9496E"/>
    <w:rsid w:val="00F95597"/>
    <w:rsid w:val="00F961B6"/>
    <w:rsid w:val="00F96AA8"/>
    <w:rsid w:val="00F9787F"/>
    <w:rsid w:val="00F97918"/>
    <w:rsid w:val="00F97EA4"/>
    <w:rsid w:val="00FA0752"/>
    <w:rsid w:val="00FA1E4A"/>
    <w:rsid w:val="00FA2997"/>
    <w:rsid w:val="00FA2F12"/>
    <w:rsid w:val="00FA3442"/>
    <w:rsid w:val="00FA42FB"/>
    <w:rsid w:val="00FA4463"/>
    <w:rsid w:val="00FA49DC"/>
    <w:rsid w:val="00FA4A0D"/>
    <w:rsid w:val="00FA5074"/>
    <w:rsid w:val="00FA53FE"/>
    <w:rsid w:val="00FA685B"/>
    <w:rsid w:val="00FA7796"/>
    <w:rsid w:val="00FB13A7"/>
    <w:rsid w:val="00FB13FC"/>
    <w:rsid w:val="00FB23ED"/>
    <w:rsid w:val="00FB38B7"/>
    <w:rsid w:val="00FB4719"/>
    <w:rsid w:val="00FB4D02"/>
    <w:rsid w:val="00FB6A82"/>
    <w:rsid w:val="00FB7594"/>
    <w:rsid w:val="00FB7FB6"/>
    <w:rsid w:val="00FC006A"/>
    <w:rsid w:val="00FC00CB"/>
    <w:rsid w:val="00FC0263"/>
    <w:rsid w:val="00FC06C9"/>
    <w:rsid w:val="00FC092B"/>
    <w:rsid w:val="00FC0973"/>
    <w:rsid w:val="00FC137B"/>
    <w:rsid w:val="00FC25A9"/>
    <w:rsid w:val="00FC2717"/>
    <w:rsid w:val="00FC4442"/>
    <w:rsid w:val="00FC4D36"/>
    <w:rsid w:val="00FC50C0"/>
    <w:rsid w:val="00FC52C7"/>
    <w:rsid w:val="00FC5E2B"/>
    <w:rsid w:val="00FC5ED1"/>
    <w:rsid w:val="00FC6D19"/>
    <w:rsid w:val="00FC707D"/>
    <w:rsid w:val="00FC7080"/>
    <w:rsid w:val="00FC7D73"/>
    <w:rsid w:val="00FD0AAB"/>
    <w:rsid w:val="00FD0EE6"/>
    <w:rsid w:val="00FD157E"/>
    <w:rsid w:val="00FD1EDA"/>
    <w:rsid w:val="00FD21D2"/>
    <w:rsid w:val="00FD28A7"/>
    <w:rsid w:val="00FD30C8"/>
    <w:rsid w:val="00FD38B5"/>
    <w:rsid w:val="00FD40E5"/>
    <w:rsid w:val="00FD4598"/>
    <w:rsid w:val="00FD4818"/>
    <w:rsid w:val="00FD4AFF"/>
    <w:rsid w:val="00FD53CD"/>
    <w:rsid w:val="00FD630F"/>
    <w:rsid w:val="00FD633B"/>
    <w:rsid w:val="00FE0AED"/>
    <w:rsid w:val="00FE1C91"/>
    <w:rsid w:val="00FE246F"/>
    <w:rsid w:val="00FE2A0B"/>
    <w:rsid w:val="00FE2E7A"/>
    <w:rsid w:val="00FE2E97"/>
    <w:rsid w:val="00FE3A02"/>
    <w:rsid w:val="00FE40FB"/>
    <w:rsid w:val="00FE572D"/>
    <w:rsid w:val="00FE6295"/>
    <w:rsid w:val="00FE631B"/>
    <w:rsid w:val="00FE6818"/>
    <w:rsid w:val="00FE6FFD"/>
    <w:rsid w:val="00FE726F"/>
    <w:rsid w:val="00FE7CE4"/>
    <w:rsid w:val="00FF039C"/>
    <w:rsid w:val="00FF14FB"/>
    <w:rsid w:val="00FF1821"/>
    <w:rsid w:val="00FF2191"/>
    <w:rsid w:val="00FF2A7C"/>
    <w:rsid w:val="00FF2AAE"/>
    <w:rsid w:val="00FF3F09"/>
    <w:rsid w:val="00FF40A4"/>
    <w:rsid w:val="00FF43DA"/>
    <w:rsid w:val="00FF44A4"/>
    <w:rsid w:val="00FF4A75"/>
    <w:rsid w:val="00FF57D2"/>
    <w:rsid w:val="00FF5BC5"/>
    <w:rsid w:val="00FF6602"/>
    <w:rsid w:val="00FF71DC"/>
    <w:rsid w:val="00FF78F1"/>
    <w:rsid w:val="00FF7AD6"/>
    <w:rsid w:val="00FF7C43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7124"/>
  <w15:chartTrackingRefBased/>
  <w15:docId w15:val="{17569DEE-3B34-4DCF-AC4E-5A9693FD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Nadpis2"/>
    <w:qFormat/>
    <w:rsid w:val="00322FE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648"/>
    <w:pPr>
      <w:keepNext/>
      <w:keepLines/>
      <w:numPr>
        <w:numId w:val="61"/>
      </w:numPr>
      <w:spacing w:before="240" w:after="120" w:line="240" w:lineRule="auto"/>
      <w:jc w:val="center"/>
      <w:outlineLvl w:val="0"/>
    </w:pPr>
    <w:rPr>
      <w:rFonts w:ascii="Calibri" w:eastAsiaTheme="majorEastAsia" w:hAnsi="Calibri" w:cstheme="minorHAnsi"/>
      <w:b/>
      <w:sz w:val="26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3F4B"/>
    <w:pPr>
      <w:widowControl w:val="0"/>
      <w:numPr>
        <w:ilvl w:val="1"/>
        <w:numId w:val="61"/>
      </w:numPr>
      <w:tabs>
        <w:tab w:val="left" w:pos="6663"/>
      </w:tabs>
      <w:spacing w:before="80" w:after="0"/>
      <w:mirrorIndents/>
      <w:outlineLvl w:val="1"/>
    </w:pPr>
    <w:rPr>
      <w:rFonts w:eastAsiaTheme="majorEastAsia" w:cstheme="majorBidi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397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397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397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397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39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39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39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9B4397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9B4397"/>
    <w:pPr>
      <w:spacing w:before="120" w:after="180" w:line="264" w:lineRule="auto"/>
    </w:pPr>
    <w:rPr>
      <w:lang w:eastAsia="cs-CZ"/>
    </w:rPr>
  </w:style>
  <w:style w:type="paragraph" w:customStyle="1" w:styleId="NormlnKZ">
    <w:name w:val="Normální KZ"/>
    <w:basedOn w:val="Normln"/>
    <w:rsid w:val="009B4397"/>
    <w:pPr>
      <w:spacing w:after="120" w:line="240" w:lineRule="auto"/>
      <w:ind w:firstLine="425"/>
    </w:pPr>
    <w:rPr>
      <w:rFonts w:ascii="Calibri Light" w:eastAsia="Times New Roman" w:hAnsi="Calibri Light" w:cs="Times New Roman"/>
      <w:color w:val="000000" w:themeColor="text1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E5648"/>
    <w:rPr>
      <w:rFonts w:ascii="Calibri" w:eastAsiaTheme="majorEastAsia" w:hAnsi="Calibri" w:cstheme="minorHAnsi"/>
      <w:b/>
      <w:sz w:val="26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C3F4B"/>
    <w:rPr>
      <w:rFonts w:eastAsiaTheme="majorEastAsi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4397"/>
    <w:rPr>
      <w:rFonts w:eastAsiaTheme="majorEastAsia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39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39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39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39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3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3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B4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3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39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397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2,Akapit z listą1,Bullet 1,Dot pt,F5 List Paragraph,Kolorowa lista — akcent 11,List Paragraph Char Char Char,List Paragraph à moi,List Paragraph1,List Paragraph11,Listaszerű bekezdés1,No Spacing1,lp1"/>
    <w:basedOn w:val="Normln"/>
    <w:link w:val="OdstavecseseznamemChar"/>
    <w:uiPriority w:val="34"/>
    <w:qFormat/>
    <w:rsid w:val="004A2415"/>
    <w:pPr>
      <w:ind w:left="720"/>
      <w:contextualSpacing/>
    </w:pPr>
  </w:style>
  <w:style w:type="paragraph" w:styleId="Textpoznpodarou">
    <w:name w:val="footnote text"/>
    <w:aliases w:val="Schriftart: 9 pt,Schriftart: 10 pt,Schriftart: 8 pt,Footnote Text Char Char,Fußnote,single space,FOOTNOTES,fn,Char Char Char Char,Footnote Text Char1,Schriftart: 9 pt Char,Schriftart: 10 pt Char,Schriftart: 8 pt Char,Char,Char Char1"/>
    <w:basedOn w:val="Normln"/>
    <w:link w:val="TextpoznpodarouChar"/>
    <w:uiPriority w:val="99"/>
    <w:unhideWhenUsed/>
    <w:qFormat/>
    <w:rsid w:val="004A24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1,Schriftart: 10 pt Char1,Schriftart: 8 pt Char1,Footnote Text Char Char Char,Fußnote Char,single space Char,FOOTNOTES Char,fn Char,Char Char Char Char Char,Footnote Text Char1 Char,Char Char"/>
    <w:basedOn w:val="Standardnpsmoodstavce"/>
    <w:link w:val="Textpoznpodarou"/>
    <w:uiPriority w:val="99"/>
    <w:qFormat/>
    <w:rsid w:val="004A2415"/>
    <w:rPr>
      <w:rFonts w:eastAsia="Times New Roman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,Times 10 Point,Exposant 3 Point,R"/>
    <w:basedOn w:val="Standardnpsmoodstavce"/>
    <w:link w:val="4GChar"/>
    <w:uiPriority w:val="99"/>
    <w:unhideWhenUsed/>
    <w:qFormat/>
    <w:rsid w:val="004A2415"/>
    <w:rPr>
      <w:sz w:val="24"/>
      <w:vertAlign w:val="superscript"/>
    </w:rPr>
  </w:style>
  <w:style w:type="paragraph" w:customStyle="1" w:styleId="4GChar">
    <w:name w:val="4_G Char"/>
    <w:aliases w:val="Footnote Reference1 Char,Footnotes refss Char,ftref Char,BVI fnr Char,BVI fnr Car Car Char,BVI fnr Car Char,BVI fnr Car Car Car Car Char,BVI fnr Char Car Car Car Char,4_G,Footnote Reference1,Footnotes refss,ftref,BVI fnr Car Car"/>
    <w:basedOn w:val="Normln"/>
    <w:link w:val="Znakapoznpodarou"/>
    <w:uiPriority w:val="99"/>
    <w:rsid w:val="004A2415"/>
    <w:pPr>
      <w:spacing w:line="240" w:lineRule="exact"/>
    </w:pPr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2 Char,Akapit z listą1 Char,Bullet 1 Char,Dot pt Char,F5 List Paragraph Char,Kolorowa lista — akcent 11 Char,List Paragraph Char Char Char Char,List Paragraph à moi Char,lp1 Char"/>
    <w:basedOn w:val="Standardnpsmoodstavce"/>
    <w:link w:val="Odstavecseseznamem"/>
    <w:uiPriority w:val="34"/>
    <w:qFormat/>
    <w:rsid w:val="004A2415"/>
  </w:style>
  <w:style w:type="paragraph" w:styleId="Titulek">
    <w:name w:val="caption"/>
    <w:basedOn w:val="Normln"/>
    <w:next w:val="Normln"/>
    <w:uiPriority w:val="35"/>
    <w:unhideWhenUsed/>
    <w:qFormat/>
    <w:rsid w:val="004A2415"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qFormat/>
    <w:rsid w:val="004A2415"/>
    <w:pPr>
      <w:numPr>
        <w:ilvl w:val="1"/>
        <w:numId w:val="3"/>
      </w:numPr>
      <w:spacing w:after="120" w:line="240" w:lineRule="auto"/>
      <w:contextualSpacing w:val="0"/>
    </w:pPr>
    <w:rPr>
      <w:rFonts w:asciiTheme="majorHAnsi" w:eastAsia="Times New Roman" w:hAnsiTheme="majorHAnsi" w:cstheme="majorHAnsi"/>
      <w:color w:val="000000" w:themeColor="text1"/>
      <w:szCs w:val="24"/>
      <w:lang w:eastAsia="cs-CZ"/>
    </w:rPr>
  </w:style>
  <w:style w:type="paragraph" w:customStyle="1" w:styleId="Textodstavce">
    <w:name w:val="Text odstavce"/>
    <w:basedOn w:val="Normln"/>
    <w:qFormat/>
    <w:rsid w:val="004A2415"/>
    <w:pPr>
      <w:spacing w:after="120" w:line="240" w:lineRule="auto"/>
    </w:pPr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4A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415"/>
    <w:rPr>
      <w:sz w:val="24"/>
    </w:rPr>
  </w:style>
  <w:style w:type="paragraph" w:customStyle="1" w:styleId="Odrkypuntky">
    <w:name w:val="Odrážky puntíky"/>
    <w:basedOn w:val="Normln"/>
    <w:rsid w:val="004A2415"/>
    <w:pPr>
      <w:numPr>
        <w:numId w:val="7"/>
      </w:num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Bezmezer">
    <w:name w:val="No Spacing"/>
    <w:link w:val="BezmezerChar"/>
    <w:uiPriority w:val="1"/>
    <w:qFormat/>
    <w:rsid w:val="004A241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2415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5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87A"/>
    <w:rPr>
      <w:b/>
      <w:bCs/>
      <w:sz w:val="20"/>
      <w:szCs w:val="20"/>
    </w:rPr>
  </w:style>
  <w:style w:type="character" w:customStyle="1" w:styleId="ui-provider">
    <w:name w:val="ui-provider"/>
    <w:basedOn w:val="Standardnpsmoodstavce"/>
    <w:rsid w:val="004A239F"/>
  </w:style>
  <w:style w:type="paragraph" w:customStyle="1" w:styleId="KPsvazany">
    <w:name w:val="KP_svazany"/>
    <w:basedOn w:val="Normln"/>
    <w:next w:val="Normln"/>
    <w:rsid w:val="0075113D"/>
    <w:pPr>
      <w:keepNext/>
      <w:spacing w:before="160" w:after="0" w:line="276" w:lineRule="auto"/>
      <w:ind w:firstLine="720"/>
    </w:pPr>
    <w:rPr>
      <w:rFonts w:ascii="Calibri" w:eastAsia="Times New Roman" w:hAnsi="Calibri" w:cs="Times New Roman"/>
      <w:color w:val="00000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155A8"/>
    <w:rPr>
      <w:i/>
      <w:iCs/>
      <w:color w:val="auto"/>
      <w:bdr w:val="none" w:sz="0" w:space="0" w:color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A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A63"/>
    <w:rPr>
      <w:i/>
      <w:iCs/>
      <w:color w:val="4472C4" w:themeColor="accent1"/>
      <w:sz w:val="24"/>
    </w:rPr>
  </w:style>
  <w:style w:type="paragraph" w:styleId="Revize">
    <w:name w:val="Revision"/>
    <w:hidden/>
    <w:uiPriority w:val="99"/>
    <w:semiHidden/>
    <w:rsid w:val="00090BCB"/>
    <w:pPr>
      <w:spacing w:after="0" w:line="240" w:lineRule="auto"/>
    </w:pPr>
    <w:rPr>
      <w:sz w:val="24"/>
    </w:rPr>
  </w:style>
  <w:style w:type="paragraph" w:customStyle="1" w:styleId="Titulekzdroj">
    <w:name w:val="Titulek zdroj"/>
    <w:basedOn w:val="Normln"/>
    <w:rsid w:val="006D628D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sid w:val="00C80DBE"/>
    <w:rPr>
      <w:color w:val="0000FF"/>
      <w:u w:val="single"/>
    </w:rPr>
  </w:style>
  <w:style w:type="table" w:styleId="Mkatabulky">
    <w:name w:val="Table Grid"/>
    <w:basedOn w:val="Normlntabulka"/>
    <w:uiPriority w:val="59"/>
    <w:rsid w:val="00563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I">
    <w:name w:val="Styl I."/>
    <w:basedOn w:val="Odstavecseseznamem"/>
    <w:qFormat/>
    <w:rsid w:val="00B60765"/>
    <w:pPr>
      <w:numPr>
        <w:numId w:val="18"/>
      </w:numPr>
      <w:spacing w:before="120" w:after="240" w:line="240" w:lineRule="auto"/>
      <w:contextualSpacing w:val="0"/>
    </w:pPr>
    <w:rPr>
      <w:rFonts w:ascii="Arial" w:eastAsia="Calibri" w:hAnsi="Arial" w:cs="Arial"/>
      <w:sz w:val="22"/>
    </w:rPr>
  </w:style>
  <w:style w:type="paragraph" w:customStyle="1" w:styleId="Stylaa">
    <w:name w:val="Styl aa)"/>
    <w:basedOn w:val="Odstavecseseznamem"/>
    <w:qFormat/>
    <w:rsid w:val="00B60765"/>
    <w:pPr>
      <w:numPr>
        <w:ilvl w:val="3"/>
        <w:numId w:val="18"/>
      </w:numPr>
      <w:tabs>
        <w:tab w:val="num" w:pos="360"/>
      </w:tabs>
      <w:spacing w:before="120" w:after="240" w:line="240" w:lineRule="auto"/>
      <w:ind w:left="357" w:hanging="357"/>
      <w:contextualSpacing w:val="0"/>
    </w:pPr>
    <w:rPr>
      <w:rFonts w:ascii="Arial" w:eastAsia="Calibri" w:hAnsi="Arial" w:cs="Arial"/>
      <w:sz w:val="22"/>
    </w:rPr>
  </w:style>
  <w:style w:type="paragraph" w:customStyle="1" w:styleId="Styla">
    <w:name w:val="Styl a)"/>
    <w:basedOn w:val="Odstavecseseznamem"/>
    <w:qFormat/>
    <w:rsid w:val="00B60765"/>
    <w:pPr>
      <w:numPr>
        <w:ilvl w:val="2"/>
        <w:numId w:val="18"/>
      </w:numPr>
      <w:tabs>
        <w:tab w:val="num" w:pos="360"/>
      </w:tabs>
      <w:spacing w:before="120" w:after="240" w:line="240" w:lineRule="auto"/>
      <w:ind w:left="357" w:hanging="357"/>
      <w:contextualSpacing w:val="0"/>
    </w:pPr>
    <w:rPr>
      <w:rFonts w:ascii="Arial" w:eastAsia="Calibri" w:hAnsi="Arial" w:cs="Arial"/>
      <w:sz w:val="22"/>
    </w:rPr>
  </w:style>
  <w:style w:type="character" w:customStyle="1" w:styleId="Styl1Char">
    <w:name w:val="Styl   1. Char"/>
    <w:link w:val="Styl1"/>
    <w:locked/>
    <w:rsid w:val="00B60765"/>
    <w:rPr>
      <w:rFonts w:ascii="Arial" w:eastAsia="Calibri" w:hAnsi="Arial" w:cs="Arial"/>
    </w:rPr>
  </w:style>
  <w:style w:type="paragraph" w:customStyle="1" w:styleId="Styl1">
    <w:name w:val="Styl   1."/>
    <w:basedOn w:val="Normln"/>
    <w:link w:val="Styl1Char"/>
    <w:qFormat/>
    <w:rsid w:val="00B60765"/>
    <w:pPr>
      <w:numPr>
        <w:numId w:val="19"/>
      </w:numPr>
      <w:spacing w:before="120" w:after="240" w:line="240" w:lineRule="auto"/>
    </w:pPr>
    <w:rPr>
      <w:rFonts w:ascii="Arial" w:eastAsia="Calibri" w:hAnsi="Arial" w:cs="Arial"/>
      <w:sz w:val="22"/>
    </w:rPr>
  </w:style>
  <w:style w:type="numbering" w:customStyle="1" w:styleId="StylI-aa">
    <w:name w:val="Styl I-aa)"/>
    <w:uiPriority w:val="99"/>
    <w:rsid w:val="00B60765"/>
    <w:pPr>
      <w:numPr>
        <w:numId w:val="18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AD652E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62AFC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862AFC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62AFC"/>
    <w:pPr>
      <w:spacing w:after="100"/>
      <w:ind w:left="440"/>
      <w:jc w:val="left"/>
    </w:pPr>
    <w:rPr>
      <w:rFonts w:eastAsiaTheme="minorEastAsia"/>
      <w:sz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62AFC"/>
    <w:pPr>
      <w:spacing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62AFC"/>
    <w:pPr>
      <w:spacing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62AFC"/>
    <w:pPr>
      <w:spacing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62AFC"/>
    <w:pPr>
      <w:spacing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62AFC"/>
    <w:pPr>
      <w:spacing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62AFC"/>
    <w:pPr>
      <w:spacing w:after="100"/>
      <w:ind w:left="1760"/>
      <w:jc w:val="left"/>
    </w:pPr>
    <w:rPr>
      <w:rFonts w:eastAsiaTheme="minorEastAsia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62AFC"/>
    <w:rPr>
      <w:color w:val="605E5C"/>
      <w:shd w:val="clear" w:color="auto" w:fill="E1DFDD"/>
    </w:rPr>
  </w:style>
  <w:style w:type="paragraph" w:customStyle="1" w:styleId="slovan">
    <w:name w:val="číslovaný"/>
    <w:basedOn w:val="Normln"/>
    <w:link w:val="slovanChar"/>
    <w:qFormat/>
    <w:rsid w:val="002F1F2A"/>
    <w:pPr>
      <w:spacing w:line="240" w:lineRule="auto"/>
      <w:ind w:left="57" w:hanging="471"/>
    </w:pPr>
  </w:style>
  <w:style w:type="character" w:customStyle="1" w:styleId="slovanChar">
    <w:name w:val="číslovaný Char"/>
    <w:basedOn w:val="Standardnpsmoodstavce"/>
    <w:link w:val="slovan"/>
    <w:rsid w:val="002F1F2A"/>
    <w:rPr>
      <w:sz w:val="24"/>
    </w:rPr>
  </w:style>
  <w:style w:type="paragraph" w:customStyle="1" w:styleId="Styl1-1">
    <w:name w:val="Styl1 - 1."/>
    <w:basedOn w:val="Normln"/>
    <w:link w:val="Styl1-1Char"/>
    <w:qFormat/>
    <w:rsid w:val="00867AD8"/>
    <w:pPr>
      <w:numPr>
        <w:numId w:val="51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textAlignment w:val="baseline"/>
    </w:pPr>
    <w:rPr>
      <w:rFonts w:ascii="Arial" w:eastAsia="Times New Roman" w:hAnsi="Arial" w:cs="Arial"/>
      <w:sz w:val="22"/>
      <w:lang w:eastAsia="cs-CZ"/>
    </w:rPr>
  </w:style>
  <w:style w:type="character" w:customStyle="1" w:styleId="Styl1-1Char">
    <w:name w:val="Styl1 - 1. Char"/>
    <w:link w:val="Styl1-1"/>
    <w:rsid w:val="00867AD8"/>
    <w:rPr>
      <w:rFonts w:ascii="Arial" w:eastAsia="Times New Roman" w:hAnsi="Arial" w:cs="Arial"/>
      <w:lang w:eastAsia="cs-CZ"/>
    </w:rPr>
  </w:style>
  <w:style w:type="character" w:customStyle="1" w:styleId="A1">
    <w:name w:val="A1"/>
    <w:uiPriority w:val="99"/>
    <w:rsid w:val="00A1576C"/>
    <w:rPr>
      <w:color w:val="000000"/>
      <w:sz w:val="28"/>
      <w:szCs w:val="28"/>
    </w:rPr>
  </w:style>
  <w:style w:type="character" w:customStyle="1" w:styleId="sr-only">
    <w:name w:val="sr-only"/>
    <w:basedOn w:val="Standardnpsmoodstavce"/>
    <w:rsid w:val="001C0B79"/>
  </w:style>
  <w:style w:type="character" w:styleId="Sledovanodkaz">
    <w:name w:val="FollowedHyperlink"/>
    <w:basedOn w:val="Standardnpsmoodstavce"/>
    <w:uiPriority w:val="99"/>
    <w:semiHidden/>
    <w:unhideWhenUsed/>
    <w:rsid w:val="00EC7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0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yperlink" Target="https://www.nku.cz/scripts/detail.php?id=14313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hyperlink" Target="https://www.aspi.cz/products/lawText/4/432378/1/2?vtextu=%C5%99%C3%ADdic%C3%AD%20org%C3%A1n%20poru%C5%A1en%C3%AD%20rozpo%C4%8Dtov%C3%A9%20k%C3%A1zn%C4%9B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chart" Target="charts/chart1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cal_MISONOVA\INetCache\Content.Outlook\Q84EIOJX\d&#283;ti%20a%20v&#253;daje_bx1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SKLENAK\Graf_Sklen&#225;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487439070116234E-2"/>
          <c:y val="4.9627791563275438E-2"/>
          <c:w val="0.89675427132302099"/>
          <c:h val="0.763964492031548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graf!$A$6</c:f>
              <c:strCache>
                <c:ptCount val="1"/>
                <c:pt idx="0">
                  <c:v>Počet dětí v ústavní výchově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graf!$B$5:$J$5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graf!$B$6:$J$6</c:f>
              <c:numCache>
                <c:formatCode>#,##0</c:formatCode>
                <c:ptCount val="9"/>
                <c:pt idx="0">
                  <c:v>8434</c:v>
                </c:pt>
                <c:pt idx="1">
                  <c:v>8166</c:v>
                </c:pt>
                <c:pt idx="2">
                  <c:v>7987</c:v>
                </c:pt>
                <c:pt idx="3">
                  <c:v>7774</c:v>
                </c:pt>
                <c:pt idx="4">
                  <c:v>7894</c:v>
                </c:pt>
                <c:pt idx="5">
                  <c:v>7693</c:v>
                </c:pt>
                <c:pt idx="6">
                  <c:v>7324</c:v>
                </c:pt>
                <c:pt idx="7">
                  <c:v>7418</c:v>
                </c:pt>
                <c:pt idx="8">
                  <c:v>7341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48-4166-8EF0-E47EB80A8297}"/>
            </c:ext>
          </c:extLst>
        </c:ser>
        <c:ser>
          <c:idx val="1"/>
          <c:order val="1"/>
          <c:tx>
            <c:strRef>
              <c:f>graf!$A$7</c:f>
              <c:strCache>
                <c:ptCount val="1"/>
                <c:pt idx="0">
                  <c:v>Počet dětí v pěstounské péči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graf!$B$5:$J$5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graf!$B$7:$J$7</c:f>
              <c:numCache>
                <c:formatCode>#,##0</c:formatCode>
                <c:ptCount val="9"/>
                <c:pt idx="0">
                  <c:v>10923</c:v>
                </c:pt>
                <c:pt idx="1">
                  <c:v>11462</c:v>
                </c:pt>
                <c:pt idx="2">
                  <c:v>11967</c:v>
                </c:pt>
                <c:pt idx="3">
                  <c:v>12171</c:v>
                </c:pt>
                <c:pt idx="4">
                  <c:v>12522</c:v>
                </c:pt>
                <c:pt idx="5">
                  <c:v>12598</c:v>
                </c:pt>
                <c:pt idx="6">
                  <c:v>12889</c:v>
                </c:pt>
                <c:pt idx="7">
                  <c:v>12803</c:v>
                </c:pt>
                <c:pt idx="8">
                  <c:v>12973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48-4166-8EF0-E47EB80A8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761368128"/>
        <c:axId val="728505232"/>
      </c:barChart>
      <c:lineChart>
        <c:grouping val="standard"/>
        <c:varyColors val="0"/>
        <c:ser>
          <c:idx val="2"/>
          <c:order val="2"/>
          <c:tx>
            <c:strRef>
              <c:f>graf!$A$8</c:f>
              <c:strCache>
                <c:ptCount val="1"/>
                <c:pt idx="0">
                  <c:v>Roční výdaje celkem (mld. Kč) </c:v>
                </c:pt>
              </c:strCache>
            </c:strRef>
          </c:tx>
          <c:spPr>
            <a:ln w="28575" cap="rnd">
              <a:solidFill>
                <a:srgbClr val="FDC3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1010184420589045E-2"/>
                  <c:y val="-4.5492142266335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48-4166-8EF0-E47EB80A8297}"/>
                </c:ext>
              </c:extLst>
            </c:dLbl>
            <c:dLbl>
              <c:idx val="1"/>
              <c:layout>
                <c:manualLayout>
                  <c:x val="1.238645747316265E-2"/>
                  <c:y val="-4.13564929693961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48-4166-8EF0-E47EB80A8297}"/>
                </c:ext>
              </c:extLst>
            </c:dLbl>
            <c:dLbl>
              <c:idx val="2"/>
              <c:layout>
                <c:manualLayout>
                  <c:x val="6.881365262868153E-3"/>
                  <c:y val="-5.376344086021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48-4166-8EF0-E47EB80A8297}"/>
                </c:ext>
              </c:extLst>
            </c:dLbl>
            <c:dLbl>
              <c:idx val="3"/>
              <c:layout>
                <c:manualLayout>
                  <c:x val="8.2576383154417832E-3"/>
                  <c:y val="-4.13564929693961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48-4166-8EF0-E47EB80A8297}"/>
                </c:ext>
              </c:extLst>
            </c:dLbl>
            <c:dLbl>
              <c:idx val="4"/>
              <c:layout>
                <c:manualLayout>
                  <c:x val="1.1010184420589045E-2"/>
                  <c:y val="-4.9627791563275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548-4166-8EF0-E47EB80A8297}"/>
                </c:ext>
              </c:extLst>
            </c:dLbl>
            <c:dLbl>
              <c:idx val="5"/>
              <c:layout>
                <c:manualLayout>
                  <c:x val="-1.5139003578309936E-2"/>
                  <c:y val="-6.6170388751033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548-4166-8EF0-E47EB80A8297}"/>
                </c:ext>
              </c:extLst>
            </c:dLbl>
            <c:dLbl>
              <c:idx val="6"/>
              <c:layout>
                <c:manualLayout>
                  <c:x val="-1.2386457473162776E-2"/>
                  <c:y val="-6.203473945409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548-4166-8EF0-E47EB80A8297}"/>
                </c:ext>
              </c:extLst>
            </c:dLbl>
            <c:dLbl>
              <c:idx val="7"/>
              <c:layout>
                <c:manualLayout>
                  <c:x val="-8.2576383154418839E-3"/>
                  <c:y val="-7.4441687344913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48-4166-8EF0-E47EB80A8297}"/>
                </c:ext>
              </c:extLst>
            </c:dLbl>
            <c:dLbl>
              <c:idx val="8"/>
              <c:layout>
                <c:manualLayout>
                  <c:x val="-1.3762730525736306E-2"/>
                  <c:y val="-6.6170388751033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548-4166-8EF0-E47EB80A829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graf!$B$8:$J$8</c:f>
              <c:numCache>
                <c:formatCode>0.00</c:formatCode>
                <c:ptCount val="9"/>
                <c:pt idx="0">
                  <c:v>7.30832791</c:v>
                </c:pt>
                <c:pt idx="1">
                  <c:v>7.4644810699999997</c:v>
                </c:pt>
                <c:pt idx="2">
                  <c:v>7.9721698349999999</c:v>
                </c:pt>
                <c:pt idx="3">
                  <c:v>9.5882956490000009</c:v>
                </c:pt>
                <c:pt idx="4">
                  <c:v>10.217049491999999</c:v>
                </c:pt>
                <c:pt idx="5">
                  <c:v>10.784931491</c:v>
                </c:pt>
                <c:pt idx="6">
                  <c:v>11.062997679</c:v>
                </c:pt>
                <c:pt idx="7">
                  <c:v>10.560746604</c:v>
                </c:pt>
                <c:pt idx="8">
                  <c:v>11.789231912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548-4166-8EF0-E47EB80A8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651120"/>
        <c:axId val="728491920"/>
      </c:lineChart>
      <c:catAx>
        <c:axId val="7613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28505232"/>
        <c:crosses val="autoZero"/>
        <c:auto val="1"/>
        <c:lblAlgn val="ctr"/>
        <c:lblOffset val="100"/>
        <c:noMultiLvlLbl val="0"/>
      </c:catAx>
      <c:valAx>
        <c:axId val="72850523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61368128"/>
        <c:crosses val="autoZero"/>
        <c:crossBetween val="between"/>
      </c:valAx>
      <c:valAx>
        <c:axId val="728491920"/>
        <c:scaling>
          <c:orientation val="minMax"/>
          <c:max val="14"/>
        </c:scaling>
        <c:delete val="0"/>
        <c:axPos val="r"/>
        <c:numFmt formatCode="0" sourceLinked="0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6651120"/>
        <c:crosses val="max"/>
        <c:crossBetween val="between"/>
      </c:valAx>
      <c:catAx>
        <c:axId val="86651120"/>
        <c:scaling>
          <c:orientation val="minMax"/>
        </c:scaling>
        <c:delete val="1"/>
        <c:axPos val="t"/>
        <c:majorTickMark val="out"/>
        <c:minorTickMark val="none"/>
        <c:tickLblPos val="nextTo"/>
        <c:crossAx val="728491920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65427334828179"/>
          <c:y val="7.7158231327278781E-2"/>
          <c:w val="0.82751855521371087"/>
          <c:h val="0.71272803288969411"/>
        </c:manualLayout>
      </c:layout>
      <c:lineChart>
        <c:grouping val="standard"/>
        <c:varyColors val="0"/>
        <c:ser>
          <c:idx val="2"/>
          <c:order val="0"/>
          <c:tx>
            <c:strRef>
              <c:f>'výdaje celkem'!$A$39</c:f>
              <c:strCache>
                <c:ptCount val="1"/>
                <c:pt idx="0">
                  <c:v>Pěstounská péče</c:v>
                </c:pt>
              </c:strCache>
            </c:strRef>
          </c:tx>
          <c:spPr>
            <a:ln w="19050" cap="rnd">
              <a:solidFill>
                <a:srgbClr val="2EB3A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2EB3A1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'výdaje celkem'!$B$36:$J$36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'výdaje celkem'!$B$39:$J$39</c:f>
              <c:numCache>
                <c:formatCode>#,##0</c:formatCode>
                <c:ptCount val="9"/>
                <c:pt idx="0">
                  <c:v>3597816867</c:v>
                </c:pt>
                <c:pt idx="1">
                  <c:v>3576986973</c:v>
                </c:pt>
                <c:pt idx="2">
                  <c:v>3817124438</c:v>
                </c:pt>
                <c:pt idx="3">
                  <c:v>5106117931</c:v>
                </c:pt>
                <c:pt idx="4">
                  <c:v>5181157732</c:v>
                </c:pt>
                <c:pt idx="5">
                  <c:v>5283418546</c:v>
                </c:pt>
                <c:pt idx="6">
                  <c:v>5263135279</c:v>
                </c:pt>
                <c:pt idx="7">
                  <c:v>4776630103</c:v>
                </c:pt>
                <c:pt idx="8">
                  <c:v>5551025261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60-4092-962A-1260C5DDCA95}"/>
            </c:ext>
          </c:extLst>
        </c:ser>
        <c:ser>
          <c:idx val="5"/>
          <c:order val="1"/>
          <c:tx>
            <c:strRef>
              <c:f>'výdaje celkem'!$A$42</c:f>
              <c:strCache>
                <c:ptCount val="1"/>
                <c:pt idx="0">
                  <c:v>Ústavní péče</c:v>
                </c:pt>
              </c:strCache>
            </c:strRef>
          </c:tx>
          <c:spPr>
            <a:ln w="19050" cap="rnd">
              <a:solidFill>
                <a:srgbClr val="AF195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AF1953"/>
                </a:solidFill>
              </a:ln>
              <a:effectLst/>
            </c:spPr>
          </c:marker>
          <c:cat>
            <c:numRef>
              <c:f>'výdaje celkem'!$B$36:$J$36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'výdaje celkem'!$B$42:$J$42</c:f>
              <c:numCache>
                <c:formatCode>#,##0</c:formatCode>
                <c:ptCount val="9"/>
                <c:pt idx="0">
                  <c:v>2613239400</c:v>
                </c:pt>
                <c:pt idx="1">
                  <c:v>2704804580</c:v>
                </c:pt>
                <c:pt idx="2">
                  <c:v>2842242521</c:v>
                </c:pt>
                <c:pt idx="3">
                  <c:v>3142869075</c:v>
                </c:pt>
                <c:pt idx="4">
                  <c:v>3531407711</c:v>
                </c:pt>
                <c:pt idx="5">
                  <c:v>3870365317</c:v>
                </c:pt>
                <c:pt idx="6">
                  <c:v>4089813273</c:v>
                </c:pt>
                <c:pt idx="7">
                  <c:v>4130095995</c:v>
                </c:pt>
                <c:pt idx="8">
                  <c:v>4354351392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60-4092-962A-1260C5DDCA95}"/>
            </c:ext>
          </c:extLst>
        </c:ser>
        <c:ser>
          <c:idx val="0"/>
          <c:order val="2"/>
          <c:tx>
            <c:strRef>
              <c:f>'výdaje celkem'!$A$37</c:f>
              <c:strCache>
                <c:ptCount val="1"/>
                <c:pt idx="0">
                  <c:v>Výkon agendy SPOD</c:v>
                </c:pt>
              </c:strCache>
            </c:strRef>
          </c:tx>
          <c:spPr>
            <a:ln w="19050" cap="rnd">
              <a:solidFill>
                <a:srgbClr val="FDC3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DC300"/>
              </a:solidFill>
              <a:ln w="9525">
                <a:solidFill>
                  <a:srgbClr val="FDC300"/>
                </a:solidFill>
              </a:ln>
              <a:effectLst/>
            </c:spPr>
          </c:marker>
          <c:cat>
            <c:numRef>
              <c:f>'výdaje celkem'!$B$36:$J$36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'výdaje celkem'!$B$37:$J$37</c:f>
              <c:numCache>
                <c:formatCode>#,##0</c:formatCode>
                <c:ptCount val="9"/>
                <c:pt idx="0">
                  <c:v>1097271643</c:v>
                </c:pt>
                <c:pt idx="1">
                  <c:v>1182689517</c:v>
                </c:pt>
                <c:pt idx="2">
                  <c:v>1312802876</c:v>
                </c:pt>
                <c:pt idx="3">
                  <c:v>1339308643</c:v>
                </c:pt>
                <c:pt idx="4">
                  <c:v>1504484049</c:v>
                </c:pt>
                <c:pt idx="5">
                  <c:v>1631147628</c:v>
                </c:pt>
                <c:pt idx="6">
                  <c:v>1710049127</c:v>
                </c:pt>
                <c:pt idx="7">
                  <c:v>1654020506</c:v>
                </c:pt>
                <c:pt idx="8">
                  <c:v>1883855259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60-4092-962A-1260C5DDC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1831376"/>
        <c:axId val="1699416496"/>
      </c:lineChart>
      <c:catAx>
        <c:axId val="159183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99416496"/>
        <c:crosses val="autoZero"/>
        <c:auto val="1"/>
        <c:lblAlgn val="ctr"/>
        <c:lblOffset val="100"/>
        <c:noMultiLvlLbl val="0"/>
      </c:catAx>
      <c:valAx>
        <c:axId val="169941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9183137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2.445151309728668E-2"/>
                <c:y val="0.34816063921213386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cs-CZ" baseline="0">
                      <a:solidFill>
                        <a:sysClr val="windowText" lastClr="000000"/>
                      </a:solidFill>
                    </a:rPr>
                    <a:t>(V mil. Kč)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810300142057423"/>
          <c:y val="0.89822962395187322"/>
          <c:w val="0.6589186782956854"/>
          <c:h val="6.63721459596311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48D3C-092D-4D24-A543-BC493BA72A1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62505C34-F608-495E-81DC-460F0B1E5937}">
      <dgm:prSet phldrT="[Text]" custT="1"/>
      <dgm:spPr>
        <a:solidFill>
          <a:srgbClr val="2EB3A1"/>
        </a:solidFill>
      </dgm:spPr>
      <dgm:t>
        <a:bodyPr lIns="0" rIns="0" bIns="0"/>
        <a:lstStyle/>
        <a:p>
          <a:pPr algn="ctr"/>
          <a:r>
            <a:rPr lang="cs-CZ" sz="1400" b="1"/>
            <a:t>Hlavní cíle transformace systému péče o ohrožené děti</a:t>
          </a:r>
          <a:endParaRPr lang="cs-CZ" sz="1400"/>
        </a:p>
      </dgm:t>
    </dgm:pt>
    <dgm:pt modelId="{D97979FE-C393-43A9-8C34-CE0262F7FEAE}" type="parTrans" cxnId="{EBBE826B-62DA-4818-B0AD-B910ECD093EE}">
      <dgm:prSet/>
      <dgm:spPr/>
      <dgm:t>
        <a:bodyPr/>
        <a:lstStyle/>
        <a:p>
          <a:pPr algn="ctr"/>
          <a:endParaRPr lang="cs-CZ"/>
        </a:p>
      </dgm:t>
    </dgm:pt>
    <dgm:pt modelId="{3FA3A13A-5DDE-467A-BB89-79D773F7FE36}" type="sibTrans" cxnId="{EBBE826B-62DA-4818-B0AD-B910ECD093EE}">
      <dgm:prSet/>
      <dgm:spPr/>
      <dgm:t>
        <a:bodyPr/>
        <a:lstStyle/>
        <a:p>
          <a:pPr algn="ctr"/>
          <a:endParaRPr lang="cs-CZ"/>
        </a:p>
      </dgm:t>
    </dgm:pt>
    <dgm:pt modelId="{7379FD40-D055-402A-A140-EEDB7958E169}">
      <dgm:prSet phldrT="[Text]" custT="1"/>
      <dgm:spPr>
        <a:solidFill>
          <a:srgbClr val="2EB3A1"/>
        </a:solidFill>
      </dgm:spPr>
      <dgm:t>
        <a:bodyPr lIns="0" tIns="0" rIns="0" bIns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Zvýšení kvality péče,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zavedení standardů</a:t>
          </a:r>
        </a:p>
      </dgm:t>
    </dgm:pt>
    <dgm:pt modelId="{65C2AFCB-2FE5-4B5C-987E-8C78D4591E88}" type="parTrans" cxnId="{190BEEE3-A861-4857-91A3-113387BADFB1}">
      <dgm:prSet/>
      <dgm:spPr/>
      <dgm:t>
        <a:bodyPr/>
        <a:lstStyle/>
        <a:p>
          <a:pPr algn="ctr"/>
          <a:endParaRPr lang="cs-CZ"/>
        </a:p>
      </dgm:t>
    </dgm:pt>
    <dgm:pt modelId="{88C7223E-1DC1-4AAE-B1D1-A4B2151CBB0C}" type="sibTrans" cxnId="{190BEEE3-A861-4857-91A3-113387BADFB1}">
      <dgm:prSet/>
      <dgm:spPr/>
      <dgm:t>
        <a:bodyPr/>
        <a:lstStyle/>
        <a:p>
          <a:pPr algn="ctr"/>
          <a:endParaRPr lang="cs-CZ"/>
        </a:p>
      </dgm:t>
    </dgm:pt>
    <dgm:pt modelId="{E39FD776-0150-46DB-9154-8E23247376A7}">
      <dgm:prSet phldrT="[Text]" custT="1"/>
      <dgm:spPr>
        <a:solidFill>
          <a:srgbClr val="2EB3A1"/>
        </a:solidFill>
      </dgm:spPr>
      <dgm:t>
        <a:bodyPr lIns="0" tIns="0" rIns="0" bIns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Snížení počtu dětí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 v ústavní péči</a:t>
          </a:r>
        </a:p>
      </dgm:t>
    </dgm:pt>
    <dgm:pt modelId="{0A5D3F20-F95A-4A65-9ED4-9CB428779410}" type="parTrans" cxnId="{132E443E-B2B2-462B-B118-131B0BD4D118}">
      <dgm:prSet/>
      <dgm:spPr/>
      <dgm:t>
        <a:bodyPr/>
        <a:lstStyle/>
        <a:p>
          <a:pPr algn="ctr"/>
          <a:endParaRPr lang="cs-CZ"/>
        </a:p>
      </dgm:t>
    </dgm:pt>
    <dgm:pt modelId="{DE71E478-798C-464E-AA83-DF900DB50698}" type="sibTrans" cxnId="{132E443E-B2B2-462B-B118-131B0BD4D118}">
      <dgm:prSet/>
      <dgm:spPr/>
      <dgm:t>
        <a:bodyPr/>
        <a:lstStyle/>
        <a:p>
          <a:pPr algn="ctr"/>
          <a:endParaRPr lang="cs-CZ"/>
        </a:p>
      </dgm:t>
    </dgm:pt>
    <dgm:pt modelId="{0A54F818-07FB-471B-88F0-7ECEBA91383A}">
      <dgm:prSet phldrT="[Text]" custT="1"/>
      <dgm:spPr>
        <a:solidFill>
          <a:srgbClr val="2EB3A1"/>
        </a:solidFill>
      </dgm:spPr>
      <dgm:t>
        <a:bodyPr lIns="0" tIns="0" rIns="0" bIns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Sjednocení postupu pracovníků</a:t>
          </a:r>
        </a:p>
      </dgm:t>
    </dgm:pt>
    <dgm:pt modelId="{3F88875E-092C-4629-AF8C-1FBB9209A08C}" type="parTrans" cxnId="{36D58A0F-F1C2-46EF-9948-C653A037EB0E}">
      <dgm:prSet/>
      <dgm:spPr/>
      <dgm:t>
        <a:bodyPr/>
        <a:lstStyle/>
        <a:p>
          <a:pPr algn="ctr"/>
          <a:endParaRPr lang="cs-CZ"/>
        </a:p>
      </dgm:t>
    </dgm:pt>
    <dgm:pt modelId="{4226A5B8-8135-40FD-B1B4-CE9449524659}" type="sibTrans" cxnId="{36D58A0F-F1C2-46EF-9948-C653A037EB0E}">
      <dgm:prSet/>
      <dgm:spPr/>
      <dgm:t>
        <a:bodyPr/>
        <a:lstStyle/>
        <a:p>
          <a:pPr algn="ctr"/>
          <a:endParaRPr lang="cs-CZ"/>
        </a:p>
      </dgm:t>
    </dgm:pt>
    <dgm:pt modelId="{97BE5F21-B265-417E-A9BB-F9216D2E86CA}" type="pres">
      <dgm:prSet presAssocID="{05E48D3C-092D-4D24-A543-BC493BA72A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079C98C-C4D0-48AB-9565-75B9434C10E0}" type="pres">
      <dgm:prSet presAssocID="{62505C34-F608-495E-81DC-460F0B1E5937}" presName="hierRoot1" presStyleCnt="0">
        <dgm:presLayoutVars>
          <dgm:hierBranch val="init"/>
        </dgm:presLayoutVars>
      </dgm:prSet>
      <dgm:spPr/>
    </dgm:pt>
    <dgm:pt modelId="{A6AF92E6-17BC-4C0D-9810-4C3483514279}" type="pres">
      <dgm:prSet presAssocID="{62505C34-F608-495E-81DC-460F0B1E5937}" presName="rootComposite1" presStyleCnt="0"/>
      <dgm:spPr/>
    </dgm:pt>
    <dgm:pt modelId="{2F617E18-08E0-495E-A084-6281209FB90B}" type="pres">
      <dgm:prSet presAssocID="{62505C34-F608-495E-81DC-460F0B1E5937}" presName="rootText1" presStyleLbl="node0" presStyleIdx="0" presStyleCnt="1" custScaleX="342046" custScaleY="55051" custLinFactNeighborX="330">
        <dgm:presLayoutVars>
          <dgm:chPref val="3"/>
        </dgm:presLayoutVars>
      </dgm:prSet>
      <dgm:spPr/>
    </dgm:pt>
    <dgm:pt modelId="{53456C53-27DB-47F5-BDCB-99D2CA420491}" type="pres">
      <dgm:prSet presAssocID="{62505C34-F608-495E-81DC-460F0B1E5937}" presName="rootConnector1" presStyleLbl="node1" presStyleIdx="0" presStyleCnt="0"/>
      <dgm:spPr/>
    </dgm:pt>
    <dgm:pt modelId="{6ED86DA3-1E97-4505-8755-410E48B3CD70}" type="pres">
      <dgm:prSet presAssocID="{62505C34-F608-495E-81DC-460F0B1E5937}" presName="hierChild2" presStyleCnt="0"/>
      <dgm:spPr/>
    </dgm:pt>
    <dgm:pt modelId="{C2ABF754-3874-4140-8DFE-66C6DD97A62A}" type="pres">
      <dgm:prSet presAssocID="{65C2AFCB-2FE5-4B5C-987E-8C78D4591E88}" presName="Name37" presStyleLbl="parChTrans1D2" presStyleIdx="0" presStyleCnt="3"/>
      <dgm:spPr/>
    </dgm:pt>
    <dgm:pt modelId="{FA1F83DE-7960-44D9-913F-D94D189D5EA5}" type="pres">
      <dgm:prSet presAssocID="{7379FD40-D055-402A-A140-EEDB7958E169}" presName="hierRoot2" presStyleCnt="0">
        <dgm:presLayoutVars>
          <dgm:hierBranch val="init"/>
        </dgm:presLayoutVars>
      </dgm:prSet>
      <dgm:spPr/>
    </dgm:pt>
    <dgm:pt modelId="{B3D6E8D6-9058-457B-BC96-C2424C163CC0}" type="pres">
      <dgm:prSet presAssocID="{7379FD40-D055-402A-A140-EEDB7958E169}" presName="rootComposite" presStyleCnt="0"/>
      <dgm:spPr/>
    </dgm:pt>
    <dgm:pt modelId="{1277409A-2C39-46B3-9461-9E7DE2A1D87E}" type="pres">
      <dgm:prSet presAssocID="{7379FD40-D055-402A-A140-EEDB7958E169}" presName="rootText" presStyleLbl="node2" presStyleIdx="0" presStyleCnt="3" custScaleY="61071">
        <dgm:presLayoutVars>
          <dgm:chPref val="3"/>
        </dgm:presLayoutVars>
      </dgm:prSet>
      <dgm:spPr/>
    </dgm:pt>
    <dgm:pt modelId="{56557B19-692B-4854-9EDF-C8FD18DF85DB}" type="pres">
      <dgm:prSet presAssocID="{7379FD40-D055-402A-A140-EEDB7958E169}" presName="rootConnector" presStyleLbl="node2" presStyleIdx="0" presStyleCnt="3"/>
      <dgm:spPr/>
    </dgm:pt>
    <dgm:pt modelId="{30C9C07D-8669-47D5-9ABF-F937B7C114DA}" type="pres">
      <dgm:prSet presAssocID="{7379FD40-D055-402A-A140-EEDB7958E169}" presName="hierChild4" presStyleCnt="0"/>
      <dgm:spPr/>
    </dgm:pt>
    <dgm:pt modelId="{EA4D6A05-80BF-48B4-8172-2452D97B6D8E}" type="pres">
      <dgm:prSet presAssocID="{7379FD40-D055-402A-A140-EEDB7958E169}" presName="hierChild5" presStyleCnt="0"/>
      <dgm:spPr/>
    </dgm:pt>
    <dgm:pt modelId="{4BF3525C-4653-4C2A-9C78-651E2D14D0E3}" type="pres">
      <dgm:prSet presAssocID="{0A5D3F20-F95A-4A65-9ED4-9CB428779410}" presName="Name37" presStyleLbl="parChTrans1D2" presStyleIdx="1" presStyleCnt="3"/>
      <dgm:spPr/>
    </dgm:pt>
    <dgm:pt modelId="{DFD64110-9DFB-4CDC-8D68-CD21A2613316}" type="pres">
      <dgm:prSet presAssocID="{E39FD776-0150-46DB-9154-8E23247376A7}" presName="hierRoot2" presStyleCnt="0">
        <dgm:presLayoutVars>
          <dgm:hierBranch val="init"/>
        </dgm:presLayoutVars>
      </dgm:prSet>
      <dgm:spPr/>
    </dgm:pt>
    <dgm:pt modelId="{16535219-D2C2-4FFF-81D9-11D943F70E73}" type="pres">
      <dgm:prSet presAssocID="{E39FD776-0150-46DB-9154-8E23247376A7}" presName="rootComposite" presStyleCnt="0"/>
      <dgm:spPr/>
    </dgm:pt>
    <dgm:pt modelId="{3EA70F68-2D8A-4CF4-BC2C-E27BEC5BA3AD}" type="pres">
      <dgm:prSet presAssocID="{E39FD776-0150-46DB-9154-8E23247376A7}" presName="rootText" presStyleLbl="node2" presStyleIdx="1" presStyleCnt="3" custScaleY="60626">
        <dgm:presLayoutVars>
          <dgm:chPref val="3"/>
        </dgm:presLayoutVars>
      </dgm:prSet>
      <dgm:spPr/>
    </dgm:pt>
    <dgm:pt modelId="{EECABD3A-CD1E-4A8E-A3DC-771980D8239D}" type="pres">
      <dgm:prSet presAssocID="{E39FD776-0150-46DB-9154-8E23247376A7}" presName="rootConnector" presStyleLbl="node2" presStyleIdx="1" presStyleCnt="3"/>
      <dgm:spPr/>
    </dgm:pt>
    <dgm:pt modelId="{41E62D03-8B8D-4058-A0F0-504532DCF406}" type="pres">
      <dgm:prSet presAssocID="{E39FD776-0150-46DB-9154-8E23247376A7}" presName="hierChild4" presStyleCnt="0"/>
      <dgm:spPr/>
    </dgm:pt>
    <dgm:pt modelId="{11E5AC04-977F-4220-B66B-566F43697512}" type="pres">
      <dgm:prSet presAssocID="{E39FD776-0150-46DB-9154-8E23247376A7}" presName="hierChild5" presStyleCnt="0"/>
      <dgm:spPr/>
    </dgm:pt>
    <dgm:pt modelId="{1F928F8A-2AB7-4C57-BE0A-00087857335B}" type="pres">
      <dgm:prSet presAssocID="{3F88875E-092C-4629-AF8C-1FBB9209A08C}" presName="Name37" presStyleLbl="parChTrans1D2" presStyleIdx="2" presStyleCnt="3"/>
      <dgm:spPr/>
    </dgm:pt>
    <dgm:pt modelId="{D2D0852C-5B49-4721-A118-2CD950DB167B}" type="pres">
      <dgm:prSet presAssocID="{0A54F818-07FB-471B-88F0-7ECEBA91383A}" presName="hierRoot2" presStyleCnt="0">
        <dgm:presLayoutVars>
          <dgm:hierBranch val="init"/>
        </dgm:presLayoutVars>
      </dgm:prSet>
      <dgm:spPr/>
    </dgm:pt>
    <dgm:pt modelId="{E834D834-8440-46A0-A4C8-11652816B9E6}" type="pres">
      <dgm:prSet presAssocID="{0A54F818-07FB-471B-88F0-7ECEBA91383A}" presName="rootComposite" presStyleCnt="0"/>
      <dgm:spPr/>
    </dgm:pt>
    <dgm:pt modelId="{58376DD6-746F-4EA7-9485-9C50BB94A29E}" type="pres">
      <dgm:prSet presAssocID="{0A54F818-07FB-471B-88F0-7ECEBA91383A}" presName="rootText" presStyleLbl="node2" presStyleIdx="2" presStyleCnt="3" custScaleY="60696">
        <dgm:presLayoutVars>
          <dgm:chPref val="3"/>
        </dgm:presLayoutVars>
      </dgm:prSet>
      <dgm:spPr/>
    </dgm:pt>
    <dgm:pt modelId="{2F245182-8430-41C6-A324-DA34620C5DF0}" type="pres">
      <dgm:prSet presAssocID="{0A54F818-07FB-471B-88F0-7ECEBA91383A}" presName="rootConnector" presStyleLbl="node2" presStyleIdx="2" presStyleCnt="3"/>
      <dgm:spPr/>
    </dgm:pt>
    <dgm:pt modelId="{657A30C7-8CED-471B-A04D-35E6F4BD0B53}" type="pres">
      <dgm:prSet presAssocID="{0A54F818-07FB-471B-88F0-7ECEBA91383A}" presName="hierChild4" presStyleCnt="0"/>
      <dgm:spPr/>
    </dgm:pt>
    <dgm:pt modelId="{F195F50D-EBF3-4876-BE2F-44B98989A4D4}" type="pres">
      <dgm:prSet presAssocID="{0A54F818-07FB-471B-88F0-7ECEBA91383A}" presName="hierChild5" presStyleCnt="0"/>
      <dgm:spPr/>
    </dgm:pt>
    <dgm:pt modelId="{E7F28652-E526-4EBD-AD2F-2E62B6376859}" type="pres">
      <dgm:prSet presAssocID="{62505C34-F608-495E-81DC-460F0B1E5937}" presName="hierChild3" presStyleCnt="0"/>
      <dgm:spPr/>
    </dgm:pt>
  </dgm:ptLst>
  <dgm:cxnLst>
    <dgm:cxn modelId="{36D58A0F-F1C2-46EF-9948-C653A037EB0E}" srcId="{62505C34-F608-495E-81DC-460F0B1E5937}" destId="{0A54F818-07FB-471B-88F0-7ECEBA91383A}" srcOrd="2" destOrd="0" parTransId="{3F88875E-092C-4629-AF8C-1FBB9209A08C}" sibTransId="{4226A5B8-8135-40FD-B1B4-CE9449524659}"/>
    <dgm:cxn modelId="{0FBB501B-647B-450F-9EDC-2F4F8C8CDD04}" type="presOf" srcId="{7379FD40-D055-402A-A140-EEDB7958E169}" destId="{1277409A-2C39-46B3-9461-9E7DE2A1D87E}" srcOrd="0" destOrd="0" presId="urn:microsoft.com/office/officeart/2005/8/layout/orgChart1"/>
    <dgm:cxn modelId="{3A76E436-44D5-4CE1-828B-D32C95417995}" type="presOf" srcId="{E39FD776-0150-46DB-9154-8E23247376A7}" destId="{EECABD3A-CD1E-4A8E-A3DC-771980D8239D}" srcOrd="1" destOrd="0" presId="urn:microsoft.com/office/officeart/2005/8/layout/orgChart1"/>
    <dgm:cxn modelId="{CB62213D-800C-4813-8B1A-98B60E82F8CC}" type="presOf" srcId="{05E48D3C-092D-4D24-A543-BC493BA72A15}" destId="{97BE5F21-B265-417E-A9BB-F9216D2E86CA}" srcOrd="0" destOrd="0" presId="urn:microsoft.com/office/officeart/2005/8/layout/orgChart1"/>
    <dgm:cxn modelId="{132E443E-B2B2-462B-B118-131B0BD4D118}" srcId="{62505C34-F608-495E-81DC-460F0B1E5937}" destId="{E39FD776-0150-46DB-9154-8E23247376A7}" srcOrd="1" destOrd="0" parTransId="{0A5D3F20-F95A-4A65-9ED4-9CB428779410}" sibTransId="{DE71E478-798C-464E-AA83-DF900DB50698}"/>
    <dgm:cxn modelId="{92A1C46A-333F-4B87-8A55-29D5ED32F26D}" type="presOf" srcId="{65C2AFCB-2FE5-4B5C-987E-8C78D4591E88}" destId="{C2ABF754-3874-4140-8DFE-66C6DD97A62A}" srcOrd="0" destOrd="0" presId="urn:microsoft.com/office/officeart/2005/8/layout/orgChart1"/>
    <dgm:cxn modelId="{EBBE826B-62DA-4818-B0AD-B910ECD093EE}" srcId="{05E48D3C-092D-4D24-A543-BC493BA72A15}" destId="{62505C34-F608-495E-81DC-460F0B1E5937}" srcOrd="0" destOrd="0" parTransId="{D97979FE-C393-43A9-8C34-CE0262F7FEAE}" sibTransId="{3FA3A13A-5DDE-467A-BB89-79D773F7FE36}"/>
    <dgm:cxn modelId="{A076D873-2E4C-4B7D-8D6E-91756F4CCC68}" type="presOf" srcId="{62505C34-F608-495E-81DC-460F0B1E5937}" destId="{53456C53-27DB-47F5-BDCB-99D2CA420491}" srcOrd="1" destOrd="0" presId="urn:microsoft.com/office/officeart/2005/8/layout/orgChart1"/>
    <dgm:cxn modelId="{9385EF56-5F63-4D91-B2F6-165AF13E674C}" type="presOf" srcId="{0A54F818-07FB-471B-88F0-7ECEBA91383A}" destId="{58376DD6-746F-4EA7-9485-9C50BB94A29E}" srcOrd="0" destOrd="0" presId="urn:microsoft.com/office/officeart/2005/8/layout/orgChart1"/>
    <dgm:cxn modelId="{AC987658-382D-4ECF-B9F4-DF95E0F803FE}" type="presOf" srcId="{E39FD776-0150-46DB-9154-8E23247376A7}" destId="{3EA70F68-2D8A-4CF4-BC2C-E27BEC5BA3AD}" srcOrd="0" destOrd="0" presId="urn:microsoft.com/office/officeart/2005/8/layout/orgChart1"/>
    <dgm:cxn modelId="{6519777E-6FFB-4863-8B91-1BD7ACE7D63F}" type="presOf" srcId="{0A54F818-07FB-471B-88F0-7ECEBA91383A}" destId="{2F245182-8430-41C6-A324-DA34620C5DF0}" srcOrd="1" destOrd="0" presId="urn:microsoft.com/office/officeart/2005/8/layout/orgChart1"/>
    <dgm:cxn modelId="{2B0F5681-2F65-431B-925E-9F856412CD87}" type="presOf" srcId="{7379FD40-D055-402A-A140-EEDB7958E169}" destId="{56557B19-692B-4854-9EDF-C8FD18DF85DB}" srcOrd="1" destOrd="0" presId="urn:microsoft.com/office/officeart/2005/8/layout/orgChart1"/>
    <dgm:cxn modelId="{EC31819C-CAA1-456E-8B9C-1CA41A807177}" type="presOf" srcId="{3F88875E-092C-4629-AF8C-1FBB9209A08C}" destId="{1F928F8A-2AB7-4C57-BE0A-00087857335B}" srcOrd="0" destOrd="0" presId="urn:microsoft.com/office/officeart/2005/8/layout/orgChart1"/>
    <dgm:cxn modelId="{57811CD0-6EED-4F09-BA6F-E7160D7A52AF}" type="presOf" srcId="{0A5D3F20-F95A-4A65-9ED4-9CB428779410}" destId="{4BF3525C-4653-4C2A-9C78-651E2D14D0E3}" srcOrd="0" destOrd="0" presId="urn:microsoft.com/office/officeart/2005/8/layout/orgChart1"/>
    <dgm:cxn modelId="{190BEEE3-A861-4857-91A3-113387BADFB1}" srcId="{62505C34-F608-495E-81DC-460F0B1E5937}" destId="{7379FD40-D055-402A-A140-EEDB7958E169}" srcOrd="0" destOrd="0" parTransId="{65C2AFCB-2FE5-4B5C-987E-8C78D4591E88}" sibTransId="{88C7223E-1DC1-4AAE-B1D1-A4B2151CBB0C}"/>
    <dgm:cxn modelId="{1F745AF1-CB2A-4151-A5BF-996099EEE877}" type="presOf" srcId="{62505C34-F608-495E-81DC-460F0B1E5937}" destId="{2F617E18-08E0-495E-A084-6281209FB90B}" srcOrd="0" destOrd="0" presId="urn:microsoft.com/office/officeart/2005/8/layout/orgChart1"/>
    <dgm:cxn modelId="{5C0C195D-AA99-4F90-9349-F3756DBA77F2}" type="presParOf" srcId="{97BE5F21-B265-417E-A9BB-F9216D2E86CA}" destId="{0079C98C-C4D0-48AB-9565-75B9434C10E0}" srcOrd="0" destOrd="0" presId="urn:microsoft.com/office/officeart/2005/8/layout/orgChart1"/>
    <dgm:cxn modelId="{521FE862-5AB4-411A-B44E-4FBF2498D841}" type="presParOf" srcId="{0079C98C-C4D0-48AB-9565-75B9434C10E0}" destId="{A6AF92E6-17BC-4C0D-9810-4C3483514279}" srcOrd="0" destOrd="0" presId="urn:microsoft.com/office/officeart/2005/8/layout/orgChart1"/>
    <dgm:cxn modelId="{003293FA-F49C-4ED6-8176-913284639307}" type="presParOf" srcId="{A6AF92E6-17BC-4C0D-9810-4C3483514279}" destId="{2F617E18-08E0-495E-A084-6281209FB90B}" srcOrd="0" destOrd="0" presId="urn:microsoft.com/office/officeart/2005/8/layout/orgChart1"/>
    <dgm:cxn modelId="{08E6F3AB-271C-4821-81BE-857DC5E9E7F7}" type="presParOf" srcId="{A6AF92E6-17BC-4C0D-9810-4C3483514279}" destId="{53456C53-27DB-47F5-BDCB-99D2CA420491}" srcOrd="1" destOrd="0" presId="urn:microsoft.com/office/officeart/2005/8/layout/orgChart1"/>
    <dgm:cxn modelId="{40D04A22-AE61-4F71-9903-686B10DDD551}" type="presParOf" srcId="{0079C98C-C4D0-48AB-9565-75B9434C10E0}" destId="{6ED86DA3-1E97-4505-8755-410E48B3CD70}" srcOrd="1" destOrd="0" presId="urn:microsoft.com/office/officeart/2005/8/layout/orgChart1"/>
    <dgm:cxn modelId="{B582BD8F-3201-4D74-A2B4-565F05C8CFCA}" type="presParOf" srcId="{6ED86DA3-1E97-4505-8755-410E48B3CD70}" destId="{C2ABF754-3874-4140-8DFE-66C6DD97A62A}" srcOrd="0" destOrd="0" presId="urn:microsoft.com/office/officeart/2005/8/layout/orgChart1"/>
    <dgm:cxn modelId="{9DD87EC4-8A2E-4FFC-B414-DD9E89C41A6C}" type="presParOf" srcId="{6ED86DA3-1E97-4505-8755-410E48B3CD70}" destId="{FA1F83DE-7960-44D9-913F-D94D189D5EA5}" srcOrd="1" destOrd="0" presId="urn:microsoft.com/office/officeart/2005/8/layout/orgChart1"/>
    <dgm:cxn modelId="{C0542A58-F8A6-43A7-B466-6CA231DCC566}" type="presParOf" srcId="{FA1F83DE-7960-44D9-913F-D94D189D5EA5}" destId="{B3D6E8D6-9058-457B-BC96-C2424C163CC0}" srcOrd="0" destOrd="0" presId="urn:microsoft.com/office/officeart/2005/8/layout/orgChart1"/>
    <dgm:cxn modelId="{3F616F18-AE9C-4C3C-B711-DA0A7DE8405E}" type="presParOf" srcId="{B3D6E8D6-9058-457B-BC96-C2424C163CC0}" destId="{1277409A-2C39-46B3-9461-9E7DE2A1D87E}" srcOrd="0" destOrd="0" presId="urn:microsoft.com/office/officeart/2005/8/layout/orgChart1"/>
    <dgm:cxn modelId="{7B2FA708-20AA-4800-B00F-58756F08E9BE}" type="presParOf" srcId="{B3D6E8D6-9058-457B-BC96-C2424C163CC0}" destId="{56557B19-692B-4854-9EDF-C8FD18DF85DB}" srcOrd="1" destOrd="0" presId="urn:microsoft.com/office/officeart/2005/8/layout/orgChart1"/>
    <dgm:cxn modelId="{AC6B278C-5B7A-4BE8-A3FF-66C80932CA77}" type="presParOf" srcId="{FA1F83DE-7960-44D9-913F-D94D189D5EA5}" destId="{30C9C07D-8669-47D5-9ABF-F937B7C114DA}" srcOrd="1" destOrd="0" presId="urn:microsoft.com/office/officeart/2005/8/layout/orgChart1"/>
    <dgm:cxn modelId="{1E4080D5-CED6-41F5-B8FC-1DAC3AD6DC64}" type="presParOf" srcId="{FA1F83DE-7960-44D9-913F-D94D189D5EA5}" destId="{EA4D6A05-80BF-48B4-8172-2452D97B6D8E}" srcOrd="2" destOrd="0" presId="urn:microsoft.com/office/officeart/2005/8/layout/orgChart1"/>
    <dgm:cxn modelId="{99812415-D6E9-4D14-B61D-65101796B6E0}" type="presParOf" srcId="{6ED86DA3-1E97-4505-8755-410E48B3CD70}" destId="{4BF3525C-4653-4C2A-9C78-651E2D14D0E3}" srcOrd="2" destOrd="0" presId="urn:microsoft.com/office/officeart/2005/8/layout/orgChart1"/>
    <dgm:cxn modelId="{92897DAC-58E1-45C8-865C-5BCE7C4A0D9F}" type="presParOf" srcId="{6ED86DA3-1E97-4505-8755-410E48B3CD70}" destId="{DFD64110-9DFB-4CDC-8D68-CD21A2613316}" srcOrd="3" destOrd="0" presId="urn:microsoft.com/office/officeart/2005/8/layout/orgChart1"/>
    <dgm:cxn modelId="{4F07B2AA-A849-49F8-AE59-14CCC08E0EEE}" type="presParOf" srcId="{DFD64110-9DFB-4CDC-8D68-CD21A2613316}" destId="{16535219-D2C2-4FFF-81D9-11D943F70E73}" srcOrd="0" destOrd="0" presId="urn:microsoft.com/office/officeart/2005/8/layout/orgChart1"/>
    <dgm:cxn modelId="{0691DB7B-61CA-468F-AB42-7AF11CD8363C}" type="presParOf" srcId="{16535219-D2C2-4FFF-81D9-11D943F70E73}" destId="{3EA70F68-2D8A-4CF4-BC2C-E27BEC5BA3AD}" srcOrd="0" destOrd="0" presId="urn:microsoft.com/office/officeart/2005/8/layout/orgChart1"/>
    <dgm:cxn modelId="{5B7A89D8-115D-4EB0-A989-100EA94C0DFC}" type="presParOf" srcId="{16535219-D2C2-4FFF-81D9-11D943F70E73}" destId="{EECABD3A-CD1E-4A8E-A3DC-771980D8239D}" srcOrd="1" destOrd="0" presId="urn:microsoft.com/office/officeart/2005/8/layout/orgChart1"/>
    <dgm:cxn modelId="{FD10B319-6C20-49F2-B324-82E2EF67FEDD}" type="presParOf" srcId="{DFD64110-9DFB-4CDC-8D68-CD21A2613316}" destId="{41E62D03-8B8D-4058-A0F0-504532DCF406}" srcOrd="1" destOrd="0" presId="urn:microsoft.com/office/officeart/2005/8/layout/orgChart1"/>
    <dgm:cxn modelId="{12440896-AE75-47DA-86C1-822B03DAF918}" type="presParOf" srcId="{DFD64110-9DFB-4CDC-8D68-CD21A2613316}" destId="{11E5AC04-977F-4220-B66B-566F43697512}" srcOrd="2" destOrd="0" presId="urn:microsoft.com/office/officeart/2005/8/layout/orgChart1"/>
    <dgm:cxn modelId="{AA9B7045-E429-47E8-9EC9-EA809761A5C4}" type="presParOf" srcId="{6ED86DA3-1E97-4505-8755-410E48B3CD70}" destId="{1F928F8A-2AB7-4C57-BE0A-00087857335B}" srcOrd="4" destOrd="0" presId="urn:microsoft.com/office/officeart/2005/8/layout/orgChart1"/>
    <dgm:cxn modelId="{7A239D24-9780-4CAC-A419-9DA7BEFDA790}" type="presParOf" srcId="{6ED86DA3-1E97-4505-8755-410E48B3CD70}" destId="{D2D0852C-5B49-4721-A118-2CD950DB167B}" srcOrd="5" destOrd="0" presId="urn:microsoft.com/office/officeart/2005/8/layout/orgChart1"/>
    <dgm:cxn modelId="{F558BC90-A8C0-4F8C-B431-9F74F047A60F}" type="presParOf" srcId="{D2D0852C-5B49-4721-A118-2CD950DB167B}" destId="{E834D834-8440-46A0-A4C8-11652816B9E6}" srcOrd="0" destOrd="0" presId="urn:microsoft.com/office/officeart/2005/8/layout/orgChart1"/>
    <dgm:cxn modelId="{27794A3C-E1D1-4348-924B-8F0134B7AC7C}" type="presParOf" srcId="{E834D834-8440-46A0-A4C8-11652816B9E6}" destId="{58376DD6-746F-4EA7-9485-9C50BB94A29E}" srcOrd="0" destOrd="0" presId="urn:microsoft.com/office/officeart/2005/8/layout/orgChart1"/>
    <dgm:cxn modelId="{9A9886BE-BF3F-4FD8-88AD-7374CE65C53E}" type="presParOf" srcId="{E834D834-8440-46A0-A4C8-11652816B9E6}" destId="{2F245182-8430-41C6-A324-DA34620C5DF0}" srcOrd="1" destOrd="0" presId="urn:microsoft.com/office/officeart/2005/8/layout/orgChart1"/>
    <dgm:cxn modelId="{6C69F436-C3E2-4A09-8391-90B70780A63D}" type="presParOf" srcId="{D2D0852C-5B49-4721-A118-2CD950DB167B}" destId="{657A30C7-8CED-471B-A04D-35E6F4BD0B53}" srcOrd="1" destOrd="0" presId="urn:microsoft.com/office/officeart/2005/8/layout/orgChart1"/>
    <dgm:cxn modelId="{9E85A839-35E2-4EA0-94B3-60BBF6A2FC96}" type="presParOf" srcId="{D2D0852C-5B49-4721-A118-2CD950DB167B}" destId="{F195F50D-EBF3-4876-BE2F-44B98989A4D4}" srcOrd="2" destOrd="0" presId="urn:microsoft.com/office/officeart/2005/8/layout/orgChart1"/>
    <dgm:cxn modelId="{83F13374-0879-4079-829E-10CDAC7E22E2}" type="presParOf" srcId="{0079C98C-C4D0-48AB-9565-75B9434C10E0}" destId="{E7F28652-E526-4EBD-AD2F-2E62B63768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E48D3C-092D-4D24-A543-BC493BA72A1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62505C34-F608-495E-81DC-460F0B1E5937}">
      <dgm:prSet phldrT="[Text]" custT="1"/>
      <dgm:spPr>
        <a:solidFill>
          <a:srgbClr val="AF1953"/>
        </a:solidFill>
      </dgm:spPr>
      <dgm:t>
        <a:bodyPr lIns="0" tIns="180000" rIns="0" bIns="0"/>
        <a:lstStyle/>
        <a:p>
          <a:pPr algn="ctr">
            <a:lnSpc>
              <a:spcPct val="0"/>
            </a:lnSpc>
          </a:pPr>
          <a:r>
            <a:rPr lang="cs-CZ" sz="1400" b="1"/>
            <a:t>MPSV od roku 2012 poskytlo na transformaci péče o ohrožené děti</a:t>
          </a:r>
        </a:p>
        <a:p>
          <a:pPr algn="ctr">
            <a:lnSpc>
              <a:spcPct val="90000"/>
            </a:lnSpc>
          </a:pPr>
          <a:r>
            <a:rPr lang="cs-CZ" sz="1600" b="1"/>
            <a:t>701 mil. Kč </a:t>
          </a:r>
          <a:endParaRPr lang="cs-CZ" sz="1600"/>
        </a:p>
      </dgm:t>
    </dgm:pt>
    <dgm:pt modelId="{D97979FE-C393-43A9-8C34-CE0262F7FEAE}" type="parTrans" cxnId="{EBBE826B-62DA-4818-B0AD-B910ECD093EE}">
      <dgm:prSet/>
      <dgm:spPr/>
      <dgm:t>
        <a:bodyPr/>
        <a:lstStyle/>
        <a:p>
          <a:pPr algn="ctr"/>
          <a:endParaRPr lang="cs-CZ"/>
        </a:p>
      </dgm:t>
    </dgm:pt>
    <dgm:pt modelId="{3FA3A13A-5DDE-467A-BB89-79D773F7FE36}" type="sibTrans" cxnId="{EBBE826B-62DA-4818-B0AD-B910ECD093EE}">
      <dgm:prSet/>
      <dgm:spPr/>
      <dgm:t>
        <a:bodyPr/>
        <a:lstStyle/>
        <a:p>
          <a:pPr algn="ctr"/>
          <a:endParaRPr lang="cs-CZ"/>
        </a:p>
      </dgm:t>
    </dgm:pt>
    <dgm:pt modelId="{7379FD40-D055-402A-A140-EEDB7958E169}">
      <dgm:prSet phldrT="[Text]" custT="1"/>
      <dgm:spPr>
        <a:solidFill>
          <a:srgbClr val="AF1953"/>
        </a:solidFill>
      </dgm:spPr>
      <dgm:t>
        <a:bodyPr lIns="0" tIns="18000" rIns="0" bIns="0" anchor="t" anchorCtr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600" b="1"/>
            <a:t>498,4 mil. Kč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(projekty MPSV)</a:t>
          </a:r>
        </a:p>
      </dgm:t>
    </dgm:pt>
    <dgm:pt modelId="{65C2AFCB-2FE5-4B5C-987E-8C78D4591E88}" type="parTrans" cxnId="{190BEEE3-A861-4857-91A3-113387BADFB1}">
      <dgm:prSet/>
      <dgm:spPr/>
      <dgm:t>
        <a:bodyPr/>
        <a:lstStyle/>
        <a:p>
          <a:pPr algn="ctr"/>
          <a:endParaRPr lang="cs-CZ"/>
        </a:p>
      </dgm:t>
    </dgm:pt>
    <dgm:pt modelId="{88C7223E-1DC1-4AAE-B1D1-A4B2151CBB0C}" type="sibTrans" cxnId="{190BEEE3-A861-4857-91A3-113387BADFB1}">
      <dgm:prSet/>
      <dgm:spPr/>
      <dgm:t>
        <a:bodyPr/>
        <a:lstStyle/>
        <a:p>
          <a:pPr algn="ctr"/>
          <a:endParaRPr lang="cs-CZ"/>
        </a:p>
      </dgm:t>
    </dgm:pt>
    <dgm:pt modelId="{0A54F818-07FB-471B-88F0-7ECEBA91383A}">
      <dgm:prSet phldrT="[Text]" custT="1"/>
      <dgm:spPr>
        <a:solidFill>
          <a:srgbClr val="AF1953"/>
        </a:solidFill>
      </dgm:spPr>
      <dgm:t>
        <a:bodyPr lIns="0" tIns="18000" rIns="0" bIns="0" anchor="t" anchorCtr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600" b="1"/>
            <a:t>202,9 mil. Kč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cs-CZ" sz="1200"/>
            <a:t>(projekty subjektů pracujících </a:t>
          </a:r>
          <a:br>
            <a:rPr lang="cs-CZ" sz="1200"/>
          </a:br>
          <a:r>
            <a:rPr lang="cs-CZ" sz="1200"/>
            <a:t>s ohroženými dětmi)</a:t>
          </a:r>
        </a:p>
      </dgm:t>
    </dgm:pt>
    <dgm:pt modelId="{3F88875E-092C-4629-AF8C-1FBB9209A08C}" type="parTrans" cxnId="{36D58A0F-F1C2-46EF-9948-C653A037EB0E}">
      <dgm:prSet/>
      <dgm:spPr/>
      <dgm:t>
        <a:bodyPr/>
        <a:lstStyle/>
        <a:p>
          <a:pPr algn="ctr"/>
          <a:endParaRPr lang="cs-CZ"/>
        </a:p>
      </dgm:t>
    </dgm:pt>
    <dgm:pt modelId="{4226A5B8-8135-40FD-B1B4-CE9449524659}" type="sibTrans" cxnId="{36D58A0F-F1C2-46EF-9948-C653A037EB0E}">
      <dgm:prSet/>
      <dgm:spPr/>
      <dgm:t>
        <a:bodyPr/>
        <a:lstStyle/>
        <a:p>
          <a:pPr algn="ctr"/>
          <a:endParaRPr lang="cs-CZ"/>
        </a:p>
      </dgm:t>
    </dgm:pt>
    <dgm:pt modelId="{97BE5F21-B265-417E-A9BB-F9216D2E86CA}" type="pres">
      <dgm:prSet presAssocID="{05E48D3C-092D-4D24-A543-BC493BA72A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079C98C-C4D0-48AB-9565-75B9434C10E0}" type="pres">
      <dgm:prSet presAssocID="{62505C34-F608-495E-81DC-460F0B1E5937}" presName="hierRoot1" presStyleCnt="0">
        <dgm:presLayoutVars>
          <dgm:hierBranch val="init"/>
        </dgm:presLayoutVars>
      </dgm:prSet>
      <dgm:spPr/>
    </dgm:pt>
    <dgm:pt modelId="{A6AF92E6-17BC-4C0D-9810-4C3483514279}" type="pres">
      <dgm:prSet presAssocID="{62505C34-F608-495E-81DC-460F0B1E5937}" presName="rootComposite1" presStyleCnt="0"/>
      <dgm:spPr/>
    </dgm:pt>
    <dgm:pt modelId="{2F617E18-08E0-495E-A084-6281209FB90B}" type="pres">
      <dgm:prSet presAssocID="{62505C34-F608-495E-81DC-460F0B1E5937}" presName="rootText1" presStyleLbl="node0" presStyleIdx="0" presStyleCnt="1" custScaleX="332333" custScaleY="67493" custLinFactNeighborX="18342" custLinFactNeighborY="1212">
        <dgm:presLayoutVars>
          <dgm:chPref val="3"/>
        </dgm:presLayoutVars>
      </dgm:prSet>
      <dgm:spPr/>
    </dgm:pt>
    <dgm:pt modelId="{53456C53-27DB-47F5-BDCB-99D2CA420491}" type="pres">
      <dgm:prSet presAssocID="{62505C34-F608-495E-81DC-460F0B1E5937}" presName="rootConnector1" presStyleLbl="node1" presStyleIdx="0" presStyleCnt="0"/>
      <dgm:spPr/>
    </dgm:pt>
    <dgm:pt modelId="{6ED86DA3-1E97-4505-8755-410E48B3CD70}" type="pres">
      <dgm:prSet presAssocID="{62505C34-F608-495E-81DC-460F0B1E5937}" presName="hierChild2" presStyleCnt="0"/>
      <dgm:spPr/>
    </dgm:pt>
    <dgm:pt modelId="{C2ABF754-3874-4140-8DFE-66C6DD97A62A}" type="pres">
      <dgm:prSet presAssocID="{65C2AFCB-2FE5-4B5C-987E-8C78D4591E88}" presName="Name37" presStyleLbl="parChTrans1D2" presStyleIdx="0" presStyleCnt="2"/>
      <dgm:spPr/>
    </dgm:pt>
    <dgm:pt modelId="{FA1F83DE-7960-44D9-913F-D94D189D5EA5}" type="pres">
      <dgm:prSet presAssocID="{7379FD40-D055-402A-A140-EEDB7958E169}" presName="hierRoot2" presStyleCnt="0">
        <dgm:presLayoutVars>
          <dgm:hierBranch val="init"/>
        </dgm:presLayoutVars>
      </dgm:prSet>
      <dgm:spPr/>
    </dgm:pt>
    <dgm:pt modelId="{B3D6E8D6-9058-457B-BC96-C2424C163CC0}" type="pres">
      <dgm:prSet presAssocID="{7379FD40-D055-402A-A140-EEDB7958E169}" presName="rootComposite" presStyleCnt="0"/>
      <dgm:spPr/>
    </dgm:pt>
    <dgm:pt modelId="{1277409A-2C39-46B3-9461-9E7DE2A1D87E}" type="pres">
      <dgm:prSet presAssocID="{7379FD40-D055-402A-A140-EEDB7958E169}" presName="rootText" presStyleLbl="node2" presStyleIdx="0" presStyleCnt="2" custScaleX="139385" custScaleY="80738">
        <dgm:presLayoutVars>
          <dgm:chPref val="3"/>
        </dgm:presLayoutVars>
      </dgm:prSet>
      <dgm:spPr/>
    </dgm:pt>
    <dgm:pt modelId="{56557B19-692B-4854-9EDF-C8FD18DF85DB}" type="pres">
      <dgm:prSet presAssocID="{7379FD40-D055-402A-A140-EEDB7958E169}" presName="rootConnector" presStyleLbl="node2" presStyleIdx="0" presStyleCnt="2"/>
      <dgm:spPr/>
    </dgm:pt>
    <dgm:pt modelId="{30C9C07D-8669-47D5-9ABF-F937B7C114DA}" type="pres">
      <dgm:prSet presAssocID="{7379FD40-D055-402A-A140-EEDB7958E169}" presName="hierChild4" presStyleCnt="0"/>
      <dgm:spPr/>
    </dgm:pt>
    <dgm:pt modelId="{EA4D6A05-80BF-48B4-8172-2452D97B6D8E}" type="pres">
      <dgm:prSet presAssocID="{7379FD40-D055-402A-A140-EEDB7958E169}" presName="hierChild5" presStyleCnt="0"/>
      <dgm:spPr/>
    </dgm:pt>
    <dgm:pt modelId="{1F928F8A-2AB7-4C57-BE0A-00087857335B}" type="pres">
      <dgm:prSet presAssocID="{3F88875E-092C-4629-AF8C-1FBB9209A08C}" presName="Name37" presStyleLbl="parChTrans1D2" presStyleIdx="1" presStyleCnt="2"/>
      <dgm:spPr/>
    </dgm:pt>
    <dgm:pt modelId="{D2D0852C-5B49-4721-A118-2CD950DB167B}" type="pres">
      <dgm:prSet presAssocID="{0A54F818-07FB-471B-88F0-7ECEBA91383A}" presName="hierRoot2" presStyleCnt="0">
        <dgm:presLayoutVars>
          <dgm:hierBranch val="init"/>
        </dgm:presLayoutVars>
      </dgm:prSet>
      <dgm:spPr/>
    </dgm:pt>
    <dgm:pt modelId="{E834D834-8440-46A0-A4C8-11652816B9E6}" type="pres">
      <dgm:prSet presAssocID="{0A54F818-07FB-471B-88F0-7ECEBA91383A}" presName="rootComposite" presStyleCnt="0"/>
      <dgm:spPr/>
    </dgm:pt>
    <dgm:pt modelId="{58376DD6-746F-4EA7-9485-9C50BB94A29E}" type="pres">
      <dgm:prSet presAssocID="{0A54F818-07FB-471B-88F0-7ECEBA91383A}" presName="rootText" presStyleLbl="node2" presStyleIdx="1" presStyleCnt="2" custScaleX="140705" custScaleY="81886">
        <dgm:presLayoutVars>
          <dgm:chPref val="3"/>
        </dgm:presLayoutVars>
      </dgm:prSet>
      <dgm:spPr/>
    </dgm:pt>
    <dgm:pt modelId="{2F245182-8430-41C6-A324-DA34620C5DF0}" type="pres">
      <dgm:prSet presAssocID="{0A54F818-07FB-471B-88F0-7ECEBA91383A}" presName="rootConnector" presStyleLbl="node2" presStyleIdx="1" presStyleCnt="2"/>
      <dgm:spPr/>
    </dgm:pt>
    <dgm:pt modelId="{657A30C7-8CED-471B-A04D-35E6F4BD0B53}" type="pres">
      <dgm:prSet presAssocID="{0A54F818-07FB-471B-88F0-7ECEBA91383A}" presName="hierChild4" presStyleCnt="0"/>
      <dgm:spPr/>
    </dgm:pt>
    <dgm:pt modelId="{F195F50D-EBF3-4876-BE2F-44B98989A4D4}" type="pres">
      <dgm:prSet presAssocID="{0A54F818-07FB-471B-88F0-7ECEBA91383A}" presName="hierChild5" presStyleCnt="0"/>
      <dgm:spPr/>
    </dgm:pt>
    <dgm:pt modelId="{E7F28652-E526-4EBD-AD2F-2E62B6376859}" type="pres">
      <dgm:prSet presAssocID="{62505C34-F608-495E-81DC-460F0B1E5937}" presName="hierChild3" presStyleCnt="0"/>
      <dgm:spPr/>
    </dgm:pt>
  </dgm:ptLst>
  <dgm:cxnLst>
    <dgm:cxn modelId="{36D58A0F-F1C2-46EF-9948-C653A037EB0E}" srcId="{62505C34-F608-495E-81DC-460F0B1E5937}" destId="{0A54F818-07FB-471B-88F0-7ECEBA91383A}" srcOrd="1" destOrd="0" parTransId="{3F88875E-092C-4629-AF8C-1FBB9209A08C}" sibTransId="{4226A5B8-8135-40FD-B1B4-CE9449524659}"/>
    <dgm:cxn modelId="{0FBB501B-647B-450F-9EDC-2F4F8C8CDD04}" type="presOf" srcId="{7379FD40-D055-402A-A140-EEDB7958E169}" destId="{1277409A-2C39-46B3-9461-9E7DE2A1D87E}" srcOrd="0" destOrd="0" presId="urn:microsoft.com/office/officeart/2005/8/layout/orgChart1"/>
    <dgm:cxn modelId="{CB62213D-800C-4813-8B1A-98B60E82F8CC}" type="presOf" srcId="{05E48D3C-092D-4D24-A543-BC493BA72A15}" destId="{97BE5F21-B265-417E-A9BB-F9216D2E86CA}" srcOrd="0" destOrd="0" presId="urn:microsoft.com/office/officeart/2005/8/layout/orgChart1"/>
    <dgm:cxn modelId="{92A1C46A-333F-4B87-8A55-29D5ED32F26D}" type="presOf" srcId="{65C2AFCB-2FE5-4B5C-987E-8C78D4591E88}" destId="{C2ABF754-3874-4140-8DFE-66C6DD97A62A}" srcOrd="0" destOrd="0" presId="urn:microsoft.com/office/officeart/2005/8/layout/orgChart1"/>
    <dgm:cxn modelId="{EBBE826B-62DA-4818-B0AD-B910ECD093EE}" srcId="{05E48D3C-092D-4D24-A543-BC493BA72A15}" destId="{62505C34-F608-495E-81DC-460F0B1E5937}" srcOrd="0" destOrd="0" parTransId="{D97979FE-C393-43A9-8C34-CE0262F7FEAE}" sibTransId="{3FA3A13A-5DDE-467A-BB89-79D773F7FE36}"/>
    <dgm:cxn modelId="{A076D873-2E4C-4B7D-8D6E-91756F4CCC68}" type="presOf" srcId="{62505C34-F608-495E-81DC-460F0B1E5937}" destId="{53456C53-27DB-47F5-BDCB-99D2CA420491}" srcOrd="1" destOrd="0" presId="urn:microsoft.com/office/officeart/2005/8/layout/orgChart1"/>
    <dgm:cxn modelId="{9385EF56-5F63-4D91-B2F6-165AF13E674C}" type="presOf" srcId="{0A54F818-07FB-471B-88F0-7ECEBA91383A}" destId="{58376DD6-746F-4EA7-9485-9C50BB94A29E}" srcOrd="0" destOrd="0" presId="urn:microsoft.com/office/officeart/2005/8/layout/orgChart1"/>
    <dgm:cxn modelId="{6519777E-6FFB-4863-8B91-1BD7ACE7D63F}" type="presOf" srcId="{0A54F818-07FB-471B-88F0-7ECEBA91383A}" destId="{2F245182-8430-41C6-A324-DA34620C5DF0}" srcOrd="1" destOrd="0" presId="urn:microsoft.com/office/officeart/2005/8/layout/orgChart1"/>
    <dgm:cxn modelId="{2B0F5681-2F65-431B-925E-9F856412CD87}" type="presOf" srcId="{7379FD40-D055-402A-A140-EEDB7958E169}" destId="{56557B19-692B-4854-9EDF-C8FD18DF85DB}" srcOrd="1" destOrd="0" presId="urn:microsoft.com/office/officeart/2005/8/layout/orgChart1"/>
    <dgm:cxn modelId="{EC31819C-CAA1-456E-8B9C-1CA41A807177}" type="presOf" srcId="{3F88875E-092C-4629-AF8C-1FBB9209A08C}" destId="{1F928F8A-2AB7-4C57-BE0A-00087857335B}" srcOrd="0" destOrd="0" presId="urn:microsoft.com/office/officeart/2005/8/layout/orgChart1"/>
    <dgm:cxn modelId="{190BEEE3-A861-4857-91A3-113387BADFB1}" srcId="{62505C34-F608-495E-81DC-460F0B1E5937}" destId="{7379FD40-D055-402A-A140-EEDB7958E169}" srcOrd="0" destOrd="0" parTransId="{65C2AFCB-2FE5-4B5C-987E-8C78D4591E88}" sibTransId="{88C7223E-1DC1-4AAE-B1D1-A4B2151CBB0C}"/>
    <dgm:cxn modelId="{1F745AF1-CB2A-4151-A5BF-996099EEE877}" type="presOf" srcId="{62505C34-F608-495E-81DC-460F0B1E5937}" destId="{2F617E18-08E0-495E-A084-6281209FB90B}" srcOrd="0" destOrd="0" presId="urn:microsoft.com/office/officeart/2005/8/layout/orgChart1"/>
    <dgm:cxn modelId="{5C0C195D-AA99-4F90-9349-F3756DBA77F2}" type="presParOf" srcId="{97BE5F21-B265-417E-A9BB-F9216D2E86CA}" destId="{0079C98C-C4D0-48AB-9565-75B9434C10E0}" srcOrd="0" destOrd="0" presId="urn:microsoft.com/office/officeart/2005/8/layout/orgChart1"/>
    <dgm:cxn modelId="{521FE862-5AB4-411A-B44E-4FBF2498D841}" type="presParOf" srcId="{0079C98C-C4D0-48AB-9565-75B9434C10E0}" destId="{A6AF92E6-17BC-4C0D-9810-4C3483514279}" srcOrd="0" destOrd="0" presId="urn:microsoft.com/office/officeart/2005/8/layout/orgChart1"/>
    <dgm:cxn modelId="{003293FA-F49C-4ED6-8176-913284639307}" type="presParOf" srcId="{A6AF92E6-17BC-4C0D-9810-4C3483514279}" destId="{2F617E18-08E0-495E-A084-6281209FB90B}" srcOrd="0" destOrd="0" presId="urn:microsoft.com/office/officeart/2005/8/layout/orgChart1"/>
    <dgm:cxn modelId="{08E6F3AB-271C-4821-81BE-857DC5E9E7F7}" type="presParOf" srcId="{A6AF92E6-17BC-4C0D-9810-4C3483514279}" destId="{53456C53-27DB-47F5-BDCB-99D2CA420491}" srcOrd="1" destOrd="0" presId="urn:microsoft.com/office/officeart/2005/8/layout/orgChart1"/>
    <dgm:cxn modelId="{40D04A22-AE61-4F71-9903-686B10DDD551}" type="presParOf" srcId="{0079C98C-C4D0-48AB-9565-75B9434C10E0}" destId="{6ED86DA3-1E97-4505-8755-410E48B3CD70}" srcOrd="1" destOrd="0" presId="urn:microsoft.com/office/officeart/2005/8/layout/orgChart1"/>
    <dgm:cxn modelId="{B582BD8F-3201-4D74-A2B4-565F05C8CFCA}" type="presParOf" srcId="{6ED86DA3-1E97-4505-8755-410E48B3CD70}" destId="{C2ABF754-3874-4140-8DFE-66C6DD97A62A}" srcOrd="0" destOrd="0" presId="urn:microsoft.com/office/officeart/2005/8/layout/orgChart1"/>
    <dgm:cxn modelId="{9DD87EC4-8A2E-4FFC-B414-DD9E89C41A6C}" type="presParOf" srcId="{6ED86DA3-1E97-4505-8755-410E48B3CD70}" destId="{FA1F83DE-7960-44D9-913F-D94D189D5EA5}" srcOrd="1" destOrd="0" presId="urn:microsoft.com/office/officeart/2005/8/layout/orgChart1"/>
    <dgm:cxn modelId="{C0542A58-F8A6-43A7-B466-6CA231DCC566}" type="presParOf" srcId="{FA1F83DE-7960-44D9-913F-D94D189D5EA5}" destId="{B3D6E8D6-9058-457B-BC96-C2424C163CC0}" srcOrd="0" destOrd="0" presId="urn:microsoft.com/office/officeart/2005/8/layout/orgChart1"/>
    <dgm:cxn modelId="{3F616F18-AE9C-4C3C-B711-DA0A7DE8405E}" type="presParOf" srcId="{B3D6E8D6-9058-457B-BC96-C2424C163CC0}" destId="{1277409A-2C39-46B3-9461-9E7DE2A1D87E}" srcOrd="0" destOrd="0" presId="urn:microsoft.com/office/officeart/2005/8/layout/orgChart1"/>
    <dgm:cxn modelId="{7B2FA708-20AA-4800-B00F-58756F08E9BE}" type="presParOf" srcId="{B3D6E8D6-9058-457B-BC96-C2424C163CC0}" destId="{56557B19-692B-4854-9EDF-C8FD18DF85DB}" srcOrd="1" destOrd="0" presId="urn:microsoft.com/office/officeart/2005/8/layout/orgChart1"/>
    <dgm:cxn modelId="{AC6B278C-5B7A-4BE8-A3FF-66C80932CA77}" type="presParOf" srcId="{FA1F83DE-7960-44D9-913F-D94D189D5EA5}" destId="{30C9C07D-8669-47D5-9ABF-F937B7C114DA}" srcOrd="1" destOrd="0" presId="urn:microsoft.com/office/officeart/2005/8/layout/orgChart1"/>
    <dgm:cxn modelId="{1E4080D5-CED6-41F5-B8FC-1DAC3AD6DC64}" type="presParOf" srcId="{FA1F83DE-7960-44D9-913F-D94D189D5EA5}" destId="{EA4D6A05-80BF-48B4-8172-2452D97B6D8E}" srcOrd="2" destOrd="0" presId="urn:microsoft.com/office/officeart/2005/8/layout/orgChart1"/>
    <dgm:cxn modelId="{AA9B7045-E429-47E8-9EC9-EA809761A5C4}" type="presParOf" srcId="{6ED86DA3-1E97-4505-8755-410E48B3CD70}" destId="{1F928F8A-2AB7-4C57-BE0A-00087857335B}" srcOrd="2" destOrd="0" presId="urn:microsoft.com/office/officeart/2005/8/layout/orgChart1"/>
    <dgm:cxn modelId="{7A239D24-9780-4CAC-A419-9DA7BEFDA790}" type="presParOf" srcId="{6ED86DA3-1E97-4505-8755-410E48B3CD70}" destId="{D2D0852C-5B49-4721-A118-2CD950DB167B}" srcOrd="3" destOrd="0" presId="urn:microsoft.com/office/officeart/2005/8/layout/orgChart1"/>
    <dgm:cxn modelId="{F558BC90-A8C0-4F8C-B431-9F74F047A60F}" type="presParOf" srcId="{D2D0852C-5B49-4721-A118-2CD950DB167B}" destId="{E834D834-8440-46A0-A4C8-11652816B9E6}" srcOrd="0" destOrd="0" presId="urn:microsoft.com/office/officeart/2005/8/layout/orgChart1"/>
    <dgm:cxn modelId="{27794A3C-E1D1-4348-924B-8F0134B7AC7C}" type="presParOf" srcId="{E834D834-8440-46A0-A4C8-11652816B9E6}" destId="{58376DD6-746F-4EA7-9485-9C50BB94A29E}" srcOrd="0" destOrd="0" presId="urn:microsoft.com/office/officeart/2005/8/layout/orgChart1"/>
    <dgm:cxn modelId="{9A9886BE-BF3F-4FD8-88AD-7374CE65C53E}" type="presParOf" srcId="{E834D834-8440-46A0-A4C8-11652816B9E6}" destId="{2F245182-8430-41C6-A324-DA34620C5DF0}" srcOrd="1" destOrd="0" presId="urn:microsoft.com/office/officeart/2005/8/layout/orgChart1"/>
    <dgm:cxn modelId="{6C69F436-C3E2-4A09-8391-90B70780A63D}" type="presParOf" srcId="{D2D0852C-5B49-4721-A118-2CD950DB167B}" destId="{657A30C7-8CED-471B-A04D-35E6F4BD0B53}" srcOrd="1" destOrd="0" presId="urn:microsoft.com/office/officeart/2005/8/layout/orgChart1"/>
    <dgm:cxn modelId="{9E85A839-35E2-4EA0-94B3-60BBF6A2FC96}" type="presParOf" srcId="{D2D0852C-5B49-4721-A118-2CD950DB167B}" destId="{F195F50D-EBF3-4876-BE2F-44B98989A4D4}" srcOrd="2" destOrd="0" presId="urn:microsoft.com/office/officeart/2005/8/layout/orgChart1"/>
    <dgm:cxn modelId="{83F13374-0879-4079-829E-10CDAC7E22E2}" type="presParOf" srcId="{0079C98C-C4D0-48AB-9565-75B9434C10E0}" destId="{E7F28652-E526-4EBD-AD2F-2E62B63768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28F8A-2AB7-4C57-BE0A-00087857335B}">
      <dsp:nvSpPr>
        <dsp:cNvPr id="0" name=""/>
        <dsp:cNvSpPr/>
      </dsp:nvSpPr>
      <dsp:spPr>
        <a:xfrm>
          <a:off x="2701566" y="526403"/>
          <a:ext cx="1904575" cy="331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517"/>
              </a:lnTo>
              <a:lnTo>
                <a:pt x="1904575" y="165517"/>
              </a:lnTo>
              <a:lnTo>
                <a:pt x="1904575" y="3310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3525C-4653-4C2A-9C78-651E2D14D0E3}">
      <dsp:nvSpPr>
        <dsp:cNvPr id="0" name=""/>
        <dsp:cNvSpPr/>
      </dsp:nvSpPr>
      <dsp:spPr>
        <a:xfrm>
          <a:off x="2653030" y="526403"/>
          <a:ext cx="91440" cy="331035"/>
        </a:xfrm>
        <a:custGeom>
          <a:avLst/>
          <a:gdLst/>
          <a:ahLst/>
          <a:cxnLst/>
          <a:rect l="0" t="0" r="0" b="0"/>
          <a:pathLst>
            <a:path>
              <a:moveTo>
                <a:pt x="48536" y="0"/>
              </a:moveTo>
              <a:lnTo>
                <a:pt x="48536" y="165517"/>
              </a:lnTo>
              <a:lnTo>
                <a:pt x="45720" y="165517"/>
              </a:lnTo>
              <a:lnTo>
                <a:pt x="45720" y="3310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BF754-3874-4140-8DFE-66C6DD97A62A}">
      <dsp:nvSpPr>
        <dsp:cNvPr id="0" name=""/>
        <dsp:cNvSpPr/>
      </dsp:nvSpPr>
      <dsp:spPr>
        <a:xfrm>
          <a:off x="791357" y="526403"/>
          <a:ext cx="1910208" cy="331035"/>
        </a:xfrm>
        <a:custGeom>
          <a:avLst/>
          <a:gdLst/>
          <a:ahLst/>
          <a:cxnLst/>
          <a:rect l="0" t="0" r="0" b="0"/>
          <a:pathLst>
            <a:path>
              <a:moveTo>
                <a:pt x="1910208" y="0"/>
              </a:moveTo>
              <a:lnTo>
                <a:pt x="1910208" y="165517"/>
              </a:lnTo>
              <a:lnTo>
                <a:pt x="0" y="165517"/>
              </a:lnTo>
              <a:lnTo>
                <a:pt x="0" y="3310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7E18-08E0-495E-A084-6281209FB90B}">
      <dsp:nvSpPr>
        <dsp:cNvPr id="0" name=""/>
        <dsp:cNvSpPr/>
      </dsp:nvSpPr>
      <dsp:spPr>
        <a:xfrm>
          <a:off x="5633" y="92503"/>
          <a:ext cx="5391866" cy="433900"/>
        </a:xfrm>
        <a:prstGeom prst="rect">
          <a:avLst/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89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/>
            <a:t>Hlavní cíle transformace systému péče o ohrožené děti</a:t>
          </a:r>
          <a:endParaRPr lang="cs-CZ" sz="1400" kern="1200"/>
        </a:p>
      </dsp:txBody>
      <dsp:txXfrm>
        <a:off x="5633" y="92503"/>
        <a:ext cx="5391866" cy="433900"/>
      </dsp:txXfrm>
    </dsp:sp>
    <dsp:sp modelId="{1277409A-2C39-46B3-9461-9E7DE2A1D87E}">
      <dsp:nvSpPr>
        <dsp:cNvPr id="0" name=""/>
        <dsp:cNvSpPr/>
      </dsp:nvSpPr>
      <dsp:spPr>
        <a:xfrm>
          <a:off x="3179" y="857438"/>
          <a:ext cx="1576357" cy="481348"/>
        </a:xfrm>
        <a:prstGeom prst="rect">
          <a:avLst/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Zvýšení kvality péče,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zavedení standardů</a:t>
          </a:r>
        </a:p>
      </dsp:txBody>
      <dsp:txXfrm>
        <a:off x="3179" y="857438"/>
        <a:ext cx="1576357" cy="481348"/>
      </dsp:txXfrm>
    </dsp:sp>
    <dsp:sp modelId="{3EA70F68-2D8A-4CF4-BC2C-E27BEC5BA3AD}">
      <dsp:nvSpPr>
        <dsp:cNvPr id="0" name=""/>
        <dsp:cNvSpPr/>
      </dsp:nvSpPr>
      <dsp:spPr>
        <a:xfrm>
          <a:off x="1910571" y="857438"/>
          <a:ext cx="1576357" cy="477841"/>
        </a:xfrm>
        <a:prstGeom prst="rect">
          <a:avLst/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Snížení počtu dětí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 v ústavní péči</a:t>
          </a:r>
        </a:p>
      </dsp:txBody>
      <dsp:txXfrm>
        <a:off x="1910571" y="857438"/>
        <a:ext cx="1576357" cy="477841"/>
      </dsp:txXfrm>
    </dsp:sp>
    <dsp:sp modelId="{58376DD6-746F-4EA7-9485-9C50BB94A29E}">
      <dsp:nvSpPr>
        <dsp:cNvPr id="0" name=""/>
        <dsp:cNvSpPr/>
      </dsp:nvSpPr>
      <dsp:spPr>
        <a:xfrm>
          <a:off x="3817963" y="857438"/>
          <a:ext cx="1576357" cy="478392"/>
        </a:xfrm>
        <a:prstGeom prst="rect">
          <a:avLst/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Sjednocení postupu pracovníků</a:t>
          </a:r>
        </a:p>
      </dsp:txBody>
      <dsp:txXfrm>
        <a:off x="3817963" y="857438"/>
        <a:ext cx="1576357" cy="4783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28F8A-2AB7-4C57-BE0A-00087857335B}">
      <dsp:nvSpPr>
        <dsp:cNvPr id="0" name=""/>
        <dsp:cNvSpPr/>
      </dsp:nvSpPr>
      <dsp:spPr>
        <a:xfrm>
          <a:off x="2706251" y="669704"/>
          <a:ext cx="1300663" cy="331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811"/>
              </a:lnTo>
              <a:lnTo>
                <a:pt x="1300663" y="160811"/>
              </a:lnTo>
              <a:lnTo>
                <a:pt x="1300663" y="3314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BF754-3874-4140-8DFE-66C6DD97A62A}">
      <dsp:nvSpPr>
        <dsp:cNvPr id="0" name=""/>
        <dsp:cNvSpPr/>
      </dsp:nvSpPr>
      <dsp:spPr>
        <a:xfrm>
          <a:off x="1389383" y="669704"/>
          <a:ext cx="1316868" cy="331472"/>
        </a:xfrm>
        <a:custGeom>
          <a:avLst/>
          <a:gdLst/>
          <a:ahLst/>
          <a:cxnLst/>
          <a:rect l="0" t="0" r="0" b="0"/>
          <a:pathLst>
            <a:path>
              <a:moveTo>
                <a:pt x="1316868" y="0"/>
              </a:moveTo>
              <a:lnTo>
                <a:pt x="1316868" y="160811"/>
              </a:lnTo>
              <a:lnTo>
                <a:pt x="0" y="160811"/>
              </a:lnTo>
              <a:lnTo>
                <a:pt x="0" y="3314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7E18-08E0-495E-A084-6281209FB90B}">
      <dsp:nvSpPr>
        <dsp:cNvPr id="0" name=""/>
        <dsp:cNvSpPr/>
      </dsp:nvSpPr>
      <dsp:spPr>
        <a:xfrm>
          <a:off x="5478" y="121208"/>
          <a:ext cx="5401546" cy="548495"/>
        </a:xfrm>
        <a:prstGeom prst="rect">
          <a:avLst/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8000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/>
            <a:t>MPSV od roku 2012 poskytlo na transformaci péče o ohrožené děti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b="1" kern="1200"/>
            <a:t>701 mil. Kč </a:t>
          </a:r>
          <a:endParaRPr lang="cs-CZ" sz="1600" kern="1200"/>
        </a:p>
      </dsp:txBody>
      <dsp:txXfrm>
        <a:off x="5478" y="121208"/>
        <a:ext cx="5401546" cy="548495"/>
      </dsp:txXfrm>
    </dsp:sp>
    <dsp:sp modelId="{1277409A-2C39-46B3-9461-9E7DE2A1D87E}">
      <dsp:nvSpPr>
        <dsp:cNvPr id="0" name=""/>
        <dsp:cNvSpPr/>
      </dsp:nvSpPr>
      <dsp:spPr>
        <a:xfrm>
          <a:off x="256641" y="1001177"/>
          <a:ext cx="2265482" cy="656134"/>
        </a:xfrm>
        <a:prstGeom prst="rect">
          <a:avLst/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8000" rIns="0" bIns="0" numCol="1" spcCol="1270" anchor="t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600" b="1" kern="1200"/>
            <a:t>498,4 mil. Kč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(projekty MPSV)</a:t>
          </a:r>
        </a:p>
      </dsp:txBody>
      <dsp:txXfrm>
        <a:off x="256641" y="1001177"/>
        <a:ext cx="2265482" cy="656134"/>
      </dsp:txXfrm>
    </dsp:sp>
    <dsp:sp modelId="{58376DD6-746F-4EA7-9485-9C50BB94A29E}">
      <dsp:nvSpPr>
        <dsp:cNvPr id="0" name=""/>
        <dsp:cNvSpPr/>
      </dsp:nvSpPr>
      <dsp:spPr>
        <a:xfrm>
          <a:off x="2863446" y="1001177"/>
          <a:ext cx="2286937" cy="665463"/>
        </a:xfrm>
        <a:prstGeom prst="rect">
          <a:avLst/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8000" rIns="0" bIns="0" numCol="1" spcCol="1270" anchor="t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600" b="1" kern="1200"/>
            <a:t>202,9 mil. Kč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(projekty subjektů pracujících </a:t>
          </a:r>
          <a:br>
            <a:rPr lang="cs-CZ" sz="1200" kern="1200"/>
          </a:br>
          <a:r>
            <a:rPr lang="cs-CZ" sz="1200" kern="1200"/>
            <a:t>s ohroženými dětmi)</a:t>
          </a:r>
        </a:p>
      </dsp:txBody>
      <dsp:txXfrm>
        <a:off x="2863446" y="1001177"/>
        <a:ext cx="2286937" cy="6654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4F126B9BC1945847FF23AD9D590E7" ma:contentTypeVersion="3" ma:contentTypeDescription="Vytvoří nový dokument" ma:contentTypeScope="" ma:versionID="4391a32ef70f4b4abc6fcdb5374d0adc">
  <xsd:schema xmlns:xsd="http://www.w3.org/2001/XMLSchema" xmlns:xs="http://www.w3.org/2001/XMLSchema" xmlns:p="http://schemas.microsoft.com/office/2006/metadata/properties" xmlns:ns1="http://schemas.microsoft.com/sharepoint/v3" xmlns:ns2="9eeab770-9510-4eae-ae8d-95822cb4d0b0" targetNamespace="http://schemas.microsoft.com/office/2006/metadata/properties" ma:root="true" ma:fieldsID="1d7b745de89f53d56b63a501afa2af56" ns1:_="" ns2:_="">
    <xsd:import namespace="http://schemas.microsoft.com/sharepoint/v3"/>
    <xsd:import namespace="9eeab770-9510-4eae-ae8d-95822cb4d0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b770-9510-4eae-ae8d-95822cb4d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6F96-D393-46B6-BC1B-91605212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ab770-9510-4eae-ae8d-95822cb4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47B2A-49A1-461E-B275-0D7F74FD42FC}">
  <ds:schemaRefs>
    <ds:schemaRef ds:uri="9eeab770-9510-4eae-ae8d-95822cb4d0b0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8A5C8B-27D0-4943-BB99-93B04ABF0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62403-CA49-414C-A959-0E3C7753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9156</Words>
  <Characters>54026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23/11 - Peněžní prostředky státu a Evropské unie určené na systém péče o ohrožené děti a jeho transformaci</vt:lpstr>
    </vt:vector>
  </TitlesOfParts>
  <Company>NKÚ</Company>
  <LinksUpToDate>false</LinksUpToDate>
  <CharactersWithSpaces>63056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23/11 - Peněžní prostředky státu a Evropské unie určené na systém péče o ohrožené děti a jeho transformaci</dc:title>
  <dc:subject>Kontrolní závěr z kontrolní akce NKÚ č. 23/11 - Peněžní prostředky státu a Evropské unie určené na systém péče o ohrožené děti a jeho transformaci</dc:subject>
  <dc:creator>Nejvyšší kontrolní úřad</dc:creator>
  <cp:keywords>kontrolní závěr; ohrožené děti</cp:keywords>
  <dc:description/>
  <cp:lastModifiedBy>KOKRDA Daniel</cp:lastModifiedBy>
  <cp:revision>4</cp:revision>
  <cp:lastPrinted>2024-12-09T06:27:00Z</cp:lastPrinted>
  <dcterms:created xsi:type="dcterms:W3CDTF">2024-12-09T06:22:00Z</dcterms:created>
  <dcterms:modified xsi:type="dcterms:W3CDTF">2024-12-09T06:29:00Z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0x010100BB84F126B9BC1945847FF23AD9D590E7</vt:lpwstr>
  </property>
</Properties>
</file>