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E8834" w14:textId="459E3F2C" w:rsidR="00ED2E71" w:rsidRDefault="00012276" w:rsidP="00ED2E71">
      <w:pPr>
        <w:jc w:val="center"/>
      </w:pPr>
      <w:r w:rsidRPr="007E7455">
        <w:rPr>
          <w:noProof/>
          <w:lang w:eastAsia="cs-CZ"/>
        </w:rPr>
        <w:drawing>
          <wp:anchor distT="0" distB="0" distL="114300" distR="114300" simplePos="0" relativeHeight="251688960" behindDoc="0" locked="0" layoutInCell="1" allowOverlap="1" wp14:anchorId="62EA4D8E" wp14:editId="6B1C4E01">
            <wp:simplePos x="0" y="0"/>
            <wp:positionH relativeFrom="margin">
              <wp:align>center</wp:align>
            </wp:positionH>
            <wp:positionV relativeFrom="paragraph">
              <wp:posOffset>50</wp:posOffset>
            </wp:positionV>
            <wp:extent cx="702310" cy="539750"/>
            <wp:effectExtent l="0" t="0" r="2540" b="0"/>
            <wp:wrapTopAndBottom/>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2310" cy="539750"/>
                    </a:xfrm>
                    <a:prstGeom prst="rect">
                      <a:avLst/>
                    </a:prstGeom>
                    <a:noFill/>
                  </pic:spPr>
                </pic:pic>
              </a:graphicData>
            </a:graphic>
            <wp14:sizeRelH relativeFrom="page">
              <wp14:pctWidth>0</wp14:pctWidth>
            </wp14:sizeRelH>
            <wp14:sizeRelV relativeFrom="page">
              <wp14:pctHeight>0</wp14:pctHeight>
            </wp14:sizeRelV>
          </wp:anchor>
        </w:drawing>
      </w:r>
    </w:p>
    <w:p w14:paraId="2C7C1BA4" w14:textId="77777777" w:rsidR="00ED2E71" w:rsidRDefault="00ED2E71" w:rsidP="00ED2E71">
      <w:pPr>
        <w:jc w:val="center"/>
      </w:pPr>
    </w:p>
    <w:p w14:paraId="303D39DF" w14:textId="77777777" w:rsidR="00ED2E71" w:rsidRPr="00C3396A" w:rsidRDefault="00ED2E71" w:rsidP="00ED2E71">
      <w:pPr>
        <w:jc w:val="center"/>
      </w:pPr>
    </w:p>
    <w:p w14:paraId="37E1EAF1" w14:textId="77777777" w:rsidR="00ED2E71" w:rsidRPr="00C3396A" w:rsidRDefault="000A5F6C" w:rsidP="00ED2E71">
      <w:pPr>
        <w:jc w:val="center"/>
        <w:outlineLvl w:val="0"/>
        <w:rPr>
          <w:b/>
          <w:sz w:val="28"/>
          <w:szCs w:val="28"/>
        </w:rPr>
      </w:pPr>
      <w:r w:rsidRPr="00C3396A">
        <w:rPr>
          <w:b/>
          <w:sz w:val="28"/>
          <w:szCs w:val="28"/>
        </w:rPr>
        <w:t>Kontrolní závěr z kontrolní akce</w:t>
      </w:r>
    </w:p>
    <w:p w14:paraId="70FEEB9A" w14:textId="77777777" w:rsidR="00ED2E71" w:rsidRPr="008F74E8" w:rsidRDefault="00ED2E71" w:rsidP="00ED2E71">
      <w:pPr>
        <w:jc w:val="center"/>
      </w:pPr>
    </w:p>
    <w:p w14:paraId="7EA15ACB" w14:textId="56FABA29" w:rsidR="00ED2E71" w:rsidRDefault="000A5F6C" w:rsidP="00ED2E71">
      <w:pPr>
        <w:jc w:val="center"/>
        <w:rPr>
          <w:b/>
          <w:sz w:val="28"/>
          <w:szCs w:val="28"/>
        </w:rPr>
      </w:pPr>
      <w:r>
        <w:rPr>
          <w:b/>
          <w:sz w:val="28"/>
          <w:szCs w:val="28"/>
        </w:rPr>
        <w:t>2</w:t>
      </w:r>
      <w:r w:rsidR="00DA662C">
        <w:rPr>
          <w:b/>
          <w:sz w:val="28"/>
          <w:szCs w:val="28"/>
        </w:rPr>
        <w:t>3</w:t>
      </w:r>
      <w:r w:rsidRPr="00C3396A">
        <w:rPr>
          <w:b/>
          <w:sz w:val="28"/>
          <w:szCs w:val="28"/>
        </w:rPr>
        <w:t>/</w:t>
      </w:r>
      <w:r>
        <w:rPr>
          <w:b/>
          <w:sz w:val="28"/>
          <w:szCs w:val="28"/>
        </w:rPr>
        <w:t>0</w:t>
      </w:r>
      <w:r w:rsidR="00DA662C">
        <w:rPr>
          <w:b/>
          <w:sz w:val="28"/>
          <w:szCs w:val="28"/>
        </w:rPr>
        <w:t>7</w:t>
      </w:r>
    </w:p>
    <w:p w14:paraId="0F2514A9" w14:textId="77777777" w:rsidR="00ED2E71" w:rsidRDefault="00ED2E71" w:rsidP="00ED2E71">
      <w:pPr>
        <w:jc w:val="center"/>
      </w:pPr>
    </w:p>
    <w:p w14:paraId="1F2FA6C0" w14:textId="7F9DABF7" w:rsidR="00DA662C" w:rsidRPr="00DA662C" w:rsidRDefault="00DA662C" w:rsidP="007A5A4C">
      <w:pPr>
        <w:spacing w:after="240"/>
        <w:rPr>
          <w:b/>
          <w:sz w:val="28"/>
          <w:szCs w:val="28"/>
        </w:rPr>
      </w:pPr>
      <w:bookmarkStart w:id="0" w:name="_Hlk158721142"/>
      <w:r w:rsidRPr="00DA662C">
        <w:rPr>
          <w:b/>
          <w:sz w:val="28"/>
          <w:szCs w:val="28"/>
        </w:rPr>
        <w:t>Peněžní</w:t>
      </w:r>
      <w:r>
        <w:rPr>
          <w:b/>
          <w:sz w:val="28"/>
          <w:szCs w:val="28"/>
        </w:rPr>
        <w:t xml:space="preserve"> </w:t>
      </w:r>
      <w:r w:rsidRPr="00DA662C">
        <w:rPr>
          <w:b/>
          <w:sz w:val="28"/>
          <w:szCs w:val="28"/>
        </w:rPr>
        <w:t>prostředky státu a Evropské unie určené na zlepšování kvality ovzduší</w:t>
      </w:r>
    </w:p>
    <w:bookmarkEnd w:id="0"/>
    <w:p w14:paraId="39F28588" w14:textId="67ED540C" w:rsidR="00ED2E71" w:rsidRPr="00321AB1" w:rsidRDefault="000A5F6C" w:rsidP="00ED2E71">
      <w:pPr>
        <w:pStyle w:val="Text"/>
        <w:spacing w:after="120" w:line="264" w:lineRule="auto"/>
      </w:pPr>
      <w:r w:rsidRPr="00321AB1">
        <w:t>Kontrolní akce byla zařazena do plánu kontrolní činnosti Nejvyš</w:t>
      </w:r>
      <w:r>
        <w:t>šího kontrolního úřadu (dále také</w:t>
      </w:r>
      <w:r w:rsidRPr="00321AB1">
        <w:t xml:space="preserve"> „NKÚ“) na rok 20</w:t>
      </w:r>
      <w:r>
        <w:t>2</w:t>
      </w:r>
      <w:r w:rsidR="00DA662C">
        <w:t>3</w:t>
      </w:r>
      <w:r w:rsidRPr="00321AB1">
        <w:t xml:space="preserve"> pod číslem </w:t>
      </w:r>
      <w:r>
        <w:t>2</w:t>
      </w:r>
      <w:r w:rsidR="00DA662C">
        <w:t>3</w:t>
      </w:r>
      <w:r w:rsidRPr="00321AB1">
        <w:t>/</w:t>
      </w:r>
      <w:r>
        <w:t>0</w:t>
      </w:r>
      <w:r w:rsidR="00DA662C">
        <w:t>7</w:t>
      </w:r>
      <w:r w:rsidRPr="00321AB1">
        <w:t xml:space="preserve">. </w:t>
      </w:r>
      <w:bookmarkStart w:id="1" w:name="_Hlk158721201"/>
      <w:r w:rsidRPr="00321AB1">
        <w:t xml:space="preserve">Kontrolní akci řídil a kontrolní závěr vypracoval člen NKÚ RNDr. Petr </w:t>
      </w:r>
      <w:proofErr w:type="spellStart"/>
      <w:r w:rsidRPr="00321AB1">
        <w:t>Neuvirt</w:t>
      </w:r>
      <w:bookmarkEnd w:id="1"/>
      <w:proofErr w:type="spellEnd"/>
      <w:r w:rsidRPr="00321AB1">
        <w:t>.</w:t>
      </w:r>
    </w:p>
    <w:p w14:paraId="27F991F1" w14:textId="32672046" w:rsidR="00ED2E71" w:rsidRDefault="000A5F6C" w:rsidP="00ED2E71">
      <w:pPr>
        <w:pStyle w:val="Text"/>
        <w:spacing w:before="240" w:after="120" w:line="264" w:lineRule="auto"/>
      </w:pPr>
      <w:r w:rsidRPr="00321AB1">
        <w:t>Cílem kontroly bylo</w:t>
      </w:r>
      <w:r w:rsidRPr="009C5669">
        <w:t xml:space="preserve"> </w:t>
      </w:r>
      <w:r>
        <w:t>p</w:t>
      </w:r>
      <w:r w:rsidRPr="009C5669">
        <w:t>rověřit</w:t>
      </w:r>
      <w:r w:rsidRPr="00193A3C">
        <w:t xml:space="preserve">, </w:t>
      </w:r>
      <w:bookmarkStart w:id="2" w:name="_Hlk124949755"/>
      <w:r w:rsidR="00DA662C" w:rsidRPr="00DA662C">
        <w:t>zda peněžní prostředky státu a Evropské unie určené na realizaci cílů projektů zaměřených na zlepšování kvality ovzduší byly vynakládány účelně a v souladu s</w:t>
      </w:r>
      <w:r w:rsidR="00DA662C">
        <w:t> </w:t>
      </w:r>
      <w:r w:rsidR="00DA662C" w:rsidRPr="00DA662C">
        <w:t>právními předpisy.</w:t>
      </w:r>
    </w:p>
    <w:p w14:paraId="2C6094BB" w14:textId="2E6E34D6" w:rsidR="00ED2E71" w:rsidRPr="00321AB1" w:rsidRDefault="000A5F6C" w:rsidP="00ED2E71">
      <w:pPr>
        <w:pStyle w:val="Text"/>
        <w:spacing w:before="240" w:after="120" w:line="264" w:lineRule="auto"/>
      </w:pPr>
      <w:bookmarkStart w:id="3" w:name="_Hlk158721484"/>
      <w:bookmarkEnd w:id="2"/>
      <w:r w:rsidRPr="00321AB1">
        <w:t xml:space="preserve">Kontrola byla prováděna u kontrolovaných osob v období od </w:t>
      </w:r>
      <w:r w:rsidR="00557A67">
        <w:t>dub</w:t>
      </w:r>
      <w:r>
        <w:t>na</w:t>
      </w:r>
      <w:r w:rsidRPr="00321AB1">
        <w:t xml:space="preserve"> 20</w:t>
      </w:r>
      <w:r>
        <w:t>2</w:t>
      </w:r>
      <w:r w:rsidR="00DA662C">
        <w:t>3</w:t>
      </w:r>
      <w:r w:rsidRPr="00321AB1">
        <w:t xml:space="preserve"> do </w:t>
      </w:r>
      <w:r>
        <w:t>listopadu 202</w:t>
      </w:r>
      <w:r w:rsidR="00DA662C">
        <w:t>3</w:t>
      </w:r>
      <w:bookmarkEnd w:id="3"/>
      <w:r>
        <w:t>.</w:t>
      </w:r>
    </w:p>
    <w:p w14:paraId="10369D08" w14:textId="0C50A8AA" w:rsidR="00ED2E71" w:rsidRDefault="000A5F6C" w:rsidP="00ED2E71">
      <w:pPr>
        <w:pStyle w:val="Text"/>
        <w:spacing w:before="240" w:after="120" w:line="264" w:lineRule="auto"/>
      </w:pPr>
      <w:r w:rsidRPr="00321AB1">
        <w:t>Kontrolovaným obdobím byly roky 20</w:t>
      </w:r>
      <w:r w:rsidR="00DA662C">
        <w:t>20</w:t>
      </w:r>
      <w:r w:rsidRPr="00321AB1">
        <w:t xml:space="preserve"> až 20</w:t>
      </w:r>
      <w:r>
        <w:t>2</w:t>
      </w:r>
      <w:r w:rsidR="00DA662C">
        <w:t>2</w:t>
      </w:r>
      <w:r w:rsidRPr="00321AB1">
        <w:t>, v</w:t>
      </w:r>
      <w:r w:rsidR="0000077A">
        <w:t xml:space="preserve"> </w:t>
      </w:r>
      <w:r w:rsidRPr="00321AB1">
        <w:t>případě věcných souvislostí i</w:t>
      </w:r>
      <w:r w:rsidR="007265D4">
        <w:t xml:space="preserve"> </w:t>
      </w:r>
      <w:r w:rsidRPr="00321AB1">
        <w:t>období předcházející a následující.</w:t>
      </w:r>
    </w:p>
    <w:p w14:paraId="1A33003E" w14:textId="0E495C88" w:rsidR="00ED2E71" w:rsidRPr="009C5669" w:rsidRDefault="000A5F6C" w:rsidP="00ED2E71">
      <w:pPr>
        <w:pStyle w:val="Text"/>
        <w:spacing w:before="240" w:after="120" w:line="264" w:lineRule="auto"/>
      </w:pPr>
      <w:r w:rsidRPr="007F5880">
        <w:rPr>
          <w:b/>
        </w:rPr>
        <w:t>Kontrolované osoby:</w:t>
      </w:r>
      <w:r w:rsidRPr="00321AB1">
        <w:cr/>
      </w:r>
      <w:bookmarkStart w:id="4" w:name="_Hlk100739285"/>
      <w:r w:rsidRPr="0014296D">
        <w:t>Ministerstvo životního prostředí (dále také „MŽP“);</w:t>
      </w:r>
      <w:r w:rsidR="00557A67">
        <w:t xml:space="preserve"> </w:t>
      </w:r>
      <w:r w:rsidRPr="0014296D">
        <w:t>Státní fond životního prostředí České republiky</w:t>
      </w:r>
      <w:bookmarkEnd w:id="4"/>
      <w:r w:rsidRPr="0014296D">
        <w:t>, Praha (dále také „SFŽP“);</w:t>
      </w:r>
      <w:r w:rsidR="00557A67">
        <w:t xml:space="preserve"> </w:t>
      </w:r>
      <w:r w:rsidR="00DA662C">
        <w:t xml:space="preserve">Český hydrometeorologický ústav, Praha (dále také „ČHMÚ“); </w:t>
      </w:r>
      <w:proofErr w:type="spellStart"/>
      <w:r w:rsidR="00DA662C">
        <w:t>Bergasto</w:t>
      </w:r>
      <w:proofErr w:type="spellEnd"/>
      <w:r w:rsidR="00DA662C">
        <w:t xml:space="preserve"> a.s., Olomouc; GIFF a.s., Frýdlant nad Ostravicí; HERKUL a.s., Obrnice; </w:t>
      </w:r>
      <w:proofErr w:type="spellStart"/>
      <w:r w:rsidR="00DA662C">
        <w:t>Liberty</w:t>
      </w:r>
      <w:proofErr w:type="spellEnd"/>
      <w:r w:rsidR="00DA662C">
        <w:t xml:space="preserve"> Ostrava a.s.; MAPECO MOST a.s.; Severočeské doly a.s., Chomutov; </w:t>
      </w:r>
      <w:r w:rsidR="00884305">
        <w:t>ŠTOKY s.r.o., Spořice.</w:t>
      </w:r>
    </w:p>
    <w:p w14:paraId="319D172D" w14:textId="2F6F848E" w:rsidR="00ED2E71" w:rsidRPr="00D8596E" w:rsidRDefault="00ED2E71" w:rsidP="00ED2E71">
      <w:pPr>
        <w:spacing w:before="120" w:after="120" w:line="264" w:lineRule="auto"/>
      </w:pPr>
    </w:p>
    <w:p w14:paraId="728EEC37" w14:textId="13E73096" w:rsidR="00ED2E71" w:rsidRPr="00496AA6" w:rsidRDefault="000A5F6C" w:rsidP="00ED2E71">
      <w:pPr>
        <w:spacing w:after="120"/>
      </w:pPr>
      <w:r w:rsidRPr="006054F8">
        <w:rPr>
          <w:b/>
          <w:i/>
          <w:spacing w:val="40"/>
        </w:rPr>
        <w:t>Kolegium</w:t>
      </w:r>
      <w:r w:rsidRPr="006054F8">
        <w:rPr>
          <w:b/>
          <w:i/>
        </w:rPr>
        <w:t xml:space="preserve">   </w:t>
      </w:r>
      <w:r w:rsidRPr="00496AA6">
        <w:rPr>
          <w:b/>
          <w:i/>
          <w:spacing w:val="40"/>
        </w:rPr>
        <w:t>NKÚ</w:t>
      </w:r>
      <w:r w:rsidRPr="00496AA6">
        <w:rPr>
          <w:b/>
          <w:i/>
        </w:rPr>
        <w:t xml:space="preserve">   </w:t>
      </w:r>
      <w:r w:rsidRPr="00496AA6">
        <w:t xml:space="preserve">na svém </w:t>
      </w:r>
      <w:r w:rsidR="00D56BA7">
        <w:t>VI</w:t>
      </w:r>
      <w:r w:rsidRPr="00496AA6">
        <w:t xml:space="preserve">. jednání, které se konalo dne </w:t>
      </w:r>
      <w:r w:rsidR="00D56BA7">
        <w:t>29</w:t>
      </w:r>
      <w:r w:rsidR="009C26CC" w:rsidRPr="00496AA6">
        <w:t xml:space="preserve">. </w:t>
      </w:r>
      <w:r w:rsidR="00E63B17" w:rsidRPr="00496AA6">
        <w:t>dub</w:t>
      </w:r>
      <w:r w:rsidR="002A5DA8" w:rsidRPr="00496AA6">
        <w:t>na</w:t>
      </w:r>
      <w:r w:rsidR="008F77D5" w:rsidRPr="00496AA6">
        <w:t xml:space="preserve"> </w:t>
      </w:r>
      <w:r w:rsidRPr="00496AA6">
        <w:t>202</w:t>
      </w:r>
      <w:r w:rsidR="00DA662C" w:rsidRPr="00496AA6">
        <w:t>4</w:t>
      </w:r>
      <w:r w:rsidRPr="00496AA6">
        <w:t>,</w:t>
      </w:r>
    </w:p>
    <w:p w14:paraId="7008F622" w14:textId="17E19490" w:rsidR="00ED2E71" w:rsidRPr="00D8596E" w:rsidRDefault="000A5F6C" w:rsidP="00ED2E71">
      <w:pPr>
        <w:spacing w:after="120"/>
      </w:pPr>
      <w:r w:rsidRPr="00496AA6">
        <w:rPr>
          <w:b/>
          <w:i/>
          <w:spacing w:val="40"/>
        </w:rPr>
        <w:t>schválilo</w:t>
      </w:r>
      <w:r w:rsidRPr="00496AA6">
        <w:rPr>
          <w:b/>
          <w:i/>
        </w:rPr>
        <w:t xml:space="preserve">   </w:t>
      </w:r>
      <w:r w:rsidRPr="00496AA6">
        <w:t xml:space="preserve">usnesením č. </w:t>
      </w:r>
      <w:r w:rsidR="006D432A">
        <w:t>7</w:t>
      </w:r>
      <w:r w:rsidRPr="00496AA6">
        <w:t>/</w:t>
      </w:r>
      <w:r w:rsidR="00D56BA7">
        <w:t>VI</w:t>
      </w:r>
      <w:r w:rsidRPr="00496AA6">
        <w:t>/202</w:t>
      </w:r>
      <w:r w:rsidR="00DA662C" w:rsidRPr="00496AA6">
        <w:t>4</w:t>
      </w:r>
    </w:p>
    <w:p w14:paraId="1734CFBC" w14:textId="77777777" w:rsidR="003368CE" w:rsidRDefault="000A5F6C" w:rsidP="00ED2E71">
      <w:pPr>
        <w:sectPr w:rsidR="003368CE" w:rsidSect="003F1132">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pPr>
      <w:r w:rsidRPr="007F5880">
        <w:rPr>
          <w:b/>
          <w:i/>
          <w:spacing w:val="40"/>
        </w:rPr>
        <w:t>kontrolní</w:t>
      </w:r>
      <w:r w:rsidRPr="007F5880">
        <w:rPr>
          <w:b/>
          <w:i/>
        </w:rPr>
        <w:t xml:space="preserve">   </w:t>
      </w:r>
      <w:r w:rsidRPr="007F5880">
        <w:rPr>
          <w:b/>
          <w:i/>
          <w:spacing w:val="40"/>
        </w:rPr>
        <w:t>závěr</w:t>
      </w:r>
      <w:r w:rsidRPr="00D8596E">
        <w:t xml:space="preserve">   v to</w:t>
      </w:r>
      <w:r>
        <w:t>mto znění:</w:t>
      </w:r>
    </w:p>
    <w:p w14:paraId="20E4DBB4" w14:textId="69594F81" w:rsidR="00B81D2A" w:rsidRPr="00557671" w:rsidRDefault="00B81D2A" w:rsidP="00E22483">
      <w:pPr>
        <w:tabs>
          <w:tab w:val="left" w:pos="1115"/>
        </w:tabs>
        <w:spacing w:after="120"/>
        <w:ind w:left="1418" w:hanging="1418"/>
        <w:jc w:val="center"/>
        <w:rPr>
          <w:rFonts w:ascii="Calibri Light" w:hAnsi="Calibri Light" w:cs="Calibri Light"/>
          <w:sz w:val="28"/>
          <w:szCs w:val="22"/>
        </w:rPr>
      </w:pPr>
      <w:r w:rsidRPr="00557671">
        <w:rPr>
          <w:rFonts w:cs="Calibri"/>
          <w:b/>
          <w:sz w:val="28"/>
          <w:szCs w:val="22"/>
        </w:rPr>
        <w:lastRenderedPageBreak/>
        <w:t>Peněžní prostředky státu a Evropské unie určené na zlepšování kvality ovzduší</w:t>
      </w:r>
    </w:p>
    <w:p w14:paraId="0E5548D2" w14:textId="1AD392AD" w:rsidR="00B81D2A" w:rsidRPr="005C154B" w:rsidRDefault="00B81D2A" w:rsidP="005C154B">
      <w:pPr>
        <w:tabs>
          <w:tab w:val="left" w:pos="1115"/>
        </w:tabs>
        <w:ind w:left="1416" w:hanging="1416"/>
        <w:jc w:val="center"/>
        <w:rPr>
          <w:caps/>
        </w:rPr>
      </w:pPr>
      <w:r w:rsidRPr="005C154B">
        <w:rPr>
          <w:b/>
          <w:noProof/>
          <w:lang w:eastAsia="cs-CZ"/>
        </w:rPr>
        <mc:AlternateContent>
          <mc:Choice Requires="wps">
            <w:drawing>
              <wp:anchor distT="0" distB="0" distL="114300" distR="114300" simplePos="0" relativeHeight="251697152" behindDoc="0" locked="0" layoutInCell="1" allowOverlap="1" wp14:anchorId="687669FB" wp14:editId="21CCA7B7">
                <wp:simplePos x="0" y="0"/>
                <wp:positionH relativeFrom="column">
                  <wp:posOffset>-34163</wp:posOffset>
                </wp:positionH>
                <wp:positionV relativeFrom="paragraph">
                  <wp:posOffset>78868</wp:posOffset>
                </wp:positionV>
                <wp:extent cx="2109216" cy="0"/>
                <wp:effectExtent l="0" t="0" r="24765" b="19050"/>
                <wp:wrapNone/>
                <wp:docPr id="17" name="Přímá spojnice 17"/>
                <wp:cNvGraphicFramePr/>
                <a:graphic xmlns:a="http://schemas.openxmlformats.org/drawingml/2006/main">
                  <a:graphicData uri="http://schemas.microsoft.com/office/word/2010/wordprocessingShape">
                    <wps:wsp>
                      <wps:cNvCnPr/>
                      <wps:spPr>
                        <a:xfrm>
                          <a:off x="0" y="0"/>
                          <a:ext cx="21092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1FD2B" id="Přímá spojnice 1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6.2pt" to="163.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" strokecolor="black [3213]" strokeweight=".5pt">
                <v:stroke joinstyle="miter"/>
              </v:line>
            </w:pict>
          </mc:Fallback>
        </mc:AlternateContent>
      </w:r>
      <w:r w:rsidRPr="005C154B">
        <w:rPr>
          <w:b/>
          <w:noProof/>
          <w:lang w:eastAsia="cs-CZ"/>
        </w:rPr>
        <mc:AlternateContent>
          <mc:Choice Requires="wps">
            <w:drawing>
              <wp:anchor distT="0" distB="0" distL="114300" distR="114300" simplePos="0" relativeHeight="251698176" behindDoc="0" locked="0" layoutInCell="1" allowOverlap="1" wp14:anchorId="434ACFAD" wp14:editId="280E0288">
                <wp:simplePos x="0" y="0"/>
                <wp:positionH relativeFrom="margin">
                  <wp:posOffset>3696589</wp:posOffset>
                </wp:positionH>
                <wp:positionV relativeFrom="paragraph">
                  <wp:posOffset>84963</wp:posOffset>
                </wp:positionV>
                <wp:extent cx="2043938" cy="0"/>
                <wp:effectExtent l="0" t="0" r="33020" b="19050"/>
                <wp:wrapNone/>
                <wp:docPr id="19" name="Přímá spojnice 19"/>
                <wp:cNvGraphicFramePr/>
                <a:graphic xmlns:a="http://schemas.openxmlformats.org/drawingml/2006/main">
                  <a:graphicData uri="http://schemas.microsoft.com/office/word/2010/wordprocessingShape">
                    <wps:wsp>
                      <wps:cNvCnPr/>
                      <wps:spPr>
                        <a:xfrm flipV="1">
                          <a:off x="0" y="0"/>
                          <a:ext cx="20439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E3C4" id="Přímá spojnice 19" o:spid="_x0000_s1026" style="position:absolute;flip: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05pt,6.7pt" to="45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" strokecolor="black [3213]" strokeweight=".5pt">
                <v:stroke joinstyle="miter"/>
                <w10:wrap anchorx="margin"/>
              </v:line>
            </w:pict>
          </mc:Fallback>
        </mc:AlternateContent>
      </w:r>
      <w:r w:rsidRPr="005C154B">
        <w:rPr>
          <w:caps/>
        </w:rPr>
        <w:t>ZÁKLADNÍ INFORMACE</w:t>
      </w:r>
    </w:p>
    <w:tbl>
      <w:tblPr>
        <w:tblpPr w:leftFromText="141" w:rightFromText="141" w:vertAnchor="text" w:horzAnchor="margin" w:tblpY="265"/>
        <w:tblOverlap w:val="never"/>
        <w:tblW w:w="5000" w:type="pct"/>
        <w:tblCellMar>
          <w:top w:w="113" w:type="dxa"/>
          <w:left w:w="170" w:type="dxa"/>
          <w:bottom w:w="113" w:type="dxa"/>
          <w:right w:w="170" w:type="dxa"/>
        </w:tblCellMar>
        <w:tblLook w:val="04A0" w:firstRow="1" w:lastRow="0" w:firstColumn="1" w:lastColumn="0" w:noHBand="0" w:noVBand="1"/>
      </w:tblPr>
      <w:tblGrid>
        <w:gridCol w:w="4535"/>
        <w:gridCol w:w="4535"/>
      </w:tblGrid>
      <w:tr w:rsidR="004F074E" w:rsidRPr="005C154B" w14:paraId="42FAE174" w14:textId="77777777" w:rsidTr="004F074E">
        <w:trPr>
          <w:trHeight w:val="1861"/>
        </w:trPr>
        <w:tc>
          <w:tcPr>
            <w:tcW w:w="2500" w:type="pct"/>
          </w:tcPr>
          <w:p w14:paraId="0E959DE4" w14:textId="5B7BCE47" w:rsidR="004F074E" w:rsidRPr="005C154B" w:rsidRDefault="004F074E" w:rsidP="002E3F6A">
            <w:pPr>
              <w:jc w:val="center"/>
            </w:pPr>
            <w:r w:rsidRPr="005C154B">
              <w:t>Česká republika dlouhodobě neplní</w:t>
            </w:r>
            <w:r w:rsidR="00D007D6" w:rsidRPr="005C154B">
              <w:t xml:space="preserve"> </w:t>
            </w:r>
            <w:r w:rsidRPr="005C154B">
              <w:rPr>
                <w:b/>
              </w:rPr>
              <w:t xml:space="preserve">imisní limity </w:t>
            </w:r>
            <w:r w:rsidRPr="005C154B">
              <w:t xml:space="preserve">a v některých regionech jsou významně </w:t>
            </w:r>
            <w:r w:rsidRPr="005C154B">
              <w:rPr>
                <w:b/>
              </w:rPr>
              <w:t>překračovány</w:t>
            </w:r>
            <w:r w:rsidRPr="002F3B4E">
              <w:rPr>
                <w:b/>
              </w:rPr>
              <w:t>.</w:t>
            </w:r>
          </w:p>
          <w:p w14:paraId="1CD6E4E9" w14:textId="77777777" w:rsidR="004F074E" w:rsidRPr="005C154B" w:rsidRDefault="004F074E" w:rsidP="002E3F6A">
            <w:pPr>
              <w:jc w:val="center"/>
              <w:rPr>
                <w:rStyle w:val="A1"/>
                <w:sz w:val="24"/>
                <w:szCs w:val="24"/>
              </w:rPr>
            </w:pPr>
          </w:p>
          <w:p w14:paraId="72976F39" w14:textId="176DE5C7" w:rsidR="004F074E" w:rsidRPr="005C154B" w:rsidRDefault="004F074E" w:rsidP="002E3F6A">
            <w:pPr>
              <w:jc w:val="center"/>
            </w:pPr>
            <w:r w:rsidRPr="005C154B">
              <w:t>Podíl obyvatel ČR žijících v oblastech se zhoršenou kvalitou ovzduší sice klesá, ale v roce 2022</w:t>
            </w:r>
            <w:r w:rsidR="005C154B">
              <w:t xml:space="preserve"> </w:t>
            </w:r>
            <w:r w:rsidRPr="005C154B">
              <w:t xml:space="preserve">se stále jednalo </w:t>
            </w:r>
            <w:r w:rsidR="002E3F6A">
              <w:br/>
            </w:r>
            <w:r w:rsidRPr="005C154B">
              <w:t>o</w:t>
            </w:r>
            <w:r w:rsidR="002E3F6A">
              <w:t> </w:t>
            </w:r>
            <w:r w:rsidRPr="005C154B">
              <w:rPr>
                <w:b/>
              </w:rPr>
              <w:t>více než 1 milion lidí.</w:t>
            </w:r>
          </w:p>
        </w:tc>
        <w:tc>
          <w:tcPr>
            <w:tcW w:w="2500" w:type="pct"/>
          </w:tcPr>
          <w:p w14:paraId="3692C808" w14:textId="0FE5A194" w:rsidR="004F074E" w:rsidRPr="005C154B" w:rsidRDefault="004F074E" w:rsidP="002E3F6A">
            <w:pPr>
              <w:jc w:val="center"/>
            </w:pPr>
            <w:r w:rsidRPr="005C154B">
              <w:rPr>
                <w:b/>
              </w:rPr>
              <w:t xml:space="preserve">Domácnosti </w:t>
            </w:r>
            <w:r w:rsidRPr="005C154B">
              <w:t xml:space="preserve">jsou hlavním zdrojem </w:t>
            </w:r>
            <w:r w:rsidRPr="005C154B">
              <w:rPr>
                <w:b/>
              </w:rPr>
              <w:t>znečištění ovzduší prachovými částicemi</w:t>
            </w:r>
            <w:r w:rsidRPr="005C154B">
              <w:t xml:space="preserve"> a</w:t>
            </w:r>
            <w:r w:rsidR="005C154B">
              <w:t> </w:t>
            </w:r>
            <w:proofErr w:type="spellStart"/>
            <w:r w:rsidRPr="005C154B">
              <w:rPr>
                <w:b/>
              </w:rPr>
              <w:t>benzo</w:t>
            </w:r>
            <w:proofErr w:type="spellEnd"/>
            <w:r w:rsidR="00A32942" w:rsidRPr="005C154B">
              <w:rPr>
                <w:b/>
              </w:rPr>
              <w:t>(</w:t>
            </w:r>
            <w:r w:rsidRPr="005C154B">
              <w:rPr>
                <w:b/>
              </w:rPr>
              <w:t>a</w:t>
            </w:r>
            <w:r w:rsidR="00A32942" w:rsidRPr="005C154B">
              <w:rPr>
                <w:b/>
              </w:rPr>
              <w:t>)</w:t>
            </w:r>
            <w:r w:rsidRPr="005C154B">
              <w:rPr>
                <w:b/>
              </w:rPr>
              <w:t>pyrenem</w:t>
            </w:r>
            <w:r w:rsidRPr="002F3B4E">
              <w:rPr>
                <w:b/>
              </w:rPr>
              <w:t>.</w:t>
            </w:r>
          </w:p>
          <w:p w14:paraId="2609CE4A" w14:textId="77777777" w:rsidR="004F074E" w:rsidRPr="005C154B" w:rsidRDefault="004F074E" w:rsidP="002E3F6A">
            <w:pPr>
              <w:jc w:val="center"/>
            </w:pPr>
          </w:p>
          <w:p w14:paraId="22AF87D6" w14:textId="77745852" w:rsidR="004F074E" w:rsidRPr="005C154B" w:rsidRDefault="004F074E" w:rsidP="002E3F6A">
            <w:pPr>
              <w:jc w:val="center"/>
            </w:pPr>
            <w:r w:rsidRPr="005C154B">
              <w:rPr>
                <w:b/>
              </w:rPr>
              <w:t xml:space="preserve">Průmysl </w:t>
            </w:r>
            <w:r w:rsidRPr="005C154B">
              <w:t xml:space="preserve">je významným zdrojem </w:t>
            </w:r>
            <w:r w:rsidRPr="005C154B">
              <w:rPr>
                <w:b/>
              </w:rPr>
              <w:t>znečištění</w:t>
            </w:r>
            <w:r w:rsidR="005C154B">
              <w:rPr>
                <w:b/>
              </w:rPr>
              <w:t xml:space="preserve"> </w:t>
            </w:r>
            <w:r w:rsidRPr="005C154B">
              <w:rPr>
                <w:b/>
              </w:rPr>
              <w:br/>
              <w:t>ovzduší oxidem siřičitým a oxidy dusíku</w:t>
            </w:r>
            <w:r w:rsidRPr="002F3B4E">
              <w:rPr>
                <w:b/>
              </w:rPr>
              <w:t>.</w:t>
            </w:r>
          </w:p>
        </w:tc>
      </w:tr>
    </w:tbl>
    <w:p w14:paraId="65198033" w14:textId="77777777" w:rsidR="00EC0462" w:rsidRPr="005C154B" w:rsidRDefault="00EC0462" w:rsidP="005C154B">
      <w:pPr>
        <w:jc w:val="center"/>
      </w:pPr>
    </w:p>
    <w:p w14:paraId="2DA7E846" w14:textId="41AEAC6C" w:rsidR="00B81D2A" w:rsidRPr="005C154B" w:rsidRDefault="00B81D2A" w:rsidP="005C154B">
      <w:pPr>
        <w:jc w:val="center"/>
        <w:rPr>
          <w:b/>
        </w:rPr>
      </w:pPr>
      <w:r w:rsidRPr="005C154B">
        <w:rPr>
          <w:b/>
        </w:rPr>
        <w:t>Peněžní prostředky vynaložené MŽP v letech 2014 až 2022 na ochranu ovzduší</w:t>
      </w:r>
      <w:r w:rsidRPr="005C154B">
        <w:rPr>
          <w:b/>
        </w:rPr>
        <w:br/>
        <w:t>z PO 2 OPŽP</w:t>
      </w:r>
      <w:r w:rsidRPr="005C154B">
        <w:rPr>
          <w:b/>
          <w:vertAlign w:val="superscript"/>
        </w:rPr>
        <w:t>1</w:t>
      </w:r>
      <w:r w:rsidRPr="005C154B">
        <w:rPr>
          <w:b/>
        </w:rPr>
        <w:t xml:space="preserve"> a NZÚ</w:t>
      </w:r>
      <w:r w:rsidRPr="005C154B">
        <w:rPr>
          <w:b/>
          <w:vertAlign w:val="superscript"/>
        </w:rPr>
        <w:t>2</w:t>
      </w:r>
    </w:p>
    <w:p w14:paraId="1D8683B3" w14:textId="77777777" w:rsidR="00B81D2A" w:rsidRDefault="00B81D2A" w:rsidP="00B81D2A">
      <w:pPr>
        <w:rPr>
          <w:b/>
        </w:rPr>
      </w:pPr>
      <w:r>
        <w:rPr>
          <w:noProof/>
          <w:lang w:eastAsia="cs-CZ"/>
        </w:rPr>
        <w:drawing>
          <wp:anchor distT="0" distB="0" distL="114300" distR="114300" simplePos="0" relativeHeight="251702272" behindDoc="0" locked="0" layoutInCell="1" allowOverlap="1" wp14:anchorId="3C83D759" wp14:editId="1A2C9D12">
            <wp:simplePos x="0" y="0"/>
            <wp:positionH relativeFrom="margin">
              <wp:align>center</wp:align>
            </wp:positionH>
            <wp:positionV relativeFrom="paragraph">
              <wp:posOffset>9756</wp:posOffset>
            </wp:positionV>
            <wp:extent cx="4932045" cy="2094931"/>
            <wp:effectExtent l="0" t="0" r="1905" b="635"/>
            <wp:wrapNone/>
            <wp:docPr id="23" name="Graf 23">
              <a:extLst xmlns:a="http://schemas.openxmlformats.org/drawingml/2006/main">
                <a:ext uri="{FF2B5EF4-FFF2-40B4-BE49-F238E27FC236}">
                  <a16:creationId xmlns:a16="http://schemas.microsoft.com/office/drawing/2014/main" id="{80DF0561-8D97-4110-B953-F5A323A180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C771B54" w14:textId="77777777" w:rsidR="00B81D2A" w:rsidRDefault="00B81D2A" w:rsidP="00B81D2A">
      <w:pPr>
        <w:rPr>
          <w:b/>
        </w:rPr>
      </w:pPr>
    </w:p>
    <w:p w14:paraId="1060534A" w14:textId="77777777" w:rsidR="00B81D2A" w:rsidRDefault="00B81D2A" w:rsidP="00B81D2A">
      <w:pPr>
        <w:rPr>
          <w:b/>
        </w:rPr>
      </w:pPr>
    </w:p>
    <w:p w14:paraId="5A67F554" w14:textId="601CA3C5" w:rsidR="00B81D2A" w:rsidRDefault="00E22483" w:rsidP="00B81D2A">
      <w:pPr>
        <w:rPr>
          <w:b/>
        </w:rPr>
      </w:pPr>
      <w:r w:rsidRPr="00692F39">
        <w:rPr>
          <w:b/>
          <w:noProof/>
        </w:rPr>
        <mc:AlternateContent>
          <mc:Choice Requires="wps">
            <w:drawing>
              <wp:anchor distT="45720" distB="45720" distL="114300" distR="114300" simplePos="0" relativeHeight="251703296" behindDoc="0" locked="0" layoutInCell="1" allowOverlap="1" wp14:anchorId="1AC193F7" wp14:editId="35FA823B">
                <wp:simplePos x="0" y="0"/>
                <wp:positionH relativeFrom="column">
                  <wp:posOffset>1146349</wp:posOffset>
                </wp:positionH>
                <wp:positionV relativeFrom="paragraph">
                  <wp:posOffset>116090</wp:posOffset>
                </wp:positionV>
                <wp:extent cx="827405" cy="827405"/>
                <wp:effectExtent l="0" t="0" r="0" b="0"/>
                <wp:wrapSquare wrapText="bothSides"/>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827405"/>
                        </a:xfrm>
                        <a:prstGeom prst="rect">
                          <a:avLst/>
                        </a:prstGeom>
                        <a:solidFill>
                          <a:srgbClr val="FFFFFF"/>
                        </a:solidFill>
                        <a:ln w="9525">
                          <a:noFill/>
                          <a:miter lim="800000"/>
                          <a:headEnd/>
                          <a:tailEnd/>
                        </a:ln>
                      </wps:spPr>
                      <wps:txbx>
                        <w:txbxContent>
                          <w:p w14:paraId="29A166F7" w14:textId="43956CA9" w:rsidR="00165274" w:rsidRPr="006D72FC" w:rsidRDefault="00165274" w:rsidP="00B81D2A">
                            <w:pPr>
                              <w:jc w:val="center"/>
                              <w:rPr>
                                <w:b/>
                                <w:sz w:val="28"/>
                                <w:szCs w:val="28"/>
                              </w:rPr>
                            </w:pPr>
                            <w:r w:rsidRPr="006D72FC">
                              <w:rPr>
                                <w:b/>
                                <w:sz w:val="28"/>
                                <w:szCs w:val="28"/>
                                <w:lang w:eastAsia="cs-CZ"/>
                              </w:rPr>
                              <w:t>16,2</w:t>
                            </w:r>
                            <w:r w:rsidRPr="006D72FC">
                              <w:rPr>
                                <w:b/>
                                <w:sz w:val="28"/>
                                <w:szCs w:val="28"/>
                                <w:lang w:eastAsia="cs-CZ"/>
                              </w:rPr>
                              <w:br/>
                              <w:t>mld. Kč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C193F7" id="_x0000_t202" coordsize="21600,21600" o:spt="202" path="m,l,21600r21600,l21600,xe">
                <v:stroke joinstyle="miter"/>
                <v:path gradientshapeok="t" o:connecttype="rect"/>
              </v:shapetype>
              <v:shape id="Textové pole 2" o:spid="_x0000_s1026" type="#_x0000_t202" style="position:absolute;margin-left:90.25pt;margin-top:9.15pt;width:65.15pt;height:65.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" stroked="f">
                <v:textbox>
                  <w:txbxContent>
                    <w:p w14:paraId="29A166F7" w14:textId="43956CA9" w:rsidR="00165274" w:rsidRPr="006D72FC" w:rsidRDefault="00165274" w:rsidP="00B81D2A">
                      <w:pPr>
                        <w:jc w:val="center"/>
                        <w:rPr>
                          <w:b/>
                          <w:sz w:val="28"/>
                          <w:szCs w:val="28"/>
                        </w:rPr>
                      </w:pPr>
                      <w:r w:rsidRPr="006D72FC">
                        <w:rPr>
                          <w:b/>
                          <w:sz w:val="28"/>
                          <w:szCs w:val="28"/>
                          <w:lang w:eastAsia="cs-CZ"/>
                        </w:rPr>
                        <w:t>16,2</w:t>
                      </w:r>
                      <w:r w:rsidRPr="006D72FC">
                        <w:rPr>
                          <w:b/>
                          <w:sz w:val="28"/>
                          <w:szCs w:val="28"/>
                          <w:lang w:eastAsia="cs-CZ"/>
                        </w:rPr>
                        <w:br/>
                        <w:t>mld. Kč</w:t>
                      </w:r>
                    </w:p>
                  </w:txbxContent>
                </v:textbox>
                <w10:wrap type="square"/>
              </v:shape>
            </w:pict>
          </mc:Fallback>
        </mc:AlternateContent>
      </w:r>
    </w:p>
    <w:p w14:paraId="613B813D" w14:textId="441E7934" w:rsidR="00B81D2A" w:rsidRDefault="00B81D2A" w:rsidP="00B81D2A">
      <w:pPr>
        <w:rPr>
          <w:b/>
        </w:rPr>
      </w:pPr>
    </w:p>
    <w:p w14:paraId="42D9E650" w14:textId="77777777" w:rsidR="00B81D2A" w:rsidRDefault="00B81D2A" w:rsidP="00B81D2A">
      <w:pPr>
        <w:rPr>
          <w:b/>
        </w:rPr>
      </w:pPr>
    </w:p>
    <w:p w14:paraId="3C656D25" w14:textId="77777777" w:rsidR="00B81D2A" w:rsidRDefault="00B81D2A" w:rsidP="00B81D2A">
      <w:pPr>
        <w:rPr>
          <w:b/>
        </w:rPr>
      </w:pPr>
    </w:p>
    <w:p w14:paraId="1A18F55E" w14:textId="77777777" w:rsidR="00B81D2A" w:rsidRDefault="00B81D2A" w:rsidP="00B81D2A">
      <w:pPr>
        <w:rPr>
          <w:b/>
        </w:rPr>
      </w:pPr>
    </w:p>
    <w:p w14:paraId="4A89D138" w14:textId="77777777" w:rsidR="00B81D2A" w:rsidRDefault="00B81D2A" w:rsidP="00B81D2A">
      <w:pPr>
        <w:rPr>
          <w:b/>
        </w:rPr>
      </w:pPr>
    </w:p>
    <w:p w14:paraId="242C226B" w14:textId="77777777" w:rsidR="00B81D2A" w:rsidRDefault="00B81D2A" w:rsidP="00B81D2A">
      <w:pPr>
        <w:rPr>
          <w:b/>
        </w:rPr>
      </w:pPr>
    </w:p>
    <w:p w14:paraId="4C312AE0" w14:textId="77777777" w:rsidR="00B81D2A" w:rsidRDefault="00B81D2A" w:rsidP="00B81D2A">
      <w:pPr>
        <w:rPr>
          <w:b/>
        </w:rPr>
      </w:pPr>
    </w:p>
    <w:p w14:paraId="4BA10AE5" w14:textId="77777777" w:rsidR="00B81D2A" w:rsidRDefault="00B81D2A" w:rsidP="00B81D2A">
      <w:pPr>
        <w:rPr>
          <w:b/>
        </w:rPr>
      </w:pPr>
    </w:p>
    <w:p w14:paraId="7C2BDF76" w14:textId="5E348AB2" w:rsidR="00B81D2A" w:rsidRPr="008B5259" w:rsidRDefault="00B81D2A" w:rsidP="00B81D2A">
      <w:pPr>
        <w:tabs>
          <w:tab w:val="left" w:pos="1747"/>
          <w:tab w:val="center" w:pos="4536"/>
        </w:tabs>
        <w:rPr>
          <w:caps/>
          <w:sz w:val="22"/>
          <w:szCs w:val="22"/>
        </w:rPr>
      </w:pPr>
      <w:r w:rsidRPr="00E06AAB">
        <w:rPr>
          <w:b/>
          <w:noProof/>
          <w:sz w:val="28"/>
          <w:lang w:eastAsia="cs-CZ"/>
        </w:rPr>
        <mc:AlternateContent>
          <mc:Choice Requires="wps">
            <w:drawing>
              <wp:anchor distT="0" distB="0" distL="114300" distR="114300" simplePos="0" relativeHeight="251700224" behindDoc="0" locked="0" layoutInCell="1" allowOverlap="1" wp14:anchorId="7A6C33E6" wp14:editId="240FFCA9">
                <wp:simplePos x="0" y="0"/>
                <wp:positionH relativeFrom="margin">
                  <wp:posOffset>3436620</wp:posOffset>
                </wp:positionH>
                <wp:positionV relativeFrom="paragraph">
                  <wp:posOffset>91554</wp:posOffset>
                </wp:positionV>
                <wp:extent cx="2305050" cy="0"/>
                <wp:effectExtent l="0" t="0" r="19050" b="19050"/>
                <wp:wrapNone/>
                <wp:docPr id="21" name="Přímá spojnice 21"/>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57A422" id="Přímá spojnice 21" o:spid="_x0000_s1026"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0.6pt,7.2pt" to="452.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" strokecolor="black [3213]" strokeweight=".5pt">
                <v:stroke joinstyle="miter"/>
                <w10:wrap anchorx="margin"/>
              </v:line>
            </w:pict>
          </mc:Fallback>
        </mc:AlternateContent>
      </w:r>
      <w:r w:rsidRPr="00E06AAB">
        <w:rPr>
          <w:b/>
          <w:noProof/>
          <w:sz w:val="28"/>
          <w:lang w:eastAsia="cs-CZ"/>
        </w:rPr>
        <mc:AlternateContent>
          <mc:Choice Requires="wps">
            <w:drawing>
              <wp:anchor distT="0" distB="0" distL="114300" distR="114300" simplePos="0" relativeHeight="251699200" behindDoc="0" locked="0" layoutInCell="1" allowOverlap="1" wp14:anchorId="145CADD9" wp14:editId="42861820">
                <wp:simplePos x="0" y="0"/>
                <wp:positionH relativeFrom="margin">
                  <wp:posOffset>0</wp:posOffset>
                </wp:positionH>
                <wp:positionV relativeFrom="paragraph">
                  <wp:posOffset>79896</wp:posOffset>
                </wp:positionV>
                <wp:extent cx="2305050" cy="0"/>
                <wp:effectExtent l="0" t="0" r="19050" b="19050"/>
                <wp:wrapNone/>
                <wp:docPr id="22" name="Přímá spojnice 22"/>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286198" id="Přímá spojnice 22" o:spid="_x0000_s1026" style="position:absolute;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6.3pt" to="18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" strokecolor="black [3213]" strokeweight=".5pt">
                <v:stroke joinstyle="miter"/>
                <w10:wrap anchorx="margin"/>
              </v:line>
            </w:pict>
          </mc:Fallback>
        </mc:AlternateContent>
      </w:r>
      <w:r w:rsidRPr="00E06AAB">
        <w:rPr>
          <w:caps/>
          <w:sz w:val="22"/>
          <w:szCs w:val="22"/>
        </w:rPr>
        <w:tab/>
      </w:r>
      <w:r w:rsidRPr="00E06AAB">
        <w:rPr>
          <w:caps/>
          <w:sz w:val="22"/>
          <w:szCs w:val="22"/>
        </w:rPr>
        <w:tab/>
      </w:r>
      <w:r>
        <w:rPr>
          <w:caps/>
          <w:sz w:val="22"/>
          <w:szCs w:val="22"/>
        </w:rPr>
        <w:t>hlavní</w:t>
      </w:r>
      <w:r w:rsidRPr="00E06AAB">
        <w:rPr>
          <w:caps/>
          <w:sz w:val="22"/>
          <w:szCs w:val="22"/>
        </w:rPr>
        <w:t xml:space="preserve"> </w:t>
      </w:r>
      <w:r w:rsidR="000756D5">
        <w:rPr>
          <w:caps/>
          <w:sz w:val="22"/>
          <w:szCs w:val="22"/>
        </w:rPr>
        <w:t>Zjištění</w:t>
      </w:r>
    </w:p>
    <w:tbl>
      <w:tblPr>
        <w:tblpPr w:leftFromText="141" w:rightFromText="141" w:vertAnchor="text" w:horzAnchor="margin" w:tblpXSpec="center" w:tblpY="100"/>
        <w:tblOverlap w:val="never"/>
        <w:tblW w:w="5000" w:type="pct"/>
        <w:tblCellMar>
          <w:top w:w="113" w:type="dxa"/>
          <w:left w:w="170" w:type="dxa"/>
          <w:bottom w:w="113" w:type="dxa"/>
          <w:right w:w="170" w:type="dxa"/>
        </w:tblCellMar>
        <w:tblLook w:val="04A0" w:firstRow="1" w:lastRow="0" w:firstColumn="1" w:lastColumn="0" w:noHBand="0" w:noVBand="1"/>
      </w:tblPr>
      <w:tblGrid>
        <w:gridCol w:w="1506"/>
        <w:gridCol w:w="1555"/>
        <w:gridCol w:w="2940"/>
        <w:gridCol w:w="3069"/>
      </w:tblGrid>
      <w:tr w:rsidR="001B0A18" w:rsidRPr="003812AC" w14:paraId="73BE2D42" w14:textId="77777777" w:rsidTr="002E3F6A">
        <w:trPr>
          <w:trHeight w:val="2268"/>
        </w:trPr>
        <w:tc>
          <w:tcPr>
            <w:tcW w:w="830" w:type="pct"/>
            <w:shd w:val="clear" w:color="auto" w:fill="2EB3A1"/>
            <w:vAlign w:val="center"/>
          </w:tcPr>
          <w:p w14:paraId="538066CB" w14:textId="77777777" w:rsidR="000756D5" w:rsidRPr="00E42C18" w:rsidRDefault="000756D5" w:rsidP="0035548B">
            <w:pPr>
              <w:ind w:left="-57" w:right="-57"/>
              <w:contextualSpacing/>
              <w:jc w:val="center"/>
              <w:rPr>
                <w:b/>
                <w:color w:val="FFFFFF" w:themeColor="background1"/>
                <w:sz w:val="20"/>
                <w:szCs w:val="20"/>
              </w:rPr>
            </w:pPr>
            <w:r w:rsidRPr="00E42C18">
              <w:rPr>
                <w:b/>
                <w:color w:val="FFFFFF" w:themeColor="background1"/>
                <w:sz w:val="20"/>
                <w:szCs w:val="20"/>
              </w:rPr>
              <w:t>KOTLÍKOVÉ DOTACE</w:t>
            </w:r>
          </w:p>
          <w:p w14:paraId="7FF44A11" w14:textId="77777777" w:rsidR="000756D5" w:rsidRPr="00AA4751" w:rsidRDefault="000756D5" w:rsidP="0035548B">
            <w:pPr>
              <w:ind w:left="-57" w:right="-57"/>
              <w:contextualSpacing/>
              <w:jc w:val="center"/>
              <w:rPr>
                <w:b/>
                <w:sz w:val="20"/>
                <w:szCs w:val="20"/>
              </w:rPr>
            </w:pPr>
            <w:r w:rsidRPr="00E42C18">
              <w:rPr>
                <w:b/>
                <w:color w:val="FFFFFF" w:themeColor="background1"/>
                <w:sz w:val="20"/>
                <w:szCs w:val="20"/>
              </w:rPr>
              <w:t>(2014 až 2022)</w:t>
            </w:r>
          </w:p>
        </w:tc>
        <w:tc>
          <w:tcPr>
            <w:tcW w:w="857" w:type="pct"/>
            <w:vAlign w:val="center"/>
          </w:tcPr>
          <w:p w14:paraId="1ADCA11D" w14:textId="1A085B50" w:rsidR="000756D5" w:rsidRPr="0035548B" w:rsidRDefault="000756D5" w:rsidP="002E3F6A">
            <w:pPr>
              <w:jc w:val="center"/>
              <w:rPr>
                <w:b/>
              </w:rPr>
            </w:pPr>
            <w:r w:rsidRPr="0035548B">
              <w:rPr>
                <w:b/>
              </w:rPr>
              <w:t xml:space="preserve">12,7 </w:t>
            </w:r>
            <w:r w:rsidRPr="0035548B">
              <w:t>mld. K</w:t>
            </w:r>
            <w:r w:rsidR="00E42C18" w:rsidRPr="0035548B">
              <w:t>č</w:t>
            </w:r>
          </w:p>
        </w:tc>
        <w:tc>
          <w:tcPr>
            <w:tcW w:w="1621" w:type="pct"/>
            <w:vAlign w:val="center"/>
          </w:tcPr>
          <w:p w14:paraId="1D1D9899" w14:textId="0D76051A" w:rsidR="000756D5" w:rsidRPr="003812AC" w:rsidRDefault="000756D5" w:rsidP="002E3F6A">
            <w:pPr>
              <w:jc w:val="center"/>
              <w:rPr>
                <w:sz w:val="20"/>
                <w:szCs w:val="20"/>
              </w:rPr>
            </w:pPr>
            <w:r>
              <w:rPr>
                <w:sz w:val="20"/>
                <w:szCs w:val="20"/>
              </w:rPr>
              <w:t xml:space="preserve">Projekty OPŽP se </w:t>
            </w:r>
            <w:r w:rsidRPr="004B551D">
              <w:rPr>
                <w:sz w:val="20"/>
                <w:szCs w:val="20"/>
              </w:rPr>
              <w:t>na celkové změně vykazovaných ročních emisí z</w:t>
            </w:r>
            <w:r w:rsidR="00E42C18">
              <w:rPr>
                <w:sz w:val="20"/>
                <w:szCs w:val="20"/>
              </w:rPr>
              <w:t> </w:t>
            </w:r>
            <w:r w:rsidRPr="004B551D">
              <w:rPr>
                <w:sz w:val="20"/>
                <w:szCs w:val="20"/>
              </w:rPr>
              <w:t>vytápění domácností mezi roky 2014 a 202</w:t>
            </w:r>
            <w:r>
              <w:rPr>
                <w:sz w:val="20"/>
                <w:szCs w:val="20"/>
              </w:rPr>
              <w:t>2</w:t>
            </w:r>
            <w:r w:rsidRPr="004B551D">
              <w:rPr>
                <w:sz w:val="20"/>
                <w:szCs w:val="20"/>
              </w:rPr>
              <w:t xml:space="preserve"> </w:t>
            </w:r>
            <w:r w:rsidR="002E3F6A">
              <w:rPr>
                <w:sz w:val="20"/>
                <w:szCs w:val="20"/>
              </w:rPr>
              <w:br/>
            </w:r>
            <w:r w:rsidR="007E729D">
              <w:rPr>
                <w:sz w:val="20"/>
                <w:szCs w:val="20"/>
              </w:rPr>
              <w:t>podílely</w:t>
            </w:r>
            <w:r w:rsidRPr="004B551D">
              <w:rPr>
                <w:sz w:val="20"/>
                <w:szCs w:val="20"/>
              </w:rPr>
              <w:t xml:space="preserve"> v</w:t>
            </w:r>
            <w:r w:rsidR="002E3F6A">
              <w:rPr>
                <w:sz w:val="20"/>
                <w:szCs w:val="20"/>
              </w:rPr>
              <w:t> </w:t>
            </w:r>
            <w:r w:rsidRPr="004B551D">
              <w:rPr>
                <w:sz w:val="20"/>
                <w:szCs w:val="20"/>
              </w:rPr>
              <w:t>případě prachových částic</w:t>
            </w:r>
            <w:r w:rsidR="0035548B">
              <w:rPr>
                <w:sz w:val="20"/>
                <w:szCs w:val="20"/>
              </w:rPr>
              <w:t xml:space="preserve"> </w:t>
            </w:r>
            <w:r w:rsidRPr="004B551D">
              <w:rPr>
                <w:sz w:val="20"/>
                <w:szCs w:val="20"/>
              </w:rPr>
              <w:t>cca 18 %</w:t>
            </w:r>
            <w:r w:rsidR="00E42C18">
              <w:rPr>
                <w:sz w:val="20"/>
                <w:szCs w:val="20"/>
              </w:rPr>
              <w:t>.</w:t>
            </w:r>
          </w:p>
        </w:tc>
        <w:tc>
          <w:tcPr>
            <w:tcW w:w="1692" w:type="pct"/>
            <w:vAlign w:val="center"/>
          </w:tcPr>
          <w:p w14:paraId="14205BE7" w14:textId="2BA38C5C" w:rsidR="000756D5" w:rsidRPr="00BC1091" w:rsidRDefault="000756D5" w:rsidP="001B0A18">
            <w:pPr>
              <w:ind w:left="-57" w:right="-57"/>
              <w:jc w:val="center"/>
              <w:rPr>
                <w:sz w:val="20"/>
                <w:szCs w:val="20"/>
              </w:rPr>
            </w:pPr>
            <w:r w:rsidRPr="00BC1091">
              <w:rPr>
                <w:sz w:val="20"/>
                <w:szCs w:val="20"/>
              </w:rPr>
              <w:t>Zůstává v</w:t>
            </w:r>
            <w:r w:rsidR="002E3F6A">
              <w:rPr>
                <w:sz w:val="20"/>
                <w:szCs w:val="20"/>
              </w:rPr>
              <w:t> </w:t>
            </w:r>
            <w:r w:rsidRPr="00BC1091">
              <w:rPr>
                <w:sz w:val="20"/>
                <w:szCs w:val="20"/>
              </w:rPr>
              <w:t>provozu</w:t>
            </w:r>
            <w:r w:rsidR="002E3F6A">
              <w:rPr>
                <w:sz w:val="20"/>
                <w:szCs w:val="20"/>
              </w:rPr>
              <w:t xml:space="preserve"> </w:t>
            </w:r>
            <w:r w:rsidR="002E3F6A">
              <w:rPr>
                <w:sz w:val="20"/>
                <w:szCs w:val="20"/>
              </w:rPr>
              <w:br/>
            </w:r>
            <w:r>
              <w:rPr>
                <w:sz w:val="20"/>
                <w:szCs w:val="20"/>
              </w:rPr>
              <w:t xml:space="preserve">více než </w:t>
            </w:r>
            <w:r w:rsidRPr="00E42C18">
              <w:rPr>
                <w:b/>
                <w:szCs w:val="20"/>
              </w:rPr>
              <w:t xml:space="preserve">150 </w:t>
            </w:r>
            <w:r w:rsidRPr="00E42C18">
              <w:rPr>
                <w:sz w:val="20"/>
                <w:szCs w:val="20"/>
              </w:rPr>
              <w:t xml:space="preserve">tisíc </w:t>
            </w:r>
            <w:r w:rsidR="002E3F6A">
              <w:rPr>
                <w:sz w:val="20"/>
                <w:szCs w:val="20"/>
              </w:rPr>
              <w:br/>
            </w:r>
            <w:r>
              <w:rPr>
                <w:sz w:val="20"/>
                <w:szCs w:val="20"/>
              </w:rPr>
              <w:t xml:space="preserve">nevyhovujících </w:t>
            </w:r>
            <w:r w:rsidRPr="00BC1091">
              <w:rPr>
                <w:sz w:val="20"/>
                <w:szCs w:val="20"/>
              </w:rPr>
              <w:t>kotlů</w:t>
            </w:r>
            <w:r w:rsidR="007E729D">
              <w:rPr>
                <w:sz w:val="20"/>
                <w:szCs w:val="20"/>
              </w:rPr>
              <w:t>.</w:t>
            </w:r>
          </w:p>
          <w:p w14:paraId="38725D53" w14:textId="77777777" w:rsidR="000756D5" w:rsidRDefault="000756D5" w:rsidP="002E3F6A">
            <w:pPr>
              <w:jc w:val="center"/>
              <w:rPr>
                <w:b/>
                <w:sz w:val="20"/>
                <w:szCs w:val="20"/>
              </w:rPr>
            </w:pPr>
          </w:p>
          <w:p w14:paraId="53E0D7A8" w14:textId="5E44F8CD" w:rsidR="00C53C14" w:rsidRPr="00E42C18" w:rsidRDefault="000756D5" w:rsidP="002E3F6A">
            <w:pPr>
              <w:ind w:left="-57" w:right="-57"/>
              <w:jc w:val="center"/>
              <w:rPr>
                <w:sz w:val="20"/>
                <w:szCs w:val="20"/>
              </w:rPr>
            </w:pPr>
            <w:r w:rsidRPr="008B5259">
              <w:rPr>
                <w:sz w:val="20"/>
                <w:szCs w:val="20"/>
              </w:rPr>
              <w:t xml:space="preserve">Od 1. 9. 2024 platí zákaz </w:t>
            </w:r>
            <w:r>
              <w:rPr>
                <w:sz w:val="20"/>
                <w:szCs w:val="20"/>
              </w:rPr>
              <w:t xml:space="preserve">provozování </w:t>
            </w:r>
            <w:r w:rsidRPr="008B5259">
              <w:rPr>
                <w:sz w:val="20"/>
                <w:szCs w:val="20"/>
              </w:rPr>
              <w:t xml:space="preserve">kotlů </w:t>
            </w:r>
            <w:r w:rsidRPr="008B5259">
              <w:rPr>
                <w:sz w:val="20"/>
                <w:szCs w:val="20"/>
              </w:rPr>
              <w:br/>
              <w:t>1. a 2. emis</w:t>
            </w:r>
            <w:r w:rsidR="006746F8">
              <w:rPr>
                <w:sz w:val="20"/>
                <w:szCs w:val="20"/>
              </w:rPr>
              <w:t>n</w:t>
            </w:r>
            <w:r w:rsidRPr="008B5259">
              <w:rPr>
                <w:sz w:val="20"/>
                <w:szCs w:val="20"/>
              </w:rPr>
              <w:t>í třídy</w:t>
            </w:r>
            <w:r w:rsidR="00C53C14">
              <w:rPr>
                <w:sz w:val="20"/>
                <w:szCs w:val="20"/>
              </w:rPr>
              <w:t>.</w:t>
            </w:r>
            <w:r w:rsidR="002E3F6A">
              <w:rPr>
                <w:sz w:val="20"/>
                <w:szCs w:val="20"/>
              </w:rPr>
              <w:br/>
            </w:r>
            <w:r w:rsidR="00C53C14">
              <w:rPr>
                <w:sz w:val="20"/>
                <w:szCs w:val="20"/>
              </w:rPr>
              <w:t>Podpora jejich výměny skončí.</w:t>
            </w:r>
          </w:p>
        </w:tc>
      </w:tr>
      <w:tr w:rsidR="001B0A18" w:rsidRPr="003812AC" w14:paraId="438ED71D" w14:textId="77777777" w:rsidTr="002E3F6A">
        <w:trPr>
          <w:trHeight w:val="2268"/>
        </w:trPr>
        <w:tc>
          <w:tcPr>
            <w:tcW w:w="830" w:type="pct"/>
            <w:shd w:val="clear" w:color="auto" w:fill="AF1953"/>
            <w:vAlign w:val="center"/>
          </w:tcPr>
          <w:p w14:paraId="61DB2606" w14:textId="77777777" w:rsidR="000756D5" w:rsidRPr="00E42C18" w:rsidRDefault="000756D5" w:rsidP="0035548B">
            <w:pPr>
              <w:ind w:left="-57" w:right="-57"/>
              <w:jc w:val="center"/>
              <w:rPr>
                <w:b/>
                <w:color w:val="FFFFFF" w:themeColor="background1"/>
                <w:sz w:val="20"/>
                <w:szCs w:val="20"/>
              </w:rPr>
            </w:pPr>
            <w:r w:rsidRPr="00E42C18">
              <w:rPr>
                <w:b/>
                <w:color w:val="FFFFFF" w:themeColor="background1"/>
                <w:sz w:val="20"/>
                <w:szCs w:val="20"/>
              </w:rPr>
              <w:t>DOTACE V PRŮMYSLU</w:t>
            </w:r>
          </w:p>
          <w:p w14:paraId="2F4EA77F" w14:textId="77777777" w:rsidR="000756D5" w:rsidRPr="003812AC" w:rsidRDefault="000756D5" w:rsidP="0035548B">
            <w:pPr>
              <w:ind w:left="-57" w:right="-57"/>
              <w:jc w:val="center"/>
              <w:rPr>
                <w:b/>
                <w:sz w:val="20"/>
                <w:szCs w:val="20"/>
              </w:rPr>
            </w:pPr>
            <w:r w:rsidRPr="00E42C18">
              <w:rPr>
                <w:b/>
                <w:color w:val="FFFFFF" w:themeColor="background1"/>
                <w:sz w:val="20"/>
                <w:szCs w:val="20"/>
              </w:rPr>
              <w:t>(2014 až 2022)</w:t>
            </w:r>
          </w:p>
        </w:tc>
        <w:tc>
          <w:tcPr>
            <w:tcW w:w="857" w:type="pct"/>
            <w:vAlign w:val="center"/>
          </w:tcPr>
          <w:p w14:paraId="3BE14196" w14:textId="3DDA2000" w:rsidR="000756D5" w:rsidRPr="0035548B" w:rsidRDefault="000756D5" w:rsidP="00E42C18">
            <w:pPr>
              <w:jc w:val="center"/>
            </w:pPr>
            <w:r w:rsidRPr="0035548B">
              <w:rPr>
                <w:b/>
              </w:rPr>
              <w:t xml:space="preserve">2,9 </w:t>
            </w:r>
            <w:r w:rsidRPr="0035548B">
              <w:t>mld. Kč</w:t>
            </w:r>
          </w:p>
        </w:tc>
        <w:tc>
          <w:tcPr>
            <w:tcW w:w="1621" w:type="pct"/>
            <w:vAlign w:val="center"/>
          </w:tcPr>
          <w:p w14:paraId="0374303F" w14:textId="03AE7936" w:rsidR="000756D5" w:rsidRPr="003812AC" w:rsidRDefault="000756D5" w:rsidP="0035548B">
            <w:pPr>
              <w:ind w:left="-57" w:right="-57"/>
              <w:jc w:val="center"/>
              <w:rPr>
                <w:sz w:val="20"/>
                <w:szCs w:val="20"/>
              </w:rPr>
            </w:pPr>
            <w:r>
              <w:rPr>
                <w:sz w:val="20"/>
                <w:szCs w:val="20"/>
              </w:rPr>
              <w:t xml:space="preserve">Projekty OPŽP se podílely mezi roky 2014 a 2022 na snížení objemu ročních </w:t>
            </w:r>
            <w:r w:rsidRPr="00B01F6B">
              <w:rPr>
                <w:sz w:val="20"/>
                <w:szCs w:val="20"/>
              </w:rPr>
              <w:t xml:space="preserve">emisí </w:t>
            </w:r>
            <w:r w:rsidR="002E3F6A">
              <w:rPr>
                <w:sz w:val="20"/>
                <w:szCs w:val="20"/>
              </w:rPr>
              <w:br/>
            </w:r>
            <w:r>
              <w:rPr>
                <w:sz w:val="20"/>
                <w:szCs w:val="20"/>
              </w:rPr>
              <w:t>oxidu siřičitého a oxidů dusíku jen minimálně.</w:t>
            </w:r>
          </w:p>
        </w:tc>
        <w:tc>
          <w:tcPr>
            <w:tcW w:w="1692" w:type="pct"/>
            <w:vAlign w:val="center"/>
          </w:tcPr>
          <w:p w14:paraId="1B6B9B1C" w14:textId="2593AF9B" w:rsidR="000756D5" w:rsidRPr="003812AC" w:rsidRDefault="000756D5" w:rsidP="002E3F6A">
            <w:pPr>
              <w:jc w:val="center"/>
              <w:rPr>
                <w:sz w:val="20"/>
                <w:szCs w:val="20"/>
              </w:rPr>
            </w:pPr>
            <w:r w:rsidRPr="00E42C18">
              <w:rPr>
                <w:sz w:val="20"/>
                <w:szCs w:val="20"/>
              </w:rPr>
              <w:t xml:space="preserve">NEÚČELNĚ </w:t>
            </w:r>
            <w:r w:rsidRPr="003812AC">
              <w:rPr>
                <w:sz w:val="20"/>
                <w:szCs w:val="20"/>
              </w:rPr>
              <w:t xml:space="preserve">VYNALOŽENÉ </w:t>
            </w:r>
            <w:r w:rsidR="002E3F6A">
              <w:rPr>
                <w:sz w:val="20"/>
                <w:szCs w:val="20"/>
              </w:rPr>
              <w:br/>
            </w:r>
            <w:r w:rsidRPr="003812AC">
              <w:rPr>
                <w:sz w:val="20"/>
                <w:szCs w:val="20"/>
              </w:rPr>
              <w:t>PENĚŽN</w:t>
            </w:r>
            <w:r>
              <w:rPr>
                <w:sz w:val="20"/>
                <w:szCs w:val="20"/>
              </w:rPr>
              <w:t>Í</w:t>
            </w:r>
            <w:r w:rsidRPr="003812AC">
              <w:rPr>
                <w:sz w:val="20"/>
                <w:szCs w:val="20"/>
              </w:rPr>
              <w:t xml:space="preserve"> PROSTŘEDKY</w:t>
            </w:r>
          </w:p>
          <w:p w14:paraId="0A2A39D2" w14:textId="77777777" w:rsidR="000756D5" w:rsidRPr="003812AC" w:rsidRDefault="000756D5" w:rsidP="002E3F6A">
            <w:pPr>
              <w:jc w:val="center"/>
              <w:rPr>
                <w:sz w:val="20"/>
                <w:szCs w:val="20"/>
              </w:rPr>
            </w:pPr>
          </w:p>
          <w:p w14:paraId="10F8ED0E" w14:textId="77777777" w:rsidR="000756D5" w:rsidRPr="003812AC" w:rsidRDefault="000756D5" w:rsidP="002E3F6A">
            <w:pPr>
              <w:jc w:val="center"/>
              <w:rPr>
                <w:sz w:val="20"/>
                <w:szCs w:val="20"/>
              </w:rPr>
            </w:pPr>
            <w:r w:rsidRPr="0035548B">
              <w:rPr>
                <w:b/>
                <w:sz w:val="28"/>
                <w:szCs w:val="20"/>
              </w:rPr>
              <w:t>103,5</w:t>
            </w:r>
            <w:r w:rsidRPr="0035548B">
              <w:rPr>
                <w:sz w:val="28"/>
                <w:szCs w:val="20"/>
              </w:rPr>
              <w:t xml:space="preserve"> </w:t>
            </w:r>
            <w:r w:rsidRPr="003812AC">
              <w:rPr>
                <w:sz w:val="20"/>
                <w:szCs w:val="20"/>
              </w:rPr>
              <w:t>mil. Kč</w:t>
            </w:r>
          </w:p>
          <w:p w14:paraId="38AAFBAB" w14:textId="77777777" w:rsidR="000756D5" w:rsidRPr="003812AC" w:rsidRDefault="000756D5" w:rsidP="002E3F6A">
            <w:pPr>
              <w:jc w:val="center"/>
              <w:rPr>
                <w:sz w:val="20"/>
                <w:szCs w:val="20"/>
              </w:rPr>
            </w:pPr>
            <w:r w:rsidRPr="003812AC">
              <w:rPr>
                <w:sz w:val="20"/>
                <w:szCs w:val="20"/>
              </w:rPr>
              <w:t>u</w:t>
            </w:r>
            <w:r w:rsidRPr="00E42C18">
              <w:rPr>
                <w:sz w:val="20"/>
                <w:szCs w:val="20"/>
              </w:rPr>
              <w:t xml:space="preserve"> MŽP</w:t>
            </w:r>
          </w:p>
          <w:p w14:paraId="128590D6" w14:textId="77777777" w:rsidR="000756D5" w:rsidRPr="003812AC" w:rsidRDefault="000756D5" w:rsidP="002E3F6A">
            <w:pPr>
              <w:jc w:val="center"/>
              <w:rPr>
                <w:sz w:val="20"/>
                <w:szCs w:val="20"/>
              </w:rPr>
            </w:pPr>
          </w:p>
          <w:p w14:paraId="291220AF" w14:textId="77777777" w:rsidR="000756D5" w:rsidRPr="003812AC" w:rsidRDefault="000756D5" w:rsidP="002E3F6A">
            <w:pPr>
              <w:jc w:val="center"/>
              <w:rPr>
                <w:sz w:val="20"/>
                <w:szCs w:val="20"/>
              </w:rPr>
            </w:pPr>
            <w:r w:rsidRPr="0035548B">
              <w:rPr>
                <w:b/>
                <w:sz w:val="28"/>
                <w:szCs w:val="20"/>
              </w:rPr>
              <w:t>5,6</w:t>
            </w:r>
            <w:r w:rsidRPr="0035548B">
              <w:rPr>
                <w:sz w:val="28"/>
                <w:szCs w:val="20"/>
              </w:rPr>
              <w:t xml:space="preserve"> </w:t>
            </w:r>
            <w:r w:rsidRPr="003812AC">
              <w:rPr>
                <w:sz w:val="20"/>
                <w:szCs w:val="20"/>
              </w:rPr>
              <w:t>mil. Kč</w:t>
            </w:r>
          </w:p>
          <w:p w14:paraId="377CA33B" w14:textId="77777777" w:rsidR="000756D5" w:rsidRPr="003812AC" w:rsidRDefault="000756D5" w:rsidP="002E3F6A">
            <w:pPr>
              <w:jc w:val="center"/>
              <w:rPr>
                <w:sz w:val="20"/>
                <w:szCs w:val="20"/>
              </w:rPr>
            </w:pPr>
            <w:r w:rsidRPr="003812AC">
              <w:rPr>
                <w:sz w:val="20"/>
                <w:szCs w:val="20"/>
              </w:rPr>
              <w:t xml:space="preserve">u </w:t>
            </w:r>
            <w:r w:rsidRPr="00E42C18">
              <w:rPr>
                <w:sz w:val="20"/>
                <w:szCs w:val="20"/>
              </w:rPr>
              <w:t>příjemce dotace</w:t>
            </w:r>
          </w:p>
        </w:tc>
      </w:tr>
    </w:tbl>
    <w:p w14:paraId="0EC169CB" w14:textId="655D80B3" w:rsidR="00557671" w:rsidRDefault="00557671" w:rsidP="00084389">
      <w:pPr>
        <w:spacing w:before="120"/>
        <w:ind w:left="284" w:hanging="284"/>
        <w:jc w:val="both"/>
        <w:rPr>
          <w:rFonts w:ascii="Calibri" w:hAnsi="Calibri" w:cs="Calibri"/>
          <w:sz w:val="20"/>
          <w:szCs w:val="20"/>
        </w:rPr>
      </w:pPr>
      <w:r>
        <w:rPr>
          <w:rFonts w:ascii="Calibri" w:hAnsi="Calibri" w:cs="Calibri"/>
          <w:sz w:val="20"/>
          <w:szCs w:val="20"/>
          <w:vertAlign w:val="superscript"/>
        </w:rPr>
        <w:t>1</w:t>
      </w:r>
      <w:r>
        <w:rPr>
          <w:rFonts w:ascii="Calibri" w:hAnsi="Calibri" w:cs="Calibri"/>
          <w:sz w:val="20"/>
          <w:szCs w:val="20"/>
        </w:rPr>
        <w:t xml:space="preserve"> </w:t>
      </w:r>
      <w:r>
        <w:rPr>
          <w:rFonts w:ascii="Calibri" w:hAnsi="Calibri" w:cs="Calibri"/>
          <w:sz w:val="20"/>
          <w:szCs w:val="20"/>
        </w:rPr>
        <w:tab/>
        <w:t xml:space="preserve">Prioritní osa 2: </w:t>
      </w:r>
      <w:r w:rsidRPr="001F4DB8">
        <w:rPr>
          <w:rFonts w:ascii="Calibri" w:hAnsi="Calibri" w:cs="Calibri"/>
          <w:i/>
          <w:sz w:val="20"/>
          <w:szCs w:val="20"/>
        </w:rPr>
        <w:t>Zlepšování kvality ovzduší v lidských sídlech</w:t>
      </w:r>
      <w:r>
        <w:rPr>
          <w:rFonts w:ascii="Calibri" w:hAnsi="Calibri" w:cs="Calibri"/>
          <w:sz w:val="20"/>
          <w:szCs w:val="20"/>
        </w:rPr>
        <w:t xml:space="preserve"> (dále také „PO 2“) </w:t>
      </w:r>
      <w:r w:rsidRPr="002F3B4E">
        <w:rPr>
          <w:rFonts w:ascii="Calibri" w:hAnsi="Calibri" w:cs="Calibri"/>
          <w:sz w:val="20"/>
          <w:szCs w:val="20"/>
        </w:rPr>
        <w:t>operační</w:t>
      </w:r>
      <w:r w:rsidR="0056477B">
        <w:rPr>
          <w:rFonts w:ascii="Calibri" w:hAnsi="Calibri" w:cs="Calibri"/>
          <w:sz w:val="20"/>
          <w:szCs w:val="20"/>
        </w:rPr>
        <w:t>ho</w:t>
      </w:r>
      <w:r w:rsidRPr="002F3B4E">
        <w:rPr>
          <w:rFonts w:ascii="Calibri" w:hAnsi="Calibri" w:cs="Calibri"/>
          <w:sz w:val="20"/>
          <w:szCs w:val="20"/>
        </w:rPr>
        <w:t xml:space="preserve"> programu </w:t>
      </w:r>
      <w:r>
        <w:rPr>
          <w:rFonts w:ascii="Calibri" w:hAnsi="Calibri" w:cs="Calibri"/>
          <w:i/>
          <w:sz w:val="20"/>
          <w:szCs w:val="20"/>
        </w:rPr>
        <w:t>Životní prostředí 2014–2020</w:t>
      </w:r>
      <w:r>
        <w:rPr>
          <w:rFonts w:ascii="Calibri" w:hAnsi="Calibri" w:cs="Calibri"/>
          <w:sz w:val="20"/>
          <w:szCs w:val="20"/>
        </w:rPr>
        <w:t xml:space="preserve"> (dále také „OPŽP“).</w:t>
      </w:r>
    </w:p>
    <w:p w14:paraId="6CCBAC3F" w14:textId="3F786EC2" w:rsidR="007C4C22" w:rsidRDefault="00557671" w:rsidP="00FF43C5">
      <w:pPr>
        <w:ind w:left="284" w:hanging="284"/>
        <w:jc w:val="both"/>
        <w:rPr>
          <w:rFonts w:ascii="Calibri" w:hAnsi="Calibri" w:cs="Calibri"/>
          <w:i/>
          <w:sz w:val="20"/>
          <w:szCs w:val="20"/>
        </w:rPr>
      </w:pPr>
      <w:r>
        <w:rPr>
          <w:rFonts w:ascii="Calibri" w:hAnsi="Calibri" w:cs="Calibri"/>
          <w:sz w:val="20"/>
          <w:szCs w:val="20"/>
          <w:vertAlign w:val="superscript"/>
        </w:rPr>
        <w:t>2</w:t>
      </w:r>
      <w:r>
        <w:rPr>
          <w:rFonts w:ascii="Calibri" w:hAnsi="Calibri" w:cs="Calibri"/>
          <w:sz w:val="20"/>
          <w:szCs w:val="20"/>
        </w:rPr>
        <w:t xml:space="preserve"> </w:t>
      </w:r>
      <w:r>
        <w:rPr>
          <w:rFonts w:ascii="Calibri" w:hAnsi="Calibri" w:cs="Calibri"/>
          <w:sz w:val="20"/>
          <w:szCs w:val="20"/>
        </w:rPr>
        <w:tab/>
        <w:t xml:space="preserve">Program </w:t>
      </w:r>
      <w:r w:rsidRPr="00C30B7D">
        <w:rPr>
          <w:rFonts w:ascii="Calibri" w:hAnsi="Calibri" w:cs="Calibri"/>
          <w:i/>
          <w:sz w:val="20"/>
          <w:szCs w:val="20"/>
        </w:rPr>
        <w:t>Nová zelená úsporám</w:t>
      </w:r>
      <w:r>
        <w:rPr>
          <w:rFonts w:ascii="Calibri" w:hAnsi="Calibri" w:cs="Calibri"/>
          <w:sz w:val="20"/>
          <w:szCs w:val="20"/>
        </w:rPr>
        <w:t xml:space="preserve"> (dále také „NZÚ“)</w:t>
      </w:r>
      <w:r w:rsidR="00FF43C5">
        <w:rPr>
          <w:rFonts w:ascii="Calibri" w:hAnsi="Calibri" w:cs="Calibri"/>
          <w:sz w:val="20"/>
          <w:szCs w:val="20"/>
        </w:rPr>
        <w:t xml:space="preserve">, podprogramy </w:t>
      </w:r>
      <w:r w:rsidR="00FF43C5" w:rsidRPr="00FF43C5">
        <w:rPr>
          <w:rFonts w:ascii="Calibri" w:hAnsi="Calibri" w:cs="Calibri"/>
          <w:i/>
          <w:sz w:val="20"/>
          <w:szCs w:val="20"/>
        </w:rPr>
        <w:t>Rodinné domy</w:t>
      </w:r>
      <w:r w:rsidR="00FF43C5">
        <w:rPr>
          <w:rFonts w:ascii="Calibri" w:hAnsi="Calibri" w:cs="Calibri"/>
          <w:sz w:val="20"/>
          <w:szCs w:val="20"/>
        </w:rPr>
        <w:t xml:space="preserve"> a </w:t>
      </w:r>
      <w:r w:rsidR="00FF43C5" w:rsidRPr="00FF43C5">
        <w:rPr>
          <w:rFonts w:ascii="Calibri" w:hAnsi="Calibri" w:cs="Calibri"/>
          <w:i/>
          <w:sz w:val="20"/>
          <w:szCs w:val="20"/>
        </w:rPr>
        <w:t xml:space="preserve">Adaptační a </w:t>
      </w:r>
      <w:proofErr w:type="spellStart"/>
      <w:r w:rsidR="00FF43C5" w:rsidRPr="00FF43C5">
        <w:rPr>
          <w:rFonts w:ascii="Calibri" w:hAnsi="Calibri" w:cs="Calibri"/>
          <w:i/>
          <w:sz w:val="20"/>
          <w:szCs w:val="20"/>
        </w:rPr>
        <w:t>mitigační</w:t>
      </w:r>
      <w:proofErr w:type="spellEnd"/>
      <w:r w:rsidR="00FF43C5" w:rsidRPr="00FF43C5">
        <w:rPr>
          <w:rFonts w:ascii="Calibri" w:hAnsi="Calibri" w:cs="Calibri"/>
          <w:i/>
          <w:sz w:val="20"/>
          <w:szCs w:val="20"/>
        </w:rPr>
        <w:t xml:space="preserve"> opatření</w:t>
      </w:r>
      <w:r w:rsidR="00FF43C5">
        <w:rPr>
          <w:rFonts w:ascii="Calibri" w:hAnsi="Calibri" w:cs="Calibri"/>
          <w:i/>
          <w:sz w:val="20"/>
          <w:szCs w:val="20"/>
        </w:rPr>
        <w:t xml:space="preserve"> </w:t>
      </w:r>
      <w:r w:rsidR="00FF43C5" w:rsidRPr="002F3B4E">
        <w:rPr>
          <w:rFonts w:ascii="Calibri" w:hAnsi="Calibri" w:cs="Calibri"/>
          <w:sz w:val="20"/>
          <w:szCs w:val="20"/>
        </w:rPr>
        <w:t>(pouze peněžní prostředky určené na výměny zdrojů energie v rodinných domech)</w:t>
      </w:r>
      <w:r w:rsidR="00C53C14" w:rsidRPr="0056477B">
        <w:rPr>
          <w:rFonts w:ascii="Calibri" w:hAnsi="Calibri" w:cs="Calibri"/>
          <w:sz w:val="20"/>
          <w:szCs w:val="20"/>
        </w:rPr>
        <w:t>.</w:t>
      </w:r>
      <w:r w:rsidR="007C4C22">
        <w:rPr>
          <w:rFonts w:ascii="Calibri" w:hAnsi="Calibri" w:cs="Calibri"/>
          <w:i/>
          <w:sz w:val="20"/>
          <w:szCs w:val="20"/>
        </w:rPr>
        <w:br w:type="page"/>
      </w:r>
    </w:p>
    <w:p w14:paraId="10D53BF9" w14:textId="77777777" w:rsidR="003368CE" w:rsidRDefault="003368CE" w:rsidP="00FF43C5">
      <w:pPr>
        <w:ind w:left="284" w:hanging="284"/>
        <w:jc w:val="both"/>
        <w:sectPr w:rsidR="003368CE" w:rsidSect="00D8616B">
          <w:headerReference w:type="first" r:id="rId17"/>
          <w:footerReference w:type="first" r:id="rId18"/>
          <w:pgSz w:w="11906" w:h="16838"/>
          <w:pgMar w:top="1134" w:right="1418" w:bottom="1134" w:left="1418" w:header="284" w:footer="675" w:gutter="0"/>
          <w:cols w:space="708"/>
          <w:titlePg/>
          <w:docGrid w:linePitch="360"/>
        </w:sectPr>
      </w:pPr>
    </w:p>
    <w:p w14:paraId="7D9D609F" w14:textId="02A004C3" w:rsidR="00CA2C1A" w:rsidRDefault="0016093A" w:rsidP="0016093A">
      <w:pPr>
        <w:pStyle w:val="Hlavnnadpis"/>
        <w:numPr>
          <w:ilvl w:val="0"/>
          <w:numId w:val="0"/>
        </w:numPr>
      </w:pPr>
      <w:bookmarkStart w:id="5" w:name="_Hlk164178975"/>
      <w:bookmarkStart w:id="6" w:name="_Hlk160719344"/>
      <w:r>
        <w:lastRenderedPageBreak/>
        <w:t xml:space="preserve">I. </w:t>
      </w:r>
      <w:r w:rsidR="000A5F6C" w:rsidRPr="005B6FF1">
        <w:t>Shrnutí</w:t>
      </w:r>
      <w:r w:rsidR="000A5F6C">
        <w:t xml:space="preserve"> a vyhodnocení</w:t>
      </w:r>
    </w:p>
    <w:bookmarkEnd w:id="5"/>
    <w:p w14:paraId="2FB42F98" w14:textId="151E2688" w:rsidR="00661861" w:rsidRPr="00522022" w:rsidRDefault="00661861" w:rsidP="00661861">
      <w:pPr>
        <w:spacing w:before="100"/>
        <w:jc w:val="both"/>
        <w:rPr>
          <w:rFonts w:ascii="Calibri" w:eastAsia="Calibri" w:hAnsi="Calibri" w:cs="Calibri"/>
        </w:rPr>
      </w:pPr>
      <w:r w:rsidRPr="00522022">
        <w:rPr>
          <w:rFonts w:ascii="Calibri" w:eastAsia="Calibri" w:hAnsi="Calibri" w:cs="Calibri"/>
        </w:rPr>
        <w:t>ČR se stále potýká se zhoršenou kvalitou ovzduší</w:t>
      </w:r>
      <w:r w:rsidRPr="00522022">
        <w:rPr>
          <w:rFonts w:ascii="Calibri" w:eastAsia="Calibri" w:hAnsi="Calibri" w:cs="Calibri"/>
          <w:vertAlign w:val="superscript"/>
        </w:rPr>
        <w:footnoteReference w:id="2"/>
      </w:r>
      <w:r w:rsidRPr="00522022">
        <w:rPr>
          <w:rFonts w:ascii="Calibri" w:eastAsia="Calibri" w:hAnsi="Calibri" w:cs="Calibri"/>
        </w:rPr>
        <w:t xml:space="preserve"> a na jejím území nejsou dlouhodobě dodržovány imisní limity</w:t>
      </w:r>
      <w:r w:rsidRPr="00522022">
        <w:rPr>
          <w:rFonts w:ascii="Calibri" w:eastAsia="Calibri" w:hAnsi="Calibri" w:cs="Calibri"/>
          <w:vertAlign w:val="superscript"/>
        </w:rPr>
        <w:footnoteReference w:id="3"/>
      </w:r>
      <w:r w:rsidRPr="00522022">
        <w:rPr>
          <w:rFonts w:ascii="Calibri" w:eastAsia="Calibri" w:hAnsi="Calibri" w:cs="Calibri"/>
        </w:rPr>
        <w:t xml:space="preserve">. </w:t>
      </w:r>
      <w:r w:rsidR="006313D9">
        <w:rPr>
          <w:rFonts w:ascii="Calibri" w:eastAsia="Calibri" w:hAnsi="Calibri" w:cs="Calibri"/>
        </w:rPr>
        <w:t xml:space="preserve">Podle Evropské agentury </w:t>
      </w:r>
      <w:r w:rsidRPr="00522022">
        <w:rPr>
          <w:rFonts w:ascii="Calibri" w:eastAsia="Calibri" w:hAnsi="Calibri" w:cs="Calibri"/>
        </w:rPr>
        <w:t xml:space="preserve">pro životní prostředí </w:t>
      </w:r>
      <w:r w:rsidR="006313D9">
        <w:rPr>
          <w:rFonts w:ascii="Calibri" w:eastAsia="Calibri" w:hAnsi="Calibri" w:cs="Calibri"/>
        </w:rPr>
        <w:t xml:space="preserve">je </w:t>
      </w:r>
      <w:r w:rsidRPr="00522022">
        <w:rPr>
          <w:rFonts w:ascii="Calibri" w:eastAsia="Calibri" w:hAnsi="Calibri" w:cs="Calibri"/>
        </w:rPr>
        <w:t xml:space="preserve">znečištění ovzduší vůbec největším zdravotním rizikem souvisejícím se životním prostředím v Evropě. </w:t>
      </w:r>
      <w:r w:rsidR="006C093D">
        <w:rPr>
          <w:rFonts w:ascii="Calibri" w:eastAsia="Calibri" w:hAnsi="Calibri" w:cs="Calibri"/>
        </w:rPr>
        <w:t>V</w:t>
      </w:r>
      <w:r w:rsidRPr="00522022">
        <w:rPr>
          <w:rFonts w:ascii="Calibri" w:eastAsia="Calibri" w:hAnsi="Calibri" w:cs="Calibri"/>
        </w:rPr>
        <w:t xml:space="preserve">láda ČR </w:t>
      </w:r>
      <w:r w:rsidR="006C093D">
        <w:rPr>
          <w:rFonts w:ascii="Calibri" w:eastAsia="Calibri" w:hAnsi="Calibri" w:cs="Calibri"/>
        </w:rPr>
        <w:t xml:space="preserve">schválila v roce </w:t>
      </w:r>
      <w:r w:rsidRPr="00522022">
        <w:rPr>
          <w:rFonts w:ascii="Calibri" w:eastAsia="Calibri" w:hAnsi="Calibri" w:cs="Calibri"/>
        </w:rPr>
        <w:t>2015 cíl dosáhnout plnění imisních limitů na území ČR v roce 2020</w:t>
      </w:r>
      <w:r w:rsidRPr="00522022">
        <w:rPr>
          <w:rFonts w:ascii="Calibri" w:eastAsia="Calibri" w:hAnsi="Calibri" w:cs="Calibri"/>
          <w:vertAlign w:val="superscript"/>
        </w:rPr>
        <w:footnoteReference w:id="4"/>
      </w:r>
      <w:r w:rsidRPr="00522022">
        <w:rPr>
          <w:rFonts w:ascii="Calibri" w:eastAsia="Calibri" w:hAnsi="Calibri" w:cs="Calibri"/>
        </w:rPr>
        <w:t>.</w:t>
      </w:r>
    </w:p>
    <w:p w14:paraId="2E92B495" w14:textId="77777777" w:rsidR="00661861" w:rsidRPr="00522022" w:rsidRDefault="00661861" w:rsidP="00661861">
      <w:pPr>
        <w:spacing w:before="100"/>
        <w:jc w:val="both"/>
        <w:rPr>
          <w:rFonts w:ascii="Calibri" w:eastAsia="Calibri" w:hAnsi="Calibri" w:cs="Calibri"/>
        </w:rPr>
      </w:pPr>
      <w:r w:rsidRPr="00522022">
        <w:rPr>
          <w:rFonts w:ascii="Calibri" w:eastAsia="Calibri" w:hAnsi="Calibri" w:cs="Times New Roman"/>
        </w:rPr>
        <w:t xml:space="preserve">NKÚ kontrolou prověřil poskytování peněžních prostředků státního rozpočtu a EU na projekty zaměřené na zlepšování kvality ovzduší v celkové výši 16, 2 mld. Kč. MŽP ke dni 31. 12. 2022 vynaložilo 13,9 mld. Kč v rámci PO 2 OPŽP. Dále pak 2,3 mld. Kč v rámci programu NZÚ. </w:t>
      </w:r>
      <w:r w:rsidRPr="00522022">
        <w:rPr>
          <w:rFonts w:ascii="Calibri" w:eastAsia="Calibri" w:hAnsi="Calibri" w:cs="Calibri"/>
        </w:rPr>
        <w:t>NKÚ prověřil, zda tyto peněžní prostředky byly vynaloženy účelně a v souladu s právními předpisy. NKÚ se mj. zaměřil na to, jak se peněžní prostředky poskytnuté MŽP podílely na snižování emisí</w:t>
      </w:r>
      <w:r w:rsidRPr="00522022">
        <w:rPr>
          <w:rFonts w:ascii="Calibri" w:eastAsia="Calibri" w:hAnsi="Calibri" w:cs="Calibri"/>
          <w:vertAlign w:val="superscript"/>
        </w:rPr>
        <w:footnoteReference w:id="5"/>
      </w:r>
      <w:r w:rsidRPr="00522022">
        <w:rPr>
          <w:rFonts w:ascii="Calibri" w:eastAsia="Calibri" w:hAnsi="Calibri" w:cs="Calibri"/>
        </w:rPr>
        <w:t xml:space="preserve"> znečišťujících látek ovzduší a zda došlo k naplnění cílů přijatých vládou ČR v oblasti ochrany kvality ovzduší.</w:t>
      </w:r>
    </w:p>
    <w:p w14:paraId="481F4219" w14:textId="35BBFF73" w:rsidR="00CF4903" w:rsidRPr="00522022" w:rsidRDefault="009B568B" w:rsidP="009B568B">
      <w:pPr>
        <w:spacing w:before="100"/>
        <w:jc w:val="both"/>
        <w:rPr>
          <w:rFonts w:ascii="Calibri" w:eastAsia="Calibri" w:hAnsi="Calibri" w:cs="Times New Roman"/>
          <w:b/>
        </w:rPr>
      </w:pPr>
      <w:r w:rsidRPr="00522022">
        <w:rPr>
          <w:rFonts w:ascii="Calibri" w:eastAsia="Calibri" w:hAnsi="Calibri" w:cs="Times New Roman"/>
          <w:b/>
        </w:rPr>
        <w:t xml:space="preserve">MŽP vynaložilo </w:t>
      </w:r>
      <w:r w:rsidRPr="00522022">
        <w:rPr>
          <w:rFonts w:ascii="Calibri" w:eastAsia="Calibri" w:hAnsi="Calibri" w:cs="Calibri"/>
          <w:b/>
        </w:rPr>
        <w:t>12,7 mld. Kč</w:t>
      </w:r>
      <w:r w:rsidRPr="00522022">
        <w:rPr>
          <w:rFonts w:ascii="Calibri" w:eastAsia="Calibri" w:hAnsi="Calibri" w:cs="Times New Roman"/>
          <w:b/>
        </w:rPr>
        <w:t xml:space="preserve"> z PO 2 OPŽP</w:t>
      </w:r>
      <w:r w:rsidRPr="00522022">
        <w:rPr>
          <w:rFonts w:ascii="Calibri" w:eastAsia="Calibri" w:hAnsi="Calibri" w:cs="Calibri"/>
          <w:b/>
        </w:rPr>
        <w:t xml:space="preserve"> a </w:t>
      </w:r>
      <w:r w:rsidRPr="00522022">
        <w:rPr>
          <w:rFonts w:ascii="Calibri" w:eastAsia="Calibri" w:hAnsi="Calibri" w:cs="Times New Roman"/>
          <w:b/>
        </w:rPr>
        <w:t>z NZÚ</w:t>
      </w:r>
      <w:r w:rsidRPr="00522022">
        <w:rPr>
          <w:rFonts w:ascii="Calibri" w:eastAsia="Calibri" w:hAnsi="Calibri" w:cs="Calibri"/>
          <w:b/>
        </w:rPr>
        <w:t>, tj. 78 % peněžních prostředků,</w:t>
      </w:r>
      <w:r w:rsidRPr="00522022">
        <w:rPr>
          <w:rFonts w:ascii="Calibri" w:eastAsia="Calibri" w:hAnsi="Calibri" w:cs="Times New Roman"/>
          <w:b/>
        </w:rPr>
        <w:t xml:space="preserve"> na výměny nevyhovujících kotlů v domácnostech. MŽP podpořilo 111 tisíc výměn, </w:t>
      </w:r>
      <w:r w:rsidR="00CF4903" w:rsidRPr="00522022">
        <w:rPr>
          <w:rFonts w:ascii="Calibri" w:eastAsia="Calibri" w:hAnsi="Calibri" w:cs="Times New Roman"/>
          <w:b/>
        </w:rPr>
        <w:t>které</w:t>
      </w:r>
      <w:r w:rsidRPr="00522022">
        <w:rPr>
          <w:rFonts w:ascii="Calibri" w:eastAsia="Calibri" w:hAnsi="Calibri" w:cs="Times New Roman"/>
          <w:b/>
        </w:rPr>
        <w:t xml:space="preserve"> přispěl</w:t>
      </w:r>
      <w:r w:rsidR="00CF4903" w:rsidRPr="00522022">
        <w:rPr>
          <w:rFonts w:ascii="Calibri" w:eastAsia="Calibri" w:hAnsi="Calibri" w:cs="Times New Roman"/>
          <w:b/>
        </w:rPr>
        <w:t>y</w:t>
      </w:r>
      <w:r w:rsidRPr="00522022">
        <w:rPr>
          <w:rFonts w:ascii="Calibri" w:eastAsia="Calibri" w:hAnsi="Calibri" w:cs="Times New Roman"/>
          <w:b/>
        </w:rPr>
        <w:t xml:space="preserve"> ke zlepšení kvality ovzduší. Nicméně podle informací MŽP nadále zůstává v provozu více než 150 tisíc nevyhovujících kotlů I. a II. emisní třídy.</w:t>
      </w:r>
    </w:p>
    <w:p w14:paraId="5C10E4E2" w14:textId="77777777" w:rsidR="00661861" w:rsidRPr="00522022" w:rsidRDefault="00661861" w:rsidP="00661861">
      <w:pPr>
        <w:spacing w:before="100"/>
        <w:jc w:val="both"/>
        <w:rPr>
          <w:rFonts w:ascii="Calibri" w:eastAsia="Calibri" w:hAnsi="Calibri" w:cs="Calibri"/>
          <w:szCs w:val="22"/>
          <w:highlight w:val="green"/>
        </w:rPr>
      </w:pPr>
      <w:r w:rsidRPr="00522022">
        <w:rPr>
          <w:rFonts w:ascii="Calibri" w:eastAsia="Calibri" w:hAnsi="Calibri" w:cs="Times New Roman"/>
          <w:b/>
        </w:rPr>
        <w:t xml:space="preserve">MŽP dále vynaložilo 2,9 mld. Kč z PO 2 OPŽP na snižování emisí z průmyslu. NKÚ zjistil, že MŽP část peněžních prostředků až ve výši 103,5 mil. Kč určených na omezování prašnosti v průmyslu vynaložilo neúčelně. </w:t>
      </w:r>
      <w:r w:rsidRPr="00522022">
        <w:rPr>
          <w:rFonts w:ascii="Calibri" w:eastAsia="Calibri" w:hAnsi="Calibri" w:cs="Calibri"/>
          <w:b/>
          <w:szCs w:val="22"/>
        </w:rPr>
        <w:t>NKÚ analyzoval vliv poskytnutých dotací na snížení emisí z průmyslu mezi roky 2014 a 2022. NKÚ vyhodnotil, že peněžní prostředky PO 2 OPŽP přispěly jen minimálně ke snížení emisí oxidu siřičitého a oxidů dusíku.</w:t>
      </w:r>
    </w:p>
    <w:p w14:paraId="0F29A951" w14:textId="77777777" w:rsidR="00661861" w:rsidRPr="00522022" w:rsidRDefault="00661861" w:rsidP="00661861">
      <w:pPr>
        <w:spacing w:before="100"/>
        <w:jc w:val="both"/>
        <w:rPr>
          <w:rFonts w:ascii="Calibri" w:eastAsia="Calibri" w:hAnsi="Calibri" w:cs="Times New Roman"/>
          <w:b/>
        </w:rPr>
      </w:pPr>
      <w:r w:rsidRPr="00522022">
        <w:rPr>
          <w:rFonts w:ascii="Calibri" w:eastAsia="Calibri" w:hAnsi="Calibri" w:cs="Calibri"/>
          <w:b/>
        </w:rPr>
        <w:t>NKÚ vyhodnotil, že v ČR nebylo do konce roku 2020 dosaženo plnění imisních limitů stanovených právními předpisy ČR i EU.</w:t>
      </w:r>
      <w:r w:rsidRPr="00522022">
        <w:rPr>
          <w:rFonts w:ascii="Calibri" w:eastAsia="Calibri" w:hAnsi="Calibri" w:cs="Times New Roman"/>
          <w:b/>
        </w:rPr>
        <w:t xml:space="preserve"> V roce 2020 i v letech následujících byly některé imisní limity nadále překračovány, a to zejména na střední a severovýchodní Moravě, což má negativní dopad na zdraví obyvatel.</w:t>
      </w:r>
    </w:p>
    <w:p w14:paraId="2539BE84" w14:textId="0A2B5F7F" w:rsidR="0093376F" w:rsidRPr="00522022" w:rsidRDefault="00661861" w:rsidP="00661861">
      <w:pPr>
        <w:spacing w:before="100"/>
        <w:jc w:val="both"/>
        <w:rPr>
          <w:rFonts w:ascii="Calibri" w:eastAsia="Calibri" w:hAnsi="Calibri" w:cs="Times New Roman"/>
        </w:rPr>
      </w:pPr>
      <w:r w:rsidRPr="00522022">
        <w:rPr>
          <w:rFonts w:ascii="Calibri" w:eastAsia="Calibri" w:hAnsi="Calibri" w:cs="Calibri"/>
          <w:b/>
        </w:rPr>
        <w:t>MŽP také nepostupovalo v některých případech při financování ochrany ovzduší v souladu s právními předpisy.</w:t>
      </w:r>
    </w:p>
    <w:p w14:paraId="63657F3C" w14:textId="077B6E0E" w:rsidR="00661861" w:rsidRPr="00522022" w:rsidRDefault="00661861" w:rsidP="00661861">
      <w:pPr>
        <w:spacing w:before="100"/>
        <w:jc w:val="both"/>
        <w:rPr>
          <w:rFonts w:ascii="Calibri" w:eastAsia="Calibri" w:hAnsi="Calibri" w:cs="Times New Roman"/>
        </w:rPr>
      </w:pPr>
      <w:r w:rsidRPr="00522022">
        <w:rPr>
          <w:rFonts w:ascii="Calibri" w:eastAsia="Calibri" w:hAnsi="Calibri" w:cs="Times New Roman"/>
        </w:rPr>
        <w:t>Výše uvedené celkové vyhodnocení vyplývá z následujících zjištění:</w:t>
      </w:r>
    </w:p>
    <w:p w14:paraId="47CF0ECB" w14:textId="3F29DCA0" w:rsidR="00661861" w:rsidRPr="00522022" w:rsidRDefault="00661861" w:rsidP="00661861">
      <w:pPr>
        <w:numPr>
          <w:ilvl w:val="0"/>
          <w:numId w:val="44"/>
        </w:numPr>
        <w:spacing w:before="100"/>
        <w:ind w:left="284" w:hanging="284"/>
        <w:jc w:val="both"/>
        <w:rPr>
          <w:rFonts w:ascii="Calibri" w:eastAsia="Calibri" w:hAnsi="Calibri" w:cs="Calibri"/>
        </w:rPr>
      </w:pPr>
      <w:r w:rsidRPr="00522022">
        <w:rPr>
          <w:rFonts w:ascii="Calibri" w:eastAsia="Calibri" w:hAnsi="Calibri" w:cs="Calibri"/>
        </w:rPr>
        <w:t>MŽP vynaložilo nejvíce peněžních prostředků určených na zlepšování kvality ovzduší na výměnu nevyhovujících zdrojů vytápění domácností. MŽP vynaložilo ke dni 31. 12. 2022 peněžní prostředky ve výši 10,4 mld.</w:t>
      </w:r>
      <w:r w:rsidR="0093376F" w:rsidRPr="00522022">
        <w:rPr>
          <w:rFonts w:ascii="Calibri" w:eastAsia="Calibri" w:hAnsi="Calibri" w:cs="Calibri"/>
        </w:rPr>
        <w:t xml:space="preserve"> Kč</w:t>
      </w:r>
      <w:r w:rsidRPr="00522022">
        <w:rPr>
          <w:rFonts w:ascii="Calibri" w:eastAsia="Calibri" w:hAnsi="Calibri" w:cs="Calibri"/>
        </w:rPr>
        <w:t xml:space="preserve"> z PO 2 OPŽP a 2,3 mld. Kč prostřednictvím NZÚ, </w:t>
      </w:r>
      <w:r w:rsidRPr="00522022">
        <w:rPr>
          <w:rFonts w:ascii="Calibri" w:eastAsia="Calibri" w:hAnsi="Calibri" w:cs="Calibri"/>
        </w:rPr>
        <w:lastRenderedPageBreak/>
        <w:t>z toho 1,5 mld. Kč na dofinancování žádostí z OPŽP. Celkem MŽP podpořilo 111 tisíc výměn</w:t>
      </w:r>
      <w:r w:rsidR="0093376F" w:rsidRPr="00522022">
        <w:rPr>
          <w:rFonts w:ascii="Calibri" w:eastAsia="Calibri" w:hAnsi="Calibri" w:cs="Calibri"/>
        </w:rPr>
        <w:t xml:space="preserve"> nevyhovujících kotlů</w:t>
      </w:r>
      <w:r w:rsidRPr="00522022">
        <w:rPr>
          <w:rFonts w:ascii="Calibri" w:eastAsia="Calibri" w:hAnsi="Calibri" w:cs="Calibri"/>
        </w:rPr>
        <w:t>, které zlepš</w:t>
      </w:r>
      <w:r w:rsidR="0093376F" w:rsidRPr="00522022">
        <w:rPr>
          <w:rFonts w:ascii="Calibri" w:eastAsia="Calibri" w:hAnsi="Calibri" w:cs="Calibri"/>
        </w:rPr>
        <w:t xml:space="preserve">ily </w:t>
      </w:r>
      <w:r w:rsidRPr="00522022">
        <w:rPr>
          <w:rFonts w:ascii="Calibri" w:eastAsia="Calibri" w:hAnsi="Calibri" w:cs="Calibri"/>
        </w:rPr>
        <w:t>kvalit</w:t>
      </w:r>
      <w:r w:rsidR="0093376F" w:rsidRPr="00522022">
        <w:rPr>
          <w:rFonts w:ascii="Calibri" w:eastAsia="Calibri" w:hAnsi="Calibri" w:cs="Calibri"/>
        </w:rPr>
        <w:t>u</w:t>
      </w:r>
      <w:r w:rsidRPr="00522022">
        <w:rPr>
          <w:rFonts w:ascii="Calibri" w:eastAsia="Calibri" w:hAnsi="Calibri" w:cs="Calibri"/>
        </w:rPr>
        <w:t xml:space="preserve"> ovzduší a sníž</w:t>
      </w:r>
      <w:r w:rsidR="0093376F" w:rsidRPr="00522022">
        <w:rPr>
          <w:rFonts w:ascii="Calibri" w:eastAsia="Calibri" w:hAnsi="Calibri" w:cs="Calibri"/>
        </w:rPr>
        <w:t>ily</w:t>
      </w:r>
      <w:r w:rsidRPr="00522022">
        <w:rPr>
          <w:rFonts w:ascii="Calibri" w:eastAsia="Calibri" w:hAnsi="Calibri" w:cs="Calibri"/>
        </w:rPr>
        <w:t xml:space="preserve"> závislost na fosilních palivech.</w:t>
      </w:r>
    </w:p>
    <w:p w14:paraId="4FCE9BCC" w14:textId="40B8E37B" w:rsidR="00FE26AA" w:rsidRPr="00522022" w:rsidRDefault="00661861" w:rsidP="00FE26AA">
      <w:pPr>
        <w:spacing w:before="100"/>
        <w:ind w:left="284"/>
        <w:jc w:val="both"/>
        <w:rPr>
          <w:rFonts w:ascii="Calibri" w:eastAsia="Calibri" w:hAnsi="Calibri" w:cs="Calibri"/>
        </w:rPr>
      </w:pPr>
      <w:r w:rsidRPr="00522022">
        <w:rPr>
          <w:rFonts w:ascii="Calibri" w:eastAsia="Calibri" w:hAnsi="Calibri" w:cs="Calibri"/>
        </w:rPr>
        <w:t>Dle platných pravidel OPŽP 2021–2027 mohou nízkopříjmové domácnosti požádat o dotaci na výměnu nevyhovujícího kotle do 31. 8. 2024. Poté začne platit zákaz provozování kotlů 1. a 2. emisní třídy</w:t>
      </w:r>
      <w:r w:rsidR="0056477B">
        <w:rPr>
          <w:rFonts w:ascii="Calibri" w:eastAsia="Calibri" w:hAnsi="Calibri" w:cs="Calibri"/>
        </w:rPr>
        <w:t>,</w:t>
      </w:r>
      <w:r w:rsidRPr="00522022">
        <w:rPr>
          <w:rFonts w:ascii="Calibri" w:eastAsia="Calibri" w:hAnsi="Calibri" w:cs="Calibri"/>
        </w:rPr>
        <w:t xml:space="preserve"> a nebude tedy již možné žádat o dotaci na jejich výměnu. Z</w:t>
      </w:r>
      <w:r w:rsidR="00FE26AA" w:rsidRPr="00522022">
        <w:rPr>
          <w:rFonts w:ascii="Calibri" w:eastAsia="Calibri" w:hAnsi="Calibri" w:cs="Calibri"/>
        </w:rPr>
        <w:t>da se z</w:t>
      </w:r>
      <w:r w:rsidRPr="00522022">
        <w:rPr>
          <w:rFonts w:ascii="Calibri" w:eastAsia="Calibri" w:hAnsi="Calibri" w:cs="Calibri"/>
        </w:rPr>
        <w:t xml:space="preserve">ákaz provozu nevyhovujících kotlů od 1. 9. 2024 </w:t>
      </w:r>
      <w:r w:rsidR="00FE26AA" w:rsidRPr="00522022">
        <w:rPr>
          <w:rFonts w:ascii="Calibri" w:eastAsia="Calibri" w:hAnsi="Calibri" w:cs="Calibri"/>
        </w:rPr>
        <w:t>projeví na</w:t>
      </w:r>
      <w:r w:rsidRPr="00522022">
        <w:rPr>
          <w:rFonts w:ascii="Calibri" w:eastAsia="Calibri" w:hAnsi="Calibri" w:cs="Calibri"/>
        </w:rPr>
        <w:t xml:space="preserve"> zlepšení kvality ovzduší</w:t>
      </w:r>
      <w:r w:rsidR="00FE26AA" w:rsidRPr="00522022">
        <w:rPr>
          <w:rFonts w:ascii="Calibri" w:eastAsia="Calibri" w:hAnsi="Calibri" w:cs="Calibri"/>
        </w:rPr>
        <w:t xml:space="preserve">, bude záviset na jeho dodržování a </w:t>
      </w:r>
      <w:r w:rsidRPr="00522022">
        <w:rPr>
          <w:rFonts w:ascii="Calibri" w:eastAsia="Calibri" w:hAnsi="Calibri" w:cs="Calibri"/>
        </w:rPr>
        <w:t>úspěšnosti vymáhání.</w:t>
      </w:r>
    </w:p>
    <w:p w14:paraId="14FBF272" w14:textId="77777777" w:rsidR="00661861" w:rsidRPr="00522022" w:rsidRDefault="00661861" w:rsidP="00661861">
      <w:pPr>
        <w:numPr>
          <w:ilvl w:val="0"/>
          <w:numId w:val="44"/>
        </w:numPr>
        <w:spacing w:before="100"/>
        <w:ind w:left="284" w:hanging="284"/>
        <w:jc w:val="both"/>
        <w:rPr>
          <w:rFonts w:ascii="Calibri" w:eastAsia="Calibri" w:hAnsi="Calibri" w:cs="Times New Roman"/>
        </w:rPr>
      </w:pPr>
      <w:r w:rsidRPr="00522022">
        <w:rPr>
          <w:rFonts w:ascii="Calibri" w:eastAsia="Calibri" w:hAnsi="Calibri" w:cs="Times New Roman"/>
        </w:rPr>
        <w:t>MŽP vynaložilo na snižování emisí z průmyslu z PO 2 OPŽP peněžní prostředky ve výši 1,16 mld. Kč na náhrady či rekonstrukce stacionárních zdrojů znečišťování, 0,98 mld. Kč na pořízení dodatečných technologií ke snížení emisí, 0,67 mld. Kč na omezování prašnosti z plošných zdrojů a 0,13 mld. Kč na ostatní aktivity.</w:t>
      </w:r>
    </w:p>
    <w:p w14:paraId="2090BF7B" w14:textId="7175CFC7" w:rsidR="00661861" w:rsidRPr="00522022" w:rsidRDefault="00661861" w:rsidP="00661861">
      <w:pPr>
        <w:spacing w:before="100"/>
        <w:ind w:left="284"/>
        <w:jc w:val="both"/>
        <w:rPr>
          <w:rFonts w:ascii="Calibri" w:eastAsia="Calibri" w:hAnsi="Calibri" w:cs="Calibri"/>
        </w:rPr>
      </w:pPr>
      <w:r w:rsidRPr="00522022">
        <w:rPr>
          <w:rFonts w:ascii="Calibri" w:eastAsia="Calibri" w:hAnsi="Calibri" w:cs="Calibri"/>
        </w:rPr>
        <w:t>NKÚ kontrolou zjistil, že MŽP vynaložilo peněžní prostředky až ve výši 103,5 mil. Kč z PO 2 OPŽP neúčelně, a to na nákup zařízení</w:t>
      </w:r>
      <w:r w:rsidRPr="00522022">
        <w:rPr>
          <w:rFonts w:ascii="Calibri" w:eastAsia="Calibri" w:hAnsi="Calibri" w:cs="Calibri"/>
          <w:vertAlign w:val="superscript"/>
        </w:rPr>
        <w:footnoteReference w:id="6"/>
      </w:r>
      <w:r w:rsidRPr="00522022">
        <w:rPr>
          <w:rFonts w:ascii="Calibri" w:eastAsia="Calibri" w:hAnsi="Calibri" w:cs="Calibri"/>
        </w:rPr>
        <w:t xml:space="preserve">, jejichž hlavním účelem nebylo snižování prašnosti. </w:t>
      </w:r>
      <w:r w:rsidR="00DB34A6" w:rsidRPr="00522022">
        <w:rPr>
          <w:rFonts w:ascii="Calibri" w:eastAsia="Calibri" w:hAnsi="Calibri" w:cs="Calibri"/>
        </w:rPr>
        <w:t>NKÚ vyhodnotil, že výdaje na tat</w:t>
      </w:r>
      <w:r w:rsidR="00852B0C" w:rsidRPr="00522022">
        <w:rPr>
          <w:rFonts w:ascii="Calibri" w:eastAsia="Calibri" w:hAnsi="Calibri" w:cs="Calibri"/>
        </w:rPr>
        <w:t>o</w:t>
      </w:r>
      <w:r w:rsidR="00DB34A6" w:rsidRPr="00522022">
        <w:rPr>
          <w:rFonts w:ascii="Calibri" w:eastAsia="Calibri" w:hAnsi="Calibri" w:cs="Calibri"/>
        </w:rPr>
        <w:t xml:space="preserve"> zařízení nebyly způsobilé</w:t>
      </w:r>
      <w:r w:rsidR="004A0AF1">
        <w:rPr>
          <w:rFonts w:ascii="Calibri" w:eastAsia="Calibri" w:hAnsi="Calibri" w:cs="Calibri"/>
        </w:rPr>
        <w:t>,</w:t>
      </w:r>
      <w:r w:rsidR="00DB34A6" w:rsidRPr="00522022">
        <w:rPr>
          <w:rFonts w:ascii="Calibri" w:eastAsia="Calibri" w:hAnsi="Calibri" w:cs="Calibri"/>
        </w:rPr>
        <w:t xml:space="preserve"> a jedná se tak o nesrovnalost ve smyslu nařízení Evropského parlamentu a Rady (EU) č. 1303/2013</w:t>
      </w:r>
      <w:r w:rsidR="00DB34A6" w:rsidRPr="00522022">
        <w:rPr>
          <w:rFonts w:ascii="Calibri" w:eastAsia="Calibri" w:hAnsi="Calibri" w:cs="Calibri"/>
          <w:vertAlign w:val="superscript"/>
        </w:rPr>
        <w:footnoteReference w:id="7"/>
      </w:r>
      <w:r w:rsidR="00DB34A6" w:rsidRPr="00522022">
        <w:rPr>
          <w:rFonts w:ascii="Calibri" w:eastAsia="Calibri" w:hAnsi="Calibri" w:cs="Calibri"/>
        </w:rPr>
        <w:t>.</w:t>
      </w:r>
      <w:r w:rsidR="00852B0C" w:rsidRPr="00522022">
        <w:rPr>
          <w:rFonts w:ascii="Calibri" w:eastAsia="Calibri" w:hAnsi="Calibri" w:cs="Calibri"/>
        </w:rPr>
        <w:t xml:space="preserve"> </w:t>
      </w:r>
      <w:r w:rsidRPr="00522022">
        <w:rPr>
          <w:rFonts w:ascii="Calibri" w:eastAsia="Calibri" w:hAnsi="Calibri" w:cs="Calibri"/>
        </w:rPr>
        <w:t>Neúčelné vynaložení peněžních prostředků na jedno z těchto zařízení ve výši 5,6 mil. Kč NKÚ zjistil</w:t>
      </w:r>
      <w:r w:rsidR="00852B0C" w:rsidRPr="00522022">
        <w:rPr>
          <w:rFonts w:ascii="Calibri" w:eastAsia="Calibri" w:hAnsi="Calibri" w:cs="Calibri"/>
        </w:rPr>
        <w:t xml:space="preserve"> i</w:t>
      </w:r>
      <w:r w:rsidRPr="00522022">
        <w:rPr>
          <w:rFonts w:ascii="Calibri" w:eastAsia="Calibri" w:hAnsi="Calibri" w:cs="Calibri"/>
        </w:rPr>
        <w:t xml:space="preserve"> u příjemc</w:t>
      </w:r>
      <w:r w:rsidR="00852B0C" w:rsidRPr="00522022">
        <w:rPr>
          <w:rFonts w:ascii="Calibri" w:eastAsia="Calibri" w:hAnsi="Calibri" w:cs="Calibri"/>
        </w:rPr>
        <w:t xml:space="preserve">e </w:t>
      </w:r>
      <w:r w:rsidRPr="00522022">
        <w:rPr>
          <w:rFonts w:ascii="Calibri" w:eastAsia="Calibri" w:hAnsi="Calibri" w:cs="Calibri"/>
        </w:rPr>
        <w:t>dotace.</w:t>
      </w:r>
    </w:p>
    <w:p w14:paraId="517924B8" w14:textId="0FFBC8BE" w:rsidR="00852B0C" w:rsidRPr="00522022" w:rsidRDefault="00852B0C" w:rsidP="00852B0C">
      <w:pPr>
        <w:spacing w:before="120"/>
        <w:ind w:left="284"/>
        <w:jc w:val="both"/>
        <w:rPr>
          <w:rFonts w:ascii="Calibri" w:eastAsia="Calibri" w:hAnsi="Calibri" w:cs="Calibri"/>
        </w:rPr>
      </w:pPr>
      <w:r w:rsidRPr="00522022">
        <w:rPr>
          <w:rFonts w:ascii="Calibri" w:eastAsia="Calibri" w:hAnsi="Calibri" w:cs="Calibri"/>
        </w:rPr>
        <w:t xml:space="preserve">NKÚ zjistil, že řada průmyslových subjektů odstupuje od již schválených projektů. MŽP reagovalo na tuto situaci </w:t>
      </w:r>
      <w:r w:rsidRPr="00522022">
        <w:rPr>
          <w:rFonts w:ascii="Calibri" w:eastAsia="Calibri" w:hAnsi="Calibri" w:cs="Calibri"/>
          <w:bCs/>
        </w:rPr>
        <w:t xml:space="preserve">vytvořením nové </w:t>
      </w:r>
      <w:r w:rsidR="004A0AF1">
        <w:rPr>
          <w:rFonts w:ascii="Calibri" w:eastAsia="Calibri" w:hAnsi="Calibri" w:cs="Calibri"/>
          <w:bCs/>
        </w:rPr>
        <w:t>p</w:t>
      </w:r>
      <w:r w:rsidRPr="00522022">
        <w:rPr>
          <w:rFonts w:ascii="Calibri" w:eastAsia="Calibri" w:hAnsi="Calibri" w:cs="Calibri"/>
          <w:bCs/>
        </w:rPr>
        <w:t xml:space="preserve">rioritní osy 7 (dále také „PO 7“) k dočerpání postupně se uvolňujících prostředků v rámci OPŽP. V rámci této prioritní osy poskytuje MŽP </w:t>
      </w:r>
      <w:r w:rsidRPr="00522022">
        <w:rPr>
          <w:rFonts w:ascii="Calibri" w:eastAsia="Calibri" w:hAnsi="Calibri" w:cs="Calibri"/>
        </w:rPr>
        <w:t xml:space="preserve">peněžní prostředky Úřadu práce České republiky (dále také „ÚP ČR“) na úhradu části příspěvku na bydlení domácnostem zasaženým zvýšením cen energie v důsledku vojenské agrese Ruska proti Ukrajině a růstem životních nákladů vlivem inflace. Podpora </w:t>
      </w:r>
      <w:r w:rsidR="004F0004" w:rsidRPr="00522022">
        <w:rPr>
          <w:rFonts w:ascii="Calibri" w:eastAsia="Calibri" w:hAnsi="Calibri" w:cs="Calibri"/>
        </w:rPr>
        <w:t xml:space="preserve">formou </w:t>
      </w:r>
      <w:r w:rsidRPr="00522022">
        <w:rPr>
          <w:rFonts w:ascii="Calibri" w:eastAsia="Calibri" w:hAnsi="Calibri" w:cs="Calibri"/>
        </w:rPr>
        <w:t>kompenzace nákladů domácností na energie nemá přímý vliv na zlepšení kvality ovzduší.</w:t>
      </w:r>
    </w:p>
    <w:p w14:paraId="05D4D386" w14:textId="77777777" w:rsidR="00661861" w:rsidRPr="00522022" w:rsidRDefault="00661861" w:rsidP="00661861">
      <w:pPr>
        <w:spacing w:before="100"/>
        <w:ind w:left="284"/>
        <w:jc w:val="both"/>
        <w:rPr>
          <w:rFonts w:ascii="Calibri" w:eastAsia="Calibri" w:hAnsi="Calibri" w:cs="Calibri"/>
        </w:rPr>
      </w:pPr>
      <w:r w:rsidRPr="00522022">
        <w:rPr>
          <w:rFonts w:ascii="Calibri" w:eastAsia="Calibri" w:hAnsi="Calibri" w:cs="Calibri"/>
        </w:rPr>
        <w:t>NKÚ zjišťoval, k jakému množství odstraněných ročních emisí z průmyslu přispěly projekty PO 2 OPŽP. Výsledek NKÚ porovnal s údaji o poklesu ročních emisí sledovaných ČHMÚ. Na základě tohoto porovnání NKÚ vyhodnotil, že podíl dotací na snížení emisí dominantně produkovaných průmyslem (NO</w:t>
      </w:r>
      <w:r w:rsidRPr="00522022">
        <w:rPr>
          <w:rFonts w:ascii="Calibri" w:eastAsia="Calibri" w:hAnsi="Calibri" w:cs="Calibri"/>
          <w:vertAlign w:val="subscript"/>
        </w:rPr>
        <w:t>X</w:t>
      </w:r>
      <w:r w:rsidRPr="00522022">
        <w:rPr>
          <w:rFonts w:ascii="Calibri" w:eastAsia="Calibri" w:hAnsi="Calibri" w:cs="Calibri"/>
        </w:rPr>
        <w:t xml:space="preserve"> a SO</w:t>
      </w:r>
      <w:r w:rsidRPr="00522022">
        <w:rPr>
          <w:rFonts w:ascii="Calibri" w:eastAsia="Calibri" w:hAnsi="Calibri" w:cs="Calibri"/>
          <w:vertAlign w:val="subscript"/>
        </w:rPr>
        <w:t>2</w:t>
      </w:r>
      <w:r w:rsidRPr="00522022">
        <w:rPr>
          <w:rFonts w:ascii="Calibri" w:eastAsia="Calibri" w:hAnsi="Calibri" w:cs="Calibri"/>
        </w:rPr>
        <w:t>) byl minimální.</w:t>
      </w:r>
    </w:p>
    <w:p w14:paraId="50C37C31" w14:textId="29BA9A99" w:rsidR="00661861" w:rsidRPr="00522022" w:rsidRDefault="005864ED" w:rsidP="00E04931">
      <w:pPr>
        <w:numPr>
          <w:ilvl w:val="0"/>
          <w:numId w:val="44"/>
        </w:numPr>
        <w:spacing w:before="100"/>
        <w:ind w:left="284" w:hanging="284"/>
        <w:jc w:val="both"/>
        <w:rPr>
          <w:rFonts w:ascii="Calibri" w:eastAsia="Calibri" w:hAnsi="Calibri" w:cs="Calibri"/>
        </w:rPr>
      </w:pPr>
      <w:r w:rsidRPr="00522022">
        <w:rPr>
          <w:rFonts w:ascii="Calibri" w:eastAsia="Calibri" w:hAnsi="Calibri" w:cs="Calibri"/>
        </w:rPr>
        <w:t xml:space="preserve">Vláda ČR schválila již v roce 2015 s ohledem na dlouhodobě zhoršenou kvalitu ovzduší a neplnění imisních limitů cíl plnění všech zákonem stanovených limitů do konce roku 2020. </w:t>
      </w:r>
      <w:r w:rsidR="00661861" w:rsidRPr="00522022">
        <w:rPr>
          <w:rFonts w:ascii="Calibri" w:eastAsia="Calibri" w:hAnsi="Calibri" w:cs="Calibri"/>
        </w:rPr>
        <w:t>NKÚ vyhodnotil na základě</w:t>
      </w:r>
      <w:r w:rsidR="00CE564D">
        <w:rPr>
          <w:rFonts w:ascii="Calibri" w:eastAsia="Calibri" w:hAnsi="Calibri" w:cs="Calibri"/>
        </w:rPr>
        <w:t xml:space="preserve"> </w:t>
      </w:r>
      <w:r w:rsidR="00661861" w:rsidRPr="00522022">
        <w:rPr>
          <w:rFonts w:ascii="Calibri" w:eastAsia="Calibri" w:hAnsi="Calibri" w:cs="Calibri"/>
        </w:rPr>
        <w:t>dat sledovaných ČHMÚ, že v roce 2020 i v letech následujících nebyly plněny některé imisní limity</w:t>
      </w:r>
      <w:r w:rsidR="00661861" w:rsidRPr="00522022">
        <w:rPr>
          <w:rFonts w:ascii="Calibri" w:eastAsia="Calibri" w:hAnsi="Calibri" w:cs="Calibri"/>
          <w:szCs w:val="22"/>
          <w:vertAlign w:val="superscript"/>
        </w:rPr>
        <w:footnoteReference w:id="8"/>
      </w:r>
      <w:r w:rsidR="00661861" w:rsidRPr="00522022">
        <w:rPr>
          <w:rFonts w:ascii="Calibri" w:eastAsia="Calibri" w:hAnsi="Calibri" w:cs="Calibri"/>
        </w:rPr>
        <w:t xml:space="preserve">, a to zejména v Moravskoslezském, Olomouckém a Zlínském kraji. </w:t>
      </w:r>
      <w:r w:rsidR="008548F4">
        <w:rPr>
          <w:rFonts w:ascii="Calibri" w:eastAsia="Calibri" w:hAnsi="Calibri" w:cs="Calibri"/>
        </w:rPr>
        <w:t xml:space="preserve">Přesto </w:t>
      </w:r>
      <w:r w:rsidR="00661861" w:rsidRPr="00522022">
        <w:rPr>
          <w:rFonts w:ascii="Calibri" w:eastAsia="Calibri" w:hAnsi="Calibri" w:cs="Calibri"/>
        </w:rPr>
        <w:t>podíl obyvatel žijí</w:t>
      </w:r>
      <w:r w:rsidR="008548F4">
        <w:rPr>
          <w:rFonts w:ascii="Calibri" w:eastAsia="Calibri" w:hAnsi="Calibri" w:cs="Calibri"/>
        </w:rPr>
        <w:t>cích</w:t>
      </w:r>
      <w:r w:rsidR="00661861" w:rsidRPr="00522022">
        <w:rPr>
          <w:rFonts w:ascii="Calibri" w:eastAsia="Calibri" w:hAnsi="Calibri" w:cs="Calibri"/>
        </w:rPr>
        <w:t xml:space="preserve"> v oblastech s překročením imisních limitů</w:t>
      </w:r>
      <w:r w:rsidR="00426C1C" w:rsidRPr="00522022">
        <w:rPr>
          <w:rStyle w:val="Znakapoznpodarou"/>
          <w:rFonts w:ascii="Calibri" w:eastAsia="Calibri" w:hAnsi="Calibri" w:cs="Calibri"/>
        </w:rPr>
        <w:footnoteReference w:id="9"/>
      </w:r>
      <w:r w:rsidR="00661861" w:rsidRPr="00522022">
        <w:rPr>
          <w:rFonts w:ascii="Calibri" w:eastAsia="Calibri" w:hAnsi="Calibri" w:cs="Calibri"/>
        </w:rPr>
        <w:t xml:space="preserve"> od roku 2018 klesá. Kvalitu ovzduší ovlivňují kromě vlastních zdrojů znečišťování také rozptylové podmínky, které byly v kontrolovaných letech příznivé.</w:t>
      </w:r>
    </w:p>
    <w:p w14:paraId="7F9BDBAF" w14:textId="4950D972" w:rsidR="005864ED" w:rsidRPr="00522022" w:rsidRDefault="005864ED" w:rsidP="005864ED">
      <w:pPr>
        <w:spacing w:before="120"/>
        <w:ind w:left="284"/>
        <w:jc w:val="both"/>
        <w:rPr>
          <w:rFonts w:ascii="Calibri" w:eastAsia="Calibri" w:hAnsi="Calibri" w:cs="Calibri"/>
        </w:rPr>
      </w:pPr>
      <w:r w:rsidRPr="00522022">
        <w:rPr>
          <w:rFonts w:ascii="Calibri" w:eastAsia="Calibri" w:hAnsi="Calibri" w:cs="Calibri"/>
        </w:rPr>
        <w:lastRenderedPageBreak/>
        <w:t>NKÚ zjistil, že pro částice PM</w:t>
      </w:r>
      <w:r w:rsidRPr="00522022">
        <w:rPr>
          <w:rFonts w:ascii="Calibri" w:eastAsia="Calibri" w:hAnsi="Calibri" w:cs="Calibri"/>
          <w:vertAlign w:val="subscript"/>
        </w:rPr>
        <w:t>2,5</w:t>
      </w:r>
      <w:r w:rsidRPr="00522022">
        <w:rPr>
          <w:rFonts w:ascii="Calibri" w:eastAsia="Calibri" w:hAnsi="Calibri" w:cs="Calibri"/>
        </w:rPr>
        <w:t xml:space="preserve"> není zákonem stanoven imisní limit pro maximální průměrné denní koncentrace</w:t>
      </w:r>
      <w:r w:rsidRPr="00522022">
        <w:rPr>
          <w:rFonts w:ascii="Calibri" w:eastAsia="Calibri" w:hAnsi="Calibri" w:cs="Calibri"/>
          <w:vertAlign w:val="superscript"/>
        </w:rPr>
        <w:footnoteReference w:id="10"/>
      </w:r>
      <w:r w:rsidRPr="00522022">
        <w:rPr>
          <w:rFonts w:ascii="Calibri" w:eastAsia="Calibri" w:hAnsi="Calibri" w:cs="Calibri"/>
        </w:rPr>
        <w:t xml:space="preserve">, přestože v ovzduší představují významný rizikový faktor pro lidské zdraví. Z pohledu doporučovaných limitů </w:t>
      </w:r>
      <w:r w:rsidR="00C519A5">
        <w:rPr>
          <w:rFonts w:ascii="Calibri" w:eastAsia="Calibri" w:hAnsi="Calibri" w:cs="Calibri"/>
        </w:rPr>
        <w:t>Světové zdravotnické organizace (dále také „</w:t>
      </w:r>
      <w:r w:rsidRPr="00522022">
        <w:rPr>
          <w:rFonts w:ascii="Calibri" w:eastAsia="Calibri" w:hAnsi="Calibri" w:cs="Calibri"/>
        </w:rPr>
        <w:t>WHO</w:t>
      </w:r>
      <w:r w:rsidR="00C519A5">
        <w:rPr>
          <w:rFonts w:ascii="Calibri" w:eastAsia="Calibri" w:hAnsi="Calibri" w:cs="Calibri"/>
        </w:rPr>
        <w:t>“)</w:t>
      </w:r>
      <w:r w:rsidRPr="00522022">
        <w:rPr>
          <w:rFonts w:ascii="Calibri" w:eastAsia="Calibri" w:hAnsi="Calibri" w:cs="Calibri"/>
        </w:rPr>
        <w:t xml:space="preserve"> pro maximální denní koncentrace PM</w:t>
      </w:r>
      <w:r w:rsidRPr="00522022">
        <w:rPr>
          <w:rFonts w:ascii="Calibri" w:eastAsia="Calibri" w:hAnsi="Calibri" w:cs="Calibri"/>
          <w:vertAlign w:val="subscript"/>
        </w:rPr>
        <w:t>2,5</w:t>
      </w:r>
      <w:r w:rsidRPr="00522022">
        <w:rPr>
          <w:rFonts w:ascii="Calibri" w:eastAsia="Calibri" w:hAnsi="Calibri" w:cs="Calibri"/>
        </w:rPr>
        <w:t xml:space="preserve"> je podle zjištění NKÚ kvalita ovzduší na většině území ČR zatížena nadměrnými koncentracemi částicemi PM</w:t>
      </w:r>
      <w:r w:rsidRPr="00522022">
        <w:rPr>
          <w:rFonts w:ascii="Calibri" w:eastAsia="Calibri" w:hAnsi="Calibri" w:cs="Calibri"/>
          <w:vertAlign w:val="subscript"/>
        </w:rPr>
        <w:t>2,5</w:t>
      </w:r>
      <w:r w:rsidRPr="00522022">
        <w:rPr>
          <w:rFonts w:ascii="Calibri" w:eastAsia="Calibri" w:hAnsi="Calibri" w:cs="Calibri"/>
        </w:rPr>
        <w:t>.</w:t>
      </w:r>
    </w:p>
    <w:p w14:paraId="330B5442" w14:textId="77777777" w:rsidR="00661861" w:rsidRPr="00522022" w:rsidRDefault="00661861" w:rsidP="00661861">
      <w:pPr>
        <w:numPr>
          <w:ilvl w:val="0"/>
          <w:numId w:val="44"/>
        </w:numPr>
        <w:spacing w:before="100"/>
        <w:ind w:left="284" w:hanging="284"/>
        <w:jc w:val="both"/>
        <w:rPr>
          <w:rFonts w:ascii="Calibri" w:eastAsia="Calibri" w:hAnsi="Calibri" w:cs="Calibri"/>
        </w:rPr>
      </w:pPr>
      <w:r w:rsidRPr="00522022">
        <w:rPr>
          <w:rFonts w:ascii="Calibri" w:eastAsia="Calibri" w:hAnsi="Calibri" w:cs="Calibri"/>
        </w:rPr>
        <w:t>NKÚ také zjistil, že MŽP nepostupovalo v souladu s právními předpisy, když:</w:t>
      </w:r>
    </w:p>
    <w:p w14:paraId="54AC2ABD" w14:textId="77777777" w:rsidR="00661861" w:rsidRPr="00522022" w:rsidRDefault="00661861" w:rsidP="00CE564D">
      <w:pPr>
        <w:numPr>
          <w:ilvl w:val="0"/>
          <w:numId w:val="22"/>
        </w:numPr>
        <w:ind w:left="568" w:hanging="284"/>
        <w:jc w:val="both"/>
        <w:rPr>
          <w:rFonts w:ascii="Calibri" w:eastAsia="Calibri" w:hAnsi="Calibri" w:cs="Calibri"/>
        </w:rPr>
      </w:pPr>
      <w:r w:rsidRPr="00522022">
        <w:rPr>
          <w:rFonts w:ascii="Calibri" w:eastAsia="Calibri" w:hAnsi="Calibri" w:cs="Calibri"/>
        </w:rPr>
        <w:t>nepoužilo v souladu s § 15 odst. 14 zákona č. 201/2012 Sb.</w:t>
      </w:r>
      <w:r w:rsidRPr="00522022">
        <w:rPr>
          <w:rFonts w:ascii="Calibri" w:eastAsia="Calibri" w:hAnsi="Calibri" w:cs="Calibri"/>
          <w:vertAlign w:val="superscript"/>
        </w:rPr>
        <w:footnoteReference w:id="11"/>
      </w:r>
      <w:r w:rsidRPr="00522022">
        <w:rPr>
          <w:rFonts w:ascii="Calibri" w:eastAsia="Calibri" w:hAnsi="Calibri" w:cs="Calibri"/>
        </w:rPr>
        <w:t xml:space="preserve"> část výnosů z poplatků za znečišťování ovzduší za roky 2019 a 2020 na zákonem stanovené účely v oblasti ochrany ovzduší;</w:t>
      </w:r>
    </w:p>
    <w:p w14:paraId="6BF0686D" w14:textId="77777777" w:rsidR="00661861" w:rsidRPr="00522022" w:rsidRDefault="00661861" w:rsidP="00CE564D">
      <w:pPr>
        <w:numPr>
          <w:ilvl w:val="0"/>
          <w:numId w:val="22"/>
        </w:numPr>
        <w:ind w:left="568" w:hanging="284"/>
        <w:jc w:val="both"/>
        <w:rPr>
          <w:rFonts w:ascii="Calibri" w:eastAsia="Calibri" w:hAnsi="Calibri" w:cs="Calibri"/>
        </w:rPr>
      </w:pPr>
      <w:r w:rsidRPr="00522022">
        <w:rPr>
          <w:rFonts w:ascii="Calibri" w:eastAsia="Calibri" w:hAnsi="Calibri" w:cs="Calibri"/>
        </w:rPr>
        <w:t>nevynakládalo v souladu s § 7 odst. 6 zákona č. 383/2012 Sb.</w:t>
      </w:r>
      <w:r w:rsidRPr="00522022">
        <w:rPr>
          <w:rFonts w:ascii="Calibri" w:eastAsia="Calibri" w:hAnsi="Calibri" w:cs="Calibri"/>
          <w:vertAlign w:val="superscript"/>
        </w:rPr>
        <w:footnoteReference w:id="12"/>
      </w:r>
      <w:r w:rsidRPr="00522022">
        <w:rPr>
          <w:rFonts w:ascii="Calibri" w:eastAsia="Calibri" w:hAnsi="Calibri" w:cs="Calibri"/>
        </w:rPr>
        <w:t xml:space="preserve"> výdaje odpovídající účelově vázanému výnosu z dražeb emisních povolenek prostřednictvím programu NZÚ;</w:t>
      </w:r>
    </w:p>
    <w:p w14:paraId="32A9ACAD" w14:textId="15C5D734" w:rsidR="002B5BFA" w:rsidRPr="00522022" w:rsidRDefault="00661861" w:rsidP="00CE564D">
      <w:pPr>
        <w:numPr>
          <w:ilvl w:val="0"/>
          <w:numId w:val="22"/>
        </w:numPr>
        <w:ind w:left="568" w:hanging="284"/>
        <w:jc w:val="both"/>
        <w:rPr>
          <w:rFonts w:ascii="Calibri" w:eastAsia="Calibri" w:hAnsi="Calibri" w:cs="Calibri"/>
        </w:rPr>
      </w:pPr>
      <w:r w:rsidRPr="00522022">
        <w:rPr>
          <w:rFonts w:ascii="Calibri" w:eastAsia="Calibri" w:hAnsi="Calibri" w:cs="Times New Roman"/>
        </w:rPr>
        <w:t>nesledovalo a nevyhodnocovalo v souladu s § 39 odst. 3 zákona č. 218/2000 Sb.</w:t>
      </w:r>
      <w:r w:rsidRPr="00522022">
        <w:rPr>
          <w:rFonts w:ascii="Calibri" w:eastAsia="Calibri" w:hAnsi="Calibri" w:cs="Times New Roman"/>
          <w:vertAlign w:val="superscript"/>
        </w:rPr>
        <w:footnoteReference w:id="13"/>
      </w:r>
      <w:r w:rsidRPr="00522022">
        <w:rPr>
          <w:rFonts w:ascii="Calibri" w:eastAsia="Calibri" w:hAnsi="Calibri" w:cs="Times New Roman"/>
        </w:rPr>
        <w:t xml:space="preserve"> přínosy programu NZÚ ke zlepšování kvality ovzduší.</w:t>
      </w:r>
    </w:p>
    <w:bookmarkEnd w:id="6"/>
    <w:p w14:paraId="7D13C65B" w14:textId="35F095E3" w:rsidR="00CA2C1A" w:rsidRDefault="0016093A" w:rsidP="0016093A">
      <w:pPr>
        <w:pStyle w:val="Hlavnnadpis"/>
        <w:numPr>
          <w:ilvl w:val="0"/>
          <w:numId w:val="0"/>
        </w:numPr>
        <w:spacing w:before="600"/>
      </w:pPr>
      <w:r>
        <w:t xml:space="preserve">II. </w:t>
      </w:r>
      <w:r w:rsidR="000A5F6C">
        <w:t>Informace o kontrolované oblasti</w:t>
      </w:r>
    </w:p>
    <w:p w14:paraId="7F6A99A8" w14:textId="628918D1" w:rsidR="00CB2CF3" w:rsidRPr="00157C5F" w:rsidRDefault="00FA0C8B" w:rsidP="000A14EC">
      <w:pPr>
        <w:pStyle w:val="TextKP"/>
        <w:tabs>
          <w:tab w:val="left" w:pos="426"/>
        </w:tabs>
      </w:pPr>
      <w:r w:rsidRPr="00157C5F">
        <w:t xml:space="preserve">MŽP </w:t>
      </w:r>
      <w:r w:rsidR="00F729E0" w:rsidRPr="00157C5F">
        <w:t>je ústředním orgánem státní správy</w:t>
      </w:r>
      <w:r w:rsidR="0073786E">
        <w:t xml:space="preserve"> a </w:t>
      </w:r>
      <w:r w:rsidR="0073786E" w:rsidRPr="0073786E">
        <w:t>orgán</w:t>
      </w:r>
      <w:r w:rsidR="0073786E">
        <w:t>em</w:t>
      </w:r>
      <w:r w:rsidR="0073786E" w:rsidRPr="0073786E">
        <w:t xml:space="preserve"> vrchního</w:t>
      </w:r>
      <w:r w:rsidR="00B130C6">
        <w:t xml:space="preserve"> státního</w:t>
      </w:r>
      <w:r w:rsidR="0073786E" w:rsidRPr="0073786E">
        <w:t xml:space="preserve"> dozoru ve věcech životního prostředí</w:t>
      </w:r>
      <w:r w:rsidR="0073786E">
        <w:t xml:space="preserve"> </w:t>
      </w:r>
      <w:proofErr w:type="gramStart"/>
      <w:r w:rsidR="0073786E">
        <w:t>odpovědným</w:t>
      </w:r>
      <w:proofErr w:type="gramEnd"/>
      <w:r w:rsidR="0073786E">
        <w:t xml:space="preserve"> též za</w:t>
      </w:r>
      <w:r w:rsidR="00F729E0" w:rsidRPr="00157C5F">
        <w:t xml:space="preserve"> ochranu ovzduší.</w:t>
      </w:r>
      <w:r w:rsidR="000A14EC" w:rsidRPr="00157C5F">
        <w:t xml:space="preserve"> </w:t>
      </w:r>
      <w:r w:rsidR="00CB2CF3" w:rsidRPr="00157C5F">
        <w:t xml:space="preserve">MŽP je řídicím orgánem pro </w:t>
      </w:r>
      <w:r w:rsidR="008D7977" w:rsidRPr="00157C5F">
        <w:t>OPŽP a</w:t>
      </w:r>
      <w:r w:rsidR="00661861">
        <w:t> </w:t>
      </w:r>
      <w:r w:rsidR="00CB2CF3" w:rsidRPr="00157C5F">
        <w:t>je</w:t>
      </w:r>
      <w:r w:rsidR="00C65FE7">
        <w:t xml:space="preserve"> také</w:t>
      </w:r>
      <w:r w:rsidR="00CB2CF3" w:rsidRPr="00157C5F">
        <w:t xml:space="preserve"> správcem programu N</w:t>
      </w:r>
      <w:r w:rsidR="008D7977" w:rsidRPr="00157C5F">
        <w:t>ZÚ</w:t>
      </w:r>
      <w:r w:rsidR="0073786E">
        <w:t xml:space="preserve">. </w:t>
      </w:r>
      <w:r w:rsidR="00F375D9" w:rsidRPr="00157C5F">
        <w:t>MŽP je správcem SFŽP a zřizovatelem ČHMÚ</w:t>
      </w:r>
      <w:r w:rsidR="0073786E">
        <w:t>.</w:t>
      </w:r>
    </w:p>
    <w:p w14:paraId="1361F569" w14:textId="76611764" w:rsidR="00E5285C" w:rsidRDefault="00F375D9" w:rsidP="00E5285C">
      <w:pPr>
        <w:pStyle w:val="TextKP"/>
      </w:pPr>
      <w:r w:rsidRPr="00157C5F">
        <w:t xml:space="preserve">SFŽP plní </w:t>
      </w:r>
      <w:r w:rsidR="009D2A19" w:rsidRPr="00157C5F">
        <w:t xml:space="preserve">na základě dohod o delegování některých činností a pravomocí MŽP </w:t>
      </w:r>
      <w:r w:rsidRPr="00157C5F">
        <w:t>roli zprostředkujícího subjektu u OPŽP</w:t>
      </w:r>
      <w:r w:rsidR="008D7977" w:rsidRPr="00157C5F">
        <w:t xml:space="preserve"> a NZÚ</w:t>
      </w:r>
      <w:r w:rsidRPr="00157C5F">
        <w:t>.</w:t>
      </w:r>
      <w:r w:rsidR="00F729E0" w:rsidRPr="00157C5F">
        <w:t xml:space="preserve"> SFŽP</w:t>
      </w:r>
      <w:r w:rsidR="00EC0764" w:rsidRPr="00157C5F">
        <w:t xml:space="preserve"> </w:t>
      </w:r>
      <w:r w:rsidR="00F729E0" w:rsidRPr="00157C5F">
        <w:t xml:space="preserve">administruje také </w:t>
      </w:r>
      <w:r w:rsidR="00752FB5" w:rsidRPr="002F3B4E">
        <w:rPr>
          <w:i/>
        </w:rPr>
        <w:t>Národní program</w:t>
      </w:r>
      <w:r w:rsidR="00F729E0" w:rsidRPr="002F3B4E">
        <w:rPr>
          <w:i/>
        </w:rPr>
        <w:t xml:space="preserve"> </w:t>
      </w:r>
      <w:r w:rsidR="00752FB5" w:rsidRPr="002F3B4E">
        <w:rPr>
          <w:i/>
        </w:rPr>
        <w:t>Životní prostředí</w:t>
      </w:r>
      <w:r w:rsidR="00752FB5" w:rsidRPr="00157C5F">
        <w:t xml:space="preserve"> (dále také „NPŽP“)</w:t>
      </w:r>
      <w:r w:rsidR="009370BB">
        <w:t>. V</w:t>
      </w:r>
      <w:r w:rsidR="0090369C">
        <w:t>ětšina aktivit</w:t>
      </w:r>
      <w:r w:rsidR="009370BB">
        <w:t xml:space="preserve"> NPŽP</w:t>
      </w:r>
      <w:r w:rsidR="0090369C">
        <w:t xml:space="preserve"> </w:t>
      </w:r>
      <w:r w:rsidR="003C1607" w:rsidRPr="00157C5F">
        <w:t>je financován</w:t>
      </w:r>
      <w:r w:rsidR="009370BB">
        <w:t>a</w:t>
      </w:r>
      <w:r w:rsidR="003C1607" w:rsidRPr="00157C5F">
        <w:t xml:space="preserve"> z </w:t>
      </w:r>
      <w:r w:rsidR="0090369C">
        <w:t>prostředků</w:t>
      </w:r>
      <w:r w:rsidR="003C1607" w:rsidRPr="00157C5F">
        <w:t xml:space="preserve"> SFŽP</w:t>
      </w:r>
      <w:r w:rsidR="0090369C">
        <w:t xml:space="preserve">, které pocházejí ze zákonných poplatků, odvodů a pokut. </w:t>
      </w:r>
      <w:r w:rsidR="0090369C" w:rsidRPr="0090369C">
        <w:t>V roce 2021 byl NPŽP rozšířen o aktivity financované z dotace poskytnuté SFŽP z</w:t>
      </w:r>
      <w:r w:rsidR="0073786E">
        <w:t> </w:t>
      </w:r>
      <w:r w:rsidR="0073786E" w:rsidRPr="002F3B4E">
        <w:rPr>
          <w:i/>
        </w:rPr>
        <w:t>Národního plánu obnovy</w:t>
      </w:r>
      <w:r w:rsidR="0090369C">
        <w:t>.</w:t>
      </w:r>
    </w:p>
    <w:p w14:paraId="335860AA" w14:textId="4A05EEB2" w:rsidR="00F375D9" w:rsidRDefault="00F375D9" w:rsidP="00F375D9">
      <w:pPr>
        <w:pStyle w:val="TextKP"/>
      </w:pPr>
      <w:r w:rsidRPr="00157C5F">
        <w:t xml:space="preserve">ČHMÚ je </w:t>
      </w:r>
      <w:r w:rsidR="00C21448">
        <w:t>státní</w:t>
      </w:r>
      <w:r w:rsidR="009D2A19">
        <w:t xml:space="preserve"> </w:t>
      </w:r>
      <w:r w:rsidRPr="00157C5F">
        <w:t>příspěvkovou</w:t>
      </w:r>
      <w:r>
        <w:t xml:space="preserve"> organizací podřízenou MŽP</w:t>
      </w:r>
      <w:r w:rsidR="001767CC">
        <w:t>. N</w:t>
      </w:r>
      <w:r>
        <w:t xml:space="preserve">a základě zřizovací listiny je </w:t>
      </w:r>
      <w:r w:rsidR="001767CC">
        <w:t xml:space="preserve">mj. </w:t>
      </w:r>
      <w:r>
        <w:t xml:space="preserve">pověřen </w:t>
      </w:r>
      <w:r w:rsidR="00330B63">
        <w:t>zjišťováním a vyhodnocováním úrovně znečišťování ovzduší a posuzováním a</w:t>
      </w:r>
      <w:r w:rsidR="001767CC">
        <w:t> </w:t>
      </w:r>
      <w:r w:rsidR="00330B63">
        <w:t>vyhodnocováním úrovně znečištění ovzduší</w:t>
      </w:r>
      <w:r w:rsidR="001767CC">
        <w:t xml:space="preserve">. Za tímto účelem </w:t>
      </w:r>
      <w:r>
        <w:t>zajiš</w:t>
      </w:r>
      <w:r w:rsidR="001767CC">
        <w:t>ťuje také</w:t>
      </w:r>
      <w:r>
        <w:t xml:space="preserve"> Státní sí</w:t>
      </w:r>
      <w:r w:rsidR="001767CC">
        <w:t>ť</w:t>
      </w:r>
      <w:r>
        <w:t xml:space="preserve"> imisního monitoringu. </w:t>
      </w:r>
      <w:r w:rsidR="00E5285C">
        <w:t xml:space="preserve">ČHMÚ </w:t>
      </w:r>
      <w:r w:rsidR="00330B63">
        <w:t>byl v kontrolovaném období</w:t>
      </w:r>
      <w:r w:rsidR="00E5285C">
        <w:t xml:space="preserve"> příjemcem dotací z</w:t>
      </w:r>
      <w:r w:rsidR="00330B63">
        <w:t> </w:t>
      </w:r>
      <w:r>
        <w:t>O</w:t>
      </w:r>
      <w:r w:rsidR="008177C8">
        <w:t>PŽP</w:t>
      </w:r>
      <w:r>
        <w:t>.</w:t>
      </w:r>
    </w:p>
    <w:p w14:paraId="1A6D1247" w14:textId="7BE4A8BC" w:rsidR="00245B43" w:rsidRDefault="00245B43" w:rsidP="00245B43">
      <w:pPr>
        <w:pStyle w:val="TextKP"/>
      </w:pPr>
      <w:r>
        <w:t xml:space="preserve">V rámci EU je </w:t>
      </w:r>
      <w:r w:rsidR="00B130C6">
        <w:t>ř</w:t>
      </w:r>
      <w:r>
        <w:t xml:space="preserve">ízení a posuzování kvality ovzduší </w:t>
      </w:r>
      <w:r w:rsidR="00B130C6">
        <w:t xml:space="preserve">upraveno zejména </w:t>
      </w:r>
      <w:r>
        <w:t>směrnic</w:t>
      </w:r>
      <w:r w:rsidR="00B130C6">
        <w:t>í</w:t>
      </w:r>
      <w:r>
        <w:t xml:space="preserve"> Evropského parlamentu a Rady č. 2008/50/ES</w:t>
      </w:r>
      <w:r w:rsidR="00BA1011">
        <w:rPr>
          <w:rStyle w:val="Znakapoznpodarou"/>
        </w:rPr>
        <w:footnoteReference w:id="14"/>
      </w:r>
      <w:r>
        <w:t xml:space="preserve"> (dále také „</w:t>
      </w:r>
      <w:r w:rsidR="00400208">
        <w:t>s</w:t>
      </w:r>
      <w:r>
        <w:t>měrnice 2008/50/ES“</w:t>
      </w:r>
      <w:r w:rsidR="00B130C6">
        <w:t>)</w:t>
      </w:r>
      <w:r w:rsidR="001A3A01" w:rsidRPr="001A3A01">
        <w:t xml:space="preserve"> </w:t>
      </w:r>
      <w:r w:rsidR="001A3A01">
        <w:t>a</w:t>
      </w:r>
      <w:r w:rsidR="001A3A01" w:rsidRPr="001A3A01">
        <w:t xml:space="preserve"> směrnic</w:t>
      </w:r>
      <w:r w:rsidR="00B130C6">
        <w:t>í</w:t>
      </w:r>
      <w:r w:rsidR="001A3A01" w:rsidRPr="001A3A01">
        <w:t xml:space="preserve"> Evropského parlamentu a Rady č. 2004/107/ES</w:t>
      </w:r>
      <w:r w:rsidR="001A3A01">
        <w:rPr>
          <w:rStyle w:val="Znakapoznpodarou"/>
        </w:rPr>
        <w:footnoteReference w:id="15"/>
      </w:r>
      <w:r w:rsidR="001A3A01" w:rsidRPr="001A3A01">
        <w:t xml:space="preserve"> (dále také „</w:t>
      </w:r>
      <w:r w:rsidR="00400208">
        <w:t>s</w:t>
      </w:r>
      <w:r w:rsidR="001A3A01" w:rsidRPr="001A3A01">
        <w:t>měrnice 2004/107/ES“)</w:t>
      </w:r>
      <w:r w:rsidR="00BA1011">
        <w:t xml:space="preserve">. </w:t>
      </w:r>
      <w:r w:rsidR="00B130C6">
        <w:t xml:space="preserve">Snižování emisí látek znečišťujících ovzduší je upraveno </w:t>
      </w:r>
      <w:r>
        <w:t>směrnic</w:t>
      </w:r>
      <w:r w:rsidR="00B130C6">
        <w:t>í</w:t>
      </w:r>
      <w:r>
        <w:t xml:space="preserve"> Evropského parlamentu a Rady (EU) </w:t>
      </w:r>
      <w:r w:rsidR="00400208">
        <w:t>č. </w:t>
      </w:r>
      <w:r>
        <w:t>2016/2284</w:t>
      </w:r>
      <w:r w:rsidR="00BA1011">
        <w:rPr>
          <w:rStyle w:val="Znakapoznpodarou"/>
        </w:rPr>
        <w:footnoteReference w:id="16"/>
      </w:r>
      <w:r>
        <w:t>.</w:t>
      </w:r>
    </w:p>
    <w:p w14:paraId="0F38D361" w14:textId="44EED8C7" w:rsidR="009A23A1" w:rsidRDefault="000A14EC" w:rsidP="009A23A1">
      <w:pPr>
        <w:pStyle w:val="TextKP"/>
      </w:pPr>
      <w:r>
        <w:lastRenderedPageBreak/>
        <w:t>N</w:t>
      </w:r>
      <w:r w:rsidR="00245B43">
        <w:t xml:space="preserve">a národní úrovni </w:t>
      </w:r>
      <w:r>
        <w:t xml:space="preserve">je ochrana ovzduší </w:t>
      </w:r>
      <w:r w:rsidR="00245B43">
        <w:t>upravena zákonem č. 201/2012 Sb. (dále také „zákon o</w:t>
      </w:r>
      <w:r w:rsidR="00157C5F">
        <w:t> </w:t>
      </w:r>
      <w:r w:rsidR="00245B43">
        <w:t>ochraně ovzduší“) a jeho prováděcími právními předpisy.</w:t>
      </w:r>
      <w:r w:rsidR="009A23A1" w:rsidRPr="009A23A1">
        <w:t xml:space="preserve"> </w:t>
      </w:r>
      <w:r w:rsidR="009A23A1">
        <w:t xml:space="preserve">Kvalita ovzduší je posuzována podle koncentrací vybraných znečišťujících látek v přízemní vrstvě atmosféry. Pro tyto vybrané </w:t>
      </w:r>
      <w:r w:rsidR="009A23A1" w:rsidRPr="002D56FA">
        <w:t xml:space="preserve">znečišťující látky jsou </w:t>
      </w:r>
      <w:r w:rsidR="00157C5F" w:rsidRPr="002D56FA">
        <w:t>zákonem o ochraně ovzduší</w:t>
      </w:r>
      <w:r w:rsidR="009A23A1" w:rsidRPr="002D56FA">
        <w:t xml:space="preserve"> stanoveny imisní limity </w:t>
      </w:r>
      <w:r w:rsidR="009A23A1" w:rsidRPr="002D56FA">
        <w:rPr>
          <w:lang w:eastAsia="cs-CZ"/>
        </w:rPr>
        <w:t>(dále také „IL“)</w:t>
      </w:r>
      <w:r w:rsidR="00157C5F" w:rsidRPr="002D56FA">
        <w:rPr>
          <w:lang w:eastAsia="cs-CZ"/>
        </w:rPr>
        <w:t xml:space="preserve"> uvedené </w:t>
      </w:r>
      <w:r w:rsidR="009A23A1" w:rsidRPr="002D56FA">
        <w:rPr>
          <w:lang w:eastAsia="cs-CZ"/>
        </w:rPr>
        <w:t xml:space="preserve">v příloze č. </w:t>
      </w:r>
      <w:r w:rsidR="00601742" w:rsidRPr="002D56FA">
        <w:rPr>
          <w:lang w:eastAsia="cs-CZ"/>
        </w:rPr>
        <w:t>1</w:t>
      </w:r>
      <w:r w:rsidR="009A23A1" w:rsidRPr="002D56FA">
        <w:rPr>
          <w:lang w:eastAsia="cs-CZ"/>
        </w:rPr>
        <w:t xml:space="preserve"> </w:t>
      </w:r>
      <w:r w:rsidR="00400208">
        <w:rPr>
          <w:lang w:eastAsia="cs-CZ"/>
        </w:rPr>
        <w:t xml:space="preserve">tohoto </w:t>
      </w:r>
      <w:r w:rsidR="009A23A1" w:rsidRPr="002D56FA">
        <w:rPr>
          <w:lang w:eastAsia="cs-CZ"/>
        </w:rPr>
        <w:t>kontrolního</w:t>
      </w:r>
      <w:r w:rsidR="009A23A1">
        <w:rPr>
          <w:lang w:eastAsia="cs-CZ"/>
        </w:rPr>
        <w:t xml:space="preserve"> závěru</w:t>
      </w:r>
      <w:r w:rsidR="009A23A1">
        <w:t>.</w:t>
      </w:r>
    </w:p>
    <w:p w14:paraId="1FCB2B8A" w14:textId="1DFD7357" w:rsidR="00095DFA" w:rsidRDefault="009A23A1" w:rsidP="009B2BF3">
      <w:pPr>
        <w:pStyle w:val="TextKP"/>
      </w:pPr>
      <w:r>
        <w:t>Pro účely vyhodnocení úrovně znečištění a zjištění, zda jsou překračovány platné imisní limity</w:t>
      </w:r>
      <w:r w:rsidR="0044229D">
        <w:t>,</w:t>
      </w:r>
      <w:r>
        <w:t xml:space="preserve"> jsou používána data získaná v rámci S</w:t>
      </w:r>
      <w:r w:rsidR="008557B4">
        <w:t>tání sítě imisního monitoringu.</w:t>
      </w:r>
      <w:r>
        <w:t xml:space="preserve"> Její součástí jsou monitorovací stanice ČHMÚ i jiných provozovatelů (např. zdravotní ústavy, obce či kraje). Data z těchto stanic jsou</w:t>
      </w:r>
      <w:r w:rsidR="008557B4">
        <w:t xml:space="preserve"> zpracovávaná</w:t>
      </w:r>
      <w:r>
        <w:t xml:space="preserve"> v rámci Informačního systému kvality ovzduší.</w:t>
      </w:r>
    </w:p>
    <w:p w14:paraId="4453ABD7" w14:textId="77777777" w:rsidR="001F4DB8" w:rsidRPr="001F4DB8" w:rsidRDefault="001F4DB8" w:rsidP="001F4DB8">
      <w:pPr>
        <w:pStyle w:val="TextKP"/>
        <w:rPr>
          <w:i/>
        </w:rPr>
      </w:pPr>
      <w:r w:rsidRPr="001F4DB8">
        <w:rPr>
          <w:i/>
        </w:rPr>
        <w:t>Střednědobá strategie (do roku 2020) zlepšování kvality ovzduší v ČR</w:t>
      </w:r>
    </w:p>
    <w:p w14:paraId="58F4306B" w14:textId="0E2A3C4C" w:rsidR="001F4DB8" w:rsidRDefault="001F4DB8" w:rsidP="001F4DB8">
      <w:pPr>
        <w:pStyle w:val="TextKP"/>
      </w:pPr>
      <w:r w:rsidRPr="001F4DB8">
        <w:t>Východiskem pro zpracování této</w:t>
      </w:r>
      <w:r>
        <w:t xml:space="preserve"> s</w:t>
      </w:r>
      <w:r w:rsidRPr="001F4DB8">
        <w:t xml:space="preserve">trategie byla zejména skutečnost, že kvalita ovzduší v České republice dlouhodobě nesplňuje požadavky stanovené </w:t>
      </w:r>
      <w:r w:rsidR="00E04931">
        <w:t>právními předpisy ČR a EU</w:t>
      </w:r>
      <w:r w:rsidRPr="001F4DB8">
        <w:t xml:space="preserve"> pro ochranu zdraví lidí a ekosystémů a vyvolává v zatížených oblastech významná zdravotní rizika a</w:t>
      </w:r>
      <w:r w:rsidR="00E04931">
        <w:t> </w:t>
      </w:r>
      <w:r w:rsidRPr="001F4DB8">
        <w:t>poškozování ekosystémů</w:t>
      </w:r>
      <w:r w:rsidR="00D063D4">
        <w:t>,</w:t>
      </w:r>
      <w:r w:rsidRPr="001F4DB8">
        <w:t xml:space="preserve"> a dále pak skutečnost, že se jednalo o požadavek E</w:t>
      </w:r>
      <w:r>
        <w:t>vropské komise (dále také „E</w:t>
      </w:r>
      <w:r w:rsidRPr="001F4DB8">
        <w:t>K</w:t>
      </w:r>
      <w:r>
        <w:t>“)</w:t>
      </w:r>
      <w:r w:rsidRPr="001F4DB8">
        <w:t xml:space="preserve"> připravit ucelenou koncepci řízení kvality ovzduší pro ČR. Tento požadavek byl rovněž formulován jako zásadní pro schválení nastavení</w:t>
      </w:r>
      <w:r>
        <w:t xml:space="preserve"> PO 2</w:t>
      </w:r>
      <w:r w:rsidRPr="001F4DB8">
        <w:t xml:space="preserve"> OPŽP</w:t>
      </w:r>
      <w:r w:rsidR="00296D6A">
        <w:t>.</w:t>
      </w:r>
      <w:r>
        <w:t xml:space="preserve"> Strategie byla schválena usnesením vlády </w:t>
      </w:r>
      <w:r w:rsidR="0023242B">
        <w:t>ČR</w:t>
      </w:r>
      <w:r>
        <w:t xml:space="preserve"> ze dne 2. prosince 2015 č. 979.</w:t>
      </w:r>
    </w:p>
    <w:p w14:paraId="2005F384" w14:textId="11F7D92F" w:rsidR="00296D6A" w:rsidRDefault="00296D6A" w:rsidP="00296D6A">
      <w:pPr>
        <w:pStyle w:val="TextKP"/>
      </w:pPr>
      <w:r>
        <w:t xml:space="preserve">Globálním cílem </w:t>
      </w:r>
      <w:r w:rsidR="001767CC">
        <w:t>této strategie</w:t>
      </w:r>
      <w:r>
        <w:t xml:space="preserve"> bylo dosažení společensky přijatelné míry rizik plynoucích ze znečištění ovzduší pro lidské zdraví. Jedním ze čtyř</w:t>
      </w:r>
      <w:r w:rsidR="001767CC">
        <w:t xml:space="preserve"> stanovených</w:t>
      </w:r>
      <w:r>
        <w:t xml:space="preserve"> specifických cílů </w:t>
      </w:r>
      <w:r w:rsidR="001767CC">
        <w:t>pro splnění</w:t>
      </w:r>
      <w:r>
        <w:t xml:space="preserve"> globálního cíle bylo dosažení imisních limitů na celém území ČR do roku 2020 a současně udržování a zlepšování kvality ovzduší tam, kde jsou současné koncentrace znečišťujících látek pod hodnotami </w:t>
      </w:r>
      <w:r w:rsidR="001767CC">
        <w:t>IL</w:t>
      </w:r>
      <w:r>
        <w:t>.</w:t>
      </w:r>
      <w:r w:rsidRPr="00296D6A">
        <w:t xml:space="preserve"> Pro splnění specifických cílů byly stanoveny podmínky pro dosažení cílů, kterými byla zejména realizace opatření </w:t>
      </w:r>
      <w:r w:rsidR="00247899">
        <w:t xml:space="preserve">na národní úrovni </w:t>
      </w:r>
      <w:r w:rsidRPr="00296D6A">
        <w:t>obsažených v</w:t>
      </w:r>
      <w:r>
        <w:t> </w:t>
      </w:r>
      <w:r w:rsidRPr="002F3B4E">
        <w:rPr>
          <w:i/>
        </w:rPr>
        <w:t>Národním programu snižování emisí České republiky</w:t>
      </w:r>
      <w:r>
        <w:t xml:space="preserve"> (dále také „N</w:t>
      </w:r>
      <w:r w:rsidRPr="00296D6A">
        <w:t>PSE</w:t>
      </w:r>
      <w:r>
        <w:t xml:space="preserve">“) a </w:t>
      </w:r>
      <w:r w:rsidR="00247899">
        <w:t xml:space="preserve">na regionální úrovni </w:t>
      </w:r>
      <w:r>
        <w:t>v programech zlepšování kvality ovzduší (dále také „</w:t>
      </w:r>
      <w:r w:rsidRPr="00296D6A">
        <w:t>PZKO</w:t>
      </w:r>
      <w:r>
        <w:t>“).</w:t>
      </w:r>
    </w:p>
    <w:p w14:paraId="0269C396" w14:textId="77777777" w:rsidR="00247899" w:rsidRDefault="00247899" w:rsidP="00247899">
      <w:pPr>
        <w:pStyle w:val="TextKP"/>
        <w:rPr>
          <w:i/>
        </w:rPr>
      </w:pPr>
      <w:r w:rsidRPr="00247899">
        <w:rPr>
          <w:i/>
        </w:rPr>
        <w:t>Národní program snižování emisí České republiky</w:t>
      </w:r>
    </w:p>
    <w:p w14:paraId="19F852B8" w14:textId="67D4F00B" w:rsidR="00C65FE7" w:rsidRDefault="00247899" w:rsidP="00247899">
      <w:pPr>
        <w:pStyle w:val="TextKP"/>
      </w:pPr>
      <w:r>
        <w:t xml:space="preserve">NPSE je připravován na základě § 8 zákona o ochraně ovzduší s přihlédnutím k mezinárodním závazkům České republiky na základě právního rámce EU a s ohledem na neplnění </w:t>
      </w:r>
      <w:r w:rsidR="001767CC">
        <w:t>IL</w:t>
      </w:r>
      <w:r>
        <w:t xml:space="preserve"> pro některé znečišťující látky (zejména </w:t>
      </w:r>
      <w:r w:rsidR="001671A5">
        <w:t>prachové</w:t>
      </w:r>
      <w:r>
        <w:t xml:space="preserve"> částice velikostních frakcí PM</w:t>
      </w:r>
      <w:r w:rsidRPr="00247899">
        <w:rPr>
          <w:vertAlign w:val="subscript"/>
        </w:rPr>
        <w:t>10</w:t>
      </w:r>
      <w:r>
        <w:t xml:space="preserve"> a PM</w:t>
      </w:r>
      <w:r w:rsidRPr="00247899">
        <w:rPr>
          <w:vertAlign w:val="subscript"/>
        </w:rPr>
        <w:t>2</w:t>
      </w:r>
      <w:r>
        <w:rPr>
          <w:vertAlign w:val="subscript"/>
        </w:rPr>
        <w:t>,</w:t>
      </w:r>
      <w:r w:rsidRPr="00247899">
        <w:rPr>
          <w:vertAlign w:val="subscript"/>
        </w:rPr>
        <w:t>5</w:t>
      </w:r>
      <w:r>
        <w:t xml:space="preserve">, </w:t>
      </w:r>
      <w:r w:rsidR="001671A5">
        <w:t>přízemní</w:t>
      </w:r>
      <w:r>
        <w:t xml:space="preserve"> ozón a </w:t>
      </w:r>
      <w:proofErr w:type="spellStart"/>
      <w:r>
        <w:t>benzo</w:t>
      </w:r>
      <w:proofErr w:type="spellEnd"/>
      <w:r w:rsidR="00A32942">
        <w:t>(</w:t>
      </w:r>
      <w:r>
        <w:t>a</w:t>
      </w:r>
      <w:r w:rsidR="00A32942">
        <w:t>)</w:t>
      </w:r>
      <w:r>
        <w:t>pyren), které mají výrazné negativní dopady na lidské zdraví, ekosystémy a</w:t>
      </w:r>
      <w:r w:rsidR="00663546">
        <w:t> </w:t>
      </w:r>
      <w:r>
        <w:t>vegetaci.</w:t>
      </w:r>
      <w:r w:rsidR="006D381B" w:rsidRPr="006D381B">
        <w:t xml:space="preserve"> </w:t>
      </w:r>
      <w:r w:rsidR="006D381B">
        <w:t xml:space="preserve">NPSE byl schválen usnesením vlády </w:t>
      </w:r>
      <w:r w:rsidR="0061139E">
        <w:t xml:space="preserve">ČR </w:t>
      </w:r>
      <w:r w:rsidR="006D381B">
        <w:t>ze dne 2. prosince 2015 č. 978</w:t>
      </w:r>
      <w:r w:rsidR="001767CC">
        <w:t xml:space="preserve"> </w:t>
      </w:r>
      <w:r w:rsidR="006D381B">
        <w:t xml:space="preserve">s cílem dosažení a udržení </w:t>
      </w:r>
      <w:r w:rsidR="001767CC">
        <w:t>IL</w:t>
      </w:r>
      <w:r w:rsidR="006D381B">
        <w:t xml:space="preserve"> stanovených pro PM</w:t>
      </w:r>
      <w:r w:rsidR="006D381B" w:rsidRPr="00247899">
        <w:rPr>
          <w:vertAlign w:val="subscript"/>
        </w:rPr>
        <w:t>10</w:t>
      </w:r>
      <w:r w:rsidR="006D381B">
        <w:t>, PM</w:t>
      </w:r>
      <w:r w:rsidR="006D381B" w:rsidRPr="006D381B">
        <w:rPr>
          <w:vertAlign w:val="subscript"/>
        </w:rPr>
        <w:t>2,5</w:t>
      </w:r>
      <w:r w:rsidR="006D381B">
        <w:t xml:space="preserve"> a </w:t>
      </w:r>
      <w:r w:rsidR="00A32942">
        <w:t>B(a)P</w:t>
      </w:r>
      <w:r w:rsidR="006D381B">
        <w:t xml:space="preserve"> do roku 2020. Aktualizace NPSE </w:t>
      </w:r>
      <w:r w:rsidR="00157C5F">
        <w:t xml:space="preserve">zohledňující nové skutečnosti a cíle k roku 2030 </w:t>
      </w:r>
      <w:r w:rsidR="006D381B">
        <w:t xml:space="preserve">byla schválena usnesením vlády ČR ze dne 16. </w:t>
      </w:r>
      <w:r w:rsidR="008F11E6">
        <w:t> </w:t>
      </w:r>
      <w:r w:rsidR="00FC3667">
        <w:t xml:space="preserve">prosince </w:t>
      </w:r>
      <w:r w:rsidR="006D381B">
        <w:t>2019 č. 917.</w:t>
      </w:r>
    </w:p>
    <w:p w14:paraId="63890B47" w14:textId="22E1BA51" w:rsidR="00C65FE7" w:rsidRPr="00D25A15" w:rsidRDefault="00D25A15" w:rsidP="00247899">
      <w:pPr>
        <w:pStyle w:val="TextKP"/>
        <w:rPr>
          <w:i/>
        </w:rPr>
      </w:pPr>
      <w:r>
        <w:rPr>
          <w:i/>
        </w:rPr>
        <w:t xml:space="preserve">Operační </w:t>
      </w:r>
      <w:r w:rsidR="00C65FE7" w:rsidRPr="00D25A15">
        <w:rPr>
          <w:i/>
        </w:rPr>
        <w:t xml:space="preserve">program </w:t>
      </w:r>
      <w:r>
        <w:rPr>
          <w:i/>
        </w:rPr>
        <w:t>Ž</w:t>
      </w:r>
      <w:r w:rsidR="00C65FE7" w:rsidRPr="00D25A15">
        <w:rPr>
          <w:i/>
        </w:rPr>
        <w:t>ivotní prostředí 2014–2020</w:t>
      </w:r>
    </w:p>
    <w:p w14:paraId="0E16172F" w14:textId="25120168" w:rsidR="00C65FE7" w:rsidRPr="005E030B" w:rsidRDefault="00ED19A0" w:rsidP="00C65FE7">
      <w:pPr>
        <w:pStyle w:val="TextKP"/>
      </w:pPr>
      <w:r>
        <w:rPr>
          <w:bCs/>
          <w:lang w:bidi="bn-BD"/>
        </w:rPr>
        <w:t>PO 2</w:t>
      </w:r>
      <w:r w:rsidR="00C65FE7" w:rsidRPr="00ED19A0">
        <w:rPr>
          <w:bCs/>
          <w:lang w:bidi="bn-BD"/>
        </w:rPr>
        <w:t xml:space="preserve"> </w:t>
      </w:r>
      <w:r w:rsidR="00C65FE7" w:rsidRPr="00ED19A0">
        <w:rPr>
          <w:lang w:bidi="bn-BD"/>
        </w:rPr>
        <w:t>je</w:t>
      </w:r>
      <w:r w:rsidR="00C65FE7" w:rsidRPr="005E030B">
        <w:rPr>
          <w:lang w:bidi="bn-BD"/>
        </w:rPr>
        <w:t xml:space="preserve"> zaměřená na projekty zlepšující kvalitu ovzduší a omezující emise znečišťujících látek do ovzduší s důrazem na využití nových, šetrných způsobů výroby energie a zlepšení systému sledování kvality ovzduší.</w:t>
      </w:r>
      <w:r>
        <w:rPr>
          <w:lang w:bidi="bn-BD"/>
        </w:rPr>
        <w:t xml:space="preserve"> </w:t>
      </w:r>
      <w:r w:rsidR="00C65FE7" w:rsidRPr="005E030B">
        <w:t xml:space="preserve">Globálním </w:t>
      </w:r>
      <w:r w:rsidR="00C65FE7" w:rsidRPr="00E212B5">
        <w:t xml:space="preserve">cílem </w:t>
      </w:r>
      <w:r>
        <w:t>PO 2</w:t>
      </w:r>
      <w:r w:rsidR="00C65FE7" w:rsidRPr="00E212B5">
        <w:t xml:space="preserve"> pro období 2014</w:t>
      </w:r>
      <w:r w:rsidR="00C65FE7" w:rsidRPr="00E212B5">
        <w:rPr>
          <w:rFonts w:eastAsia="Calibri"/>
        </w:rPr>
        <w:t>–</w:t>
      </w:r>
      <w:r w:rsidR="00C65FE7" w:rsidRPr="00E212B5">
        <w:t xml:space="preserve">2020 </w:t>
      </w:r>
      <w:r>
        <w:t>je</w:t>
      </w:r>
      <w:r w:rsidR="00C65FE7" w:rsidRPr="00E212B5">
        <w:t xml:space="preserve"> zlepšení kvality ovzduší tam, kde jsou překračovány </w:t>
      </w:r>
      <w:r w:rsidR="00CD65F2">
        <w:t>IL</w:t>
      </w:r>
      <w:r w:rsidR="00C65FE7" w:rsidRPr="00E212B5">
        <w:t xml:space="preserve">, a udržení kvality ovzduší tam, kde je kvalita dobrá. </w:t>
      </w:r>
      <w:r w:rsidR="00C65FE7" w:rsidRPr="005E030B">
        <w:t>PO</w:t>
      </w:r>
      <w:r w:rsidR="00257944">
        <w:t> </w:t>
      </w:r>
      <w:r w:rsidR="00C65FE7" w:rsidRPr="005E030B">
        <w:t>2</w:t>
      </w:r>
      <w:r w:rsidR="009F1419">
        <w:t xml:space="preserve"> </w:t>
      </w:r>
      <w:r w:rsidR="009D2A19">
        <w:t>zahrnuje čtyři</w:t>
      </w:r>
      <w:r w:rsidR="00C65FE7" w:rsidRPr="005E030B">
        <w:t xml:space="preserve"> specifické cíle</w:t>
      </w:r>
      <w:r w:rsidR="00AF59FE">
        <w:t xml:space="preserve"> (dále také „SC“)</w:t>
      </w:r>
      <w:r w:rsidR="00C65FE7" w:rsidRPr="005E030B">
        <w:t>, které se dále člení na</w:t>
      </w:r>
      <w:r w:rsidR="009F1419">
        <w:t xml:space="preserve"> </w:t>
      </w:r>
      <w:r w:rsidR="009D2A19">
        <w:t xml:space="preserve">podporované </w:t>
      </w:r>
      <w:r w:rsidR="00C65FE7" w:rsidRPr="005E030B">
        <w:t>aktivity:</w:t>
      </w:r>
    </w:p>
    <w:p w14:paraId="008411FD" w14:textId="3ECCC0C8" w:rsidR="00C65FE7" w:rsidRPr="00ED19A0" w:rsidRDefault="00C65FE7" w:rsidP="00257944">
      <w:pPr>
        <w:pStyle w:val="TextKP"/>
        <w:numPr>
          <w:ilvl w:val="0"/>
          <w:numId w:val="34"/>
        </w:numPr>
        <w:spacing w:before="0"/>
        <w:ind w:left="284" w:hanging="284"/>
      </w:pPr>
      <w:r w:rsidRPr="00ED19A0">
        <w:t xml:space="preserve">SC 2.1: </w:t>
      </w:r>
      <w:r w:rsidRPr="00ED19A0">
        <w:rPr>
          <w:i/>
        </w:rPr>
        <w:t>Snížit emise z lokálního vytápění domácností podílející se na expozici obyvatelstva nadlimitním koncentracím znečišťujících látek</w:t>
      </w:r>
      <w:r w:rsidR="00257944">
        <w:t>,</w:t>
      </w:r>
    </w:p>
    <w:p w14:paraId="13D4EEA1" w14:textId="62A22C28" w:rsidR="00C65FE7" w:rsidRPr="00ED19A0" w:rsidRDefault="00C65FE7" w:rsidP="00257944">
      <w:pPr>
        <w:pStyle w:val="TextKP"/>
        <w:numPr>
          <w:ilvl w:val="0"/>
          <w:numId w:val="34"/>
        </w:numPr>
        <w:spacing w:before="0"/>
        <w:ind w:left="284" w:hanging="284"/>
      </w:pPr>
      <w:r w:rsidRPr="00ED19A0">
        <w:t xml:space="preserve">SC 2.2: </w:t>
      </w:r>
      <w:r w:rsidRPr="00ED19A0">
        <w:rPr>
          <w:i/>
        </w:rPr>
        <w:t>Snížit emise stacionárních zdrojů podílející se na expozici obyvatelstva nadlimitním koncentracím znečišťujících látek</w:t>
      </w:r>
      <w:r w:rsidR="00257944">
        <w:t>,</w:t>
      </w:r>
    </w:p>
    <w:p w14:paraId="5CFE0C56" w14:textId="5B81D4CA" w:rsidR="00C65FE7" w:rsidRPr="00ED19A0" w:rsidRDefault="00C65FE7" w:rsidP="00257944">
      <w:pPr>
        <w:pStyle w:val="TextKP"/>
        <w:numPr>
          <w:ilvl w:val="0"/>
          <w:numId w:val="34"/>
        </w:numPr>
        <w:spacing w:before="0"/>
        <w:ind w:left="284" w:hanging="284"/>
      </w:pPr>
      <w:r w:rsidRPr="00ED19A0">
        <w:lastRenderedPageBreak/>
        <w:t xml:space="preserve">SC 2.3: </w:t>
      </w:r>
      <w:r w:rsidRPr="00ED19A0">
        <w:rPr>
          <w:i/>
        </w:rPr>
        <w:t>Zlepšit systém sledování, hodnocení a předpovídání vývoje kvality ovzduší a souvisejících meteorologických aspektů</w:t>
      </w:r>
      <w:r w:rsidR="00257944">
        <w:t>,</w:t>
      </w:r>
    </w:p>
    <w:p w14:paraId="1B4D1B31" w14:textId="1ECD2EEA" w:rsidR="00C65FE7" w:rsidRPr="00ED19A0" w:rsidRDefault="00C65FE7" w:rsidP="00257944">
      <w:pPr>
        <w:pStyle w:val="TextKP"/>
        <w:numPr>
          <w:ilvl w:val="0"/>
          <w:numId w:val="34"/>
        </w:numPr>
        <w:spacing w:before="0"/>
        <w:ind w:left="284" w:hanging="284"/>
      </w:pPr>
      <w:r w:rsidRPr="00ED19A0">
        <w:t xml:space="preserve">SC 2.4: </w:t>
      </w:r>
      <w:r w:rsidRPr="00ED19A0">
        <w:rPr>
          <w:i/>
        </w:rPr>
        <w:t>Snížit emise stacionárních zdrojů podílející se na expozici obyvatelstva nadlimitním koncentracím znečišťujících látek v uhelných regionech</w:t>
      </w:r>
      <w:r w:rsidR="00257944">
        <w:t>.</w:t>
      </w:r>
    </w:p>
    <w:p w14:paraId="5D930BA1" w14:textId="0F55D093" w:rsidR="00C65FE7" w:rsidRDefault="00C65FE7" w:rsidP="00247899">
      <w:pPr>
        <w:pStyle w:val="TextKP"/>
      </w:pPr>
      <w:r w:rsidRPr="00E212B5">
        <w:rPr>
          <w:color w:val="000000"/>
          <w:lang w:bidi="bn-BD"/>
        </w:rPr>
        <w:t xml:space="preserve">Nový SC 2.4 byl přidán do PO 2 OPŽP </w:t>
      </w:r>
      <w:r w:rsidR="003A40B0">
        <w:t>v roce</w:t>
      </w:r>
      <w:r w:rsidRPr="00E212B5">
        <w:t xml:space="preserve"> 2019.</w:t>
      </w:r>
      <w:r w:rsidR="009F1419">
        <w:t xml:space="preserve"> </w:t>
      </w:r>
      <w:r w:rsidRPr="00E212B5">
        <w:t xml:space="preserve">Důvodem vzniku SC 2.4 byla realokace finančních prostředků z operačního programu </w:t>
      </w:r>
      <w:r w:rsidRPr="00E212B5">
        <w:rPr>
          <w:i/>
        </w:rPr>
        <w:t>Podnikání a inovace pro konkurenceschopnost</w:t>
      </w:r>
      <w:r w:rsidRPr="00E212B5">
        <w:t xml:space="preserve"> </w:t>
      </w:r>
      <w:r w:rsidRPr="005A05AC">
        <w:t>do OPŽP ve výši cca 1 mld. Kč. MŽP rozhodlo, že tyto finanční prostředky budou využity na</w:t>
      </w:r>
      <w:r w:rsidR="00257944">
        <w:t xml:space="preserve"> </w:t>
      </w:r>
      <w:r w:rsidRPr="005A05AC">
        <w:t>projekty ke snížení emisí z průmyslových a zemědělských zdrojů znečišťování ovzduší, které jsou řešeny v rámci SC 2.2 OPŽP. Jelikož je SC 2.2 financován z</w:t>
      </w:r>
      <w:r w:rsidR="00ED19A0">
        <w:t> </w:t>
      </w:r>
      <w:r w:rsidRPr="005A05AC">
        <w:t>F</w:t>
      </w:r>
      <w:r w:rsidR="00ED19A0">
        <w:t>ondu soudržnosti (dále také „FS“)</w:t>
      </w:r>
      <w:r w:rsidRPr="005A05AC">
        <w:t>, kdežto přev</w:t>
      </w:r>
      <w:r w:rsidR="003A40B0">
        <w:t>e</w:t>
      </w:r>
      <w:r w:rsidRPr="005A05AC">
        <w:t>d</w:t>
      </w:r>
      <w:r w:rsidR="003A40B0">
        <w:t>e</w:t>
      </w:r>
      <w:r w:rsidRPr="005A05AC">
        <w:t xml:space="preserve">né prostředky </w:t>
      </w:r>
      <w:r w:rsidR="003A40B0">
        <w:t>pocházejí</w:t>
      </w:r>
      <w:r w:rsidRPr="005A05AC">
        <w:t xml:space="preserve"> z</w:t>
      </w:r>
      <w:r w:rsidR="00ED19A0">
        <w:t> Evropského fondu pro regionální rozvoj (dále také „</w:t>
      </w:r>
      <w:r w:rsidRPr="005A05AC">
        <w:t>EFRR</w:t>
      </w:r>
      <w:r w:rsidR="00ED19A0">
        <w:t>“)</w:t>
      </w:r>
      <w:r w:rsidRPr="005A05AC">
        <w:t xml:space="preserve">, bylo nutné vytvoření nového </w:t>
      </w:r>
      <w:r w:rsidR="003A40B0">
        <w:t>specifického cíle</w:t>
      </w:r>
      <w:r w:rsidRPr="005A05AC">
        <w:t>. SC 2.4 je zaměřen obdobně jako SC 2.2 s tím rozdílem, že na základě požadavku EK jsou převedené finanční prostředky využity v tzv. uhelných regionech (Moravskoslezský, Ústecký a Karlovarský kraj).</w:t>
      </w:r>
    </w:p>
    <w:p w14:paraId="420F9865" w14:textId="0491FD2F" w:rsidR="00F24187" w:rsidRPr="00F24187" w:rsidRDefault="00F24187" w:rsidP="00247899">
      <w:pPr>
        <w:pStyle w:val="TextKP"/>
        <w:rPr>
          <w:i/>
        </w:rPr>
      </w:pPr>
      <w:r w:rsidRPr="00F24187">
        <w:rPr>
          <w:i/>
        </w:rPr>
        <w:t>Program Nová zelená úsporám</w:t>
      </w:r>
    </w:p>
    <w:p w14:paraId="41CAA17D" w14:textId="5740F4B4" w:rsidR="00F24187" w:rsidRDefault="00F24187" w:rsidP="00F24187">
      <w:pPr>
        <w:pStyle w:val="TextKP"/>
      </w:pPr>
      <w:r>
        <w:t>Program NZÚ v podobě od roku 2014 lze členit na tři etapy dle zdroje financování (pro kontrolované období let 2020 až 2022 byly relevantní první dvě etapy NZÚ):</w:t>
      </w:r>
    </w:p>
    <w:p w14:paraId="71F86EE9" w14:textId="15D829E0" w:rsidR="00AE1CCA" w:rsidRDefault="00AE1CCA" w:rsidP="00AE1CCA">
      <w:pPr>
        <w:pStyle w:val="TextKP"/>
        <w:numPr>
          <w:ilvl w:val="0"/>
          <w:numId w:val="46"/>
        </w:numPr>
        <w:spacing w:before="0"/>
        <w:ind w:left="284" w:hanging="284"/>
      </w:pPr>
      <w:r>
        <w:t>I.</w:t>
      </w:r>
      <w:r w:rsidRPr="00AE1CCA" w:rsidDel="00AE1CCA">
        <w:t xml:space="preserve"> </w:t>
      </w:r>
      <w:r>
        <w:t>etapa NZÚ 14+ – financování ze státního rozpočtu z výnosu z dražeb emisních povolenek prostřednictvím programového financování (program 115 280).</w:t>
      </w:r>
    </w:p>
    <w:p w14:paraId="4C9EA1D5" w14:textId="00A7F05D" w:rsidR="00AE1CCA" w:rsidRDefault="00AE1CCA" w:rsidP="00AE1CCA">
      <w:pPr>
        <w:pStyle w:val="TextKP"/>
        <w:numPr>
          <w:ilvl w:val="0"/>
          <w:numId w:val="46"/>
        </w:numPr>
        <w:spacing w:before="0"/>
        <w:ind w:left="284" w:hanging="284"/>
      </w:pPr>
      <w:r>
        <w:t xml:space="preserve">II. etapa NZÚ 21+ – </w:t>
      </w:r>
      <w:bookmarkStart w:id="7" w:name="_Hlk148423280"/>
      <w:r>
        <w:t xml:space="preserve">financování z </w:t>
      </w:r>
      <w:r w:rsidRPr="009D2A19">
        <w:rPr>
          <w:i/>
        </w:rPr>
        <w:t>Nástroje na podporu oživení a odolnost</w:t>
      </w:r>
      <w:r>
        <w:t xml:space="preserve"> v rámci </w:t>
      </w:r>
      <w:r w:rsidRPr="002F3B4E">
        <w:rPr>
          <w:i/>
        </w:rPr>
        <w:t>Národního plánu obnovy</w:t>
      </w:r>
      <w:bookmarkEnd w:id="7"/>
      <w:r>
        <w:t>.</w:t>
      </w:r>
    </w:p>
    <w:p w14:paraId="69583629" w14:textId="775ACA83" w:rsidR="00AE1CCA" w:rsidRDefault="00AE1CCA" w:rsidP="00AE1CCA">
      <w:pPr>
        <w:pStyle w:val="TextKP"/>
        <w:numPr>
          <w:ilvl w:val="0"/>
          <w:numId w:val="46"/>
        </w:numPr>
        <w:spacing w:before="0"/>
        <w:ind w:left="284" w:hanging="284"/>
      </w:pPr>
      <w:r>
        <w:t xml:space="preserve">III. etapa NZÚ 23+ – financování z výnosu z emisních povolenek prostřednictvím Modernizačního fondu (program </w:t>
      </w:r>
      <w:proofErr w:type="spellStart"/>
      <w:r>
        <w:t>HOUSEnerg</w:t>
      </w:r>
      <w:proofErr w:type="spellEnd"/>
      <w:r>
        <w:t>).</w:t>
      </w:r>
    </w:p>
    <w:p w14:paraId="13F89075" w14:textId="0DFDF5D2" w:rsidR="00F24187" w:rsidRDefault="00F24187" w:rsidP="00247899">
      <w:pPr>
        <w:pStyle w:val="TextKP"/>
      </w:pPr>
      <w:r>
        <w:t>C</w:t>
      </w:r>
      <w:r w:rsidRPr="00F24187">
        <w:t xml:space="preserve">ílem </w:t>
      </w:r>
      <w:r>
        <w:t xml:space="preserve">programu NZÚ </w:t>
      </w:r>
      <w:r w:rsidR="00833BDE">
        <w:t xml:space="preserve">je vedle hlavního cíle </w:t>
      </w:r>
      <w:r w:rsidR="00833BDE" w:rsidRPr="00833BDE">
        <w:t>zvýšení energetické účinnosti budov</w:t>
      </w:r>
      <w:r w:rsidR="00833BDE">
        <w:t xml:space="preserve"> také </w:t>
      </w:r>
      <w:r w:rsidRPr="00F24187">
        <w:t>zlepšování stavu životního prostředí prostřednictvím snížení látek znečisťujících ovzduší</w:t>
      </w:r>
      <w:r w:rsidR="00833BDE">
        <w:t xml:space="preserve">, a to zejména </w:t>
      </w:r>
      <w:r w:rsidR="00833BDE" w:rsidRPr="00833BDE">
        <w:t>výměnou kotlů na tuhá paliva</w:t>
      </w:r>
      <w:r w:rsidR="00833BDE">
        <w:t xml:space="preserve">, resp. </w:t>
      </w:r>
      <w:r w:rsidR="00833BDE" w:rsidRPr="00833BDE">
        <w:t>výměn</w:t>
      </w:r>
      <w:r w:rsidR="00833BDE">
        <w:t>ou</w:t>
      </w:r>
      <w:r w:rsidR="00833BDE" w:rsidRPr="00833BDE">
        <w:t xml:space="preserve"> nevyhovujících zdrojů tepla v obytných budovách</w:t>
      </w:r>
      <w:r w:rsidR="00833BDE">
        <w:t>.</w:t>
      </w:r>
    </w:p>
    <w:p w14:paraId="6524731A" w14:textId="16C4623E" w:rsidR="00833BDE" w:rsidRPr="003323C3" w:rsidRDefault="00833BDE" w:rsidP="003323C3">
      <w:pPr>
        <w:pStyle w:val="Titulek"/>
        <w:tabs>
          <w:tab w:val="right" w:pos="9072"/>
        </w:tabs>
        <w:spacing w:after="40"/>
        <w:rPr>
          <w:b/>
        </w:rPr>
      </w:pPr>
      <w:r w:rsidRPr="003323C3">
        <w:rPr>
          <w:b/>
        </w:rPr>
        <w:t xml:space="preserve">Tabulka č. </w:t>
      </w:r>
      <w:r w:rsidRPr="003323C3">
        <w:rPr>
          <w:b/>
        </w:rPr>
        <w:fldChar w:fldCharType="begin"/>
      </w:r>
      <w:r w:rsidRPr="003323C3">
        <w:rPr>
          <w:b/>
        </w:rPr>
        <w:instrText xml:space="preserve"> SEQ Tabulka_č. \* ARABIC </w:instrText>
      </w:r>
      <w:r w:rsidRPr="003323C3">
        <w:rPr>
          <w:b/>
        </w:rPr>
        <w:fldChar w:fldCharType="separate"/>
      </w:r>
      <w:r w:rsidR="000D2E96">
        <w:rPr>
          <w:b/>
          <w:noProof/>
        </w:rPr>
        <w:t>1</w:t>
      </w:r>
      <w:r w:rsidRPr="003323C3">
        <w:rPr>
          <w:b/>
          <w:noProof/>
        </w:rPr>
        <w:fldChar w:fldCharType="end"/>
      </w:r>
      <w:r w:rsidRPr="003323C3">
        <w:rPr>
          <w:b/>
        </w:rPr>
        <w:t>: Příjmy z prodeje emisních povolenek 2020–2022</w:t>
      </w:r>
      <w:r w:rsidRPr="003323C3">
        <w:rPr>
          <w:b/>
        </w:rPr>
        <w:tab/>
        <w:t>(v tis. Kč)</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1276"/>
        <w:gridCol w:w="1276"/>
        <w:gridCol w:w="1275"/>
      </w:tblGrid>
      <w:tr w:rsidR="00833BDE" w:rsidRPr="0048102D" w14:paraId="79BF3308" w14:textId="77777777" w:rsidTr="003323C3">
        <w:trPr>
          <w:trHeight w:val="255"/>
        </w:trPr>
        <w:tc>
          <w:tcPr>
            <w:tcW w:w="3936" w:type="dxa"/>
            <w:shd w:val="clear" w:color="auto" w:fill="F2F2F2"/>
            <w:vAlign w:val="center"/>
          </w:tcPr>
          <w:p w14:paraId="4260A2C2" w14:textId="77777777" w:rsidR="00833BDE" w:rsidRPr="0048102D" w:rsidRDefault="00833BDE" w:rsidP="00417B76">
            <w:pPr>
              <w:jc w:val="center"/>
              <w:rPr>
                <w:rFonts w:cstheme="minorHAnsi"/>
                <w:b/>
                <w:bCs/>
                <w:color w:val="000000"/>
                <w:sz w:val="20"/>
              </w:rPr>
            </w:pPr>
            <w:bookmarkStart w:id="8" w:name="_Hlk148443663"/>
          </w:p>
        </w:tc>
        <w:tc>
          <w:tcPr>
            <w:tcW w:w="1417" w:type="dxa"/>
            <w:shd w:val="clear" w:color="auto" w:fill="F2F2F2"/>
            <w:vAlign w:val="center"/>
          </w:tcPr>
          <w:p w14:paraId="1050BF0D" w14:textId="77777777" w:rsidR="00833BDE" w:rsidRPr="0048102D" w:rsidRDefault="00833BDE" w:rsidP="00417B76">
            <w:pPr>
              <w:jc w:val="center"/>
              <w:rPr>
                <w:rFonts w:cstheme="minorHAnsi"/>
                <w:b/>
                <w:sz w:val="20"/>
              </w:rPr>
            </w:pPr>
            <w:r w:rsidRPr="0048102D">
              <w:rPr>
                <w:rFonts w:cstheme="minorHAnsi"/>
                <w:b/>
                <w:sz w:val="20"/>
              </w:rPr>
              <w:t>2020</w:t>
            </w:r>
          </w:p>
        </w:tc>
        <w:tc>
          <w:tcPr>
            <w:tcW w:w="1276" w:type="dxa"/>
            <w:shd w:val="clear" w:color="auto" w:fill="F2F2F2"/>
            <w:vAlign w:val="center"/>
          </w:tcPr>
          <w:p w14:paraId="04BE0FA5" w14:textId="77777777" w:rsidR="00833BDE" w:rsidRPr="0048102D" w:rsidRDefault="00833BDE" w:rsidP="00417B76">
            <w:pPr>
              <w:jc w:val="center"/>
              <w:rPr>
                <w:rFonts w:cstheme="minorHAnsi"/>
                <w:b/>
                <w:sz w:val="20"/>
              </w:rPr>
            </w:pPr>
            <w:r w:rsidRPr="0048102D">
              <w:rPr>
                <w:rFonts w:cstheme="minorHAnsi"/>
                <w:b/>
                <w:sz w:val="20"/>
              </w:rPr>
              <w:t>2021</w:t>
            </w:r>
          </w:p>
        </w:tc>
        <w:tc>
          <w:tcPr>
            <w:tcW w:w="1276" w:type="dxa"/>
            <w:shd w:val="clear" w:color="auto" w:fill="F2F2F2"/>
            <w:vAlign w:val="center"/>
          </w:tcPr>
          <w:p w14:paraId="0A6AF015" w14:textId="77777777" w:rsidR="00833BDE" w:rsidRPr="0048102D" w:rsidRDefault="00833BDE" w:rsidP="00417B76">
            <w:pPr>
              <w:jc w:val="center"/>
              <w:rPr>
                <w:rFonts w:cstheme="minorHAnsi"/>
                <w:b/>
                <w:sz w:val="20"/>
              </w:rPr>
            </w:pPr>
            <w:r w:rsidRPr="0048102D">
              <w:rPr>
                <w:rFonts w:cstheme="minorHAnsi"/>
                <w:b/>
                <w:sz w:val="20"/>
              </w:rPr>
              <w:t>2022</w:t>
            </w:r>
          </w:p>
        </w:tc>
        <w:tc>
          <w:tcPr>
            <w:tcW w:w="1275" w:type="dxa"/>
            <w:shd w:val="clear" w:color="auto" w:fill="F2F2F2"/>
            <w:vAlign w:val="center"/>
          </w:tcPr>
          <w:p w14:paraId="4388FF84" w14:textId="77777777" w:rsidR="00833BDE" w:rsidRPr="0048102D" w:rsidRDefault="00833BDE" w:rsidP="00417B76">
            <w:pPr>
              <w:jc w:val="center"/>
              <w:rPr>
                <w:rFonts w:cstheme="minorHAnsi"/>
                <w:b/>
                <w:sz w:val="20"/>
              </w:rPr>
            </w:pPr>
            <w:r w:rsidRPr="0048102D">
              <w:rPr>
                <w:rFonts w:cstheme="minorHAnsi"/>
                <w:b/>
                <w:bCs/>
                <w:color w:val="000000"/>
                <w:sz w:val="20"/>
              </w:rPr>
              <w:t>2020</w:t>
            </w:r>
            <w:r>
              <w:rPr>
                <w:rFonts w:cstheme="minorHAnsi"/>
                <w:b/>
                <w:bCs/>
                <w:color w:val="000000"/>
                <w:sz w:val="20"/>
              </w:rPr>
              <w:t>–</w:t>
            </w:r>
            <w:r w:rsidRPr="0048102D">
              <w:rPr>
                <w:rFonts w:cstheme="minorHAnsi"/>
                <w:b/>
                <w:bCs/>
                <w:color w:val="000000"/>
                <w:sz w:val="20"/>
              </w:rPr>
              <w:t>2022</w:t>
            </w:r>
          </w:p>
        </w:tc>
      </w:tr>
      <w:tr w:rsidR="00833BDE" w:rsidRPr="0048102D" w14:paraId="0D47A2D6" w14:textId="77777777" w:rsidTr="003323C3">
        <w:trPr>
          <w:trHeight w:val="255"/>
        </w:trPr>
        <w:tc>
          <w:tcPr>
            <w:tcW w:w="3936" w:type="dxa"/>
            <w:vAlign w:val="center"/>
          </w:tcPr>
          <w:p w14:paraId="67C5CCA6" w14:textId="77777777" w:rsidR="00833BDE" w:rsidRDefault="00833BDE" w:rsidP="00417B76">
            <w:pPr>
              <w:rPr>
                <w:rFonts w:cstheme="minorHAnsi"/>
                <w:bCs/>
                <w:color w:val="000000"/>
                <w:sz w:val="20"/>
              </w:rPr>
            </w:pPr>
            <w:r w:rsidRPr="0048102D">
              <w:rPr>
                <w:rFonts w:cstheme="minorHAnsi"/>
                <w:bCs/>
                <w:color w:val="000000"/>
                <w:sz w:val="20"/>
              </w:rPr>
              <w:t xml:space="preserve">Příjem z prodeje povolenek </w:t>
            </w:r>
            <w:r w:rsidRPr="00833BDE">
              <w:rPr>
                <w:rFonts w:cstheme="minorHAnsi"/>
                <w:bCs/>
                <w:color w:val="000000"/>
                <w:sz w:val="20"/>
              </w:rPr>
              <w:t>EUA</w:t>
            </w:r>
          </w:p>
          <w:p w14:paraId="3715B012" w14:textId="25A8AEA7" w:rsidR="00833BDE" w:rsidRPr="0048102D" w:rsidRDefault="00833BDE" w:rsidP="00417B76">
            <w:pPr>
              <w:rPr>
                <w:rFonts w:cstheme="minorHAnsi"/>
                <w:bCs/>
                <w:color w:val="000000"/>
                <w:sz w:val="20"/>
              </w:rPr>
            </w:pPr>
            <w:r>
              <w:rPr>
                <w:rFonts w:cstheme="minorHAnsi"/>
                <w:bCs/>
                <w:color w:val="000000"/>
                <w:sz w:val="20"/>
              </w:rPr>
              <w:t>(o</w:t>
            </w:r>
            <w:r w:rsidRPr="00833BDE">
              <w:rPr>
                <w:rFonts w:cstheme="minorHAnsi"/>
                <w:bCs/>
                <w:color w:val="000000"/>
                <w:sz w:val="20"/>
              </w:rPr>
              <w:t>becné emisní povolenky</w:t>
            </w:r>
            <w:r>
              <w:rPr>
                <w:rFonts w:cstheme="minorHAnsi"/>
                <w:bCs/>
                <w:color w:val="000000"/>
                <w:sz w:val="20"/>
              </w:rPr>
              <w:t>)</w:t>
            </w:r>
          </w:p>
        </w:tc>
        <w:tc>
          <w:tcPr>
            <w:tcW w:w="1417" w:type="dxa"/>
            <w:vAlign w:val="center"/>
          </w:tcPr>
          <w:p w14:paraId="5610673F" w14:textId="77777777" w:rsidR="00833BDE" w:rsidRPr="0048102D" w:rsidRDefault="00833BDE" w:rsidP="00417B76">
            <w:pPr>
              <w:jc w:val="right"/>
              <w:rPr>
                <w:rFonts w:cstheme="minorHAnsi"/>
                <w:sz w:val="20"/>
              </w:rPr>
            </w:pPr>
            <w:r w:rsidRPr="0048102D">
              <w:rPr>
                <w:rFonts w:cstheme="minorHAnsi"/>
                <w:sz w:val="20"/>
              </w:rPr>
              <w:t>18 902 320</w:t>
            </w:r>
          </w:p>
        </w:tc>
        <w:tc>
          <w:tcPr>
            <w:tcW w:w="1276" w:type="dxa"/>
            <w:vAlign w:val="center"/>
          </w:tcPr>
          <w:p w14:paraId="4E55CB61" w14:textId="77777777" w:rsidR="00833BDE" w:rsidRPr="0048102D" w:rsidRDefault="00833BDE" w:rsidP="00417B76">
            <w:pPr>
              <w:jc w:val="right"/>
              <w:rPr>
                <w:rFonts w:cstheme="minorHAnsi"/>
                <w:sz w:val="20"/>
              </w:rPr>
            </w:pPr>
            <w:r w:rsidRPr="0048102D">
              <w:rPr>
                <w:rFonts w:cstheme="minorHAnsi"/>
                <w:sz w:val="20"/>
              </w:rPr>
              <w:t>15 343 381</w:t>
            </w:r>
          </w:p>
        </w:tc>
        <w:tc>
          <w:tcPr>
            <w:tcW w:w="1276" w:type="dxa"/>
            <w:vAlign w:val="center"/>
          </w:tcPr>
          <w:p w14:paraId="4C682CDE" w14:textId="77777777" w:rsidR="00833BDE" w:rsidRPr="0048102D" w:rsidRDefault="00833BDE" w:rsidP="00417B76">
            <w:pPr>
              <w:jc w:val="right"/>
              <w:rPr>
                <w:rFonts w:cstheme="minorHAnsi"/>
                <w:sz w:val="20"/>
              </w:rPr>
            </w:pPr>
            <w:r w:rsidRPr="0048102D">
              <w:rPr>
                <w:rFonts w:cstheme="minorHAnsi"/>
                <w:sz w:val="20"/>
              </w:rPr>
              <w:t>16 390 840</w:t>
            </w:r>
          </w:p>
        </w:tc>
        <w:tc>
          <w:tcPr>
            <w:tcW w:w="1275" w:type="dxa"/>
            <w:vAlign w:val="center"/>
          </w:tcPr>
          <w:p w14:paraId="538E1850" w14:textId="77777777" w:rsidR="00833BDE" w:rsidRPr="0048102D" w:rsidRDefault="00833BDE" w:rsidP="00417B76">
            <w:pPr>
              <w:jc w:val="right"/>
              <w:rPr>
                <w:rFonts w:cstheme="minorHAnsi"/>
                <w:sz w:val="20"/>
              </w:rPr>
            </w:pPr>
            <w:r w:rsidRPr="0048102D">
              <w:rPr>
                <w:rFonts w:cstheme="minorHAnsi"/>
                <w:sz w:val="20"/>
              </w:rPr>
              <w:t>50 636 541</w:t>
            </w:r>
          </w:p>
        </w:tc>
      </w:tr>
      <w:tr w:rsidR="00833BDE" w:rsidRPr="0048102D" w14:paraId="517E55E4" w14:textId="77777777" w:rsidTr="003323C3">
        <w:trPr>
          <w:trHeight w:val="255"/>
        </w:trPr>
        <w:tc>
          <w:tcPr>
            <w:tcW w:w="3936" w:type="dxa"/>
            <w:vAlign w:val="center"/>
          </w:tcPr>
          <w:p w14:paraId="01A4DAF0" w14:textId="77777777" w:rsidR="00833BDE" w:rsidRDefault="00833BDE" w:rsidP="00417B76">
            <w:pPr>
              <w:rPr>
                <w:rFonts w:cstheme="minorHAnsi"/>
                <w:bCs/>
                <w:color w:val="000000"/>
                <w:sz w:val="20"/>
              </w:rPr>
            </w:pPr>
            <w:r w:rsidRPr="0048102D">
              <w:rPr>
                <w:rFonts w:cstheme="minorHAnsi"/>
                <w:bCs/>
                <w:color w:val="000000"/>
                <w:sz w:val="20"/>
              </w:rPr>
              <w:t>Příjem z prodeje povolenek EUAA</w:t>
            </w:r>
          </w:p>
          <w:p w14:paraId="103EA331" w14:textId="6D06ADBF" w:rsidR="00833BDE" w:rsidRPr="0048102D" w:rsidRDefault="00833BDE" w:rsidP="00417B76">
            <w:pPr>
              <w:rPr>
                <w:rFonts w:cstheme="minorHAnsi"/>
                <w:bCs/>
                <w:color w:val="000000"/>
                <w:sz w:val="20"/>
              </w:rPr>
            </w:pPr>
            <w:r>
              <w:rPr>
                <w:rFonts w:cstheme="minorHAnsi"/>
                <w:bCs/>
                <w:color w:val="000000"/>
                <w:sz w:val="20"/>
              </w:rPr>
              <w:t>(e</w:t>
            </w:r>
            <w:r w:rsidRPr="00833BDE">
              <w:rPr>
                <w:rFonts w:cstheme="minorHAnsi"/>
                <w:bCs/>
                <w:color w:val="000000"/>
                <w:sz w:val="20"/>
              </w:rPr>
              <w:t>misní povolenky pro oblast letectví</w:t>
            </w:r>
            <w:r>
              <w:rPr>
                <w:rFonts w:cstheme="minorHAnsi"/>
                <w:bCs/>
                <w:color w:val="000000"/>
                <w:sz w:val="20"/>
              </w:rPr>
              <w:t>)</w:t>
            </w:r>
          </w:p>
        </w:tc>
        <w:tc>
          <w:tcPr>
            <w:tcW w:w="1417" w:type="dxa"/>
            <w:vAlign w:val="center"/>
          </w:tcPr>
          <w:p w14:paraId="4E075229" w14:textId="77777777" w:rsidR="00833BDE" w:rsidRPr="0048102D" w:rsidRDefault="00833BDE" w:rsidP="00417B76">
            <w:pPr>
              <w:jc w:val="right"/>
              <w:rPr>
                <w:rFonts w:cstheme="minorHAnsi"/>
                <w:sz w:val="20"/>
              </w:rPr>
            </w:pPr>
            <w:r w:rsidRPr="0048102D">
              <w:rPr>
                <w:rFonts w:cstheme="minorHAnsi"/>
                <w:sz w:val="20"/>
              </w:rPr>
              <w:t>34 572</w:t>
            </w:r>
          </w:p>
        </w:tc>
        <w:tc>
          <w:tcPr>
            <w:tcW w:w="1276" w:type="dxa"/>
            <w:vAlign w:val="center"/>
          </w:tcPr>
          <w:p w14:paraId="09E7D40D" w14:textId="77777777" w:rsidR="00833BDE" w:rsidRPr="0048102D" w:rsidRDefault="00833BDE" w:rsidP="00417B76">
            <w:pPr>
              <w:jc w:val="right"/>
              <w:rPr>
                <w:rFonts w:cstheme="minorHAnsi"/>
                <w:sz w:val="20"/>
              </w:rPr>
            </w:pPr>
            <w:r w:rsidRPr="0048102D">
              <w:rPr>
                <w:rFonts w:cstheme="minorHAnsi"/>
                <w:sz w:val="20"/>
              </w:rPr>
              <w:t>53 619</w:t>
            </w:r>
          </w:p>
        </w:tc>
        <w:tc>
          <w:tcPr>
            <w:tcW w:w="1276" w:type="dxa"/>
            <w:vAlign w:val="center"/>
          </w:tcPr>
          <w:p w14:paraId="1DBEB271" w14:textId="77777777" w:rsidR="00833BDE" w:rsidRPr="0048102D" w:rsidRDefault="00833BDE" w:rsidP="00417B76">
            <w:pPr>
              <w:jc w:val="right"/>
              <w:rPr>
                <w:rFonts w:cstheme="minorHAnsi"/>
                <w:sz w:val="20"/>
              </w:rPr>
            </w:pPr>
            <w:r w:rsidRPr="0048102D">
              <w:rPr>
                <w:rFonts w:cstheme="minorHAnsi"/>
                <w:sz w:val="20"/>
              </w:rPr>
              <w:t>73 582</w:t>
            </w:r>
          </w:p>
        </w:tc>
        <w:tc>
          <w:tcPr>
            <w:tcW w:w="1275" w:type="dxa"/>
            <w:vAlign w:val="center"/>
          </w:tcPr>
          <w:p w14:paraId="37D069F9" w14:textId="77777777" w:rsidR="00833BDE" w:rsidRPr="0048102D" w:rsidRDefault="00833BDE" w:rsidP="00417B76">
            <w:pPr>
              <w:jc w:val="right"/>
              <w:rPr>
                <w:rFonts w:cstheme="minorHAnsi"/>
                <w:sz w:val="20"/>
              </w:rPr>
            </w:pPr>
            <w:r w:rsidRPr="0048102D">
              <w:rPr>
                <w:rFonts w:cstheme="minorHAnsi"/>
                <w:sz w:val="20"/>
              </w:rPr>
              <w:t>161 773</w:t>
            </w:r>
          </w:p>
        </w:tc>
      </w:tr>
      <w:tr w:rsidR="00833BDE" w:rsidRPr="0048102D" w14:paraId="5680E489" w14:textId="77777777" w:rsidTr="003323C3">
        <w:trPr>
          <w:trHeight w:val="255"/>
        </w:trPr>
        <w:tc>
          <w:tcPr>
            <w:tcW w:w="3936" w:type="dxa"/>
            <w:vAlign w:val="center"/>
          </w:tcPr>
          <w:p w14:paraId="76B1DCE6" w14:textId="77777777" w:rsidR="00833BDE" w:rsidRPr="0048102D" w:rsidRDefault="00833BDE" w:rsidP="00417B76">
            <w:pPr>
              <w:rPr>
                <w:rFonts w:cstheme="minorHAnsi"/>
                <w:b/>
                <w:bCs/>
                <w:color w:val="000000"/>
                <w:sz w:val="20"/>
              </w:rPr>
            </w:pPr>
            <w:r w:rsidRPr="0048102D">
              <w:rPr>
                <w:rFonts w:cstheme="minorHAnsi"/>
                <w:b/>
                <w:bCs/>
                <w:color w:val="000000"/>
                <w:sz w:val="20"/>
              </w:rPr>
              <w:t>Příjem z dražeb celkem</w:t>
            </w:r>
          </w:p>
        </w:tc>
        <w:tc>
          <w:tcPr>
            <w:tcW w:w="1417" w:type="dxa"/>
            <w:vAlign w:val="center"/>
          </w:tcPr>
          <w:p w14:paraId="207451ED" w14:textId="77777777" w:rsidR="00833BDE" w:rsidRPr="0048102D" w:rsidRDefault="00833BDE" w:rsidP="00417B76">
            <w:pPr>
              <w:jc w:val="right"/>
              <w:rPr>
                <w:rFonts w:cstheme="minorHAnsi"/>
                <w:b/>
                <w:sz w:val="20"/>
              </w:rPr>
            </w:pPr>
            <w:r w:rsidRPr="0048102D">
              <w:rPr>
                <w:rFonts w:cstheme="minorHAnsi"/>
                <w:b/>
                <w:bCs/>
                <w:color w:val="000000"/>
                <w:sz w:val="20"/>
              </w:rPr>
              <w:t>18 936 892</w:t>
            </w:r>
          </w:p>
        </w:tc>
        <w:tc>
          <w:tcPr>
            <w:tcW w:w="1276" w:type="dxa"/>
            <w:vAlign w:val="center"/>
          </w:tcPr>
          <w:p w14:paraId="2977BA01" w14:textId="77777777" w:rsidR="00833BDE" w:rsidRPr="0048102D" w:rsidRDefault="00833BDE" w:rsidP="00417B76">
            <w:pPr>
              <w:jc w:val="right"/>
              <w:rPr>
                <w:rFonts w:cstheme="minorHAnsi"/>
                <w:b/>
                <w:sz w:val="20"/>
              </w:rPr>
            </w:pPr>
            <w:r w:rsidRPr="0048102D">
              <w:rPr>
                <w:rFonts w:cstheme="minorHAnsi"/>
                <w:b/>
                <w:sz w:val="20"/>
              </w:rPr>
              <w:t>15 397 000</w:t>
            </w:r>
          </w:p>
        </w:tc>
        <w:tc>
          <w:tcPr>
            <w:tcW w:w="1276" w:type="dxa"/>
            <w:vAlign w:val="center"/>
          </w:tcPr>
          <w:p w14:paraId="71278816" w14:textId="77777777" w:rsidR="00833BDE" w:rsidRPr="0048102D" w:rsidRDefault="00833BDE" w:rsidP="00417B76">
            <w:pPr>
              <w:jc w:val="right"/>
              <w:rPr>
                <w:rFonts w:cstheme="minorHAnsi"/>
                <w:b/>
                <w:sz w:val="20"/>
              </w:rPr>
            </w:pPr>
            <w:r w:rsidRPr="0048102D">
              <w:rPr>
                <w:rFonts w:cstheme="minorHAnsi"/>
                <w:b/>
                <w:sz w:val="20"/>
              </w:rPr>
              <w:t>16 464 422</w:t>
            </w:r>
          </w:p>
        </w:tc>
        <w:tc>
          <w:tcPr>
            <w:tcW w:w="1275" w:type="dxa"/>
            <w:vAlign w:val="center"/>
          </w:tcPr>
          <w:p w14:paraId="149C9806" w14:textId="77777777" w:rsidR="00833BDE" w:rsidRPr="0048102D" w:rsidRDefault="00833BDE" w:rsidP="00417B76">
            <w:pPr>
              <w:jc w:val="right"/>
              <w:rPr>
                <w:rFonts w:cstheme="minorHAnsi"/>
                <w:b/>
                <w:sz w:val="20"/>
              </w:rPr>
            </w:pPr>
            <w:r w:rsidRPr="0048102D">
              <w:rPr>
                <w:rFonts w:cstheme="minorHAnsi"/>
                <w:b/>
                <w:bCs/>
                <w:color w:val="000000"/>
                <w:sz w:val="20"/>
              </w:rPr>
              <w:t>50 798 314</w:t>
            </w:r>
          </w:p>
        </w:tc>
      </w:tr>
    </w:tbl>
    <w:bookmarkEnd w:id="8"/>
    <w:p w14:paraId="55F5E536" w14:textId="42013B58" w:rsidR="00C5233F" w:rsidRPr="00DE139C" w:rsidRDefault="00833BDE" w:rsidP="00955553">
      <w:pPr>
        <w:pStyle w:val="Zdrojeapozn"/>
        <w:rPr>
          <w:b w:val="0"/>
        </w:rPr>
      </w:pPr>
      <w:r w:rsidRPr="00156FAF">
        <w:t>Zdroj:</w:t>
      </w:r>
      <w:r w:rsidR="003323C3">
        <w:t xml:space="preserve"> </w:t>
      </w:r>
      <w:r w:rsidR="00257944" w:rsidRPr="00DE139C">
        <w:rPr>
          <w:b w:val="0"/>
        </w:rPr>
        <w:t>z</w:t>
      </w:r>
      <w:r w:rsidRPr="00DE139C">
        <w:rPr>
          <w:b w:val="0"/>
        </w:rPr>
        <w:t>ávěrečn</w:t>
      </w:r>
      <w:r w:rsidR="00257944" w:rsidRPr="00DE139C">
        <w:rPr>
          <w:b w:val="0"/>
        </w:rPr>
        <w:t>é</w:t>
      </w:r>
      <w:r w:rsidRPr="00DE139C">
        <w:rPr>
          <w:b w:val="0"/>
        </w:rPr>
        <w:t xml:space="preserve"> účt</w:t>
      </w:r>
      <w:r w:rsidR="00257944" w:rsidRPr="00DE139C">
        <w:rPr>
          <w:b w:val="0"/>
        </w:rPr>
        <w:t>y</w:t>
      </w:r>
      <w:r w:rsidRPr="00DE139C">
        <w:rPr>
          <w:b w:val="0"/>
        </w:rPr>
        <w:t xml:space="preserve"> kapitoly 315 – MŽP za rok</w:t>
      </w:r>
      <w:r w:rsidR="00257944" w:rsidRPr="00DE139C">
        <w:rPr>
          <w:b w:val="0"/>
        </w:rPr>
        <w:t>y</w:t>
      </w:r>
      <w:r w:rsidRPr="00DE139C">
        <w:rPr>
          <w:b w:val="0"/>
        </w:rPr>
        <w:t xml:space="preserve"> 2020, 2021, 2022.</w:t>
      </w:r>
    </w:p>
    <w:p w14:paraId="465DDD9A" w14:textId="32E8ACDE" w:rsidR="00CA2C1A" w:rsidRDefault="0016093A" w:rsidP="0016093A">
      <w:pPr>
        <w:pStyle w:val="Hlavnnadpis"/>
        <w:numPr>
          <w:ilvl w:val="0"/>
          <w:numId w:val="0"/>
        </w:numPr>
        <w:spacing w:before="600"/>
      </w:pPr>
      <w:r>
        <w:t xml:space="preserve">III. </w:t>
      </w:r>
      <w:r w:rsidR="000A5F6C">
        <w:t>Rozsah kontroly</w:t>
      </w:r>
    </w:p>
    <w:p w14:paraId="028EF1AE" w14:textId="0749184C" w:rsidR="00203F13" w:rsidRDefault="00203F13" w:rsidP="00203F13">
      <w:pPr>
        <w:pStyle w:val="TextKP"/>
        <w:spacing w:before="80"/>
      </w:pPr>
      <w:r>
        <w:t xml:space="preserve">Cílem kontrolní akce bylo prověřit, </w:t>
      </w:r>
      <w:r w:rsidRPr="00622E58">
        <w:t xml:space="preserve">zda </w:t>
      </w:r>
      <w:r w:rsidR="00CC01AC">
        <w:t>p</w:t>
      </w:r>
      <w:r w:rsidRPr="00622E58">
        <w:t xml:space="preserve">eněžní prostředky </w:t>
      </w:r>
      <w:r w:rsidR="00CC01AC" w:rsidRPr="00CC01AC">
        <w:t xml:space="preserve">státu a Evropské unie určené na realizaci cílů projektů zaměřených na zlepšování kvality ovzduší </w:t>
      </w:r>
      <w:r w:rsidR="00CC01AC">
        <w:t xml:space="preserve">byly </w:t>
      </w:r>
      <w:r w:rsidRPr="00622E58">
        <w:t>vynakládány účelně a</w:t>
      </w:r>
      <w:r w:rsidR="00CC01AC">
        <w:t> </w:t>
      </w:r>
      <w:r w:rsidRPr="00622E58">
        <w:t>v</w:t>
      </w:r>
      <w:r w:rsidR="00CC01AC">
        <w:t> </w:t>
      </w:r>
      <w:r w:rsidRPr="00622E58">
        <w:t>souladu s</w:t>
      </w:r>
      <w:r w:rsidR="00013954">
        <w:t> </w:t>
      </w:r>
      <w:r w:rsidRPr="00622E58">
        <w:t>právními předpisy.</w:t>
      </w:r>
    </w:p>
    <w:p w14:paraId="015CD683" w14:textId="7EBA781C" w:rsidR="00F55F77" w:rsidRDefault="00E73ED0" w:rsidP="00E73ED0">
      <w:pPr>
        <w:pStyle w:val="TextKP"/>
        <w:spacing w:before="80"/>
      </w:pPr>
      <w:r>
        <w:t xml:space="preserve">Za účelné bylo považováno takové vynakládání a použití peněžních prostředků, </w:t>
      </w:r>
      <w:r w:rsidRPr="00E73ED0">
        <w:t>které vedlo k</w:t>
      </w:r>
      <w:r>
        <w:t> </w:t>
      </w:r>
      <w:r w:rsidRPr="00E73ED0">
        <w:t xml:space="preserve">optimální míře dosažení cílů </w:t>
      </w:r>
      <w:r>
        <w:t>PO 2 OPŽP, NZÚ a NPŽP v</w:t>
      </w:r>
      <w:r w:rsidR="00994BEA">
        <w:t> oblasti zlepšování kvality ovzduší</w:t>
      </w:r>
      <w:r>
        <w:t xml:space="preserve">, tj. zejména ke snižování emisí </w:t>
      </w:r>
      <w:r w:rsidR="00994BEA">
        <w:t xml:space="preserve">látek </w:t>
      </w:r>
      <w:r>
        <w:t>znečišťujících</w:t>
      </w:r>
      <w:r w:rsidR="00994BEA">
        <w:t xml:space="preserve"> ovzduší, ke zlepšování systému </w:t>
      </w:r>
      <w:bookmarkStart w:id="9" w:name="_Hlk161728409"/>
      <w:r w:rsidR="00994BEA">
        <w:t xml:space="preserve">hodnocení kvality ovzduší </w:t>
      </w:r>
      <w:bookmarkEnd w:id="9"/>
      <w:r w:rsidR="00815D76">
        <w:t>či pořizování programů zlepšování kvality ovzduší</w:t>
      </w:r>
      <w:r>
        <w:t>.</w:t>
      </w:r>
      <w:r w:rsidR="00994BEA" w:rsidRPr="00994BEA">
        <w:t xml:space="preserve"> </w:t>
      </w:r>
      <w:r w:rsidR="00994BEA">
        <w:t xml:space="preserve">V případě kontrolovaných </w:t>
      </w:r>
      <w:r w:rsidR="00994BEA">
        <w:lastRenderedPageBreak/>
        <w:t>projektů</w:t>
      </w:r>
      <w:r w:rsidR="00815D76">
        <w:t xml:space="preserve"> PO 2 OPŽP</w:t>
      </w:r>
      <w:r w:rsidR="00994BEA">
        <w:t xml:space="preserve"> bylo za účelné považováno</w:t>
      </w:r>
      <w:r w:rsidR="00815D76">
        <w:t xml:space="preserve"> </w:t>
      </w:r>
      <w:r w:rsidR="00815D76" w:rsidRPr="00815D76">
        <w:t>takové použití peněžních prostředků</w:t>
      </w:r>
      <w:r w:rsidR="00815D76">
        <w:t>,</w:t>
      </w:r>
      <w:r w:rsidR="00815D76" w:rsidRPr="00815D76">
        <w:t xml:space="preserve"> </w:t>
      </w:r>
      <w:r w:rsidR="00842765">
        <w:t>které vedlo k</w:t>
      </w:r>
      <w:r w:rsidR="00994BEA">
        <w:t xml:space="preserve"> </w:t>
      </w:r>
      <w:r w:rsidR="00815D76">
        <w:t>n</w:t>
      </w:r>
      <w:r>
        <w:t>apln</w:t>
      </w:r>
      <w:r w:rsidR="00842765">
        <w:t>ění</w:t>
      </w:r>
      <w:r>
        <w:t xml:space="preserve"> účel</w:t>
      </w:r>
      <w:r w:rsidR="00842765">
        <w:t>u</w:t>
      </w:r>
      <w:r>
        <w:t xml:space="preserve"> projektu</w:t>
      </w:r>
      <w:r w:rsidR="00842765">
        <w:t xml:space="preserve">, k </w:t>
      </w:r>
      <w:r>
        <w:t>dos</w:t>
      </w:r>
      <w:r w:rsidR="00842765">
        <w:t>ažení</w:t>
      </w:r>
      <w:r>
        <w:t xml:space="preserve"> stanovených cílů</w:t>
      </w:r>
      <w:r w:rsidR="00842765">
        <w:t xml:space="preserve"> a </w:t>
      </w:r>
      <w:r>
        <w:t>očekávaných výsledků a</w:t>
      </w:r>
      <w:r w:rsidR="00842765">
        <w:t> </w:t>
      </w:r>
      <w:r>
        <w:t>poskytnuté peněžní prostředky prokazatelně vedly ke snížení znečišťování ovzduší nebo ke zlepšení systému sledování, hodnocení a předpovídání vývoje kvality ovzduší.</w:t>
      </w:r>
    </w:p>
    <w:p w14:paraId="3CA88CA8" w14:textId="444E645A" w:rsidR="006B4457" w:rsidRDefault="006B4457" w:rsidP="00EC0839">
      <w:pPr>
        <w:pStyle w:val="TextKP"/>
        <w:spacing w:before="80"/>
      </w:pPr>
      <w:r w:rsidRPr="006B4457">
        <w:t>NKÚ provedl kontrolu u M</w:t>
      </w:r>
      <w:r w:rsidR="0090369C">
        <w:t>ŽP</w:t>
      </w:r>
      <w:r w:rsidRPr="006B4457">
        <w:t xml:space="preserve"> jakožto řídicího orgánu OP</w:t>
      </w:r>
      <w:r w:rsidR="0090369C">
        <w:t>ŽP a správce programu NZÚ, u SFŽP jakožto zprostředkujícího subjektu OPŽP a NZÚ a administrátora NPŽP</w:t>
      </w:r>
      <w:r w:rsidR="00384E1D">
        <w:t>. Dále provedl kontrolu</w:t>
      </w:r>
      <w:r w:rsidR="00CD3934">
        <w:t xml:space="preserve"> u ČHMÚ, který je </w:t>
      </w:r>
      <w:r w:rsidR="00CD3934" w:rsidRPr="00CD3934">
        <w:t xml:space="preserve">pověřený posuzováním a vyhodnocováním úrovně znečištění </w:t>
      </w:r>
      <w:r w:rsidR="00CD3934">
        <w:t xml:space="preserve">a znečišťování </w:t>
      </w:r>
      <w:r w:rsidR="00CD3934" w:rsidRPr="00CD3934">
        <w:t xml:space="preserve">ovzduší </w:t>
      </w:r>
      <w:r w:rsidR="00CD3934">
        <w:t xml:space="preserve">a který </w:t>
      </w:r>
      <w:r w:rsidR="00842765">
        <w:t>byl</w:t>
      </w:r>
      <w:r w:rsidR="00CD3934">
        <w:t xml:space="preserve"> příjemcem dotací z PO 2 OPŽP, a u dalších </w:t>
      </w:r>
      <w:r w:rsidR="009D5004">
        <w:t>sedmi</w:t>
      </w:r>
      <w:r w:rsidR="00CD3934">
        <w:t xml:space="preserve"> vybraných příjemců dotací v rámci SC 2.4 PO 2 OPŽP.</w:t>
      </w:r>
    </w:p>
    <w:p w14:paraId="5A6161B0" w14:textId="3F3D2CCB" w:rsidR="00930A33" w:rsidRDefault="00930A33" w:rsidP="00EC0839">
      <w:pPr>
        <w:pStyle w:val="TextKP"/>
        <w:spacing w:before="80"/>
      </w:pPr>
      <w:r w:rsidRPr="00930A33">
        <w:t xml:space="preserve">NKÚ </w:t>
      </w:r>
      <w:r>
        <w:t>v</w:t>
      </w:r>
      <w:r w:rsidRPr="00930A33">
        <w:t xml:space="preserve"> souvislosti s</w:t>
      </w:r>
      <w:r>
        <w:t> implementací OPŽP</w:t>
      </w:r>
      <w:r w:rsidR="00DE64A6">
        <w:t>,</w:t>
      </w:r>
      <w:r w:rsidR="00384E1D">
        <w:t xml:space="preserve"> </w:t>
      </w:r>
      <w:r w:rsidR="00C91FC1">
        <w:t xml:space="preserve">OPŽP 2021–2027, </w:t>
      </w:r>
      <w:r>
        <w:t>progra</w:t>
      </w:r>
      <w:r w:rsidR="00DE64A6">
        <w:t>mu</w:t>
      </w:r>
      <w:r>
        <w:t xml:space="preserve"> NZÚ</w:t>
      </w:r>
      <w:r w:rsidRPr="00930A33">
        <w:t xml:space="preserve"> </w:t>
      </w:r>
      <w:r w:rsidR="00DE64A6">
        <w:t xml:space="preserve">a NPŽP </w:t>
      </w:r>
      <w:r w:rsidR="00C91FC1" w:rsidRPr="00930A33">
        <w:t>prověřoval</w:t>
      </w:r>
      <w:r w:rsidR="00C91FC1">
        <w:t xml:space="preserve"> u MŽP a SFŽP administraci, realizaci a vyhodnocování těchto programů, přičemž se zaměřil na</w:t>
      </w:r>
      <w:r w:rsidR="00C91FC1" w:rsidRPr="00C91FC1">
        <w:t xml:space="preserve"> nastavení podmínek poskytování dotací, kontrolního systému, monitoringu a dosa</w:t>
      </w:r>
      <w:r w:rsidR="00C91FC1">
        <w:t>hování</w:t>
      </w:r>
      <w:r w:rsidR="00C91FC1" w:rsidRPr="00C91FC1">
        <w:t xml:space="preserve"> cílů </w:t>
      </w:r>
      <w:r w:rsidR="00C91FC1">
        <w:t xml:space="preserve">těchto programů. </w:t>
      </w:r>
      <w:r>
        <w:t xml:space="preserve">NKÚ dále </w:t>
      </w:r>
      <w:r w:rsidR="00DE64A6">
        <w:t xml:space="preserve">prověřoval </w:t>
      </w:r>
      <w:r>
        <w:t xml:space="preserve">u </w:t>
      </w:r>
      <w:r w:rsidR="00DE64A6">
        <w:t xml:space="preserve">MŽP a </w:t>
      </w:r>
      <w:r>
        <w:t xml:space="preserve">SFŽP </w:t>
      </w:r>
      <w:r w:rsidR="00DE64A6">
        <w:t xml:space="preserve">poskytování </w:t>
      </w:r>
      <w:r w:rsidR="007D5E45">
        <w:t xml:space="preserve">a administraci </w:t>
      </w:r>
      <w:r w:rsidR="00DE64A6">
        <w:t>dotací na vzorku 12 projektů realizovaných v rámci SC 2.3 a SC 2.4 PO 2 OPŽP</w:t>
      </w:r>
      <w:r w:rsidR="00B1571B">
        <w:t xml:space="preserve"> a u</w:t>
      </w:r>
      <w:r w:rsidR="00B1571B" w:rsidRPr="00B1571B">
        <w:t xml:space="preserve"> SFŽP </w:t>
      </w:r>
      <w:r w:rsidR="00B1571B">
        <w:t>na vzorku</w:t>
      </w:r>
      <w:r w:rsidR="009D5004">
        <w:t xml:space="preserve"> tří </w:t>
      </w:r>
      <w:r w:rsidR="00B1571B" w:rsidRPr="00B1571B">
        <w:t xml:space="preserve">projektů </w:t>
      </w:r>
      <w:r w:rsidR="009308B7">
        <w:t xml:space="preserve">realizovaných </w:t>
      </w:r>
      <w:r w:rsidR="00B1571B" w:rsidRPr="00B1571B">
        <w:t>v rámci 2. prioritní oblasti NPŽP.</w:t>
      </w:r>
    </w:p>
    <w:p w14:paraId="388FFDAA" w14:textId="0ACEB725" w:rsidR="00E604E9" w:rsidRDefault="00E604E9" w:rsidP="00930A33">
      <w:pPr>
        <w:pStyle w:val="TextKP"/>
        <w:spacing w:before="80"/>
      </w:pPr>
      <w:bookmarkStart w:id="10" w:name="_Hlk124950134"/>
      <w:r>
        <w:t>NKÚ</w:t>
      </w:r>
      <w:r w:rsidR="00F75183">
        <w:t xml:space="preserve"> také</w:t>
      </w:r>
      <w:r>
        <w:t xml:space="preserve"> v</w:t>
      </w:r>
      <w:r w:rsidR="00A82C84">
        <w:t xml:space="preserve"> rámci </w:t>
      </w:r>
      <w:r w:rsidR="00F75183">
        <w:t>kontroly prověřil,</w:t>
      </w:r>
      <w:r>
        <w:t xml:space="preserve"> zda MŽP a ČHMÚ použily část peněžních prostředk</w:t>
      </w:r>
      <w:r w:rsidR="00F75183">
        <w:t>ů</w:t>
      </w:r>
      <w:r>
        <w:t xml:space="preserve"> z výnosu z poplatků za znečišťování </w:t>
      </w:r>
      <w:r w:rsidR="00F75183">
        <w:t xml:space="preserve">ovzduší </w:t>
      </w:r>
      <w:r>
        <w:t>v souladu se zákonem o ochraně ovzduší na stanovený účel a zda MŽP realizovalo</w:t>
      </w:r>
      <w:r w:rsidR="00930A33">
        <w:t xml:space="preserve"> výdaje z</w:t>
      </w:r>
      <w:r w:rsidR="00F75183">
        <w:t> </w:t>
      </w:r>
      <w:r w:rsidR="00930A33">
        <w:t xml:space="preserve">dražeb emisních povolenek </w:t>
      </w:r>
      <w:r>
        <w:t xml:space="preserve">v souladu se </w:t>
      </w:r>
      <w:r w:rsidR="00930A33">
        <w:t>zákon</w:t>
      </w:r>
      <w:r>
        <w:t>em</w:t>
      </w:r>
      <w:r w:rsidR="00930A33">
        <w:t xml:space="preserve"> č. 383/2012 Sb.</w:t>
      </w:r>
    </w:p>
    <w:p w14:paraId="4CB8E1BC" w14:textId="3C52C84A" w:rsidR="00B705B3" w:rsidRDefault="00E604E9" w:rsidP="00203F13">
      <w:pPr>
        <w:pStyle w:val="TextKP"/>
        <w:spacing w:before="80"/>
      </w:pPr>
      <w:r>
        <w:t xml:space="preserve">V neposlední řadě NKÚ prověřil </w:t>
      </w:r>
      <w:r w:rsidR="006E523A">
        <w:t xml:space="preserve">u ČHMÚ a dalších </w:t>
      </w:r>
      <w:r w:rsidR="009D5004">
        <w:t>sedmi</w:t>
      </w:r>
      <w:r w:rsidR="006E523A">
        <w:t xml:space="preserve"> vybraných příjemců dotací z PO 2 OPŽP </w:t>
      </w:r>
      <w:r w:rsidR="00930A33">
        <w:t>dodržování podmínek poskytnutí dotace, prokazatelnost a opodstatněnost způsobilých výdajů, užití prostředků dotace na stanovený účel</w:t>
      </w:r>
      <w:r w:rsidR="006E523A">
        <w:t xml:space="preserve"> a</w:t>
      </w:r>
      <w:r w:rsidR="00930A33">
        <w:t xml:space="preserve"> plnění cílů a udržitelnost projekt</w:t>
      </w:r>
      <w:r w:rsidR="006E523A">
        <w:t xml:space="preserve">ů. </w:t>
      </w:r>
      <w:r w:rsidR="00203F13">
        <w:t>Ke</w:t>
      </w:r>
      <w:r w:rsidR="00663546">
        <w:t> </w:t>
      </w:r>
      <w:r w:rsidR="00203F13">
        <w:t xml:space="preserve">kontrole bylo vybráno celkem </w:t>
      </w:r>
      <w:r w:rsidR="009B2BF3">
        <w:t>12</w:t>
      </w:r>
      <w:r w:rsidR="00F75183">
        <w:t xml:space="preserve"> projektů</w:t>
      </w:r>
      <w:r w:rsidR="00203F13">
        <w:t xml:space="preserve">, které byly zaměřeny na realizaci opatření </w:t>
      </w:r>
      <w:r w:rsidR="006E523A">
        <w:t>na</w:t>
      </w:r>
      <w:r w:rsidR="00203F13">
        <w:t xml:space="preserve"> </w:t>
      </w:r>
      <w:r w:rsidR="006E523A">
        <w:t xml:space="preserve">zlepšování systému </w:t>
      </w:r>
      <w:r w:rsidR="006E523A" w:rsidRPr="006E523A">
        <w:t xml:space="preserve">hodnocení kvality ovzduší </w:t>
      </w:r>
      <w:r w:rsidR="006E523A">
        <w:t xml:space="preserve">či snižovaní emisí znečišťujících látek </w:t>
      </w:r>
      <w:r w:rsidR="00203F13">
        <w:t xml:space="preserve">a které byly financovány z PO </w:t>
      </w:r>
      <w:r w:rsidR="007A33E7">
        <w:t>2</w:t>
      </w:r>
      <w:r w:rsidR="00203F13">
        <w:t xml:space="preserve"> OPŽP</w:t>
      </w:r>
      <w:r w:rsidR="00B705B3">
        <w:t>.</w:t>
      </w:r>
    </w:p>
    <w:bookmarkEnd w:id="10"/>
    <w:p w14:paraId="0800EE15" w14:textId="3B56F587" w:rsidR="0017522D" w:rsidRDefault="0017522D" w:rsidP="00203F13">
      <w:pPr>
        <w:pStyle w:val="TextKP"/>
        <w:spacing w:before="80"/>
      </w:pPr>
      <w:r w:rsidRPr="0017522D">
        <w:t>Kontrolou byly dále prověřeny peněžní prostředky SFŽP určené na zlepšování kvality ovzduší v rámci 2. prioritní oblasti NPŽP. Na vzorku</w:t>
      </w:r>
      <w:r w:rsidR="00B1571B">
        <w:t xml:space="preserve"> </w:t>
      </w:r>
      <w:r w:rsidR="009D5004">
        <w:t>tří</w:t>
      </w:r>
      <w:r w:rsidR="00B1571B">
        <w:t xml:space="preserve"> projektů</w:t>
      </w:r>
      <w:r w:rsidRPr="0017522D">
        <w:t xml:space="preserve"> bylo prověřováno, zda SFŽP poskytoval peněžní prostředky v souladu s právními předpisy.</w:t>
      </w:r>
    </w:p>
    <w:p w14:paraId="1A67C293" w14:textId="2EE503EF" w:rsidR="00203F13" w:rsidRPr="002D56FA" w:rsidRDefault="00203F13" w:rsidP="00203F13">
      <w:pPr>
        <w:pStyle w:val="TextKP"/>
        <w:spacing w:before="80"/>
      </w:pPr>
      <w:r w:rsidRPr="00716456">
        <w:t>Výběr vzorků projektů vycházel z</w:t>
      </w:r>
      <w:r w:rsidR="00B076E2">
        <w:t>ejména z požadavku na</w:t>
      </w:r>
      <w:r w:rsidRPr="00716456">
        <w:t xml:space="preserve"> pokrytí vybraných dotačních titulů, finanční významnosti</w:t>
      </w:r>
      <w:r w:rsidR="00B076E2">
        <w:t xml:space="preserve">, pokročilosti </w:t>
      </w:r>
      <w:r w:rsidR="00A31CDE">
        <w:t>realizace a vyplacených peněžních prostředků.</w:t>
      </w:r>
      <w:r w:rsidR="00F75183">
        <w:t xml:space="preserve"> </w:t>
      </w:r>
      <w:r>
        <w:t>Přehled kontrolovaných projektů</w:t>
      </w:r>
      <w:r w:rsidR="00F75183">
        <w:t xml:space="preserve"> </w:t>
      </w:r>
      <w:r>
        <w:t xml:space="preserve">je </w:t>
      </w:r>
      <w:r w:rsidRPr="002D56FA">
        <w:t xml:space="preserve">uveden v příloze č. </w:t>
      </w:r>
      <w:r w:rsidR="00A164D2">
        <w:t>4</w:t>
      </w:r>
      <w:r w:rsidRPr="002D56FA">
        <w:t xml:space="preserve"> </w:t>
      </w:r>
      <w:r w:rsidR="009D5004">
        <w:t xml:space="preserve">tohoto </w:t>
      </w:r>
      <w:r w:rsidRPr="002D56FA">
        <w:t>kontrolního závěru.</w:t>
      </w:r>
    </w:p>
    <w:p w14:paraId="19A032B5" w14:textId="64BEB004" w:rsidR="00203F13" w:rsidRPr="002D56FA" w:rsidRDefault="00203F13" w:rsidP="00203F13">
      <w:pPr>
        <w:pStyle w:val="TextKP"/>
        <w:spacing w:before="80"/>
      </w:pPr>
      <w:r w:rsidRPr="002D56FA">
        <w:t>Kontrolova</w:t>
      </w:r>
      <w:r w:rsidR="00A31CDE" w:rsidRPr="002D56FA">
        <w:t xml:space="preserve">ný </w:t>
      </w:r>
      <w:r w:rsidRPr="002D56FA">
        <w:t>objem peněžních prostředků na úrovni systému činil</w:t>
      </w:r>
      <w:r w:rsidR="00622B0D" w:rsidRPr="002D56FA">
        <w:t xml:space="preserve"> 57,99</w:t>
      </w:r>
      <w:r w:rsidRPr="002D56FA">
        <w:t xml:space="preserve"> mld. Kč, z toho </w:t>
      </w:r>
      <w:r w:rsidR="00622B0D" w:rsidRPr="002D56FA">
        <w:t>39,82</w:t>
      </w:r>
      <w:r w:rsidR="00663546">
        <w:t> </w:t>
      </w:r>
      <w:r w:rsidRPr="002D56FA">
        <w:t>mld. Kč bylo z</w:t>
      </w:r>
      <w:r w:rsidR="00622B0D" w:rsidRPr="002D56FA">
        <w:t> prostředků EU</w:t>
      </w:r>
      <w:r w:rsidRPr="002D56FA">
        <w:t xml:space="preserve">, </w:t>
      </w:r>
      <w:r w:rsidR="00622B0D" w:rsidRPr="002D56FA">
        <w:t xml:space="preserve">17,86 </w:t>
      </w:r>
      <w:r w:rsidRPr="002D56FA">
        <w:t>mld. Kč ze státního rozpočtu a</w:t>
      </w:r>
      <w:r w:rsidR="00663546">
        <w:t> </w:t>
      </w:r>
      <w:r w:rsidR="00622B0D" w:rsidRPr="002D56FA">
        <w:t>0,31</w:t>
      </w:r>
      <w:r w:rsidR="00663546">
        <w:t> </w:t>
      </w:r>
      <w:r w:rsidRPr="002D56FA">
        <w:t>mld. Kč z prostředků SFŽP.</w:t>
      </w:r>
    </w:p>
    <w:p w14:paraId="31C61129" w14:textId="2B6DF382" w:rsidR="00203F13" w:rsidRPr="002D56FA" w:rsidRDefault="00B1571B" w:rsidP="00203F13">
      <w:pPr>
        <w:pStyle w:val="TextKP"/>
        <w:spacing w:before="80"/>
      </w:pPr>
      <w:r w:rsidRPr="002D56FA">
        <w:t>Kontrolovaný objem peněžních prostředků na úrovni projektů činil 350,07 mil. Kč, z toho bylo 263,63 mil. Kč z OPŽP a 86,44 mil. Kč z prostředků SFŽP.</w:t>
      </w:r>
    </w:p>
    <w:p w14:paraId="517857AD" w14:textId="5CD8EAEC" w:rsidR="003C23CF" w:rsidRDefault="003C23CF" w:rsidP="009308B7">
      <w:pPr>
        <w:spacing w:before="120"/>
        <w:jc w:val="both"/>
        <w:rPr>
          <w:rFonts w:ascii="Calibri" w:hAnsi="Calibri"/>
        </w:rPr>
      </w:pPr>
      <w:r w:rsidRPr="002D56FA">
        <w:t xml:space="preserve">NKÚ provedl v průběhu kontrolní akce kvantitativní výzkum metodou standardizovaného dotazníku. </w:t>
      </w:r>
      <w:r w:rsidR="00A164D2" w:rsidRPr="00A164D2">
        <w:t>Účelem dotazníkového šetření bylo získat doplňkové informace k poskytnuté podpoře od samotných příjemců dotace určené na výměnu zdrojů vytápění v</w:t>
      </w:r>
      <w:r w:rsidR="00A164D2">
        <w:t> </w:t>
      </w:r>
      <w:r w:rsidR="00A164D2" w:rsidRPr="00A164D2">
        <w:t>domácnostech.</w:t>
      </w:r>
      <w:r w:rsidR="00A164D2">
        <w:t xml:space="preserve"> </w:t>
      </w:r>
      <w:r w:rsidRPr="002D56FA">
        <w:t xml:space="preserve">Výsledky dotazníkového šetření jsou uvedeny v příloze č. </w:t>
      </w:r>
      <w:r w:rsidR="00A164D2">
        <w:t>8</w:t>
      </w:r>
      <w:r w:rsidRPr="002D56FA">
        <w:t xml:space="preserve"> </w:t>
      </w:r>
      <w:r w:rsidR="009D5004">
        <w:t xml:space="preserve">tohoto </w:t>
      </w:r>
      <w:r w:rsidRPr="002D56FA">
        <w:t>kontrolního závěru.</w:t>
      </w:r>
    </w:p>
    <w:p w14:paraId="0D18D49F" w14:textId="77777777" w:rsidR="003323C3" w:rsidRDefault="00CD3934" w:rsidP="001377F6">
      <w:pPr>
        <w:spacing w:before="240"/>
        <w:jc w:val="both"/>
        <w:rPr>
          <w:sz w:val="20"/>
          <w:szCs w:val="20"/>
        </w:rPr>
      </w:pPr>
      <w:r>
        <w:rPr>
          <w:rFonts w:cstheme="minorHAnsi"/>
          <w:b/>
          <w:sz w:val="20"/>
          <w:szCs w:val="20"/>
        </w:rPr>
        <w:t xml:space="preserve">Pozn.: </w:t>
      </w:r>
      <w:r>
        <w:rPr>
          <w:sz w:val="20"/>
          <w:szCs w:val="20"/>
        </w:rPr>
        <w:t>Právní předpisy uvedené v kontrolním závěru jsou aplikovány ve znění účinném pro kontrolované období.</w:t>
      </w:r>
    </w:p>
    <w:p w14:paraId="42C0C1BB" w14:textId="0B09AC04" w:rsidR="0074463F" w:rsidRDefault="0074463F" w:rsidP="001377F6">
      <w:pPr>
        <w:spacing w:before="240"/>
        <w:jc w:val="both"/>
        <w:rPr>
          <w:sz w:val="20"/>
          <w:szCs w:val="20"/>
        </w:rPr>
      </w:pPr>
      <w:r>
        <w:rPr>
          <w:sz w:val="20"/>
          <w:szCs w:val="20"/>
        </w:rPr>
        <w:br w:type="page"/>
      </w:r>
    </w:p>
    <w:p w14:paraId="13F17898" w14:textId="14BDC8CC" w:rsidR="00CA2C1A" w:rsidRDefault="0016093A" w:rsidP="0016093A">
      <w:pPr>
        <w:pStyle w:val="Hlavnnadpis"/>
        <w:numPr>
          <w:ilvl w:val="0"/>
          <w:numId w:val="0"/>
        </w:numPr>
      </w:pPr>
      <w:r>
        <w:lastRenderedPageBreak/>
        <w:t xml:space="preserve">IV. </w:t>
      </w:r>
      <w:r w:rsidR="000A5F6C">
        <w:t>Podrobné skutečnosti zjištěné kontrolou</w:t>
      </w:r>
    </w:p>
    <w:p w14:paraId="7D5CEF34" w14:textId="121608B3" w:rsidR="0050268C" w:rsidRPr="00197AD1" w:rsidRDefault="00D94C9D" w:rsidP="00197AD1">
      <w:pPr>
        <w:pStyle w:val="TextKP"/>
        <w:rPr>
          <w:b/>
          <w:color w:val="000000"/>
          <w:lang w:eastAsia="cs-CZ"/>
        </w:rPr>
      </w:pPr>
      <w:r w:rsidRPr="00197AD1">
        <w:rPr>
          <w:b/>
        </w:rPr>
        <w:t xml:space="preserve">Prioritní osa 2 </w:t>
      </w:r>
      <w:r w:rsidR="009D5004">
        <w:rPr>
          <w:b/>
        </w:rPr>
        <w:t>o</w:t>
      </w:r>
      <w:r w:rsidR="0050268C" w:rsidRPr="00197AD1">
        <w:rPr>
          <w:b/>
        </w:rPr>
        <w:t>perační</w:t>
      </w:r>
      <w:r w:rsidRPr="00197AD1">
        <w:rPr>
          <w:b/>
        </w:rPr>
        <w:t>ho</w:t>
      </w:r>
      <w:r w:rsidR="0050268C" w:rsidRPr="00197AD1">
        <w:rPr>
          <w:b/>
        </w:rPr>
        <w:t xml:space="preserve"> program</w:t>
      </w:r>
      <w:r w:rsidRPr="00197AD1">
        <w:rPr>
          <w:b/>
        </w:rPr>
        <w:t>u</w:t>
      </w:r>
      <w:r w:rsidR="0050268C" w:rsidRPr="00197AD1">
        <w:rPr>
          <w:b/>
        </w:rPr>
        <w:t xml:space="preserve"> </w:t>
      </w:r>
      <w:r w:rsidR="0050268C" w:rsidRPr="00197AD1">
        <w:rPr>
          <w:b/>
          <w:i/>
        </w:rPr>
        <w:t>Životní</w:t>
      </w:r>
      <w:r w:rsidRPr="00197AD1">
        <w:rPr>
          <w:b/>
          <w:i/>
        </w:rPr>
        <w:t>ho</w:t>
      </w:r>
      <w:r w:rsidR="0050268C" w:rsidRPr="00197AD1">
        <w:rPr>
          <w:b/>
          <w:i/>
        </w:rPr>
        <w:t xml:space="preserve"> prostředí 2014</w:t>
      </w:r>
      <w:r w:rsidR="0050268C" w:rsidRPr="00197AD1">
        <w:rPr>
          <w:b/>
          <w:i/>
          <w:iCs/>
          <w:lang w:eastAsia="cs-CZ"/>
        </w:rPr>
        <w:t>–</w:t>
      </w:r>
      <w:r w:rsidR="0050268C" w:rsidRPr="00197AD1">
        <w:rPr>
          <w:b/>
          <w:i/>
        </w:rPr>
        <w:t>2020</w:t>
      </w:r>
    </w:p>
    <w:p w14:paraId="1DA968F6" w14:textId="122EC97E" w:rsidR="00E07979" w:rsidRDefault="0050268C" w:rsidP="0050268C">
      <w:pPr>
        <w:pStyle w:val="TextKP"/>
        <w:rPr>
          <w:lang w:bidi="bn-BD"/>
        </w:rPr>
      </w:pPr>
      <w:r w:rsidRPr="00853CE7">
        <w:rPr>
          <w:lang w:bidi="bn-BD"/>
        </w:rPr>
        <w:t>Na projekty zlepšující kvalitu ovzduší a omezující emise znečišťujících látek do ovzduší s </w:t>
      </w:r>
      <w:r w:rsidRPr="00853CE7">
        <w:t>důrazem</w:t>
      </w:r>
      <w:r w:rsidRPr="00853CE7">
        <w:rPr>
          <w:lang w:bidi="bn-BD"/>
        </w:rPr>
        <w:t xml:space="preserve"> na využití nových, šetrných způsobů výroby energie a zlepšení systému sledování kvality ovzduší </w:t>
      </w:r>
      <w:r w:rsidR="00E07979">
        <w:rPr>
          <w:lang w:bidi="bn-BD"/>
        </w:rPr>
        <w:t>bylo ke dni</w:t>
      </w:r>
      <w:r w:rsidR="00E07979" w:rsidRPr="00E07979">
        <w:rPr>
          <w:lang w:bidi="bn-BD"/>
        </w:rPr>
        <w:t xml:space="preserve"> 31. 12. 2022 v realizaci 351 projektů s příspěvkem EU ve výši 15,1</w:t>
      </w:r>
      <w:r w:rsidR="00E07979">
        <w:rPr>
          <w:lang w:bidi="bn-BD"/>
        </w:rPr>
        <w:t> </w:t>
      </w:r>
      <w:r w:rsidR="00E07979" w:rsidRPr="00E07979">
        <w:rPr>
          <w:lang w:bidi="bn-BD"/>
        </w:rPr>
        <w:t xml:space="preserve">mld. Kč. a příjemcům bylo proplaceno 13,9 mld. Kč. Dle dat k 21. 9. 2023 zbývá příjemcům proplatit </w:t>
      </w:r>
      <w:r w:rsidR="00E07979">
        <w:rPr>
          <w:lang w:bidi="bn-BD"/>
        </w:rPr>
        <w:t>0,7 mld. Kč</w:t>
      </w:r>
      <w:r w:rsidR="00E07979" w:rsidRPr="00E07979">
        <w:rPr>
          <w:lang w:bidi="bn-BD"/>
        </w:rPr>
        <w:t>.</w:t>
      </w:r>
      <w:r w:rsidR="00E07979">
        <w:rPr>
          <w:lang w:bidi="bn-BD"/>
        </w:rPr>
        <w:t xml:space="preserve"> V tabulce č. </w:t>
      </w:r>
      <w:r w:rsidR="00C5233F">
        <w:rPr>
          <w:lang w:bidi="bn-BD"/>
        </w:rPr>
        <w:t>2</w:t>
      </w:r>
      <w:r w:rsidR="00E07979">
        <w:rPr>
          <w:lang w:bidi="bn-BD"/>
        </w:rPr>
        <w:t xml:space="preserve"> jsou uvedeny finanční ukazatele PO 2 OPŽP.</w:t>
      </w:r>
    </w:p>
    <w:p w14:paraId="60DD8B0D" w14:textId="57586443" w:rsidR="0050268C" w:rsidRPr="00896621" w:rsidRDefault="0050268C" w:rsidP="00896621">
      <w:pPr>
        <w:pStyle w:val="Titulek"/>
        <w:tabs>
          <w:tab w:val="right" w:pos="9072"/>
        </w:tabs>
        <w:spacing w:after="40"/>
        <w:rPr>
          <w:b/>
        </w:rPr>
      </w:pPr>
      <w:bookmarkStart w:id="11" w:name="_Ref158647383"/>
      <w:bookmarkStart w:id="12" w:name="_Ref158647375"/>
      <w:r w:rsidRPr="00896621">
        <w:rPr>
          <w:b/>
        </w:rPr>
        <w:t xml:space="preserve">Tabulka č. </w:t>
      </w:r>
      <w:r w:rsidRPr="00896621">
        <w:rPr>
          <w:b/>
        </w:rPr>
        <w:fldChar w:fldCharType="begin"/>
      </w:r>
      <w:r w:rsidRPr="00896621">
        <w:rPr>
          <w:b/>
        </w:rPr>
        <w:instrText xml:space="preserve"> SEQ Tabulka_č. \* ARABIC </w:instrText>
      </w:r>
      <w:r w:rsidRPr="00896621">
        <w:rPr>
          <w:b/>
        </w:rPr>
        <w:fldChar w:fldCharType="separate"/>
      </w:r>
      <w:r w:rsidR="000D2E96">
        <w:rPr>
          <w:b/>
          <w:noProof/>
        </w:rPr>
        <w:t>2</w:t>
      </w:r>
      <w:r w:rsidRPr="00896621">
        <w:rPr>
          <w:b/>
        </w:rPr>
        <w:fldChar w:fldCharType="end"/>
      </w:r>
      <w:bookmarkEnd w:id="11"/>
      <w:r w:rsidRPr="00896621">
        <w:rPr>
          <w:b/>
        </w:rPr>
        <w:t>: Finanční ukazatele PO 2</w:t>
      </w:r>
      <w:r w:rsidRPr="00896621">
        <w:rPr>
          <w:b/>
        </w:rPr>
        <w:tab/>
        <w:t xml:space="preserve">(v </w:t>
      </w:r>
      <w:r w:rsidR="006C7642">
        <w:rPr>
          <w:b/>
        </w:rPr>
        <w:t>€</w:t>
      </w:r>
      <w:r w:rsidRPr="00896621">
        <w:rPr>
          <w:b/>
        </w:rPr>
        <w:t>)</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6"/>
        <w:gridCol w:w="761"/>
        <w:gridCol w:w="2032"/>
        <w:gridCol w:w="2568"/>
        <w:gridCol w:w="1397"/>
        <w:gridCol w:w="1558"/>
      </w:tblGrid>
      <w:tr w:rsidR="0050268C" w:rsidRPr="00C0338B" w14:paraId="0037D72C" w14:textId="77777777" w:rsidTr="00A13E4F">
        <w:trPr>
          <w:trHeight w:val="300"/>
        </w:trPr>
        <w:tc>
          <w:tcPr>
            <w:tcW w:w="412" w:type="pct"/>
            <w:shd w:val="clear" w:color="auto" w:fill="F2F2F2"/>
            <w:vAlign w:val="center"/>
            <w:hideMark/>
          </w:tcPr>
          <w:p w14:paraId="2E2C59F3" w14:textId="77777777" w:rsidR="0050268C" w:rsidRPr="00C0338B" w:rsidRDefault="0050268C" w:rsidP="006C7642">
            <w:pPr>
              <w:jc w:val="center"/>
              <w:rPr>
                <w:rFonts w:cstheme="minorHAnsi"/>
                <w:b/>
                <w:bCs/>
                <w:color w:val="000000"/>
                <w:sz w:val="20"/>
                <w:szCs w:val="20"/>
                <w:lang w:eastAsia="cs-CZ"/>
              </w:rPr>
            </w:pPr>
            <w:r w:rsidRPr="00C0338B">
              <w:rPr>
                <w:rFonts w:cstheme="minorHAnsi"/>
                <w:b/>
                <w:bCs/>
                <w:color w:val="000000"/>
                <w:sz w:val="20"/>
                <w:szCs w:val="20"/>
                <w:lang w:eastAsia="cs-CZ"/>
              </w:rPr>
              <w:t>PO</w:t>
            </w:r>
          </w:p>
        </w:tc>
        <w:tc>
          <w:tcPr>
            <w:tcW w:w="420" w:type="pct"/>
            <w:shd w:val="clear" w:color="auto" w:fill="F2F2F2"/>
            <w:vAlign w:val="center"/>
            <w:hideMark/>
          </w:tcPr>
          <w:p w14:paraId="76838C27" w14:textId="77777777" w:rsidR="0050268C" w:rsidRPr="00C0338B" w:rsidRDefault="0050268C" w:rsidP="006C7642">
            <w:pPr>
              <w:jc w:val="center"/>
              <w:rPr>
                <w:rFonts w:cstheme="minorHAnsi"/>
                <w:b/>
                <w:bCs/>
                <w:color w:val="000000"/>
                <w:sz w:val="20"/>
                <w:szCs w:val="20"/>
                <w:lang w:eastAsia="cs-CZ"/>
              </w:rPr>
            </w:pPr>
            <w:r w:rsidRPr="00C0338B">
              <w:rPr>
                <w:rFonts w:cstheme="minorHAnsi"/>
                <w:b/>
                <w:bCs/>
                <w:color w:val="000000"/>
                <w:sz w:val="20"/>
                <w:szCs w:val="20"/>
                <w:lang w:eastAsia="cs-CZ"/>
              </w:rPr>
              <w:t>Fond</w:t>
            </w:r>
          </w:p>
        </w:tc>
        <w:tc>
          <w:tcPr>
            <w:tcW w:w="1121" w:type="pct"/>
            <w:shd w:val="clear" w:color="auto" w:fill="F2F2F2"/>
            <w:vAlign w:val="center"/>
            <w:hideMark/>
          </w:tcPr>
          <w:p w14:paraId="2FA49BF2" w14:textId="77777777" w:rsidR="0050268C" w:rsidRPr="00C0338B" w:rsidRDefault="0050268C" w:rsidP="006C7642">
            <w:pPr>
              <w:jc w:val="center"/>
              <w:rPr>
                <w:rFonts w:cstheme="minorHAnsi"/>
                <w:b/>
                <w:bCs/>
                <w:color w:val="000000"/>
                <w:sz w:val="20"/>
                <w:szCs w:val="20"/>
                <w:lang w:eastAsia="cs-CZ"/>
              </w:rPr>
            </w:pPr>
            <w:r w:rsidRPr="00C0338B">
              <w:rPr>
                <w:rFonts w:cstheme="minorHAnsi"/>
                <w:b/>
                <w:bCs/>
                <w:color w:val="000000"/>
                <w:sz w:val="20"/>
                <w:szCs w:val="20"/>
                <w:lang w:eastAsia="cs-CZ"/>
              </w:rPr>
              <w:t>Podpora z EU</w:t>
            </w:r>
          </w:p>
        </w:tc>
        <w:tc>
          <w:tcPr>
            <w:tcW w:w="1417" w:type="pct"/>
            <w:shd w:val="clear" w:color="auto" w:fill="F2F2F2"/>
            <w:vAlign w:val="center"/>
            <w:hideMark/>
          </w:tcPr>
          <w:p w14:paraId="58FF5C6B" w14:textId="77777777" w:rsidR="0050268C" w:rsidRPr="00C0338B" w:rsidRDefault="0050268C" w:rsidP="006C7642">
            <w:pPr>
              <w:jc w:val="center"/>
              <w:rPr>
                <w:rFonts w:cstheme="minorHAnsi"/>
                <w:b/>
                <w:bCs/>
                <w:color w:val="000000"/>
                <w:sz w:val="20"/>
                <w:szCs w:val="20"/>
                <w:lang w:eastAsia="cs-CZ"/>
              </w:rPr>
            </w:pPr>
            <w:r w:rsidRPr="00C0338B">
              <w:rPr>
                <w:rFonts w:cstheme="minorHAnsi"/>
                <w:b/>
                <w:bCs/>
                <w:color w:val="000000"/>
                <w:sz w:val="20"/>
                <w:szCs w:val="20"/>
                <w:lang w:eastAsia="cs-CZ"/>
              </w:rPr>
              <w:t>Příspěvek členského státu (národní spolufinancování)</w:t>
            </w:r>
          </w:p>
        </w:tc>
        <w:tc>
          <w:tcPr>
            <w:tcW w:w="771" w:type="pct"/>
            <w:shd w:val="clear" w:color="auto" w:fill="F2F2F2"/>
            <w:vAlign w:val="center"/>
            <w:hideMark/>
          </w:tcPr>
          <w:p w14:paraId="578955FA" w14:textId="77777777" w:rsidR="0050268C" w:rsidRPr="00C0338B" w:rsidRDefault="0050268C" w:rsidP="006C7642">
            <w:pPr>
              <w:jc w:val="center"/>
              <w:rPr>
                <w:rFonts w:cstheme="minorHAnsi"/>
                <w:b/>
                <w:bCs/>
                <w:color w:val="000000"/>
                <w:sz w:val="20"/>
                <w:szCs w:val="20"/>
                <w:lang w:eastAsia="cs-CZ"/>
              </w:rPr>
            </w:pPr>
            <w:r w:rsidRPr="00C0338B">
              <w:rPr>
                <w:rFonts w:cstheme="minorHAnsi"/>
                <w:b/>
                <w:bCs/>
                <w:color w:val="000000"/>
                <w:sz w:val="20"/>
                <w:szCs w:val="20"/>
                <w:lang w:eastAsia="cs-CZ"/>
              </w:rPr>
              <w:t>Financování celkem</w:t>
            </w:r>
          </w:p>
        </w:tc>
        <w:tc>
          <w:tcPr>
            <w:tcW w:w="860" w:type="pct"/>
            <w:shd w:val="clear" w:color="auto" w:fill="F2F2F2"/>
            <w:vAlign w:val="center"/>
            <w:hideMark/>
          </w:tcPr>
          <w:p w14:paraId="4AB4413E" w14:textId="77777777" w:rsidR="0050268C" w:rsidRPr="00C0338B" w:rsidRDefault="0050268C" w:rsidP="006C7642">
            <w:pPr>
              <w:jc w:val="center"/>
              <w:rPr>
                <w:rFonts w:cstheme="minorHAnsi"/>
                <w:b/>
                <w:bCs/>
                <w:color w:val="000000"/>
                <w:sz w:val="20"/>
                <w:szCs w:val="20"/>
                <w:lang w:eastAsia="cs-CZ"/>
              </w:rPr>
            </w:pPr>
            <w:r w:rsidRPr="00C0338B">
              <w:rPr>
                <w:rFonts w:cstheme="minorHAnsi"/>
                <w:b/>
                <w:bCs/>
                <w:color w:val="000000"/>
                <w:sz w:val="20"/>
                <w:szCs w:val="20"/>
                <w:lang w:eastAsia="cs-CZ"/>
              </w:rPr>
              <w:t>Míra spolufinancování</w:t>
            </w:r>
          </w:p>
        </w:tc>
      </w:tr>
      <w:tr w:rsidR="0050268C" w:rsidRPr="00C0338B" w14:paraId="7221D481" w14:textId="77777777" w:rsidTr="006C7642">
        <w:trPr>
          <w:trHeight w:hRule="exact" w:val="300"/>
        </w:trPr>
        <w:tc>
          <w:tcPr>
            <w:tcW w:w="412" w:type="pct"/>
            <w:shd w:val="clear" w:color="auto" w:fill="auto"/>
            <w:vAlign w:val="center"/>
            <w:hideMark/>
          </w:tcPr>
          <w:p w14:paraId="794658D2" w14:textId="77777777" w:rsidR="0050268C" w:rsidRPr="00C0338B" w:rsidRDefault="0050268C" w:rsidP="006C7642">
            <w:pPr>
              <w:jc w:val="center"/>
              <w:rPr>
                <w:rFonts w:cstheme="minorHAnsi"/>
                <w:color w:val="000000"/>
                <w:sz w:val="20"/>
                <w:szCs w:val="20"/>
                <w:lang w:eastAsia="cs-CZ"/>
              </w:rPr>
            </w:pPr>
            <w:r w:rsidRPr="00C0338B">
              <w:rPr>
                <w:rFonts w:cstheme="minorHAnsi"/>
                <w:color w:val="000000"/>
                <w:sz w:val="20"/>
                <w:szCs w:val="20"/>
                <w:lang w:eastAsia="cs-CZ"/>
              </w:rPr>
              <w:t>PO 2</w:t>
            </w:r>
          </w:p>
        </w:tc>
        <w:tc>
          <w:tcPr>
            <w:tcW w:w="420" w:type="pct"/>
            <w:shd w:val="clear" w:color="auto" w:fill="auto"/>
            <w:vAlign w:val="center"/>
            <w:hideMark/>
          </w:tcPr>
          <w:p w14:paraId="1ACA6615" w14:textId="77777777" w:rsidR="0050268C" w:rsidRPr="00C0338B" w:rsidRDefault="0050268C" w:rsidP="006C7642">
            <w:pPr>
              <w:jc w:val="center"/>
              <w:rPr>
                <w:rFonts w:cstheme="minorHAnsi"/>
                <w:color w:val="000000"/>
                <w:sz w:val="20"/>
                <w:szCs w:val="20"/>
                <w:lang w:eastAsia="cs-CZ"/>
              </w:rPr>
            </w:pPr>
            <w:r w:rsidRPr="00C0338B">
              <w:rPr>
                <w:rFonts w:cstheme="minorHAnsi"/>
                <w:color w:val="000000"/>
                <w:sz w:val="20"/>
                <w:szCs w:val="20"/>
                <w:lang w:eastAsia="cs-CZ"/>
              </w:rPr>
              <w:t>FS</w:t>
            </w:r>
          </w:p>
        </w:tc>
        <w:tc>
          <w:tcPr>
            <w:tcW w:w="1121" w:type="pct"/>
            <w:shd w:val="clear" w:color="auto" w:fill="auto"/>
            <w:vAlign w:val="center"/>
          </w:tcPr>
          <w:p w14:paraId="61BAE3CE" w14:textId="77777777" w:rsidR="0050268C" w:rsidRPr="00C0338B" w:rsidRDefault="0050268C" w:rsidP="006C7642">
            <w:pPr>
              <w:ind w:right="360"/>
              <w:jc w:val="right"/>
              <w:rPr>
                <w:rFonts w:cstheme="minorHAnsi"/>
                <w:color w:val="000000"/>
                <w:sz w:val="20"/>
                <w:szCs w:val="20"/>
                <w:lang w:eastAsia="cs-CZ"/>
              </w:rPr>
            </w:pPr>
            <w:r w:rsidRPr="00C0338B">
              <w:rPr>
                <w:rFonts w:cstheme="minorHAnsi"/>
                <w:color w:val="000000"/>
                <w:sz w:val="20"/>
                <w:szCs w:val="20"/>
                <w:lang w:eastAsia="cs-CZ"/>
              </w:rPr>
              <w:t>576 073 560</w:t>
            </w:r>
          </w:p>
        </w:tc>
        <w:tc>
          <w:tcPr>
            <w:tcW w:w="1417" w:type="pct"/>
            <w:shd w:val="clear" w:color="auto" w:fill="auto"/>
            <w:vAlign w:val="center"/>
          </w:tcPr>
          <w:p w14:paraId="59C24E2B" w14:textId="77777777" w:rsidR="0050268C" w:rsidRPr="00C0338B" w:rsidRDefault="0050268C" w:rsidP="006C7642">
            <w:pPr>
              <w:ind w:right="360"/>
              <w:jc w:val="right"/>
              <w:rPr>
                <w:rFonts w:cstheme="minorHAnsi"/>
                <w:color w:val="000000"/>
                <w:sz w:val="20"/>
                <w:szCs w:val="20"/>
                <w:lang w:eastAsia="cs-CZ"/>
              </w:rPr>
            </w:pPr>
            <w:r w:rsidRPr="00C0338B">
              <w:rPr>
                <w:rFonts w:cstheme="minorHAnsi"/>
                <w:color w:val="000000"/>
                <w:sz w:val="20"/>
                <w:szCs w:val="20"/>
                <w:lang w:eastAsia="cs-CZ"/>
              </w:rPr>
              <w:t>101 660 041</w:t>
            </w:r>
          </w:p>
        </w:tc>
        <w:tc>
          <w:tcPr>
            <w:tcW w:w="771" w:type="pct"/>
            <w:shd w:val="clear" w:color="auto" w:fill="auto"/>
            <w:vAlign w:val="center"/>
          </w:tcPr>
          <w:p w14:paraId="0E3DBCE3" w14:textId="77777777" w:rsidR="0050268C" w:rsidRPr="00C0338B" w:rsidRDefault="0050268C" w:rsidP="006C7642">
            <w:pPr>
              <w:ind w:right="360"/>
              <w:jc w:val="right"/>
              <w:rPr>
                <w:rFonts w:cstheme="minorHAnsi"/>
                <w:color w:val="000000"/>
                <w:sz w:val="20"/>
                <w:szCs w:val="20"/>
                <w:lang w:eastAsia="cs-CZ"/>
              </w:rPr>
            </w:pPr>
            <w:r w:rsidRPr="00C0338B">
              <w:rPr>
                <w:rFonts w:cstheme="minorHAnsi"/>
                <w:color w:val="000000"/>
                <w:sz w:val="20"/>
                <w:szCs w:val="20"/>
                <w:lang w:eastAsia="cs-CZ"/>
              </w:rPr>
              <w:t>677 733 601</w:t>
            </w:r>
          </w:p>
        </w:tc>
        <w:tc>
          <w:tcPr>
            <w:tcW w:w="860" w:type="pct"/>
            <w:shd w:val="clear" w:color="auto" w:fill="auto"/>
            <w:vAlign w:val="center"/>
          </w:tcPr>
          <w:p w14:paraId="71840E34" w14:textId="77777777" w:rsidR="0050268C" w:rsidRPr="00C0338B" w:rsidRDefault="0050268C" w:rsidP="006C7642">
            <w:pPr>
              <w:ind w:right="360"/>
              <w:jc w:val="right"/>
              <w:rPr>
                <w:rFonts w:cstheme="minorHAnsi"/>
              </w:rPr>
            </w:pPr>
            <w:r w:rsidRPr="00C0338B">
              <w:rPr>
                <w:rFonts w:cstheme="minorHAnsi"/>
                <w:color w:val="000000"/>
                <w:sz w:val="20"/>
                <w:szCs w:val="20"/>
                <w:lang w:eastAsia="cs-CZ"/>
              </w:rPr>
              <w:t>85</w:t>
            </w:r>
            <w:r>
              <w:rPr>
                <w:rFonts w:cstheme="minorHAnsi"/>
                <w:color w:val="000000"/>
                <w:sz w:val="20"/>
                <w:szCs w:val="20"/>
                <w:lang w:eastAsia="cs-CZ"/>
              </w:rPr>
              <w:t xml:space="preserve"> %</w:t>
            </w:r>
          </w:p>
        </w:tc>
      </w:tr>
      <w:tr w:rsidR="0050268C" w:rsidRPr="00C0338B" w14:paraId="33784920" w14:textId="77777777" w:rsidTr="006C7642">
        <w:trPr>
          <w:trHeight w:hRule="exact" w:val="300"/>
        </w:trPr>
        <w:tc>
          <w:tcPr>
            <w:tcW w:w="412" w:type="pct"/>
            <w:shd w:val="clear" w:color="auto" w:fill="auto"/>
            <w:vAlign w:val="center"/>
          </w:tcPr>
          <w:p w14:paraId="16E23D32" w14:textId="77777777" w:rsidR="0050268C" w:rsidRPr="00C0338B" w:rsidRDefault="0050268C" w:rsidP="006C7642">
            <w:pPr>
              <w:jc w:val="center"/>
              <w:rPr>
                <w:rFonts w:cstheme="minorHAnsi"/>
                <w:color w:val="000000"/>
                <w:sz w:val="20"/>
                <w:szCs w:val="20"/>
                <w:lang w:eastAsia="cs-CZ"/>
              </w:rPr>
            </w:pPr>
            <w:r w:rsidRPr="00C0338B">
              <w:rPr>
                <w:rFonts w:cstheme="minorHAnsi"/>
                <w:color w:val="000000"/>
                <w:sz w:val="20"/>
                <w:szCs w:val="20"/>
                <w:lang w:eastAsia="cs-CZ"/>
              </w:rPr>
              <w:t>PO 2</w:t>
            </w:r>
          </w:p>
        </w:tc>
        <w:tc>
          <w:tcPr>
            <w:tcW w:w="420" w:type="pct"/>
            <w:shd w:val="clear" w:color="auto" w:fill="auto"/>
            <w:vAlign w:val="center"/>
          </w:tcPr>
          <w:p w14:paraId="00526309" w14:textId="77777777" w:rsidR="0050268C" w:rsidRPr="00C0338B" w:rsidRDefault="0050268C" w:rsidP="006C7642">
            <w:pPr>
              <w:jc w:val="center"/>
              <w:rPr>
                <w:rFonts w:cstheme="minorHAnsi"/>
                <w:color w:val="000000"/>
                <w:sz w:val="20"/>
                <w:szCs w:val="20"/>
                <w:lang w:eastAsia="cs-CZ"/>
              </w:rPr>
            </w:pPr>
            <w:r w:rsidRPr="00C0338B">
              <w:rPr>
                <w:rFonts w:cstheme="minorHAnsi"/>
                <w:color w:val="000000"/>
                <w:sz w:val="20"/>
                <w:szCs w:val="20"/>
                <w:lang w:eastAsia="cs-CZ"/>
              </w:rPr>
              <w:t>EFRR</w:t>
            </w:r>
          </w:p>
        </w:tc>
        <w:tc>
          <w:tcPr>
            <w:tcW w:w="1121" w:type="pct"/>
            <w:shd w:val="clear" w:color="auto" w:fill="auto"/>
            <w:vAlign w:val="center"/>
          </w:tcPr>
          <w:p w14:paraId="73AE08C3" w14:textId="77777777" w:rsidR="0050268C" w:rsidRPr="00C0338B" w:rsidRDefault="0050268C" w:rsidP="006C7642">
            <w:pPr>
              <w:ind w:right="360"/>
              <w:jc w:val="right"/>
              <w:rPr>
                <w:rFonts w:cstheme="minorHAnsi"/>
                <w:color w:val="000000"/>
                <w:sz w:val="20"/>
                <w:szCs w:val="20"/>
                <w:lang w:eastAsia="cs-CZ"/>
              </w:rPr>
            </w:pPr>
            <w:r w:rsidRPr="00C0338B">
              <w:rPr>
                <w:rFonts w:cstheme="minorHAnsi"/>
                <w:color w:val="000000"/>
                <w:sz w:val="20"/>
                <w:szCs w:val="20"/>
                <w:lang w:eastAsia="cs-CZ"/>
              </w:rPr>
              <w:t>49 254 507</w:t>
            </w:r>
          </w:p>
        </w:tc>
        <w:tc>
          <w:tcPr>
            <w:tcW w:w="1417" w:type="pct"/>
            <w:shd w:val="clear" w:color="auto" w:fill="auto"/>
            <w:vAlign w:val="center"/>
          </w:tcPr>
          <w:p w14:paraId="76931F64" w14:textId="77777777" w:rsidR="0050268C" w:rsidRPr="00C0338B" w:rsidRDefault="0050268C" w:rsidP="006C7642">
            <w:pPr>
              <w:ind w:right="360"/>
              <w:jc w:val="right"/>
              <w:rPr>
                <w:rFonts w:cstheme="minorHAnsi"/>
                <w:color w:val="000000"/>
                <w:sz w:val="20"/>
                <w:szCs w:val="20"/>
                <w:lang w:eastAsia="cs-CZ"/>
              </w:rPr>
            </w:pPr>
            <w:r w:rsidRPr="00C0338B">
              <w:rPr>
                <w:rFonts w:cstheme="minorHAnsi"/>
                <w:color w:val="000000"/>
                <w:sz w:val="20"/>
                <w:szCs w:val="20"/>
                <w:lang w:eastAsia="cs-CZ"/>
              </w:rPr>
              <w:t>8 691 972</w:t>
            </w:r>
          </w:p>
        </w:tc>
        <w:tc>
          <w:tcPr>
            <w:tcW w:w="771" w:type="pct"/>
            <w:shd w:val="clear" w:color="auto" w:fill="auto"/>
            <w:vAlign w:val="center"/>
          </w:tcPr>
          <w:p w14:paraId="052845FA" w14:textId="77777777" w:rsidR="0050268C" w:rsidRPr="00C0338B" w:rsidRDefault="0050268C" w:rsidP="006C7642">
            <w:pPr>
              <w:ind w:right="360"/>
              <w:jc w:val="right"/>
              <w:rPr>
                <w:rFonts w:cstheme="minorHAnsi"/>
                <w:color w:val="000000"/>
                <w:sz w:val="20"/>
                <w:szCs w:val="20"/>
                <w:lang w:eastAsia="cs-CZ"/>
              </w:rPr>
            </w:pPr>
            <w:r w:rsidRPr="00C0338B">
              <w:rPr>
                <w:rFonts w:cstheme="minorHAnsi"/>
                <w:color w:val="000000"/>
                <w:sz w:val="20"/>
                <w:szCs w:val="20"/>
                <w:lang w:eastAsia="cs-CZ"/>
              </w:rPr>
              <w:t>57 946 479</w:t>
            </w:r>
          </w:p>
        </w:tc>
        <w:tc>
          <w:tcPr>
            <w:tcW w:w="860" w:type="pct"/>
            <w:shd w:val="clear" w:color="auto" w:fill="auto"/>
            <w:vAlign w:val="center"/>
          </w:tcPr>
          <w:p w14:paraId="75114B07" w14:textId="77777777" w:rsidR="0050268C" w:rsidRPr="00C0338B" w:rsidRDefault="0050268C" w:rsidP="006C7642">
            <w:pPr>
              <w:ind w:right="360"/>
              <w:jc w:val="right"/>
              <w:rPr>
                <w:rFonts w:cstheme="minorHAnsi"/>
              </w:rPr>
            </w:pPr>
            <w:r w:rsidRPr="00C0338B">
              <w:rPr>
                <w:rFonts w:cstheme="minorHAnsi"/>
                <w:color w:val="000000"/>
                <w:sz w:val="20"/>
                <w:szCs w:val="20"/>
                <w:lang w:eastAsia="cs-CZ"/>
              </w:rPr>
              <w:t>85</w:t>
            </w:r>
            <w:r>
              <w:rPr>
                <w:rFonts w:cstheme="minorHAnsi"/>
                <w:color w:val="000000"/>
                <w:sz w:val="20"/>
                <w:szCs w:val="20"/>
                <w:lang w:eastAsia="cs-CZ"/>
              </w:rPr>
              <w:t xml:space="preserve"> %</w:t>
            </w:r>
          </w:p>
        </w:tc>
      </w:tr>
    </w:tbl>
    <w:p w14:paraId="289A1496" w14:textId="0A7F6C2A" w:rsidR="0050268C" w:rsidRPr="00DE139C" w:rsidRDefault="0050268C" w:rsidP="00955553">
      <w:pPr>
        <w:pStyle w:val="Zdrojeapozn"/>
        <w:rPr>
          <w:b w:val="0"/>
        </w:rPr>
      </w:pPr>
      <w:r w:rsidRPr="00F13367">
        <w:t>Zdroj:</w:t>
      </w:r>
      <w:r w:rsidR="00DE139C">
        <w:t xml:space="preserve"> </w:t>
      </w:r>
      <w:r w:rsidR="006C7642" w:rsidRPr="00DE139C">
        <w:rPr>
          <w:b w:val="0"/>
        </w:rPr>
        <w:t>p</w:t>
      </w:r>
      <w:r w:rsidRPr="00DE139C">
        <w:rPr>
          <w:b w:val="0"/>
        </w:rPr>
        <w:t>rogramový dokument OPŽP verze 20.0 (EK verze 15.0), platnost od 22. 3. 2023.</w:t>
      </w:r>
    </w:p>
    <w:p w14:paraId="7E50895C" w14:textId="72163540" w:rsidR="00205526" w:rsidRPr="009F75A3" w:rsidRDefault="00205526" w:rsidP="00EC5BA1">
      <w:pPr>
        <w:pStyle w:val="TextKP"/>
        <w:keepNext/>
        <w:numPr>
          <w:ilvl w:val="0"/>
          <w:numId w:val="45"/>
        </w:numPr>
        <w:spacing w:before="240" w:after="120"/>
        <w:ind w:left="284" w:hanging="284"/>
        <w:outlineLvl w:val="1"/>
        <w:rPr>
          <w:b/>
        </w:rPr>
      </w:pPr>
      <w:r w:rsidRPr="009F75A3">
        <w:rPr>
          <w:b/>
        </w:rPr>
        <w:t>Kotlíkové dotace</w:t>
      </w:r>
    </w:p>
    <w:p w14:paraId="3A148EAB" w14:textId="24D950FF" w:rsidR="0050268C" w:rsidRPr="00C0338B" w:rsidRDefault="0050268C" w:rsidP="0050268C">
      <w:pPr>
        <w:pStyle w:val="TextKP"/>
        <w:rPr>
          <w:lang w:bidi="bn-BD"/>
        </w:rPr>
      </w:pPr>
      <w:r w:rsidRPr="00C0338B">
        <w:t xml:space="preserve">Nezbytným krokem pro snížení úrovně znečištění ovzduší v </w:t>
      </w:r>
      <w:r w:rsidR="00FD4317">
        <w:t>ČR</w:t>
      </w:r>
      <w:r w:rsidRPr="00C0338B">
        <w:t xml:space="preserve"> je omezení primárních emisí znečišťujících látek z lokálního vytápění domácností. Lokální topeniště jsou v současné době jeden z největších znečišťovatelů ovzduší, a to hlavně z pohledu emisí tuhých znečišťujících látek a </w:t>
      </w:r>
      <w:r w:rsidR="00A32942">
        <w:t>B(a)P</w:t>
      </w:r>
      <w:r w:rsidRPr="00C0338B">
        <w:t xml:space="preserve">. </w:t>
      </w:r>
      <w:r w:rsidRPr="00C0338B">
        <w:rPr>
          <w:color w:val="000000"/>
          <w:lang w:bidi="bn-BD"/>
        </w:rPr>
        <w:t xml:space="preserve">Emise </w:t>
      </w:r>
      <w:r w:rsidR="00A32942">
        <w:rPr>
          <w:color w:val="000000"/>
          <w:lang w:bidi="bn-BD"/>
        </w:rPr>
        <w:t>B(a)P</w:t>
      </w:r>
      <w:r w:rsidRPr="00C0338B">
        <w:rPr>
          <w:color w:val="000000"/>
          <w:lang w:bidi="bn-BD"/>
        </w:rPr>
        <w:t xml:space="preserve"> z vytápění </w:t>
      </w:r>
      <w:r w:rsidRPr="00C0338B">
        <w:t xml:space="preserve">domácností </w:t>
      </w:r>
      <w:r w:rsidRPr="00C0338B">
        <w:rPr>
          <w:color w:val="000000"/>
          <w:lang w:bidi="bn-BD"/>
        </w:rPr>
        <w:t xml:space="preserve">dosáhly </w:t>
      </w:r>
      <w:r w:rsidRPr="00C0338B">
        <w:t xml:space="preserve">v roce 2019 </w:t>
      </w:r>
      <w:r w:rsidRPr="00C0338B">
        <w:rPr>
          <w:color w:val="000000"/>
          <w:lang w:bidi="bn-BD"/>
        </w:rPr>
        <w:t>hodnoty 14,2 t a na celkových emisích se podílely 96,4 %.</w:t>
      </w:r>
      <w:r w:rsidRPr="00C0338B">
        <w:rPr>
          <w:rStyle w:val="Znakapoznpodarou"/>
        </w:rPr>
        <w:footnoteReference w:id="17"/>
      </w:r>
      <w:r w:rsidRPr="00C0338B">
        <w:t xml:space="preserve"> V roce 2020 činily emise </w:t>
      </w:r>
      <w:r w:rsidR="00A32942">
        <w:rPr>
          <w:color w:val="000000"/>
          <w:lang w:bidi="bn-BD"/>
        </w:rPr>
        <w:t>B(a)P</w:t>
      </w:r>
      <w:r w:rsidRPr="00C0338B">
        <w:rPr>
          <w:color w:val="000000"/>
          <w:lang w:bidi="bn-BD"/>
        </w:rPr>
        <w:t xml:space="preserve"> z vytápění </w:t>
      </w:r>
      <w:r w:rsidRPr="00C0338B">
        <w:t>domácností 13,2 t. Meziročně tak došlo k poklesu o 7,1 %.</w:t>
      </w:r>
      <w:r w:rsidRPr="00C0338B">
        <w:rPr>
          <w:rStyle w:val="Znakapoznpodarou"/>
        </w:rPr>
        <w:footnoteReference w:id="18"/>
      </w:r>
      <w:r w:rsidRPr="00C0338B">
        <w:t xml:space="preserve"> </w:t>
      </w:r>
      <w:r w:rsidRPr="00C0338B">
        <w:rPr>
          <w:color w:val="000000"/>
          <w:lang w:bidi="bn-BD"/>
        </w:rPr>
        <w:t xml:space="preserve">Zlepšování kvality ovzduší lze přičíst jednak meteorologickým (zejména pak rozptylovým) podmínkám, ale také dalšímu zavádění moderních technologií ve výrobě a modernizaci skladby spalovacích zařízení v domácnostech, mj. vlivem zákazu provozu nevyhovujících kotlů, </w:t>
      </w:r>
      <w:r w:rsidRPr="00C0338B">
        <w:t>které jsou zařazeny dle ČNS EN 305-1 do 1.</w:t>
      </w:r>
      <w:r w:rsidR="006960A5">
        <w:t> </w:t>
      </w:r>
      <w:r w:rsidRPr="00C0338B">
        <w:t>a 2. emisní třídy, a to od 1 .9. 2024</w:t>
      </w:r>
      <w:r w:rsidRPr="00C0338B">
        <w:rPr>
          <w:rStyle w:val="Znakapoznpodarou"/>
        </w:rPr>
        <w:footnoteReference w:id="19"/>
      </w:r>
      <w:r w:rsidRPr="00C0338B">
        <w:t>.</w:t>
      </w:r>
    </w:p>
    <w:p w14:paraId="41B1F73C" w14:textId="2A2ADEC3" w:rsidR="0050268C" w:rsidRPr="0059045E" w:rsidRDefault="0059045E" w:rsidP="0050268C">
      <w:pPr>
        <w:pStyle w:val="TextKP"/>
        <w:rPr>
          <w:b/>
          <w:bCs/>
          <w:i/>
          <w:color w:val="AF1953"/>
        </w:rPr>
      </w:pPr>
      <w:r w:rsidRPr="0059045E">
        <w:rPr>
          <w:b/>
          <w:i/>
          <w:color w:val="AF1953"/>
        </w:rPr>
        <w:t xml:space="preserve">→ </w:t>
      </w:r>
      <w:r w:rsidR="0050268C" w:rsidRPr="0059045E">
        <w:rPr>
          <w:b/>
          <w:i/>
          <w:color w:val="AF1953"/>
        </w:rPr>
        <w:t xml:space="preserve">Na </w:t>
      </w:r>
      <w:r w:rsidR="006F0738" w:rsidRPr="0059045E">
        <w:rPr>
          <w:b/>
          <w:i/>
          <w:color w:val="AF1953"/>
        </w:rPr>
        <w:t>s</w:t>
      </w:r>
      <w:r w:rsidR="0050268C" w:rsidRPr="0059045E">
        <w:rPr>
          <w:b/>
          <w:i/>
          <w:color w:val="AF1953"/>
        </w:rPr>
        <w:t>níž</w:t>
      </w:r>
      <w:r w:rsidR="006F0738" w:rsidRPr="0059045E">
        <w:rPr>
          <w:b/>
          <w:i/>
          <w:color w:val="AF1953"/>
        </w:rPr>
        <w:t xml:space="preserve">ení </w:t>
      </w:r>
      <w:r w:rsidR="0050268C" w:rsidRPr="0059045E">
        <w:rPr>
          <w:b/>
          <w:i/>
          <w:color w:val="AF1953"/>
        </w:rPr>
        <w:t>emis</w:t>
      </w:r>
      <w:r w:rsidR="006F0738" w:rsidRPr="0059045E">
        <w:rPr>
          <w:b/>
          <w:i/>
          <w:color w:val="AF1953"/>
        </w:rPr>
        <w:t>í</w:t>
      </w:r>
      <w:r w:rsidR="0050268C" w:rsidRPr="0059045E">
        <w:rPr>
          <w:b/>
          <w:i/>
          <w:color w:val="AF1953"/>
        </w:rPr>
        <w:t xml:space="preserve"> z lokálního vytápění domácností klade</w:t>
      </w:r>
      <w:r w:rsidR="006F0738" w:rsidRPr="0059045E">
        <w:rPr>
          <w:b/>
          <w:i/>
          <w:color w:val="AF1953"/>
        </w:rPr>
        <w:t xml:space="preserve"> MŽP</w:t>
      </w:r>
      <w:r w:rsidR="0050268C" w:rsidRPr="0059045E">
        <w:rPr>
          <w:b/>
          <w:i/>
          <w:color w:val="AF1953"/>
        </w:rPr>
        <w:t xml:space="preserve"> zásadní důra</w:t>
      </w:r>
      <w:r w:rsidR="006F0738" w:rsidRPr="0059045E">
        <w:rPr>
          <w:b/>
          <w:i/>
          <w:color w:val="AF1953"/>
        </w:rPr>
        <w:t xml:space="preserve">z. Podíl na alokaci PO 2 OPŽP činí </w:t>
      </w:r>
      <w:r w:rsidR="0050268C" w:rsidRPr="0059045E">
        <w:rPr>
          <w:b/>
          <w:i/>
          <w:color w:val="AF1953"/>
        </w:rPr>
        <w:t>64 %.</w:t>
      </w:r>
    </w:p>
    <w:p w14:paraId="3A2604BB" w14:textId="298F1F41" w:rsidR="00C5233F" w:rsidRDefault="0050268C" w:rsidP="0074463F">
      <w:pPr>
        <w:pStyle w:val="TextKP"/>
        <w:rPr>
          <w:b/>
        </w:rPr>
      </w:pPr>
      <w:r w:rsidRPr="00C0338B">
        <w:rPr>
          <w:color w:val="000000"/>
          <w:lang w:bidi="bn-BD"/>
        </w:rPr>
        <w:t xml:space="preserve">V OPŽP byly v rámci kotlíkových dotací vyhlášeny tři výzvy. </w:t>
      </w:r>
      <w:r w:rsidRPr="00C0338B">
        <w:t>V rámci poslední 117. výzvy již nebyly podporovány výměny starých zdrojů vytápění za kombinované kotle (uhlí a biomasa), ale pouze za tepelná čerpadla, kotle na biomasu (ruční či automatická dodávka paliva) nebo plynov</w:t>
      </w:r>
      <w:r w:rsidR="007E0EE2">
        <w:t>é</w:t>
      </w:r>
      <w:r w:rsidRPr="00C0338B">
        <w:t xml:space="preserve"> kondenzační kotl</w:t>
      </w:r>
      <w:r w:rsidR="007E0EE2">
        <w:t>e</w:t>
      </w:r>
      <w:r w:rsidRPr="00C0338B">
        <w:t>.</w:t>
      </w:r>
      <w:bookmarkStart w:id="13" w:name="_Hlk143520362"/>
    </w:p>
    <w:p w14:paraId="6589B0EA" w14:textId="1A8064CD" w:rsidR="0050268C" w:rsidRPr="0016093A" w:rsidRDefault="0050268C" w:rsidP="00D20A18">
      <w:pPr>
        <w:pStyle w:val="Titulek"/>
        <w:tabs>
          <w:tab w:val="left" w:pos="8505"/>
        </w:tabs>
        <w:spacing w:after="40"/>
        <w:ind w:left="1304" w:hanging="1304"/>
        <w:rPr>
          <w:b/>
        </w:rPr>
      </w:pPr>
      <w:r w:rsidRPr="0016093A">
        <w:rPr>
          <w:b/>
        </w:rPr>
        <w:t xml:space="preserve">Tabulka č. </w:t>
      </w:r>
      <w:r w:rsidRPr="0016093A">
        <w:rPr>
          <w:b/>
        </w:rPr>
        <w:fldChar w:fldCharType="begin"/>
      </w:r>
      <w:r w:rsidRPr="0016093A">
        <w:rPr>
          <w:b/>
        </w:rPr>
        <w:instrText xml:space="preserve"> SEQ Tabulka_č. \* ARABIC </w:instrText>
      </w:r>
      <w:r w:rsidRPr="0016093A">
        <w:rPr>
          <w:b/>
        </w:rPr>
        <w:fldChar w:fldCharType="separate"/>
      </w:r>
      <w:r w:rsidR="000D2E96">
        <w:rPr>
          <w:b/>
          <w:noProof/>
        </w:rPr>
        <w:t>3</w:t>
      </w:r>
      <w:r w:rsidRPr="0016093A">
        <w:rPr>
          <w:b/>
        </w:rPr>
        <w:fldChar w:fldCharType="end"/>
      </w:r>
      <w:r w:rsidRPr="0016093A">
        <w:rPr>
          <w:b/>
        </w:rPr>
        <w:t xml:space="preserve">: </w:t>
      </w:r>
      <w:r w:rsidR="00DE139C">
        <w:rPr>
          <w:b/>
        </w:rPr>
        <w:tab/>
      </w:r>
      <w:r w:rsidRPr="0016093A">
        <w:rPr>
          <w:b/>
        </w:rPr>
        <w:t>Souhrnný přehled čerpání peněžních prostředků v rámci SC 2.1 PO 2 OPŽP (kotlíkové dotace) ke dni 31. 12. 2022</w:t>
      </w:r>
      <w:r w:rsidRPr="0016093A">
        <w:rPr>
          <w:b/>
        </w:rPr>
        <w:tab/>
        <w:t>(v Kč)</w:t>
      </w:r>
    </w:p>
    <w:tbl>
      <w:tblPr>
        <w:tblW w:w="9091" w:type="dxa"/>
        <w:tblInd w:w="-5" w:type="dxa"/>
        <w:tblCellMar>
          <w:left w:w="70" w:type="dxa"/>
          <w:right w:w="70" w:type="dxa"/>
        </w:tblCellMar>
        <w:tblLook w:val="04A0" w:firstRow="1" w:lastRow="0" w:firstColumn="1" w:lastColumn="0" w:noHBand="0" w:noVBand="1"/>
      </w:tblPr>
      <w:tblGrid>
        <w:gridCol w:w="4111"/>
        <w:gridCol w:w="2410"/>
        <w:gridCol w:w="2570"/>
      </w:tblGrid>
      <w:tr w:rsidR="0050268C" w:rsidRPr="00C0338B" w14:paraId="7888B375" w14:textId="77777777" w:rsidTr="0016093A">
        <w:trPr>
          <w:trHeight w:val="246"/>
        </w:trPr>
        <w:tc>
          <w:tcPr>
            <w:tcW w:w="411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E54E45C" w14:textId="77777777" w:rsidR="0050268C" w:rsidRPr="00C0338B" w:rsidRDefault="0050268C" w:rsidP="0016093A">
            <w:pPr>
              <w:rPr>
                <w:rFonts w:eastAsia="Times New Roman" w:cstheme="minorHAnsi"/>
                <w:color w:val="000000"/>
                <w:sz w:val="20"/>
                <w:szCs w:val="20"/>
                <w:lang w:eastAsia="cs-CZ" w:bidi="bn-BD"/>
              </w:rPr>
            </w:pPr>
            <w:r w:rsidRPr="00C0338B">
              <w:rPr>
                <w:rFonts w:eastAsia="Times New Roman" w:cstheme="minorHAnsi"/>
                <w:color w:val="000000"/>
                <w:sz w:val="20"/>
                <w:szCs w:val="20"/>
                <w:lang w:eastAsia="cs-CZ" w:bidi="bn-BD"/>
              </w:rPr>
              <w:t> </w:t>
            </w:r>
          </w:p>
        </w:tc>
        <w:tc>
          <w:tcPr>
            <w:tcW w:w="2410" w:type="dxa"/>
            <w:tcBorders>
              <w:top w:val="single" w:sz="4" w:space="0" w:color="auto"/>
              <w:left w:val="nil"/>
              <w:bottom w:val="single" w:sz="4" w:space="0" w:color="auto"/>
              <w:right w:val="single" w:sz="4" w:space="0" w:color="auto"/>
            </w:tcBorders>
            <w:shd w:val="clear" w:color="auto" w:fill="F2F2F2"/>
            <w:vAlign w:val="center"/>
            <w:hideMark/>
          </w:tcPr>
          <w:p w14:paraId="49C99814" w14:textId="77777777" w:rsidR="0050268C" w:rsidRPr="00C0338B" w:rsidRDefault="0050268C" w:rsidP="0016093A">
            <w:pPr>
              <w:jc w:val="center"/>
              <w:rPr>
                <w:rFonts w:eastAsia="Times New Roman" w:cstheme="minorHAnsi"/>
                <w:b/>
                <w:bCs/>
                <w:color w:val="000000"/>
                <w:sz w:val="20"/>
                <w:szCs w:val="20"/>
                <w:lang w:eastAsia="cs-CZ" w:bidi="bn-BD"/>
              </w:rPr>
            </w:pPr>
            <w:r w:rsidRPr="00C0338B">
              <w:rPr>
                <w:rFonts w:eastAsia="Times New Roman" w:cstheme="minorHAnsi"/>
                <w:b/>
                <w:bCs/>
                <w:color w:val="000000"/>
                <w:sz w:val="20"/>
                <w:szCs w:val="20"/>
                <w:lang w:eastAsia="cs-CZ" w:bidi="bn-BD"/>
              </w:rPr>
              <w:t>Výzva č.</w:t>
            </w:r>
          </w:p>
        </w:tc>
        <w:tc>
          <w:tcPr>
            <w:tcW w:w="2570" w:type="dxa"/>
            <w:tcBorders>
              <w:top w:val="single" w:sz="4" w:space="0" w:color="auto"/>
              <w:left w:val="nil"/>
              <w:bottom w:val="single" w:sz="4" w:space="0" w:color="auto"/>
              <w:right w:val="single" w:sz="4" w:space="0" w:color="auto"/>
            </w:tcBorders>
            <w:shd w:val="clear" w:color="auto" w:fill="F2F2F2"/>
            <w:noWrap/>
            <w:vAlign w:val="center"/>
            <w:hideMark/>
          </w:tcPr>
          <w:p w14:paraId="55DC1E71" w14:textId="77777777" w:rsidR="0050268C" w:rsidRPr="00C0338B" w:rsidRDefault="0050268C" w:rsidP="0016093A">
            <w:pPr>
              <w:jc w:val="center"/>
              <w:rPr>
                <w:rFonts w:eastAsia="Times New Roman" w:cstheme="minorHAnsi"/>
                <w:b/>
                <w:bCs/>
                <w:color w:val="000000"/>
                <w:sz w:val="20"/>
                <w:szCs w:val="20"/>
                <w:lang w:eastAsia="cs-CZ" w:bidi="bn-BD"/>
              </w:rPr>
            </w:pPr>
            <w:r w:rsidRPr="00C0338B">
              <w:rPr>
                <w:rFonts w:eastAsia="Times New Roman" w:cstheme="minorHAnsi"/>
                <w:b/>
                <w:bCs/>
                <w:color w:val="000000"/>
                <w:sz w:val="20"/>
                <w:szCs w:val="20"/>
                <w:lang w:eastAsia="cs-CZ" w:bidi="bn-BD"/>
              </w:rPr>
              <w:t xml:space="preserve">Celkem </w:t>
            </w:r>
          </w:p>
        </w:tc>
      </w:tr>
      <w:tr w:rsidR="0050268C" w:rsidRPr="00C0338B" w14:paraId="37628E3D" w14:textId="77777777" w:rsidTr="0016093A">
        <w:trPr>
          <w:trHeight w:val="171"/>
        </w:trPr>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14:paraId="2F598A9D" w14:textId="211C4D25" w:rsidR="0050268C" w:rsidRPr="00C0338B" w:rsidRDefault="0050268C" w:rsidP="0016093A">
            <w:pPr>
              <w:rPr>
                <w:rFonts w:eastAsia="Times New Roman" w:cstheme="minorHAnsi"/>
                <w:b/>
                <w:bCs/>
                <w:color w:val="000000"/>
                <w:sz w:val="20"/>
                <w:szCs w:val="20"/>
                <w:lang w:eastAsia="cs-CZ" w:bidi="bn-BD"/>
              </w:rPr>
            </w:pPr>
            <w:r w:rsidRPr="00C0338B">
              <w:rPr>
                <w:rFonts w:eastAsia="Times New Roman" w:cstheme="minorHAnsi"/>
                <w:b/>
                <w:bCs/>
                <w:color w:val="000000"/>
                <w:sz w:val="20"/>
                <w:szCs w:val="20"/>
                <w:lang w:eastAsia="cs-CZ" w:bidi="bn-BD"/>
              </w:rPr>
              <w:t>Částky proplacené příjemcům podpory</w:t>
            </w:r>
          </w:p>
        </w:tc>
        <w:tc>
          <w:tcPr>
            <w:tcW w:w="2410" w:type="dxa"/>
            <w:tcBorders>
              <w:top w:val="nil"/>
              <w:left w:val="nil"/>
              <w:bottom w:val="single" w:sz="4" w:space="0" w:color="auto"/>
              <w:right w:val="single" w:sz="4" w:space="0" w:color="auto"/>
            </w:tcBorders>
            <w:shd w:val="clear" w:color="auto" w:fill="auto"/>
            <w:vAlign w:val="center"/>
            <w:hideMark/>
          </w:tcPr>
          <w:p w14:paraId="19276D4C" w14:textId="77777777" w:rsidR="0050268C" w:rsidRPr="00C0338B" w:rsidRDefault="0050268C" w:rsidP="0016093A">
            <w:pPr>
              <w:jc w:val="center"/>
              <w:rPr>
                <w:rFonts w:eastAsia="Times New Roman" w:cstheme="minorHAnsi"/>
                <w:color w:val="000000"/>
                <w:sz w:val="20"/>
                <w:szCs w:val="20"/>
                <w:lang w:eastAsia="cs-CZ" w:bidi="bn-BD"/>
              </w:rPr>
            </w:pPr>
            <w:r w:rsidRPr="00C0338B">
              <w:rPr>
                <w:rFonts w:eastAsia="Times New Roman" w:cstheme="minorHAnsi"/>
                <w:color w:val="000000"/>
                <w:sz w:val="20"/>
                <w:szCs w:val="20"/>
                <w:lang w:eastAsia="cs-CZ" w:bidi="bn-BD"/>
              </w:rPr>
              <w:t>05_15_016</w:t>
            </w:r>
          </w:p>
        </w:tc>
        <w:tc>
          <w:tcPr>
            <w:tcW w:w="2570" w:type="dxa"/>
            <w:tcBorders>
              <w:top w:val="nil"/>
              <w:left w:val="nil"/>
              <w:bottom w:val="single" w:sz="4" w:space="0" w:color="auto"/>
              <w:right w:val="single" w:sz="4" w:space="0" w:color="auto"/>
            </w:tcBorders>
            <w:shd w:val="clear" w:color="auto" w:fill="auto"/>
            <w:noWrap/>
            <w:vAlign w:val="center"/>
            <w:hideMark/>
          </w:tcPr>
          <w:p w14:paraId="1898C24C" w14:textId="77777777" w:rsidR="0050268C" w:rsidRPr="00C0338B" w:rsidRDefault="0050268C" w:rsidP="0016093A">
            <w:pPr>
              <w:ind w:right="57"/>
              <w:jc w:val="right"/>
              <w:rPr>
                <w:rFonts w:eastAsia="Times New Roman" w:cstheme="minorHAnsi"/>
                <w:color w:val="000000"/>
                <w:sz w:val="20"/>
                <w:szCs w:val="20"/>
                <w:lang w:eastAsia="cs-CZ" w:bidi="bn-BD"/>
              </w:rPr>
            </w:pPr>
            <w:r w:rsidRPr="00C0338B">
              <w:rPr>
                <w:rFonts w:eastAsia="Times New Roman" w:cstheme="minorHAnsi"/>
                <w:color w:val="000000"/>
                <w:sz w:val="20"/>
                <w:szCs w:val="20"/>
                <w:lang w:eastAsia="cs-CZ" w:bidi="bn-BD"/>
              </w:rPr>
              <w:t>3 177 643 538,52</w:t>
            </w:r>
          </w:p>
        </w:tc>
      </w:tr>
      <w:tr w:rsidR="0050268C" w:rsidRPr="00C0338B" w14:paraId="420CA3A3" w14:textId="77777777" w:rsidTr="0016093A">
        <w:trPr>
          <w:trHeight w:val="189"/>
        </w:trPr>
        <w:tc>
          <w:tcPr>
            <w:tcW w:w="4111" w:type="dxa"/>
            <w:vMerge/>
            <w:tcBorders>
              <w:top w:val="nil"/>
              <w:left w:val="single" w:sz="4" w:space="0" w:color="auto"/>
              <w:bottom w:val="single" w:sz="4" w:space="0" w:color="auto"/>
              <w:right w:val="single" w:sz="4" w:space="0" w:color="auto"/>
            </w:tcBorders>
            <w:vAlign w:val="center"/>
            <w:hideMark/>
          </w:tcPr>
          <w:p w14:paraId="5AF78F94" w14:textId="77777777" w:rsidR="0050268C" w:rsidRPr="00C0338B" w:rsidRDefault="0050268C" w:rsidP="0016093A">
            <w:pPr>
              <w:rPr>
                <w:rFonts w:eastAsia="Times New Roman" w:cstheme="minorHAnsi"/>
                <w:b/>
                <w:bCs/>
                <w:color w:val="000000"/>
                <w:sz w:val="20"/>
                <w:szCs w:val="20"/>
                <w:lang w:eastAsia="cs-CZ" w:bidi="bn-BD"/>
              </w:rPr>
            </w:pPr>
          </w:p>
        </w:tc>
        <w:tc>
          <w:tcPr>
            <w:tcW w:w="2410" w:type="dxa"/>
            <w:tcBorders>
              <w:top w:val="nil"/>
              <w:left w:val="nil"/>
              <w:bottom w:val="single" w:sz="4" w:space="0" w:color="auto"/>
              <w:right w:val="single" w:sz="4" w:space="0" w:color="auto"/>
            </w:tcBorders>
            <w:shd w:val="clear" w:color="auto" w:fill="auto"/>
            <w:noWrap/>
            <w:vAlign w:val="center"/>
            <w:hideMark/>
          </w:tcPr>
          <w:p w14:paraId="664BFD4D" w14:textId="77777777" w:rsidR="0050268C" w:rsidRPr="00C0338B" w:rsidRDefault="0050268C" w:rsidP="0016093A">
            <w:pPr>
              <w:jc w:val="center"/>
              <w:rPr>
                <w:rFonts w:eastAsia="Times New Roman" w:cstheme="minorHAnsi"/>
                <w:color w:val="000000"/>
                <w:sz w:val="20"/>
                <w:szCs w:val="20"/>
                <w:lang w:eastAsia="cs-CZ" w:bidi="bn-BD"/>
              </w:rPr>
            </w:pPr>
            <w:r w:rsidRPr="00C0338B">
              <w:rPr>
                <w:rFonts w:eastAsia="Times New Roman" w:cstheme="minorHAnsi"/>
                <w:color w:val="000000"/>
                <w:sz w:val="20"/>
                <w:szCs w:val="20"/>
                <w:lang w:eastAsia="cs-CZ" w:bidi="bn-BD"/>
              </w:rPr>
              <w:t>05_17_067</w:t>
            </w:r>
          </w:p>
        </w:tc>
        <w:tc>
          <w:tcPr>
            <w:tcW w:w="2570" w:type="dxa"/>
            <w:tcBorders>
              <w:top w:val="nil"/>
              <w:left w:val="nil"/>
              <w:bottom w:val="single" w:sz="4" w:space="0" w:color="auto"/>
              <w:right w:val="single" w:sz="4" w:space="0" w:color="auto"/>
            </w:tcBorders>
            <w:shd w:val="clear" w:color="auto" w:fill="auto"/>
            <w:noWrap/>
            <w:vAlign w:val="center"/>
            <w:hideMark/>
          </w:tcPr>
          <w:p w14:paraId="0C415954" w14:textId="77777777" w:rsidR="0050268C" w:rsidRPr="00C0338B" w:rsidRDefault="0050268C" w:rsidP="0016093A">
            <w:pPr>
              <w:ind w:right="57"/>
              <w:jc w:val="right"/>
              <w:rPr>
                <w:rFonts w:eastAsia="Times New Roman" w:cstheme="minorHAnsi"/>
                <w:color w:val="000000"/>
                <w:sz w:val="20"/>
                <w:szCs w:val="20"/>
                <w:lang w:eastAsia="cs-CZ" w:bidi="bn-BD"/>
              </w:rPr>
            </w:pPr>
            <w:r w:rsidRPr="00C0338B">
              <w:rPr>
                <w:rFonts w:eastAsia="Times New Roman" w:cstheme="minorHAnsi"/>
                <w:color w:val="000000"/>
                <w:sz w:val="20"/>
                <w:szCs w:val="20"/>
                <w:lang w:eastAsia="cs-CZ" w:bidi="bn-BD"/>
              </w:rPr>
              <w:t>3 326 139 717,43</w:t>
            </w:r>
          </w:p>
        </w:tc>
      </w:tr>
      <w:tr w:rsidR="0050268C" w:rsidRPr="00C0338B" w14:paraId="6A5156D0" w14:textId="77777777" w:rsidTr="0016093A">
        <w:trPr>
          <w:trHeight w:val="60"/>
        </w:trPr>
        <w:tc>
          <w:tcPr>
            <w:tcW w:w="4111" w:type="dxa"/>
            <w:vMerge/>
            <w:tcBorders>
              <w:top w:val="nil"/>
              <w:left w:val="single" w:sz="4" w:space="0" w:color="auto"/>
              <w:bottom w:val="single" w:sz="4" w:space="0" w:color="auto"/>
              <w:right w:val="single" w:sz="4" w:space="0" w:color="auto"/>
            </w:tcBorders>
            <w:vAlign w:val="center"/>
            <w:hideMark/>
          </w:tcPr>
          <w:p w14:paraId="79EE7FED" w14:textId="77777777" w:rsidR="0050268C" w:rsidRPr="00C0338B" w:rsidRDefault="0050268C" w:rsidP="0016093A">
            <w:pPr>
              <w:rPr>
                <w:rFonts w:eastAsia="Times New Roman" w:cstheme="minorHAnsi"/>
                <w:b/>
                <w:bCs/>
                <w:color w:val="000000"/>
                <w:sz w:val="20"/>
                <w:szCs w:val="20"/>
                <w:lang w:eastAsia="cs-CZ" w:bidi="bn-BD"/>
              </w:rPr>
            </w:pPr>
          </w:p>
        </w:tc>
        <w:tc>
          <w:tcPr>
            <w:tcW w:w="2410" w:type="dxa"/>
            <w:tcBorders>
              <w:top w:val="nil"/>
              <w:left w:val="nil"/>
              <w:bottom w:val="single" w:sz="4" w:space="0" w:color="auto"/>
              <w:right w:val="single" w:sz="4" w:space="0" w:color="auto"/>
            </w:tcBorders>
            <w:shd w:val="clear" w:color="auto" w:fill="auto"/>
            <w:noWrap/>
            <w:vAlign w:val="center"/>
            <w:hideMark/>
          </w:tcPr>
          <w:p w14:paraId="4DAE8D86" w14:textId="77777777" w:rsidR="0050268C" w:rsidRPr="00C0338B" w:rsidRDefault="0050268C" w:rsidP="0016093A">
            <w:pPr>
              <w:jc w:val="center"/>
              <w:rPr>
                <w:rFonts w:eastAsia="Times New Roman" w:cstheme="minorHAnsi"/>
                <w:color w:val="000000"/>
                <w:sz w:val="20"/>
                <w:szCs w:val="20"/>
                <w:lang w:eastAsia="cs-CZ" w:bidi="bn-BD"/>
              </w:rPr>
            </w:pPr>
            <w:r w:rsidRPr="00C0338B">
              <w:rPr>
                <w:rFonts w:eastAsia="Times New Roman" w:cstheme="minorHAnsi"/>
                <w:color w:val="000000"/>
                <w:sz w:val="20"/>
                <w:szCs w:val="20"/>
                <w:lang w:eastAsia="cs-CZ" w:bidi="bn-BD"/>
              </w:rPr>
              <w:t>05_19_117</w:t>
            </w:r>
          </w:p>
        </w:tc>
        <w:tc>
          <w:tcPr>
            <w:tcW w:w="2570" w:type="dxa"/>
            <w:tcBorders>
              <w:top w:val="nil"/>
              <w:left w:val="nil"/>
              <w:bottom w:val="single" w:sz="4" w:space="0" w:color="auto"/>
              <w:right w:val="single" w:sz="4" w:space="0" w:color="auto"/>
            </w:tcBorders>
            <w:shd w:val="clear" w:color="auto" w:fill="auto"/>
            <w:noWrap/>
            <w:vAlign w:val="center"/>
            <w:hideMark/>
          </w:tcPr>
          <w:p w14:paraId="3C783335" w14:textId="77777777" w:rsidR="0050268C" w:rsidRPr="00C0338B" w:rsidRDefault="0050268C" w:rsidP="0016093A">
            <w:pPr>
              <w:ind w:right="57"/>
              <w:jc w:val="right"/>
              <w:rPr>
                <w:rFonts w:eastAsia="Times New Roman" w:cstheme="minorHAnsi"/>
                <w:color w:val="000000"/>
                <w:sz w:val="20"/>
                <w:szCs w:val="20"/>
                <w:lang w:eastAsia="cs-CZ" w:bidi="bn-BD"/>
              </w:rPr>
            </w:pPr>
            <w:r w:rsidRPr="00C0338B">
              <w:rPr>
                <w:rFonts w:eastAsia="Times New Roman" w:cstheme="minorHAnsi"/>
                <w:color w:val="000000"/>
                <w:sz w:val="20"/>
                <w:szCs w:val="20"/>
                <w:lang w:eastAsia="cs-CZ" w:bidi="bn-BD"/>
              </w:rPr>
              <w:t>3 923 679 965,66</w:t>
            </w:r>
          </w:p>
        </w:tc>
      </w:tr>
      <w:tr w:rsidR="0050268C" w:rsidRPr="00C0338B" w14:paraId="0B7652D9" w14:textId="77777777" w:rsidTr="0016093A">
        <w:trPr>
          <w:trHeight w:val="60"/>
        </w:trPr>
        <w:tc>
          <w:tcPr>
            <w:tcW w:w="652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7C4C3E" w14:textId="55C840FC" w:rsidR="0050268C" w:rsidRPr="00C0338B" w:rsidRDefault="0050268C" w:rsidP="0016093A">
            <w:pPr>
              <w:rPr>
                <w:rFonts w:eastAsia="Times New Roman" w:cstheme="minorHAnsi"/>
                <w:b/>
                <w:bCs/>
                <w:color w:val="000000"/>
                <w:sz w:val="20"/>
                <w:szCs w:val="20"/>
                <w:lang w:eastAsia="cs-CZ" w:bidi="bn-BD"/>
              </w:rPr>
            </w:pPr>
            <w:r w:rsidRPr="00C0338B">
              <w:rPr>
                <w:rFonts w:eastAsia="Times New Roman" w:cstheme="minorHAnsi"/>
                <w:b/>
                <w:bCs/>
                <w:color w:val="000000"/>
                <w:sz w:val="20"/>
                <w:szCs w:val="20"/>
                <w:lang w:eastAsia="cs-CZ" w:bidi="bn-BD"/>
              </w:rPr>
              <w:t>Celkem za tři výzvy</w:t>
            </w:r>
          </w:p>
        </w:tc>
        <w:tc>
          <w:tcPr>
            <w:tcW w:w="2570" w:type="dxa"/>
            <w:tcBorders>
              <w:top w:val="nil"/>
              <w:left w:val="nil"/>
              <w:bottom w:val="single" w:sz="4" w:space="0" w:color="auto"/>
              <w:right w:val="single" w:sz="4" w:space="0" w:color="auto"/>
            </w:tcBorders>
            <w:shd w:val="clear" w:color="auto" w:fill="auto"/>
            <w:noWrap/>
            <w:vAlign w:val="center"/>
            <w:hideMark/>
          </w:tcPr>
          <w:p w14:paraId="3485C8D5" w14:textId="77777777" w:rsidR="0050268C" w:rsidRPr="00C0338B" w:rsidRDefault="0050268C" w:rsidP="0016093A">
            <w:pPr>
              <w:ind w:right="57"/>
              <w:jc w:val="right"/>
              <w:rPr>
                <w:rFonts w:eastAsia="Times New Roman" w:cstheme="minorHAnsi"/>
                <w:b/>
                <w:bCs/>
                <w:color w:val="000000"/>
                <w:sz w:val="20"/>
                <w:szCs w:val="20"/>
                <w:lang w:eastAsia="cs-CZ" w:bidi="bn-BD"/>
              </w:rPr>
            </w:pPr>
            <w:r w:rsidRPr="00C0338B">
              <w:rPr>
                <w:rFonts w:eastAsia="Times New Roman" w:cstheme="minorHAnsi"/>
                <w:b/>
                <w:bCs/>
                <w:color w:val="000000"/>
                <w:sz w:val="20"/>
                <w:szCs w:val="20"/>
                <w:lang w:eastAsia="cs-CZ" w:bidi="bn-BD"/>
              </w:rPr>
              <w:t>10 427 463 221,61</w:t>
            </w:r>
          </w:p>
        </w:tc>
      </w:tr>
    </w:tbl>
    <w:p w14:paraId="5554FC8A" w14:textId="7E71D464" w:rsidR="0050268C" w:rsidRPr="00DE139C" w:rsidRDefault="0050268C" w:rsidP="00955553">
      <w:pPr>
        <w:pStyle w:val="Zdrojeapozn"/>
        <w:rPr>
          <w:b w:val="0"/>
        </w:rPr>
      </w:pPr>
      <w:r w:rsidRPr="00F13367">
        <w:t>Zdroj:</w:t>
      </w:r>
      <w:r w:rsidR="000A4025">
        <w:t xml:space="preserve"> </w:t>
      </w:r>
      <w:r w:rsidR="000A4025" w:rsidRPr="00DE139C">
        <w:rPr>
          <w:b w:val="0"/>
        </w:rPr>
        <w:t>i</w:t>
      </w:r>
      <w:r w:rsidRPr="00DE139C">
        <w:rPr>
          <w:b w:val="0"/>
        </w:rPr>
        <w:t>nformace MŽP.</w:t>
      </w:r>
    </w:p>
    <w:bookmarkEnd w:id="13"/>
    <w:p w14:paraId="3D4B765B" w14:textId="791701FF" w:rsidR="00BB7699" w:rsidRDefault="0050268C" w:rsidP="00BB7699">
      <w:pPr>
        <w:pStyle w:val="TextKP"/>
      </w:pPr>
      <w:r w:rsidRPr="00C0338B">
        <w:lastRenderedPageBreak/>
        <w:t>Z průběžných dat hodnocení kotlíkových dotací k červnu 2023 sledovaných SFŽP vyplývá průměrná struktura nových zdrojů za všechny výzvy: 2,8 % kotlů čistě na uhlí (bylo možné</w:t>
      </w:r>
      <w:r>
        <w:t xml:space="preserve"> čerpat dotaci</w:t>
      </w:r>
      <w:r w:rsidRPr="00C0338B">
        <w:t xml:space="preserve"> jen v první výzvě), 16,3 % kombinovaných kotlů uhlí/biomasa, 18,7 % kotlů výhradně na biomasu, 37,4 % tepelných čerpadel a 24,8 % plynových kondenzačních kotlů. </w:t>
      </w:r>
      <w:r w:rsidR="00BB7699" w:rsidRPr="002D56FA">
        <w:t>V</w:t>
      </w:r>
      <w:r w:rsidR="00BB7699">
        <w:t> grafu</w:t>
      </w:r>
      <w:r w:rsidR="00BB7699" w:rsidRPr="002D56FA">
        <w:t xml:space="preserve"> č. </w:t>
      </w:r>
      <w:r w:rsidR="00BB7699">
        <w:t>1</w:t>
      </w:r>
      <w:r w:rsidR="00BB7699" w:rsidRPr="002D56FA">
        <w:t xml:space="preserve"> jsou</w:t>
      </w:r>
      <w:r w:rsidR="00BB7699" w:rsidRPr="00C0338B">
        <w:t xml:space="preserve"> uvedeny </w:t>
      </w:r>
      <w:r w:rsidR="00BB7699" w:rsidRPr="00CB18DF">
        <w:t>po</w:t>
      </w:r>
      <w:r w:rsidR="00BB7699">
        <w:t>čty</w:t>
      </w:r>
      <w:r w:rsidR="00BB7699" w:rsidRPr="00C0338B">
        <w:t xml:space="preserve"> jednotlivých typů nových zdrojů tepla.</w:t>
      </w:r>
    </w:p>
    <w:p w14:paraId="4B041DA3" w14:textId="3231649D" w:rsidR="001821AE" w:rsidRDefault="00BB7699" w:rsidP="001821AE">
      <w:pPr>
        <w:pStyle w:val="TextKP"/>
        <w:rPr>
          <w:b/>
        </w:rPr>
      </w:pPr>
      <w:r w:rsidRPr="00896621">
        <w:rPr>
          <w:b/>
        </w:rPr>
        <w:t>Graf č. 1: Počty výměn dle nového zdroje vytápění</w:t>
      </w:r>
    </w:p>
    <w:p w14:paraId="2BEDB89F" w14:textId="31B63B46" w:rsidR="001821AE" w:rsidRDefault="00E71339" w:rsidP="001821AE">
      <w:pPr>
        <w:pStyle w:val="TextKP"/>
      </w:pPr>
      <w:r w:rsidRPr="001829F9">
        <w:rPr>
          <w:rFonts w:ascii="Calibri" w:hAnsi="Calibri" w:cs="Calibri"/>
          <w:b/>
          <w:noProof/>
          <w:sz w:val="20"/>
          <w:szCs w:val="20"/>
        </w:rPr>
        <mc:AlternateContent>
          <mc:Choice Requires="wps">
            <w:drawing>
              <wp:anchor distT="45720" distB="45720" distL="114300" distR="114300" simplePos="0" relativeHeight="251713536" behindDoc="0" locked="0" layoutInCell="1" allowOverlap="1" wp14:anchorId="6B5FF212" wp14:editId="02723AFF">
                <wp:simplePos x="0" y="0"/>
                <wp:positionH relativeFrom="column">
                  <wp:posOffset>1017905</wp:posOffset>
                </wp:positionH>
                <wp:positionV relativeFrom="paragraph">
                  <wp:posOffset>861488</wp:posOffset>
                </wp:positionV>
                <wp:extent cx="914400" cy="838200"/>
                <wp:effectExtent l="0" t="0" r="0" b="0"/>
                <wp:wrapNone/>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38200"/>
                        </a:xfrm>
                        <a:prstGeom prst="rect">
                          <a:avLst/>
                        </a:prstGeom>
                        <a:solidFill>
                          <a:srgbClr val="FFFFFF"/>
                        </a:solidFill>
                        <a:ln w="9525">
                          <a:noFill/>
                          <a:miter lim="800000"/>
                          <a:headEnd/>
                          <a:tailEnd/>
                        </a:ln>
                      </wps:spPr>
                      <wps:txbx>
                        <w:txbxContent>
                          <w:p w14:paraId="50E564AC" w14:textId="342C005E" w:rsidR="00165274" w:rsidRPr="0013209C" w:rsidRDefault="00165274" w:rsidP="00BB7699">
                            <w:pPr>
                              <w:jc w:val="center"/>
                              <w:rPr>
                                <w:sz w:val="20"/>
                                <w:szCs w:val="28"/>
                                <w:lang w:eastAsia="cs-CZ"/>
                              </w:rPr>
                            </w:pPr>
                            <w:r>
                              <w:rPr>
                                <w:sz w:val="20"/>
                                <w:szCs w:val="28"/>
                                <w:lang w:eastAsia="cs-CZ"/>
                              </w:rPr>
                              <w:t>P</w:t>
                            </w:r>
                            <w:r w:rsidRPr="0013209C">
                              <w:rPr>
                                <w:sz w:val="20"/>
                                <w:szCs w:val="28"/>
                                <w:lang w:eastAsia="cs-CZ"/>
                              </w:rPr>
                              <w:t>očet výměn</w:t>
                            </w:r>
                          </w:p>
                          <w:p w14:paraId="4DF7FA55" w14:textId="49F180C2" w:rsidR="00165274" w:rsidRPr="006D72FC" w:rsidRDefault="00165274" w:rsidP="00BB7699">
                            <w:pPr>
                              <w:jc w:val="center"/>
                              <w:rPr>
                                <w:b/>
                                <w:sz w:val="28"/>
                                <w:szCs w:val="28"/>
                              </w:rPr>
                            </w:pPr>
                            <w:r w:rsidRPr="006D72FC">
                              <w:rPr>
                                <w:b/>
                                <w:sz w:val="28"/>
                                <w:szCs w:val="28"/>
                                <w:lang w:eastAsia="cs-CZ"/>
                              </w:rPr>
                              <w:t>1</w:t>
                            </w:r>
                            <w:r>
                              <w:rPr>
                                <w:b/>
                                <w:sz w:val="28"/>
                                <w:szCs w:val="28"/>
                                <w:lang w:eastAsia="cs-CZ"/>
                              </w:rPr>
                              <w:t>05 026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5FF212" id="_x0000_s1027" type="#_x0000_t202" style="position:absolute;left:0;text-align:left;margin-left:80.15pt;margin-top:67.85pt;width:1in;height:66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" stroked="f">
                <v:textbox>
                  <w:txbxContent>
                    <w:p w14:paraId="50E564AC" w14:textId="342C005E" w:rsidR="00165274" w:rsidRPr="0013209C" w:rsidRDefault="00165274" w:rsidP="00BB7699">
                      <w:pPr>
                        <w:jc w:val="center"/>
                        <w:rPr>
                          <w:sz w:val="20"/>
                          <w:szCs w:val="28"/>
                          <w:lang w:eastAsia="cs-CZ"/>
                        </w:rPr>
                      </w:pPr>
                      <w:r>
                        <w:rPr>
                          <w:sz w:val="20"/>
                          <w:szCs w:val="28"/>
                          <w:lang w:eastAsia="cs-CZ"/>
                        </w:rPr>
                        <w:t>P</w:t>
                      </w:r>
                      <w:r w:rsidRPr="0013209C">
                        <w:rPr>
                          <w:sz w:val="20"/>
                          <w:szCs w:val="28"/>
                          <w:lang w:eastAsia="cs-CZ"/>
                        </w:rPr>
                        <w:t>očet výměn</w:t>
                      </w:r>
                    </w:p>
                    <w:p w14:paraId="4DF7FA55" w14:textId="49F180C2" w:rsidR="00165274" w:rsidRPr="006D72FC" w:rsidRDefault="00165274" w:rsidP="00BB7699">
                      <w:pPr>
                        <w:jc w:val="center"/>
                        <w:rPr>
                          <w:b/>
                          <w:sz w:val="28"/>
                          <w:szCs w:val="28"/>
                        </w:rPr>
                      </w:pPr>
                      <w:r w:rsidRPr="006D72FC">
                        <w:rPr>
                          <w:b/>
                          <w:sz w:val="28"/>
                          <w:szCs w:val="28"/>
                          <w:lang w:eastAsia="cs-CZ"/>
                        </w:rPr>
                        <w:t>1</w:t>
                      </w:r>
                      <w:r>
                        <w:rPr>
                          <w:b/>
                          <w:sz w:val="28"/>
                          <w:szCs w:val="28"/>
                          <w:lang w:eastAsia="cs-CZ"/>
                        </w:rPr>
                        <w:t>05 026</w:t>
                      </w:r>
                    </w:p>
                  </w:txbxContent>
                </v:textbox>
              </v:shape>
            </w:pict>
          </mc:Fallback>
        </mc:AlternateContent>
      </w:r>
      <w:r>
        <w:rPr>
          <w:noProof/>
        </w:rPr>
        <w:drawing>
          <wp:inline distT="0" distB="0" distL="0" distR="0" wp14:anchorId="3E728B87" wp14:editId="4B5FA1AB">
            <wp:extent cx="5708650" cy="2336800"/>
            <wp:effectExtent l="0" t="0" r="6350" b="6350"/>
            <wp:docPr id="13" name="Graf 13">
              <a:extLst xmlns:a="http://schemas.openxmlformats.org/drawingml/2006/main">
                <a:ext uri="{FF2B5EF4-FFF2-40B4-BE49-F238E27FC236}">
                  <a16:creationId xmlns:a16="http://schemas.microsoft.com/office/drawing/2014/main" id="{688F04DC-2F99-4C6F-BB80-6E1F91F80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5F0C19" w14:textId="27B35910" w:rsidR="00BB7699" w:rsidRPr="001829F9" w:rsidRDefault="00BB7699" w:rsidP="001829F9">
      <w:pPr>
        <w:pStyle w:val="Titulek"/>
        <w:ind w:left="567" w:hanging="567"/>
        <w:rPr>
          <w:rFonts w:ascii="Calibri" w:hAnsi="Calibri" w:cs="Calibri"/>
          <w:b/>
          <w:sz w:val="20"/>
          <w:szCs w:val="20"/>
        </w:rPr>
      </w:pPr>
      <w:r w:rsidRPr="001829F9">
        <w:rPr>
          <w:rFonts w:ascii="Calibri" w:hAnsi="Calibri" w:cs="Calibri"/>
          <w:b/>
          <w:sz w:val="20"/>
          <w:szCs w:val="20"/>
        </w:rPr>
        <w:t xml:space="preserve">Zdroj: </w:t>
      </w:r>
      <w:r w:rsidR="00896621" w:rsidRPr="001829F9">
        <w:rPr>
          <w:rFonts w:ascii="Calibri" w:hAnsi="Calibri" w:cs="Calibri"/>
          <w:b/>
          <w:sz w:val="20"/>
          <w:szCs w:val="20"/>
        </w:rPr>
        <w:tab/>
      </w:r>
      <w:r w:rsidR="000A4025">
        <w:rPr>
          <w:rFonts w:ascii="Calibri" w:hAnsi="Calibri" w:cs="Calibri"/>
          <w:sz w:val="20"/>
          <w:szCs w:val="20"/>
        </w:rPr>
        <w:t>v</w:t>
      </w:r>
      <w:r w:rsidRPr="001829F9">
        <w:rPr>
          <w:rFonts w:ascii="Calibri" w:hAnsi="Calibri" w:cs="Calibri"/>
          <w:sz w:val="20"/>
          <w:szCs w:val="20"/>
        </w:rPr>
        <w:t xml:space="preserve">yhodnocení 1., 2. a 3. výzvy </w:t>
      </w:r>
      <w:r w:rsidR="000A4025">
        <w:rPr>
          <w:rFonts w:ascii="Calibri" w:hAnsi="Calibri" w:cs="Calibri"/>
          <w:sz w:val="20"/>
          <w:szCs w:val="20"/>
        </w:rPr>
        <w:t>s</w:t>
      </w:r>
      <w:r w:rsidRPr="001829F9">
        <w:rPr>
          <w:rFonts w:ascii="Calibri" w:hAnsi="Calibri" w:cs="Calibri"/>
          <w:sz w:val="20"/>
          <w:szCs w:val="20"/>
        </w:rPr>
        <w:t xml:space="preserve">pecifického cíle 2.1 </w:t>
      </w:r>
      <w:r w:rsidRPr="002F3B4E">
        <w:rPr>
          <w:rFonts w:ascii="Calibri" w:hAnsi="Calibri" w:cs="Calibri"/>
          <w:i/>
          <w:sz w:val="20"/>
          <w:szCs w:val="20"/>
        </w:rPr>
        <w:t>Sníž</w:t>
      </w:r>
      <w:r w:rsidR="000A4025" w:rsidRPr="002F3B4E">
        <w:rPr>
          <w:rFonts w:ascii="Calibri" w:hAnsi="Calibri" w:cs="Calibri"/>
          <w:i/>
          <w:sz w:val="20"/>
          <w:szCs w:val="20"/>
        </w:rPr>
        <w:t>it</w:t>
      </w:r>
      <w:r w:rsidRPr="002F3B4E">
        <w:rPr>
          <w:rFonts w:ascii="Calibri" w:hAnsi="Calibri" w:cs="Calibri"/>
          <w:i/>
          <w:sz w:val="20"/>
          <w:szCs w:val="20"/>
        </w:rPr>
        <w:t xml:space="preserve"> emis</w:t>
      </w:r>
      <w:r w:rsidR="000A4025" w:rsidRPr="002F3B4E">
        <w:rPr>
          <w:rFonts w:ascii="Calibri" w:hAnsi="Calibri" w:cs="Calibri"/>
          <w:i/>
          <w:sz w:val="20"/>
          <w:szCs w:val="20"/>
        </w:rPr>
        <w:t>e</w:t>
      </w:r>
      <w:r w:rsidRPr="002F3B4E">
        <w:rPr>
          <w:rFonts w:ascii="Calibri" w:hAnsi="Calibri" w:cs="Calibri"/>
          <w:i/>
          <w:sz w:val="20"/>
          <w:szCs w:val="20"/>
        </w:rPr>
        <w:t xml:space="preserve"> z lokálního vytápění domácností podílejících se na expozici obyvatelstva koncentracím znečišťujících látek</w:t>
      </w:r>
      <w:r w:rsidRPr="001829F9">
        <w:rPr>
          <w:rFonts w:ascii="Calibri" w:hAnsi="Calibri" w:cs="Calibri"/>
          <w:sz w:val="20"/>
          <w:szCs w:val="20"/>
        </w:rPr>
        <w:t xml:space="preserve"> OPŽP (k červnu 2023, včetně NZÚ 14+ – AMO).</w:t>
      </w:r>
    </w:p>
    <w:p w14:paraId="07CCDF89" w14:textId="266C8598" w:rsidR="0050268C" w:rsidRPr="00CB5F05" w:rsidRDefault="0050268C" w:rsidP="0050268C">
      <w:pPr>
        <w:pStyle w:val="TextKP"/>
      </w:pPr>
      <w:r w:rsidRPr="00486FCE">
        <w:t>NKÚ zjistil na základě sledovaných a vykázaných dat</w:t>
      </w:r>
      <w:r>
        <w:t xml:space="preserve"> ČHMÚ a MŽP</w:t>
      </w:r>
      <w:r w:rsidRPr="00486FCE">
        <w:t>, že</w:t>
      </w:r>
      <w:r>
        <w:t xml:space="preserve"> </w:t>
      </w:r>
      <w:r w:rsidRPr="00486FCE">
        <w:t xml:space="preserve">podíl kotlíkových dotací na celkové změně vykazovaných </w:t>
      </w:r>
      <w:r>
        <w:t xml:space="preserve">ročních </w:t>
      </w:r>
      <w:r w:rsidRPr="00486FCE">
        <w:t xml:space="preserve">emisí z vytápění </w:t>
      </w:r>
      <w:r w:rsidRPr="002D56FA">
        <w:t>domácností mezi roky 2014 a 2021 byl v případě prachových částic PM</w:t>
      </w:r>
      <w:r w:rsidRPr="002D56FA">
        <w:rPr>
          <w:vertAlign w:val="subscript"/>
        </w:rPr>
        <w:t>10</w:t>
      </w:r>
      <w:r w:rsidRPr="002D56FA">
        <w:t xml:space="preserve"> a PM</w:t>
      </w:r>
      <w:r w:rsidRPr="002D56FA">
        <w:rPr>
          <w:vertAlign w:val="subscript"/>
        </w:rPr>
        <w:t>2,5</w:t>
      </w:r>
      <w:r w:rsidRPr="002D56FA">
        <w:t xml:space="preserve"> cca 18 % </w:t>
      </w:r>
      <w:r w:rsidR="000A4025">
        <w:t>(</w:t>
      </w:r>
      <w:r w:rsidRPr="002D56FA">
        <w:t xml:space="preserve">viz příloha č. </w:t>
      </w:r>
      <w:r w:rsidR="00A164D2">
        <w:t>6</w:t>
      </w:r>
      <w:r w:rsidRPr="002D56FA">
        <w:t xml:space="preserve"> kontrolního závěru</w:t>
      </w:r>
      <w:r w:rsidR="000A4025">
        <w:t>)</w:t>
      </w:r>
      <w:r w:rsidRPr="002D56FA">
        <w:t>.</w:t>
      </w:r>
      <w:r w:rsidRPr="002D56FA">
        <w:rPr>
          <w:rStyle w:val="Znakapoznpodarou"/>
        </w:rPr>
        <w:footnoteReference w:id="20"/>
      </w:r>
      <w:r w:rsidR="00B8272D">
        <w:t xml:space="preserve"> </w:t>
      </w:r>
      <w:r w:rsidRPr="00CB5F05">
        <w:t xml:space="preserve">NKÚ </w:t>
      </w:r>
      <w:r w:rsidR="00B8272D">
        <w:t>dále vyhodnotil</w:t>
      </w:r>
      <w:r w:rsidRPr="00CB5F05">
        <w:t xml:space="preserve">, že v důsledku kotlíkových dotací dochází ke snižování průměrných ročních koncentrací </w:t>
      </w:r>
      <w:r>
        <w:t>jemných</w:t>
      </w:r>
      <w:r w:rsidRPr="00CB5F05">
        <w:t xml:space="preserve"> částic PM</w:t>
      </w:r>
      <w:r w:rsidRPr="00CB5F05">
        <w:rPr>
          <w:vertAlign w:val="subscript"/>
        </w:rPr>
        <w:t>2,5</w:t>
      </w:r>
      <w:r w:rsidRPr="00CB5F05">
        <w:t xml:space="preserve"> a </w:t>
      </w:r>
      <w:r w:rsidR="00A32942">
        <w:t>B(a)P</w:t>
      </w:r>
      <w:r w:rsidR="00205526">
        <w:t>.</w:t>
      </w:r>
    </w:p>
    <w:p w14:paraId="080F1433" w14:textId="391461A5" w:rsidR="00B8272D" w:rsidRDefault="00205526" w:rsidP="0050268C">
      <w:pPr>
        <w:pStyle w:val="TextKP"/>
      </w:pPr>
      <w:r>
        <w:rPr>
          <w:b/>
        </w:rPr>
        <w:t xml:space="preserve">Peněžní prostředky vynaložené na </w:t>
      </w:r>
      <w:r w:rsidR="0050268C" w:rsidRPr="00CB18DF">
        <w:rPr>
          <w:b/>
        </w:rPr>
        <w:t>výměn</w:t>
      </w:r>
      <w:r w:rsidR="006946D7">
        <w:rPr>
          <w:b/>
        </w:rPr>
        <w:t>y</w:t>
      </w:r>
      <w:r w:rsidR="0050268C" w:rsidRPr="00CB18DF">
        <w:rPr>
          <w:b/>
        </w:rPr>
        <w:t xml:space="preserve"> </w:t>
      </w:r>
      <w:r w:rsidR="006946D7">
        <w:rPr>
          <w:b/>
        </w:rPr>
        <w:t>nevyhovujících zdrojů vytápění domácností</w:t>
      </w:r>
      <w:r w:rsidR="0050268C" w:rsidRPr="00CB18DF">
        <w:rPr>
          <w:b/>
        </w:rPr>
        <w:t xml:space="preserve"> za kotle s nižšími emisemi znečišťujících látek </w:t>
      </w:r>
      <w:r w:rsidR="006946D7">
        <w:rPr>
          <w:b/>
        </w:rPr>
        <w:t>vyhodnotil NKÚ jako účelné, neboť přispívají</w:t>
      </w:r>
      <w:r w:rsidR="0050268C" w:rsidRPr="00CB18DF">
        <w:rPr>
          <w:b/>
        </w:rPr>
        <w:t xml:space="preserve"> ke snižování úrovně znečišťování ovzduší a tím ke zlepšování kvality ovzduší.</w:t>
      </w:r>
    </w:p>
    <w:p w14:paraId="24B0FC59" w14:textId="6008D664" w:rsidR="0050268C" w:rsidRPr="00C0338B" w:rsidRDefault="0050268C" w:rsidP="0050268C">
      <w:pPr>
        <w:pStyle w:val="TextKP"/>
        <w:rPr>
          <w:b/>
          <w:bCs/>
          <w:highlight w:val="red"/>
        </w:rPr>
      </w:pPr>
      <w:r w:rsidRPr="00C0338B">
        <w:t>Pro</w:t>
      </w:r>
      <w:r>
        <w:t xml:space="preserve"> </w:t>
      </w:r>
      <w:r w:rsidRPr="00CB18DF">
        <w:t>dofinancování</w:t>
      </w:r>
      <w:r w:rsidRPr="00C0338B">
        <w:t xml:space="preserve"> žádostí, na které nezbyly prostředky z</w:t>
      </w:r>
      <w:r w:rsidR="00B8272D">
        <w:t xml:space="preserve"> PO 2 </w:t>
      </w:r>
      <w:r w:rsidRPr="00C0338B">
        <w:t xml:space="preserve">OPŽP, byla v roce 2019 vyhlášena výzva z podprogramu </w:t>
      </w:r>
      <w:r w:rsidRPr="00D3202A">
        <w:rPr>
          <w:i/>
        </w:rPr>
        <w:t xml:space="preserve">Adaptační a </w:t>
      </w:r>
      <w:proofErr w:type="spellStart"/>
      <w:r w:rsidRPr="00D3202A">
        <w:rPr>
          <w:i/>
        </w:rPr>
        <w:t>mitigační</w:t>
      </w:r>
      <w:proofErr w:type="spellEnd"/>
      <w:r w:rsidRPr="00D3202A">
        <w:rPr>
          <w:i/>
        </w:rPr>
        <w:t xml:space="preserve"> opatření</w:t>
      </w:r>
      <w:r>
        <w:t xml:space="preserve"> (dále také „AMO“)</w:t>
      </w:r>
      <w:r w:rsidRPr="00D3202A">
        <w:t xml:space="preserve"> </w:t>
      </w:r>
      <w:r>
        <w:t xml:space="preserve">I. etapy NZÚ </w:t>
      </w:r>
      <w:r w:rsidRPr="00D3202A">
        <w:t>14+</w:t>
      </w:r>
      <w:r>
        <w:t>.</w:t>
      </w:r>
      <w:r w:rsidRPr="00C0338B">
        <w:t xml:space="preserve"> Finanční podpora na výměnu kotlů na pevná paliva s ručním podáváním v</w:t>
      </w:r>
      <w:r>
        <w:t> </w:t>
      </w:r>
      <w:r w:rsidRPr="00C0338B">
        <w:t>rodinných domech byla poskytována prostřednictvím projektů jednotlivých krajů stejně jako u OPŽP. Celkem bylo krajům zálohově vyplaceno 1</w:t>
      </w:r>
      <w:r w:rsidR="00B42EA3">
        <w:t>,5 mld. Kč</w:t>
      </w:r>
      <w:r w:rsidRPr="00C0338B">
        <w:t xml:space="preserve"> a do 31. 12. 2022 bylo vyúčtováno 1</w:t>
      </w:r>
      <w:r w:rsidR="00B42EA3">
        <w:t>,</w:t>
      </w:r>
      <w:r w:rsidRPr="00C0338B">
        <w:t>1</w:t>
      </w:r>
      <w:r w:rsidR="00B8272D">
        <w:t> </w:t>
      </w:r>
      <w:r w:rsidR="00B42EA3">
        <w:t>mld.</w:t>
      </w:r>
      <w:r w:rsidRPr="00C0338B">
        <w:t xml:space="preserve"> Kč.</w:t>
      </w:r>
    </w:p>
    <w:p w14:paraId="763F140E" w14:textId="2C4DE4B9" w:rsidR="0050268C" w:rsidRDefault="0050268C" w:rsidP="0050268C">
      <w:pPr>
        <w:pStyle w:val="TextKP"/>
      </w:pPr>
      <w:r>
        <w:t>V rámci nově pořízených zdrojů vytápění domácností MŽP podpořilo k červnu 2023 z OPŽP a NZÚ – AMO více než 10</w:t>
      </w:r>
      <w:r w:rsidR="003F2B0F">
        <w:t>5</w:t>
      </w:r>
      <w:r>
        <w:t xml:space="preserve"> tisíc jednotlivých stacionárních zdrojů. Největší počet výměn byl za tepelná čerpadla. V množství vyčerpaných peněžních prostředků</w:t>
      </w:r>
      <w:r w:rsidR="000A4025" w:rsidRPr="000A4025">
        <w:t xml:space="preserve"> </w:t>
      </w:r>
      <w:r w:rsidR="000A4025">
        <w:t>z OPŽP</w:t>
      </w:r>
      <w:r>
        <w:t xml:space="preserve"> k 31. 12. 2022 byl na prvním místě Moravskoslezský kraj následovaný Středočeským a Jihočeským krajem. Na území Prahy bylo investováno jen minimum prostředků, což je dáno tím, že na území Prahy se </w:t>
      </w:r>
      <w:r>
        <w:lastRenderedPageBreak/>
        <w:t>nachází jen relativně malý počet lokálních zdrojů vytápění domácností. Podrobné informace jsou uvedeny v tabulkách v </w:t>
      </w:r>
      <w:r w:rsidRPr="00A164D2">
        <w:t xml:space="preserve">příloze č. </w:t>
      </w:r>
      <w:r w:rsidR="00A164D2" w:rsidRPr="00A164D2">
        <w:t>7</w:t>
      </w:r>
      <w:r w:rsidRPr="00A164D2">
        <w:t xml:space="preserve"> </w:t>
      </w:r>
      <w:r w:rsidR="000A4025">
        <w:t xml:space="preserve">tohoto </w:t>
      </w:r>
      <w:r w:rsidRPr="00A164D2">
        <w:t>kontrolního závěru.</w:t>
      </w:r>
    </w:p>
    <w:p w14:paraId="17ED40D5" w14:textId="6D956CF7" w:rsidR="007F2D63" w:rsidRPr="009F75A3" w:rsidRDefault="004647FB" w:rsidP="0011333E">
      <w:pPr>
        <w:pStyle w:val="TextKP"/>
        <w:keepNext/>
        <w:numPr>
          <w:ilvl w:val="0"/>
          <w:numId w:val="45"/>
        </w:numPr>
        <w:spacing w:before="240" w:after="120"/>
        <w:ind w:left="284" w:hanging="284"/>
        <w:outlineLvl w:val="1"/>
        <w:rPr>
          <w:b/>
        </w:rPr>
      </w:pPr>
      <w:r>
        <w:rPr>
          <w:b/>
        </w:rPr>
        <w:t>Dotace na s</w:t>
      </w:r>
      <w:r w:rsidR="007F2D63" w:rsidRPr="009F75A3">
        <w:rPr>
          <w:b/>
        </w:rPr>
        <w:t>nižování emisí v průmyslu</w:t>
      </w:r>
    </w:p>
    <w:p w14:paraId="7EF59897" w14:textId="5CDB5785" w:rsidR="0050268C" w:rsidRDefault="0050268C" w:rsidP="0050268C">
      <w:pPr>
        <w:pStyle w:val="TextKP"/>
      </w:pPr>
      <w:r>
        <w:t>V rámci PO 2 OPŽP byly vyhlášeny mj. výzvy č. 8, 89 (SC 2.2) a 136 (SC 2.4). V těchto třech výzvách byly p</w:t>
      </w:r>
      <w:r w:rsidRPr="00E928B9">
        <w:t>odporovány aktivity zaměřené na náhradu nebo rekonstrukci spalovacích či ostatních stacionárních zdrojů znečišťování za účelem snížení emisí; pořízení dodatečných technologií a</w:t>
      </w:r>
      <w:r>
        <w:t> </w:t>
      </w:r>
      <w:r w:rsidRPr="00E928B9">
        <w:t xml:space="preserve">změny technologických postupů vedoucích ke snížení emisí a úrovně znečištění u spalovacích či ostatních stacionárních zdrojů a na </w:t>
      </w:r>
      <w:r w:rsidRPr="002D40B1">
        <w:rPr>
          <w:b/>
        </w:rPr>
        <w:t>omezování prašnosti z plošných zdrojů</w:t>
      </w:r>
      <w:r>
        <w:rPr>
          <w:rStyle w:val="Znakapoznpodarou"/>
          <w:b/>
        </w:rPr>
        <w:footnoteReference w:id="21"/>
      </w:r>
      <w:r w:rsidRPr="00E928B9">
        <w:t>.</w:t>
      </w:r>
    </w:p>
    <w:p w14:paraId="65B96135" w14:textId="0E88713E" w:rsidR="00F103A4" w:rsidRPr="0059045E" w:rsidRDefault="0059045E" w:rsidP="0050268C">
      <w:pPr>
        <w:pStyle w:val="TextKP"/>
        <w:rPr>
          <w:b/>
          <w:i/>
          <w:color w:val="AF1953"/>
        </w:rPr>
      </w:pPr>
      <w:r w:rsidRPr="0059045E">
        <w:rPr>
          <w:b/>
          <w:i/>
          <w:color w:val="AF1953"/>
        </w:rPr>
        <w:t xml:space="preserve">→ </w:t>
      </w:r>
      <w:r w:rsidR="00F103A4" w:rsidRPr="0059045E">
        <w:rPr>
          <w:b/>
          <w:i/>
          <w:color w:val="AF1953"/>
        </w:rPr>
        <w:t>MŽP vynaložilo</w:t>
      </w:r>
      <w:r w:rsidR="007F2D63" w:rsidRPr="0059045E">
        <w:rPr>
          <w:b/>
          <w:i/>
          <w:color w:val="AF1953"/>
        </w:rPr>
        <w:t xml:space="preserve"> neúčelně až 103,62 mil. Kč na pořízení zařízení, která neslouží v prvé řadě ke snižování emisí znečišťujících látek.</w:t>
      </w:r>
    </w:p>
    <w:p w14:paraId="2EEBC3B4" w14:textId="77777777" w:rsidR="0050268C" w:rsidRDefault="0050268C" w:rsidP="0050268C">
      <w:pPr>
        <w:pStyle w:val="TextKP"/>
      </w:pPr>
      <w:r>
        <w:t xml:space="preserve">V rámci </w:t>
      </w:r>
      <w:r w:rsidRPr="00957AC3">
        <w:rPr>
          <w:b/>
        </w:rPr>
        <w:t>výzvy č. 8</w:t>
      </w:r>
      <w:r w:rsidRPr="00F86664">
        <w:t xml:space="preserve"> </w:t>
      </w:r>
      <w:r>
        <w:t>bylo</w:t>
      </w:r>
      <w:r w:rsidRPr="00957AC3">
        <w:t xml:space="preserve"> </w:t>
      </w:r>
      <w:r w:rsidRPr="00F86664">
        <w:t>ke dni 31. 12. 2022</w:t>
      </w:r>
      <w:r w:rsidRPr="008F05BD">
        <w:t xml:space="preserve"> </w:t>
      </w:r>
      <w:r w:rsidRPr="00F86664">
        <w:t>podpořeno</w:t>
      </w:r>
      <w:r>
        <w:t xml:space="preserve"> 16 projektů</w:t>
      </w:r>
      <w:r w:rsidRPr="00F86664">
        <w:t xml:space="preserve"> </w:t>
      </w:r>
      <w:r>
        <w:t>zaměřených na omezování prašnosti z plošných zdrojů</w:t>
      </w:r>
      <w:r w:rsidRPr="00F86664">
        <w:t xml:space="preserve">. Ve třech případech bylo předmětem projektu </w:t>
      </w:r>
      <w:r>
        <w:t>mj.</w:t>
      </w:r>
      <w:r w:rsidRPr="00F86664">
        <w:t xml:space="preserve"> pořízení</w:t>
      </w:r>
      <w:r>
        <w:t xml:space="preserve"> </w:t>
      </w:r>
      <w:r w:rsidRPr="00F86664">
        <w:t>mobilního zařízení k</w:t>
      </w:r>
      <w:r>
        <w:t>e snižování prašnosti (</w:t>
      </w:r>
      <w:proofErr w:type="spellStart"/>
      <w:r>
        <w:t>fugitivních</w:t>
      </w:r>
      <w:proofErr w:type="spellEnd"/>
      <w:r>
        <w:t xml:space="preserve"> emisí</w:t>
      </w:r>
      <w:r>
        <w:rPr>
          <w:rStyle w:val="Znakapoznpodarou"/>
          <w:rFonts w:cs="Calibri"/>
        </w:rPr>
        <w:footnoteReference w:id="22"/>
      </w:r>
      <w:r>
        <w:t>)</w:t>
      </w:r>
      <w:r w:rsidRPr="00F86664">
        <w:t xml:space="preserve">. </w:t>
      </w:r>
      <w:r w:rsidRPr="00B10DD4">
        <w:t xml:space="preserve">Ve dvou případech byl pořízen zametací vůz. Ve třetím případě byl </w:t>
      </w:r>
      <w:r>
        <w:t xml:space="preserve">mj. </w:t>
      </w:r>
      <w:r w:rsidRPr="00B10DD4">
        <w:t>pořízen kolový nakladač se zametacím nástavcem s</w:t>
      </w:r>
      <w:r>
        <w:t> </w:t>
      </w:r>
      <w:r w:rsidRPr="00B10DD4">
        <w:t>proplacenou výši příspěvku EU 2</w:t>
      </w:r>
      <w:r>
        <w:t>,</w:t>
      </w:r>
      <w:r w:rsidRPr="00B10DD4">
        <w:t>1</w:t>
      </w:r>
      <w:r>
        <w:t>5 mil.</w:t>
      </w:r>
      <w:r w:rsidRPr="00B10DD4">
        <w:t xml:space="preserve"> Kč</w:t>
      </w:r>
      <w:r>
        <w:t xml:space="preserve"> z FS</w:t>
      </w:r>
      <w:r w:rsidRPr="00B10DD4">
        <w:t>.</w:t>
      </w:r>
    </w:p>
    <w:p w14:paraId="25BFAB21" w14:textId="56A8F924" w:rsidR="0050268C" w:rsidRDefault="0050268C" w:rsidP="0050268C">
      <w:pPr>
        <w:pStyle w:val="TextKP"/>
      </w:pPr>
      <w:r w:rsidRPr="00F86664">
        <w:t>Dále bylo kontrolou</w:t>
      </w:r>
      <w:r>
        <w:t xml:space="preserve"> NKÚ</w:t>
      </w:r>
      <w:r w:rsidRPr="00F86664">
        <w:t xml:space="preserve"> zjištěno, že v rámci </w:t>
      </w:r>
      <w:r w:rsidRPr="00957AC3">
        <w:rPr>
          <w:b/>
        </w:rPr>
        <w:t>výzvy č. 8</w:t>
      </w:r>
      <w:r w:rsidRPr="00F86664">
        <w:t xml:space="preserve"> byly podány také tři žádosti o podporu</w:t>
      </w:r>
      <w:r>
        <w:t xml:space="preserve">, ve kterých žadatelé uvedli, že </w:t>
      </w:r>
      <w:r w:rsidRPr="00F86664">
        <w:t>jejich</w:t>
      </w:r>
      <w:r>
        <w:t xml:space="preserve"> záměrem je vyměnit stávající nakladače za nová překládková zařízení („kolový nakladač</w:t>
      </w:r>
      <w:r w:rsidR="009C24ED">
        <w:t>“</w:t>
      </w:r>
      <w:r>
        <w:t xml:space="preserve"> či „překládkové rypadlo“) vybavená účinnými skrápěcími systémy </w:t>
      </w:r>
      <w:r w:rsidRPr="00F86664">
        <w:t>za účelem snížení prašnosti v</w:t>
      </w:r>
      <w:r>
        <w:t xml:space="preserve"> provozovaných </w:t>
      </w:r>
      <w:r w:rsidRPr="00F86664">
        <w:t xml:space="preserve">areálech. </w:t>
      </w:r>
      <w:r>
        <w:t>SFŽP v</w:t>
      </w:r>
      <w:r w:rsidRPr="00F86664">
        <w:t xml:space="preserve">šechny tři žádosti </w:t>
      </w:r>
      <w:r>
        <w:t xml:space="preserve">posoudil s výsledkem, že žádosti </w:t>
      </w:r>
      <w:r w:rsidRPr="00F86664">
        <w:t>nesplnily formální náležitosti nebo podmínky přijatelnosti a</w:t>
      </w:r>
      <w:r>
        <w:t> </w:t>
      </w:r>
      <w:r w:rsidRPr="00F86664">
        <w:t>byly vyřazeny z procesu administrace.</w:t>
      </w:r>
    </w:p>
    <w:p w14:paraId="4514E98E" w14:textId="77777777" w:rsidR="0050268C" w:rsidRPr="00BE12F2" w:rsidRDefault="0050268C" w:rsidP="0050268C">
      <w:pPr>
        <w:pStyle w:val="TextKP"/>
        <w:rPr>
          <w:b/>
        </w:rPr>
      </w:pPr>
      <w:r w:rsidRPr="004D31EE">
        <w:t xml:space="preserve">V rámci </w:t>
      </w:r>
      <w:r w:rsidRPr="00957AC3">
        <w:rPr>
          <w:b/>
        </w:rPr>
        <w:t>výzvy č. 89</w:t>
      </w:r>
      <w:r w:rsidRPr="004D31EE">
        <w:t xml:space="preserve"> bylo ke dni 31. 12. 2022 </w:t>
      </w:r>
      <w:r>
        <w:t>podpořeno</w:t>
      </w:r>
      <w:r w:rsidRPr="004D31EE">
        <w:t xml:space="preserve"> </w:t>
      </w:r>
      <w:r>
        <w:rPr>
          <w:iCs/>
        </w:rPr>
        <w:t xml:space="preserve">25 </w:t>
      </w:r>
      <w:r w:rsidRPr="004D31EE">
        <w:t xml:space="preserve">projektů zaměřených na </w:t>
      </w:r>
      <w:r w:rsidRPr="004D31EE">
        <w:rPr>
          <w:iCs/>
        </w:rPr>
        <w:t>omezování prašnosti z plošných zdrojů</w:t>
      </w:r>
      <w:r>
        <w:t>. P</w:t>
      </w:r>
      <w:r w:rsidRPr="00F86664">
        <w:t>ředmětem</w:t>
      </w:r>
      <w:r>
        <w:t xml:space="preserve"> 18 z podpořených projektů bylo pořízení multifunkčního zařízení pro snížení prašnosti. </w:t>
      </w:r>
      <w:r w:rsidRPr="00F86664">
        <w:t>Ve čtyřech případech byl pořízen zametací vůz</w:t>
      </w:r>
      <w:r>
        <w:t xml:space="preserve">. Ve 14 případech </w:t>
      </w:r>
      <w:r w:rsidRPr="00BE12F2">
        <w:t>byl</w:t>
      </w:r>
      <w:r>
        <w:t>a</w:t>
      </w:r>
      <w:r w:rsidRPr="00BE12F2">
        <w:t xml:space="preserve"> pořízen</w:t>
      </w:r>
      <w:r>
        <w:t>a</w:t>
      </w:r>
      <w:r w:rsidRPr="00BE12F2">
        <w:t xml:space="preserve"> </w:t>
      </w:r>
      <w:r>
        <w:t>pohonná jednotka (</w:t>
      </w:r>
      <w:r w:rsidRPr="00BE12F2">
        <w:t>kolový nakladač</w:t>
      </w:r>
      <w:r>
        <w:t>, smykem řízený nakladač, či teleskopický manipulátor)</w:t>
      </w:r>
      <w:r w:rsidRPr="00BE12F2">
        <w:t xml:space="preserve"> se zametacím nástavcem</w:t>
      </w:r>
      <w:r>
        <w:t xml:space="preserve"> s </w:t>
      </w:r>
      <w:r w:rsidRPr="00BE12F2">
        <w:t>proplacen</w:t>
      </w:r>
      <w:r>
        <w:t>ou výši</w:t>
      </w:r>
      <w:r w:rsidRPr="00BE12F2">
        <w:t xml:space="preserve"> příspěvku EU 44</w:t>
      </w:r>
      <w:r>
        <w:t>,</w:t>
      </w:r>
      <w:r w:rsidRPr="00BE12F2">
        <w:t>72</w:t>
      </w:r>
      <w:r>
        <w:t> mil.</w:t>
      </w:r>
      <w:r w:rsidRPr="00BE12F2">
        <w:t xml:space="preserve"> Kč</w:t>
      </w:r>
      <w:r w:rsidRPr="00200FD9">
        <w:t xml:space="preserve"> z </w:t>
      </w:r>
      <w:r>
        <w:t>FS</w:t>
      </w:r>
      <w:r w:rsidRPr="00BE12F2">
        <w:t>.</w:t>
      </w:r>
    </w:p>
    <w:p w14:paraId="4E50BAE3" w14:textId="551D6FED" w:rsidR="0050268C" w:rsidRDefault="0050268C" w:rsidP="0050268C">
      <w:pPr>
        <w:pStyle w:val="TextKP"/>
      </w:pPr>
      <w:r w:rsidRPr="007A0B55">
        <w:t xml:space="preserve">V rámci </w:t>
      </w:r>
      <w:r w:rsidRPr="00957AC3">
        <w:rPr>
          <w:b/>
        </w:rPr>
        <w:t>výzvy č. 136</w:t>
      </w:r>
      <w:r w:rsidRPr="007A0B55">
        <w:t xml:space="preserve"> bylo ke dni 31. 12. 2022 podpořeno 34 projektů zaměřených na </w:t>
      </w:r>
      <w:r w:rsidRPr="007A0B55">
        <w:rPr>
          <w:iCs/>
        </w:rPr>
        <w:t>omezování prašnosti z plošných zdrojů</w:t>
      </w:r>
      <w:r w:rsidRPr="007A0B55">
        <w:t>. Předmětem 31 </w:t>
      </w:r>
      <w:r>
        <w:t xml:space="preserve">podpořených </w:t>
      </w:r>
      <w:r w:rsidRPr="007A0B55">
        <w:t>projektů bylo pořízení multifunkčního zařízení pro snížení prašnosti. Ve 14 případech byl pořízen zametací vůz. V</w:t>
      </w:r>
      <w:r w:rsidR="004B6F09">
        <w:t> </w:t>
      </w:r>
      <w:r w:rsidRPr="007A0B55">
        <w:t>17</w:t>
      </w:r>
      <w:r w:rsidR="004B6F09">
        <w:t> </w:t>
      </w:r>
      <w:r w:rsidRPr="007A0B55">
        <w:t>případech byl</w:t>
      </w:r>
      <w:r>
        <w:t>a</w:t>
      </w:r>
      <w:r w:rsidRPr="007A0B55">
        <w:t xml:space="preserve"> pořízen</w:t>
      </w:r>
      <w:r>
        <w:t>a pohonná jednotka</w:t>
      </w:r>
      <w:r w:rsidRPr="007A0B55">
        <w:t xml:space="preserve"> </w:t>
      </w:r>
      <w:r>
        <w:t>(</w:t>
      </w:r>
      <w:r w:rsidRPr="007A0B55">
        <w:t>kolový nakladač</w:t>
      </w:r>
      <w:r>
        <w:t xml:space="preserve">, elektrický smykem řízený nakladač, či traktor) </w:t>
      </w:r>
      <w:r w:rsidRPr="007A0B55">
        <w:t>se zametacím nástavcem s</w:t>
      </w:r>
      <w:r>
        <w:t> </w:t>
      </w:r>
      <w:r w:rsidRPr="007A0B55">
        <w:t xml:space="preserve">proplacenou výši příspěvku EU </w:t>
      </w:r>
      <w:r>
        <w:t>56,75 mil. Kč</w:t>
      </w:r>
      <w:r w:rsidRPr="00200FD9">
        <w:t xml:space="preserve"> </w:t>
      </w:r>
      <w:r>
        <w:t>z EFRR.</w:t>
      </w:r>
    </w:p>
    <w:p w14:paraId="0A1E6930" w14:textId="0FD9FC05" w:rsidR="0050268C" w:rsidRPr="00BF701E" w:rsidRDefault="0050268C" w:rsidP="0011333E">
      <w:pPr>
        <w:keepNext/>
        <w:tabs>
          <w:tab w:val="left" w:pos="8505"/>
        </w:tabs>
        <w:spacing w:before="120" w:after="40"/>
        <w:rPr>
          <w:rFonts w:eastAsia="Times New Roman" w:cs="Times New Roman"/>
          <w:b/>
          <w:iCs/>
          <w:szCs w:val="18"/>
        </w:rPr>
      </w:pPr>
      <w:r w:rsidRPr="00BF701E">
        <w:rPr>
          <w:rFonts w:eastAsia="Times New Roman" w:cs="Times New Roman"/>
          <w:b/>
          <w:iCs/>
          <w:szCs w:val="18"/>
        </w:rPr>
        <w:lastRenderedPageBreak/>
        <w:t xml:space="preserve">Tabulka č. </w:t>
      </w:r>
      <w:r w:rsidRPr="00BF701E">
        <w:rPr>
          <w:rFonts w:eastAsia="Times New Roman" w:cs="Times New Roman"/>
          <w:b/>
          <w:iCs/>
          <w:szCs w:val="18"/>
        </w:rPr>
        <w:fldChar w:fldCharType="begin"/>
      </w:r>
      <w:r w:rsidRPr="00BF701E">
        <w:rPr>
          <w:rFonts w:eastAsia="Times New Roman" w:cs="Times New Roman"/>
          <w:b/>
          <w:iCs/>
          <w:szCs w:val="18"/>
        </w:rPr>
        <w:instrText xml:space="preserve"> SEQ Tabulka_č. \* ARABIC </w:instrText>
      </w:r>
      <w:r w:rsidRPr="00BF701E">
        <w:rPr>
          <w:rFonts w:eastAsia="Times New Roman" w:cs="Times New Roman"/>
          <w:b/>
          <w:iCs/>
          <w:szCs w:val="18"/>
        </w:rPr>
        <w:fldChar w:fldCharType="separate"/>
      </w:r>
      <w:r w:rsidR="000D2E96">
        <w:rPr>
          <w:rFonts w:eastAsia="Times New Roman" w:cs="Times New Roman"/>
          <w:b/>
          <w:iCs/>
          <w:noProof/>
          <w:szCs w:val="18"/>
        </w:rPr>
        <w:t>4</w:t>
      </w:r>
      <w:r w:rsidRPr="00BF701E">
        <w:rPr>
          <w:rFonts w:eastAsia="Times New Roman" w:cs="Times New Roman"/>
          <w:b/>
          <w:iCs/>
          <w:noProof/>
          <w:szCs w:val="18"/>
        </w:rPr>
        <w:fldChar w:fldCharType="end"/>
      </w:r>
      <w:r w:rsidRPr="00BF701E">
        <w:rPr>
          <w:rFonts w:eastAsia="Times New Roman" w:cs="Times New Roman"/>
          <w:b/>
          <w:iCs/>
          <w:szCs w:val="18"/>
        </w:rPr>
        <w:t>: Projekty, kdy byl pořízen „kolový nakladač“ se „zametacím nástavcem“</w:t>
      </w:r>
      <w:r w:rsidRPr="00BF701E">
        <w:rPr>
          <w:rFonts w:eastAsia="Times New Roman" w:cs="Times New Roman"/>
          <w:b/>
          <w:iCs/>
          <w:szCs w:val="18"/>
        </w:rPr>
        <w:tab/>
        <w:t>(v Kč)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4"/>
        <w:gridCol w:w="2400"/>
        <w:gridCol w:w="2400"/>
        <w:gridCol w:w="2238"/>
      </w:tblGrid>
      <w:tr w:rsidR="0050268C" w:rsidRPr="00F86664" w14:paraId="5B14611A" w14:textId="77777777" w:rsidTr="001829F9">
        <w:trPr>
          <w:trHeight w:val="255"/>
        </w:trPr>
        <w:tc>
          <w:tcPr>
            <w:tcW w:w="1117" w:type="pct"/>
            <w:shd w:val="clear" w:color="auto" w:fill="F2F2F2"/>
            <w:noWrap/>
            <w:vAlign w:val="center"/>
            <w:hideMark/>
          </w:tcPr>
          <w:p w14:paraId="4BB61E4B" w14:textId="77777777" w:rsidR="0050268C" w:rsidRPr="00F86664" w:rsidRDefault="0050268C" w:rsidP="0011333E">
            <w:pPr>
              <w:keepNext/>
              <w:jc w:val="center"/>
              <w:rPr>
                <w:rFonts w:eastAsia="Times New Roman"/>
                <w:b/>
                <w:color w:val="000000"/>
                <w:sz w:val="20"/>
                <w:lang w:eastAsia="cs-CZ"/>
              </w:rPr>
            </w:pPr>
            <w:r w:rsidRPr="00F86664">
              <w:rPr>
                <w:rFonts w:eastAsia="Times New Roman"/>
                <w:b/>
                <w:color w:val="000000"/>
                <w:sz w:val="20"/>
                <w:lang w:eastAsia="cs-CZ"/>
              </w:rPr>
              <w:t>Výzva</w:t>
            </w:r>
          </w:p>
        </w:tc>
        <w:tc>
          <w:tcPr>
            <w:tcW w:w="1324" w:type="pct"/>
            <w:shd w:val="clear" w:color="auto" w:fill="F2F2F2"/>
            <w:vAlign w:val="center"/>
          </w:tcPr>
          <w:p w14:paraId="24B50481" w14:textId="77777777" w:rsidR="0050268C" w:rsidRPr="00F86664" w:rsidRDefault="0050268C" w:rsidP="0011333E">
            <w:pPr>
              <w:keepNext/>
              <w:jc w:val="center"/>
              <w:rPr>
                <w:rFonts w:eastAsia="Times New Roman"/>
                <w:b/>
                <w:bCs/>
                <w:color w:val="000000"/>
                <w:sz w:val="20"/>
                <w:lang w:eastAsia="cs-CZ"/>
              </w:rPr>
            </w:pPr>
            <w:r w:rsidRPr="00F86664">
              <w:rPr>
                <w:rFonts w:eastAsia="Times New Roman"/>
                <w:b/>
                <w:bCs/>
                <w:color w:val="000000"/>
                <w:sz w:val="20"/>
                <w:lang w:eastAsia="cs-CZ"/>
              </w:rPr>
              <w:t>Počet projektů</w:t>
            </w:r>
          </w:p>
        </w:tc>
        <w:tc>
          <w:tcPr>
            <w:tcW w:w="1324" w:type="pct"/>
            <w:shd w:val="clear" w:color="auto" w:fill="F2F2F2"/>
            <w:noWrap/>
            <w:vAlign w:val="center"/>
            <w:hideMark/>
          </w:tcPr>
          <w:p w14:paraId="4F7A99DC" w14:textId="77777777" w:rsidR="0050268C" w:rsidRPr="00F86664" w:rsidRDefault="0050268C" w:rsidP="0011333E">
            <w:pPr>
              <w:keepNext/>
              <w:jc w:val="center"/>
              <w:rPr>
                <w:rFonts w:eastAsia="Times New Roman"/>
                <w:b/>
                <w:bCs/>
                <w:color w:val="000000"/>
                <w:sz w:val="20"/>
                <w:lang w:eastAsia="cs-CZ"/>
              </w:rPr>
            </w:pPr>
            <w:r w:rsidRPr="00F86664">
              <w:rPr>
                <w:rFonts w:eastAsia="Times New Roman"/>
                <w:b/>
                <w:bCs/>
                <w:color w:val="000000"/>
                <w:sz w:val="20"/>
                <w:lang w:eastAsia="cs-CZ"/>
              </w:rPr>
              <w:t>Příspěvek EU</w:t>
            </w:r>
          </w:p>
        </w:tc>
        <w:tc>
          <w:tcPr>
            <w:tcW w:w="1235" w:type="pct"/>
            <w:shd w:val="clear" w:color="auto" w:fill="F2F2F2"/>
            <w:noWrap/>
            <w:vAlign w:val="center"/>
            <w:hideMark/>
          </w:tcPr>
          <w:p w14:paraId="2D6D7453" w14:textId="77777777" w:rsidR="0050268C" w:rsidRPr="00F86664" w:rsidRDefault="0050268C" w:rsidP="0011333E">
            <w:pPr>
              <w:keepNext/>
              <w:jc w:val="center"/>
              <w:rPr>
                <w:rFonts w:eastAsia="Times New Roman"/>
                <w:b/>
                <w:bCs/>
                <w:color w:val="000000"/>
                <w:sz w:val="20"/>
                <w:lang w:eastAsia="cs-CZ"/>
              </w:rPr>
            </w:pPr>
            <w:r w:rsidRPr="00F86664">
              <w:rPr>
                <w:rFonts w:eastAsia="Times New Roman"/>
                <w:b/>
                <w:bCs/>
                <w:color w:val="000000"/>
                <w:sz w:val="20"/>
                <w:lang w:eastAsia="cs-CZ"/>
              </w:rPr>
              <w:t>Proplaceno EU</w:t>
            </w:r>
          </w:p>
        </w:tc>
      </w:tr>
      <w:tr w:rsidR="0050268C" w:rsidRPr="00F86664" w14:paraId="4BFB5D52" w14:textId="77777777" w:rsidTr="001829F9">
        <w:trPr>
          <w:trHeight w:val="255"/>
        </w:trPr>
        <w:tc>
          <w:tcPr>
            <w:tcW w:w="1117" w:type="pct"/>
            <w:shd w:val="clear" w:color="auto" w:fill="auto"/>
            <w:noWrap/>
            <w:vAlign w:val="center"/>
          </w:tcPr>
          <w:p w14:paraId="37DE1131" w14:textId="77777777" w:rsidR="0050268C" w:rsidRPr="00F86664" w:rsidRDefault="0050268C" w:rsidP="0011333E">
            <w:pPr>
              <w:keepNext/>
              <w:rPr>
                <w:rFonts w:eastAsia="Times New Roman"/>
                <w:color w:val="000000"/>
                <w:sz w:val="20"/>
                <w:lang w:eastAsia="cs-CZ"/>
              </w:rPr>
            </w:pPr>
            <w:r w:rsidRPr="00F86664">
              <w:rPr>
                <w:rFonts w:eastAsia="Times New Roman"/>
                <w:color w:val="000000"/>
                <w:sz w:val="20"/>
                <w:lang w:eastAsia="cs-CZ"/>
              </w:rPr>
              <w:t>8. výzva</w:t>
            </w:r>
          </w:p>
        </w:tc>
        <w:tc>
          <w:tcPr>
            <w:tcW w:w="1324" w:type="pct"/>
            <w:vAlign w:val="center"/>
          </w:tcPr>
          <w:p w14:paraId="5D464A1C" w14:textId="77777777" w:rsidR="0050268C" w:rsidRPr="00F86664" w:rsidRDefault="0050268C" w:rsidP="0011333E">
            <w:pPr>
              <w:keepNext/>
              <w:jc w:val="right"/>
              <w:rPr>
                <w:rFonts w:eastAsia="Times New Roman"/>
                <w:color w:val="000000"/>
                <w:sz w:val="20"/>
                <w:lang w:eastAsia="cs-CZ"/>
              </w:rPr>
            </w:pPr>
            <w:r w:rsidRPr="00F86664">
              <w:rPr>
                <w:rFonts w:eastAsia="Times New Roman"/>
                <w:color w:val="000000"/>
                <w:sz w:val="20"/>
                <w:lang w:eastAsia="cs-CZ"/>
              </w:rPr>
              <w:t>1</w:t>
            </w:r>
          </w:p>
        </w:tc>
        <w:tc>
          <w:tcPr>
            <w:tcW w:w="1324" w:type="pct"/>
            <w:shd w:val="clear" w:color="auto" w:fill="auto"/>
            <w:noWrap/>
            <w:vAlign w:val="center"/>
          </w:tcPr>
          <w:p w14:paraId="6C95EEAF" w14:textId="77777777" w:rsidR="0050268C" w:rsidRPr="00F86664" w:rsidRDefault="0050268C" w:rsidP="0011333E">
            <w:pPr>
              <w:keepNext/>
              <w:jc w:val="right"/>
              <w:rPr>
                <w:rFonts w:eastAsia="Times New Roman"/>
                <w:color w:val="000000"/>
                <w:sz w:val="20"/>
                <w:lang w:eastAsia="cs-CZ"/>
              </w:rPr>
            </w:pPr>
            <w:r w:rsidRPr="00F86664">
              <w:rPr>
                <w:rFonts w:eastAsia="Times New Roman"/>
                <w:color w:val="000000"/>
                <w:sz w:val="20"/>
                <w:lang w:eastAsia="cs-CZ"/>
              </w:rPr>
              <w:t>2 147 990,00</w:t>
            </w:r>
          </w:p>
        </w:tc>
        <w:tc>
          <w:tcPr>
            <w:tcW w:w="1235" w:type="pct"/>
            <w:shd w:val="clear" w:color="auto" w:fill="auto"/>
            <w:noWrap/>
            <w:vAlign w:val="center"/>
          </w:tcPr>
          <w:p w14:paraId="4EF29999" w14:textId="77777777" w:rsidR="0050268C" w:rsidRPr="00F86664" w:rsidRDefault="0050268C" w:rsidP="0011333E">
            <w:pPr>
              <w:keepNext/>
              <w:jc w:val="right"/>
              <w:rPr>
                <w:rFonts w:eastAsia="Times New Roman"/>
                <w:color w:val="000000"/>
                <w:sz w:val="20"/>
                <w:lang w:eastAsia="cs-CZ"/>
              </w:rPr>
            </w:pPr>
            <w:r w:rsidRPr="00F86664">
              <w:rPr>
                <w:rFonts w:eastAsia="Times New Roman"/>
                <w:color w:val="000000"/>
                <w:sz w:val="20"/>
                <w:lang w:eastAsia="cs-CZ"/>
              </w:rPr>
              <w:t>2 147 990,00</w:t>
            </w:r>
          </w:p>
        </w:tc>
      </w:tr>
      <w:tr w:rsidR="0050268C" w:rsidRPr="00F86664" w14:paraId="6F22F7DD" w14:textId="77777777" w:rsidTr="001829F9">
        <w:trPr>
          <w:trHeight w:val="255"/>
        </w:trPr>
        <w:tc>
          <w:tcPr>
            <w:tcW w:w="1117" w:type="pct"/>
            <w:shd w:val="clear" w:color="auto" w:fill="auto"/>
            <w:noWrap/>
            <w:vAlign w:val="center"/>
          </w:tcPr>
          <w:p w14:paraId="0537EB5C" w14:textId="77777777" w:rsidR="0050268C" w:rsidRPr="00F86664" w:rsidRDefault="0050268C" w:rsidP="0011333E">
            <w:pPr>
              <w:keepNext/>
              <w:rPr>
                <w:rFonts w:eastAsia="Times New Roman"/>
                <w:color w:val="000000"/>
                <w:sz w:val="20"/>
                <w:lang w:eastAsia="cs-CZ"/>
              </w:rPr>
            </w:pPr>
            <w:r w:rsidRPr="00F86664">
              <w:rPr>
                <w:rFonts w:eastAsia="Times New Roman"/>
                <w:color w:val="000000"/>
                <w:sz w:val="20"/>
                <w:lang w:eastAsia="cs-CZ"/>
              </w:rPr>
              <w:t>89. výzva</w:t>
            </w:r>
          </w:p>
        </w:tc>
        <w:tc>
          <w:tcPr>
            <w:tcW w:w="1324" w:type="pct"/>
            <w:vAlign w:val="center"/>
          </w:tcPr>
          <w:p w14:paraId="4D4CD05C" w14:textId="77777777" w:rsidR="0050268C" w:rsidRPr="00F86664" w:rsidRDefault="0050268C" w:rsidP="0011333E">
            <w:pPr>
              <w:keepNext/>
              <w:jc w:val="right"/>
              <w:rPr>
                <w:rFonts w:eastAsia="Times New Roman"/>
                <w:color w:val="000000"/>
                <w:sz w:val="20"/>
                <w:lang w:eastAsia="cs-CZ"/>
              </w:rPr>
            </w:pPr>
            <w:r w:rsidRPr="00F86664">
              <w:rPr>
                <w:rFonts w:eastAsia="Times New Roman"/>
                <w:color w:val="000000"/>
                <w:sz w:val="20"/>
                <w:lang w:eastAsia="cs-CZ"/>
              </w:rPr>
              <w:t>14</w:t>
            </w:r>
          </w:p>
        </w:tc>
        <w:tc>
          <w:tcPr>
            <w:tcW w:w="1324" w:type="pct"/>
            <w:shd w:val="clear" w:color="auto" w:fill="auto"/>
            <w:noWrap/>
            <w:vAlign w:val="center"/>
          </w:tcPr>
          <w:p w14:paraId="16E22C25" w14:textId="77777777" w:rsidR="0050268C" w:rsidRPr="00F86664" w:rsidRDefault="0050268C" w:rsidP="0011333E">
            <w:pPr>
              <w:keepNext/>
              <w:jc w:val="right"/>
              <w:rPr>
                <w:rFonts w:eastAsia="Times New Roman"/>
                <w:color w:val="000000"/>
                <w:sz w:val="20"/>
                <w:lang w:eastAsia="cs-CZ"/>
              </w:rPr>
            </w:pPr>
            <w:r w:rsidRPr="00F86664">
              <w:rPr>
                <w:rFonts w:eastAsia="Times New Roman"/>
                <w:color w:val="000000"/>
                <w:sz w:val="20"/>
                <w:lang w:eastAsia="cs-CZ"/>
              </w:rPr>
              <w:t>44 726 747,10</w:t>
            </w:r>
          </w:p>
        </w:tc>
        <w:tc>
          <w:tcPr>
            <w:tcW w:w="1235" w:type="pct"/>
            <w:shd w:val="clear" w:color="auto" w:fill="auto"/>
            <w:noWrap/>
            <w:vAlign w:val="center"/>
          </w:tcPr>
          <w:p w14:paraId="7DC44F4B" w14:textId="77777777" w:rsidR="0050268C" w:rsidRPr="00F86664" w:rsidRDefault="0050268C" w:rsidP="0011333E">
            <w:pPr>
              <w:keepNext/>
              <w:jc w:val="right"/>
              <w:rPr>
                <w:rFonts w:eastAsia="Times New Roman"/>
                <w:color w:val="000000"/>
                <w:sz w:val="20"/>
                <w:lang w:eastAsia="cs-CZ"/>
              </w:rPr>
            </w:pPr>
            <w:r w:rsidRPr="00F86664">
              <w:rPr>
                <w:rFonts w:eastAsia="Times New Roman"/>
                <w:color w:val="000000"/>
                <w:sz w:val="20"/>
                <w:lang w:eastAsia="cs-CZ"/>
              </w:rPr>
              <w:t>44 722 997,10</w:t>
            </w:r>
          </w:p>
        </w:tc>
      </w:tr>
      <w:tr w:rsidR="0050268C" w:rsidRPr="00F86664" w14:paraId="1A8CE227" w14:textId="77777777" w:rsidTr="001829F9">
        <w:trPr>
          <w:trHeight w:val="255"/>
        </w:trPr>
        <w:tc>
          <w:tcPr>
            <w:tcW w:w="1117" w:type="pct"/>
            <w:shd w:val="clear" w:color="auto" w:fill="auto"/>
            <w:noWrap/>
            <w:vAlign w:val="center"/>
            <w:hideMark/>
          </w:tcPr>
          <w:p w14:paraId="2B8BD0CC" w14:textId="77777777" w:rsidR="0050268C" w:rsidRPr="00F86664" w:rsidRDefault="0050268C" w:rsidP="0011333E">
            <w:pPr>
              <w:keepNext/>
              <w:rPr>
                <w:rFonts w:eastAsia="Times New Roman"/>
                <w:color w:val="000000"/>
                <w:sz w:val="20"/>
                <w:lang w:eastAsia="cs-CZ"/>
              </w:rPr>
            </w:pPr>
            <w:r w:rsidRPr="00F86664">
              <w:rPr>
                <w:rFonts w:eastAsia="Times New Roman"/>
                <w:color w:val="000000"/>
                <w:sz w:val="20"/>
                <w:lang w:eastAsia="cs-CZ"/>
              </w:rPr>
              <w:t>136. výzva</w:t>
            </w:r>
          </w:p>
        </w:tc>
        <w:tc>
          <w:tcPr>
            <w:tcW w:w="1324" w:type="pct"/>
            <w:vAlign w:val="center"/>
          </w:tcPr>
          <w:p w14:paraId="2DD5F129" w14:textId="77777777" w:rsidR="0050268C" w:rsidRPr="00F86664" w:rsidRDefault="0050268C" w:rsidP="0011333E">
            <w:pPr>
              <w:keepNext/>
              <w:jc w:val="right"/>
              <w:rPr>
                <w:rFonts w:eastAsia="Times New Roman"/>
                <w:color w:val="000000"/>
                <w:sz w:val="20"/>
                <w:lang w:eastAsia="cs-CZ"/>
              </w:rPr>
            </w:pPr>
            <w:r w:rsidRPr="00F86664">
              <w:rPr>
                <w:rFonts w:eastAsia="Times New Roman"/>
                <w:color w:val="000000"/>
                <w:sz w:val="20"/>
                <w:lang w:eastAsia="cs-CZ"/>
              </w:rPr>
              <w:t>17</w:t>
            </w:r>
          </w:p>
        </w:tc>
        <w:tc>
          <w:tcPr>
            <w:tcW w:w="1324" w:type="pct"/>
            <w:shd w:val="clear" w:color="auto" w:fill="auto"/>
            <w:noWrap/>
            <w:vAlign w:val="center"/>
            <w:hideMark/>
          </w:tcPr>
          <w:p w14:paraId="03917D93" w14:textId="77777777" w:rsidR="0050268C" w:rsidRPr="00F86664" w:rsidRDefault="0050268C" w:rsidP="0011333E">
            <w:pPr>
              <w:keepNext/>
              <w:jc w:val="right"/>
              <w:rPr>
                <w:rFonts w:eastAsia="Times New Roman"/>
                <w:color w:val="000000"/>
                <w:sz w:val="20"/>
                <w:lang w:eastAsia="cs-CZ"/>
              </w:rPr>
            </w:pPr>
            <w:r w:rsidRPr="00F86664">
              <w:rPr>
                <w:rFonts w:eastAsia="Times New Roman"/>
                <w:color w:val="000000"/>
                <w:sz w:val="20"/>
                <w:lang w:eastAsia="cs-CZ"/>
              </w:rPr>
              <w:t>59 056 011,75</w:t>
            </w:r>
          </w:p>
        </w:tc>
        <w:tc>
          <w:tcPr>
            <w:tcW w:w="1235" w:type="pct"/>
            <w:shd w:val="clear" w:color="auto" w:fill="auto"/>
            <w:noWrap/>
            <w:vAlign w:val="center"/>
            <w:hideMark/>
          </w:tcPr>
          <w:p w14:paraId="7F8B3568" w14:textId="77777777" w:rsidR="0050268C" w:rsidRPr="00F86664" w:rsidRDefault="0050268C" w:rsidP="0011333E">
            <w:pPr>
              <w:keepNext/>
              <w:jc w:val="right"/>
              <w:rPr>
                <w:rFonts w:eastAsia="Times New Roman"/>
                <w:color w:val="000000"/>
                <w:sz w:val="20"/>
                <w:lang w:eastAsia="cs-CZ"/>
              </w:rPr>
            </w:pPr>
            <w:r w:rsidRPr="00F86664">
              <w:rPr>
                <w:rFonts w:eastAsia="Times New Roman"/>
                <w:color w:val="000000"/>
                <w:sz w:val="20"/>
                <w:lang w:eastAsia="cs-CZ"/>
              </w:rPr>
              <w:t>56 748 077,40</w:t>
            </w:r>
          </w:p>
        </w:tc>
      </w:tr>
      <w:tr w:rsidR="0050268C" w:rsidRPr="00F86664" w14:paraId="1E6CFD5D" w14:textId="77777777" w:rsidTr="001829F9">
        <w:trPr>
          <w:trHeight w:val="255"/>
        </w:trPr>
        <w:tc>
          <w:tcPr>
            <w:tcW w:w="1117" w:type="pct"/>
            <w:shd w:val="clear" w:color="auto" w:fill="auto"/>
            <w:noWrap/>
            <w:vAlign w:val="center"/>
            <w:hideMark/>
          </w:tcPr>
          <w:p w14:paraId="29CC9FF3" w14:textId="77777777" w:rsidR="0050268C" w:rsidRPr="00F86664" w:rsidRDefault="0050268C" w:rsidP="0011333E">
            <w:pPr>
              <w:keepNext/>
              <w:rPr>
                <w:rFonts w:eastAsia="Times New Roman"/>
                <w:b/>
                <w:color w:val="000000"/>
                <w:sz w:val="20"/>
                <w:lang w:eastAsia="cs-CZ"/>
              </w:rPr>
            </w:pPr>
            <w:r w:rsidRPr="00F86664">
              <w:rPr>
                <w:rFonts w:eastAsia="Times New Roman"/>
                <w:b/>
                <w:color w:val="000000"/>
                <w:sz w:val="20"/>
                <w:lang w:eastAsia="cs-CZ"/>
              </w:rPr>
              <w:t>CELKEM</w:t>
            </w:r>
          </w:p>
        </w:tc>
        <w:tc>
          <w:tcPr>
            <w:tcW w:w="1324" w:type="pct"/>
            <w:vAlign w:val="center"/>
          </w:tcPr>
          <w:p w14:paraId="2A210672" w14:textId="77777777" w:rsidR="0050268C" w:rsidRPr="00F86664" w:rsidRDefault="0050268C" w:rsidP="0011333E">
            <w:pPr>
              <w:keepNext/>
              <w:jc w:val="right"/>
              <w:rPr>
                <w:rFonts w:eastAsia="Times New Roman"/>
                <w:b/>
                <w:bCs/>
                <w:color w:val="000000"/>
                <w:sz w:val="20"/>
                <w:lang w:eastAsia="cs-CZ"/>
              </w:rPr>
            </w:pPr>
            <w:r w:rsidRPr="00F86664">
              <w:rPr>
                <w:rFonts w:eastAsia="Times New Roman"/>
                <w:b/>
                <w:color w:val="000000"/>
                <w:sz w:val="20"/>
                <w:lang w:eastAsia="cs-CZ"/>
              </w:rPr>
              <w:t>32</w:t>
            </w:r>
          </w:p>
        </w:tc>
        <w:tc>
          <w:tcPr>
            <w:tcW w:w="1324" w:type="pct"/>
            <w:shd w:val="clear" w:color="auto" w:fill="auto"/>
            <w:noWrap/>
            <w:vAlign w:val="center"/>
            <w:hideMark/>
          </w:tcPr>
          <w:p w14:paraId="5000FCBC" w14:textId="77777777" w:rsidR="0050268C" w:rsidRPr="00F86664" w:rsidRDefault="0050268C" w:rsidP="0011333E">
            <w:pPr>
              <w:keepNext/>
              <w:jc w:val="right"/>
              <w:rPr>
                <w:rFonts w:eastAsia="Times New Roman"/>
                <w:b/>
                <w:bCs/>
                <w:color w:val="000000"/>
                <w:sz w:val="20"/>
                <w:lang w:eastAsia="cs-CZ"/>
              </w:rPr>
            </w:pPr>
            <w:r w:rsidRPr="00F86664">
              <w:rPr>
                <w:rFonts w:eastAsia="Times New Roman"/>
                <w:b/>
                <w:bCs/>
                <w:color w:val="000000"/>
                <w:sz w:val="20"/>
                <w:lang w:eastAsia="cs-CZ"/>
              </w:rPr>
              <w:t>105 930 748,85</w:t>
            </w:r>
          </w:p>
        </w:tc>
        <w:tc>
          <w:tcPr>
            <w:tcW w:w="1235" w:type="pct"/>
            <w:shd w:val="clear" w:color="auto" w:fill="auto"/>
            <w:noWrap/>
            <w:vAlign w:val="center"/>
            <w:hideMark/>
          </w:tcPr>
          <w:p w14:paraId="50EC9069" w14:textId="77777777" w:rsidR="0050268C" w:rsidRPr="00F86664" w:rsidRDefault="0050268C" w:rsidP="0011333E">
            <w:pPr>
              <w:keepNext/>
              <w:jc w:val="right"/>
              <w:rPr>
                <w:rFonts w:eastAsia="Times New Roman"/>
                <w:b/>
                <w:bCs/>
                <w:color w:val="000000"/>
                <w:sz w:val="20"/>
                <w:lang w:eastAsia="cs-CZ"/>
              </w:rPr>
            </w:pPr>
            <w:r w:rsidRPr="00F86664">
              <w:rPr>
                <w:rFonts w:eastAsia="Times New Roman"/>
                <w:b/>
                <w:bCs/>
                <w:color w:val="000000"/>
                <w:sz w:val="20"/>
                <w:lang w:eastAsia="cs-CZ"/>
              </w:rPr>
              <w:t>103 619 064,50</w:t>
            </w:r>
          </w:p>
        </w:tc>
      </w:tr>
    </w:tbl>
    <w:p w14:paraId="56409DDE" w14:textId="77777777" w:rsidR="0050268C" w:rsidRPr="00F86664" w:rsidRDefault="0050268C" w:rsidP="001829F9">
      <w:pPr>
        <w:spacing w:before="40" w:after="120"/>
        <w:ind w:left="567" w:hanging="567"/>
        <w:rPr>
          <w:sz w:val="20"/>
          <w:szCs w:val="20"/>
        </w:rPr>
      </w:pPr>
      <w:r w:rsidRPr="00F86664">
        <w:rPr>
          <w:b/>
          <w:sz w:val="20"/>
          <w:szCs w:val="20"/>
        </w:rPr>
        <w:t>Zdroj:</w:t>
      </w:r>
      <w:r w:rsidRPr="00F86664">
        <w:rPr>
          <w:sz w:val="20"/>
          <w:szCs w:val="20"/>
        </w:rPr>
        <w:tab/>
        <w:t>MS2014+.</w:t>
      </w:r>
    </w:p>
    <w:p w14:paraId="07F539A0" w14:textId="61F80D1D" w:rsidR="0050268C" w:rsidRDefault="0050268C" w:rsidP="0050268C">
      <w:pPr>
        <w:pStyle w:val="TextKP"/>
      </w:pPr>
      <w:r w:rsidRPr="003B6D90">
        <w:t>U podpořených projektů z výz</w:t>
      </w:r>
      <w:r>
        <w:t>e</w:t>
      </w:r>
      <w:r w:rsidRPr="003B6D90">
        <w:t>v zaměřených na aktivitu omezování prašnosti z plošných zdrojů</w:t>
      </w:r>
      <w:r>
        <w:t>, v </w:t>
      </w:r>
      <w:r w:rsidR="005357D0">
        <w:t xml:space="preserve">jejichž </w:t>
      </w:r>
      <w:r>
        <w:t xml:space="preserve">rámci </w:t>
      </w:r>
      <w:r w:rsidRPr="003B6D90">
        <w:t>měl</w:t>
      </w:r>
      <w:r>
        <w:t>y</w:t>
      </w:r>
      <w:r w:rsidRPr="003B6D90">
        <w:t xml:space="preserve"> být pořizován</w:t>
      </w:r>
      <w:r>
        <w:t>y</w:t>
      </w:r>
      <w:r w:rsidRPr="003B6D90">
        <w:t xml:space="preserve"> stroj</w:t>
      </w:r>
      <w:r>
        <w:t>e –</w:t>
      </w:r>
      <w:r w:rsidRPr="003B6D90">
        <w:t xml:space="preserve"> multifunkční zařízení pro snížení prašnosti</w:t>
      </w:r>
      <w:r>
        <w:t>,</w:t>
      </w:r>
      <w:r w:rsidRPr="003B6D90">
        <w:t xml:space="preserve"> </w:t>
      </w:r>
      <w:r>
        <w:t xml:space="preserve">byly v </w:t>
      </w:r>
      <w:r w:rsidRPr="003B6D90">
        <w:t>zásadě poř</w:t>
      </w:r>
      <w:r>
        <w:t>i</w:t>
      </w:r>
      <w:r w:rsidRPr="003B6D90">
        <w:t>z</w:t>
      </w:r>
      <w:r>
        <w:t>ová</w:t>
      </w:r>
      <w:r w:rsidRPr="003B6D90">
        <w:t>ny dvě kategorie multifunkčních strojů: pohonná jednotka se zametacím nástavcem</w:t>
      </w:r>
      <w:r>
        <w:t xml:space="preserve"> (zpravidla kolový nakladač)</w:t>
      </w:r>
      <w:r w:rsidRPr="003B6D90">
        <w:t xml:space="preserve"> </w:t>
      </w:r>
      <w:r>
        <w:t>nebo</w:t>
      </w:r>
      <w:r w:rsidRPr="003B6D90">
        <w:t xml:space="preserve"> zametací vůz.</w:t>
      </w:r>
    </w:p>
    <w:p w14:paraId="65B058C8" w14:textId="041BE9CE" w:rsidR="0050268C" w:rsidRDefault="0050268C" w:rsidP="0050268C">
      <w:pPr>
        <w:pStyle w:val="TextKP"/>
        <w:rPr>
          <w:bCs/>
        </w:rPr>
      </w:pPr>
      <w:r>
        <w:t>P</w:t>
      </w:r>
      <w:r w:rsidRPr="00FC0CA8">
        <w:t>okud žadatel</w:t>
      </w:r>
      <w:r>
        <w:t>é</w:t>
      </w:r>
      <w:r w:rsidRPr="00FC0CA8">
        <w:t xml:space="preserve"> </w:t>
      </w:r>
      <w:r>
        <w:t>v žádosti o podporu uvedli</w:t>
      </w:r>
      <w:r w:rsidRPr="00FC0CA8">
        <w:t>, že bud</w:t>
      </w:r>
      <w:r>
        <w:t>ou</w:t>
      </w:r>
      <w:r w:rsidRPr="00FC0CA8">
        <w:t xml:space="preserve"> pořizov</w:t>
      </w:r>
      <w:r>
        <w:t>at</w:t>
      </w:r>
      <w:r w:rsidRPr="00FC0CA8">
        <w:t xml:space="preserve"> kolový nakladač</w:t>
      </w:r>
      <w:r>
        <w:t xml:space="preserve"> či překládkové rypadlo s nástavbovým skrápěcím systémem</w:t>
      </w:r>
      <w:r w:rsidRPr="00FC0CA8">
        <w:t xml:space="preserve">, </w:t>
      </w:r>
      <w:r>
        <w:t xml:space="preserve">MŽP a </w:t>
      </w:r>
      <w:r w:rsidRPr="00FC0CA8">
        <w:t>SFŽP projekt</w:t>
      </w:r>
      <w:r>
        <w:t>y</w:t>
      </w:r>
      <w:r w:rsidRPr="00FC0CA8">
        <w:t xml:space="preserve"> nepodpořil</w:t>
      </w:r>
      <w:r>
        <w:t>y</w:t>
      </w:r>
      <w:r w:rsidRPr="00FC0CA8">
        <w:t xml:space="preserve">. Pokud </w:t>
      </w:r>
      <w:r>
        <w:t xml:space="preserve">však </w:t>
      </w:r>
      <w:r w:rsidRPr="00FC0CA8">
        <w:t>žadatel</w:t>
      </w:r>
      <w:r>
        <w:t>é</w:t>
      </w:r>
      <w:r w:rsidRPr="00FC0CA8">
        <w:t xml:space="preserve"> </w:t>
      </w:r>
      <w:r>
        <w:t>uvedli</w:t>
      </w:r>
      <w:r w:rsidRPr="00FC0CA8">
        <w:t>, že bud</w:t>
      </w:r>
      <w:r>
        <w:t>ou</w:t>
      </w:r>
      <w:r w:rsidRPr="00FC0CA8">
        <w:t xml:space="preserve"> pořizov</w:t>
      </w:r>
      <w:r>
        <w:t>at</w:t>
      </w:r>
      <w:r w:rsidRPr="00FC0CA8">
        <w:t xml:space="preserve"> </w:t>
      </w:r>
      <w:r>
        <w:t>stroj, např. multifunkční odprašovací jednotku,</w:t>
      </w:r>
      <w:r w:rsidRPr="00FC0CA8">
        <w:t xml:space="preserve"> bez </w:t>
      </w:r>
      <w:r>
        <w:t>konkrétní specifikace typu stroje</w:t>
      </w:r>
      <w:r w:rsidRPr="00FC0CA8">
        <w:t xml:space="preserve">, </w:t>
      </w:r>
      <w:r>
        <w:t>pak MŽP a S</w:t>
      </w:r>
      <w:r w:rsidRPr="00FC0CA8">
        <w:t>FŽP t</w:t>
      </w:r>
      <w:r>
        <w:t>yto</w:t>
      </w:r>
      <w:r w:rsidRPr="00FC0CA8">
        <w:t xml:space="preserve"> projekt</w:t>
      </w:r>
      <w:r>
        <w:t>y</w:t>
      </w:r>
      <w:r w:rsidRPr="00FC0CA8">
        <w:t xml:space="preserve"> podpořil</w:t>
      </w:r>
      <w:r>
        <w:t>y</w:t>
      </w:r>
      <w:r w:rsidRPr="00FC0CA8">
        <w:t xml:space="preserve">, </w:t>
      </w:r>
      <w:r>
        <w:t>ačkoliv</w:t>
      </w:r>
      <w:r w:rsidRPr="00FC0CA8">
        <w:t xml:space="preserve"> příjemc</w:t>
      </w:r>
      <w:r>
        <w:t>i</w:t>
      </w:r>
      <w:r w:rsidRPr="00FC0CA8">
        <w:t xml:space="preserve"> </w:t>
      </w:r>
      <w:r>
        <w:t xml:space="preserve">dotace ve skutečnosti </w:t>
      </w:r>
      <w:r w:rsidRPr="00FC0CA8">
        <w:t>pořídil</w:t>
      </w:r>
      <w:r>
        <w:t>i</w:t>
      </w:r>
      <w:r w:rsidRPr="00FC0CA8">
        <w:t xml:space="preserve"> </w:t>
      </w:r>
      <w:r>
        <w:t xml:space="preserve">zpravidla </w:t>
      </w:r>
      <w:r w:rsidRPr="00FC0CA8">
        <w:t>kolový nakladač se zametacím nástavcem</w:t>
      </w:r>
      <w:r>
        <w:t>. N</w:t>
      </w:r>
      <w:r w:rsidRPr="00FC0CA8">
        <w:t xml:space="preserve">a základě žádostí o platbu </w:t>
      </w:r>
      <w:r>
        <w:t xml:space="preserve">byly MŽP a SFŽP </w:t>
      </w:r>
      <w:r w:rsidRPr="00FC0CA8">
        <w:t>výdaj</w:t>
      </w:r>
      <w:r>
        <w:t>e</w:t>
      </w:r>
      <w:r w:rsidRPr="00FC0CA8">
        <w:t xml:space="preserve"> na pořízení kolového nakladače považov</w:t>
      </w:r>
      <w:r>
        <w:t xml:space="preserve">ány </w:t>
      </w:r>
      <w:r w:rsidRPr="00FC0CA8">
        <w:t>za způsobil</w:t>
      </w:r>
      <w:r>
        <w:t>é</w:t>
      </w:r>
      <w:r w:rsidRPr="00FC0CA8">
        <w:t xml:space="preserve"> výdaj</w:t>
      </w:r>
      <w:r>
        <w:t>e</w:t>
      </w:r>
      <w:r w:rsidRPr="00FC0CA8">
        <w:t>.</w:t>
      </w:r>
    </w:p>
    <w:p w14:paraId="394AF08F" w14:textId="77777777" w:rsidR="0050268C" w:rsidRPr="00341A6E" w:rsidRDefault="0050268C" w:rsidP="0050268C">
      <w:pPr>
        <w:pStyle w:val="TextKP"/>
      </w:pPr>
      <w:r w:rsidRPr="00341A6E">
        <w:t xml:space="preserve">MŽP a SFŽP podpořily </w:t>
      </w:r>
      <w:r>
        <w:t xml:space="preserve">v PO 2 </w:t>
      </w:r>
      <w:r w:rsidRPr="00341A6E">
        <w:t>OPŽP celkem 32 projektů zaměřených na omezování prašnosti z plošných zdrojů, jejichž předmětem bylo pořízení multifunkčního zařízení pro snížení prašnosti</w:t>
      </w:r>
      <w:r>
        <w:t xml:space="preserve"> a </w:t>
      </w:r>
      <w:r w:rsidRPr="00341A6E">
        <w:t>skutečně pořízenou technologií byla pohonná jednotka a zametací nástavec s celkovou výši poskytnuté dotace 105</w:t>
      </w:r>
      <w:r>
        <w:t>,</w:t>
      </w:r>
      <w:r w:rsidRPr="00341A6E">
        <w:t>93</w:t>
      </w:r>
      <w:r>
        <w:t>mil.</w:t>
      </w:r>
      <w:r w:rsidRPr="00341A6E">
        <w:t xml:space="preserve"> Kč. Z této částky bylo ke dni 31. 12. 2022 proplaceno celkem 103</w:t>
      </w:r>
      <w:r>
        <w:t>,</w:t>
      </w:r>
      <w:r w:rsidRPr="00341A6E">
        <w:t>6</w:t>
      </w:r>
      <w:r>
        <w:t>2 mil.</w:t>
      </w:r>
      <w:r w:rsidRPr="00341A6E">
        <w:t xml:space="preserve"> Kč.</w:t>
      </w:r>
    </w:p>
    <w:p w14:paraId="0AFB7A1D" w14:textId="75AA3AB3" w:rsidR="0050268C" w:rsidRPr="005E41BC" w:rsidRDefault="0050268C" w:rsidP="0050268C">
      <w:pPr>
        <w:pStyle w:val="TextKP"/>
        <w:rPr>
          <w:b/>
        </w:rPr>
      </w:pPr>
      <w:r w:rsidRPr="005E41BC">
        <w:rPr>
          <w:b/>
          <w:bCs/>
          <w:color w:val="000000"/>
          <w:lang w:eastAsia="cs-CZ"/>
        </w:rPr>
        <w:t>NKÚ vyhodnotil, že p</w:t>
      </w:r>
      <w:r w:rsidRPr="005E41BC">
        <w:rPr>
          <w:b/>
        </w:rPr>
        <w:t xml:space="preserve">eněžní prostředky až ve výši </w:t>
      </w:r>
      <w:r w:rsidRPr="005E41BC">
        <w:rPr>
          <w:b/>
          <w:bCs/>
          <w:color w:val="000000"/>
          <w:lang w:eastAsia="cs-CZ"/>
        </w:rPr>
        <w:t>103</w:t>
      </w:r>
      <w:r>
        <w:rPr>
          <w:b/>
          <w:bCs/>
          <w:color w:val="000000"/>
          <w:lang w:eastAsia="cs-CZ"/>
        </w:rPr>
        <w:t>,</w:t>
      </w:r>
      <w:r w:rsidRPr="005E41BC">
        <w:rPr>
          <w:b/>
          <w:bCs/>
          <w:color w:val="000000"/>
          <w:lang w:eastAsia="cs-CZ"/>
        </w:rPr>
        <w:t>6</w:t>
      </w:r>
      <w:r>
        <w:rPr>
          <w:b/>
          <w:bCs/>
          <w:color w:val="000000"/>
          <w:lang w:eastAsia="cs-CZ"/>
        </w:rPr>
        <w:t>2</w:t>
      </w:r>
      <w:r w:rsidRPr="005E41BC">
        <w:rPr>
          <w:b/>
          <w:bCs/>
          <w:color w:val="000000"/>
          <w:lang w:eastAsia="cs-CZ"/>
        </w:rPr>
        <w:t xml:space="preserve"> </w:t>
      </w:r>
      <w:r>
        <w:rPr>
          <w:b/>
          <w:bCs/>
          <w:color w:val="000000"/>
          <w:lang w:eastAsia="cs-CZ"/>
        </w:rPr>
        <w:t>mil.</w:t>
      </w:r>
      <w:r w:rsidRPr="005E41BC">
        <w:rPr>
          <w:b/>
          <w:bCs/>
          <w:color w:val="000000"/>
          <w:lang w:eastAsia="cs-CZ"/>
        </w:rPr>
        <w:t xml:space="preserve"> Kč </w:t>
      </w:r>
      <w:r w:rsidRPr="005E41BC">
        <w:rPr>
          <w:b/>
        </w:rPr>
        <w:t>byly MŽP vynaloženy z OPŽP neúčelně, neboť pořízení nové technologie v podobě pohonné jednotky typu kolový nakladač, smykem řízený nakladač, traktor či teleskopický manipulátor přesahuje cíle podporované aktivity omezování prašnosti z plošných zdrojů. Výdaje na pořízení těchto technologií nelze považovat za způsobilé výdaje projektů zejména s ohledem na skutečnost, že tato zařízení primárně slouží k jiným účelům než ke snižování emisí (převážně k manipulaci s materiálem) a lze je pořídit samostatně. Jedná se tak</w:t>
      </w:r>
      <w:r>
        <w:rPr>
          <w:b/>
        </w:rPr>
        <w:t xml:space="preserve"> </w:t>
      </w:r>
      <w:r w:rsidRPr="005E41BC">
        <w:rPr>
          <w:b/>
        </w:rPr>
        <w:t>o</w:t>
      </w:r>
      <w:r>
        <w:rPr>
          <w:b/>
        </w:rPr>
        <w:t> </w:t>
      </w:r>
      <w:r w:rsidRPr="005E41BC">
        <w:rPr>
          <w:b/>
        </w:rPr>
        <w:t xml:space="preserve">nesrovnalost ve smyslu </w:t>
      </w:r>
      <w:r>
        <w:rPr>
          <w:b/>
        </w:rPr>
        <w:t>n</w:t>
      </w:r>
      <w:r w:rsidRPr="005E41BC">
        <w:rPr>
          <w:b/>
        </w:rPr>
        <w:t>ařízení Evropského parlamentu a Rady (EU) č. 1303/2013</w:t>
      </w:r>
      <w:r w:rsidRPr="005E41BC">
        <w:rPr>
          <w:rStyle w:val="Znakapoznpodarou"/>
          <w:b/>
        </w:rPr>
        <w:footnoteReference w:id="23"/>
      </w:r>
      <w:r>
        <w:rPr>
          <w:b/>
        </w:rPr>
        <w:t>.</w:t>
      </w:r>
    </w:p>
    <w:p w14:paraId="6C886E0B" w14:textId="3DE53643" w:rsidR="0050268C" w:rsidRDefault="0050268C" w:rsidP="0050268C">
      <w:pPr>
        <w:pStyle w:val="TextKP"/>
      </w:pPr>
      <w:r>
        <w:t>Oporou pro vyhodnocení NKÚ byla rozhodnutí Městského soudu v Praze</w:t>
      </w:r>
      <w:r w:rsidRPr="00F86664">
        <w:t xml:space="preserve"> </w:t>
      </w:r>
      <w:r>
        <w:t>na základě žalob podaných vyloučenými žadateli o podporu v rámci výzvy č. 8. V</w:t>
      </w:r>
      <w:r w:rsidRPr="00F86664">
        <w:t xml:space="preserve">e dvou případech </w:t>
      </w:r>
      <w:r>
        <w:t xml:space="preserve">soud </w:t>
      </w:r>
      <w:r w:rsidRPr="00F86664">
        <w:t>zamítnu</w:t>
      </w:r>
      <w:r>
        <w:t>l</w:t>
      </w:r>
      <w:r w:rsidRPr="00F86664">
        <w:t xml:space="preserve"> žalob</w:t>
      </w:r>
      <w:r>
        <w:t>y</w:t>
      </w:r>
      <w:r w:rsidRPr="00F86664">
        <w:t xml:space="preserve"> a potvr</w:t>
      </w:r>
      <w:r>
        <w:t>dil</w:t>
      </w:r>
      <w:r w:rsidRPr="00F86664">
        <w:t xml:space="preserve"> rozhodnutí SFŽP a v jednom případě </w:t>
      </w:r>
      <w:r>
        <w:t xml:space="preserve">soud </w:t>
      </w:r>
      <w:r w:rsidR="00784E08">
        <w:t xml:space="preserve">prohlásil </w:t>
      </w:r>
      <w:r w:rsidRPr="00F86664">
        <w:t>rozhodnutí SFŽP za nicotné</w:t>
      </w:r>
      <w:r>
        <w:t xml:space="preserve">. MŽP </w:t>
      </w:r>
      <w:r w:rsidRPr="00F86664">
        <w:t>následně rozhodnutím o odvolání ze dne 18. 3. 2021</w:t>
      </w:r>
      <w:r>
        <w:t xml:space="preserve"> potvrdilo i v tomto případě </w:t>
      </w:r>
      <w:r w:rsidRPr="00F86664">
        <w:t>stanovisko SFŽP o nesplnění podmínek přijatelnosti</w:t>
      </w:r>
      <w:r>
        <w:t xml:space="preserve">. MŽP v tomto rozhodnutí </w:t>
      </w:r>
      <w:r w:rsidRPr="00F86664">
        <w:t>mj. uvedlo, že referenční dokument o nejlepších dostupných technikách při omezování emisí ze skladování jednoznačně hovoří při řešení těchto zdrojů o rozstřikování vody/vodních clonách a tryskovém rozstřikování</w:t>
      </w:r>
      <w:r>
        <w:t xml:space="preserve">, </w:t>
      </w:r>
      <w:r w:rsidRPr="00F86664">
        <w:t>a nikoliv o nakladačích apod.</w:t>
      </w:r>
    </w:p>
    <w:p w14:paraId="1C04BB8A" w14:textId="75794037" w:rsidR="00784E08" w:rsidRDefault="0050268C" w:rsidP="00784E08">
      <w:pPr>
        <w:pStyle w:val="TextKP"/>
      </w:pPr>
      <w:r w:rsidRPr="00F86664">
        <w:lastRenderedPageBreak/>
        <w:t>Městsk</w:t>
      </w:r>
      <w:r>
        <w:t>ý</w:t>
      </w:r>
      <w:r w:rsidRPr="00F86664">
        <w:t xml:space="preserve"> soud v</w:t>
      </w:r>
      <w:r>
        <w:t> </w:t>
      </w:r>
      <w:r w:rsidRPr="00F86664">
        <w:t>Praze</w:t>
      </w:r>
      <w:r>
        <w:t xml:space="preserve"> svým rozhodnutím ve věci</w:t>
      </w:r>
      <w:r w:rsidRPr="00F86664">
        <w:t xml:space="preserve"> čj. 5 A 109/2016</w:t>
      </w:r>
      <w:r>
        <w:t xml:space="preserve"> – </w:t>
      </w:r>
      <w:r w:rsidRPr="00F86664">
        <w:t>52</w:t>
      </w:r>
      <w:r>
        <w:t xml:space="preserve"> </w:t>
      </w:r>
      <w:r w:rsidRPr="00F86664">
        <w:t>a čj. 5 A 108/2016 –</w:t>
      </w:r>
      <w:r>
        <w:t> </w:t>
      </w:r>
      <w:r w:rsidRPr="00F86664">
        <w:t xml:space="preserve">50 </w:t>
      </w:r>
      <w:r>
        <w:t xml:space="preserve">žaloby zamítl a </w:t>
      </w:r>
      <w:r w:rsidRPr="00F86664">
        <w:t xml:space="preserve">v odůvodnění </w:t>
      </w:r>
      <w:r>
        <w:t>mj.</w:t>
      </w:r>
      <w:r w:rsidRPr="00F86664">
        <w:t xml:space="preserve"> konstatoval, že je </w:t>
      </w:r>
      <w:r>
        <w:t>n</w:t>
      </w:r>
      <w:r w:rsidRPr="00662F72">
        <w:t>elogický a v rozporu se základním záměrem OPŽP požadavek, aby podpora byla poskytnuta v rozsahu nákladů nutných na pořízení zařízení, které samo o sobě představuje zdroj znečištění (emise spalin, víření prachu při manipulaci/pohybu zařízení apod.).</w:t>
      </w:r>
      <w:r w:rsidRPr="00F86664">
        <w:t xml:space="preserve"> Pod</w:t>
      </w:r>
      <w:r>
        <w:t>le Městského soudu v Praze je pod</w:t>
      </w:r>
      <w:r w:rsidRPr="00F86664">
        <w:t xml:space="preserve">pora dané aktivity možná za podmínky, že dojde k omezování prašnosti, která vzniká na plošných zdrojích. </w:t>
      </w:r>
      <w:r>
        <w:t>V</w:t>
      </w:r>
      <w:r w:rsidRPr="00F86664">
        <w:t>ýměna či pořízení nového zařízení, které primárně plní jinou (základní) funkci, než je omezování prašnosti a</w:t>
      </w:r>
      <w:r>
        <w:t> </w:t>
      </w:r>
      <w:r w:rsidRPr="00F86664">
        <w:t>předmětná technologie je pouze jeho součástí, není explicitně akceptována.</w:t>
      </w:r>
      <w:r w:rsidR="00784E08" w:rsidRPr="00784E08">
        <w:t xml:space="preserve"> </w:t>
      </w:r>
    </w:p>
    <w:p w14:paraId="24611F26" w14:textId="6BB50EC6" w:rsidR="00AF0902" w:rsidRDefault="003B6A9C" w:rsidP="0050268C">
      <w:pPr>
        <w:pStyle w:val="TextKP"/>
        <w:rPr>
          <w:b/>
          <w:i/>
          <w:color w:val="AF1953"/>
        </w:rPr>
      </w:pPr>
      <w:r w:rsidRPr="0059045E">
        <w:rPr>
          <w:b/>
          <w:i/>
          <w:color w:val="AF1953"/>
        </w:rPr>
        <w:t>→</w:t>
      </w:r>
      <w:r>
        <w:rPr>
          <w:b/>
          <w:i/>
          <w:color w:val="AF1953"/>
        </w:rPr>
        <w:t xml:space="preserve"> Projekty PO 2 OPŽP se podílely na snížení objemu ročních emisí oxidu siřičitého a oxidů dusíku mezi roky 2014 a 2022 jen minimálně. </w:t>
      </w:r>
    </w:p>
    <w:p w14:paraId="608D750D" w14:textId="16EBDFFF" w:rsidR="0050268C" w:rsidRDefault="0050268C" w:rsidP="0050268C">
      <w:pPr>
        <w:pStyle w:val="TextKP"/>
      </w:pPr>
      <w:r w:rsidRPr="00B23639">
        <w:t>NKÚ zjistil na základě sledovaných a vykázaných dat ČHMÚ</w:t>
      </w:r>
      <w:r>
        <w:t xml:space="preserve"> a SFŽP</w:t>
      </w:r>
      <w:r w:rsidRPr="00B23639">
        <w:t>, že podíl projektů realizovaných v rámci SC 2.2 a SC 2.4 (za účelem snížit emise stacionárních zdrojů podílející</w:t>
      </w:r>
      <w:r w:rsidR="00784E08">
        <w:t>ch</w:t>
      </w:r>
      <w:r w:rsidRPr="00B23639">
        <w:t xml:space="preserve"> se na expozici obyvatelstva nadlimitním koncentracím znečišťujících látek) na celkové změně vykazovaných </w:t>
      </w:r>
      <w:r w:rsidR="006746F8">
        <w:t xml:space="preserve">ročních </w:t>
      </w:r>
      <w:r w:rsidRPr="00B23639">
        <w:t xml:space="preserve">emisí z průmyslu v letech 2014 a 2022 byl v případě </w:t>
      </w:r>
      <w:r>
        <w:t xml:space="preserve">prachových částic </w:t>
      </w:r>
      <w:r w:rsidRPr="00B23639">
        <w:t>PM</w:t>
      </w:r>
      <w:r w:rsidRPr="00B23639">
        <w:rPr>
          <w:vertAlign w:val="subscript"/>
        </w:rPr>
        <w:t>10</w:t>
      </w:r>
      <w:r w:rsidRPr="00B23639">
        <w:t xml:space="preserve"> 2</w:t>
      </w:r>
      <w:r>
        <w:t>6 </w:t>
      </w:r>
      <w:r w:rsidRPr="00B23639">
        <w:t>%</w:t>
      </w:r>
      <w:r>
        <w:t>,</w:t>
      </w:r>
      <w:r w:rsidRPr="00B23639">
        <w:t xml:space="preserve"> v </w:t>
      </w:r>
      <w:r w:rsidRPr="002D56FA">
        <w:t>případě jemných částic PM</w:t>
      </w:r>
      <w:r w:rsidRPr="002D56FA">
        <w:rPr>
          <w:vertAlign w:val="subscript"/>
        </w:rPr>
        <w:t>2,5</w:t>
      </w:r>
      <w:r w:rsidRPr="002D56FA">
        <w:t xml:space="preserve"> 15 % a v případě znečišťujících látek SO</w:t>
      </w:r>
      <w:r w:rsidRPr="002D56FA">
        <w:rPr>
          <w:vertAlign w:val="subscript"/>
        </w:rPr>
        <w:t>2</w:t>
      </w:r>
      <w:r w:rsidRPr="002D56FA">
        <w:t>, NO</w:t>
      </w:r>
      <w:r w:rsidRPr="002D56FA">
        <w:rPr>
          <w:vertAlign w:val="subscript"/>
        </w:rPr>
        <w:t>X</w:t>
      </w:r>
      <w:r w:rsidRPr="002D56FA">
        <w:t xml:space="preserve"> a VOC méně než 1 % </w:t>
      </w:r>
      <w:r w:rsidR="00784E08">
        <w:t>(</w:t>
      </w:r>
      <w:r w:rsidRPr="002D56FA">
        <w:t xml:space="preserve">viz příloha č. </w:t>
      </w:r>
      <w:r w:rsidR="00A164D2">
        <w:t>6</w:t>
      </w:r>
      <w:r w:rsidRPr="002D56FA">
        <w:t xml:space="preserve"> </w:t>
      </w:r>
      <w:r w:rsidR="00784E08">
        <w:t xml:space="preserve">tohoto </w:t>
      </w:r>
      <w:r w:rsidRPr="002D56FA">
        <w:t>kontrolního závěru</w:t>
      </w:r>
      <w:r w:rsidR="00784E08">
        <w:t>)</w:t>
      </w:r>
      <w:r w:rsidRPr="002D56FA">
        <w:t>.</w:t>
      </w:r>
    </w:p>
    <w:p w14:paraId="4A5D460A" w14:textId="4EA7D05A" w:rsidR="007F2D63" w:rsidRPr="0059045E" w:rsidRDefault="0059045E" w:rsidP="00F329ED">
      <w:pPr>
        <w:spacing w:before="120"/>
        <w:jc w:val="both"/>
        <w:rPr>
          <w:rFonts w:ascii="Calibri" w:eastAsia="Calibri" w:hAnsi="Calibri" w:cs="Calibri"/>
          <w:b/>
          <w:i/>
          <w:color w:val="AF1953"/>
        </w:rPr>
      </w:pPr>
      <w:r w:rsidRPr="0059045E">
        <w:rPr>
          <w:b/>
          <w:i/>
          <w:color w:val="AF1953"/>
        </w:rPr>
        <w:t xml:space="preserve">→ </w:t>
      </w:r>
      <w:r w:rsidR="00197AD1" w:rsidRPr="0059045E">
        <w:rPr>
          <w:rFonts w:ascii="Calibri" w:eastAsia="Calibri" w:hAnsi="Calibri" w:cs="Calibri"/>
          <w:b/>
          <w:i/>
          <w:color w:val="AF1953"/>
        </w:rPr>
        <w:t xml:space="preserve">Příjemce dotace vynaložil neúčelně až </w:t>
      </w:r>
      <w:r w:rsidR="007F2D63" w:rsidRPr="0059045E">
        <w:rPr>
          <w:rFonts w:ascii="Calibri" w:eastAsia="Calibri" w:hAnsi="Calibri" w:cs="Calibri"/>
          <w:b/>
          <w:i/>
          <w:color w:val="AF1953"/>
        </w:rPr>
        <w:t>5</w:t>
      </w:r>
      <w:r w:rsidR="00197AD1" w:rsidRPr="0059045E">
        <w:rPr>
          <w:rFonts w:ascii="Calibri" w:eastAsia="Calibri" w:hAnsi="Calibri" w:cs="Calibri"/>
          <w:b/>
          <w:i/>
          <w:color w:val="AF1953"/>
        </w:rPr>
        <w:t>,</w:t>
      </w:r>
      <w:r w:rsidR="007F2D63" w:rsidRPr="0059045E">
        <w:rPr>
          <w:rFonts w:ascii="Calibri" w:eastAsia="Calibri" w:hAnsi="Calibri" w:cs="Calibri"/>
          <w:b/>
          <w:i/>
          <w:color w:val="AF1953"/>
        </w:rPr>
        <w:t>57</w:t>
      </w:r>
      <w:r w:rsidR="00197AD1" w:rsidRPr="0059045E">
        <w:rPr>
          <w:rFonts w:ascii="Calibri" w:eastAsia="Calibri" w:hAnsi="Calibri" w:cs="Calibri"/>
          <w:b/>
          <w:i/>
          <w:color w:val="AF1953"/>
        </w:rPr>
        <w:t xml:space="preserve"> mil. Kč</w:t>
      </w:r>
      <w:r w:rsidR="007F2D63" w:rsidRPr="0059045E">
        <w:rPr>
          <w:rFonts w:ascii="Calibri" w:eastAsia="Calibri" w:hAnsi="Calibri" w:cs="Calibri"/>
          <w:b/>
          <w:i/>
          <w:color w:val="AF1953"/>
        </w:rPr>
        <w:t xml:space="preserve"> </w:t>
      </w:r>
      <w:r w:rsidR="00197AD1" w:rsidRPr="0059045E">
        <w:rPr>
          <w:rFonts w:ascii="Calibri" w:eastAsia="Calibri" w:hAnsi="Calibri" w:cs="Calibri"/>
          <w:b/>
          <w:i/>
          <w:color w:val="AF1953"/>
        </w:rPr>
        <w:t>na zařízení, které mělo sloužit k omezování prašnosti</w:t>
      </w:r>
      <w:r w:rsidR="00A164D2" w:rsidRPr="0059045E">
        <w:rPr>
          <w:rFonts w:ascii="Calibri" w:eastAsia="Calibri" w:hAnsi="Calibri" w:cs="Calibri"/>
          <w:b/>
          <w:i/>
          <w:color w:val="AF1953"/>
        </w:rPr>
        <w:t>.</w:t>
      </w:r>
    </w:p>
    <w:p w14:paraId="684B8FD8" w14:textId="12F3CC4B" w:rsidR="00F329ED" w:rsidRPr="00F329ED" w:rsidRDefault="00F329ED" w:rsidP="00F329ED">
      <w:pPr>
        <w:spacing w:before="120"/>
        <w:jc w:val="both"/>
        <w:rPr>
          <w:rFonts w:ascii="Calibri" w:eastAsia="Calibri" w:hAnsi="Calibri" w:cs="Calibri"/>
        </w:rPr>
      </w:pPr>
      <w:r w:rsidRPr="00F329ED">
        <w:rPr>
          <w:rFonts w:ascii="Calibri" w:eastAsia="Calibri" w:hAnsi="Calibri" w:cs="Calibri"/>
        </w:rPr>
        <w:t>NKÚ prověřil mj. poskytnutí dotace příjemci na realizaci projektu ke snížení prašnosti z</w:t>
      </w:r>
      <w:r w:rsidR="008A6C01">
        <w:rPr>
          <w:rFonts w:ascii="Calibri" w:eastAsia="Calibri" w:hAnsi="Calibri" w:cs="Calibri"/>
        </w:rPr>
        <w:t xml:space="preserve"> jeho </w:t>
      </w:r>
      <w:r w:rsidRPr="00F329ED">
        <w:rPr>
          <w:rFonts w:ascii="Calibri" w:eastAsia="Calibri" w:hAnsi="Calibri" w:cs="Calibri"/>
        </w:rPr>
        <w:t>provozovny. Příjemce dotace v žádosti uvedl, že společnost je zaměřena na skladování sypkého materiálu v areálu o celkové ploše 33 085 m</w:t>
      </w:r>
      <w:r w:rsidRPr="00F329ED">
        <w:rPr>
          <w:rFonts w:ascii="Calibri" w:eastAsia="Calibri" w:hAnsi="Calibri" w:cs="Calibri"/>
          <w:vertAlign w:val="superscript"/>
        </w:rPr>
        <w:t>2</w:t>
      </w:r>
      <w:r w:rsidRPr="00F329ED">
        <w:rPr>
          <w:rFonts w:ascii="Calibri" w:eastAsia="Calibri" w:hAnsi="Calibri" w:cs="Calibri"/>
        </w:rPr>
        <w:t>, který provozuje 250 dní v roce a který představuje plošný zdroj prašnosti.</w:t>
      </w:r>
    </w:p>
    <w:p w14:paraId="35DA3953" w14:textId="71FD011E" w:rsidR="00F329ED" w:rsidRPr="00F329ED" w:rsidRDefault="00F329ED" w:rsidP="00F329ED">
      <w:pPr>
        <w:spacing w:before="120"/>
        <w:jc w:val="both"/>
        <w:rPr>
          <w:rFonts w:ascii="Calibri" w:eastAsia="Calibri" w:hAnsi="Calibri" w:cs="Calibri"/>
        </w:rPr>
      </w:pPr>
      <w:r w:rsidRPr="00F329ED">
        <w:rPr>
          <w:rFonts w:ascii="Calibri" w:eastAsia="Calibri" w:hAnsi="Calibri" w:cs="Calibri"/>
          <w:szCs w:val="22"/>
        </w:rPr>
        <w:t>P</w:t>
      </w:r>
      <w:r w:rsidRPr="00F329ED">
        <w:rPr>
          <w:rFonts w:ascii="Calibri" w:eastAsia="Calibri" w:hAnsi="Calibri" w:cs="Calibri"/>
        </w:rPr>
        <w:t xml:space="preserve">osuzovaná investiční akce spočívala v pořízení stroje, a to multifunkční odprašovací jednotky vybavené soustavou kartáčů se skrápěním a odsáváním a dále tryskami pro svrchní skrápění uskladněného materiálu tlakovou vodou a zásobníkem vody. Realizací projektu mělo dojít ke snížení emisí prachu zvířeného při pohybu nákladních vozidel po areálových komunikacích a zpevněných plochách (tzv. </w:t>
      </w:r>
      <w:proofErr w:type="spellStart"/>
      <w:r w:rsidRPr="00F329ED">
        <w:rPr>
          <w:rFonts w:ascii="Calibri" w:eastAsia="Calibri" w:hAnsi="Calibri" w:cs="Calibri"/>
        </w:rPr>
        <w:t>resuspenze</w:t>
      </w:r>
      <w:proofErr w:type="spellEnd"/>
      <w:r w:rsidRPr="00F329ED">
        <w:rPr>
          <w:rFonts w:ascii="Calibri" w:eastAsia="Calibri" w:hAnsi="Calibri" w:cs="Calibri"/>
        </w:rPr>
        <w:t>) a dále z uskladněného sypkého materiálu (suť, písek, štěrk) na haldách o min. ploše cca 850 m</w:t>
      </w:r>
      <w:r w:rsidRPr="00F329ED">
        <w:rPr>
          <w:rFonts w:ascii="Calibri" w:eastAsia="Calibri" w:hAnsi="Calibri" w:cs="Calibri"/>
          <w:vertAlign w:val="superscript"/>
        </w:rPr>
        <w:t>2</w:t>
      </w:r>
      <w:r w:rsidRPr="00F329ED">
        <w:rPr>
          <w:rFonts w:ascii="Calibri" w:eastAsia="Calibri" w:hAnsi="Calibri" w:cs="Calibri"/>
        </w:rPr>
        <w:t>. Výpočet předpokládaného snížení emisí vycházel z popisu stávající situace za období let 2016 až 2018.</w:t>
      </w:r>
    </w:p>
    <w:p w14:paraId="0FD5E632" w14:textId="77777777" w:rsidR="00F329ED" w:rsidRPr="00F329ED" w:rsidRDefault="00F329ED" w:rsidP="00F329ED">
      <w:pPr>
        <w:spacing w:before="120"/>
        <w:jc w:val="both"/>
        <w:rPr>
          <w:rFonts w:ascii="Calibri" w:eastAsia="Calibri" w:hAnsi="Calibri" w:cs="Calibri"/>
        </w:rPr>
      </w:pPr>
      <w:r w:rsidRPr="00F329ED">
        <w:rPr>
          <w:rFonts w:ascii="Calibri" w:eastAsia="Calibri" w:hAnsi="Calibri" w:cs="Calibri"/>
        </w:rPr>
        <w:t>MŽP proplatilo příjemci dotaci ve výši 5 574 000 Kč, což představovalo 75 % z vykázaných celkových způsobilých výdajů. NKÚ kontrolou zjistil skutečnosti nasvědčující porušení rozpočtové kázně.</w:t>
      </w:r>
    </w:p>
    <w:p w14:paraId="1BECB2C1" w14:textId="1220C0AE" w:rsidR="00F329ED" w:rsidRPr="00F329ED" w:rsidRDefault="00F329ED" w:rsidP="00F329ED">
      <w:pPr>
        <w:spacing w:before="120"/>
        <w:jc w:val="both"/>
        <w:rPr>
          <w:rFonts w:ascii="Calibri" w:eastAsia="Calibri" w:hAnsi="Calibri" w:cs="Calibri"/>
        </w:rPr>
      </w:pPr>
      <w:r w:rsidRPr="00F329ED">
        <w:rPr>
          <w:rFonts w:ascii="Calibri" w:eastAsia="Calibri" w:hAnsi="Calibri" w:cs="Calibri"/>
        </w:rPr>
        <w:t>Kontrolou NKÚ bylo zjištěno, že areál uvedený v žádosti o podporu nepatřil příjemci dotace. Příjemce dotace měl pronajatou část pozemku o výměře 1 143 m</w:t>
      </w:r>
      <w:r w:rsidRPr="00F329ED">
        <w:rPr>
          <w:rFonts w:ascii="Calibri" w:eastAsia="Calibri" w:hAnsi="Calibri" w:cs="Calibri"/>
          <w:vertAlign w:val="superscript"/>
        </w:rPr>
        <w:t>2</w:t>
      </w:r>
      <w:r w:rsidRPr="00F329ED">
        <w:rPr>
          <w:rFonts w:ascii="Calibri" w:eastAsia="Calibri" w:hAnsi="Calibri" w:cs="Calibri"/>
        </w:rPr>
        <w:t>, a to až od 1. 9. 2018. Příjemce v rámci žádosti o podporu doložil existenci provozovaného areálu provozním řádem ze září 2018. Z provozního řádu vyplývalo, že provozuje na části pozemku o výměře 500 m</w:t>
      </w:r>
      <w:r w:rsidRPr="00F329ED">
        <w:rPr>
          <w:rFonts w:ascii="Calibri" w:eastAsia="Calibri" w:hAnsi="Calibri" w:cs="Calibri"/>
          <w:vertAlign w:val="superscript"/>
        </w:rPr>
        <w:t>2</w:t>
      </w:r>
      <w:r w:rsidRPr="00F329ED">
        <w:rPr>
          <w:rFonts w:ascii="Calibri" w:eastAsia="Calibri" w:hAnsi="Calibri" w:cs="Calibri"/>
        </w:rPr>
        <w:t xml:space="preserve"> zařízení s kontejnery na skladování použitých starých železničních pražců, a ne zařízení pro manipulaci a skladování sypkých materiálů (suť, písek, štěrk). Pronajatá část pozemku nebyla v době podání žádosti o podporu vedena ve veřejné části </w:t>
      </w:r>
      <w:r w:rsidR="00A01AED">
        <w:rPr>
          <w:rFonts w:ascii="Calibri" w:eastAsia="Calibri" w:hAnsi="Calibri" w:cs="Calibri"/>
        </w:rPr>
        <w:t>ž</w:t>
      </w:r>
      <w:r w:rsidRPr="00F329ED">
        <w:rPr>
          <w:rFonts w:ascii="Calibri" w:eastAsia="Calibri" w:hAnsi="Calibri" w:cs="Calibri"/>
        </w:rPr>
        <w:t>ivnostenského rejstříku mezi údaji o provozovnách příjemce dotace.</w:t>
      </w:r>
    </w:p>
    <w:p w14:paraId="62925E7E" w14:textId="77777777" w:rsidR="00F329ED" w:rsidRPr="00F329ED" w:rsidRDefault="00F329ED" w:rsidP="00F329ED">
      <w:pPr>
        <w:spacing w:before="120"/>
        <w:jc w:val="both"/>
        <w:rPr>
          <w:rFonts w:ascii="Calibri" w:eastAsia="Calibri" w:hAnsi="Calibri" w:cs="Calibri"/>
          <w:b/>
        </w:rPr>
      </w:pPr>
      <w:r w:rsidRPr="00F329ED">
        <w:rPr>
          <w:rFonts w:ascii="Calibri" w:eastAsia="Calibri" w:hAnsi="Calibri" w:cs="Calibri"/>
          <w:b/>
        </w:rPr>
        <w:t xml:space="preserve">NKÚ vyhodnotil, že informace o provozu plošného zdroje znečištění uvedené příjemcem dotace v žádosti o podporu neodpovídaly zjištěnému skutečnému stavu. Příjemce dotace nebyl ve skutečnosti vlastníkem nebo provozovatelem stacionárního zdroje znečišťování </w:t>
      </w:r>
      <w:r w:rsidRPr="00F329ED">
        <w:rPr>
          <w:rFonts w:ascii="Calibri" w:eastAsia="Calibri" w:hAnsi="Calibri" w:cs="Calibri"/>
          <w:b/>
        </w:rPr>
        <w:lastRenderedPageBreak/>
        <w:t>ovzduší v rozsahu, v jakém ho vymezil v žádosti o podporu,</w:t>
      </w:r>
      <w:r w:rsidRPr="00F329ED">
        <w:rPr>
          <w:rFonts w:ascii="Calibri" w:eastAsia="Calibri" w:hAnsi="Calibri" w:cs="Calibri"/>
          <w:szCs w:val="22"/>
        </w:rPr>
        <w:t xml:space="preserve"> </w:t>
      </w:r>
      <w:r w:rsidRPr="00F329ED">
        <w:rPr>
          <w:rFonts w:ascii="Calibri" w:eastAsia="Calibri" w:hAnsi="Calibri" w:cs="Calibri"/>
          <w:b/>
        </w:rPr>
        <w:t>čímž nemohlo dojít ke snížení emisí znečišťujících látek ovzduší v předpokládaném rozsahu. Příjemce dotace tak nebyl oprávněným žadatelem dle podmínek výzvy č. 136 OPŽP.</w:t>
      </w:r>
    </w:p>
    <w:p w14:paraId="243FF373" w14:textId="7306811B" w:rsidR="00F329ED" w:rsidRPr="00F329ED" w:rsidRDefault="00F329ED" w:rsidP="00F329ED">
      <w:pPr>
        <w:spacing w:before="120"/>
        <w:jc w:val="both"/>
        <w:rPr>
          <w:rFonts w:ascii="Calibri" w:eastAsia="Calibri" w:hAnsi="Calibri" w:cs="Calibri"/>
          <w:b/>
        </w:rPr>
      </w:pPr>
      <w:r w:rsidRPr="00F329ED">
        <w:rPr>
          <w:rFonts w:ascii="Calibri" w:eastAsia="Calibri" w:hAnsi="Calibri" w:cs="Calibri"/>
        </w:rPr>
        <w:t>NKÚ zjistil, že příjemce dotace v rámci realizace projektu pořídil mobilní zametací a vysávací stroj zpevněných ploch sestavený z kolového nakladače a zametacího nástavce, který podle NKÚ nebylo možné použít pro svrchní skrápění hald uskladněného materiálu ani pro skrápění prostoru manipulace se sypkými materiály v požadovaném rozsahu. NKÚ vyhodnotil, že příjemce dotace nerealizoval projekt v souladu s analýzou souladu</w:t>
      </w:r>
      <w:r w:rsidR="00553C6A">
        <w:rPr>
          <w:rFonts w:ascii="Calibri" w:eastAsia="Calibri" w:hAnsi="Calibri" w:cs="Calibri"/>
        </w:rPr>
        <w:t xml:space="preserve"> </w:t>
      </w:r>
      <w:r w:rsidR="00553C6A" w:rsidRPr="00553C6A">
        <w:rPr>
          <w:rFonts w:ascii="Calibri" w:eastAsia="Calibri" w:hAnsi="Calibri" w:cs="Calibri"/>
        </w:rPr>
        <w:t>projektu s pravidly</w:t>
      </w:r>
      <w:r w:rsidRPr="00F329ED">
        <w:rPr>
          <w:rFonts w:ascii="Calibri" w:eastAsia="Calibri" w:hAnsi="Calibri" w:cs="Calibri"/>
        </w:rPr>
        <w:t>.</w:t>
      </w:r>
    </w:p>
    <w:p w14:paraId="446B36ED" w14:textId="77777777" w:rsidR="00F329ED" w:rsidRPr="00F329ED" w:rsidRDefault="00F329ED" w:rsidP="00F329ED">
      <w:pPr>
        <w:spacing w:before="120"/>
        <w:jc w:val="both"/>
        <w:rPr>
          <w:rFonts w:ascii="Calibri" w:eastAsia="Calibri" w:hAnsi="Calibri" w:cs="Calibri"/>
        </w:rPr>
      </w:pPr>
      <w:r w:rsidRPr="00F329ED">
        <w:rPr>
          <w:rFonts w:ascii="Calibri" w:eastAsia="Calibri" w:hAnsi="Calibri" w:cs="Calibri"/>
        </w:rPr>
        <w:t>Na pořízení mobilního zametacího a vysávacího stroje zpevněných ploch vynaložil příjemce dotace výdaje ve výši 6 996 000 Kč bez DPH, z toho poskytnutá dotace činila 5 247 000 Kč.</w:t>
      </w:r>
    </w:p>
    <w:p w14:paraId="60270C1F" w14:textId="77777777" w:rsidR="00F329ED" w:rsidRPr="00F329ED" w:rsidRDefault="00F329ED" w:rsidP="00F329ED">
      <w:pPr>
        <w:spacing w:before="120"/>
        <w:jc w:val="both"/>
        <w:rPr>
          <w:rFonts w:ascii="Calibri" w:eastAsia="Calibri" w:hAnsi="Calibri" w:cs="Calibri"/>
        </w:rPr>
      </w:pPr>
      <w:r w:rsidRPr="00F329ED">
        <w:rPr>
          <w:rFonts w:ascii="Calibri" w:eastAsia="Calibri" w:hAnsi="Calibri" w:cs="Calibri"/>
        </w:rPr>
        <w:t>Pořízený stroj měl být využíván pro pravidelné čištění areálových komunikací v četnosti 1krát denně v době provozu areálu a pro průběžné (každodenní v době provozu areálu) skrápění deponovaného materiálu (haldy o min. výměře 850 m</w:t>
      </w:r>
      <w:r w:rsidRPr="00F329ED">
        <w:rPr>
          <w:rFonts w:ascii="Calibri" w:eastAsia="Calibri" w:hAnsi="Calibri" w:cs="Calibri"/>
          <w:vertAlign w:val="superscript"/>
        </w:rPr>
        <w:t>2</w:t>
      </w:r>
      <w:r w:rsidRPr="00F329ED">
        <w:rPr>
          <w:rFonts w:ascii="Calibri" w:eastAsia="Calibri" w:hAnsi="Calibri" w:cs="Calibri"/>
        </w:rPr>
        <w:t>). NKÚ kontrolou na místě a porovnáním leteckých snímků zjistil, že příjemce dotace vykázal v období realizace projektu či jeho udržitelnosti v knize jízd stroje a v evidenci počtu vjezdů vozidel do areálu dny, kdy areál nebyl v provozu či se na něm nenacházel žádný sypký materiál.</w:t>
      </w:r>
      <w:r w:rsidRPr="00F329ED">
        <w:rPr>
          <w:rFonts w:ascii="Calibri" w:eastAsia="Calibri" w:hAnsi="Calibri" w:cs="Calibri"/>
          <w:vertAlign w:val="superscript"/>
        </w:rPr>
        <w:footnoteReference w:id="24"/>
      </w:r>
    </w:p>
    <w:p w14:paraId="5508DBED" w14:textId="2EA40449" w:rsidR="00F329ED" w:rsidRPr="00F329ED" w:rsidRDefault="00F329ED" w:rsidP="00F329ED">
      <w:pPr>
        <w:spacing w:before="120"/>
        <w:jc w:val="both"/>
        <w:rPr>
          <w:rFonts w:ascii="Calibri" w:eastAsia="Calibri" w:hAnsi="Calibri" w:cs="Calibri"/>
        </w:rPr>
      </w:pPr>
      <w:r w:rsidRPr="00F329ED">
        <w:rPr>
          <w:rFonts w:ascii="Calibri" w:eastAsia="Calibri" w:hAnsi="Calibri" w:cs="Calibri"/>
        </w:rPr>
        <w:t>Vzhledem ke skutečnosti, že příjemci dotace byla na projekt poskytnuta podpora dle čl. 36 nařízení Komise (EU) č. 651/2014</w:t>
      </w:r>
      <w:r w:rsidRPr="00F329ED">
        <w:rPr>
          <w:rFonts w:ascii="Calibri" w:eastAsia="Calibri" w:hAnsi="Calibri" w:cs="Calibri"/>
          <w:vertAlign w:val="superscript"/>
        </w:rPr>
        <w:footnoteReference w:id="25"/>
      </w:r>
      <w:r w:rsidRPr="00F329ED">
        <w:rPr>
          <w:rFonts w:ascii="Calibri" w:eastAsia="Calibri" w:hAnsi="Calibri" w:cs="Calibri"/>
        </w:rPr>
        <w:t xml:space="preserve">, byl příjemce dotace povinen po dobu udržitelnosti projektu zajistit, že předmět podpory (stroj) bude využíván výhradně v areálu, na který je projekt vázán. Předmět podpory příjemce dotace nesměl ani doplňkově využívat pro jiné účely, například formou pronájmu nebo pro poskytování služeb čištění komunikací jiným subjektům. NKÚ zjistil na základě údajů uvedených v knize jízd stroje, provozních údajů stroje (tzv. </w:t>
      </w:r>
      <w:proofErr w:type="spellStart"/>
      <w:r w:rsidRPr="00F329ED">
        <w:rPr>
          <w:rFonts w:ascii="Calibri" w:eastAsia="Calibri" w:hAnsi="Calibri" w:cs="Calibri"/>
        </w:rPr>
        <w:t>motohodin</w:t>
      </w:r>
      <w:proofErr w:type="spellEnd"/>
      <w:r w:rsidRPr="00F329ED">
        <w:rPr>
          <w:rFonts w:ascii="Calibri" w:eastAsia="Calibri" w:hAnsi="Calibri" w:cs="Calibri"/>
          <w:vertAlign w:val="superscript"/>
        </w:rPr>
        <w:footnoteReference w:id="26"/>
      </w:r>
      <w:r w:rsidRPr="00F329ED">
        <w:rPr>
          <w:rFonts w:ascii="Calibri" w:eastAsia="Calibri" w:hAnsi="Calibri" w:cs="Calibri"/>
        </w:rPr>
        <w:t xml:space="preserve">) a informací sdělených příjemcem dotace, že </w:t>
      </w:r>
      <w:bookmarkStart w:id="14" w:name="_Hlk160622991"/>
      <w:r w:rsidR="00A01AED">
        <w:rPr>
          <w:rFonts w:ascii="Calibri" w:eastAsia="Calibri" w:hAnsi="Calibri" w:cs="Calibri"/>
        </w:rPr>
        <w:t xml:space="preserve">příjemce </w:t>
      </w:r>
      <w:r w:rsidRPr="00F329ED">
        <w:rPr>
          <w:rFonts w:ascii="Calibri" w:eastAsia="Calibri" w:hAnsi="Calibri" w:cs="Calibri"/>
        </w:rPr>
        <w:t xml:space="preserve">nepoužíval pořízený stroj pouze pro činnosti konané v rámci projektu. </w:t>
      </w:r>
      <w:bookmarkEnd w:id="14"/>
      <w:r w:rsidRPr="00F329ED">
        <w:rPr>
          <w:rFonts w:ascii="Calibri" w:eastAsia="Calibri" w:hAnsi="Calibri" w:cs="Calibri"/>
        </w:rPr>
        <w:t xml:space="preserve">Zjištěný stav ukazatele </w:t>
      </w:r>
      <w:proofErr w:type="spellStart"/>
      <w:r w:rsidRPr="00F329ED">
        <w:rPr>
          <w:rFonts w:ascii="Calibri" w:eastAsia="Calibri" w:hAnsi="Calibri" w:cs="Calibri"/>
        </w:rPr>
        <w:t>motohodin</w:t>
      </w:r>
      <w:proofErr w:type="spellEnd"/>
      <w:r w:rsidRPr="00F329ED">
        <w:rPr>
          <w:rFonts w:ascii="Calibri" w:eastAsia="Calibri" w:hAnsi="Calibri" w:cs="Calibri"/>
        </w:rPr>
        <w:t xml:space="preserve"> kolového nakladače byl cca 6</w:t>
      </w:r>
      <w:r w:rsidR="00803E1F">
        <w:rPr>
          <w:rFonts w:ascii="Calibri" w:eastAsia="Calibri" w:hAnsi="Calibri" w:cs="Calibri"/>
        </w:rPr>
        <w:t>krát</w:t>
      </w:r>
      <w:r w:rsidRPr="00F329ED">
        <w:rPr>
          <w:rFonts w:ascii="Calibri" w:eastAsia="Calibri" w:hAnsi="Calibri" w:cs="Calibri"/>
        </w:rPr>
        <w:t xml:space="preserve"> vyšší než doba potřebná k realizaci projektových činností.</w:t>
      </w:r>
    </w:p>
    <w:p w14:paraId="4FE9E4B2" w14:textId="77777777" w:rsidR="00F329ED" w:rsidRPr="00F329ED" w:rsidRDefault="00F329ED" w:rsidP="00F329ED">
      <w:pPr>
        <w:spacing w:before="120"/>
        <w:jc w:val="both"/>
        <w:rPr>
          <w:rFonts w:ascii="Calibri" w:eastAsia="Calibri" w:hAnsi="Calibri" w:cs="Calibri"/>
          <w:b/>
        </w:rPr>
      </w:pPr>
      <w:r w:rsidRPr="00F329ED">
        <w:rPr>
          <w:rFonts w:ascii="Calibri" w:eastAsia="Calibri" w:hAnsi="Calibri" w:cs="Calibri"/>
          <w:b/>
        </w:rPr>
        <w:t>NKÚ vyhodnotil, že příjemce dotace vynaložil peněžní prostředky až ve výši 5 574 000 Kč na realizaci projektu neúčelně, neboť porušil podmínky poskytnutí dotace stanovené v rozhodnutí o poskytnutí dotace.</w:t>
      </w:r>
    </w:p>
    <w:p w14:paraId="3E0A5BD9" w14:textId="14BAECAD" w:rsidR="0050268C" w:rsidRDefault="007A3ECB" w:rsidP="0050268C">
      <w:pPr>
        <w:pStyle w:val="TextKP"/>
      </w:pPr>
      <w:r>
        <w:t>Příjemce dotace</w:t>
      </w:r>
      <w:r w:rsidR="0050268C" w:rsidRPr="001C4182">
        <w:t xml:space="preserve"> na základě dvou příkazních smluv pověřil manažerským řízení</w:t>
      </w:r>
      <w:r>
        <w:t>m</w:t>
      </w:r>
      <w:r w:rsidR="0050268C" w:rsidRPr="001C4182">
        <w:t xml:space="preserve"> projektu a</w:t>
      </w:r>
      <w:r>
        <w:t> </w:t>
      </w:r>
      <w:r w:rsidR="0050268C" w:rsidRPr="001C4182">
        <w:t>kompletní administrací veřejné zakázky jednu oslovenou společnost. Výdaje na manažerské řízení projektu ve výši 21</w:t>
      </w:r>
      <w:r w:rsidR="009E11C7">
        <w:t>1</w:t>
      </w:r>
      <w:r w:rsidR="0050268C" w:rsidRPr="001C4182">
        <w:t xml:space="preserve"> tis. Kč bez DPH a kompletní administraci veřejné zakázky ve výši 225</w:t>
      </w:r>
      <w:r w:rsidR="0050268C">
        <w:t> </w:t>
      </w:r>
      <w:r w:rsidR="0050268C" w:rsidRPr="001C4182">
        <w:t>tis. Kč bez DPH</w:t>
      </w:r>
      <w:r w:rsidR="0050268C">
        <w:t xml:space="preserve"> byly zahrnuty do způsobilých výdajů projektu. Při zadávání veřejných zakázek malého rozsahu byl </w:t>
      </w:r>
      <w:r>
        <w:t>p</w:t>
      </w:r>
      <w:r w:rsidR="0050268C">
        <w:t>říjemce dotace povinen postupovat se zásadami transparentnosti, přiměřenosti, rovného zacházení a zákazu diskriminace.</w:t>
      </w:r>
    </w:p>
    <w:p w14:paraId="2E72777D" w14:textId="01C05D81" w:rsidR="0050268C" w:rsidRDefault="0050268C" w:rsidP="0050268C">
      <w:pPr>
        <w:pStyle w:val="TextKP"/>
        <w:rPr>
          <w:b/>
        </w:rPr>
      </w:pPr>
      <w:r w:rsidRPr="00A56F1B">
        <w:rPr>
          <w:b/>
        </w:rPr>
        <w:t xml:space="preserve">NKÚ na základě kontroly vyhodnotil, že </w:t>
      </w:r>
      <w:r w:rsidR="00197AD1">
        <w:rPr>
          <w:b/>
        </w:rPr>
        <w:t>p</w:t>
      </w:r>
      <w:r w:rsidRPr="00A56F1B">
        <w:rPr>
          <w:b/>
        </w:rPr>
        <w:t>říjemce</w:t>
      </w:r>
      <w:r w:rsidR="00197AD1">
        <w:rPr>
          <w:b/>
        </w:rPr>
        <w:t xml:space="preserve"> dotace</w:t>
      </w:r>
      <w:r w:rsidRPr="00A56F1B">
        <w:rPr>
          <w:b/>
        </w:rPr>
        <w:t xml:space="preserve"> nepostupoval při zadávání veřejných zakázek malého rozsahu na služby manažerského řízení projektu a na služby kompletní administrace veřejné zakázky v souladu s </w:t>
      </w:r>
      <w:r w:rsidR="00A01AED">
        <w:rPr>
          <w:b/>
          <w:i/>
        </w:rPr>
        <w:t>p</w:t>
      </w:r>
      <w:r w:rsidRPr="00A56F1B">
        <w:rPr>
          <w:b/>
          <w:i/>
        </w:rPr>
        <w:t>okyny pro zadávání veřejných zakázek</w:t>
      </w:r>
      <w:r w:rsidRPr="002F3B4E">
        <w:rPr>
          <w:b/>
        </w:rPr>
        <w:t xml:space="preserve"> v </w:t>
      </w:r>
      <w:r w:rsidR="00A01AED">
        <w:rPr>
          <w:b/>
        </w:rPr>
        <w:t>o</w:t>
      </w:r>
      <w:r w:rsidRPr="002F3B4E">
        <w:rPr>
          <w:b/>
        </w:rPr>
        <w:t xml:space="preserve">peračním programu </w:t>
      </w:r>
      <w:r w:rsidR="00A01AED">
        <w:rPr>
          <w:b/>
          <w:i/>
        </w:rPr>
        <w:t>Ž</w:t>
      </w:r>
      <w:r w:rsidRPr="00A56F1B">
        <w:rPr>
          <w:b/>
          <w:i/>
        </w:rPr>
        <w:t>ivotní prostředí 2014–2020</w:t>
      </w:r>
      <w:r w:rsidRPr="00A56F1B">
        <w:rPr>
          <w:b/>
        </w:rPr>
        <w:t xml:space="preserve"> tím, že nedodržel zásadu </w:t>
      </w:r>
      <w:r w:rsidRPr="00A56F1B">
        <w:rPr>
          <w:b/>
        </w:rPr>
        <w:lastRenderedPageBreak/>
        <w:t>transparentnosti, když nepořídil a neuchoval písemnou dokumentaci o všech významných úkonech souvisejících s výběrem dodavatele</w:t>
      </w:r>
      <w:r w:rsidR="00735D8A">
        <w:rPr>
          <w:b/>
        </w:rPr>
        <w:t>,</w:t>
      </w:r>
      <w:r w:rsidRPr="00A56F1B">
        <w:rPr>
          <w:b/>
        </w:rPr>
        <w:t xml:space="preserve"> a současně nedodržel zásadu </w:t>
      </w:r>
      <w:r w:rsidR="003F2B0F">
        <w:rPr>
          <w:b/>
        </w:rPr>
        <w:t xml:space="preserve">zákazu </w:t>
      </w:r>
      <w:r w:rsidRPr="00A56F1B">
        <w:rPr>
          <w:b/>
        </w:rPr>
        <w:t>diskriminace, když neprovedl průkazně výběr dodavatele předmětných služeb např. oslovením jiných dodavatelů, na základě průzkumu trhu nebo jinou formou zajišťující účast více dodavatelů, čímž omezil okruh možných účastníků zadávacího řízení.</w:t>
      </w:r>
    </w:p>
    <w:p w14:paraId="6E1A87CD" w14:textId="4BCFDF93" w:rsidR="007A3ECB" w:rsidRPr="00F329ED" w:rsidRDefault="007A3ECB" w:rsidP="007A3ECB">
      <w:pPr>
        <w:spacing w:before="120"/>
        <w:jc w:val="both"/>
        <w:rPr>
          <w:rFonts w:ascii="Calibri" w:eastAsia="Calibri" w:hAnsi="Calibri" w:cs="Calibri"/>
        </w:rPr>
      </w:pPr>
      <w:r w:rsidRPr="00F329ED">
        <w:rPr>
          <w:rFonts w:ascii="Calibri" w:eastAsia="Calibri" w:hAnsi="Calibri" w:cs="Calibri"/>
        </w:rPr>
        <w:t xml:space="preserve">NKÚ kontrolou obdobných projektů zjistil, že kolový nakladač se stejným zametacím nástavcem byl pořízen minimálně v dalších </w:t>
      </w:r>
      <w:r w:rsidR="00735D8A">
        <w:rPr>
          <w:rFonts w:ascii="Calibri" w:eastAsia="Calibri" w:hAnsi="Calibri" w:cs="Calibri"/>
        </w:rPr>
        <w:t>šesti</w:t>
      </w:r>
      <w:r w:rsidRPr="00F329ED">
        <w:rPr>
          <w:rFonts w:ascii="Calibri" w:eastAsia="Calibri" w:hAnsi="Calibri" w:cs="Calibri"/>
        </w:rPr>
        <w:t xml:space="preserve"> případech, u kterých mělo taktéž docházet ke snížení emisí v důsledku průběžného skrápění hald uskladněného materiálu na rozloze 300</w:t>
      </w:r>
      <w:r w:rsidR="00735D8A">
        <w:rPr>
          <w:rFonts w:ascii="Calibri" w:eastAsia="Calibri" w:hAnsi="Calibri" w:cs="Calibri"/>
        </w:rPr>
        <w:t> </w:t>
      </w:r>
      <w:r w:rsidRPr="00F329ED">
        <w:rPr>
          <w:rFonts w:ascii="Calibri" w:eastAsia="Calibri" w:hAnsi="Calibri" w:cs="Calibri"/>
        </w:rPr>
        <w:t>m</w:t>
      </w:r>
      <w:r w:rsidRPr="00F329ED">
        <w:rPr>
          <w:rFonts w:ascii="Calibri" w:eastAsia="Calibri" w:hAnsi="Calibri" w:cs="Calibri"/>
          <w:vertAlign w:val="superscript"/>
        </w:rPr>
        <w:t>2</w:t>
      </w:r>
      <w:r w:rsidRPr="00F329ED">
        <w:rPr>
          <w:rFonts w:ascii="Calibri" w:eastAsia="Calibri" w:hAnsi="Calibri" w:cs="Calibri"/>
        </w:rPr>
        <w:t xml:space="preserve"> až 6</w:t>
      </w:r>
      <w:r w:rsidR="00735D8A">
        <w:rPr>
          <w:rFonts w:ascii="Calibri" w:eastAsia="Calibri" w:hAnsi="Calibri" w:cs="Calibri"/>
        </w:rPr>
        <w:t> </w:t>
      </w:r>
      <w:r w:rsidRPr="00F329ED">
        <w:rPr>
          <w:rFonts w:ascii="Calibri" w:eastAsia="Calibri" w:hAnsi="Calibri" w:cs="Calibri"/>
        </w:rPr>
        <w:t>000</w:t>
      </w:r>
      <w:r w:rsidR="00735D8A">
        <w:rPr>
          <w:rFonts w:ascii="Calibri" w:eastAsia="Calibri" w:hAnsi="Calibri" w:cs="Calibri"/>
        </w:rPr>
        <w:t> </w:t>
      </w:r>
      <w:r w:rsidRPr="00F329ED">
        <w:rPr>
          <w:rFonts w:ascii="Calibri" w:eastAsia="Calibri" w:hAnsi="Calibri" w:cs="Calibri"/>
        </w:rPr>
        <w:t>m</w:t>
      </w:r>
      <w:r w:rsidRPr="00F329ED">
        <w:rPr>
          <w:rFonts w:ascii="Calibri" w:eastAsia="Calibri" w:hAnsi="Calibri" w:cs="Calibri"/>
          <w:vertAlign w:val="superscript"/>
        </w:rPr>
        <w:t>2</w:t>
      </w:r>
      <w:r w:rsidRPr="00F329ED">
        <w:rPr>
          <w:rFonts w:ascii="Calibri" w:eastAsia="Calibri" w:hAnsi="Calibri" w:cs="Calibri"/>
        </w:rPr>
        <w:t>.</w:t>
      </w:r>
    </w:p>
    <w:p w14:paraId="0AD8B42B" w14:textId="41934920" w:rsidR="007A3ECB" w:rsidRPr="00F329ED" w:rsidRDefault="007A3ECB" w:rsidP="007A3ECB">
      <w:pPr>
        <w:spacing w:before="120"/>
        <w:jc w:val="both"/>
        <w:rPr>
          <w:rFonts w:ascii="Calibri" w:eastAsia="Calibri" w:hAnsi="Calibri" w:cs="Calibri"/>
        </w:rPr>
      </w:pPr>
      <w:r w:rsidRPr="00F329ED">
        <w:rPr>
          <w:rFonts w:ascii="Calibri" w:eastAsia="Calibri" w:hAnsi="Calibri" w:cs="Calibri"/>
        </w:rPr>
        <w:t xml:space="preserve">NKÚ zjistil, že minimálně v rámci </w:t>
      </w:r>
      <w:r w:rsidR="00735D8A">
        <w:rPr>
          <w:rFonts w:ascii="Calibri" w:eastAsia="Calibri" w:hAnsi="Calibri" w:cs="Calibri"/>
        </w:rPr>
        <w:t>sedmi</w:t>
      </w:r>
      <w:r w:rsidRPr="00F329ED">
        <w:rPr>
          <w:rFonts w:ascii="Calibri" w:eastAsia="Calibri" w:hAnsi="Calibri" w:cs="Calibri"/>
        </w:rPr>
        <w:t xml:space="preserve"> projektů byly pořízeny stroje, které neumožňovaly svrchní skrápění hald uskladněného materiálu tlakovou vodou. Jednalo se o </w:t>
      </w:r>
      <w:r w:rsidR="00735D8A">
        <w:rPr>
          <w:rFonts w:ascii="Calibri" w:eastAsia="Calibri" w:hAnsi="Calibri" w:cs="Calibri"/>
        </w:rPr>
        <w:t>čtyři</w:t>
      </w:r>
      <w:r w:rsidRPr="00F329ED">
        <w:rPr>
          <w:rFonts w:ascii="Calibri" w:eastAsia="Calibri" w:hAnsi="Calibri" w:cs="Calibri"/>
        </w:rPr>
        <w:t xml:space="preserve"> projekty z výzvy č. 89 s proplacenou dotací z FS v celkové výši 12,49 mil. Kč a </w:t>
      </w:r>
      <w:r w:rsidR="00735D8A">
        <w:rPr>
          <w:rFonts w:ascii="Calibri" w:eastAsia="Calibri" w:hAnsi="Calibri" w:cs="Calibri"/>
        </w:rPr>
        <w:t xml:space="preserve">tři </w:t>
      </w:r>
      <w:r w:rsidRPr="00F329ED">
        <w:rPr>
          <w:rFonts w:ascii="Calibri" w:eastAsia="Calibri" w:hAnsi="Calibri" w:cs="Calibri"/>
        </w:rPr>
        <w:t>projekty z výzvy č.</w:t>
      </w:r>
      <w:r w:rsidR="00735D8A">
        <w:rPr>
          <w:rFonts w:ascii="Calibri" w:eastAsia="Calibri" w:hAnsi="Calibri" w:cs="Calibri"/>
        </w:rPr>
        <w:t> </w:t>
      </w:r>
      <w:r w:rsidRPr="00F329ED">
        <w:rPr>
          <w:rFonts w:ascii="Calibri" w:eastAsia="Calibri" w:hAnsi="Calibri" w:cs="Calibri"/>
        </w:rPr>
        <w:t>136 s proplacenou dotací z EFRR v celkové výši 15,22 mil. Kč.</w:t>
      </w:r>
    </w:p>
    <w:p w14:paraId="504E7CE7" w14:textId="7048B5D5" w:rsidR="007A3ECB" w:rsidRPr="007A3ECB" w:rsidRDefault="007A3ECB" w:rsidP="007A3ECB">
      <w:pPr>
        <w:spacing w:before="120"/>
        <w:jc w:val="both"/>
        <w:rPr>
          <w:rFonts w:ascii="Calibri" w:eastAsia="Calibri" w:hAnsi="Calibri" w:cs="Calibri"/>
          <w:szCs w:val="22"/>
        </w:rPr>
      </w:pPr>
      <w:r w:rsidRPr="00F329ED">
        <w:rPr>
          <w:rFonts w:ascii="Calibri" w:eastAsia="Calibri" w:hAnsi="Calibri" w:cs="Times New Roman"/>
          <w:b/>
        </w:rPr>
        <w:t>NKÚ vyhodnotil, že MŽP vynaložilo peněžní prostředky až ve výši 27,71 mil. Kč neúčelně. Peněžní prostředky, které MŽP proplatilo, zahrnovaly výdaje na pořízení zařízení, která nebylo možné používat pro svrchní skrápění hald uskladněného materiálu v rozsahu podle schválených analýz souladu</w:t>
      </w:r>
      <w:r w:rsidR="00735D8A" w:rsidRPr="00735D8A">
        <w:t xml:space="preserve"> </w:t>
      </w:r>
      <w:r w:rsidR="00735D8A" w:rsidRPr="00735D8A">
        <w:rPr>
          <w:rFonts w:ascii="Calibri" w:eastAsia="Calibri" w:hAnsi="Calibri" w:cs="Times New Roman"/>
          <w:b/>
        </w:rPr>
        <w:t>projektu s pravidly</w:t>
      </w:r>
      <w:r w:rsidRPr="00F329ED">
        <w:rPr>
          <w:rFonts w:ascii="Calibri" w:eastAsia="Calibri" w:hAnsi="Calibri" w:cs="Times New Roman"/>
          <w:b/>
        </w:rPr>
        <w:t>, resp. vydaných rozhodnutí o poskytnutí dotace.</w:t>
      </w:r>
    </w:p>
    <w:p w14:paraId="07C35115" w14:textId="3CC18B33" w:rsidR="007F2D63" w:rsidRDefault="007F2D63" w:rsidP="007F2D63">
      <w:pPr>
        <w:pStyle w:val="TextKP"/>
      </w:pPr>
      <w:r w:rsidRPr="00C0338B">
        <w:rPr>
          <w:bCs/>
        </w:rPr>
        <w:t xml:space="preserve">V průběhu roku 2022 se na implementaci programu začaly výrazněji projevovat dopady </w:t>
      </w:r>
      <w:r w:rsidRPr="00D54973">
        <w:rPr>
          <w:bCs/>
        </w:rPr>
        <w:t>ruské agrese na Ukrajině,</w:t>
      </w:r>
      <w:r w:rsidRPr="00C0338B">
        <w:rPr>
          <w:bCs/>
        </w:rPr>
        <w:t xml:space="preserve"> a to ve formě odstupování od dříve schválených projektů či prodlužováním termínů realizace zadávacích řízení. MŽP k dočerpání postupně se uvolňujících prostředků v rámci OPŽP vytvořilo novou </w:t>
      </w:r>
      <w:r w:rsidR="00553C6A">
        <w:rPr>
          <w:b/>
        </w:rPr>
        <w:t>p</w:t>
      </w:r>
      <w:r w:rsidRPr="00C0338B">
        <w:rPr>
          <w:b/>
        </w:rPr>
        <w:t xml:space="preserve">rioritní osu 7: </w:t>
      </w:r>
      <w:r w:rsidRPr="00A13552">
        <w:rPr>
          <w:b/>
          <w:i/>
        </w:rPr>
        <w:t>Podpora pro zmírnění důsledků energetické krize</w:t>
      </w:r>
      <w:r w:rsidRPr="00C0338B">
        <w:rPr>
          <w:b/>
        </w:rPr>
        <w:t xml:space="preserve">. </w:t>
      </w:r>
      <w:r w:rsidRPr="00C0338B">
        <w:t>Výše alokace peněžních prostředků pro PO</w:t>
      </w:r>
      <w:r>
        <w:t xml:space="preserve"> </w:t>
      </w:r>
      <w:r w:rsidRPr="00C0338B">
        <w:t xml:space="preserve">7 pro programové období 2014 až 2020 je 25 450 mil. </w:t>
      </w:r>
      <w:r w:rsidR="00553C6A">
        <w:t>€</w:t>
      </w:r>
      <w:r w:rsidRPr="00C0338B">
        <w:t>. Cílem opatření je podpořit zranitelné domácnosti, které byly negativně zasaženy zvýšením cen energie v souvislosti s důsledky vojenské agrese Ruska proti Ukrajině, jakož i</w:t>
      </w:r>
      <w:r>
        <w:t> </w:t>
      </w:r>
      <w:r w:rsidRPr="00C0338B">
        <w:t xml:space="preserve">růstem životních nákladů vlivem inflace, a to prostřednictvím příspěvku na bydlení, který </w:t>
      </w:r>
      <w:r>
        <w:t>byl</w:t>
      </w:r>
      <w:r w:rsidRPr="00C0338B">
        <w:t xml:space="preserve"> vyplácen prostřednictvím </w:t>
      </w:r>
      <w:r>
        <w:t>ÚP ČR</w:t>
      </w:r>
      <w:r w:rsidRPr="00C0338B">
        <w:t xml:space="preserve"> v období od 1.</w:t>
      </w:r>
      <w:r>
        <w:t> </w:t>
      </w:r>
      <w:r w:rsidRPr="00C0338B">
        <w:t>2.</w:t>
      </w:r>
      <w:r>
        <w:t> </w:t>
      </w:r>
      <w:r w:rsidRPr="00C0338B">
        <w:t>2022 do 31.</w:t>
      </w:r>
      <w:r>
        <w:t> </w:t>
      </w:r>
      <w:r w:rsidRPr="00C0338B">
        <w:t xml:space="preserve">12. 2023. Podpora </w:t>
      </w:r>
      <w:r>
        <w:t>byla</w:t>
      </w:r>
      <w:r w:rsidRPr="00C0338B">
        <w:t xml:space="preserve"> určena pro více než 230 tisíc domácností.</w:t>
      </w:r>
    </w:p>
    <w:p w14:paraId="01C6474A" w14:textId="4ADE1969" w:rsidR="007F2D63" w:rsidRPr="00AF0902" w:rsidRDefault="007F2D63" w:rsidP="007F2D63">
      <w:pPr>
        <w:pStyle w:val="TextKP"/>
        <w:rPr>
          <w:bCs/>
        </w:rPr>
      </w:pPr>
      <w:r w:rsidRPr="00AF0902">
        <w:rPr>
          <w:bCs/>
        </w:rPr>
        <w:t>Kontrolou NKÚ bylo zjištěno, že žádosti o podporu žadatele ÚP ČR schválené řídicím orgánem dne 24.</w:t>
      </w:r>
      <w:r w:rsidR="004B449F" w:rsidRPr="00AF0902">
        <w:rPr>
          <w:bCs/>
        </w:rPr>
        <w:t xml:space="preserve"> </w:t>
      </w:r>
      <w:r w:rsidRPr="00AF0902">
        <w:rPr>
          <w:bCs/>
        </w:rPr>
        <w:t>10.</w:t>
      </w:r>
      <w:r w:rsidR="004B449F" w:rsidRPr="00AF0902">
        <w:rPr>
          <w:bCs/>
        </w:rPr>
        <w:t xml:space="preserve"> </w:t>
      </w:r>
      <w:r w:rsidRPr="00AF0902">
        <w:rPr>
          <w:bCs/>
        </w:rPr>
        <w:t>2023 v celkové výši 1,8 mld. Kč (příspěvek EU) nebyly v souladu s </w:t>
      </w:r>
      <w:r w:rsidRPr="00AF0902">
        <w:rPr>
          <w:bCs/>
          <w:iCs/>
        </w:rPr>
        <w:t xml:space="preserve">programovým dokumentem OPŽP </w:t>
      </w:r>
      <w:r w:rsidRPr="00AF0902">
        <w:rPr>
          <w:bCs/>
        </w:rPr>
        <w:t xml:space="preserve">(č. verze: 20.0 </w:t>
      </w:r>
      <w:r w:rsidR="00553C6A">
        <w:rPr>
          <w:bCs/>
        </w:rPr>
        <w:t>/</w:t>
      </w:r>
      <w:r w:rsidRPr="00AF0902">
        <w:rPr>
          <w:bCs/>
        </w:rPr>
        <w:t>EK verze 15.0</w:t>
      </w:r>
      <w:r w:rsidR="00553C6A">
        <w:rPr>
          <w:bCs/>
        </w:rPr>
        <w:t>/</w:t>
      </w:r>
      <w:r w:rsidRPr="00AF0902">
        <w:rPr>
          <w:bCs/>
        </w:rPr>
        <w:t>, platnost od 22. 3. 2023). Změny plynoucí z</w:t>
      </w:r>
      <w:r w:rsidR="0011333E">
        <w:rPr>
          <w:bCs/>
        </w:rPr>
        <w:t> </w:t>
      </w:r>
      <w:r w:rsidRPr="00AF0902">
        <w:rPr>
          <w:bCs/>
        </w:rPr>
        <w:t xml:space="preserve">vytvoření nové PO 7, resp. nová verze </w:t>
      </w:r>
      <w:r w:rsidRPr="00AF0902">
        <w:rPr>
          <w:bCs/>
          <w:iCs/>
        </w:rPr>
        <w:t>programového dokumentu OPŽP</w:t>
      </w:r>
      <w:r w:rsidRPr="00AF0902">
        <w:rPr>
          <w:bCs/>
        </w:rPr>
        <w:t>, kdy by měla být organizační složka státu příjemcem podpory tzv. grantového schématu</w:t>
      </w:r>
      <w:r w:rsidRPr="00AF58FE">
        <w:rPr>
          <w:rStyle w:val="Znakapoznpodarou"/>
          <w:bCs/>
        </w:rPr>
        <w:footnoteReference w:id="27"/>
      </w:r>
      <w:r w:rsidRPr="00AF0902">
        <w:rPr>
          <w:bCs/>
        </w:rPr>
        <w:t xml:space="preserve"> pro PO 7 byly platné až od 8. 11. 2023. MŽP tak poskytlo podporu v rozporu s platným programovým dokumentem OPŽP. MŽP neproplatilo ke dni 15. 11. 2023 (ukončení kontroly NKÚ u MŽP) žádné peněžní prostředky.</w:t>
      </w:r>
    </w:p>
    <w:p w14:paraId="2EA998A8" w14:textId="5EF59C92" w:rsidR="0004367C" w:rsidRDefault="007F2D63" w:rsidP="007F2D63">
      <w:pPr>
        <w:pStyle w:val="TextKP"/>
      </w:pPr>
      <w:r w:rsidRPr="00C0338B">
        <w:t xml:space="preserve">MŽP změny provedené v programovém dokumentu </w:t>
      </w:r>
      <w:r>
        <w:t xml:space="preserve">OPŽP </w:t>
      </w:r>
      <w:r w:rsidRPr="00C0338B">
        <w:t xml:space="preserve">týkající se nové </w:t>
      </w:r>
      <w:r>
        <w:t>PO</w:t>
      </w:r>
      <w:r w:rsidRPr="00C0338B">
        <w:t xml:space="preserve"> 7 konzultovalo a předjednalo se zástupci </w:t>
      </w:r>
      <w:r>
        <w:t>EK</w:t>
      </w:r>
      <w:r w:rsidRPr="00C0338B">
        <w:t>, avšak nelze předjímat její kroky a aktivní předjednání nemuselo být zárukou následného schválení návrhu programového dokumentu OPŽP.</w:t>
      </w:r>
    </w:p>
    <w:p w14:paraId="6BE33CF0" w14:textId="71F277D4" w:rsidR="00C7537F" w:rsidRPr="00C7537F" w:rsidRDefault="005614C4" w:rsidP="0011333E">
      <w:pPr>
        <w:pStyle w:val="TextKP"/>
        <w:rPr>
          <w:b/>
          <w:bCs/>
        </w:rPr>
      </w:pPr>
      <w:r w:rsidRPr="00AF0902">
        <w:rPr>
          <w:b/>
          <w:bCs/>
        </w:rPr>
        <w:lastRenderedPageBreak/>
        <w:t>Poskytování finanční pomoci na vyrovnání nárůstu nákladů na energie pro domácnosti, které čerpají příspěvek na bydlení, nemá přímý vliv na zlepšení kvality ovzduší</w:t>
      </w:r>
      <w:r w:rsidR="00AB0250">
        <w:rPr>
          <w:b/>
          <w:bCs/>
        </w:rPr>
        <w:t>, neboť nepodporuje konkrétní výměny zdrojů vytápění.</w:t>
      </w:r>
    </w:p>
    <w:p w14:paraId="5E6A4F68" w14:textId="23BD1147" w:rsidR="00FC07A6" w:rsidRPr="009F75A3" w:rsidRDefault="00FC07A6" w:rsidP="0011333E">
      <w:pPr>
        <w:pStyle w:val="TextKP"/>
        <w:keepNext/>
        <w:numPr>
          <w:ilvl w:val="0"/>
          <w:numId w:val="45"/>
        </w:numPr>
        <w:spacing w:before="240" w:after="120"/>
        <w:ind w:left="284" w:hanging="284"/>
        <w:outlineLvl w:val="1"/>
        <w:rPr>
          <w:b/>
        </w:rPr>
      </w:pPr>
      <w:r w:rsidRPr="009F75A3">
        <w:rPr>
          <w:b/>
        </w:rPr>
        <w:t>Plnění imisních limitů</w:t>
      </w:r>
    </w:p>
    <w:p w14:paraId="3E925ED8" w14:textId="3472CF72" w:rsidR="00C5233F" w:rsidRDefault="00FC07A6" w:rsidP="00FC07A6">
      <w:pPr>
        <w:pStyle w:val="TextKP"/>
        <w:rPr>
          <w:lang w:eastAsia="cs-CZ"/>
        </w:rPr>
      </w:pPr>
      <w:bookmarkStart w:id="15" w:name="_Hlk164160371"/>
      <w:r>
        <w:rPr>
          <w:lang w:eastAsia="cs-CZ"/>
        </w:rPr>
        <w:t>Cílem MŽP ukotveném ve strategických dokumentech</w:t>
      </w:r>
      <w:r w:rsidR="003B01D6">
        <w:rPr>
          <w:rStyle w:val="Znakapoznpodarou"/>
          <w:lang w:eastAsia="cs-CZ"/>
        </w:rPr>
        <w:footnoteReference w:id="28"/>
      </w:r>
      <w:r>
        <w:rPr>
          <w:lang w:eastAsia="cs-CZ"/>
        </w:rPr>
        <w:t xml:space="preserve"> schválených vládou v roce 2015 bylo dosažení imisních limitů stanovených v zákoně o ochraně ovzduší na celém území ČR do </w:t>
      </w:r>
      <w:r w:rsidR="003B01D6">
        <w:rPr>
          <w:lang w:eastAsia="cs-CZ"/>
        </w:rPr>
        <w:t xml:space="preserve">konce </w:t>
      </w:r>
      <w:r w:rsidRPr="007720E6">
        <w:rPr>
          <w:lang w:eastAsia="cs-CZ"/>
        </w:rPr>
        <w:t>roku 2020.</w:t>
      </w:r>
    </w:p>
    <w:p w14:paraId="338D2840" w14:textId="4217AA33" w:rsidR="006267CB" w:rsidRDefault="006267CB" w:rsidP="00E71339">
      <w:pPr>
        <w:pStyle w:val="TextKP"/>
        <w:spacing w:after="120"/>
        <w:rPr>
          <w:lang w:eastAsia="cs-CZ"/>
        </w:rPr>
      </w:pPr>
      <w:r>
        <w:rPr>
          <w:lang w:eastAsia="cs-CZ"/>
        </w:rPr>
        <w:t>Podmínkou dosažení stanoveného cíle byla zejména realizace opatření obsažených v NPSE a PZKO financovaná mj. z PO 2 OPŽP a NZÚ.</w:t>
      </w:r>
    </w:p>
    <w:p w14:paraId="6FF9A0ED" w14:textId="69B33847" w:rsidR="002D33FC" w:rsidRPr="0059045E" w:rsidRDefault="0059045E" w:rsidP="00553C6A">
      <w:pPr>
        <w:pStyle w:val="TextKP"/>
        <w:spacing w:after="120"/>
        <w:rPr>
          <w:b/>
          <w:color w:val="AF1953"/>
          <w:spacing w:val="-3"/>
        </w:rPr>
      </w:pPr>
      <w:r w:rsidRPr="0059045E">
        <w:rPr>
          <w:b/>
          <w:color w:val="AF1953"/>
        </w:rPr>
        <w:t xml:space="preserve">→ </w:t>
      </w:r>
      <w:r w:rsidR="002D33FC" w:rsidRPr="0059045E">
        <w:rPr>
          <w:b/>
          <w:color w:val="AF1953"/>
          <w:spacing w:val="-3"/>
        </w:rPr>
        <w:t xml:space="preserve">Cíl </w:t>
      </w:r>
      <w:r w:rsidR="006267CB">
        <w:rPr>
          <w:b/>
          <w:color w:val="AF1953"/>
          <w:spacing w:val="-3"/>
        </w:rPr>
        <w:t xml:space="preserve">dosažení imisních limitů do konce roku 2020 </w:t>
      </w:r>
      <w:r w:rsidR="002D33FC" w:rsidRPr="0059045E">
        <w:rPr>
          <w:b/>
          <w:color w:val="AF1953"/>
          <w:spacing w:val="-3"/>
        </w:rPr>
        <w:t>nebyl naplněn.</w:t>
      </w:r>
      <w:r w:rsidR="006267CB">
        <w:rPr>
          <w:b/>
          <w:color w:val="AF1953"/>
          <w:spacing w:val="-3"/>
        </w:rPr>
        <w:t xml:space="preserve"> </w:t>
      </w:r>
    </w:p>
    <w:p w14:paraId="76423EFA" w14:textId="1DAB5324" w:rsidR="00776162" w:rsidRDefault="00FC07A6" w:rsidP="006B5270">
      <w:pPr>
        <w:pStyle w:val="TextKP"/>
        <w:spacing w:before="80"/>
        <w:rPr>
          <w:b/>
          <w:spacing w:val="-1"/>
        </w:rPr>
      </w:pPr>
      <w:r w:rsidRPr="008A5ABD">
        <w:rPr>
          <w:b/>
          <w:spacing w:val="-1"/>
        </w:rPr>
        <w:t>NKÚ na základě</w:t>
      </w:r>
      <w:r w:rsidR="00553C6A">
        <w:rPr>
          <w:b/>
          <w:spacing w:val="-1"/>
        </w:rPr>
        <w:t xml:space="preserve"> </w:t>
      </w:r>
      <w:r w:rsidRPr="008A5ABD">
        <w:rPr>
          <w:b/>
          <w:spacing w:val="-1"/>
        </w:rPr>
        <w:t xml:space="preserve">dat ČHMÚ vyhodnotil, že ke splnění vytyčeného cíle nedošlo. V roce 2020 nebyly na </w:t>
      </w:r>
      <w:r w:rsidR="002C0DD1">
        <w:rPr>
          <w:b/>
          <w:spacing w:val="-1"/>
        </w:rPr>
        <w:t xml:space="preserve">části </w:t>
      </w:r>
      <w:r w:rsidRPr="008A5ABD">
        <w:rPr>
          <w:b/>
          <w:spacing w:val="-1"/>
        </w:rPr>
        <w:t xml:space="preserve">území ČR </w:t>
      </w:r>
      <w:r w:rsidR="003E4666">
        <w:rPr>
          <w:b/>
          <w:spacing w:val="-1"/>
        </w:rPr>
        <w:t xml:space="preserve">plněny </w:t>
      </w:r>
      <w:r w:rsidRPr="008A5ABD">
        <w:rPr>
          <w:b/>
          <w:spacing w:val="-1"/>
        </w:rPr>
        <w:t>imisní limity pro průměrné roční koncentrace PM</w:t>
      </w:r>
      <w:r w:rsidRPr="008A5ABD">
        <w:rPr>
          <w:b/>
          <w:spacing w:val="-1"/>
          <w:vertAlign w:val="subscript"/>
        </w:rPr>
        <w:t xml:space="preserve">2,5 </w:t>
      </w:r>
      <w:r w:rsidRPr="008A5ABD">
        <w:rPr>
          <w:b/>
          <w:spacing w:val="-1"/>
        </w:rPr>
        <w:t xml:space="preserve">a </w:t>
      </w:r>
      <w:r w:rsidR="00A32942">
        <w:rPr>
          <w:b/>
          <w:spacing w:val="-1"/>
        </w:rPr>
        <w:t>B(a)P</w:t>
      </w:r>
      <w:r w:rsidRPr="008A5ABD">
        <w:rPr>
          <w:b/>
          <w:spacing w:val="-1"/>
        </w:rPr>
        <w:t xml:space="preserve"> a pro průměrné denní koncentrace PM</w:t>
      </w:r>
      <w:r w:rsidRPr="008A5ABD">
        <w:rPr>
          <w:b/>
          <w:spacing w:val="-1"/>
          <w:vertAlign w:val="subscript"/>
        </w:rPr>
        <w:t>10</w:t>
      </w:r>
      <w:r w:rsidRPr="008A5ABD">
        <w:rPr>
          <w:b/>
          <w:spacing w:val="-1"/>
        </w:rPr>
        <w:t xml:space="preserve">. Imisní limity nebyly v roce 2020 </w:t>
      </w:r>
      <w:r w:rsidR="003E4666">
        <w:rPr>
          <w:b/>
          <w:spacing w:val="-1"/>
        </w:rPr>
        <w:t>ani</w:t>
      </w:r>
      <w:r w:rsidRPr="008A5ABD">
        <w:rPr>
          <w:b/>
          <w:spacing w:val="-1"/>
        </w:rPr>
        <w:t xml:space="preserve"> v následujících letech </w:t>
      </w:r>
      <w:r w:rsidR="00F57D3A">
        <w:rPr>
          <w:b/>
          <w:spacing w:val="-1"/>
        </w:rPr>
        <w:t xml:space="preserve">2021 a 2022 </w:t>
      </w:r>
      <w:r w:rsidRPr="008A5ABD">
        <w:rPr>
          <w:b/>
          <w:spacing w:val="-1"/>
        </w:rPr>
        <w:t>plněny zejména v aglomeraci Ostrava/Karviná/Frýdek-Místek a v zónách Střední Morava a </w:t>
      </w:r>
      <w:proofErr w:type="spellStart"/>
      <w:r w:rsidRPr="008A5ABD">
        <w:rPr>
          <w:b/>
          <w:spacing w:val="-1"/>
        </w:rPr>
        <w:t>Moravskoslezsko</w:t>
      </w:r>
      <w:proofErr w:type="spellEnd"/>
      <w:r w:rsidRPr="008A5ABD">
        <w:rPr>
          <w:b/>
          <w:spacing w:val="-1"/>
        </w:rPr>
        <w:t>.</w:t>
      </w:r>
    </w:p>
    <w:p w14:paraId="419B4451" w14:textId="2DEE2669" w:rsidR="00776162" w:rsidRDefault="00776162" w:rsidP="00776162">
      <w:pPr>
        <w:pStyle w:val="TextKP"/>
      </w:pPr>
      <w:r w:rsidRPr="00776162">
        <w:t>Z provedených analýz zdrojů znečištění ovzduší vyplývá, že příspěvek zahraničních zdrojů na území ČR se na většině území může pohybovat mezi 30 % až 50 % ročního průměru PM</w:t>
      </w:r>
      <w:r w:rsidRPr="00776162">
        <w:rPr>
          <w:vertAlign w:val="subscript"/>
        </w:rPr>
        <w:t>10</w:t>
      </w:r>
      <w:r w:rsidRPr="00776162">
        <w:t xml:space="preserve"> a</w:t>
      </w:r>
      <w:r w:rsidR="00553C6A">
        <w:t> </w:t>
      </w:r>
      <w:r w:rsidRPr="00776162">
        <w:t>40</w:t>
      </w:r>
      <w:r w:rsidR="00553C6A">
        <w:t> </w:t>
      </w:r>
      <w:r w:rsidRPr="00776162">
        <w:t>% až 60 % ročního průměru PM</w:t>
      </w:r>
      <w:r w:rsidRPr="00776162">
        <w:rPr>
          <w:vertAlign w:val="subscript"/>
        </w:rPr>
        <w:t>2,5</w:t>
      </w:r>
      <w:r w:rsidRPr="00776162">
        <w:t>.</w:t>
      </w:r>
      <w:r w:rsidRPr="002D56FA">
        <w:t xml:space="preserve">Podrobnější data k nedodrženým </w:t>
      </w:r>
      <w:r>
        <w:t>imisním limitům</w:t>
      </w:r>
      <w:r w:rsidRPr="002D56FA">
        <w:t xml:space="preserve"> jsou uvedeny v příloze č. 2 </w:t>
      </w:r>
      <w:r w:rsidR="00553C6A">
        <w:t xml:space="preserve">tohoto </w:t>
      </w:r>
      <w:r w:rsidRPr="002D56FA">
        <w:t>kontrolního závěru.</w:t>
      </w:r>
      <w:bookmarkStart w:id="16" w:name="_Hlk161136708"/>
      <w:bookmarkEnd w:id="15"/>
    </w:p>
    <w:p w14:paraId="3ADB4EA0" w14:textId="55B672AE" w:rsidR="00652E0F" w:rsidRDefault="00652E0F" w:rsidP="006B5270">
      <w:pPr>
        <w:pStyle w:val="TextKP"/>
        <w:spacing w:before="80"/>
      </w:pPr>
      <w:r>
        <w:t xml:space="preserve">Vývoj </w:t>
      </w:r>
      <w:r w:rsidRPr="002D56FA">
        <w:t>hodnocených ukazatel</w:t>
      </w:r>
      <w:r>
        <w:t>ů (</w:t>
      </w:r>
      <w:r w:rsidRPr="002D56FA">
        <w:t>rozloh</w:t>
      </w:r>
      <w:r>
        <w:t>a</w:t>
      </w:r>
      <w:r w:rsidRPr="002D56FA">
        <w:t xml:space="preserve"> plochy ČR v %, na které nebyl dodržen některý z</w:t>
      </w:r>
      <w:r>
        <w:t xml:space="preserve"> imisních limitů; </w:t>
      </w:r>
      <w:r w:rsidRPr="002D56FA">
        <w:t xml:space="preserve">podíl obyvatel, kteří žijí ve vymezených oblastech s překročením </w:t>
      </w:r>
      <w:r>
        <w:t>imisního limitu)</w:t>
      </w:r>
      <w:r w:rsidRPr="002D56FA">
        <w:t xml:space="preserve"> </w:t>
      </w:r>
      <w:r>
        <w:t>za roky</w:t>
      </w:r>
      <w:r w:rsidRPr="002D56FA">
        <w:t xml:space="preserve"> 2013 až 2022 je uveden v tabulce č. </w:t>
      </w:r>
      <w:r w:rsidR="00C5233F">
        <w:t>5</w:t>
      </w:r>
      <w:r w:rsidRPr="002D56FA">
        <w:t>.</w:t>
      </w:r>
    </w:p>
    <w:p w14:paraId="11978C7F" w14:textId="3A8EE2B4" w:rsidR="00FC07A6" w:rsidRPr="00E71339" w:rsidRDefault="00FC07A6" w:rsidP="00E71339">
      <w:pPr>
        <w:pStyle w:val="Titulek"/>
        <w:tabs>
          <w:tab w:val="right" w:pos="9072"/>
        </w:tabs>
        <w:spacing w:after="40"/>
        <w:rPr>
          <w:b/>
          <w:u w:val="single"/>
        </w:rPr>
      </w:pPr>
      <w:r w:rsidRPr="00E71339">
        <w:rPr>
          <w:b/>
        </w:rPr>
        <w:t xml:space="preserve">Tabulka č. </w:t>
      </w:r>
      <w:r w:rsidRPr="00E71339">
        <w:rPr>
          <w:b/>
        </w:rPr>
        <w:fldChar w:fldCharType="begin"/>
      </w:r>
      <w:r w:rsidRPr="00E71339">
        <w:rPr>
          <w:b/>
        </w:rPr>
        <w:instrText xml:space="preserve"> SEQ Tabulka_č. \* ARABIC </w:instrText>
      </w:r>
      <w:r w:rsidRPr="00E71339">
        <w:rPr>
          <w:b/>
        </w:rPr>
        <w:fldChar w:fldCharType="separate"/>
      </w:r>
      <w:r w:rsidR="000D2E96">
        <w:rPr>
          <w:b/>
          <w:noProof/>
        </w:rPr>
        <w:t>5</w:t>
      </w:r>
      <w:r w:rsidRPr="00E71339">
        <w:rPr>
          <w:b/>
          <w:noProof/>
        </w:rPr>
        <w:fldChar w:fldCharType="end"/>
      </w:r>
      <w:r w:rsidRPr="00E71339">
        <w:rPr>
          <w:b/>
        </w:rPr>
        <w:t>: Nedodržení IL v letech 2013–2021 bez zahrnutí O</w:t>
      </w:r>
      <w:r w:rsidRPr="00E71339">
        <w:rPr>
          <w:b/>
          <w:vertAlign w:val="subscript"/>
        </w:rPr>
        <w:t>3</w:t>
      </w:r>
      <w:r w:rsidRPr="00E71339">
        <w:rPr>
          <w:b/>
          <w:vertAlign w:val="subscript"/>
        </w:rPr>
        <w:tab/>
      </w:r>
      <w:r w:rsidRPr="00E71339">
        <w:rPr>
          <w:b/>
        </w:rPr>
        <w:t>(% plochy; % obyvatel)</w:t>
      </w:r>
    </w:p>
    <w:tbl>
      <w:tblPr>
        <w:tblW w:w="5000" w:type="pct"/>
        <w:tblCellMar>
          <w:left w:w="70" w:type="dxa"/>
          <w:right w:w="70" w:type="dxa"/>
        </w:tblCellMar>
        <w:tblLook w:val="04A0" w:firstRow="1" w:lastRow="0" w:firstColumn="1" w:lastColumn="0" w:noHBand="0" w:noVBand="1"/>
      </w:tblPr>
      <w:tblGrid>
        <w:gridCol w:w="2263"/>
        <w:gridCol w:w="679"/>
        <w:gridCol w:w="680"/>
        <w:gridCol w:w="680"/>
        <w:gridCol w:w="680"/>
        <w:gridCol w:w="680"/>
        <w:gridCol w:w="680"/>
        <w:gridCol w:w="680"/>
        <w:gridCol w:w="680"/>
        <w:gridCol w:w="680"/>
        <w:gridCol w:w="680"/>
      </w:tblGrid>
      <w:tr w:rsidR="00FC07A6" w:rsidRPr="00E71339" w14:paraId="569B08D9" w14:textId="77777777" w:rsidTr="00E71339">
        <w:trPr>
          <w:trHeight w:val="255"/>
        </w:trPr>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DF5A2A0" w14:textId="19DDDA4E" w:rsidR="00FC07A6" w:rsidRPr="00E71339" w:rsidRDefault="00FC07A6" w:rsidP="00E71339">
            <w:pPr>
              <w:jc w:val="center"/>
              <w:rPr>
                <w:rFonts w:ascii="Calibri" w:eastAsia="Times New Roman" w:hAnsi="Calibri" w:cs="Calibri"/>
                <w:b/>
                <w:bCs/>
                <w:color w:val="000000"/>
                <w:sz w:val="20"/>
                <w:szCs w:val="20"/>
                <w:lang w:eastAsia="cs-CZ"/>
              </w:rPr>
            </w:pPr>
            <w:r w:rsidRPr="00E71339">
              <w:rPr>
                <w:rFonts w:ascii="Calibri" w:eastAsia="Times New Roman" w:hAnsi="Calibri" w:cs="Calibri"/>
                <w:b/>
                <w:bCs/>
                <w:color w:val="000000"/>
                <w:sz w:val="20"/>
                <w:szCs w:val="20"/>
                <w:lang w:eastAsia="cs-CZ"/>
              </w:rPr>
              <w:t>ČR celkem</w:t>
            </w:r>
          </w:p>
        </w:tc>
        <w:tc>
          <w:tcPr>
            <w:tcW w:w="375"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36CD7B3" w14:textId="77777777" w:rsidR="00FC07A6" w:rsidRPr="00E71339" w:rsidRDefault="00FC07A6" w:rsidP="00E71339">
            <w:pPr>
              <w:jc w:val="center"/>
              <w:rPr>
                <w:rFonts w:ascii="Calibri" w:eastAsia="Times New Roman" w:hAnsi="Calibri" w:cs="Calibri"/>
                <w:b/>
                <w:bCs/>
                <w:color w:val="000000"/>
                <w:sz w:val="20"/>
                <w:szCs w:val="20"/>
                <w:lang w:eastAsia="cs-CZ"/>
              </w:rPr>
            </w:pPr>
            <w:r w:rsidRPr="00E71339">
              <w:rPr>
                <w:rFonts w:ascii="Calibri" w:eastAsia="Times New Roman" w:hAnsi="Calibri" w:cs="Calibri"/>
                <w:b/>
                <w:bCs/>
                <w:color w:val="000000"/>
                <w:sz w:val="20"/>
                <w:szCs w:val="20"/>
                <w:lang w:eastAsia="cs-CZ"/>
              </w:rPr>
              <w:t>2013</w:t>
            </w:r>
          </w:p>
        </w:tc>
        <w:tc>
          <w:tcPr>
            <w:tcW w:w="375" w:type="pct"/>
            <w:tcBorders>
              <w:top w:val="single" w:sz="4" w:space="0" w:color="auto"/>
              <w:left w:val="nil"/>
              <w:bottom w:val="single" w:sz="4" w:space="0" w:color="auto"/>
              <w:right w:val="single" w:sz="4" w:space="0" w:color="auto"/>
            </w:tcBorders>
            <w:shd w:val="clear" w:color="auto" w:fill="F2F2F2"/>
            <w:noWrap/>
            <w:vAlign w:val="center"/>
            <w:hideMark/>
          </w:tcPr>
          <w:p w14:paraId="119BC65F" w14:textId="77777777" w:rsidR="00FC07A6" w:rsidRPr="00E71339" w:rsidRDefault="00FC07A6" w:rsidP="00E71339">
            <w:pPr>
              <w:jc w:val="center"/>
              <w:rPr>
                <w:rFonts w:ascii="Calibri" w:eastAsia="Times New Roman" w:hAnsi="Calibri" w:cs="Calibri"/>
                <w:b/>
                <w:bCs/>
                <w:color w:val="000000"/>
                <w:sz w:val="20"/>
                <w:szCs w:val="20"/>
                <w:lang w:eastAsia="cs-CZ"/>
              </w:rPr>
            </w:pPr>
            <w:r w:rsidRPr="00E71339">
              <w:rPr>
                <w:rFonts w:ascii="Calibri" w:eastAsia="Times New Roman" w:hAnsi="Calibri" w:cs="Calibri"/>
                <w:b/>
                <w:bCs/>
                <w:color w:val="000000"/>
                <w:sz w:val="20"/>
                <w:szCs w:val="20"/>
                <w:lang w:eastAsia="cs-CZ"/>
              </w:rPr>
              <w:t>2014</w:t>
            </w:r>
          </w:p>
        </w:tc>
        <w:tc>
          <w:tcPr>
            <w:tcW w:w="375" w:type="pct"/>
            <w:tcBorders>
              <w:top w:val="single" w:sz="4" w:space="0" w:color="auto"/>
              <w:left w:val="nil"/>
              <w:bottom w:val="single" w:sz="4" w:space="0" w:color="auto"/>
              <w:right w:val="single" w:sz="4" w:space="0" w:color="auto"/>
            </w:tcBorders>
            <w:shd w:val="clear" w:color="auto" w:fill="F2F2F2"/>
            <w:noWrap/>
            <w:vAlign w:val="center"/>
            <w:hideMark/>
          </w:tcPr>
          <w:p w14:paraId="2015E3E9" w14:textId="77777777" w:rsidR="00FC07A6" w:rsidRPr="00E71339" w:rsidRDefault="00FC07A6" w:rsidP="00E71339">
            <w:pPr>
              <w:jc w:val="center"/>
              <w:rPr>
                <w:rFonts w:ascii="Calibri" w:eastAsia="Times New Roman" w:hAnsi="Calibri" w:cs="Calibri"/>
                <w:b/>
                <w:bCs/>
                <w:color w:val="000000"/>
                <w:sz w:val="20"/>
                <w:szCs w:val="20"/>
                <w:lang w:eastAsia="cs-CZ"/>
              </w:rPr>
            </w:pPr>
            <w:r w:rsidRPr="00E71339">
              <w:rPr>
                <w:rFonts w:ascii="Calibri" w:eastAsia="Times New Roman" w:hAnsi="Calibri" w:cs="Calibri"/>
                <w:b/>
                <w:bCs/>
                <w:color w:val="000000"/>
                <w:sz w:val="20"/>
                <w:szCs w:val="20"/>
                <w:lang w:eastAsia="cs-CZ"/>
              </w:rPr>
              <w:t>2015</w:t>
            </w:r>
          </w:p>
        </w:tc>
        <w:tc>
          <w:tcPr>
            <w:tcW w:w="375" w:type="pct"/>
            <w:tcBorders>
              <w:top w:val="single" w:sz="4" w:space="0" w:color="auto"/>
              <w:left w:val="nil"/>
              <w:bottom w:val="single" w:sz="4" w:space="0" w:color="auto"/>
              <w:right w:val="single" w:sz="4" w:space="0" w:color="auto"/>
            </w:tcBorders>
            <w:shd w:val="clear" w:color="auto" w:fill="F2F2F2"/>
            <w:noWrap/>
            <w:vAlign w:val="center"/>
            <w:hideMark/>
          </w:tcPr>
          <w:p w14:paraId="02D51A5F" w14:textId="77777777" w:rsidR="00FC07A6" w:rsidRPr="00E71339" w:rsidRDefault="00FC07A6" w:rsidP="00E71339">
            <w:pPr>
              <w:jc w:val="center"/>
              <w:rPr>
                <w:rFonts w:ascii="Calibri" w:eastAsia="Times New Roman" w:hAnsi="Calibri" w:cs="Calibri"/>
                <w:b/>
                <w:bCs/>
                <w:color w:val="000000"/>
                <w:sz w:val="20"/>
                <w:szCs w:val="20"/>
                <w:lang w:eastAsia="cs-CZ"/>
              </w:rPr>
            </w:pPr>
            <w:r w:rsidRPr="00E71339">
              <w:rPr>
                <w:rFonts w:ascii="Calibri" w:eastAsia="Times New Roman" w:hAnsi="Calibri" w:cs="Calibri"/>
                <w:b/>
                <w:bCs/>
                <w:color w:val="000000"/>
                <w:sz w:val="20"/>
                <w:szCs w:val="20"/>
                <w:lang w:eastAsia="cs-CZ"/>
              </w:rPr>
              <w:t>2016</w:t>
            </w:r>
          </w:p>
        </w:tc>
        <w:tc>
          <w:tcPr>
            <w:tcW w:w="375" w:type="pct"/>
            <w:tcBorders>
              <w:top w:val="single" w:sz="4" w:space="0" w:color="auto"/>
              <w:left w:val="nil"/>
              <w:bottom w:val="single" w:sz="4" w:space="0" w:color="auto"/>
              <w:right w:val="single" w:sz="4" w:space="0" w:color="auto"/>
            </w:tcBorders>
            <w:shd w:val="clear" w:color="auto" w:fill="F2F2F2"/>
            <w:noWrap/>
            <w:vAlign w:val="center"/>
            <w:hideMark/>
          </w:tcPr>
          <w:p w14:paraId="44614EE1" w14:textId="77777777" w:rsidR="00FC07A6" w:rsidRPr="00E71339" w:rsidRDefault="00FC07A6" w:rsidP="00E71339">
            <w:pPr>
              <w:jc w:val="center"/>
              <w:rPr>
                <w:rFonts w:ascii="Calibri" w:eastAsia="Times New Roman" w:hAnsi="Calibri" w:cs="Calibri"/>
                <w:b/>
                <w:bCs/>
                <w:color w:val="000000"/>
                <w:sz w:val="20"/>
                <w:szCs w:val="20"/>
                <w:lang w:eastAsia="cs-CZ"/>
              </w:rPr>
            </w:pPr>
            <w:r w:rsidRPr="00E71339">
              <w:rPr>
                <w:rFonts w:ascii="Calibri" w:eastAsia="Times New Roman" w:hAnsi="Calibri" w:cs="Calibri"/>
                <w:b/>
                <w:bCs/>
                <w:color w:val="000000"/>
                <w:sz w:val="20"/>
                <w:szCs w:val="20"/>
                <w:lang w:eastAsia="cs-CZ"/>
              </w:rPr>
              <w:t>2017</w:t>
            </w:r>
          </w:p>
        </w:tc>
        <w:tc>
          <w:tcPr>
            <w:tcW w:w="375" w:type="pct"/>
            <w:tcBorders>
              <w:top w:val="single" w:sz="4" w:space="0" w:color="auto"/>
              <w:left w:val="nil"/>
              <w:bottom w:val="single" w:sz="4" w:space="0" w:color="auto"/>
              <w:right w:val="single" w:sz="4" w:space="0" w:color="auto"/>
            </w:tcBorders>
            <w:shd w:val="clear" w:color="auto" w:fill="F2F2F2"/>
            <w:noWrap/>
            <w:vAlign w:val="center"/>
            <w:hideMark/>
          </w:tcPr>
          <w:p w14:paraId="641BF990" w14:textId="77777777" w:rsidR="00FC07A6" w:rsidRPr="00E71339" w:rsidRDefault="00FC07A6" w:rsidP="00E71339">
            <w:pPr>
              <w:jc w:val="center"/>
              <w:rPr>
                <w:rFonts w:ascii="Calibri" w:eastAsia="Times New Roman" w:hAnsi="Calibri" w:cs="Calibri"/>
                <w:b/>
                <w:bCs/>
                <w:color w:val="000000"/>
                <w:sz w:val="20"/>
                <w:szCs w:val="20"/>
                <w:lang w:eastAsia="cs-CZ"/>
              </w:rPr>
            </w:pPr>
            <w:r w:rsidRPr="00E71339">
              <w:rPr>
                <w:rFonts w:ascii="Calibri" w:eastAsia="Times New Roman" w:hAnsi="Calibri" w:cs="Calibri"/>
                <w:b/>
                <w:bCs/>
                <w:color w:val="000000"/>
                <w:sz w:val="20"/>
                <w:szCs w:val="20"/>
                <w:lang w:eastAsia="cs-CZ"/>
              </w:rPr>
              <w:t>2018</w:t>
            </w:r>
          </w:p>
        </w:tc>
        <w:tc>
          <w:tcPr>
            <w:tcW w:w="375" w:type="pct"/>
            <w:tcBorders>
              <w:top w:val="single" w:sz="4" w:space="0" w:color="auto"/>
              <w:left w:val="nil"/>
              <w:bottom w:val="single" w:sz="4" w:space="0" w:color="auto"/>
              <w:right w:val="single" w:sz="4" w:space="0" w:color="auto"/>
            </w:tcBorders>
            <w:shd w:val="clear" w:color="auto" w:fill="F2F2F2"/>
            <w:noWrap/>
            <w:vAlign w:val="center"/>
            <w:hideMark/>
          </w:tcPr>
          <w:p w14:paraId="2041E268" w14:textId="77777777" w:rsidR="00FC07A6" w:rsidRPr="00E71339" w:rsidRDefault="00FC07A6" w:rsidP="00E71339">
            <w:pPr>
              <w:jc w:val="center"/>
              <w:rPr>
                <w:rFonts w:ascii="Calibri" w:eastAsia="Times New Roman" w:hAnsi="Calibri" w:cs="Calibri"/>
                <w:b/>
                <w:bCs/>
                <w:color w:val="000000"/>
                <w:sz w:val="20"/>
                <w:szCs w:val="20"/>
                <w:lang w:eastAsia="cs-CZ"/>
              </w:rPr>
            </w:pPr>
            <w:r w:rsidRPr="00E71339">
              <w:rPr>
                <w:rFonts w:ascii="Calibri" w:eastAsia="Times New Roman" w:hAnsi="Calibri" w:cs="Calibri"/>
                <w:b/>
                <w:bCs/>
                <w:color w:val="000000"/>
                <w:sz w:val="20"/>
                <w:szCs w:val="20"/>
                <w:lang w:eastAsia="cs-CZ"/>
              </w:rPr>
              <w:t>2019</w:t>
            </w:r>
          </w:p>
        </w:tc>
        <w:tc>
          <w:tcPr>
            <w:tcW w:w="375" w:type="pct"/>
            <w:tcBorders>
              <w:top w:val="single" w:sz="4" w:space="0" w:color="auto"/>
              <w:left w:val="nil"/>
              <w:bottom w:val="single" w:sz="4" w:space="0" w:color="auto"/>
              <w:right w:val="single" w:sz="4" w:space="0" w:color="auto"/>
            </w:tcBorders>
            <w:shd w:val="clear" w:color="auto" w:fill="F2F2F2"/>
            <w:noWrap/>
            <w:vAlign w:val="center"/>
            <w:hideMark/>
          </w:tcPr>
          <w:p w14:paraId="1A976223" w14:textId="77777777" w:rsidR="00FC07A6" w:rsidRPr="00E71339" w:rsidRDefault="00FC07A6" w:rsidP="00E71339">
            <w:pPr>
              <w:jc w:val="center"/>
              <w:rPr>
                <w:rFonts w:ascii="Calibri" w:eastAsia="Times New Roman" w:hAnsi="Calibri" w:cs="Calibri"/>
                <w:b/>
                <w:bCs/>
                <w:color w:val="000000"/>
                <w:sz w:val="20"/>
                <w:szCs w:val="20"/>
                <w:lang w:eastAsia="cs-CZ"/>
              </w:rPr>
            </w:pPr>
            <w:r w:rsidRPr="00E71339">
              <w:rPr>
                <w:rFonts w:ascii="Calibri" w:eastAsia="Times New Roman" w:hAnsi="Calibri" w:cs="Calibri"/>
                <w:b/>
                <w:bCs/>
                <w:color w:val="000000"/>
                <w:sz w:val="20"/>
                <w:szCs w:val="20"/>
                <w:lang w:eastAsia="cs-CZ"/>
              </w:rPr>
              <w:t>2020</w:t>
            </w:r>
          </w:p>
        </w:tc>
        <w:tc>
          <w:tcPr>
            <w:tcW w:w="375" w:type="pct"/>
            <w:tcBorders>
              <w:top w:val="single" w:sz="4" w:space="0" w:color="auto"/>
              <w:left w:val="nil"/>
              <w:bottom w:val="single" w:sz="4" w:space="0" w:color="auto"/>
              <w:right w:val="single" w:sz="4" w:space="0" w:color="auto"/>
            </w:tcBorders>
            <w:shd w:val="clear" w:color="auto" w:fill="F2F2F2"/>
            <w:noWrap/>
            <w:vAlign w:val="center"/>
            <w:hideMark/>
          </w:tcPr>
          <w:p w14:paraId="3C9C8E97" w14:textId="77777777" w:rsidR="00FC07A6" w:rsidRPr="00E71339" w:rsidRDefault="00FC07A6" w:rsidP="00E71339">
            <w:pPr>
              <w:jc w:val="center"/>
              <w:rPr>
                <w:rFonts w:ascii="Calibri" w:eastAsia="Times New Roman" w:hAnsi="Calibri" w:cs="Calibri"/>
                <w:b/>
                <w:bCs/>
                <w:color w:val="000000"/>
                <w:sz w:val="20"/>
                <w:szCs w:val="20"/>
                <w:lang w:eastAsia="cs-CZ"/>
              </w:rPr>
            </w:pPr>
            <w:r w:rsidRPr="00E71339">
              <w:rPr>
                <w:rFonts w:ascii="Calibri" w:eastAsia="Times New Roman" w:hAnsi="Calibri" w:cs="Calibri"/>
                <w:b/>
                <w:bCs/>
                <w:color w:val="000000"/>
                <w:sz w:val="20"/>
                <w:szCs w:val="20"/>
                <w:lang w:eastAsia="cs-CZ"/>
              </w:rPr>
              <w:t>2021</w:t>
            </w:r>
          </w:p>
        </w:tc>
        <w:tc>
          <w:tcPr>
            <w:tcW w:w="375" w:type="pct"/>
            <w:tcBorders>
              <w:top w:val="single" w:sz="4" w:space="0" w:color="auto"/>
              <w:left w:val="nil"/>
              <w:bottom w:val="single" w:sz="4" w:space="0" w:color="auto"/>
              <w:right w:val="single" w:sz="4" w:space="0" w:color="auto"/>
            </w:tcBorders>
            <w:shd w:val="clear" w:color="auto" w:fill="F2F2F2"/>
            <w:vAlign w:val="center"/>
          </w:tcPr>
          <w:p w14:paraId="5D170155" w14:textId="77777777" w:rsidR="00FC07A6" w:rsidRPr="00E71339" w:rsidRDefault="00FC07A6" w:rsidP="00E71339">
            <w:pPr>
              <w:jc w:val="center"/>
              <w:rPr>
                <w:rFonts w:ascii="Calibri" w:eastAsia="Times New Roman" w:hAnsi="Calibri" w:cs="Calibri"/>
                <w:b/>
                <w:bCs/>
                <w:color w:val="000000"/>
                <w:sz w:val="20"/>
                <w:szCs w:val="20"/>
                <w:lang w:eastAsia="cs-CZ"/>
              </w:rPr>
            </w:pPr>
            <w:r w:rsidRPr="00E71339">
              <w:rPr>
                <w:rFonts w:ascii="Calibri" w:eastAsia="Times New Roman" w:hAnsi="Calibri" w:cs="Calibri"/>
                <w:b/>
                <w:bCs/>
                <w:color w:val="000000"/>
                <w:sz w:val="20"/>
                <w:szCs w:val="20"/>
                <w:lang w:eastAsia="cs-CZ"/>
              </w:rPr>
              <w:t>2022</w:t>
            </w:r>
          </w:p>
        </w:tc>
      </w:tr>
      <w:tr w:rsidR="00FC07A6" w:rsidRPr="00E71339" w14:paraId="3D3C9198" w14:textId="77777777" w:rsidTr="00E71339">
        <w:trPr>
          <w:trHeight w:val="255"/>
        </w:trPr>
        <w:tc>
          <w:tcPr>
            <w:tcW w:w="1249" w:type="pct"/>
            <w:tcBorders>
              <w:top w:val="nil"/>
              <w:left w:val="single" w:sz="4" w:space="0" w:color="auto"/>
              <w:bottom w:val="single" w:sz="4" w:space="0" w:color="auto"/>
              <w:right w:val="single" w:sz="4" w:space="0" w:color="auto"/>
            </w:tcBorders>
            <w:shd w:val="clear" w:color="auto" w:fill="auto"/>
            <w:noWrap/>
            <w:vAlign w:val="center"/>
          </w:tcPr>
          <w:p w14:paraId="14AF470C" w14:textId="77777777" w:rsidR="00FC07A6" w:rsidRPr="00E71339" w:rsidRDefault="00FC07A6" w:rsidP="00E71339">
            <w:pPr>
              <w:rPr>
                <w:rFonts w:ascii="Calibri" w:eastAsia="Times New Roman" w:hAnsi="Calibri" w:cs="Calibri"/>
                <w:bCs/>
                <w:color w:val="000000"/>
                <w:sz w:val="20"/>
                <w:szCs w:val="20"/>
                <w:lang w:eastAsia="cs-CZ"/>
              </w:rPr>
            </w:pPr>
            <w:r w:rsidRPr="00E71339">
              <w:rPr>
                <w:rFonts w:ascii="Calibri" w:eastAsia="Times New Roman" w:hAnsi="Calibri" w:cs="Calibri"/>
                <w:bCs/>
                <w:color w:val="000000"/>
                <w:sz w:val="20"/>
                <w:szCs w:val="20"/>
                <w:lang w:eastAsia="cs-CZ"/>
              </w:rPr>
              <w:t>Území s překročeným IL</w:t>
            </w:r>
          </w:p>
        </w:tc>
        <w:tc>
          <w:tcPr>
            <w:tcW w:w="375" w:type="pct"/>
            <w:tcBorders>
              <w:top w:val="nil"/>
              <w:left w:val="single" w:sz="4" w:space="0" w:color="auto"/>
              <w:bottom w:val="single" w:sz="4" w:space="0" w:color="auto"/>
              <w:right w:val="single" w:sz="4" w:space="0" w:color="auto"/>
            </w:tcBorders>
            <w:shd w:val="clear" w:color="auto" w:fill="auto"/>
            <w:noWrap/>
            <w:vAlign w:val="center"/>
          </w:tcPr>
          <w:p w14:paraId="23456583" w14:textId="77777777" w:rsidR="00FC07A6" w:rsidRPr="00E71339" w:rsidRDefault="00FC07A6" w:rsidP="00E71339">
            <w:pPr>
              <w:ind w:right="57"/>
              <w:jc w:val="right"/>
              <w:rPr>
                <w:rFonts w:ascii="Calibri" w:eastAsia="Times New Roman" w:hAnsi="Calibri" w:cs="Calibri"/>
                <w:color w:val="000000"/>
                <w:sz w:val="20"/>
                <w:szCs w:val="20"/>
                <w:lang w:eastAsia="cs-CZ"/>
              </w:rPr>
            </w:pPr>
            <w:r w:rsidRPr="00E71339">
              <w:rPr>
                <w:rFonts w:ascii="Calibri" w:eastAsia="Times New Roman" w:hAnsi="Calibri" w:cs="Calibri"/>
                <w:bCs/>
                <w:color w:val="000000"/>
                <w:sz w:val="20"/>
                <w:szCs w:val="20"/>
                <w:lang w:eastAsia="cs-CZ"/>
              </w:rPr>
              <w:t>17,5</w:t>
            </w:r>
          </w:p>
        </w:tc>
        <w:tc>
          <w:tcPr>
            <w:tcW w:w="375" w:type="pct"/>
            <w:tcBorders>
              <w:top w:val="nil"/>
              <w:left w:val="nil"/>
              <w:bottom w:val="single" w:sz="4" w:space="0" w:color="auto"/>
              <w:right w:val="single" w:sz="4" w:space="0" w:color="auto"/>
            </w:tcBorders>
            <w:shd w:val="clear" w:color="auto" w:fill="auto"/>
            <w:noWrap/>
            <w:vAlign w:val="center"/>
          </w:tcPr>
          <w:p w14:paraId="38541760" w14:textId="77777777" w:rsidR="00FC07A6" w:rsidRPr="00E71339" w:rsidRDefault="00FC07A6" w:rsidP="00E71339">
            <w:pPr>
              <w:ind w:right="57"/>
              <w:jc w:val="right"/>
              <w:rPr>
                <w:rFonts w:ascii="Calibri" w:eastAsia="Times New Roman" w:hAnsi="Calibri" w:cs="Calibri"/>
                <w:color w:val="000000"/>
                <w:sz w:val="20"/>
                <w:szCs w:val="20"/>
                <w:lang w:eastAsia="cs-CZ"/>
              </w:rPr>
            </w:pPr>
            <w:r w:rsidRPr="00E71339">
              <w:rPr>
                <w:rFonts w:ascii="Calibri" w:eastAsia="Times New Roman" w:hAnsi="Calibri" w:cs="Calibri"/>
                <w:bCs/>
                <w:color w:val="000000"/>
                <w:sz w:val="20"/>
                <w:szCs w:val="20"/>
                <w:lang w:eastAsia="cs-CZ"/>
              </w:rPr>
              <w:t>13,5</w:t>
            </w:r>
          </w:p>
        </w:tc>
        <w:tc>
          <w:tcPr>
            <w:tcW w:w="375" w:type="pct"/>
            <w:tcBorders>
              <w:top w:val="nil"/>
              <w:left w:val="nil"/>
              <w:bottom w:val="single" w:sz="4" w:space="0" w:color="auto"/>
              <w:right w:val="single" w:sz="4" w:space="0" w:color="auto"/>
            </w:tcBorders>
            <w:shd w:val="clear" w:color="auto" w:fill="auto"/>
            <w:noWrap/>
            <w:vAlign w:val="center"/>
          </w:tcPr>
          <w:p w14:paraId="0D118DFA" w14:textId="77777777" w:rsidR="00FC07A6" w:rsidRPr="00E71339" w:rsidRDefault="00FC07A6" w:rsidP="00E71339">
            <w:pPr>
              <w:ind w:right="57"/>
              <w:jc w:val="right"/>
              <w:rPr>
                <w:rFonts w:ascii="Calibri" w:eastAsia="Times New Roman" w:hAnsi="Calibri" w:cs="Calibri"/>
                <w:color w:val="000000"/>
                <w:sz w:val="20"/>
                <w:szCs w:val="20"/>
                <w:lang w:eastAsia="cs-CZ"/>
              </w:rPr>
            </w:pPr>
            <w:r w:rsidRPr="00E71339">
              <w:rPr>
                <w:rFonts w:ascii="Calibri" w:eastAsia="Times New Roman" w:hAnsi="Calibri" w:cs="Calibri"/>
                <w:bCs/>
                <w:color w:val="000000"/>
                <w:sz w:val="20"/>
                <w:szCs w:val="20"/>
                <w:lang w:eastAsia="cs-CZ"/>
              </w:rPr>
              <w:t>20,4</w:t>
            </w:r>
          </w:p>
        </w:tc>
        <w:tc>
          <w:tcPr>
            <w:tcW w:w="375" w:type="pct"/>
            <w:tcBorders>
              <w:top w:val="nil"/>
              <w:left w:val="nil"/>
              <w:bottom w:val="single" w:sz="4" w:space="0" w:color="auto"/>
              <w:right w:val="single" w:sz="4" w:space="0" w:color="auto"/>
            </w:tcBorders>
            <w:shd w:val="clear" w:color="auto" w:fill="auto"/>
            <w:noWrap/>
            <w:vAlign w:val="center"/>
          </w:tcPr>
          <w:p w14:paraId="758069F6" w14:textId="77777777" w:rsidR="00FC07A6" w:rsidRPr="00E71339" w:rsidRDefault="00FC07A6" w:rsidP="00E71339">
            <w:pPr>
              <w:ind w:right="57"/>
              <w:jc w:val="right"/>
              <w:rPr>
                <w:rFonts w:ascii="Calibri" w:eastAsia="Times New Roman" w:hAnsi="Calibri" w:cs="Calibri"/>
                <w:color w:val="000000"/>
                <w:sz w:val="20"/>
                <w:szCs w:val="20"/>
                <w:lang w:eastAsia="cs-CZ"/>
              </w:rPr>
            </w:pPr>
            <w:r w:rsidRPr="00E71339">
              <w:rPr>
                <w:rFonts w:ascii="Calibri" w:eastAsia="Times New Roman" w:hAnsi="Calibri" w:cs="Calibri"/>
                <w:bCs/>
                <w:color w:val="000000"/>
                <w:sz w:val="20"/>
                <w:szCs w:val="20"/>
                <w:lang w:eastAsia="cs-CZ"/>
              </w:rPr>
              <w:t>25,9</w:t>
            </w:r>
          </w:p>
        </w:tc>
        <w:tc>
          <w:tcPr>
            <w:tcW w:w="375" w:type="pct"/>
            <w:tcBorders>
              <w:top w:val="nil"/>
              <w:left w:val="nil"/>
              <w:bottom w:val="single" w:sz="4" w:space="0" w:color="auto"/>
              <w:right w:val="single" w:sz="4" w:space="0" w:color="auto"/>
            </w:tcBorders>
            <w:shd w:val="clear" w:color="auto" w:fill="auto"/>
            <w:noWrap/>
            <w:vAlign w:val="center"/>
          </w:tcPr>
          <w:p w14:paraId="5A6E00C5" w14:textId="77777777" w:rsidR="00FC07A6" w:rsidRPr="00E71339" w:rsidRDefault="00FC07A6" w:rsidP="00E71339">
            <w:pPr>
              <w:ind w:right="57"/>
              <w:jc w:val="right"/>
              <w:rPr>
                <w:rFonts w:ascii="Calibri" w:eastAsia="Times New Roman" w:hAnsi="Calibri" w:cs="Calibri"/>
                <w:color w:val="000000"/>
                <w:sz w:val="20"/>
                <w:szCs w:val="20"/>
                <w:lang w:eastAsia="cs-CZ"/>
              </w:rPr>
            </w:pPr>
            <w:r w:rsidRPr="00E71339">
              <w:rPr>
                <w:rFonts w:ascii="Calibri" w:eastAsia="Times New Roman" w:hAnsi="Calibri" w:cs="Calibri"/>
                <w:bCs/>
                <w:color w:val="000000"/>
                <w:sz w:val="20"/>
                <w:szCs w:val="20"/>
                <w:lang w:eastAsia="cs-CZ"/>
              </w:rPr>
              <w:t>26,2</w:t>
            </w:r>
          </w:p>
        </w:tc>
        <w:tc>
          <w:tcPr>
            <w:tcW w:w="375" w:type="pct"/>
            <w:tcBorders>
              <w:top w:val="nil"/>
              <w:left w:val="nil"/>
              <w:bottom w:val="single" w:sz="4" w:space="0" w:color="auto"/>
              <w:right w:val="single" w:sz="4" w:space="0" w:color="auto"/>
            </w:tcBorders>
            <w:shd w:val="clear" w:color="auto" w:fill="auto"/>
            <w:noWrap/>
            <w:vAlign w:val="center"/>
          </w:tcPr>
          <w:p w14:paraId="49206FE4" w14:textId="77777777" w:rsidR="00FC07A6" w:rsidRPr="00E71339" w:rsidRDefault="00FC07A6" w:rsidP="00E71339">
            <w:pPr>
              <w:ind w:right="57"/>
              <w:jc w:val="right"/>
              <w:rPr>
                <w:rFonts w:ascii="Calibri" w:eastAsia="Times New Roman" w:hAnsi="Calibri" w:cs="Calibri"/>
                <w:color w:val="000000"/>
                <w:sz w:val="20"/>
                <w:szCs w:val="20"/>
                <w:lang w:eastAsia="cs-CZ"/>
              </w:rPr>
            </w:pPr>
            <w:r w:rsidRPr="00E71339">
              <w:rPr>
                <w:rFonts w:ascii="Calibri" w:eastAsia="Times New Roman" w:hAnsi="Calibri" w:cs="Calibri"/>
                <w:bCs/>
                <w:color w:val="000000"/>
                <w:sz w:val="20"/>
                <w:szCs w:val="20"/>
                <w:lang w:eastAsia="cs-CZ"/>
              </w:rPr>
              <w:t>12,7</w:t>
            </w:r>
          </w:p>
        </w:tc>
        <w:tc>
          <w:tcPr>
            <w:tcW w:w="375" w:type="pct"/>
            <w:tcBorders>
              <w:top w:val="nil"/>
              <w:left w:val="nil"/>
              <w:bottom w:val="single" w:sz="4" w:space="0" w:color="auto"/>
              <w:right w:val="single" w:sz="4" w:space="0" w:color="auto"/>
            </w:tcBorders>
            <w:shd w:val="clear" w:color="auto" w:fill="auto"/>
            <w:noWrap/>
            <w:vAlign w:val="center"/>
          </w:tcPr>
          <w:p w14:paraId="7C714DFF" w14:textId="77777777" w:rsidR="00FC07A6" w:rsidRPr="00E71339" w:rsidRDefault="00FC07A6" w:rsidP="00E71339">
            <w:pPr>
              <w:ind w:right="57"/>
              <w:jc w:val="right"/>
              <w:rPr>
                <w:rFonts w:ascii="Calibri" w:eastAsia="Times New Roman" w:hAnsi="Calibri" w:cs="Calibri"/>
                <w:color w:val="000000"/>
                <w:sz w:val="20"/>
                <w:szCs w:val="20"/>
                <w:lang w:eastAsia="cs-CZ"/>
              </w:rPr>
            </w:pPr>
            <w:r w:rsidRPr="00E71339">
              <w:rPr>
                <w:rFonts w:ascii="Calibri" w:eastAsia="Times New Roman" w:hAnsi="Calibri" w:cs="Calibri"/>
                <w:bCs/>
                <w:color w:val="000000"/>
                <w:sz w:val="20"/>
                <w:szCs w:val="20"/>
                <w:lang w:eastAsia="cs-CZ"/>
              </w:rPr>
              <w:t>8,4</w:t>
            </w:r>
          </w:p>
        </w:tc>
        <w:tc>
          <w:tcPr>
            <w:tcW w:w="375" w:type="pct"/>
            <w:tcBorders>
              <w:top w:val="nil"/>
              <w:left w:val="nil"/>
              <w:bottom w:val="single" w:sz="4" w:space="0" w:color="auto"/>
              <w:right w:val="single" w:sz="4" w:space="0" w:color="auto"/>
            </w:tcBorders>
            <w:shd w:val="clear" w:color="auto" w:fill="auto"/>
            <w:noWrap/>
            <w:vAlign w:val="center"/>
          </w:tcPr>
          <w:p w14:paraId="21CA3D7A" w14:textId="77777777" w:rsidR="00FC07A6" w:rsidRPr="00E71339" w:rsidRDefault="00FC07A6" w:rsidP="00E71339">
            <w:pPr>
              <w:ind w:right="57"/>
              <w:jc w:val="right"/>
              <w:rPr>
                <w:rFonts w:ascii="Calibri" w:eastAsia="Times New Roman" w:hAnsi="Calibri" w:cs="Calibri"/>
                <w:color w:val="000000"/>
                <w:sz w:val="20"/>
                <w:szCs w:val="20"/>
                <w:lang w:eastAsia="cs-CZ"/>
              </w:rPr>
            </w:pPr>
            <w:r w:rsidRPr="00E71339">
              <w:rPr>
                <w:rFonts w:ascii="Calibri" w:eastAsia="Times New Roman" w:hAnsi="Calibri" w:cs="Calibri"/>
                <w:bCs/>
                <w:color w:val="000000"/>
                <w:sz w:val="20"/>
                <w:szCs w:val="20"/>
                <w:lang w:eastAsia="cs-CZ"/>
              </w:rPr>
              <w:t>4,6</w:t>
            </w:r>
          </w:p>
        </w:tc>
        <w:tc>
          <w:tcPr>
            <w:tcW w:w="375" w:type="pct"/>
            <w:tcBorders>
              <w:top w:val="nil"/>
              <w:left w:val="nil"/>
              <w:bottom w:val="single" w:sz="4" w:space="0" w:color="auto"/>
              <w:right w:val="single" w:sz="4" w:space="0" w:color="auto"/>
            </w:tcBorders>
            <w:shd w:val="clear" w:color="auto" w:fill="auto"/>
            <w:noWrap/>
            <w:vAlign w:val="center"/>
          </w:tcPr>
          <w:p w14:paraId="66A54550" w14:textId="77777777" w:rsidR="00FC07A6" w:rsidRPr="00E71339" w:rsidRDefault="00FC07A6" w:rsidP="00E71339">
            <w:pPr>
              <w:ind w:right="57"/>
              <w:jc w:val="right"/>
              <w:rPr>
                <w:rFonts w:ascii="Calibri" w:eastAsia="Times New Roman" w:hAnsi="Calibri" w:cs="Calibri"/>
                <w:color w:val="000000"/>
                <w:sz w:val="20"/>
                <w:szCs w:val="20"/>
                <w:lang w:eastAsia="cs-CZ"/>
              </w:rPr>
            </w:pPr>
            <w:r w:rsidRPr="00E71339">
              <w:rPr>
                <w:rFonts w:ascii="Calibri" w:eastAsia="Times New Roman" w:hAnsi="Calibri" w:cs="Calibri"/>
                <w:bCs/>
                <w:color w:val="000000"/>
                <w:sz w:val="20"/>
                <w:szCs w:val="20"/>
                <w:lang w:eastAsia="cs-CZ"/>
              </w:rPr>
              <w:t>6,1</w:t>
            </w:r>
          </w:p>
        </w:tc>
        <w:tc>
          <w:tcPr>
            <w:tcW w:w="375" w:type="pct"/>
            <w:tcBorders>
              <w:top w:val="nil"/>
              <w:left w:val="nil"/>
              <w:bottom w:val="single" w:sz="4" w:space="0" w:color="auto"/>
              <w:right w:val="single" w:sz="4" w:space="0" w:color="auto"/>
            </w:tcBorders>
            <w:vAlign w:val="center"/>
          </w:tcPr>
          <w:p w14:paraId="6D60FFA7" w14:textId="77777777" w:rsidR="00FC07A6" w:rsidRPr="00E71339" w:rsidRDefault="00FC07A6" w:rsidP="00E71339">
            <w:pPr>
              <w:ind w:right="57"/>
              <w:jc w:val="right"/>
              <w:rPr>
                <w:rFonts w:ascii="Calibri" w:eastAsia="Times New Roman" w:hAnsi="Calibri" w:cs="Calibri"/>
                <w:bCs/>
                <w:color w:val="000000"/>
                <w:sz w:val="20"/>
                <w:szCs w:val="20"/>
                <w:lang w:eastAsia="cs-CZ"/>
              </w:rPr>
            </w:pPr>
            <w:r w:rsidRPr="00E71339">
              <w:rPr>
                <w:rFonts w:ascii="Calibri" w:eastAsia="Times New Roman" w:hAnsi="Calibri" w:cs="Calibri"/>
                <w:bCs/>
                <w:color w:val="000000"/>
                <w:sz w:val="20"/>
                <w:szCs w:val="20"/>
                <w:lang w:eastAsia="cs-CZ"/>
              </w:rPr>
              <w:t>1,7</w:t>
            </w:r>
          </w:p>
        </w:tc>
      </w:tr>
      <w:tr w:rsidR="00FC07A6" w:rsidRPr="00E71339" w14:paraId="4EBE1E5E" w14:textId="77777777" w:rsidTr="00E71339">
        <w:trPr>
          <w:trHeight w:val="255"/>
        </w:trPr>
        <w:tc>
          <w:tcPr>
            <w:tcW w:w="1249" w:type="pct"/>
            <w:tcBorders>
              <w:top w:val="nil"/>
              <w:left w:val="single" w:sz="4" w:space="0" w:color="auto"/>
              <w:bottom w:val="single" w:sz="4" w:space="0" w:color="auto"/>
              <w:right w:val="single" w:sz="4" w:space="0" w:color="auto"/>
            </w:tcBorders>
            <w:shd w:val="clear" w:color="auto" w:fill="auto"/>
            <w:noWrap/>
            <w:vAlign w:val="center"/>
          </w:tcPr>
          <w:p w14:paraId="57AA4BA9" w14:textId="77777777" w:rsidR="00FC07A6" w:rsidRPr="00E71339" w:rsidRDefault="00FC07A6" w:rsidP="00E71339">
            <w:pPr>
              <w:rPr>
                <w:rFonts w:ascii="Calibri" w:eastAsia="Times New Roman" w:hAnsi="Calibri" w:cs="Calibri"/>
                <w:bCs/>
                <w:color w:val="000000"/>
                <w:sz w:val="20"/>
                <w:szCs w:val="20"/>
                <w:lang w:eastAsia="cs-CZ"/>
              </w:rPr>
            </w:pPr>
            <w:r w:rsidRPr="00E71339">
              <w:rPr>
                <w:rFonts w:ascii="Calibri" w:eastAsia="Times New Roman" w:hAnsi="Calibri" w:cs="Calibri"/>
                <w:bCs/>
                <w:color w:val="000000"/>
                <w:sz w:val="20"/>
                <w:szCs w:val="20"/>
                <w:lang w:eastAsia="cs-CZ"/>
              </w:rPr>
              <w:t>Zasaženo obyvatel</w:t>
            </w:r>
          </w:p>
        </w:tc>
        <w:tc>
          <w:tcPr>
            <w:tcW w:w="375" w:type="pct"/>
            <w:tcBorders>
              <w:top w:val="nil"/>
              <w:left w:val="single" w:sz="4" w:space="0" w:color="auto"/>
              <w:bottom w:val="single" w:sz="4" w:space="0" w:color="auto"/>
              <w:right w:val="single" w:sz="4" w:space="0" w:color="auto"/>
            </w:tcBorders>
            <w:shd w:val="clear" w:color="auto" w:fill="auto"/>
            <w:noWrap/>
            <w:vAlign w:val="center"/>
          </w:tcPr>
          <w:p w14:paraId="3B256B43" w14:textId="77777777" w:rsidR="00FC07A6" w:rsidRPr="00E71339" w:rsidRDefault="00FC07A6" w:rsidP="00E71339">
            <w:pPr>
              <w:ind w:right="57"/>
              <w:jc w:val="right"/>
              <w:rPr>
                <w:rFonts w:ascii="Calibri" w:eastAsia="Times New Roman" w:hAnsi="Calibri" w:cs="Calibri"/>
                <w:bCs/>
                <w:color w:val="000000"/>
                <w:sz w:val="20"/>
                <w:szCs w:val="20"/>
                <w:lang w:eastAsia="cs-CZ"/>
              </w:rPr>
            </w:pPr>
            <w:r w:rsidRPr="00E71339">
              <w:rPr>
                <w:rFonts w:ascii="Calibri" w:eastAsia="Times New Roman" w:hAnsi="Calibri" w:cs="Calibri"/>
                <w:color w:val="000000"/>
                <w:sz w:val="20"/>
                <w:szCs w:val="20"/>
                <w:lang w:eastAsia="cs-CZ"/>
              </w:rPr>
              <w:t>54,6</w:t>
            </w:r>
          </w:p>
        </w:tc>
        <w:tc>
          <w:tcPr>
            <w:tcW w:w="375" w:type="pct"/>
            <w:tcBorders>
              <w:top w:val="nil"/>
              <w:left w:val="nil"/>
              <w:bottom w:val="single" w:sz="4" w:space="0" w:color="auto"/>
              <w:right w:val="single" w:sz="4" w:space="0" w:color="auto"/>
            </w:tcBorders>
            <w:shd w:val="clear" w:color="auto" w:fill="auto"/>
            <w:noWrap/>
            <w:vAlign w:val="center"/>
          </w:tcPr>
          <w:p w14:paraId="2590AD27" w14:textId="77777777" w:rsidR="00FC07A6" w:rsidRPr="00E71339" w:rsidRDefault="00FC07A6" w:rsidP="00E71339">
            <w:pPr>
              <w:ind w:right="57"/>
              <w:jc w:val="right"/>
              <w:rPr>
                <w:rFonts w:ascii="Calibri" w:eastAsia="Times New Roman" w:hAnsi="Calibri" w:cs="Calibri"/>
                <w:bCs/>
                <w:color w:val="000000"/>
                <w:sz w:val="20"/>
                <w:szCs w:val="20"/>
                <w:lang w:eastAsia="cs-CZ"/>
              </w:rPr>
            </w:pPr>
            <w:r w:rsidRPr="00E71339">
              <w:rPr>
                <w:rFonts w:ascii="Calibri" w:eastAsia="Times New Roman" w:hAnsi="Calibri" w:cs="Calibri"/>
                <w:color w:val="000000"/>
                <w:sz w:val="20"/>
                <w:szCs w:val="20"/>
                <w:lang w:eastAsia="cs-CZ"/>
              </w:rPr>
              <w:t>54,2</w:t>
            </w:r>
          </w:p>
        </w:tc>
        <w:tc>
          <w:tcPr>
            <w:tcW w:w="375" w:type="pct"/>
            <w:tcBorders>
              <w:top w:val="nil"/>
              <w:left w:val="nil"/>
              <w:bottom w:val="single" w:sz="4" w:space="0" w:color="auto"/>
              <w:right w:val="single" w:sz="4" w:space="0" w:color="auto"/>
            </w:tcBorders>
            <w:shd w:val="clear" w:color="auto" w:fill="auto"/>
            <w:noWrap/>
            <w:vAlign w:val="center"/>
          </w:tcPr>
          <w:p w14:paraId="3A4F7368" w14:textId="77777777" w:rsidR="00FC07A6" w:rsidRPr="00E71339" w:rsidRDefault="00FC07A6" w:rsidP="00E71339">
            <w:pPr>
              <w:ind w:right="57"/>
              <w:jc w:val="right"/>
              <w:rPr>
                <w:rFonts w:ascii="Calibri" w:eastAsia="Times New Roman" w:hAnsi="Calibri" w:cs="Calibri"/>
                <w:bCs/>
                <w:color w:val="000000"/>
                <w:sz w:val="20"/>
                <w:szCs w:val="20"/>
                <w:lang w:eastAsia="cs-CZ"/>
              </w:rPr>
            </w:pPr>
            <w:r w:rsidRPr="00E71339">
              <w:rPr>
                <w:rFonts w:ascii="Calibri" w:eastAsia="Times New Roman" w:hAnsi="Calibri" w:cs="Calibri"/>
                <w:color w:val="000000"/>
                <w:sz w:val="20"/>
                <w:szCs w:val="20"/>
                <w:lang w:eastAsia="cs-CZ"/>
              </w:rPr>
              <w:t>51,5</w:t>
            </w:r>
          </w:p>
        </w:tc>
        <w:tc>
          <w:tcPr>
            <w:tcW w:w="375" w:type="pct"/>
            <w:tcBorders>
              <w:top w:val="nil"/>
              <w:left w:val="nil"/>
              <w:bottom w:val="single" w:sz="4" w:space="0" w:color="auto"/>
              <w:right w:val="single" w:sz="4" w:space="0" w:color="auto"/>
            </w:tcBorders>
            <w:shd w:val="clear" w:color="auto" w:fill="auto"/>
            <w:noWrap/>
            <w:vAlign w:val="center"/>
          </w:tcPr>
          <w:p w14:paraId="150B2624" w14:textId="77777777" w:rsidR="00FC07A6" w:rsidRPr="00E71339" w:rsidRDefault="00FC07A6" w:rsidP="00582842">
            <w:pPr>
              <w:ind w:right="210"/>
              <w:jc w:val="right"/>
              <w:rPr>
                <w:rFonts w:ascii="Calibri" w:eastAsia="Times New Roman" w:hAnsi="Calibri" w:cs="Calibri"/>
                <w:bCs/>
                <w:color w:val="000000"/>
                <w:sz w:val="20"/>
                <w:szCs w:val="20"/>
                <w:lang w:eastAsia="cs-CZ"/>
              </w:rPr>
            </w:pPr>
            <w:r w:rsidRPr="00E71339">
              <w:rPr>
                <w:rFonts w:ascii="Calibri" w:eastAsia="Times New Roman" w:hAnsi="Calibri" w:cs="Calibri"/>
                <w:color w:val="000000"/>
                <w:sz w:val="20"/>
                <w:szCs w:val="20"/>
                <w:lang w:eastAsia="cs-CZ"/>
              </w:rPr>
              <w:t>56</w:t>
            </w:r>
          </w:p>
        </w:tc>
        <w:tc>
          <w:tcPr>
            <w:tcW w:w="375" w:type="pct"/>
            <w:tcBorders>
              <w:top w:val="nil"/>
              <w:left w:val="nil"/>
              <w:bottom w:val="single" w:sz="4" w:space="0" w:color="auto"/>
              <w:right w:val="single" w:sz="4" w:space="0" w:color="auto"/>
            </w:tcBorders>
            <w:shd w:val="clear" w:color="auto" w:fill="auto"/>
            <w:noWrap/>
            <w:vAlign w:val="center"/>
          </w:tcPr>
          <w:p w14:paraId="67C2DFE2" w14:textId="77777777" w:rsidR="00FC07A6" w:rsidRPr="00E71339" w:rsidRDefault="00FC07A6" w:rsidP="00582842">
            <w:pPr>
              <w:ind w:right="210"/>
              <w:jc w:val="right"/>
              <w:rPr>
                <w:rFonts w:ascii="Calibri" w:eastAsia="Times New Roman" w:hAnsi="Calibri" w:cs="Calibri"/>
                <w:bCs/>
                <w:color w:val="000000"/>
                <w:sz w:val="20"/>
                <w:szCs w:val="20"/>
                <w:lang w:eastAsia="cs-CZ"/>
              </w:rPr>
            </w:pPr>
            <w:r w:rsidRPr="00E71339">
              <w:rPr>
                <w:rFonts w:ascii="Calibri" w:eastAsia="Times New Roman" w:hAnsi="Calibri" w:cs="Calibri"/>
                <w:color w:val="000000"/>
                <w:sz w:val="20"/>
                <w:szCs w:val="20"/>
                <w:lang w:eastAsia="cs-CZ"/>
              </w:rPr>
              <w:t>62</w:t>
            </w:r>
          </w:p>
        </w:tc>
        <w:tc>
          <w:tcPr>
            <w:tcW w:w="375" w:type="pct"/>
            <w:tcBorders>
              <w:top w:val="nil"/>
              <w:left w:val="nil"/>
              <w:bottom w:val="single" w:sz="4" w:space="0" w:color="auto"/>
              <w:right w:val="single" w:sz="4" w:space="0" w:color="auto"/>
            </w:tcBorders>
            <w:shd w:val="clear" w:color="auto" w:fill="auto"/>
            <w:noWrap/>
            <w:vAlign w:val="center"/>
          </w:tcPr>
          <w:p w14:paraId="3A13D2C5" w14:textId="77777777" w:rsidR="00FC07A6" w:rsidRPr="00E71339" w:rsidRDefault="00FC07A6" w:rsidP="00582842">
            <w:pPr>
              <w:ind w:right="210"/>
              <w:jc w:val="right"/>
              <w:rPr>
                <w:rFonts w:ascii="Calibri" w:eastAsia="Times New Roman" w:hAnsi="Calibri" w:cs="Calibri"/>
                <w:bCs/>
                <w:color w:val="000000"/>
                <w:sz w:val="20"/>
                <w:szCs w:val="20"/>
                <w:lang w:eastAsia="cs-CZ"/>
              </w:rPr>
            </w:pPr>
            <w:r w:rsidRPr="00E71339">
              <w:rPr>
                <w:rFonts w:ascii="Calibri" w:eastAsia="Times New Roman" w:hAnsi="Calibri" w:cs="Calibri"/>
                <w:color w:val="000000"/>
                <w:sz w:val="20"/>
                <w:szCs w:val="20"/>
                <w:lang w:eastAsia="cs-CZ"/>
              </w:rPr>
              <w:t>36</w:t>
            </w:r>
          </w:p>
        </w:tc>
        <w:tc>
          <w:tcPr>
            <w:tcW w:w="375" w:type="pct"/>
            <w:tcBorders>
              <w:top w:val="nil"/>
              <w:left w:val="nil"/>
              <w:bottom w:val="single" w:sz="4" w:space="0" w:color="auto"/>
              <w:right w:val="single" w:sz="4" w:space="0" w:color="auto"/>
            </w:tcBorders>
            <w:shd w:val="clear" w:color="auto" w:fill="auto"/>
            <w:noWrap/>
            <w:vAlign w:val="center"/>
          </w:tcPr>
          <w:p w14:paraId="25899819" w14:textId="77777777" w:rsidR="00FC07A6" w:rsidRPr="00E71339" w:rsidRDefault="00FC07A6" w:rsidP="00E71339">
            <w:pPr>
              <w:ind w:right="57"/>
              <w:jc w:val="right"/>
              <w:rPr>
                <w:rFonts w:ascii="Calibri" w:eastAsia="Times New Roman" w:hAnsi="Calibri" w:cs="Calibri"/>
                <w:bCs/>
                <w:color w:val="000000"/>
                <w:sz w:val="20"/>
                <w:szCs w:val="20"/>
                <w:lang w:eastAsia="cs-CZ"/>
              </w:rPr>
            </w:pPr>
            <w:r w:rsidRPr="00E71339">
              <w:rPr>
                <w:rFonts w:ascii="Calibri" w:eastAsia="Times New Roman" w:hAnsi="Calibri" w:cs="Calibri"/>
                <w:color w:val="000000"/>
                <w:sz w:val="20"/>
                <w:szCs w:val="20"/>
                <w:lang w:eastAsia="cs-CZ"/>
              </w:rPr>
              <w:t>27,5</w:t>
            </w:r>
          </w:p>
        </w:tc>
        <w:tc>
          <w:tcPr>
            <w:tcW w:w="375" w:type="pct"/>
            <w:tcBorders>
              <w:top w:val="nil"/>
              <w:left w:val="nil"/>
              <w:bottom w:val="single" w:sz="4" w:space="0" w:color="auto"/>
              <w:right w:val="single" w:sz="4" w:space="0" w:color="auto"/>
            </w:tcBorders>
            <w:shd w:val="clear" w:color="auto" w:fill="auto"/>
            <w:noWrap/>
            <w:vAlign w:val="center"/>
          </w:tcPr>
          <w:p w14:paraId="2A9CCA54" w14:textId="77777777" w:rsidR="00FC07A6" w:rsidRPr="00E71339" w:rsidRDefault="00FC07A6" w:rsidP="00582842">
            <w:pPr>
              <w:ind w:right="210"/>
              <w:jc w:val="right"/>
              <w:rPr>
                <w:rFonts w:ascii="Calibri" w:eastAsia="Times New Roman" w:hAnsi="Calibri" w:cs="Calibri"/>
                <w:bCs/>
                <w:color w:val="000000"/>
                <w:sz w:val="20"/>
                <w:szCs w:val="20"/>
                <w:lang w:eastAsia="cs-CZ"/>
              </w:rPr>
            </w:pPr>
            <w:r w:rsidRPr="00E71339">
              <w:rPr>
                <w:rFonts w:ascii="Calibri" w:eastAsia="Times New Roman" w:hAnsi="Calibri" w:cs="Calibri"/>
                <w:color w:val="000000"/>
                <w:sz w:val="20"/>
                <w:szCs w:val="20"/>
                <w:lang w:eastAsia="cs-CZ"/>
              </w:rPr>
              <w:t>19</w:t>
            </w:r>
          </w:p>
        </w:tc>
        <w:tc>
          <w:tcPr>
            <w:tcW w:w="375" w:type="pct"/>
            <w:tcBorders>
              <w:top w:val="nil"/>
              <w:left w:val="nil"/>
              <w:bottom w:val="single" w:sz="4" w:space="0" w:color="auto"/>
              <w:right w:val="single" w:sz="4" w:space="0" w:color="auto"/>
            </w:tcBorders>
            <w:shd w:val="clear" w:color="auto" w:fill="auto"/>
            <w:noWrap/>
            <w:vAlign w:val="center"/>
          </w:tcPr>
          <w:p w14:paraId="5C0ACAC9" w14:textId="77777777" w:rsidR="00FC07A6" w:rsidRPr="00E71339" w:rsidRDefault="00FC07A6" w:rsidP="00E71339">
            <w:pPr>
              <w:ind w:right="57"/>
              <w:jc w:val="right"/>
              <w:rPr>
                <w:rFonts w:ascii="Calibri" w:eastAsia="Times New Roman" w:hAnsi="Calibri" w:cs="Calibri"/>
                <w:bCs/>
                <w:color w:val="000000"/>
                <w:sz w:val="20"/>
                <w:szCs w:val="20"/>
                <w:lang w:eastAsia="cs-CZ"/>
              </w:rPr>
            </w:pPr>
            <w:r w:rsidRPr="00E71339">
              <w:rPr>
                <w:rFonts w:ascii="Calibri" w:eastAsia="Times New Roman" w:hAnsi="Calibri" w:cs="Calibri"/>
                <w:color w:val="000000"/>
                <w:sz w:val="20"/>
                <w:szCs w:val="20"/>
                <w:lang w:eastAsia="cs-CZ"/>
              </w:rPr>
              <w:t>19,7</w:t>
            </w:r>
          </w:p>
        </w:tc>
        <w:tc>
          <w:tcPr>
            <w:tcW w:w="375" w:type="pct"/>
            <w:tcBorders>
              <w:top w:val="nil"/>
              <w:left w:val="nil"/>
              <w:bottom w:val="single" w:sz="4" w:space="0" w:color="auto"/>
              <w:right w:val="single" w:sz="4" w:space="0" w:color="auto"/>
            </w:tcBorders>
            <w:vAlign w:val="center"/>
          </w:tcPr>
          <w:p w14:paraId="25126BCB" w14:textId="77777777" w:rsidR="00FC07A6" w:rsidRPr="00E71339" w:rsidRDefault="00FC07A6" w:rsidP="00E71339">
            <w:pPr>
              <w:ind w:right="57"/>
              <w:jc w:val="right"/>
              <w:rPr>
                <w:rFonts w:ascii="Calibri" w:eastAsia="Times New Roman" w:hAnsi="Calibri" w:cs="Calibri"/>
                <w:bCs/>
                <w:color w:val="000000"/>
                <w:sz w:val="20"/>
                <w:szCs w:val="20"/>
                <w:lang w:eastAsia="cs-CZ"/>
              </w:rPr>
            </w:pPr>
            <w:r w:rsidRPr="00E71339">
              <w:rPr>
                <w:rFonts w:ascii="Calibri" w:eastAsia="Times New Roman" w:hAnsi="Calibri" w:cs="Calibri"/>
                <w:bCs/>
                <w:color w:val="000000"/>
                <w:sz w:val="20"/>
                <w:szCs w:val="20"/>
                <w:lang w:eastAsia="cs-CZ"/>
              </w:rPr>
              <w:t>11,7</w:t>
            </w:r>
          </w:p>
        </w:tc>
      </w:tr>
    </w:tbl>
    <w:p w14:paraId="6E9FCAE5" w14:textId="50A1403A" w:rsidR="00FC07A6" w:rsidRPr="00EA6B3C" w:rsidRDefault="00FC07A6" w:rsidP="00955553">
      <w:pPr>
        <w:pStyle w:val="Zdrojeapozn"/>
        <w:rPr>
          <w:b w:val="0"/>
        </w:rPr>
      </w:pPr>
      <w:r w:rsidRPr="00156FAF">
        <w:t>Zdroj</w:t>
      </w:r>
      <w:r w:rsidRPr="00BB4240">
        <w:t>:</w:t>
      </w:r>
      <w:r w:rsidR="00553C6A">
        <w:t xml:space="preserve"> </w:t>
      </w:r>
      <w:r w:rsidR="00553C6A" w:rsidRPr="00EA6B3C">
        <w:rPr>
          <w:b w:val="0"/>
        </w:rPr>
        <w:t>i</w:t>
      </w:r>
      <w:r w:rsidR="00664A04" w:rsidRPr="00EA6B3C">
        <w:rPr>
          <w:b w:val="0"/>
        </w:rPr>
        <w:t xml:space="preserve">nformace </w:t>
      </w:r>
      <w:r w:rsidRPr="00EA6B3C">
        <w:rPr>
          <w:b w:val="0"/>
        </w:rPr>
        <w:t>MŽP</w:t>
      </w:r>
      <w:r w:rsidR="00664A04" w:rsidRPr="00EA6B3C">
        <w:rPr>
          <w:b w:val="0"/>
        </w:rPr>
        <w:t xml:space="preserve"> a</w:t>
      </w:r>
      <w:r w:rsidRPr="00EA6B3C">
        <w:rPr>
          <w:b w:val="0"/>
        </w:rPr>
        <w:t xml:space="preserve"> ČHMÚ.</w:t>
      </w:r>
    </w:p>
    <w:bookmarkEnd w:id="16"/>
    <w:p w14:paraId="6DDB875D" w14:textId="4BD3CAEC" w:rsidR="00652E0F" w:rsidRDefault="00652E0F" w:rsidP="00652E0F">
      <w:pPr>
        <w:pStyle w:val="TextKP"/>
        <w:spacing w:before="80"/>
      </w:pPr>
      <w:r w:rsidRPr="0077707B">
        <w:t xml:space="preserve">Podle </w:t>
      </w:r>
      <w:r>
        <w:t xml:space="preserve">sledovaných </w:t>
      </w:r>
      <w:r w:rsidRPr="0077707B">
        <w:t>ukazatel</w:t>
      </w:r>
      <w:r>
        <w:t>ů pro hodnocení oblastí s překročením imisních limitů z hlediska ochrany lidského zdraví (</w:t>
      </w:r>
      <w:r w:rsidRPr="0077707B">
        <w:t xml:space="preserve">bez zahrnutí </w:t>
      </w:r>
      <w:r>
        <w:t>O</w:t>
      </w:r>
      <w:r w:rsidRPr="0008007E">
        <w:rPr>
          <w:vertAlign w:val="subscript"/>
        </w:rPr>
        <w:t>3</w:t>
      </w:r>
      <w:r w:rsidRPr="0077707B">
        <w:t>)</w:t>
      </w:r>
      <w:r>
        <w:t xml:space="preserve"> uvedených v tabulce č. </w:t>
      </w:r>
      <w:r w:rsidR="00A76FE3">
        <w:t>5</w:t>
      </w:r>
      <w:r>
        <w:t xml:space="preserve"> </w:t>
      </w:r>
      <w:r w:rsidRPr="0077707B">
        <w:t>je od roku 2018 patrné zlepšování kvality ovzduší</w:t>
      </w:r>
      <w:r>
        <w:t>.</w:t>
      </w:r>
    </w:p>
    <w:p w14:paraId="447A2DB9" w14:textId="6E83F500" w:rsidR="003B01D6" w:rsidRPr="0059045E" w:rsidRDefault="0059045E" w:rsidP="00E71339">
      <w:pPr>
        <w:pStyle w:val="TextKP"/>
        <w:spacing w:after="120"/>
        <w:rPr>
          <w:b/>
          <w:i/>
          <w:color w:val="AF1953"/>
          <w:spacing w:val="-3"/>
        </w:rPr>
      </w:pPr>
      <w:r w:rsidRPr="0059045E">
        <w:rPr>
          <w:b/>
          <w:i/>
          <w:color w:val="AF1953"/>
        </w:rPr>
        <w:t xml:space="preserve">→ </w:t>
      </w:r>
      <w:r w:rsidR="000C22A8" w:rsidRPr="0059045E">
        <w:rPr>
          <w:b/>
          <w:i/>
          <w:color w:val="AF1953"/>
          <w:spacing w:val="-3"/>
        </w:rPr>
        <w:t>Z </w:t>
      </w:r>
      <w:r w:rsidR="00441B1E" w:rsidRPr="0059045E">
        <w:rPr>
          <w:b/>
          <w:i/>
          <w:color w:val="AF1953"/>
          <w:spacing w:val="-3"/>
        </w:rPr>
        <w:t>pohledu doporučovaných limitů WHO je většina území ČR zatížena nadměrnými průměrnými ročními i denními koncentracemi PM</w:t>
      </w:r>
      <w:r w:rsidR="00441B1E" w:rsidRPr="0059045E">
        <w:rPr>
          <w:b/>
          <w:i/>
          <w:color w:val="AF1953"/>
          <w:spacing w:val="-3"/>
          <w:vertAlign w:val="subscript"/>
        </w:rPr>
        <w:t>2,5</w:t>
      </w:r>
      <w:r w:rsidR="009F75A3" w:rsidRPr="0059045E">
        <w:rPr>
          <w:b/>
          <w:i/>
          <w:color w:val="AF1953"/>
          <w:spacing w:val="-3"/>
        </w:rPr>
        <w:t>.</w:t>
      </w:r>
    </w:p>
    <w:p w14:paraId="0A5D21DB" w14:textId="10D9DE8D" w:rsidR="00FC07A6" w:rsidRPr="000E1C27" w:rsidRDefault="00FC07A6" w:rsidP="006B5270">
      <w:pPr>
        <w:pStyle w:val="TextKP"/>
        <w:spacing w:before="80"/>
        <w:rPr>
          <w:spacing w:val="-3"/>
        </w:rPr>
      </w:pPr>
      <w:bookmarkStart w:id="17" w:name="_Hlk149542883"/>
      <w:r w:rsidRPr="006B5270">
        <w:rPr>
          <w:spacing w:val="-3"/>
        </w:rPr>
        <w:t xml:space="preserve">Z hlediska lidského zdraví jsou vzhledem ke své schopnosti pronikat hlouběji do lidského </w:t>
      </w:r>
      <w:r w:rsidRPr="00C519A5">
        <w:rPr>
          <w:spacing w:val="-3"/>
        </w:rPr>
        <w:t>organismu problemati</w:t>
      </w:r>
      <w:r w:rsidR="002F3B4E">
        <w:rPr>
          <w:spacing w:val="-3"/>
        </w:rPr>
        <w:t>cké</w:t>
      </w:r>
      <w:r w:rsidR="002D33FC" w:rsidRPr="00C519A5">
        <w:rPr>
          <w:spacing w:val="-3"/>
        </w:rPr>
        <w:t xml:space="preserve"> prachové</w:t>
      </w:r>
      <w:r w:rsidRPr="00C519A5">
        <w:rPr>
          <w:spacing w:val="-3"/>
        </w:rPr>
        <w:t xml:space="preserve"> </w:t>
      </w:r>
      <w:r w:rsidR="007C393B" w:rsidRPr="00C519A5">
        <w:rPr>
          <w:spacing w:val="-3"/>
        </w:rPr>
        <w:t>částice</w:t>
      </w:r>
      <w:r w:rsidRPr="00C519A5">
        <w:rPr>
          <w:spacing w:val="-3"/>
        </w:rPr>
        <w:t xml:space="preserve"> PM</w:t>
      </w:r>
      <w:r w:rsidRPr="00C519A5">
        <w:rPr>
          <w:spacing w:val="-3"/>
          <w:vertAlign w:val="subscript"/>
        </w:rPr>
        <w:t>2,5</w:t>
      </w:r>
      <w:r w:rsidR="002D33FC" w:rsidRPr="00C519A5">
        <w:rPr>
          <w:spacing w:val="-3"/>
        </w:rPr>
        <w:t>, jejichž s</w:t>
      </w:r>
      <w:r w:rsidRPr="00C519A5">
        <w:rPr>
          <w:spacing w:val="-3"/>
        </w:rPr>
        <w:t>oučástí m</w:t>
      </w:r>
      <w:r w:rsidR="002D33FC" w:rsidRPr="00C519A5">
        <w:rPr>
          <w:spacing w:val="-3"/>
        </w:rPr>
        <w:t xml:space="preserve">ůže být i </w:t>
      </w:r>
      <w:r w:rsidR="00A32942" w:rsidRPr="00C519A5">
        <w:rPr>
          <w:spacing w:val="-3"/>
        </w:rPr>
        <w:t>B(a)P</w:t>
      </w:r>
      <w:bookmarkEnd w:id="17"/>
      <w:r w:rsidRPr="00C519A5">
        <w:rPr>
          <w:spacing w:val="-3"/>
        </w:rPr>
        <w:t xml:space="preserve">, který je většinou navázán právě na jemnou frakci </w:t>
      </w:r>
      <w:r w:rsidR="001671A5" w:rsidRPr="00C519A5">
        <w:rPr>
          <w:spacing w:val="-3"/>
        </w:rPr>
        <w:t xml:space="preserve">prachových </w:t>
      </w:r>
      <w:r w:rsidRPr="00C519A5">
        <w:rPr>
          <w:spacing w:val="-3"/>
        </w:rPr>
        <w:t>částic. Nejvýznamnějším zdrojem emisí PM</w:t>
      </w:r>
      <w:r w:rsidRPr="00C519A5">
        <w:rPr>
          <w:spacing w:val="-3"/>
          <w:vertAlign w:val="subscript"/>
        </w:rPr>
        <w:t>2,5</w:t>
      </w:r>
      <w:r w:rsidRPr="00C519A5">
        <w:rPr>
          <w:spacing w:val="-3"/>
        </w:rPr>
        <w:t xml:space="preserve"> a </w:t>
      </w:r>
      <w:r w:rsidR="00A32942" w:rsidRPr="00C519A5">
        <w:rPr>
          <w:spacing w:val="-3"/>
        </w:rPr>
        <w:t>B(a)P</w:t>
      </w:r>
      <w:r w:rsidRPr="00C519A5">
        <w:rPr>
          <w:spacing w:val="-3"/>
        </w:rPr>
        <w:t xml:space="preserve"> v ČR je vytápění domácností zahrnující spotřebu paliv pro vytápění, vaření a ohřev teplé vody, který představuje více než 83 % emisí PM</w:t>
      </w:r>
      <w:r w:rsidRPr="00C519A5">
        <w:rPr>
          <w:spacing w:val="-3"/>
          <w:vertAlign w:val="subscript"/>
        </w:rPr>
        <w:t>2,5</w:t>
      </w:r>
      <w:r w:rsidRPr="00C519A5">
        <w:rPr>
          <w:spacing w:val="-3"/>
        </w:rPr>
        <w:t xml:space="preserve"> a 95 % emisí </w:t>
      </w:r>
      <w:r w:rsidR="00A32942" w:rsidRPr="00C519A5">
        <w:rPr>
          <w:spacing w:val="-3"/>
        </w:rPr>
        <w:t>B(a)P</w:t>
      </w:r>
      <w:r w:rsidRPr="00C519A5">
        <w:rPr>
          <w:spacing w:val="-3"/>
        </w:rPr>
        <w:t>.</w:t>
      </w:r>
      <w:r w:rsidR="00C519A5" w:rsidRPr="00C519A5">
        <w:t xml:space="preserve"> </w:t>
      </w:r>
      <w:r w:rsidR="00C519A5" w:rsidRPr="00C519A5">
        <w:rPr>
          <w:spacing w:val="-3"/>
        </w:rPr>
        <w:t xml:space="preserve">Zákon č. 201/2012 Sb. ani </w:t>
      </w:r>
      <w:r w:rsidR="00582842">
        <w:rPr>
          <w:spacing w:val="-3"/>
        </w:rPr>
        <w:t>s</w:t>
      </w:r>
      <w:r w:rsidR="00C519A5" w:rsidRPr="00C519A5">
        <w:rPr>
          <w:spacing w:val="-3"/>
        </w:rPr>
        <w:t xml:space="preserve">měrnice 2008/50/ES </w:t>
      </w:r>
      <w:r w:rsidR="00C519A5">
        <w:rPr>
          <w:spacing w:val="-3"/>
        </w:rPr>
        <w:t xml:space="preserve">však </w:t>
      </w:r>
      <w:r w:rsidR="00C519A5" w:rsidRPr="00C519A5">
        <w:rPr>
          <w:spacing w:val="-3"/>
        </w:rPr>
        <w:t>v současnosti nestanovuje imisní limit pro průměrné denní koncentrace PM</w:t>
      </w:r>
      <w:r w:rsidR="00C519A5" w:rsidRPr="00C519A5">
        <w:rPr>
          <w:spacing w:val="-3"/>
          <w:vertAlign w:val="subscript"/>
        </w:rPr>
        <w:t>2,5</w:t>
      </w:r>
      <w:r w:rsidR="00C519A5" w:rsidRPr="00C519A5">
        <w:rPr>
          <w:spacing w:val="-3"/>
        </w:rPr>
        <w:t>.</w:t>
      </w:r>
    </w:p>
    <w:p w14:paraId="60C75FE7" w14:textId="072B5123" w:rsidR="00707C4C" w:rsidRDefault="00707C4C" w:rsidP="002D33FC">
      <w:pPr>
        <w:pStyle w:val="TextKP"/>
        <w:spacing w:before="80"/>
        <w:rPr>
          <w:spacing w:val="-3"/>
        </w:rPr>
      </w:pPr>
      <w:r>
        <w:rPr>
          <w:spacing w:val="-3"/>
        </w:rPr>
        <w:lastRenderedPageBreak/>
        <w:t>WHO</w:t>
      </w:r>
      <w:r w:rsidRPr="006B5270">
        <w:rPr>
          <w:spacing w:val="-3"/>
        </w:rPr>
        <w:t xml:space="preserve"> s přihlédnutím k nejnovějším vědeckým poznatkům aktualizovala v roce 2021 své pokyny a doporučení pro řízení kvality ovzduší včetně doporučovaných úrovní koncentrací pro klíčové látky znečišťující ovzduší mj.</w:t>
      </w:r>
      <w:r w:rsidR="00674BC5">
        <w:rPr>
          <w:spacing w:val="-3"/>
        </w:rPr>
        <w:t xml:space="preserve"> i pro</w:t>
      </w:r>
      <w:r w:rsidRPr="006B5270">
        <w:rPr>
          <w:spacing w:val="-3"/>
        </w:rPr>
        <w:t xml:space="preserve"> PM</w:t>
      </w:r>
      <w:r w:rsidRPr="006B5270">
        <w:rPr>
          <w:spacing w:val="-3"/>
          <w:vertAlign w:val="subscript"/>
        </w:rPr>
        <w:t>2,5</w:t>
      </w:r>
      <w:r w:rsidRPr="006B5270">
        <w:rPr>
          <w:spacing w:val="-3"/>
        </w:rPr>
        <w:t xml:space="preserve">. EK </w:t>
      </w:r>
      <w:r>
        <w:rPr>
          <w:spacing w:val="-3"/>
        </w:rPr>
        <w:t>z</w:t>
      </w:r>
      <w:r w:rsidRPr="006B5270">
        <w:rPr>
          <w:spacing w:val="-3"/>
        </w:rPr>
        <w:t>v</w:t>
      </w:r>
      <w:r>
        <w:rPr>
          <w:spacing w:val="-3"/>
        </w:rPr>
        <w:t>eřejnila v</w:t>
      </w:r>
      <w:r w:rsidRPr="006B5270">
        <w:rPr>
          <w:spacing w:val="-3"/>
        </w:rPr>
        <w:t xml:space="preserve"> roce 2022 </w:t>
      </w:r>
      <w:r>
        <w:rPr>
          <w:spacing w:val="-3"/>
        </w:rPr>
        <w:t>mj. z</w:t>
      </w:r>
      <w:r w:rsidRPr="006B5270">
        <w:rPr>
          <w:spacing w:val="-3"/>
        </w:rPr>
        <w:t>a účelem sladit normy kvality ovzduší s doporučeními WHO návrh revidované směrnice o kvalitě vnějšího ovzduší a</w:t>
      </w:r>
      <w:r>
        <w:rPr>
          <w:spacing w:val="-3"/>
        </w:rPr>
        <w:t> </w:t>
      </w:r>
      <w:r w:rsidRPr="006B5270">
        <w:rPr>
          <w:spacing w:val="-3"/>
        </w:rPr>
        <w:t>čistším ovzduší pro Evropu</w:t>
      </w:r>
      <w:r w:rsidRPr="006B5270">
        <w:rPr>
          <w:rStyle w:val="Znakapoznpodarou"/>
          <w:spacing w:val="-3"/>
        </w:rPr>
        <w:footnoteReference w:id="29"/>
      </w:r>
      <w:r w:rsidRPr="006B5270">
        <w:rPr>
          <w:spacing w:val="-3"/>
        </w:rPr>
        <w:t>.</w:t>
      </w:r>
      <w:r w:rsidR="00BB638D">
        <w:rPr>
          <w:spacing w:val="-3"/>
        </w:rPr>
        <w:t xml:space="preserve"> </w:t>
      </w:r>
      <w:r w:rsidR="00BB638D" w:rsidRPr="006B5270">
        <w:rPr>
          <w:spacing w:val="-3"/>
        </w:rPr>
        <w:t xml:space="preserve">Srovnání aktuálně platných imisních limitů, WHO doporučovaných úrovní </w:t>
      </w:r>
      <w:r w:rsidR="00BB638D" w:rsidRPr="002D56FA">
        <w:rPr>
          <w:spacing w:val="-3"/>
        </w:rPr>
        <w:t xml:space="preserve">koncentrací a </w:t>
      </w:r>
      <w:r w:rsidR="00BB638D">
        <w:rPr>
          <w:spacing w:val="-3"/>
        </w:rPr>
        <w:t xml:space="preserve">EK </w:t>
      </w:r>
      <w:r w:rsidR="00BB638D" w:rsidRPr="002D56FA">
        <w:rPr>
          <w:spacing w:val="-3"/>
        </w:rPr>
        <w:t>nově navrhovaných imisních limitů od roku 2030 je uvedeno v příloze č.</w:t>
      </w:r>
      <w:r w:rsidR="00BB638D">
        <w:rPr>
          <w:spacing w:val="-3"/>
        </w:rPr>
        <w:t> </w:t>
      </w:r>
      <w:r w:rsidR="00A164D2">
        <w:rPr>
          <w:spacing w:val="-3"/>
        </w:rPr>
        <w:t>5</w:t>
      </w:r>
      <w:r w:rsidR="00BB638D" w:rsidRPr="002D56FA">
        <w:rPr>
          <w:spacing w:val="-3"/>
        </w:rPr>
        <w:t xml:space="preserve"> </w:t>
      </w:r>
      <w:r w:rsidR="00582842">
        <w:rPr>
          <w:spacing w:val="-3"/>
        </w:rPr>
        <w:t xml:space="preserve">tohoto </w:t>
      </w:r>
      <w:r w:rsidR="00BB638D" w:rsidRPr="002D56FA">
        <w:rPr>
          <w:spacing w:val="-3"/>
        </w:rPr>
        <w:t>kontrolního závěru.</w:t>
      </w:r>
    </w:p>
    <w:p w14:paraId="7CEB6D29" w14:textId="0DB5C59B" w:rsidR="002D33FC" w:rsidRPr="002D56FA" w:rsidRDefault="002D33FC" w:rsidP="002D33FC">
      <w:pPr>
        <w:pStyle w:val="TextKP"/>
        <w:spacing w:before="80"/>
        <w:rPr>
          <w:spacing w:val="-3"/>
        </w:rPr>
      </w:pPr>
      <w:r w:rsidRPr="002D56FA">
        <w:rPr>
          <w:spacing w:val="-3"/>
        </w:rPr>
        <w:t>NKÚ se zaměřil s ohledem na publikované poznatky o vlivu PM</w:t>
      </w:r>
      <w:r w:rsidRPr="002D56FA">
        <w:rPr>
          <w:spacing w:val="-3"/>
          <w:vertAlign w:val="subscript"/>
        </w:rPr>
        <w:t>2,5</w:t>
      </w:r>
      <w:r w:rsidRPr="002D56FA">
        <w:rPr>
          <w:spacing w:val="-3"/>
        </w:rPr>
        <w:t xml:space="preserve"> na lidské zdraví, význam lokálního vytápění na znečišťování ovzduší v ČR a </w:t>
      </w:r>
      <w:r w:rsidR="00674BC5">
        <w:rPr>
          <w:spacing w:val="-3"/>
        </w:rPr>
        <w:t xml:space="preserve">současnou </w:t>
      </w:r>
      <w:r w:rsidRPr="002D56FA">
        <w:rPr>
          <w:spacing w:val="-3"/>
        </w:rPr>
        <w:t xml:space="preserve">absenci </w:t>
      </w:r>
      <w:r>
        <w:rPr>
          <w:spacing w:val="-3"/>
        </w:rPr>
        <w:t xml:space="preserve">imisního </w:t>
      </w:r>
      <w:r w:rsidRPr="002D56FA">
        <w:rPr>
          <w:spacing w:val="-3"/>
        </w:rPr>
        <w:t>limitu pro maximální denní koncentrace PM</w:t>
      </w:r>
      <w:r w:rsidRPr="002D56FA">
        <w:rPr>
          <w:spacing w:val="-3"/>
          <w:vertAlign w:val="subscript"/>
        </w:rPr>
        <w:t>2,5</w:t>
      </w:r>
      <w:r w:rsidRPr="002D56FA">
        <w:rPr>
          <w:spacing w:val="-3"/>
        </w:rPr>
        <w:t xml:space="preserve"> na porovnání dosahovaných průměrných ročních a denních koncentrací PM</w:t>
      </w:r>
      <w:r w:rsidRPr="002D56FA">
        <w:rPr>
          <w:spacing w:val="-3"/>
          <w:vertAlign w:val="subscript"/>
        </w:rPr>
        <w:t>2,5</w:t>
      </w:r>
      <w:r w:rsidRPr="002D56FA">
        <w:rPr>
          <w:spacing w:val="-3"/>
        </w:rPr>
        <w:t xml:space="preserve"> ve srovnání s doporučovanými hodnotami WHO a </w:t>
      </w:r>
      <w:r w:rsidR="00674BC5">
        <w:rPr>
          <w:spacing w:val="-3"/>
        </w:rPr>
        <w:t>návrhem</w:t>
      </w:r>
      <w:r>
        <w:rPr>
          <w:spacing w:val="-3"/>
        </w:rPr>
        <w:t xml:space="preserve"> E</w:t>
      </w:r>
      <w:r w:rsidR="00BB638D">
        <w:rPr>
          <w:spacing w:val="-3"/>
        </w:rPr>
        <w:t>K</w:t>
      </w:r>
      <w:r w:rsidRPr="002D56FA">
        <w:rPr>
          <w:spacing w:val="-3"/>
        </w:rPr>
        <w:t>.</w:t>
      </w:r>
    </w:p>
    <w:p w14:paraId="21345CE1" w14:textId="470D81EB" w:rsidR="00FC07A6" w:rsidRPr="006B5270" w:rsidRDefault="00FC07A6" w:rsidP="00663546">
      <w:pPr>
        <w:pStyle w:val="TextKP"/>
        <w:spacing w:before="80"/>
        <w:rPr>
          <w:spacing w:val="-3"/>
        </w:rPr>
      </w:pPr>
      <w:r w:rsidRPr="002D56FA">
        <w:rPr>
          <w:spacing w:val="-3"/>
        </w:rPr>
        <w:t xml:space="preserve">V tabulce č. </w:t>
      </w:r>
      <w:r w:rsidR="00BB638D">
        <w:rPr>
          <w:spacing w:val="-3"/>
        </w:rPr>
        <w:t>6</w:t>
      </w:r>
      <w:r w:rsidRPr="002D56FA">
        <w:rPr>
          <w:spacing w:val="-3"/>
        </w:rPr>
        <w:t xml:space="preserve"> je uveden přehled počtu stanic s platnými daty pro průměrné roční koncentrace PM</w:t>
      </w:r>
      <w:r w:rsidRPr="002D56FA">
        <w:rPr>
          <w:spacing w:val="-3"/>
          <w:vertAlign w:val="subscript"/>
        </w:rPr>
        <w:t>2,5</w:t>
      </w:r>
      <w:r w:rsidRPr="002D56FA">
        <w:rPr>
          <w:spacing w:val="-3"/>
        </w:rPr>
        <w:t xml:space="preserve"> v letech 2020</w:t>
      </w:r>
      <w:r w:rsidRPr="006B5270">
        <w:rPr>
          <w:spacing w:val="-3"/>
        </w:rPr>
        <w:t xml:space="preserve"> až 2022 a dále porovnání počtu měř</w:t>
      </w:r>
      <w:r w:rsidR="00116832" w:rsidRPr="006B5270">
        <w:rPr>
          <w:spacing w:val="-3"/>
        </w:rPr>
        <w:t>i</w:t>
      </w:r>
      <w:r w:rsidRPr="006B5270">
        <w:rPr>
          <w:spacing w:val="-3"/>
        </w:rPr>
        <w:t xml:space="preserve">cích stanic, na kterých došlo v daném roce k překročení platného imisního limitu, doporučení WHO 2021 či </w:t>
      </w:r>
      <w:r w:rsidR="00BB638D">
        <w:rPr>
          <w:spacing w:val="-3"/>
        </w:rPr>
        <w:t>návrhu EK</w:t>
      </w:r>
      <w:r w:rsidRPr="006B5270">
        <w:rPr>
          <w:spacing w:val="-3"/>
        </w:rPr>
        <w:t>.</w:t>
      </w:r>
    </w:p>
    <w:p w14:paraId="70DBF735" w14:textId="62156C0A" w:rsidR="00FC07A6" w:rsidRPr="008E1776" w:rsidRDefault="00FC07A6" w:rsidP="008E1776">
      <w:pPr>
        <w:pStyle w:val="Titulek"/>
        <w:spacing w:after="40"/>
        <w:rPr>
          <w:b/>
          <w:vertAlign w:val="subscript"/>
        </w:rPr>
      </w:pPr>
      <w:r w:rsidRPr="008E1776">
        <w:rPr>
          <w:b/>
        </w:rPr>
        <w:t xml:space="preserve">Tabulka č. </w:t>
      </w:r>
      <w:r w:rsidRPr="008E1776">
        <w:rPr>
          <w:b/>
        </w:rPr>
        <w:fldChar w:fldCharType="begin"/>
      </w:r>
      <w:r w:rsidRPr="008E1776">
        <w:rPr>
          <w:b/>
        </w:rPr>
        <w:instrText xml:space="preserve"> SEQ Tabulka_č. \* ARABIC </w:instrText>
      </w:r>
      <w:r w:rsidRPr="008E1776">
        <w:rPr>
          <w:b/>
        </w:rPr>
        <w:fldChar w:fldCharType="separate"/>
      </w:r>
      <w:r w:rsidR="000D2E96">
        <w:rPr>
          <w:b/>
          <w:noProof/>
        </w:rPr>
        <w:t>6</w:t>
      </w:r>
      <w:r w:rsidRPr="008E1776">
        <w:rPr>
          <w:b/>
          <w:noProof/>
        </w:rPr>
        <w:fldChar w:fldCharType="end"/>
      </w:r>
      <w:r w:rsidRPr="008E1776">
        <w:rPr>
          <w:b/>
        </w:rPr>
        <w:t>: Hodnocení průměrných ročních koncentrací PM</w:t>
      </w:r>
      <w:r w:rsidRPr="008E1776">
        <w:rPr>
          <w:b/>
          <w:vertAlign w:val="subscript"/>
        </w:rPr>
        <w:t>2,5</w:t>
      </w:r>
    </w:p>
    <w:tbl>
      <w:tblPr>
        <w:tblW w:w="5000" w:type="pct"/>
        <w:jc w:val="center"/>
        <w:tblCellMar>
          <w:left w:w="70" w:type="dxa"/>
          <w:right w:w="70" w:type="dxa"/>
        </w:tblCellMar>
        <w:tblLook w:val="04A0" w:firstRow="1" w:lastRow="0" w:firstColumn="1" w:lastColumn="0" w:noHBand="0" w:noVBand="1"/>
      </w:tblPr>
      <w:tblGrid>
        <w:gridCol w:w="567"/>
        <w:gridCol w:w="1417"/>
        <w:gridCol w:w="2550"/>
        <w:gridCol w:w="2266"/>
        <w:gridCol w:w="2262"/>
      </w:tblGrid>
      <w:tr w:rsidR="00FC07A6" w:rsidRPr="00154F85" w14:paraId="45F815F0" w14:textId="77777777" w:rsidTr="008E1776">
        <w:trPr>
          <w:trHeight w:val="20"/>
          <w:jc w:val="center"/>
        </w:trPr>
        <w:tc>
          <w:tcPr>
            <w:tcW w:w="31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1A7936E" w14:textId="77777777" w:rsidR="00FC07A6" w:rsidRPr="00154F85" w:rsidRDefault="00FC07A6" w:rsidP="00CB5F05">
            <w:pPr>
              <w:jc w:val="center"/>
              <w:rPr>
                <w:rFonts w:eastAsia="Times New Roman"/>
                <w:b/>
                <w:bCs/>
                <w:sz w:val="20"/>
                <w:lang w:eastAsia="cs-CZ"/>
              </w:rPr>
            </w:pPr>
            <w:r w:rsidRPr="00154F85">
              <w:rPr>
                <w:rFonts w:eastAsia="Times New Roman"/>
                <w:b/>
                <w:bCs/>
                <w:sz w:val="20"/>
                <w:lang w:eastAsia="cs-CZ"/>
              </w:rPr>
              <w:t>Rok</w:t>
            </w:r>
          </w:p>
        </w:tc>
        <w:tc>
          <w:tcPr>
            <w:tcW w:w="782" w:type="pct"/>
            <w:tcBorders>
              <w:top w:val="single" w:sz="4" w:space="0" w:color="auto"/>
              <w:left w:val="nil"/>
              <w:bottom w:val="single" w:sz="4" w:space="0" w:color="auto"/>
              <w:right w:val="single" w:sz="4" w:space="0" w:color="auto"/>
            </w:tcBorders>
            <w:shd w:val="clear" w:color="auto" w:fill="F2F2F2"/>
            <w:vAlign w:val="center"/>
            <w:hideMark/>
          </w:tcPr>
          <w:p w14:paraId="54CFC172" w14:textId="6E8231FA" w:rsidR="00FC07A6" w:rsidRPr="00154F85" w:rsidRDefault="00FC07A6" w:rsidP="00CB5F05">
            <w:pPr>
              <w:jc w:val="center"/>
              <w:rPr>
                <w:rFonts w:eastAsia="Times New Roman"/>
                <w:b/>
                <w:bCs/>
                <w:sz w:val="20"/>
                <w:lang w:eastAsia="cs-CZ"/>
              </w:rPr>
            </w:pPr>
            <w:r w:rsidRPr="00154F85">
              <w:rPr>
                <w:rFonts w:eastAsia="Times New Roman"/>
                <w:b/>
                <w:bCs/>
                <w:sz w:val="20"/>
                <w:lang w:eastAsia="cs-CZ"/>
              </w:rPr>
              <w:t>Počet stanic</w:t>
            </w:r>
            <w:r w:rsidR="00AD5EB7">
              <w:rPr>
                <w:rFonts w:eastAsia="Times New Roman"/>
                <w:b/>
                <w:bCs/>
                <w:sz w:val="20"/>
                <w:lang w:eastAsia="cs-CZ"/>
              </w:rPr>
              <w:t xml:space="preserve"> </w:t>
            </w:r>
            <w:r w:rsidRPr="00154F85">
              <w:rPr>
                <w:rFonts w:eastAsia="Times New Roman"/>
                <w:b/>
                <w:bCs/>
                <w:sz w:val="20"/>
                <w:lang w:eastAsia="cs-CZ"/>
              </w:rPr>
              <w:t>s</w:t>
            </w:r>
            <w:r w:rsidR="00AD5EB7">
              <w:rPr>
                <w:rFonts w:eastAsia="Times New Roman"/>
                <w:b/>
                <w:bCs/>
                <w:sz w:val="20"/>
                <w:lang w:eastAsia="cs-CZ"/>
              </w:rPr>
              <w:t> </w:t>
            </w:r>
            <w:r w:rsidRPr="00154F85">
              <w:rPr>
                <w:rFonts w:eastAsia="Times New Roman"/>
                <w:b/>
                <w:bCs/>
                <w:sz w:val="20"/>
                <w:lang w:eastAsia="cs-CZ"/>
              </w:rPr>
              <w:t xml:space="preserve">platným měřením </w:t>
            </w:r>
          </w:p>
        </w:tc>
        <w:tc>
          <w:tcPr>
            <w:tcW w:w="1407" w:type="pct"/>
            <w:tcBorders>
              <w:top w:val="single" w:sz="4" w:space="0" w:color="auto"/>
              <w:left w:val="nil"/>
              <w:bottom w:val="single" w:sz="4" w:space="0" w:color="auto"/>
              <w:right w:val="single" w:sz="4" w:space="0" w:color="auto"/>
            </w:tcBorders>
            <w:shd w:val="clear" w:color="auto" w:fill="F2F2F2"/>
            <w:vAlign w:val="center"/>
            <w:hideMark/>
          </w:tcPr>
          <w:p w14:paraId="413D0E20" w14:textId="1BA36907" w:rsidR="00FC07A6" w:rsidRPr="00154F85" w:rsidRDefault="00FC07A6" w:rsidP="00CB5F05">
            <w:pPr>
              <w:jc w:val="center"/>
              <w:rPr>
                <w:rFonts w:eastAsia="Times New Roman"/>
                <w:b/>
                <w:bCs/>
                <w:sz w:val="20"/>
                <w:lang w:eastAsia="cs-CZ"/>
              </w:rPr>
            </w:pPr>
            <w:r w:rsidRPr="00154F85">
              <w:rPr>
                <w:rFonts w:eastAsia="Times New Roman"/>
                <w:b/>
                <w:bCs/>
                <w:sz w:val="20"/>
                <w:lang w:eastAsia="cs-CZ"/>
              </w:rPr>
              <w:t>Počet stanic s ročním průměrem &gt;20 µg/m</w:t>
            </w:r>
            <w:r w:rsidRPr="00154F85">
              <w:rPr>
                <w:rFonts w:eastAsia="Times New Roman"/>
                <w:b/>
                <w:bCs/>
                <w:sz w:val="20"/>
                <w:vertAlign w:val="superscript"/>
                <w:lang w:eastAsia="cs-CZ"/>
              </w:rPr>
              <w:t>3</w:t>
            </w:r>
            <w:r w:rsidRPr="00154F85">
              <w:rPr>
                <w:rFonts w:eastAsia="Times New Roman"/>
                <w:b/>
                <w:bCs/>
                <w:sz w:val="20"/>
                <w:lang w:eastAsia="cs-CZ"/>
              </w:rPr>
              <w:t xml:space="preserve"> (zákon č. 201/2012 Sb.)</w:t>
            </w:r>
          </w:p>
        </w:tc>
        <w:tc>
          <w:tcPr>
            <w:tcW w:w="1250" w:type="pct"/>
            <w:tcBorders>
              <w:top w:val="single" w:sz="4" w:space="0" w:color="auto"/>
              <w:left w:val="nil"/>
              <w:bottom w:val="single" w:sz="4" w:space="0" w:color="auto"/>
              <w:right w:val="single" w:sz="4" w:space="0" w:color="auto"/>
            </w:tcBorders>
            <w:shd w:val="clear" w:color="auto" w:fill="F2F2F2"/>
            <w:vAlign w:val="center"/>
            <w:hideMark/>
          </w:tcPr>
          <w:p w14:paraId="5E53C80D" w14:textId="6700E9E3" w:rsidR="00FC07A6" w:rsidRPr="00154F85" w:rsidRDefault="00FC07A6" w:rsidP="00CB5F05">
            <w:pPr>
              <w:jc w:val="center"/>
              <w:rPr>
                <w:rFonts w:eastAsia="Times New Roman"/>
                <w:b/>
                <w:bCs/>
                <w:sz w:val="20"/>
                <w:lang w:eastAsia="cs-CZ"/>
              </w:rPr>
            </w:pPr>
            <w:r w:rsidRPr="00154F85">
              <w:rPr>
                <w:rFonts w:eastAsia="Times New Roman"/>
                <w:b/>
                <w:bCs/>
                <w:sz w:val="20"/>
                <w:lang w:eastAsia="cs-CZ"/>
              </w:rPr>
              <w:t>Počet stanic s ročním průměrem &gt;10 µg/m</w:t>
            </w:r>
            <w:r w:rsidRPr="00154F85">
              <w:rPr>
                <w:rFonts w:eastAsia="Times New Roman"/>
                <w:b/>
                <w:bCs/>
                <w:sz w:val="20"/>
                <w:vertAlign w:val="superscript"/>
                <w:lang w:eastAsia="cs-CZ"/>
              </w:rPr>
              <w:t>3</w:t>
            </w:r>
            <w:r w:rsidRPr="00154F85">
              <w:rPr>
                <w:rFonts w:eastAsia="Times New Roman"/>
                <w:b/>
                <w:bCs/>
                <w:sz w:val="20"/>
                <w:lang w:eastAsia="cs-CZ"/>
              </w:rPr>
              <w:t xml:space="preserve"> (návrh EK)</w:t>
            </w:r>
          </w:p>
        </w:tc>
        <w:tc>
          <w:tcPr>
            <w:tcW w:w="1248" w:type="pct"/>
            <w:tcBorders>
              <w:top w:val="single" w:sz="4" w:space="0" w:color="auto"/>
              <w:left w:val="nil"/>
              <w:bottom w:val="single" w:sz="4" w:space="0" w:color="auto"/>
              <w:right w:val="single" w:sz="4" w:space="0" w:color="auto"/>
            </w:tcBorders>
            <w:shd w:val="clear" w:color="auto" w:fill="F2F2F2"/>
            <w:vAlign w:val="center"/>
            <w:hideMark/>
          </w:tcPr>
          <w:p w14:paraId="4F2E802D" w14:textId="29199A15" w:rsidR="00FC07A6" w:rsidRPr="00154F85" w:rsidRDefault="00FC07A6" w:rsidP="00CB5F05">
            <w:pPr>
              <w:jc w:val="center"/>
              <w:rPr>
                <w:rFonts w:eastAsia="Times New Roman"/>
                <w:b/>
                <w:bCs/>
                <w:sz w:val="20"/>
                <w:lang w:eastAsia="cs-CZ"/>
              </w:rPr>
            </w:pPr>
            <w:r w:rsidRPr="00154F85">
              <w:rPr>
                <w:rFonts w:eastAsia="Times New Roman"/>
                <w:b/>
                <w:bCs/>
                <w:sz w:val="20"/>
                <w:lang w:eastAsia="cs-CZ"/>
              </w:rPr>
              <w:t>Počet stanic s ročním průměrem &gt;5 µg/m</w:t>
            </w:r>
            <w:r w:rsidRPr="00154F85">
              <w:rPr>
                <w:rFonts w:eastAsia="Times New Roman"/>
                <w:b/>
                <w:bCs/>
                <w:sz w:val="20"/>
                <w:vertAlign w:val="superscript"/>
                <w:lang w:eastAsia="cs-CZ"/>
              </w:rPr>
              <w:t>3</w:t>
            </w:r>
            <w:r w:rsidRPr="00154F85">
              <w:rPr>
                <w:rFonts w:eastAsia="Times New Roman"/>
                <w:b/>
                <w:bCs/>
                <w:sz w:val="20"/>
                <w:lang w:eastAsia="cs-CZ"/>
              </w:rPr>
              <w:t xml:space="preserve"> (doporučení WHO 2021)</w:t>
            </w:r>
          </w:p>
        </w:tc>
      </w:tr>
      <w:tr w:rsidR="00FC07A6" w:rsidRPr="00154F85" w14:paraId="55C2B414" w14:textId="77777777" w:rsidTr="008E1776">
        <w:trPr>
          <w:trHeight w:val="20"/>
          <w:jc w:val="center"/>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96E7EFD" w14:textId="77777777" w:rsidR="00FC07A6" w:rsidRPr="00154F85" w:rsidRDefault="00FC07A6" w:rsidP="00CB5F05">
            <w:pPr>
              <w:jc w:val="center"/>
              <w:rPr>
                <w:rFonts w:eastAsia="Times New Roman"/>
                <w:color w:val="000000"/>
                <w:sz w:val="20"/>
                <w:lang w:eastAsia="cs-CZ"/>
              </w:rPr>
            </w:pPr>
            <w:r w:rsidRPr="00154F85">
              <w:rPr>
                <w:rFonts w:eastAsia="Times New Roman"/>
                <w:color w:val="000000"/>
                <w:sz w:val="20"/>
                <w:lang w:eastAsia="cs-CZ"/>
              </w:rPr>
              <w:t>2020</w:t>
            </w:r>
          </w:p>
        </w:tc>
        <w:tc>
          <w:tcPr>
            <w:tcW w:w="782" w:type="pct"/>
            <w:tcBorders>
              <w:top w:val="nil"/>
              <w:left w:val="nil"/>
              <w:bottom w:val="single" w:sz="4" w:space="0" w:color="auto"/>
              <w:right w:val="single" w:sz="4" w:space="0" w:color="auto"/>
            </w:tcBorders>
            <w:shd w:val="clear" w:color="auto" w:fill="auto"/>
            <w:noWrap/>
            <w:vAlign w:val="center"/>
            <w:hideMark/>
          </w:tcPr>
          <w:p w14:paraId="7F0A91D7"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101</w:t>
            </w:r>
          </w:p>
        </w:tc>
        <w:tc>
          <w:tcPr>
            <w:tcW w:w="1407" w:type="pct"/>
            <w:tcBorders>
              <w:top w:val="nil"/>
              <w:left w:val="nil"/>
              <w:bottom w:val="single" w:sz="4" w:space="0" w:color="auto"/>
              <w:right w:val="single" w:sz="4" w:space="0" w:color="auto"/>
            </w:tcBorders>
            <w:shd w:val="clear" w:color="auto" w:fill="auto"/>
            <w:noWrap/>
            <w:vAlign w:val="center"/>
            <w:hideMark/>
          </w:tcPr>
          <w:p w14:paraId="5389CE74"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2</w:t>
            </w:r>
          </w:p>
        </w:tc>
        <w:tc>
          <w:tcPr>
            <w:tcW w:w="1250" w:type="pct"/>
            <w:tcBorders>
              <w:top w:val="nil"/>
              <w:left w:val="nil"/>
              <w:bottom w:val="single" w:sz="4" w:space="0" w:color="auto"/>
              <w:right w:val="single" w:sz="4" w:space="0" w:color="auto"/>
            </w:tcBorders>
            <w:shd w:val="clear" w:color="auto" w:fill="auto"/>
            <w:noWrap/>
            <w:vAlign w:val="center"/>
            <w:hideMark/>
          </w:tcPr>
          <w:p w14:paraId="68C220F7"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91</w:t>
            </w:r>
          </w:p>
        </w:tc>
        <w:tc>
          <w:tcPr>
            <w:tcW w:w="1248" w:type="pct"/>
            <w:tcBorders>
              <w:top w:val="nil"/>
              <w:left w:val="nil"/>
              <w:bottom w:val="single" w:sz="4" w:space="0" w:color="auto"/>
              <w:right w:val="single" w:sz="4" w:space="0" w:color="auto"/>
            </w:tcBorders>
            <w:shd w:val="clear" w:color="auto" w:fill="auto"/>
            <w:noWrap/>
            <w:vAlign w:val="center"/>
            <w:hideMark/>
          </w:tcPr>
          <w:p w14:paraId="7A7781FD"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100</w:t>
            </w:r>
          </w:p>
        </w:tc>
      </w:tr>
      <w:tr w:rsidR="00FC07A6" w:rsidRPr="00154F85" w14:paraId="0580A5C1" w14:textId="77777777" w:rsidTr="008E1776">
        <w:trPr>
          <w:trHeight w:val="20"/>
          <w:jc w:val="center"/>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9835622" w14:textId="77777777" w:rsidR="00FC07A6" w:rsidRPr="00154F85" w:rsidRDefault="00FC07A6" w:rsidP="00CB5F05">
            <w:pPr>
              <w:jc w:val="center"/>
              <w:rPr>
                <w:rFonts w:eastAsia="Times New Roman"/>
                <w:color w:val="000000"/>
                <w:sz w:val="20"/>
                <w:lang w:eastAsia="cs-CZ"/>
              </w:rPr>
            </w:pPr>
            <w:r w:rsidRPr="00154F85">
              <w:rPr>
                <w:rFonts w:eastAsia="Times New Roman"/>
                <w:color w:val="000000"/>
                <w:sz w:val="20"/>
                <w:lang w:eastAsia="cs-CZ"/>
              </w:rPr>
              <w:t>2021</w:t>
            </w:r>
          </w:p>
        </w:tc>
        <w:tc>
          <w:tcPr>
            <w:tcW w:w="782" w:type="pct"/>
            <w:tcBorders>
              <w:top w:val="nil"/>
              <w:left w:val="nil"/>
              <w:bottom w:val="single" w:sz="4" w:space="0" w:color="auto"/>
              <w:right w:val="single" w:sz="4" w:space="0" w:color="auto"/>
            </w:tcBorders>
            <w:shd w:val="clear" w:color="auto" w:fill="auto"/>
            <w:noWrap/>
            <w:vAlign w:val="center"/>
            <w:hideMark/>
          </w:tcPr>
          <w:p w14:paraId="2E8C1B49"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93</w:t>
            </w:r>
          </w:p>
        </w:tc>
        <w:tc>
          <w:tcPr>
            <w:tcW w:w="1407" w:type="pct"/>
            <w:tcBorders>
              <w:top w:val="nil"/>
              <w:left w:val="nil"/>
              <w:bottom w:val="single" w:sz="4" w:space="0" w:color="auto"/>
              <w:right w:val="single" w:sz="4" w:space="0" w:color="auto"/>
            </w:tcBorders>
            <w:shd w:val="clear" w:color="auto" w:fill="auto"/>
            <w:noWrap/>
            <w:vAlign w:val="center"/>
            <w:hideMark/>
          </w:tcPr>
          <w:p w14:paraId="4FFF9D8E"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9</w:t>
            </w:r>
          </w:p>
        </w:tc>
        <w:tc>
          <w:tcPr>
            <w:tcW w:w="1250" w:type="pct"/>
            <w:tcBorders>
              <w:top w:val="nil"/>
              <w:left w:val="nil"/>
              <w:bottom w:val="single" w:sz="4" w:space="0" w:color="auto"/>
              <w:right w:val="single" w:sz="4" w:space="0" w:color="auto"/>
            </w:tcBorders>
            <w:shd w:val="clear" w:color="auto" w:fill="auto"/>
            <w:noWrap/>
            <w:vAlign w:val="center"/>
            <w:hideMark/>
          </w:tcPr>
          <w:p w14:paraId="1C4C28DB"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85</w:t>
            </w:r>
          </w:p>
        </w:tc>
        <w:tc>
          <w:tcPr>
            <w:tcW w:w="1248" w:type="pct"/>
            <w:tcBorders>
              <w:top w:val="nil"/>
              <w:left w:val="nil"/>
              <w:bottom w:val="single" w:sz="4" w:space="0" w:color="auto"/>
              <w:right w:val="single" w:sz="4" w:space="0" w:color="auto"/>
            </w:tcBorders>
            <w:shd w:val="clear" w:color="auto" w:fill="auto"/>
            <w:noWrap/>
            <w:vAlign w:val="center"/>
            <w:hideMark/>
          </w:tcPr>
          <w:p w14:paraId="30C80BFD"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92</w:t>
            </w:r>
          </w:p>
        </w:tc>
      </w:tr>
      <w:tr w:rsidR="00FC07A6" w:rsidRPr="00154F85" w14:paraId="71039138" w14:textId="77777777" w:rsidTr="008E1776">
        <w:trPr>
          <w:trHeight w:val="20"/>
          <w:jc w:val="center"/>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363A379" w14:textId="77777777" w:rsidR="00FC07A6" w:rsidRPr="00154F85" w:rsidRDefault="00FC07A6" w:rsidP="00CB5F05">
            <w:pPr>
              <w:jc w:val="center"/>
              <w:rPr>
                <w:rFonts w:eastAsia="Times New Roman"/>
                <w:color w:val="000000"/>
                <w:sz w:val="20"/>
                <w:lang w:eastAsia="cs-CZ"/>
              </w:rPr>
            </w:pPr>
            <w:r w:rsidRPr="00154F85">
              <w:rPr>
                <w:rFonts w:eastAsia="Times New Roman"/>
                <w:color w:val="000000"/>
                <w:sz w:val="20"/>
                <w:lang w:eastAsia="cs-CZ"/>
              </w:rPr>
              <w:t>2022</w:t>
            </w:r>
          </w:p>
        </w:tc>
        <w:tc>
          <w:tcPr>
            <w:tcW w:w="782" w:type="pct"/>
            <w:tcBorders>
              <w:top w:val="nil"/>
              <w:left w:val="nil"/>
              <w:bottom w:val="single" w:sz="4" w:space="0" w:color="auto"/>
              <w:right w:val="single" w:sz="4" w:space="0" w:color="auto"/>
            </w:tcBorders>
            <w:shd w:val="clear" w:color="auto" w:fill="auto"/>
            <w:noWrap/>
            <w:vAlign w:val="center"/>
            <w:hideMark/>
          </w:tcPr>
          <w:p w14:paraId="108321F1"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101</w:t>
            </w:r>
          </w:p>
        </w:tc>
        <w:tc>
          <w:tcPr>
            <w:tcW w:w="1407" w:type="pct"/>
            <w:tcBorders>
              <w:top w:val="nil"/>
              <w:left w:val="nil"/>
              <w:bottom w:val="single" w:sz="4" w:space="0" w:color="auto"/>
              <w:right w:val="single" w:sz="4" w:space="0" w:color="auto"/>
            </w:tcBorders>
            <w:shd w:val="clear" w:color="auto" w:fill="auto"/>
            <w:noWrap/>
            <w:vAlign w:val="center"/>
            <w:hideMark/>
          </w:tcPr>
          <w:p w14:paraId="11B9CAE2"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4</w:t>
            </w:r>
          </w:p>
        </w:tc>
        <w:tc>
          <w:tcPr>
            <w:tcW w:w="1250" w:type="pct"/>
            <w:tcBorders>
              <w:top w:val="nil"/>
              <w:left w:val="nil"/>
              <w:bottom w:val="single" w:sz="4" w:space="0" w:color="auto"/>
              <w:right w:val="single" w:sz="4" w:space="0" w:color="auto"/>
            </w:tcBorders>
            <w:shd w:val="clear" w:color="auto" w:fill="auto"/>
            <w:noWrap/>
            <w:vAlign w:val="center"/>
            <w:hideMark/>
          </w:tcPr>
          <w:p w14:paraId="1FA8F9A6"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93</w:t>
            </w:r>
          </w:p>
        </w:tc>
        <w:tc>
          <w:tcPr>
            <w:tcW w:w="1248" w:type="pct"/>
            <w:tcBorders>
              <w:top w:val="nil"/>
              <w:left w:val="nil"/>
              <w:bottom w:val="single" w:sz="4" w:space="0" w:color="auto"/>
              <w:right w:val="single" w:sz="4" w:space="0" w:color="auto"/>
            </w:tcBorders>
            <w:shd w:val="clear" w:color="auto" w:fill="auto"/>
            <w:noWrap/>
            <w:vAlign w:val="center"/>
            <w:hideMark/>
          </w:tcPr>
          <w:p w14:paraId="307E1BF7" w14:textId="77777777" w:rsidR="00FC07A6" w:rsidRPr="00154F85" w:rsidRDefault="00FC07A6" w:rsidP="008E1776">
            <w:pPr>
              <w:ind w:right="460"/>
              <w:jc w:val="right"/>
              <w:rPr>
                <w:rFonts w:eastAsia="Times New Roman"/>
                <w:color w:val="000000"/>
                <w:sz w:val="20"/>
                <w:lang w:eastAsia="cs-CZ"/>
              </w:rPr>
            </w:pPr>
            <w:r w:rsidRPr="00154F85">
              <w:rPr>
                <w:rFonts w:eastAsia="Times New Roman"/>
                <w:color w:val="000000"/>
                <w:sz w:val="20"/>
                <w:lang w:eastAsia="cs-CZ"/>
              </w:rPr>
              <w:t>101</w:t>
            </w:r>
          </w:p>
        </w:tc>
      </w:tr>
    </w:tbl>
    <w:p w14:paraId="30E6FDEB" w14:textId="5638F1B1" w:rsidR="00FC07A6" w:rsidRPr="00EA6B3C" w:rsidRDefault="00FC07A6" w:rsidP="00955553">
      <w:pPr>
        <w:pStyle w:val="Zdrojeapozn"/>
        <w:rPr>
          <w:b w:val="0"/>
        </w:rPr>
      </w:pPr>
      <w:r w:rsidRPr="00156FAF">
        <w:t>Zdroj</w:t>
      </w:r>
      <w:r w:rsidRPr="00D51812">
        <w:t>:</w:t>
      </w:r>
      <w:r w:rsidR="00AD5EB7">
        <w:t xml:space="preserve"> </w:t>
      </w:r>
      <w:r w:rsidR="00AD5EB7" w:rsidRPr="00EA6B3C">
        <w:rPr>
          <w:b w:val="0"/>
        </w:rPr>
        <w:t>t</w:t>
      </w:r>
      <w:r w:rsidRPr="00EA6B3C">
        <w:rPr>
          <w:b w:val="0"/>
        </w:rPr>
        <w:t xml:space="preserve">abelární ročenky ČHMÚ: </w:t>
      </w:r>
      <w:hyperlink r:id="rId20" w:history="1">
        <w:r w:rsidRPr="00EA6B3C">
          <w:rPr>
            <w:rStyle w:val="Hypertextovodkaz"/>
            <w:b w:val="0"/>
          </w:rPr>
          <w:t>https://www.chmi.cz/files/portal/docs/uoco/isko/tab_roc/tab_roc_CZ.html</w:t>
        </w:r>
      </w:hyperlink>
      <w:r w:rsidRPr="00EA6B3C">
        <w:rPr>
          <w:b w:val="0"/>
        </w:rPr>
        <w:t>.</w:t>
      </w:r>
    </w:p>
    <w:p w14:paraId="28A7DB7E" w14:textId="4EC18CCF" w:rsidR="00FC07A6" w:rsidRPr="006B5270" w:rsidRDefault="00F27F1A" w:rsidP="008E1776">
      <w:pPr>
        <w:pStyle w:val="TextKP"/>
        <w:keepNext/>
        <w:rPr>
          <w:b/>
          <w:spacing w:val="-3"/>
        </w:rPr>
      </w:pPr>
      <w:r>
        <w:rPr>
          <w:b/>
          <w:spacing w:val="-3"/>
        </w:rPr>
        <w:t>NKÚ vyhodnotil n</w:t>
      </w:r>
      <w:r w:rsidR="00FC07A6" w:rsidRPr="006B5270">
        <w:rPr>
          <w:b/>
          <w:spacing w:val="-3"/>
        </w:rPr>
        <w:t>a základě zjištěných dat, že:</w:t>
      </w:r>
    </w:p>
    <w:p w14:paraId="4A9C3050" w14:textId="19A05BF6" w:rsidR="00FC07A6" w:rsidRPr="006B5270" w:rsidRDefault="00FC07A6" w:rsidP="008E1776">
      <w:pPr>
        <w:pStyle w:val="TextKP"/>
        <w:numPr>
          <w:ilvl w:val="0"/>
          <w:numId w:val="13"/>
        </w:numPr>
        <w:spacing w:before="0"/>
        <w:ind w:left="284" w:hanging="284"/>
        <w:rPr>
          <w:b/>
          <w:spacing w:val="-3"/>
        </w:rPr>
      </w:pPr>
      <w:r w:rsidRPr="006B5270">
        <w:rPr>
          <w:b/>
          <w:spacing w:val="-3"/>
        </w:rPr>
        <w:t>zákonný imisní limit pro průměrné roční koncentrace PM</w:t>
      </w:r>
      <w:r w:rsidRPr="006B5270">
        <w:rPr>
          <w:b/>
          <w:spacing w:val="-3"/>
          <w:vertAlign w:val="subscript"/>
        </w:rPr>
        <w:t>2,5</w:t>
      </w:r>
      <w:r w:rsidRPr="006B5270">
        <w:rPr>
          <w:b/>
          <w:spacing w:val="-3"/>
        </w:rPr>
        <w:t xml:space="preserve"> byl v roce 2020 překročen na dvou měřicích stanicích, v roce 2021 na devíti měřicích stanicích a v roce 2022 na čtyřech měřicích stanicích. </w:t>
      </w:r>
      <w:r w:rsidR="009B64D6">
        <w:rPr>
          <w:b/>
          <w:spacing w:val="-3"/>
        </w:rPr>
        <w:t>I</w:t>
      </w:r>
      <w:r w:rsidRPr="006B5270">
        <w:rPr>
          <w:b/>
          <w:spacing w:val="-3"/>
        </w:rPr>
        <w:t xml:space="preserve">misní limit </w:t>
      </w:r>
      <w:r w:rsidR="009B64D6">
        <w:rPr>
          <w:b/>
          <w:spacing w:val="-3"/>
        </w:rPr>
        <w:t xml:space="preserve">byl překračován až na jednu stanici ve Zlíně </w:t>
      </w:r>
      <w:r w:rsidRPr="006B5270">
        <w:rPr>
          <w:b/>
          <w:spacing w:val="-3"/>
        </w:rPr>
        <w:t>v roce 2021 pouze na stanicích v aglomeraci Ostrava/Karviná/Frýdek-Místek;</w:t>
      </w:r>
    </w:p>
    <w:p w14:paraId="64F64819" w14:textId="028FE4BF" w:rsidR="00FC07A6" w:rsidRPr="006B5270" w:rsidRDefault="00FC07A6" w:rsidP="008E1776">
      <w:pPr>
        <w:pStyle w:val="TextKP"/>
        <w:numPr>
          <w:ilvl w:val="0"/>
          <w:numId w:val="13"/>
        </w:numPr>
        <w:spacing w:before="0"/>
        <w:ind w:left="284" w:hanging="284"/>
        <w:rPr>
          <w:b/>
          <w:spacing w:val="-3"/>
        </w:rPr>
      </w:pPr>
      <w:r w:rsidRPr="006B5270">
        <w:rPr>
          <w:b/>
          <w:spacing w:val="-3"/>
        </w:rPr>
        <w:t>přísnější imisní limit navrhovaný EK od roku 2030 byl v letech 2020 až 2022 překračován na více než 90 % měřicích stanic s platným měřením;</w:t>
      </w:r>
    </w:p>
    <w:p w14:paraId="5738DB85" w14:textId="57E9427D" w:rsidR="00FC07A6" w:rsidRPr="006B5270" w:rsidRDefault="00FC07A6" w:rsidP="008E1776">
      <w:pPr>
        <w:pStyle w:val="TextKP"/>
        <w:numPr>
          <w:ilvl w:val="0"/>
          <w:numId w:val="13"/>
        </w:numPr>
        <w:spacing w:before="0"/>
        <w:ind w:left="284" w:hanging="284"/>
        <w:rPr>
          <w:b/>
          <w:spacing w:val="-3"/>
        </w:rPr>
      </w:pPr>
      <w:r w:rsidRPr="006B5270">
        <w:rPr>
          <w:b/>
          <w:spacing w:val="-3"/>
        </w:rPr>
        <w:t>nejpřísnější standard doporučovaný WHO</w:t>
      </w:r>
      <w:r w:rsidR="00F27F1A">
        <w:rPr>
          <w:b/>
          <w:spacing w:val="-3"/>
        </w:rPr>
        <w:t xml:space="preserve"> </w:t>
      </w:r>
      <w:r w:rsidRPr="006B5270">
        <w:rPr>
          <w:b/>
          <w:spacing w:val="-3"/>
        </w:rPr>
        <w:t xml:space="preserve">byl v letech 2020 až 2022 překračován s výjimkou </w:t>
      </w:r>
      <w:r w:rsidR="009B64D6">
        <w:rPr>
          <w:b/>
          <w:spacing w:val="-3"/>
        </w:rPr>
        <w:t xml:space="preserve">jedné </w:t>
      </w:r>
      <w:r w:rsidRPr="006B5270">
        <w:rPr>
          <w:b/>
          <w:spacing w:val="-3"/>
        </w:rPr>
        <w:t>měřicí stanice v okrese Prachatice na všech měřicích stanicích.</w:t>
      </w:r>
    </w:p>
    <w:p w14:paraId="3B4A617F" w14:textId="1F7BAE0A" w:rsidR="00FC07A6" w:rsidRPr="006B5270" w:rsidRDefault="00A76FE3" w:rsidP="008E1776">
      <w:pPr>
        <w:pStyle w:val="TextKP"/>
        <w:spacing w:after="120"/>
        <w:rPr>
          <w:spacing w:val="-3"/>
        </w:rPr>
      </w:pPr>
      <w:r>
        <w:rPr>
          <w:spacing w:val="-3"/>
        </w:rPr>
        <w:t>T</w:t>
      </w:r>
      <w:r w:rsidR="00443172">
        <w:rPr>
          <w:spacing w:val="-3"/>
        </w:rPr>
        <w:t xml:space="preserve">abulka </w:t>
      </w:r>
      <w:r w:rsidR="00FC07A6" w:rsidRPr="002D56FA">
        <w:rPr>
          <w:spacing w:val="-3"/>
        </w:rPr>
        <w:t xml:space="preserve">č. </w:t>
      </w:r>
      <w:r w:rsidR="00C5233F">
        <w:rPr>
          <w:spacing w:val="-3"/>
        </w:rPr>
        <w:t>7</w:t>
      </w:r>
      <w:r w:rsidR="00FC07A6" w:rsidRPr="002D56FA">
        <w:rPr>
          <w:spacing w:val="-3"/>
        </w:rPr>
        <w:t xml:space="preserve"> obsahuje vyhodnocení denních koncentrací PM</w:t>
      </w:r>
      <w:r w:rsidR="00FC07A6" w:rsidRPr="002D56FA">
        <w:rPr>
          <w:spacing w:val="-3"/>
          <w:vertAlign w:val="subscript"/>
        </w:rPr>
        <w:t xml:space="preserve">2,5 </w:t>
      </w:r>
      <w:r w:rsidR="00FC07A6" w:rsidRPr="002D56FA">
        <w:rPr>
          <w:spacing w:val="-3"/>
        </w:rPr>
        <w:t>ve vztahu k jejich doporučované úrovni podle WHO</w:t>
      </w:r>
      <w:r w:rsidR="00FC07A6" w:rsidRPr="006B5270">
        <w:rPr>
          <w:spacing w:val="-3"/>
        </w:rPr>
        <w:t xml:space="preserve"> a návrhu EK</w:t>
      </w:r>
      <w:r w:rsidR="009B64D6">
        <w:rPr>
          <w:spacing w:val="-3"/>
        </w:rPr>
        <w:t xml:space="preserve"> za rok 2022.</w:t>
      </w:r>
    </w:p>
    <w:p w14:paraId="2F8B195C" w14:textId="0780233F" w:rsidR="00FC07A6" w:rsidRPr="008E1776" w:rsidRDefault="00FC07A6" w:rsidP="008E1776">
      <w:pPr>
        <w:pStyle w:val="Titulek"/>
        <w:spacing w:after="40"/>
        <w:rPr>
          <w:b/>
        </w:rPr>
      </w:pPr>
      <w:r w:rsidRPr="008E1776">
        <w:rPr>
          <w:b/>
        </w:rPr>
        <w:t xml:space="preserve">Tabulka č. </w:t>
      </w:r>
      <w:r w:rsidRPr="008E1776">
        <w:rPr>
          <w:b/>
        </w:rPr>
        <w:fldChar w:fldCharType="begin"/>
      </w:r>
      <w:r w:rsidRPr="008E1776">
        <w:rPr>
          <w:b/>
        </w:rPr>
        <w:instrText xml:space="preserve"> SEQ Tabulka_č. \* ARABIC </w:instrText>
      </w:r>
      <w:r w:rsidRPr="008E1776">
        <w:rPr>
          <w:b/>
        </w:rPr>
        <w:fldChar w:fldCharType="separate"/>
      </w:r>
      <w:r w:rsidR="000D2E96">
        <w:rPr>
          <w:b/>
          <w:noProof/>
        </w:rPr>
        <w:t>7</w:t>
      </w:r>
      <w:r w:rsidRPr="008E1776">
        <w:rPr>
          <w:b/>
          <w:noProof/>
        </w:rPr>
        <w:fldChar w:fldCharType="end"/>
      </w:r>
      <w:r w:rsidRPr="008E1776">
        <w:rPr>
          <w:b/>
        </w:rPr>
        <w:t>: Hodnocení průměrných denních koncentrace PM</w:t>
      </w:r>
      <w:r w:rsidRPr="008E1776">
        <w:rPr>
          <w:b/>
          <w:vertAlign w:val="subscript"/>
        </w:rPr>
        <w:t>2,5</w:t>
      </w:r>
    </w:p>
    <w:tbl>
      <w:tblPr>
        <w:tblW w:w="5000" w:type="pct"/>
        <w:tblCellMar>
          <w:left w:w="70" w:type="dxa"/>
          <w:right w:w="70" w:type="dxa"/>
        </w:tblCellMar>
        <w:tblLook w:val="04A0" w:firstRow="1" w:lastRow="0" w:firstColumn="1" w:lastColumn="0" w:noHBand="0" w:noVBand="1"/>
      </w:tblPr>
      <w:tblGrid>
        <w:gridCol w:w="1839"/>
        <w:gridCol w:w="3259"/>
        <w:gridCol w:w="1983"/>
        <w:gridCol w:w="1981"/>
      </w:tblGrid>
      <w:tr w:rsidR="00FC07A6" w14:paraId="45801620" w14:textId="77777777" w:rsidTr="00A13E4F">
        <w:trPr>
          <w:trHeight w:val="190"/>
        </w:trPr>
        <w:tc>
          <w:tcPr>
            <w:tcW w:w="1015" w:type="pct"/>
            <w:vMerge w:val="restart"/>
            <w:tcBorders>
              <w:top w:val="single" w:sz="4" w:space="0" w:color="auto"/>
              <w:left w:val="single" w:sz="4" w:space="0" w:color="auto"/>
              <w:right w:val="single" w:sz="4" w:space="0" w:color="auto"/>
            </w:tcBorders>
            <w:shd w:val="clear" w:color="auto" w:fill="F2F2F2"/>
            <w:noWrap/>
            <w:vAlign w:val="center"/>
            <w:hideMark/>
          </w:tcPr>
          <w:p w14:paraId="06589832" w14:textId="77777777" w:rsidR="00FC07A6" w:rsidRPr="00932D3C" w:rsidRDefault="00FC07A6" w:rsidP="00CB5F05">
            <w:pPr>
              <w:jc w:val="center"/>
              <w:rPr>
                <w:b/>
                <w:bCs/>
                <w:color w:val="000000"/>
                <w:sz w:val="20"/>
                <w:szCs w:val="20"/>
                <w:lang w:eastAsia="cs-CZ"/>
              </w:rPr>
            </w:pPr>
            <w:r w:rsidRPr="00932D3C">
              <w:rPr>
                <w:b/>
                <w:bCs/>
                <w:color w:val="000000"/>
                <w:sz w:val="20"/>
                <w:szCs w:val="20"/>
                <w:lang w:eastAsia="cs-CZ"/>
              </w:rPr>
              <w:t>Rok</w:t>
            </w:r>
          </w:p>
        </w:tc>
        <w:tc>
          <w:tcPr>
            <w:tcW w:w="1798" w:type="pct"/>
            <w:vMerge w:val="restart"/>
            <w:tcBorders>
              <w:top w:val="single" w:sz="4" w:space="0" w:color="auto"/>
              <w:left w:val="nil"/>
              <w:right w:val="single" w:sz="4" w:space="0" w:color="auto"/>
            </w:tcBorders>
            <w:shd w:val="clear" w:color="auto" w:fill="F2F2F2"/>
            <w:vAlign w:val="center"/>
            <w:hideMark/>
          </w:tcPr>
          <w:p w14:paraId="0FD36B5E" w14:textId="77777777" w:rsidR="00FC07A6" w:rsidRDefault="00FC07A6" w:rsidP="00CB5F05">
            <w:pPr>
              <w:jc w:val="center"/>
              <w:rPr>
                <w:b/>
                <w:bCs/>
                <w:color w:val="000000"/>
                <w:sz w:val="20"/>
                <w:szCs w:val="20"/>
                <w:lang w:eastAsia="cs-CZ"/>
              </w:rPr>
            </w:pPr>
            <w:r w:rsidRPr="00932D3C">
              <w:rPr>
                <w:b/>
                <w:bCs/>
                <w:color w:val="000000"/>
                <w:sz w:val="20"/>
                <w:szCs w:val="20"/>
                <w:lang w:eastAsia="cs-CZ"/>
              </w:rPr>
              <w:t xml:space="preserve">Počet stanic, na kterých </w:t>
            </w:r>
            <w:r>
              <w:rPr>
                <w:b/>
                <w:bCs/>
                <w:color w:val="000000"/>
                <w:sz w:val="20"/>
                <w:szCs w:val="20"/>
                <w:lang w:eastAsia="cs-CZ"/>
              </w:rPr>
              <w:t>bylo možné vyhodnotit</w:t>
            </w:r>
            <w:r w:rsidRPr="00932D3C">
              <w:rPr>
                <w:b/>
                <w:bCs/>
                <w:color w:val="000000"/>
                <w:sz w:val="20"/>
                <w:szCs w:val="20"/>
                <w:lang w:eastAsia="cs-CZ"/>
              </w:rPr>
              <w:t xml:space="preserve"> </w:t>
            </w:r>
            <w:r>
              <w:rPr>
                <w:b/>
                <w:bCs/>
                <w:color w:val="000000"/>
                <w:sz w:val="20"/>
                <w:szCs w:val="20"/>
                <w:lang w:eastAsia="cs-CZ"/>
              </w:rPr>
              <w:t>denní koncentrace PM</w:t>
            </w:r>
            <w:r w:rsidRPr="00F07672">
              <w:rPr>
                <w:b/>
                <w:bCs/>
                <w:color w:val="000000"/>
                <w:sz w:val="20"/>
                <w:szCs w:val="20"/>
                <w:vertAlign w:val="subscript"/>
                <w:lang w:eastAsia="cs-CZ"/>
              </w:rPr>
              <w:t>2,5</w:t>
            </w:r>
          </w:p>
        </w:tc>
        <w:tc>
          <w:tcPr>
            <w:tcW w:w="2187" w:type="pct"/>
            <w:gridSpan w:val="2"/>
            <w:tcBorders>
              <w:top w:val="single" w:sz="4" w:space="0" w:color="auto"/>
              <w:left w:val="nil"/>
              <w:bottom w:val="single" w:sz="4" w:space="0" w:color="auto"/>
              <w:right w:val="single" w:sz="4" w:space="0" w:color="auto"/>
            </w:tcBorders>
            <w:shd w:val="clear" w:color="auto" w:fill="F2F2F2"/>
            <w:vAlign w:val="center"/>
          </w:tcPr>
          <w:p w14:paraId="3CCAA747" w14:textId="77777777" w:rsidR="00FC07A6" w:rsidRPr="00932D3C" w:rsidRDefault="00FC07A6" w:rsidP="00CB5F05">
            <w:pPr>
              <w:jc w:val="center"/>
              <w:rPr>
                <w:b/>
                <w:bCs/>
                <w:color w:val="000000"/>
                <w:sz w:val="20"/>
                <w:szCs w:val="20"/>
                <w:lang w:eastAsia="cs-CZ"/>
              </w:rPr>
            </w:pPr>
            <w:r>
              <w:rPr>
                <w:b/>
                <w:bCs/>
                <w:color w:val="000000"/>
                <w:sz w:val="20"/>
                <w:szCs w:val="20"/>
                <w:lang w:eastAsia="cs-CZ"/>
              </w:rPr>
              <w:t>Nedodržení doporučení / limitu</w:t>
            </w:r>
          </w:p>
        </w:tc>
      </w:tr>
      <w:tr w:rsidR="00FC07A6" w14:paraId="3849FD17" w14:textId="77777777" w:rsidTr="00A13E4F">
        <w:trPr>
          <w:trHeight w:val="190"/>
        </w:trPr>
        <w:tc>
          <w:tcPr>
            <w:tcW w:w="1015" w:type="pct"/>
            <w:vMerge/>
            <w:tcBorders>
              <w:left w:val="single" w:sz="4" w:space="0" w:color="auto"/>
              <w:bottom w:val="single" w:sz="4" w:space="0" w:color="auto"/>
              <w:right w:val="single" w:sz="4" w:space="0" w:color="auto"/>
            </w:tcBorders>
            <w:shd w:val="clear" w:color="auto" w:fill="F2F2F2"/>
            <w:noWrap/>
            <w:vAlign w:val="center"/>
          </w:tcPr>
          <w:p w14:paraId="5DDDA077" w14:textId="77777777" w:rsidR="00FC07A6" w:rsidRPr="00932D3C" w:rsidRDefault="00FC07A6" w:rsidP="00CB5F05">
            <w:pPr>
              <w:jc w:val="center"/>
              <w:rPr>
                <w:b/>
                <w:bCs/>
                <w:color w:val="000000"/>
                <w:sz w:val="20"/>
                <w:szCs w:val="20"/>
                <w:lang w:eastAsia="cs-CZ"/>
              </w:rPr>
            </w:pPr>
          </w:p>
        </w:tc>
        <w:tc>
          <w:tcPr>
            <w:tcW w:w="1798" w:type="pct"/>
            <w:vMerge/>
            <w:tcBorders>
              <w:left w:val="nil"/>
              <w:bottom w:val="single" w:sz="4" w:space="0" w:color="auto"/>
              <w:right w:val="single" w:sz="4" w:space="0" w:color="auto"/>
            </w:tcBorders>
            <w:shd w:val="clear" w:color="auto" w:fill="F2F2F2"/>
            <w:vAlign w:val="center"/>
          </w:tcPr>
          <w:p w14:paraId="1A61E314" w14:textId="77777777" w:rsidR="00FC07A6" w:rsidRPr="00932D3C" w:rsidRDefault="00FC07A6" w:rsidP="00CB5F05">
            <w:pPr>
              <w:jc w:val="center"/>
              <w:rPr>
                <w:b/>
                <w:bCs/>
                <w:color w:val="000000"/>
                <w:sz w:val="20"/>
                <w:szCs w:val="20"/>
                <w:lang w:eastAsia="cs-CZ"/>
              </w:rPr>
            </w:pPr>
          </w:p>
        </w:tc>
        <w:tc>
          <w:tcPr>
            <w:tcW w:w="1094" w:type="pct"/>
            <w:tcBorders>
              <w:top w:val="single" w:sz="4" w:space="0" w:color="auto"/>
              <w:left w:val="nil"/>
              <w:bottom w:val="single" w:sz="4" w:space="0" w:color="auto"/>
              <w:right w:val="single" w:sz="4" w:space="0" w:color="auto"/>
            </w:tcBorders>
            <w:shd w:val="clear" w:color="auto" w:fill="F2F2F2"/>
            <w:vAlign w:val="center"/>
          </w:tcPr>
          <w:p w14:paraId="385134AF" w14:textId="5E2AF9C3" w:rsidR="00FC07A6" w:rsidRDefault="00FC07A6" w:rsidP="00CB5F05">
            <w:pPr>
              <w:jc w:val="center"/>
              <w:rPr>
                <w:b/>
                <w:bCs/>
                <w:color w:val="000000"/>
                <w:sz w:val="20"/>
                <w:szCs w:val="20"/>
                <w:lang w:eastAsia="cs-CZ"/>
              </w:rPr>
            </w:pPr>
            <w:r>
              <w:rPr>
                <w:b/>
                <w:bCs/>
                <w:color w:val="000000"/>
                <w:sz w:val="20"/>
                <w:szCs w:val="20"/>
                <w:lang w:eastAsia="cs-CZ"/>
              </w:rPr>
              <w:t>WHO 2021</w:t>
            </w:r>
            <w:r w:rsidR="004240B8" w:rsidRPr="004240B8">
              <w:rPr>
                <w:b/>
                <w:sz w:val="20"/>
                <w:szCs w:val="20"/>
              </w:rPr>
              <w:t>*</w:t>
            </w:r>
          </w:p>
        </w:tc>
        <w:tc>
          <w:tcPr>
            <w:tcW w:w="1093" w:type="pct"/>
            <w:tcBorders>
              <w:top w:val="single" w:sz="4" w:space="0" w:color="auto"/>
              <w:left w:val="nil"/>
              <w:bottom w:val="single" w:sz="4" w:space="0" w:color="auto"/>
              <w:right w:val="single" w:sz="4" w:space="0" w:color="auto"/>
            </w:tcBorders>
            <w:shd w:val="clear" w:color="auto" w:fill="F2F2F2"/>
            <w:vAlign w:val="center"/>
          </w:tcPr>
          <w:p w14:paraId="1E5EDCD1" w14:textId="2CDB3FC6" w:rsidR="00FC07A6" w:rsidRDefault="00FC07A6" w:rsidP="00CB5F05">
            <w:pPr>
              <w:jc w:val="center"/>
              <w:rPr>
                <w:b/>
                <w:bCs/>
                <w:color w:val="000000"/>
                <w:sz w:val="20"/>
                <w:szCs w:val="20"/>
                <w:lang w:eastAsia="cs-CZ"/>
              </w:rPr>
            </w:pPr>
            <w:r>
              <w:rPr>
                <w:b/>
                <w:bCs/>
                <w:color w:val="000000"/>
                <w:sz w:val="20"/>
                <w:szCs w:val="20"/>
                <w:lang w:eastAsia="cs-CZ"/>
              </w:rPr>
              <w:t>Návrh EK</w:t>
            </w:r>
            <w:r w:rsidR="004240B8" w:rsidRPr="004240B8">
              <w:rPr>
                <w:b/>
                <w:sz w:val="20"/>
                <w:szCs w:val="20"/>
              </w:rPr>
              <w:t>**</w:t>
            </w:r>
          </w:p>
        </w:tc>
      </w:tr>
      <w:tr w:rsidR="00FC07A6" w14:paraId="206ADAC5" w14:textId="77777777" w:rsidTr="00CB5F05">
        <w:trPr>
          <w:trHeight w:val="20"/>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F39EB" w14:textId="77777777" w:rsidR="00FC07A6" w:rsidRPr="00932D3C" w:rsidRDefault="00FC07A6" w:rsidP="00CB5F05">
            <w:pPr>
              <w:jc w:val="center"/>
              <w:rPr>
                <w:color w:val="000000"/>
                <w:sz w:val="20"/>
                <w:szCs w:val="20"/>
                <w:lang w:eastAsia="cs-CZ"/>
              </w:rPr>
            </w:pPr>
            <w:r w:rsidRPr="00932D3C">
              <w:rPr>
                <w:color w:val="000000"/>
                <w:sz w:val="20"/>
                <w:szCs w:val="20"/>
                <w:lang w:eastAsia="cs-CZ"/>
              </w:rPr>
              <w:t>2022</w:t>
            </w:r>
          </w:p>
        </w:tc>
        <w:tc>
          <w:tcPr>
            <w:tcW w:w="1798" w:type="pct"/>
            <w:tcBorders>
              <w:top w:val="single" w:sz="4" w:space="0" w:color="auto"/>
              <w:left w:val="nil"/>
              <w:bottom w:val="single" w:sz="4" w:space="0" w:color="auto"/>
              <w:right w:val="single" w:sz="4" w:space="0" w:color="auto"/>
            </w:tcBorders>
            <w:shd w:val="clear" w:color="auto" w:fill="auto"/>
            <w:noWrap/>
            <w:vAlign w:val="center"/>
            <w:hideMark/>
          </w:tcPr>
          <w:p w14:paraId="70DDA8B0" w14:textId="77777777" w:rsidR="00FC07A6" w:rsidRPr="00932D3C" w:rsidRDefault="00FC07A6" w:rsidP="00CB5F05">
            <w:pPr>
              <w:jc w:val="center"/>
              <w:rPr>
                <w:color w:val="000000"/>
                <w:sz w:val="20"/>
                <w:szCs w:val="20"/>
                <w:lang w:eastAsia="cs-CZ"/>
              </w:rPr>
            </w:pPr>
            <w:r>
              <w:rPr>
                <w:color w:val="000000"/>
                <w:sz w:val="20"/>
                <w:szCs w:val="20"/>
                <w:lang w:eastAsia="cs-CZ"/>
              </w:rPr>
              <w:t>110</w:t>
            </w:r>
          </w:p>
        </w:tc>
        <w:tc>
          <w:tcPr>
            <w:tcW w:w="1094" w:type="pct"/>
            <w:tcBorders>
              <w:top w:val="single" w:sz="4" w:space="0" w:color="auto"/>
              <w:left w:val="nil"/>
              <w:bottom w:val="single" w:sz="4" w:space="0" w:color="auto"/>
              <w:right w:val="single" w:sz="4" w:space="0" w:color="auto"/>
            </w:tcBorders>
            <w:shd w:val="clear" w:color="auto" w:fill="auto"/>
            <w:vAlign w:val="center"/>
          </w:tcPr>
          <w:p w14:paraId="029D4A3F" w14:textId="77777777" w:rsidR="00FC07A6" w:rsidRPr="00932D3C" w:rsidRDefault="00FC07A6" w:rsidP="00CB5F05">
            <w:pPr>
              <w:jc w:val="center"/>
              <w:rPr>
                <w:color w:val="000000"/>
                <w:sz w:val="20"/>
                <w:szCs w:val="20"/>
                <w:lang w:eastAsia="cs-CZ"/>
              </w:rPr>
            </w:pPr>
            <w:r>
              <w:rPr>
                <w:color w:val="000000"/>
                <w:sz w:val="20"/>
                <w:szCs w:val="20"/>
                <w:lang w:eastAsia="cs-CZ"/>
              </w:rPr>
              <w:t>110</w:t>
            </w:r>
          </w:p>
        </w:tc>
        <w:tc>
          <w:tcPr>
            <w:tcW w:w="1093" w:type="pct"/>
            <w:tcBorders>
              <w:top w:val="single" w:sz="4" w:space="0" w:color="auto"/>
              <w:left w:val="nil"/>
              <w:bottom w:val="single" w:sz="4" w:space="0" w:color="auto"/>
              <w:right w:val="single" w:sz="4" w:space="0" w:color="auto"/>
            </w:tcBorders>
            <w:shd w:val="clear" w:color="auto" w:fill="auto"/>
            <w:noWrap/>
            <w:vAlign w:val="center"/>
            <w:hideMark/>
          </w:tcPr>
          <w:p w14:paraId="67361259" w14:textId="77777777" w:rsidR="00FC07A6" w:rsidRPr="00932D3C" w:rsidRDefault="00FC07A6" w:rsidP="00CB5F05">
            <w:pPr>
              <w:jc w:val="center"/>
              <w:rPr>
                <w:color w:val="000000"/>
                <w:sz w:val="20"/>
                <w:szCs w:val="20"/>
                <w:lang w:eastAsia="cs-CZ"/>
              </w:rPr>
            </w:pPr>
            <w:r>
              <w:rPr>
                <w:color w:val="000000"/>
                <w:sz w:val="20"/>
                <w:szCs w:val="20"/>
                <w:lang w:eastAsia="cs-CZ"/>
              </w:rPr>
              <w:t>92</w:t>
            </w:r>
          </w:p>
        </w:tc>
      </w:tr>
    </w:tbl>
    <w:p w14:paraId="3E577A67" w14:textId="722A69D1" w:rsidR="00FC07A6" w:rsidRPr="00EA6B3C" w:rsidRDefault="00FC07A6" w:rsidP="00955553">
      <w:pPr>
        <w:pStyle w:val="Zdrojeapozn"/>
        <w:rPr>
          <w:b w:val="0"/>
        </w:rPr>
      </w:pPr>
      <w:r w:rsidRPr="00F13367">
        <w:t>Zdroj:</w:t>
      </w:r>
      <w:r w:rsidR="004240B8">
        <w:t xml:space="preserve"> </w:t>
      </w:r>
      <w:r w:rsidR="004240B8" w:rsidRPr="00EA6B3C">
        <w:rPr>
          <w:b w:val="0"/>
        </w:rPr>
        <w:t>i</w:t>
      </w:r>
      <w:r w:rsidR="00664A04" w:rsidRPr="00EA6B3C">
        <w:rPr>
          <w:b w:val="0"/>
        </w:rPr>
        <w:t xml:space="preserve">nformace </w:t>
      </w:r>
      <w:r w:rsidRPr="00EA6B3C">
        <w:rPr>
          <w:b w:val="0"/>
        </w:rPr>
        <w:t>MŽP.</w:t>
      </w:r>
    </w:p>
    <w:p w14:paraId="4A7659AA" w14:textId="640D4826" w:rsidR="004240B8" w:rsidRPr="00EA6B3C" w:rsidRDefault="004240B8" w:rsidP="00955553">
      <w:pPr>
        <w:pStyle w:val="Zdrojeapozn"/>
        <w:rPr>
          <w:b w:val="0"/>
          <w:lang w:eastAsia="cs-CZ"/>
        </w:rPr>
      </w:pPr>
      <w:r w:rsidRPr="00E14921">
        <w:t>*</w:t>
      </w:r>
      <w:r w:rsidR="00FC07A6">
        <w:t xml:space="preserve"> </w:t>
      </w:r>
      <w:r w:rsidR="00F97FD7">
        <w:tab/>
      </w:r>
      <w:r w:rsidRPr="00EA6B3C">
        <w:rPr>
          <w:b w:val="0"/>
        </w:rPr>
        <w:t>M</w:t>
      </w:r>
      <w:r w:rsidR="00FC07A6" w:rsidRPr="00EA6B3C">
        <w:rPr>
          <w:b w:val="0"/>
        </w:rPr>
        <w:t xml:space="preserve">ezní hodnota </w:t>
      </w:r>
      <w:r w:rsidR="00FC07A6" w:rsidRPr="00EA6B3C">
        <w:rPr>
          <w:b w:val="0"/>
          <w:lang w:eastAsia="cs-CZ"/>
        </w:rPr>
        <w:t>15 µg/m</w:t>
      </w:r>
      <w:r w:rsidR="00FC07A6" w:rsidRPr="00EA6B3C">
        <w:rPr>
          <w:b w:val="0"/>
          <w:vertAlign w:val="superscript"/>
          <w:lang w:eastAsia="cs-CZ"/>
        </w:rPr>
        <w:t>3</w:t>
      </w:r>
      <w:r w:rsidR="00FC07A6" w:rsidRPr="00EA6B3C">
        <w:rPr>
          <w:b w:val="0"/>
          <w:lang w:eastAsia="cs-CZ"/>
        </w:rPr>
        <w:t xml:space="preserve"> překročena 4</w:t>
      </w:r>
      <w:r w:rsidRPr="00EA6B3C">
        <w:rPr>
          <w:rFonts w:cstheme="minorHAnsi"/>
          <w:b w:val="0"/>
          <w:lang w:eastAsia="cs-CZ"/>
        </w:rPr>
        <w:t>×</w:t>
      </w:r>
      <w:r w:rsidR="00FC07A6" w:rsidRPr="00EA6B3C">
        <w:rPr>
          <w:b w:val="0"/>
          <w:lang w:eastAsia="cs-CZ"/>
        </w:rPr>
        <w:t xml:space="preserve"> a vícekrát</w:t>
      </w:r>
      <w:r w:rsidRPr="00EA6B3C">
        <w:rPr>
          <w:b w:val="0"/>
          <w:lang w:eastAsia="cs-CZ"/>
        </w:rPr>
        <w:t>.</w:t>
      </w:r>
    </w:p>
    <w:p w14:paraId="35168319" w14:textId="22FAC1C5" w:rsidR="00FA217F" w:rsidRPr="00EA6B3C" w:rsidRDefault="004240B8" w:rsidP="00955553">
      <w:pPr>
        <w:pStyle w:val="Zdrojeapozn"/>
        <w:rPr>
          <w:b w:val="0"/>
          <w:lang w:eastAsia="cs-CZ"/>
        </w:rPr>
      </w:pPr>
      <w:r w:rsidRPr="004240B8">
        <w:rPr>
          <w:szCs w:val="20"/>
        </w:rPr>
        <w:t>**</w:t>
      </w:r>
      <w:r w:rsidR="00FC07A6">
        <w:rPr>
          <w:lang w:eastAsia="cs-CZ"/>
        </w:rPr>
        <w:t xml:space="preserve"> </w:t>
      </w:r>
      <w:r w:rsidR="00F97FD7" w:rsidRPr="00EA6B3C">
        <w:rPr>
          <w:b w:val="0"/>
          <w:lang w:eastAsia="cs-CZ"/>
        </w:rPr>
        <w:tab/>
      </w:r>
      <w:r w:rsidRPr="00EA6B3C">
        <w:rPr>
          <w:b w:val="0"/>
          <w:lang w:eastAsia="cs-CZ"/>
        </w:rPr>
        <w:t>M</w:t>
      </w:r>
      <w:r w:rsidR="00FC07A6" w:rsidRPr="00EA6B3C">
        <w:rPr>
          <w:b w:val="0"/>
          <w:lang w:eastAsia="cs-CZ"/>
        </w:rPr>
        <w:t>ezní hodnota 25 µg/m</w:t>
      </w:r>
      <w:r w:rsidR="00FC07A6" w:rsidRPr="00EA6B3C">
        <w:rPr>
          <w:b w:val="0"/>
          <w:vertAlign w:val="superscript"/>
          <w:lang w:eastAsia="cs-CZ"/>
        </w:rPr>
        <w:t>3</w:t>
      </w:r>
      <w:r w:rsidR="00FC07A6" w:rsidRPr="00EA6B3C">
        <w:rPr>
          <w:b w:val="0"/>
          <w:lang w:eastAsia="cs-CZ"/>
        </w:rPr>
        <w:t xml:space="preserve"> překročena 19</w:t>
      </w:r>
      <w:r w:rsidRPr="00EA6B3C">
        <w:rPr>
          <w:rFonts w:cstheme="minorHAnsi"/>
          <w:b w:val="0"/>
          <w:lang w:eastAsia="cs-CZ"/>
        </w:rPr>
        <w:t>×</w:t>
      </w:r>
      <w:r w:rsidR="00FC07A6" w:rsidRPr="00EA6B3C">
        <w:rPr>
          <w:b w:val="0"/>
          <w:lang w:eastAsia="cs-CZ"/>
        </w:rPr>
        <w:t xml:space="preserve"> a</w:t>
      </w:r>
      <w:r w:rsidR="00663546" w:rsidRPr="00EA6B3C">
        <w:rPr>
          <w:b w:val="0"/>
          <w:lang w:eastAsia="cs-CZ"/>
        </w:rPr>
        <w:t> </w:t>
      </w:r>
      <w:r w:rsidR="00FC07A6" w:rsidRPr="00EA6B3C">
        <w:rPr>
          <w:b w:val="0"/>
          <w:lang w:eastAsia="cs-CZ"/>
        </w:rPr>
        <w:t>vícekrát.</w:t>
      </w:r>
    </w:p>
    <w:p w14:paraId="3BB02462" w14:textId="08E85AC4" w:rsidR="00C5233F" w:rsidRDefault="00006983" w:rsidP="00FC07A6">
      <w:pPr>
        <w:pStyle w:val="TextKP"/>
        <w:rPr>
          <w:b/>
        </w:rPr>
      </w:pPr>
      <w:r>
        <w:rPr>
          <w:b/>
        </w:rPr>
        <w:lastRenderedPageBreak/>
        <w:t>NKÚ vyhodnotil n</w:t>
      </w:r>
      <w:r w:rsidR="00FC07A6" w:rsidRPr="00FA217F">
        <w:rPr>
          <w:b/>
        </w:rPr>
        <w:t xml:space="preserve">a základě zjištěných dat, </w:t>
      </w:r>
      <w:r>
        <w:rPr>
          <w:b/>
        </w:rPr>
        <w:t xml:space="preserve">že </w:t>
      </w:r>
      <w:r w:rsidR="00FC07A6" w:rsidRPr="00FA217F">
        <w:rPr>
          <w:b/>
        </w:rPr>
        <w:t>z pohledu doporučovaných limitů WHO pro částice PM</w:t>
      </w:r>
      <w:r w:rsidR="00FC07A6" w:rsidRPr="00FA217F">
        <w:rPr>
          <w:b/>
          <w:vertAlign w:val="subscript"/>
        </w:rPr>
        <w:t>2,5</w:t>
      </w:r>
      <w:r w:rsidR="00FC07A6" w:rsidRPr="00FA217F">
        <w:rPr>
          <w:b/>
        </w:rPr>
        <w:t xml:space="preserve"> je kvalita ovzduší na většině území ČR zatížena </w:t>
      </w:r>
      <w:r>
        <w:rPr>
          <w:b/>
        </w:rPr>
        <w:t xml:space="preserve">jejich </w:t>
      </w:r>
      <w:r w:rsidR="00FC07A6" w:rsidRPr="00FA217F">
        <w:rPr>
          <w:b/>
        </w:rPr>
        <w:t xml:space="preserve">nadměrnými koncentracemi. Standard kvality ovzduší doporučovaný WHO pro maximální denní koncentrace byl v roce 2022 překročen na všech stanicích, na kterých bylo možné tento parametr vyhodnotit. Mírnější imisní limit navrhovaný </w:t>
      </w:r>
      <w:r>
        <w:rPr>
          <w:b/>
        </w:rPr>
        <w:t>EK</w:t>
      </w:r>
      <w:r w:rsidR="00FC07A6" w:rsidRPr="00FA217F">
        <w:rPr>
          <w:b/>
        </w:rPr>
        <w:t xml:space="preserve"> byl překročen na 92 stanicích ze 110 stanic, na kterých bylo možné tento parametr vyhodnotit.</w:t>
      </w:r>
    </w:p>
    <w:p w14:paraId="44ED456A" w14:textId="3C1AE76E" w:rsidR="00441B1E" w:rsidRPr="009F75A3" w:rsidRDefault="00441B1E" w:rsidP="00092AF9">
      <w:pPr>
        <w:pStyle w:val="TextKP"/>
        <w:keepNext/>
        <w:numPr>
          <w:ilvl w:val="0"/>
          <w:numId w:val="45"/>
        </w:numPr>
        <w:spacing w:before="240" w:after="120"/>
        <w:ind w:left="284" w:hanging="284"/>
        <w:outlineLvl w:val="1"/>
        <w:rPr>
          <w:b/>
        </w:rPr>
      </w:pPr>
      <w:r w:rsidRPr="009F75A3">
        <w:rPr>
          <w:b/>
        </w:rPr>
        <w:t>Nesoulad s právními předpisy při financování ochrany ovzduší</w:t>
      </w:r>
    </w:p>
    <w:p w14:paraId="7F7C5CF2" w14:textId="47EC079F" w:rsidR="00CB18DF" w:rsidRPr="00441B1E" w:rsidRDefault="00CB18DF" w:rsidP="00092AF9">
      <w:pPr>
        <w:pStyle w:val="TextKP"/>
        <w:keepNext/>
        <w:outlineLvl w:val="2"/>
        <w:rPr>
          <w:b/>
          <w:color w:val="000000"/>
          <w:lang w:eastAsia="cs-CZ"/>
        </w:rPr>
      </w:pPr>
      <w:r w:rsidRPr="00441B1E">
        <w:rPr>
          <w:b/>
        </w:rPr>
        <w:t>Výnosy z poplatků za znečišťování ovzduší</w:t>
      </w:r>
    </w:p>
    <w:p w14:paraId="6106B9B5" w14:textId="478B3745" w:rsidR="00CB18DF" w:rsidRPr="00C0338B" w:rsidRDefault="00CB18DF" w:rsidP="00CB18DF">
      <w:pPr>
        <w:pStyle w:val="TextKP"/>
        <w:spacing w:after="120"/>
      </w:pPr>
      <w:r w:rsidRPr="00C0338B">
        <w:t xml:space="preserve">Výnos z poplatků za znečišťování ovzduší je od roku 2017 z 65 % příjmem SFŽP, z 25 % je příjmem kraje, na jehož území se stacionární zdroj </w:t>
      </w:r>
      <w:r w:rsidR="00E7379F">
        <w:t xml:space="preserve">znečišťování </w:t>
      </w:r>
      <w:r w:rsidRPr="00C0338B">
        <w:t>nachází, a z 10 % se jedná o</w:t>
      </w:r>
      <w:r w:rsidR="001363D7">
        <w:t> </w:t>
      </w:r>
      <w:r w:rsidRPr="00C0338B">
        <w:t>příjem státního rozpočtu (dále také „SR“). Dle § 15 odst. 14 zákona č. 201/2012 Sb. může být výnos z</w:t>
      </w:r>
      <w:r w:rsidR="00520497">
        <w:t> </w:t>
      </w:r>
      <w:r w:rsidRPr="00C0338B">
        <w:t>poplatků za znečišťování ovzduší, který je příjmem státního rozpočtu, použit jen na financování činností zajišťovaných MŽP prostřednictvím jím zřízené příspěvkové organizace ČHMÚ.</w:t>
      </w:r>
    </w:p>
    <w:p w14:paraId="5A0F3017" w14:textId="0AA985E6" w:rsidR="00CB18DF" w:rsidRDefault="00CB18DF" w:rsidP="00CB18DF">
      <w:pPr>
        <w:pStyle w:val="TextKP"/>
      </w:pPr>
      <w:r w:rsidRPr="00C0338B">
        <w:t>Výběr těchto poplatků zajišťuje Generální ředitelství cel</w:t>
      </w:r>
      <w:r w:rsidR="00664A04">
        <w:t xml:space="preserve"> (dále také „GŘC“)</w:t>
      </w:r>
      <w:r w:rsidRPr="00C0338B">
        <w:t xml:space="preserve">. Ačkoli MŽP požádalo GŘC o převádění prostředků na svůj příjmový účet, nebylo tomuto požadavku vyhověno, takže MŽP vykazovalo neplnění těchto příjmů. GŘC převádělo výnosy z poplatků za znečišťování ovzduší na speciální účet státního rozpočtu v rámci kapitoly 398 </w:t>
      </w:r>
      <w:r w:rsidR="004437B7">
        <w:t>–</w:t>
      </w:r>
      <w:r w:rsidRPr="00C0338B">
        <w:t xml:space="preserve"> </w:t>
      </w:r>
      <w:r w:rsidR="004437B7" w:rsidRPr="002F3B4E">
        <w:rPr>
          <w:i/>
        </w:rPr>
        <w:t xml:space="preserve">Všeobecná </w:t>
      </w:r>
      <w:r w:rsidRPr="002F3B4E">
        <w:rPr>
          <w:i/>
        </w:rPr>
        <w:t>pokladní správa</w:t>
      </w:r>
      <w:r w:rsidRPr="00C0338B">
        <w:t xml:space="preserve">. MŽP používalo postup, kdy se pravidelně dotazovalo GŘC na skutečný výnos z poplatků alokovaný pro státní rozpočet. Následně pak došlo k uvolnění příslušné částky pro ČHMÚ. </w:t>
      </w:r>
      <w:r w:rsidRPr="00C0338B">
        <w:rPr>
          <w:iCs/>
        </w:rPr>
        <w:t xml:space="preserve">Roky 2019 a 2020 ukázaly nevhodnost tohoto postupu, jelikož skutečný výnos z poplatků byl mnohem vyšší než rozpočtované výdaje. </w:t>
      </w:r>
      <w:r w:rsidRPr="00C0338B">
        <w:t>Od roku 2021 na základě dohody s GŘC již dochází k převodu těchto prostředků na příjmový účet MŽP.</w:t>
      </w:r>
    </w:p>
    <w:p w14:paraId="318F38AA" w14:textId="48168058" w:rsidR="00507C4A" w:rsidRPr="0059045E" w:rsidRDefault="0059045E" w:rsidP="00675381">
      <w:pPr>
        <w:pStyle w:val="Titulek"/>
        <w:tabs>
          <w:tab w:val="left" w:pos="8505"/>
        </w:tabs>
        <w:spacing w:after="120"/>
        <w:rPr>
          <w:b/>
          <w:i/>
          <w:color w:val="AF1953"/>
        </w:rPr>
      </w:pPr>
      <w:r w:rsidRPr="0059045E">
        <w:rPr>
          <w:b/>
          <w:i/>
          <w:color w:val="AF1953"/>
        </w:rPr>
        <w:t xml:space="preserve">→ </w:t>
      </w:r>
      <w:r w:rsidR="00507C4A" w:rsidRPr="0059045E">
        <w:rPr>
          <w:b/>
          <w:i/>
          <w:color w:val="AF1953"/>
        </w:rPr>
        <w:t>Část výnosů z poplatků za znečišťování ovzduší v letech 2019 a 2020, která byla příjmem státního rozpočtu</w:t>
      </w:r>
      <w:r w:rsidR="001807A0" w:rsidRPr="0059045E">
        <w:rPr>
          <w:b/>
          <w:i/>
          <w:color w:val="AF1953"/>
        </w:rPr>
        <w:t>,</w:t>
      </w:r>
      <w:r w:rsidR="00507C4A" w:rsidRPr="0059045E">
        <w:rPr>
          <w:b/>
          <w:i/>
          <w:color w:val="AF1953"/>
        </w:rPr>
        <w:t xml:space="preserve"> nebyla použita v plné výši na zákonem stanovené účely.</w:t>
      </w:r>
    </w:p>
    <w:p w14:paraId="1A0EA009" w14:textId="0A7C84B2" w:rsidR="00CB18DF" w:rsidRPr="004826DE" w:rsidRDefault="00FA61F6" w:rsidP="00D91C64">
      <w:pPr>
        <w:pStyle w:val="Titulek"/>
        <w:tabs>
          <w:tab w:val="right" w:pos="9072"/>
        </w:tabs>
        <w:spacing w:after="40"/>
        <w:ind w:left="1418" w:hanging="1418"/>
        <w:rPr>
          <w:rFonts w:cstheme="minorHAnsi"/>
          <w:b/>
        </w:rPr>
      </w:pPr>
      <w:r w:rsidRPr="004826DE">
        <w:rPr>
          <w:b/>
        </w:rPr>
        <w:t xml:space="preserve">Tabulka č. </w:t>
      </w:r>
      <w:r w:rsidRPr="004826DE">
        <w:rPr>
          <w:b/>
        </w:rPr>
        <w:fldChar w:fldCharType="begin"/>
      </w:r>
      <w:r w:rsidRPr="004826DE">
        <w:rPr>
          <w:b/>
        </w:rPr>
        <w:instrText xml:space="preserve"> SEQ Tabulka_č. \* ARABIC </w:instrText>
      </w:r>
      <w:r w:rsidRPr="004826DE">
        <w:rPr>
          <w:b/>
        </w:rPr>
        <w:fldChar w:fldCharType="separate"/>
      </w:r>
      <w:r w:rsidR="000D2E96">
        <w:rPr>
          <w:b/>
          <w:noProof/>
        </w:rPr>
        <w:t>8</w:t>
      </w:r>
      <w:r w:rsidRPr="004826DE">
        <w:rPr>
          <w:b/>
        </w:rPr>
        <w:fldChar w:fldCharType="end"/>
      </w:r>
      <w:r w:rsidRPr="004826DE">
        <w:rPr>
          <w:b/>
        </w:rPr>
        <w:t xml:space="preserve">: </w:t>
      </w:r>
      <w:r w:rsidR="004826DE">
        <w:rPr>
          <w:b/>
        </w:rPr>
        <w:tab/>
      </w:r>
      <w:r w:rsidR="00CB18DF" w:rsidRPr="004826DE">
        <w:rPr>
          <w:rFonts w:cstheme="minorHAnsi"/>
          <w:b/>
        </w:rPr>
        <w:t xml:space="preserve">Přehled výše poplatků za znečišťování ovzduší – kapitola SR 315 – MŽP, položka 1332 - </w:t>
      </w:r>
      <w:r w:rsidR="00CB18DF" w:rsidRPr="004826DE">
        <w:rPr>
          <w:rFonts w:cstheme="minorHAnsi"/>
          <w:b/>
          <w:i/>
        </w:rPr>
        <w:t>Poplatky za znečisťování ovzduší</w:t>
      </w:r>
      <w:r w:rsidR="00CB18DF" w:rsidRPr="004826DE">
        <w:rPr>
          <w:rFonts w:cstheme="minorHAnsi"/>
          <w:b/>
        </w:rPr>
        <w:t xml:space="preserve"> za roky 2017–2022</w:t>
      </w:r>
      <w:r w:rsidR="006E758F" w:rsidRPr="004826DE">
        <w:rPr>
          <w:rFonts w:cstheme="minorHAnsi"/>
          <w:b/>
        </w:rPr>
        <w:tab/>
      </w:r>
      <w:r w:rsidR="00CB18DF" w:rsidRPr="004826DE">
        <w:rPr>
          <w:rFonts w:cstheme="minorHAnsi"/>
          <w:b/>
        </w:rPr>
        <w:t>(v Kč)</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191"/>
        <w:gridCol w:w="1191"/>
        <w:gridCol w:w="891"/>
        <w:gridCol w:w="1474"/>
        <w:gridCol w:w="1191"/>
        <w:gridCol w:w="1386"/>
        <w:gridCol w:w="737"/>
      </w:tblGrid>
      <w:tr w:rsidR="00CB18DF" w:rsidRPr="00D91C64" w14:paraId="5FF79269" w14:textId="77777777" w:rsidTr="00733E0C">
        <w:trPr>
          <w:trHeight w:val="307"/>
          <w:jc w:val="center"/>
        </w:trPr>
        <w:tc>
          <w:tcPr>
            <w:tcW w:w="1077" w:type="dxa"/>
            <w:shd w:val="clear" w:color="auto" w:fill="F2F2F2"/>
            <w:vAlign w:val="center"/>
          </w:tcPr>
          <w:p w14:paraId="3E1E28A0" w14:textId="77777777" w:rsidR="00CB18DF" w:rsidRPr="00D91C64" w:rsidRDefault="00CB18DF" w:rsidP="00D91C64">
            <w:pPr>
              <w:ind w:left="-57" w:right="-57"/>
              <w:jc w:val="center"/>
              <w:rPr>
                <w:rFonts w:ascii="Calibri" w:hAnsi="Calibri" w:cs="Calibri"/>
                <w:b/>
                <w:color w:val="000000"/>
                <w:sz w:val="20"/>
                <w:szCs w:val="20"/>
              </w:rPr>
            </w:pPr>
            <w:r w:rsidRPr="00D91C64">
              <w:rPr>
                <w:rFonts w:ascii="Calibri" w:hAnsi="Calibri" w:cs="Calibri"/>
                <w:b/>
                <w:color w:val="000000"/>
                <w:sz w:val="20"/>
                <w:szCs w:val="20"/>
              </w:rPr>
              <w:t>Období</w:t>
            </w:r>
          </w:p>
        </w:tc>
        <w:tc>
          <w:tcPr>
            <w:tcW w:w="1191" w:type="dxa"/>
            <w:shd w:val="clear" w:color="auto" w:fill="F2F2F2"/>
            <w:vAlign w:val="center"/>
          </w:tcPr>
          <w:p w14:paraId="2609542C" w14:textId="77777777" w:rsidR="00CB18DF" w:rsidRPr="00D91C64" w:rsidRDefault="00CB18DF" w:rsidP="00D91C64">
            <w:pPr>
              <w:ind w:left="-57" w:right="-57"/>
              <w:jc w:val="center"/>
              <w:rPr>
                <w:rFonts w:ascii="Calibri" w:hAnsi="Calibri" w:cs="Calibri"/>
                <w:b/>
                <w:color w:val="000000"/>
                <w:sz w:val="20"/>
                <w:szCs w:val="20"/>
              </w:rPr>
            </w:pPr>
            <w:r w:rsidRPr="00D91C64">
              <w:rPr>
                <w:rFonts w:ascii="Calibri" w:hAnsi="Calibri" w:cs="Calibri"/>
                <w:b/>
                <w:color w:val="000000"/>
                <w:sz w:val="20"/>
                <w:szCs w:val="20"/>
              </w:rPr>
              <w:t>Schválený rozpočet</w:t>
            </w:r>
          </w:p>
        </w:tc>
        <w:tc>
          <w:tcPr>
            <w:tcW w:w="1191" w:type="dxa"/>
            <w:shd w:val="clear" w:color="auto" w:fill="F2F2F2"/>
            <w:vAlign w:val="center"/>
          </w:tcPr>
          <w:p w14:paraId="4EEEF1DA" w14:textId="760E8758" w:rsidR="00CB18DF" w:rsidRPr="00D91C64" w:rsidRDefault="00CB18DF" w:rsidP="00D91C64">
            <w:pPr>
              <w:ind w:left="-57" w:right="-57"/>
              <w:jc w:val="center"/>
              <w:rPr>
                <w:rFonts w:ascii="Calibri" w:hAnsi="Calibri" w:cs="Calibri"/>
                <w:b/>
                <w:color w:val="000000"/>
                <w:sz w:val="20"/>
                <w:szCs w:val="20"/>
              </w:rPr>
            </w:pPr>
            <w:r w:rsidRPr="00D91C64">
              <w:rPr>
                <w:rFonts w:ascii="Calibri" w:hAnsi="Calibri" w:cs="Calibri"/>
                <w:b/>
                <w:color w:val="000000"/>
                <w:sz w:val="20"/>
                <w:szCs w:val="20"/>
              </w:rPr>
              <w:t xml:space="preserve">Rozpočet </w:t>
            </w:r>
            <w:r w:rsidR="00733E0C">
              <w:rPr>
                <w:rFonts w:ascii="Calibri" w:hAnsi="Calibri" w:cs="Calibri"/>
                <w:b/>
                <w:color w:val="000000"/>
                <w:sz w:val="20"/>
                <w:szCs w:val="20"/>
              </w:rPr>
              <w:br/>
            </w:r>
            <w:r w:rsidRPr="00D91C64">
              <w:rPr>
                <w:rFonts w:ascii="Calibri" w:hAnsi="Calibri" w:cs="Calibri"/>
                <w:b/>
                <w:color w:val="000000"/>
                <w:sz w:val="20"/>
                <w:szCs w:val="20"/>
              </w:rPr>
              <w:t>po změnách</w:t>
            </w:r>
          </w:p>
        </w:tc>
        <w:tc>
          <w:tcPr>
            <w:tcW w:w="891" w:type="dxa"/>
            <w:shd w:val="clear" w:color="auto" w:fill="F2F2F2"/>
            <w:vAlign w:val="center"/>
          </w:tcPr>
          <w:p w14:paraId="3FC1182E" w14:textId="77777777" w:rsidR="00CB18DF" w:rsidRPr="00D91C64" w:rsidRDefault="00CB18DF" w:rsidP="00D91C64">
            <w:pPr>
              <w:ind w:left="-57" w:right="-57"/>
              <w:jc w:val="center"/>
              <w:rPr>
                <w:rFonts w:ascii="Calibri" w:hAnsi="Calibri" w:cs="Calibri"/>
                <w:b/>
                <w:color w:val="000000"/>
                <w:sz w:val="20"/>
                <w:szCs w:val="20"/>
              </w:rPr>
            </w:pPr>
            <w:r w:rsidRPr="00D91C64">
              <w:rPr>
                <w:rFonts w:ascii="Calibri" w:hAnsi="Calibri" w:cs="Calibri"/>
                <w:b/>
                <w:color w:val="000000"/>
                <w:sz w:val="20"/>
                <w:szCs w:val="20"/>
              </w:rPr>
              <w:t>Konečný rozpočet</w:t>
            </w:r>
          </w:p>
        </w:tc>
        <w:tc>
          <w:tcPr>
            <w:tcW w:w="1474" w:type="dxa"/>
            <w:shd w:val="clear" w:color="auto" w:fill="F2F2F2"/>
            <w:vAlign w:val="center"/>
          </w:tcPr>
          <w:p w14:paraId="630145F9" w14:textId="1D202A96" w:rsidR="00CB18DF" w:rsidRPr="00D91C64" w:rsidRDefault="00CB18DF" w:rsidP="00733E0C">
            <w:pPr>
              <w:ind w:left="-57" w:right="-57"/>
              <w:jc w:val="center"/>
              <w:rPr>
                <w:rFonts w:ascii="Calibri" w:hAnsi="Calibri" w:cs="Calibri"/>
                <w:b/>
                <w:sz w:val="20"/>
                <w:szCs w:val="20"/>
              </w:rPr>
            </w:pPr>
            <w:r w:rsidRPr="00D91C64">
              <w:rPr>
                <w:rFonts w:ascii="Calibri" w:hAnsi="Calibri" w:cs="Calibri"/>
                <w:b/>
                <w:sz w:val="20"/>
                <w:szCs w:val="20"/>
              </w:rPr>
              <w:t>Skutečnost</w:t>
            </w:r>
            <w:r w:rsidR="00733E0C">
              <w:rPr>
                <w:rFonts w:ascii="Calibri" w:hAnsi="Calibri" w:cs="Calibri"/>
                <w:b/>
                <w:sz w:val="20"/>
                <w:szCs w:val="20"/>
              </w:rPr>
              <w:t xml:space="preserve"> </w:t>
            </w:r>
            <w:r w:rsidR="00733E0C">
              <w:rPr>
                <w:rFonts w:ascii="Calibri" w:hAnsi="Calibri" w:cs="Calibri"/>
                <w:b/>
                <w:sz w:val="20"/>
                <w:szCs w:val="20"/>
              </w:rPr>
              <w:br/>
            </w:r>
            <w:r w:rsidRPr="00D91C64">
              <w:rPr>
                <w:rFonts w:ascii="Calibri" w:hAnsi="Calibri" w:cs="Calibri"/>
                <w:b/>
                <w:sz w:val="20"/>
                <w:szCs w:val="20"/>
              </w:rPr>
              <w:t>10% výnos</w:t>
            </w:r>
          </w:p>
        </w:tc>
        <w:tc>
          <w:tcPr>
            <w:tcW w:w="1191" w:type="dxa"/>
            <w:shd w:val="clear" w:color="auto" w:fill="F2F2F2"/>
            <w:vAlign w:val="center"/>
          </w:tcPr>
          <w:p w14:paraId="42E64E7A" w14:textId="23230D66" w:rsidR="00CB18DF" w:rsidRPr="00D91C64" w:rsidRDefault="00CB18DF" w:rsidP="00D91C64">
            <w:pPr>
              <w:ind w:left="-57" w:right="-57"/>
              <w:jc w:val="center"/>
              <w:rPr>
                <w:rFonts w:ascii="Calibri" w:hAnsi="Calibri" w:cs="Calibri"/>
                <w:b/>
                <w:sz w:val="20"/>
                <w:szCs w:val="20"/>
              </w:rPr>
            </w:pPr>
            <w:r w:rsidRPr="00D91C64">
              <w:rPr>
                <w:rFonts w:ascii="Calibri" w:hAnsi="Calibri" w:cs="Calibri"/>
                <w:b/>
                <w:sz w:val="20"/>
                <w:szCs w:val="20"/>
              </w:rPr>
              <w:t>Plnění rozpočtu</w:t>
            </w:r>
            <w:r w:rsidR="006E758F" w:rsidRPr="00D91C64">
              <w:rPr>
                <w:rFonts w:ascii="Calibri" w:hAnsi="Calibri" w:cs="Calibri"/>
                <w:b/>
                <w:sz w:val="20"/>
                <w:szCs w:val="20"/>
              </w:rPr>
              <w:t xml:space="preserve"> </w:t>
            </w:r>
            <w:r w:rsidRPr="00D91C64">
              <w:rPr>
                <w:rFonts w:ascii="Calibri" w:hAnsi="Calibri" w:cs="Calibri"/>
                <w:b/>
                <w:sz w:val="20"/>
                <w:szCs w:val="20"/>
              </w:rPr>
              <w:t>(%)</w:t>
            </w:r>
          </w:p>
        </w:tc>
        <w:tc>
          <w:tcPr>
            <w:tcW w:w="1386" w:type="dxa"/>
            <w:shd w:val="clear" w:color="auto" w:fill="F2F2F2"/>
            <w:vAlign w:val="center"/>
          </w:tcPr>
          <w:p w14:paraId="567E1B8E" w14:textId="5A5EAA72" w:rsidR="00CB18DF" w:rsidRPr="00D91C64" w:rsidRDefault="00CB18DF" w:rsidP="00733E0C">
            <w:pPr>
              <w:ind w:left="-57" w:right="-57"/>
              <w:jc w:val="center"/>
              <w:rPr>
                <w:rFonts w:ascii="Calibri" w:hAnsi="Calibri" w:cs="Calibri"/>
                <w:b/>
                <w:sz w:val="20"/>
                <w:szCs w:val="20"/>
              </w:rPr>
            </w:pPr>
            <w:r w:rsidRPr="00D91C64">
              <w:rPr>
                <w:rFonts w:ascii="Calibri" w:hAnsi="Calibri" w:cs="Calibri"/>
                <w:b/>
                <w:sz w:val="20"/>
                <w:szCs w:val="20"/>
              </w:rPr>
              <w:t>Převedeno</w:t>
            </w:r>
            <w:r w:rsidR="00733E0C">
              <w:rPr>
                <w:rFonts w:ascii="Calibri" w:hAnsi="Calibri" w:cs="Calibri"/>
                <w:b/>
                <w:sz w:val="20"/>
                <w:szCs w:val="20"/>
              </w:rPr>
              <w:t xml:space="preserve"> </w:t>
            </w:r>
            <w:r w:rsidR="00733E0C">
              <w:rPr>
                <w:rFonts w:ascii="Calibri" w:hAnsi="Calibri" w:cs="Calibri"/>
                <w:b/>
                <w:sz w:val="20"/>
                <w:szCs w:val="20"/>
              </w:rPr>
              <w:br/>
            </w:r>
            <w:r w:rsidRPr="00D91C64">
              <w:rPr>
                <w:rFonts w:ascii="Calibri" w:hAnsi="Calibri" w:cs="Calibri"/>
                <w:b/>
                <w:sz w:val="20"/>
                <w:szCs w:val="20"/>
              </w:rPr>
              <w:t>na ČHMÚ</w:t>
            </w:r>
          </w:p>
        </w:tc>
        <w:tc>
          <w:tcPr>
            <w:tcW w:w="737" w:type="dxa"/>
            <w:shd w:val="clear" w:color="auto" w:fill="F2F2F2"/>
            <w:vAlign w:val="center"/>
          </w:tcPr>
          <w:p w14:paraId="3EF3F7FE" w14:textId="77777777" w:rsidR="00CB18DF" w:rsidRPr="00D91C64" w:rsidRDefault="00CB18DF" w:rsidP="00D91C64">
            <w:pPr>
              <w:ind w:left="-57" w:right="-57"/>
              <w:jc w:val="center"/>
              <w:rPr>
                <w:rFonts w:ascii="Calibri" w:hAnsi="Calibri" w:cs="Calibri"/>
                <w:b/>
                <w:sz w:val="20"/>
                <w:szCs w:val="20"/>
              </w:rPr>
            </w:pPr>
            <w:r w:rsidRPr="00D91C64">
              <w:rPr>
                <w:rFonts w:ascii="Calibri" w:hAnsi="Calibri" w:cs="Calibri"/>
                <w:b/>
                <w:sz w:val="20"/>
                <w:szCs w:val="20"/>
              </w:rPr>
              <w:t>Plnění</w:t>
            </w:r>
          </w:p>
          <w:p w14:paraId="307DAA35" w14:textId="77777777" w:rsidR="00CB18DF" w:rsidRPr="00D91C64" w:rsidRDefault="00CB18DF" w:rsidP="00D91C64">
            <w:pPr>
              <w:ind w:left="-57" w:right="-57"/>
              <w:jc w:val="center"/>
              <w:rPr>
                <w:rFonts w:ascii="Calibri" w:hAnsi="Calibri" w:cs="Calibri"/>
                <w:b/>
                <w:sz w:val="20"/>
                <w:szCs w:val="20"/>
                <w:lang w:eastAsia="cs-CZ"/>
              </w:rPr>
            </w:pPr>
            <w:r w:rsidRPr="00D91C64">
              <w:rPr>
                <w:rFonts w:ascii="Calibri" w:hAnsi="Calibri" w:cs="Calibri"/>
                <w:b/>
                <w:sz w:val="20"/>
                <w:szCs w:val="20"/>
              </w:rPr>
              <w:t>(%)</w:t>
            </w:r>
          </w:p>
        </w:tc>
      </w:tr>
      <w:tr w:rsidR="00CB18DF" w:rsidRPr="00D91C64" w14:paraId="3F03DDE3" w14:textId="77777777" w:rsidTr="00733E0C">
        <w:trPr>
          <w:trHeight w:val="146"/>
          <w:jc w:val="center"/>
        </w:trPr>
        <w:tc>
          <w:tcPr>
            <w:tcW w:w="1077" w:type="dxa"/>
            <w:vAlign w:val="center"/>
          </w:tcPr>
          <w:p w14:paraId="37B8BA36" w14:textId="77777777" w:rsidR="00CB18DF" w:rsidRPr="00D91C64" w:rsidRDefault="00CB18DF" w:rsidP="00CB18DF">
            <w:pPr>
              <w:jc w:val="center"/>
              <w:rPr>
                <w:rFonts w:ascii="Calibri" w:hAnsi="Calibri" w:cs="Calibri"/>
                <w:sz w:val="20"/>
                <w:szCs w:val="20"/>
              </w:rPr>
            </w:pPr>
            <w:r w:rsidRPr="00D91C64">
              <w:rPr>
                <w:rFonts w:ascii="Calibri" w:hAnsi="Calibri" w:cs="Calibri"/>
                <w:sz w:val="20"/>
                <w:szCs w:val="20"/>
              </w:rPr>
              <w:t>2017</w:t>
            </w:r>
          </w:p>
        </w:tc>
        <w:tc>
          <w:tcPr>
            <w:tcW w:w="1191" w:type="dxa"/>
            <w:vAlign w:val="center"/>
          </w:tcPr>
          <w:p w14:paraId="44CC6AF4" w14:textId="77777777" w:rsidR="00CB18DF" w:rsidRPr="00D91C64" w:rsidRDefault="00CB18DF" w:rsidP="00CB18DF">
            <w:pPr>
              <w:jc w:val="right"/>
              <w:rPr>
                <w:rFonts w:ascii="Calibri" w:hAnsi="Calibri" w:cs="Calibri"/>
                <w:color w:val="000000"/>
                <w:sz w:val="20"/>
                <w:szCs w:val="20"/>
              </w:rPr>
            </w:pPr>
            <w:r w:rsidRPr="00D91C64">
              <w:rPr>
                <w:rFonts w:ascii="Calibri" w:hAnsi="Calibri" w:cs="Calibri"/>
                <w:color w:val="000000"/>
                <w:sz w:val="20"/>
                <w:szCs w:val="20"/>
              </w:rPr>
              <w:t>27 500 000</w:t>
            </w:r>
          </w:p>
        </w:tc>
        <w:tc>
          <w:tcPr>
            <w:tcW w:w="1191" w:type="dxa"/>
            <w:vAlign w:val="center"/>
          </w:tcPr>
          <w:p w14:paraId="712FFB76" w14:textId="77777777" w:rsidR="00CB18DF" w:rsidRPr="00D91C64" w:rsidRDefault="00CB18DF" w:rsidP="00CB18DF">
            <w:pPr>
              <w:jc w:val="right"/>
              <w:rPr>
                <w:rFonts w:ascii="Calibri" w:hAnsi="Calibri" w:cs="Calibri"/>
                <w:color w:val="000000"/>
                <w:sz w:val="20"/>
                <w:szCs w:val="20"/>
              </w:rPr>
            </w:pPr>
            <w:r w:rsidRPr="00D91C64">
              <w:rPr>
                <w:rFonts w:ascii="Calibri" w:hAnsi="Calibri" w:cs="Calibri"/>
                <w:color w:val="000000"/>
                <w:sz w:val="20"/>
                <w:szCs w:val="20"/>
              </w:rPr>
              <w:t>27 500 000</w:t>
            </w:r>
          </w:p>
        </w:tc>
        <w:tc>
          <w:tcPr>
            <w:tcW w:w="891" w:type="dxa"/>
            <w:vAlign w:val="center"/>
          </w:tcPr>
          <w:p w14:paraId="58CEE27D" w14:textId="77777777" w:rsidR="00CB18DF" w:rsidRPr="00D91C64" w:rsidRDefault="00CB18DF" w:rsidP="00D91C64">
            <w:pPr>
              <w:ind w:right="57"/>
              <w:jc w:val="right"/>
              <w:rPr>
                <w:rFonts w:ascii="Calibri" w:hAnsi="Calibri" w:cs="Calibri"/>
                <w:color w:val="000000"/>
                <w:sz w:val="20"/>
                <w:szCs w:val="20"/>
              </w:rPr>
            </w:pPr>
            <w:r w:rsidRPr="00D91C64">
              <w:rPr>
                <w:rFonts w:ascii="Calibri" w:hAnsi="Calibri" w:cs="Calibri"/>
                <w:color w:val="000000"/>
                <w:sz w:val="20"/>
                <w:szCs w:val="20"/>
              </w:rPr>
              <w:t>0</w:t>
            </w:r>
          </w:p>
        </w:tc>
        <w:tc>
          <w:tcPr>
            <w:tcW w:w="1474" w:type="dxa"/>
            <w:vAlign w:val="center"/>
          </w:tcPr>
          <w:p w14:paraId="13D3C2BC" w14:textId="77777777" w:rsidR="00CB18DF" w:rsidRPr="00D91C64" w:rsidRDefault="00CB18DF" w:rsidP="00CB18DF">
            <w:pPr>
              <w:jc w:val="right"/>
              <w:rPr>
                <w:rFonts w:ascii="Calibri" w:hAnsi="Calibri" w:cs="Calibri"/>
                <w:sz w:val="20"/>
                <w:szCs w:val="20"/>
              </w:rPr>
            </w:pPr>
            <w:r w:rsidRPr="00D91C64">
              <w:rPr>
                <w:rFonts w:ascii="Calibri" w:hAnsi="Calibri" w:cs="Calibri"/>
                <w:color w:val="000000"/>
                <w:sz w:val="20"/>
                <w:szCs w:val="20"/>
              </w:rPr>
              <w:t>19 105 149,00</w:t>
            </w:r>
          </w:p>
        </w:tc>
        <w:tc>
          <w:tcPr>
            <w:tcW w:w="1191" w:type="dxa"/>
            <w:vAlign w:val="center"/>
          </w:tcPr>
          <w:p w14:paraId="3DE25A4C" w14:textId="77777777" w:rsidR="00CB18DF" w:rsidRPr="00D91C64" w:rsidRDefault="00CB18DF" w:rsidP="00D91C64">
            <w:pPr>
              <w:ind w:right="57"/>
              <w:jc w:val="right"/>
              <w:rPr>
                <w:rFonts w:ascii="Calibri" w:hAnsi="Calibri" w:cs="Calibri"/>
                <w:color w:val="000000"/>
                <w:sz w:val="20"/>
                <w:szCs w:val="20"/>
              </w:rPr>
            </w:pPr>
            <w:r w:rsidRPr="00D91C64">
              <w:rPr>
                <w:rFonts w:ascii="Calibri" w:hAnsi="Calibri" w:cs="Calibri"/>
                <w:color w:val="000000"/>
                <w:sz w:val="20"/>
                <w:szCs w:val="20"/>
              </w:rPr>
              <w:t>69,47</w:t>
            </w:r>
          </w:p>
        </w:tc>
        <w:tc>
          <w:tcPr>
            <w:tcW w:w="1386" w:type="dxa"/>
            <w:vAlign w:val="center"/>
          </w:tcPr>
          <w:p w14:paraId="2FAEF1B3" w14:textId="77777777" w:rsidR="00CB18DF" w:rsidRPr="00D91C64" w:rsidRDefault="00CB18DF" w:rsidP="00CB18DF">
            <w:pPr>
              <w:jc w:val="center"/>
              <w:rPr>
                <w:rFonts w:ascii="Calibri" w:hAnsi="Calibri" w:cs="Calibri"/>
                <w:color w:val="000000"/>
                <w:sz w:val="20"/>
                <w:szCs w:val="20"/>
              </w:rPr>
            </w:pPr>
            <w:r w:rsidRPr="00D91C64">
              <w:rPr>
                <w:rFonts w:ascii="Calibri" w:hAnsi="Calibri" w:cs="Calibri"/>
                <w:color w:val="000000"/>
                <w:sz w:val="20"/>
                <w:szCs w:val="20"/>
              </w:rPr>
              <w:t>19 105 149,00</w:t>
            </w:r>
          </w:p>
        </w:tc>
        <w:tc>
          <w:tcPr>
            <w:tcW w:w="737" w:type="dxa"/>
            <w:vAlign w:val="center"/>
          </w:tcPr>
          <w:p w14:paraId="657B1C91" w14:textId="77777777" w:rsidR="00CB18DF" w:rsidRPr="00D91C64" w:rsidRDefault="00CB18DF" w:rsidP="00D91C64">
            <w:pPr>
              <w:ind w:left="-57" w:right="227"/>
              <w:jc w:val="right"/>
              <w:rPr>
                <w:rFonts w:ascii="Calibri" w:hAnsi="Calibri" w:cs="Calibri"/>
                <w:color w:val="000000"/>
                <w:sz w:val="20"/>
                <w:szCs w:val="20"/>
              </w:rPr>
            </w:pPr>
            <w:r w:rsidRPr="00D91C64">
              <w:rPr>
                <w:rFonts w:ascii="Calibri" w:hAnsi="Calibri" w:cs="Calibri"/>
                <w:color w:val="000000"/>
                <w:sz w:val="20"/>
                <w:szCs w:val="20"/>
              </w:rPr>
              <w:t>100</w:t>
            </w:r>
          </w:p>
        </w:tc>
      </w:tr>
      <w:tr w:rsidR="00CB18DF" w:rsidRPr="00D91C64" w14:paraId="29176FE6" w14:textId="77777777" w:rsidTr="00733E0C">
        <w:trPr>
          <w:trHeight w:val="146"/>
          <w:jc w:val="center"/>
        </w:trPr>
        <w:tc>
          <w:tcPr>
            <w:tcW w:w="1077" w:type="dxa"/>
            <w:vAlign w:val="center"/>
          </w:tcPr>
          <w:p w14:paraId="126426EF" w14:textId="77777777" w:rsidR="00CB18DF" w:rsidRPr="00D91C64" w:rsidRDefault="00CB18DF" w:rsidP="00CB18DF">
            <w:pPr>
              <w:jc w:val="center"/>
              <w:rPr>
                <w:rFonts w:ascii="Calibri" w:hAnsi="Calibri" w:cs="Calibri"/>
                <w:sz w:val="20"/>
                <w:szCs w:val="20"/>
              </w:rPr>
            </w:pPr>
            <w:r w:rsidRPr="00D91C64">
              <w:rPr>
                <w:rFonts w:ascii="Calibri" w:hAnsi="Calibri" w:cs="Calibri"/>
                <w:sz w:val="20"/>
                <w:szCs w:val="20"/>
              </w:rPr>
              <w:t>2018</w:t>
            </w:r>
          </w:p>
        </w:tc>
        <w:tc>
          <w:tcPr>
            <w:tcW w:w="1191" w:type="dxa"/>
            <w:vAlign w:val="center"/>
          </w:tcPr>
          <w:p w14:paraId="27364DA8" w14:textId="77777777" w:rsidR="00CB18DF" w:rsidRPr="00D91C64" w:rsidRDefault="00CB18DF" w:rsidP="00CB18DF">
            <w:pPr>
              <w:jc w:val="right"/>
              <w:rPr>
                <w:rFonts w:ascii="Calibri" w:hAnsi="Calibri" w:cs="Calibri"/>
                <w:color w:val="000000"/>
                <w:sz w:val="20"/>
                <w:szCs w:val="20"/>
              </w:rPr>
            </w:pPr>
            <w:r w:rsidRPr="00D91C64">
              <w:rPr>
                <w:rFonts w:ascii="Calibri" w:hAnsi="Calibri" w:cs="Calibri"/>
                <w:color w:val="000000"/>
                <w:sz w:val="20"/>
                <w:szCs w:val="20"/>
              </w:rPr>
              <w:t>27 500 000</w:t>
            </w:r>
          </w:p>
        </w:tc>
        <w:tc>
          <w:tcPr>
            <w:tcW w:w="1191" w:type="dxa"/>
            <w:vAlign w:val="center"/>
          </w:tcPr>
          <w:p w14:paraId="694DEDA9" w14:textId="77777777" w:rsidR="00CB18DF" w:rsidRPr="00D91C64" w:rsidRDefault="00CB18DF" w:rsidP="00CB18DF">
            <w:pPr>
              <w:jc w:val="right"/>
              <w:rPr>
                <w:rFonts w:ascii="Calibri" w:hAnsi="Calibri" w:cs="Calibri"/>
                <w:color w:val="000000"/>
                <w:sz w:val="20"/>
                <w:szCs w:val="20"/>
              </w:rPr>
            </w:pPr>
            <w:r w:rsidRPr="00D91C64">
              <w:rPr>
                <w:rFonts w:ascii="Calibri" w:hAnsi="Calibri" w:cs="Calibri"/>
                <w:color w:val="000000"/>
                <w:sz w:val="20"/>
                <w:szCs w:val="20"/>
              </w:rPr>
              <w:t>27 500 000</w:t>
            </w:r>
          </w:p>
        </w:tc>
        <w:tc>
          <w:tcPr>
            <w:tcW w:w="891" w:type="dxa"/>
            <w:vAlign w:val="center"/>
          </w:tcPr>
          <w:p w14:paraId="6DA35F1B" w14:textId="77777777" w:rsidR="00CB18DF" w:rsidRPr="00D91C64" w:rsidRDefault="00CB18DF" w:rsidP="00D91C64">
            <w:pPr>
              <w:ind w:right="57"/>
              <w:jc w:val="right"/>
              <w:rPr>
                <w:rFonts w:ascii="Calibri" w:hAnsi="Calibri" w:cs="Calibri"/>
                <w:color w:val="000000"/>
                <w:sz w:val="20"/>
                <w:szCs w:val="20"/>
              </w:rPr>
            </w:pPr>
            <w:r w:rsidRPr="00D91C64">
              <w:rPr>
                <w:rFonts w:ascii="Calibri" w:hAnsi="Calibri" w:cs="Calibri"/>
                <w:color w:val="000000"/>
                <w:sz w:val="20"/>
                <w:szCs w:val="20"/>
              </w:rPr>
              <w:t>0</w:t>
            </w:r>
          </w:p>
        </w:tc>
        <w:tc>
          <w:tcPr>
            <w:tcW w:w="1474" w:type="dxa"/>
            <w:vAlign w:val="center"/>
          </w:tcPr>
          <w:p w14:paraId="2F849289" w14:textId="77777777" w:rsidR="00CB18DF" w:rsidRPr="00D91C64" w:rsidRDefault="00CB18DF" w:rsidP="00CB18DF">
            <w:pPr>
              <w:jc w:val="right"/>
              <w:rPr>
                <w:rFonts w:ascii="Calibri" w:hAnsi="Calibri" w:cs="Calibri"/>
                <w:sz w:val="20"/>
                <w:szCs w:val="20"/>
              </w:rPr>
            </w:pPr>
            <w:r w:rsidRPr="00D91C64">
              <w:rPr>
                <w:rFonts w:ascii="Calibri" w:hAnsi="Calibri" w:cs="Calibri"/>
                <w:sz w:val="20"/>
                <w:szCs w:val="20"/>
              </w:rPr>
              <w:t>27 240 548,20</w:t>
            </w:r>
          </w:p>
        </w:tc>
        <w:tc>
          <w:tcPr>
            <w:tcW w:w="1191" w:type="dxa"/>
            <w:vAlign w:val="center"/>
          </w:tcPr>
          <w:p w14:paraId="0BF651D6" w14:textId="77777777" w:rsidR="00CB18DF" w:rsidRPr="00D91C64" w:rsidRDefault="00CB18DF" w:rsidP="00D91C64">
            <w:pPr>
              <w:ind w:right="57"/>
              <w:jc w:val="right"/>
              <w:rPr>
                <w:rFonts w:ascii="Calibri" w:hAnsi="Calibri" w:cs="Calibri"/>
                <w:sz w:val="20"/>
                <w:szCs w:val="20"/>
              </w:rPr>
            </w:pPr>
            <w:r w:rsidRPr="00D91C64">
              <w:rPr>
                <w:rFonts w:ascii="Calibri" w:hAnsi="Calibri" w:cs="Calibri"/>
                <w:sz w:val="20"/>
                <w:szCs w:val="20"/>
              </w:rPr>
              <w:t>99,06</w:t>
            </w:r>
          </w:p>
        </w:tc>
        <w:tc>
          <w:tcPr>
            <w:tcW w:w="1386" w:type="dxa"/>
            <w:vAlign w:val="center"/>
          </w:tcPr>
          <w:p w14:paraId="03AE3DD6" w14:textId="77777777" w:rsidR="00CB18DF" w:rsidRPr="00D91C64" w:rsidRDefault="00CB18DF" w:rsidP="00CB18DF">
            <w:pPr>
              <w:jc w:val="center"/>
              <w:rPr>
                <w:rFonts w:ascii="Calibri" w:hAnsi="Calibri" w:cs="Calibri"/>
                <w:color w:val="000000"/>
                <w:sz w:val="20"/>
                <w:szCs w:val="20"/>
              </w:rPr>
            </w:pPr>
            <w:r w:rsidRPr="00D91C64">
              <w:rPr>
                <w:rFonts w:ascii="Calibri" w:hAnsi="Calibri" w:cs="Calibri"/>
                <w:color w:val="000000"/>
                <w:sz w:val="20"/>
                <w:szCs w:val="20"/>
              </w:rPr>
              <w:t>27 240 548,70</w:t>
            </w:r>
          </w:p>
        </w:tc>
        <w:tc>
          <w:tcPr>
            <w:tcW w:w="737" w:type="dxa"/>
            <w:vAlign w:val="center"/>
          </w:tcPr>
          <w:p w14:paraId="4E86EBF8" w14:textId="77777777" w:rsidR="00CB18DF" w:rsidRPr="00D91C64" w:rsidRDefault="00CB18DF" w:rsidP="00D91C64">
            <w:pPr>
              <w:ind w:left="-57" w:right="227"/>
              <w:jc w:val="right"/>
              <w:rPr>
                <w:rFonts w:ascii="Calibri" w:hAnsi="Calibri" w:cs="Calibri"/>
                <w:color w:val="000000"/>
                <w:sz w:val="20"/>
                <w:szCs w:val="20"/>
              </w:rPr>
            </w:pPr>
            <w:r w:rsidRPr="00D91C64">
              <w:rPr>
                <w:rFonts w:ascii="Calibri" w:hAnsi="Calibri" w:cs="Calibri"/>
                <w:color w:val="000000"/>
                <w:sz w:val="20"/>
                <w:szCs w:val="20"/>
              </w:rPr>
              <w:t>100</w:t>
            </w:r>
          </w:p>
        </w:tc>
      </w:tr>
      <w:tr w:rsidR="00CB18DF" w:rsidRPr="00D91C64" w14:paraId="48413FA9" w14:textId="77777777" w:rsidTr="00733E0C">
        <w:trPr>
          <w:trHeight w:val="146"/>
          <w:jc w:val="center"/>
        </w:trPr>
        <w:tc>
          <w:tcPr>
            <w:tcW w:w="1077" w:type="dxa"/>
            <w:vAlign w:val="center"/>
          </w:tcPr>
          <w:p w14:paraId="032C8620" w14:textId="77777777" w:rsidR="00CB18DF" w:rsidRPr="00D91C64" w:rsidRDefault="00CB18DF" w:rsidP="00CB18DF">
            <w:pPr>
              <w:jc w:val="center"/>
              <w:rPr>
                <w:rFonts w:ascii="Calibri" w:hAnsi="Calibri" w:cs="Calibri"/>
                <w:sz w:val="20"/>
                <w:szCs w:val="20"/>
              </w:rPr>
            </w:pPr>
            <w:r w:rsidRPr="00D91C64">
              <w:rPr>
                <w:rFonts w:ascii="Calibri" w:hAnsi="Calibri" w:cs="Calibri"/>
                <w:sz w:val="20"/>
                <w:szCs w:val="20"/>
              </w:rPr>
              <w:t>2019</w:t>
            </w:r>
          </w:p>
        </w:tc>
        <w:tc>
          <w:tcPr>
            <w:tcW w:w="1191" w:type="dxa"/>
            <w:vAlign w:val="center"/>
          </w:tcPr>
          <w:p w14:paraId="5E223C9C" w14:textId="77777777" w:rsidR="00CB18DF" w:rsidRPr="00D91C64" w:rsidRDefault="00CB18DF" w:rsidP="00CB18DF">
            <w:pPr>
              <w:jc w:val="right"/>
              <w:rPr>
                <w:rFonts w:ascii="Calibri" w:hAnsi="Calibri" w:cs="Calibri"/>
                <w:sz w:val="20"/>
                <w:szCs w:val="20"/>
              </w:rPr>
            </w:pPr>
            <w:r w:rsidRPr="00D91C64">
              <w:rPr>
                <w:rFonts w:ascii="Calibri" w:hAnsi="Calibri" w:cs="Calibri"/>
                <w:sz w:val="20"/>
                <w:szCs w:val="20"/>
              </w:rPr>
              <w:t>20 000 000</w:t>
            </w:r>
          </w:p>
        </w:tc>
        <w:tc>
          <w:tcPr>
            <w:tcW w:w="1191" w:type="dxa"/>
            <w:vAlign w:val="center"/>
          </w:tcPr>
          <w:p w14:paraId="627C1559" w14:textId="77777777" w:rsidR="00CB18DF" w:rsidRPr="00D91C64" w:rsidRDefault="00CB18DF" w:rsidP="00CB18DF">
            <w:pPr>
              <w:jc w:val="right"/>
              <w:rPr>
                <w:rFonts w:ascii="Calibri" w:hAnsi="Calibri" w:cs="Calibri"/>
                <w:sz w:val="20"/>
                <w:szCs w:val="20"/>
              </w:rPr>
            </w:pPr>
            <w:r w:rsidRPr="00D91C64">
              <w:rPr>
                <w:rFonts w:ascii="Calibri" w:hAnsi="Calibri" w:cs="Calibri"/>
                <w:sz w:val="20"/>
                <w:szCs w:val="20"/>
              </w:rPr>
              <w:t>20 000 000</w:t>
            </w:r>
          </w:p>
        </w:tc>
        <w:tc>
          <w:tcPr>
            <w:tcW w:w="891" w:type="dxa"/>
            <w:vAlign w:val="center"/>
          </w:tcPr>
          <w:p w14:paraId="4D4BDEA8" w14:textId="77777777" w:rsidR="00CB18DF" w:rsidRPr="00D91C64" w:rsidRDefault="00CB18DF" w:rsidP="00D91C64">
            <w:pPr>
              <w:ind w:right="57"/>
              <w:jc w:val="right"/>
              <w:rPr>
                <w:rFonts w:ascii="Calibri" w:hAnsi="Calibri" w:cs="Calibri"/>
                <w:sz w:val="20"/>
                <w:szCs w:val="20"/>
              </w:rPr>
            </w:pPr>
            <w:r w:rsidRPr="00D91C64">
              <w:rPr>
                <w:rFonts w:ascii="Calibri" w:hAnsi="Calibri" w:cs="Calibri"/>
                <w:sz w:val="20"/>
                <w:szCs w:val="20"/>
              </w:rPr>
              <w:t>0</w:t>
            </w:r>
          </w:p>
        </w:tc>
        <w:tc>
          <w:tcPr>
            <w:tcW w:w="1474" w:type="dxa"/>
            <w:vAlign w:val="center"/>
          </w:tcPr>
          <w:p w14:paraId="72A9BF60" w14:textId="4F99B9F4" w:rsidR="00CB18DF" w:rsidRPr="00D91C64" w:rsidRDefault="00CB18DF" w:rsidP="00CB18DF">
            <w:pPr>
              <w:jc w:val="right"/>
              <w:rPr>
                <w:rFonts w:ascii="Calibri" w:hAnsi="Calibri" w:cs="Calibri"/>
                <w:sz w:val="20"/>
                <w:szCs w:val="20"/>
              </w:rPr>
            </w:pPr>
            <w:r w:rsidRPr="00D91C64">
              <w:rPr>
                <w:rFonts w:ascii="Calibri" w:hAnsi="Calibri" w:cs="Calibri"/>
                <w:sz w:val="20"/>
                <w:szCs w:val="20"/>
              </w:rPr>
              <w:t>46 152 243,32</w:t>
            </w:r>
          </w:p>
        </w:tc>
        <w:tc>
          <w:tcPr>
            <w:tcW w:w="1191" w:type="dxa"/>
            <w:vAlign w:val="center"/>
          </w:tcPr>
          <w:p w14:paraId="751FB8BD" w14:textId="77777777" w:rsidR="00CB18DF" w:rsidRPr="00D91C64" w:rsidRDefault="00CB18DF" w:rsidP="00D91C64">
            <w:pPr>
              <w:ind w:right="57"/>
              <w:jc w:val="right"/>
              <w:rPr>
                <w:rFonts w:ascii="Calibri" w:hAnsi="Calibri" w:cs="Calibri"/>
                <w:sz w:val="20"/>
                <w:szCs w:val="20"/>
              </w:rPr>
            </w:pPr>
            <w:r w:rsidRPr="00D91C64">
              <w:rPr>
                <w:rFonts w:ascii="Calibri" w:hAnsi="Calibri" w:cs="Calibri"/>
                <w:sz w:val="20"/>
                <w:szCs w:val="20"/>
              </w:rPr>
              <w:t>230,76</w:t>
            </w:r>
          </w:p>
        </w:tc>
        <w:tc>
          <w:tcPr>
            <w:tcW w:w="1386" w:type="dxa"/>
            <w:vAlign w:val="center"/>
          </w:tcPr>
          <w:p w14:paraId="5CFF1608" w14:textId="77777777" w:rsidR="00CB18DF" w:rsidRPr="00D91C64" w:rsidRDefault="00CB18DF" w:rsidP="00CB18DF">
            <w:pPr>
              <w:jc w:val="center"/>
              <w:rPr>
                <w:rFonts w:ascii="Calibri" w:hAnsi="Calibri" w:cs="Calibri"/>
                <w:sz w:val="20"/>
                <w:szCs w:val="20"/>
              </w:rPr>
            </w:pPr>
            <w:r w:rsidRPr="00D91C64">
              <w:rPr>
                <w:rFonts w:ascii="Calibri" w:hAnsi="Calibri" w:cs="Calibri"/>
                <w:sz w:val="20"/>
                <w:szCs w:val="20"/>
              </w:rPr>
              <w:t>14 959 538,80</w:t>
            </w:r>
          </w:p>
        </w:tc>
        <w:tc>
          <w:tcPr>
            <w:tcW w:w="737" w:type="dxa"/>
            <w:vAlign w:val="center"/>
          </w:tcPr>
          <w:p w14:paraId="40FD15FC" w14:textId="77777777" w:rsidR="00CB18DF" w:rsidRPr="00D91C64" w:rsidRDefault="00CB18DF" w:rsidP="00D91C64">
            <w:pPr>
              <w:ind w:left="-57"/>
              <w:jc w:val="right"/>
              <w:rPr>
                <w:rFonts w:ascii="Calibri" w:hAnsi="Calibri" w:cs="Calibri"/>
                <w:color w:val="000000"/>
                <w:sz w:val="20"/>
                <w:szCs w:val="20"/>
              </w:rPr>
            </w:pPr>
            <w:r w:rsidRPr="00D91C64">
              <w:rPr>
                <w:rFonts w:ascii="Calibri" w:hAnsi="Calibri" w:cs="Calibri"/>
                <w:color w:val="000000"/>
                <w:sz w:val="20"/>
                <w:szCs w:val="20"/>
              </w:rPr>
              <w:t>32,41</w:t>
            </w:r>
          </w:p>
        </w:tc>
      </w:tr>
      <w:tr w:rsidR="00CB18DF" w:rsidRPr="00D91C64" w14:paraId="181E271A" w14:textId="77777777" w:rsidTr="00733E0C">
        <w:trPr>
          <w:trHeight w:val="146"/>
          <w:jc w:val="center"/>
        </w:trPr>
        <w:tc>
          <w:tcPr>
            <w:tcW w:w="1077" w:type="dxa"/>
            <w:vAlign w:val="center"/>
          </w:tcPr>
          <w:p w14:paraId="0A340B71" w14:textId="77777777" w:rsidR="00CB18DF" w:rsidRPr="00D91C64" w:rsidRDefault="00CB18DF" w:rsidP="00CB18DF">
            <w:pPr>
              <w:jc w:val="center"/>
              <w:rPr>
                <w:rFonts w:ascii="Calibri" w:hAnsi="Calibri" w:cs="Calibri"/>
                <w:sz w:val="20"/>
                <w:szCs w:val="20"/>
              </w:rPr>
            </w:pPr>
            <w:r w:rsidRPr="00D91C64">
              <w:rPr>
                <w:rFonts w:ascii="Calibri" w:hAnsi="Calibri" w:cs="Calibri"/>
                <w:sz w:val="20"/>
                <w:szCs w:val="20"/>
              </w:rPr>
              <w:t>2020</w:t>
            </w:r>
          </w:p>
        </w:tc>
        <w:tc>
          <w:tcPr>
            <w:tcW w:w="1191" w:type="dxa"/>
            <w:vAlign w:val="center"/>
          </w:tcPr>
          <w:p w14:paraId="09A7A7C0" w14:textId="77777777" w:rsidR="00CB18DF" w:rsidRPr="00D91C64" w:rsidRDefault="00CB18DF" w:rsidP="00CB18DF">
            <w:pPr>
              <w:jc w:val="right"/>
              <w:rPr>
                <w:rFonts w:ascii="Calibri" w:hAnsi="Calibri" w:cs="Calibri"/>
                <w:sz w:val="20"/>
                <w:szCs w:val="20"/>
              </w:rPr>
            </w:pPr>
            <w:r w:rsidRPr="00D91C64">
              <w:rPr>
                <w:rFonts w:ascii="Calibri" w:hAnsi="Calibri" w:cs="Calibri"/>
                <w:sz w:val="20"/>
                <w:szCs w:val="20"/>
              </w:rPr>
              <w:t>19 000 000</w:t>
            </w:r>
          </w:p>
        </w:tc>
        <w:tc>
          <w:tcPr>
            <w:tcW w:w="1191" w:type="dxa"/>
            <w:vAlign w:val="center"/>
          </w:tcPr>
          <w:p w14:paraId="7FDB1EFA" w14:textId="77777777" w:rsidR="00CB18DF" w:rsidRPr="00D91C64" w:rsidRDefault="00CB18DF" w:rsidP="00CB18DF">
            <w:pPr>
              <w:jc w:val="right"/>
              <w:rPr>
                <w:rFonts w:ascii="Calibri" w:hAnsi="Calibri" w:cs="Calibri"/>
                <w:sz w:val="20"/>
                <w:szCs w:val="20"/>
              </w:rPr>
            </w:pPr>
            <w:r w:rsidRPr="00D91C64">
              <w:rPr>
                <w:rFonts w:ascii="Calibri" w:hAnsi="Calibri" w:cs="Calibri"/>
                <w:sz w:val="20"/>
                <w:szCs w:val="20"/>
              </w:rPr>
              <w:t>19 000 000</w:t>
            </w:r>
          </w:p>
        </w:tc>
        <w:tc>
          <w:tcPr>
            <w:tcW w:w="891" w:type="dxa"/>
            <w:vAlign w:val="center"/>
          </w:tcPr>
          <w:p w14:paraId="14405FCC" w14:textId="77777777" w:rsidR="00CB18DF" w:rsidRPr="00D91C64" w:rsidRDefault="00CB18DF" w:rsidP="00D91C64">
            <w:pPr>
              <w:ind w:right="57"/>
              <w:jc w:val="right"/>
              <w:rPr>
                <w:rFonts w:ascii="Calibri" w:hAnsi="Calibri" w:cs="Calibri"/>
                <w:sz w:val="20"/>
                <w:szCs w:val="20"/>
              </w:rPr>
            </w:pPr>
            <w:r w:rsidRPr="00D91C64">
              <w:rPr>
                <w:rFonts w:ascii="Calibri" w:hAnsi="Calibri" w:cs="Calibri"/>
                <w:sz w:val="20"/>
                <w:szCs w:val="20"/>
              </w:rPr>
              <w:t>0</w:t>
            </w:r>
          </w:p>
        </w:tc>
        <w:tc>
          <w:tcPr>
            <w:tcW w:w="1474" w:type="dxa"/>
            <w:vAlign w:val="center"/>
          </w:tcPr>
          <w:p w14:paraId="04A7DC12" w14:textId="3939D3C1" w:rsidR="00CB18DF" w:rsidRPr="00D91C64" w:rsidRDefault="00CB18DF" w:rsidP="00CB18DF">
            <w:pPr>
              <w:jc w:val="right"/>
              <w:rPr>
                <w:rFonts w:ascii="Calibri" w:hAnsi="Calibri" w:cs="Calibri"/>
                <w:sz w:val="20"/>
                <w:szCs w:val="20"/>
              </w:rPr>
            </w:pPr>
            <w:r w:rsidRPr="00D91C64">
              <w:rPr>
                <w:rFonts w:ascii="Calibri" w:hAnsi="Calibri" w:cs="Calibri"/>
                <w:sz w:val="20"/>
                <w:szCs w:val="20"/>
              </w:rPr>
              <w:t>46 252 091,28</w:t>
            </w:r>
          </w:p>
        </w:tc>
        <w:tc>
          <w:tcPr>
            <w:tcW w:w="1191" w:type="dxa"/>
            <w:vAlign w:val="center"/>
          </w:tcPr>
          <w:p w14:paraId="36B2528A" w14:textId="77777777" w:rsidR="00CB18DF" w:rsidRPr="00D91C64" w:rsidRDefault="00CB18DF" w:rsidP="00D91C64">
            <w:pPr>
              <w:ind w:right="57"/>
              <w:jc w:val="right"/>
              <w:rPr>
                <w:rFonts w:ascii="Calibri" w:hAnsi="Calibri" w:cs="Calibri"/>
                <w:sz w:val="20"/>
                <w:szCs w:val="20"/>
              </w:rPr>
            </w:pPr>
            <w:r w:rsidRPr="00D91C64">
              <w:rPr>
                <w:rFonts w:ascii="Calibri" w:hAnsi="Calibri" w:cs="Calibri"/>
                <w:sz w:val="20"/>
                <w:szCs w:val="20"/>
              </w:rPr>
              <w:t>243,43</w:t>
            </w:r>
          </w:p>
        </w:tc>
        <w:tc>
          <w:tcPr>
            <w:tcW w:w="1386" w:type="dxa"/>
            <w:vAlign w:val="center"/>
          </w:tcPr>
          <w:p w14:paraId="72155438" w14:textId="77777777" w:rsidR="00CB18DF" w:rsidRPr="00D91C64" w:rsidRDefault="00CB18DF" w:rsidP="00CB18DF">
            <w:pPr>
              <w:jc w:val="center"/>
              <w:rPr>
                <w:rFonts w:ascii="Calibri" w:hAnsi="Calibri" w:cs="Calibri"/>
                <w:sz w:val="20"/>
                <w:szCs w:val="20"/>
              </w:rPr>
            </w:pPr>
            <w:r w:rsidRPr="00D91C64">
              <w:rPr>
                <w:rFonts w:ascii="Calibri" w:hAnsi="Calibri" w:cs="Calibri"/>
                <w:sz w:val="20"/>
                <w:szCs w:val="20"/>
              </w:rPr>
              <w:t>20 000 000,00</w:t>
            </w:r>
          </w:p>
        </w:tc>
        <w:tc>
          <w:tcPr>
            <w:tcW w:w="737" w:type="dxa"/>
            <w:vAlign w:val="center"/>
          </w:tcPr>
          <w:p w14:paraId="374CCB40" w14:textId="77777777" w:rsidR="00CB18DF" w:rsidRPr="00D91C64" w:rsidRDefault="00CB18DF" w:rsidP="00D91C64">
            <w:pPr>
              <w:ind w:left="-57"/>
              <w:jc w:val="right"/>
              <w:rPr>
                <w:rFonts w:ascii="Calibri" w:hAnsi="Calibri" w:cs="Calibri"/>
                <w:color w:val="000000"/>
                <w:sz w:val="20"/>
                <w:szCs w:val="20"/>
              </w:rPr>
            </w:pPr>
            <w:r w:rsidRPr="00D91C64">
              <w:rPr>
                <w:rFonts w:ascii="Calibri" w:hAnsi="Calibri" w:cs="Calibri"/>
                <w:color w:val="000000"/>
                <w:sz w:val="20"/>
                <w:szCs w:val="20"/>
              </w:rPr>
              <w:t>43,23</w:t>
            </w:r>
          </w:p>
        </w:tc>
      </w:tr>
      <w:tr w:rsidR="00CB18DF" w:rsidRPr="00D91C64" w14:paraId="41E508BF" w14:textId="77777777" w:rsidTr="00733E0C">
        <w:trPr>
          <w:trHeight w:val="146"/>
          <w:jc w:val="center"/>
        </w:trPr>
        <w:tc>
          <w:tcPr>
            <w:tcW w:w="1077" w:type="dxa"/>
            <w:vAlign w:val="center"/>
          </w:tcPr>
          <w:p w14:paraId="57CEC38C" w14:textId="77777777" w:rsidR="00CB18DF" w:rsidRPr="00D91C64" w:rsidRDefault="00CB18DF" w:rsidP="00CB18DF">
            <w:pPr>
              <w:jc w:val="center"/>
              <w:rPr>
                <w:rFonts w:ascii="Calibri" w:hAnsi="Calibri" w:cs="Calibri"/>
                <w:sz w:val="20"/>
                <w:szCs w:val="20"/>
              </w:rPr>
            </w:pPr>
            <w:r w:rsidRPr="00D91C64">
              <w:rPr>
                <w:rFonts w:ascii="Calibri" w:hAnsi="Calibri" w:cs="Calibri"/>
                <w:sz w:val="20"/>
                <w:szCs w:val="20"/>
              </w:rPr>
              <w:t>2021</w:t>
            </w:r>
          </w:p>
        </w:tc>
        <w:tc>
          <w:tcPr>
            <w:tcW w:w="1191" w:type="dxa"/>
            <w:vAlign w:val="center"/>
          </w:tcPr>
          <w:p w14:paraId="3230A70E" w14:textId="77777777" w:rsidR="00CB18DF" w:rsidRPr="00D91C64" w:rsidRDefault="00CB18DF" w:rsidP="00CB18DF">
            <w:pPr>
              <w:jc w:val="right"/>
              <w:rPr>
                <w:rFonts w:ascii="Calibri" w:hAnsi="Calibri" w:cs="Calibri"/>
                <w:color w:val="000000"/>
                <w:sz w:val="20"/>
                <w:szCs w:val="20"/>
              </w:rPr>
            </w:pPr>
            <w:r w:rsidRPr="00D91C64">
              <w:rPr>
                <w:rFonts w:ascii="Calibri" w:hAnsi="Calibri" w:cs="Calibri"/>
                <w:color w:val="000000"/>
                <w:sz w:val="20"/>
                <w:szCs w:val="20"/>
              </w:rPr>
              <w:t>39 000 000</w:t>
            </w:r>
          </w:p>
        </w:tc>
        <w:tc>
          <w:tcPr>
            <w:tcW w:w="1191" w:type="dxa"/>
            <w:vAlign w:val="center"/>
          </w:tcPr>
          <w:p w14:paraId="0F858BB8" w14:textId="77777777" w:rsidR="00CB18DF" w:rsidRPr="00D91C64" w:rsidRDefault="00CB18DF" w:rsidP="00CB18DF">
            <w:pPr>
              <w:jc w:val="right"/>
              <w:rPr>
                <w:rFonts w:ascii="Calibri" w:hAnsi="Calibri" w:cs="Calibri"/>
                <w:color w:val="000000"/>
                <w:sz w:val="20"/>
                <w:szCs w:val="20"/>
              </w:rPr>
            </w:pPr>
            <w:r w:rsidRPr="00D91C64">
              <w:rPr>
                <w:rFonts w:ascii="Calibri" w:hAnsi="Calibri" w:cs="Calibri"/>
                <w:color w:val="000000"/>
                <w:sz w:val="20"/>
                <w:szCs w:val="20"/>
              </w:rPr>
              <w:t>39 000 000</w:t>
            </w:r>
          </w:p>
        </w:tc>
        <w:tc>
          <w:tcPr>
            <w:tcW w:w="891" w:type="dxa"/>
            <w:vAlign w:val="center"/>
          </w:tcPr>
          <w:p w14:paraId="114DDE33" w14:textId="77777777" w:rsidR="00CB18DF" w:rsidRPr="00D91C64" w:rsidRDefault="00CB18DF" w:rsidP="00D91C64">
            <w:pPr>
              <w:ind w:right="57"/>
              <w:jc w:val="right"/>
              <w:rPr>
                <w:rFonts w:ascii="Calibri" w:hAnsi="Calibri" w:cs="Calibri"/>
                <w:color w:val="000000"/>
                <w:sz w:val="20"/>
                <w:szCs w:val="20"/>
              </w:rPr>
            </w:pPr>
            <w:r w:rsidRPr="00D91C64">
              <w:rPr>
                <w:rFonts w:ascii="Calibri" w:hAnsi="Calibri" w:cs="Calibri"/>
                <w:color w:val="000000"/>
                <w:sz w:val="20"/>
                <w:szCs w:val="20"/>
              </w:rPr>
              <w:t>0</w:t>
            </w:r>
          </w:p>
        </w:tc>
        <w:tc>
          <w:tcPr>
            <w:tcW w:w="1474" w:type="dxa"/>
            <w:vAlign w:val="center"/>
          </w:tcPr>
          <w:p w14:paraId="73520186" w14:textId="77777777" w:rsidR="00CB18DF" w:rsidRPr="00D91C64" w:rsidRDefault="00CB18DF" w:rsidP="00CB18DF">
            <w:pPr>
              <w:jc w:val="right"/>
              <w:rPr>
                <w:rFonts w:ascii="Calibri" w:hAnsi="Calibri" w:cs="Calibri"/>
                <w:color w:val="000000"/>
                <w:sz w:val="20"/>
                <w:szCs w:val="20"/>
              </w:rPr>
            </w:pPr>
            <w:r w:rsidRPr="00D91C64">
              <w:rPr>
                <w:rFonts w:ascii="Calibri" w:hAnsi="Calibri" w:cs="Calibri"/>
                <w:color w:val="000000"/>
                <w:sz w:val="20"/>
                <w:szCs w:val="20"/>
              </w:rPr>
              <w:t>36 923 486,81</w:t>
            </w:r>
          </w:p>
        </w:tc>
        <w:tc>
          <w:tcPr>
            <w:tcW w:w="1191" w:type="dxa"/>
            <w:vAlign w:val="center"/>
          </w:tcPr>
          <w:p w14:paraId="2C1157F5" w14:textId="77777777" w:rsidR="00CB18DF" w:rsidRPr="00D91C64" w:rsidRDefault="00CB18DF" w:rsidP="00D91C64">
            <w:pPr>
              <w:ind w:right="57"/>
              <w:jc w:val="right"/>
              <w:rPr>
                <w:rFonts w:ascii="Calibri" w:hAnsi="Calibri" w:cs="Calibri"/>
                <w:color w:val="000000"/>
                <w:sz w:val="20"/>
                <w:szCs w:val="20"/>
              </w:rPr>
            </w:pPr>
            <w:r w:rsidRPr="00D91C64">
              <w:rPr>
                <w:rFonts w:ascii="Calibri" w:hAnsi="Calibri" w:cs="Calibri"/>
                <w:color w:val="000000"/>
                <w:sz w:val="20"/>
                <w:szCs w:val="20"/>
              </w:rPr>
              <w:t>94,68</w:t>
            </w:r>
          </w:p>
        </w:tc>
        <w:tc>
          <w:tcPr>
            <w:tcW w:w="1386" w:type="dxa"/>
            <w:vAlign w:val="center"/>
          </w:tcPr>
          <w:p w14:paraId="30682999" w14:textId="77777777" w:rsidR="00CB18DF" w:rsidRPr="00D91C64" w:rsidRDefault="00CB18DF" w:rsidP="00CB18DF">
            <w:pPr>
              <w:jc w:val="center"/>
              <w:rPr>
                <w:rFonts w:ascii="Calibri" w:hAnsi="Calibri" w:cs="Calibri"/>
                <w:color w:val="000000"/>
                <w:sz w:val="20"/>
                <w:szCs w:val="20"/>
              </w:rPr>
            </w:pPr>
            <w:r w:rsidRPr="00D91C64">
              <w:rPr>
                <w:rFonts w:ascii="Calibri" w:hAnsi="Calibri" w:cs="Calibri"/>
                <w:color w:val="000000"/>
                <w:sz w:val="20"/>
                <w:szCs w:val="20"/>
              </w:rPr>
              <w:t>36 923 486,81</w:t>
            </w:r>
          </w:p>
        </w:tc>
        <w:tc>
          <w:tcPr>
            <w:tcW w:w="737" w:type="dxa"/>
            <w:vAlign w:val="center"/>
          </w:tcPr>
          <w:p w14:paraId="27109306" w14:textId="77777777" w:rsidR="00CB18DF" w:rsidRPr="00D91C64" w:rsidRDefault="00CB18DF" w:rsidP="00D91C64">
            <w:pPr>
              <w:ind w:left="-57" w:right="227"/>
              <w:jc w:val="right"/>
              <w:rPr>
                <w:rFonts w:ascii="Calibri" w:hAnsi="Calibri" w:cs="Calibri"/>
                <w:color w:val="000000"/>
                <w:sz w:val="20"/>
                <w:szCs w:val="20"/>
              </w:rPr>
            </w:pPr>
            <w:r w:rsidRPr="00D91C64">
              <w:rPr>
                <w:rFonts w:ascii="Calibri" w:hAnsi="Calibri" w:cs="Calibri"/>
                <w:color w:val="000000"/>
                <w:sz w:val="20"/>
                <w:szCs w:val="20"/>
              </w:rPr>
              <w:t>100</w:t>
            </w:r>
          </w:p>
        </w:tc>
      </w:tr>
      <w:tr w:rsidR="00CB18DF" w:rsidRPr="00D91C64" w14:paraId="6145AA0D" w14:textId="77777777" w:rsidTr="00733E0C">
        <w:trPr>
          <w:trHeight w:val="146"/>
          <w:jc w:val="center"/>
        </w:trPr>
        <w:tc>
          <w:tcPr>
            <w:tcW w:w="1077" w:type="dxa"/>
            <w:vAlign w:val="center"/>
          </w:tcPr>
          <w:p w14:paraId="0A8D70BD" w14:textId="77777777" w:rsidR="00CB18DF" w:rsidRPr="00D91C64" w:rsidRDefault="00CB18DF" w:rsidP="00CB18DF">
            <w:pPr>
              <w:jc w:val="center"/>
              <w:rPr>
                <w:rFonts w:ascii="Calibri" w:hAnsi="Calibri" w:cs="Calibri"/>
                <w:sz w:val="20"/>
                <w:szCs w:val="20"/>
              </w:rPr>
            </w:pPr>
            <w:r w:rsidRPr="00D91C64">
              <w:rPr>
                <w:rFonts w:ascii="Calibri" w:hAnsi="Calibri" w:cs="Calibri"/>
                <w:sz w:val="20"/>
                <w:szCs w:val="20"/>
              </w:rPr>
              <w:t>2022</w:t>
            </w:r>
          </w:p>
        </w:tc>
        <w:tc>
          <w:tcPr>
            <w:tcW w:w="1191" w:type="dxa"/>
            <w:vAlign w:val="center"/>
          </w:tcPr>
          <w:p w14:paraId="6F2AC4F8" w14:textId="77777777" w:rsidR="00CB18DF" w:rsidRPr="00D91C64" w:rsidRDefault="00CB18DF" w:rsidP="00CB18DF">
            <w:pPr>
              <w:jc w:val="right"/>
              <w:rPr>
                <w:rFonts w:ascii="Calibri" w:hAnsi="Calibri" w:cs="Calibri"/>
                <w:color w:val="000000"/>
                <w:sz w:val="20"/>
                <w:szCs w:val="20"/>
              </w:rPr>
            </w:pPr>
            <w:r w:rsidRPr="00D91C64">
              <w:rPr>
                <w:rFonts w:ascii="Calibri" w:hAnsi="Calibri" w:cs="Calibri"/>
                <w:color w:val="000000"/>
                <w:sz w:val="20"/>
                <w:szCs w:val="20"/>
              </w:rPr>
              <w:t>59 000 000</w:t>
            </w:r>
          </w:p>
        </w:tc>
        <w:tc>
          <w:tcPr>
            <w:tcW w:w="1191" w:type="dxa"/>
            <w:vAlign w:val="center"/>
          </w:tcPr>
          <w:p w14:paraId="56D354C7" w14:textId="77777777" w:rsidR="00CB18DF" w:rsidRPr="00D91C64" w:rsidRDefault="00CB18DF" w:rsidP="00CB18DF">
            <w:pPr>
              <w:jc w:val="right"/>
              <w:rPr>
                <w:rFonts w:ascii="Calibri" w:hAnsi="Calibri" w:cs="Calibri"/>
                <w:color w:val="000000"/>
                <w:sz w:val="20"/>
                <w:szCs w:val="20"/>
              </w:rPr>
            </w:pPr>
            <w:r w:rsidRPr="00D91C64">
              <w:rPr>
                <w:rFonts w:ascii="Calibri" w:hAnsi="Calibri" w:cs="Calibri"/>
                <w:color w:val="000000"/>
                <w:sz w:val="20"/>
                <w:szCs w:val="20"/>
              </w:rPr>
              <w:t>59 000 000</w:t>
            </w:r>
          </w:p>
        </w:tc>
        <w:tc>
          <w:tcPr>
            <w:tcW w:w="891" w:type="dxa"/>
            <w:vAlign w:val="center"/>
          </w:tcPr>
          <w:p w14:paraId="04684BB6" w14:textId="77777777" w:rsidR="00CB18DF" w:rsidRPr="00D91C64" w:rsidRDefault="00CB18DF" w:rsidP="00D91C64">
            <w:pPr>
              <w:ind w:right="57"/>
              <w:jc w:val="right"/>
              <w:rPr>
                <w:rFonts w:ascii="Calibri" w:hAnsi="Calibri" w:cs="Calibri"/>
                <w:color w:val="000000"/>
                <w:sz w:val="20"/>
                <w:szCs w:val="20"/>
              </w:rPr>
            </w:pPr>
            <w:r w:rsidRPr="00D91C64">
              <w:rPr>
                <w:rFonts w:ascii="Calibri" w:hAnsi="Calibri" w:cs="Calibri"/>
                <w:color w:val="000000"/>
                <w:sz w:val="20"/>
                <w:szCs w:val="20"/>
              </w:rPr>
              <w:t>0</w:t>
            </w:r>
          </w:p>
        </w:tc>
        <w:tc>
          <w:tcPr>
            <w:tcW w:w="1474" w:type="dxa"/>
            <w:vAlign w:val="center"/>
          </w:tcPr>
          <w:p w14:paraId="302D2A6F" w14:textId="66BE5C68" w:rsidR="00CB18DF" w:rsidRPr="00D91C64" w:rsidRDefault="00CB18DF" w:rsidP="00CB18DF">
            <w:pPr>
              <w:jc w:val="right"/>
              <w:rPr>
                <w:rFonts w:ascii="Calibri" w:hAnsi="Calibri" w:cs="Calibri"/>
                <w:color w:val="000000"/>
                <w:sz w:val="20"/>
                <w:szCs w:val="20"/>
              </w:rPr>
            </w:pPr>
            <w:r w:rsidRPr="00D91C64">
              <w:rPr>
                <w:rFonts w:ascii="Calibri" w:hAnsi="Calibri" w:cs="Calibri"/>
                <w:color w:val="000000"/>
                <w:sz w:val="20"/>
                <w:szCs w:val="20"/>
              </w:rPr>
              <w:t>34 527 756,27</w:t>
            </w:r>
          </w:p>
        </w:tc>
        <w:tc>
          <w:tcPr>
            <w:tcW w:w="1191" w:type="dxa"/>
            <w:vAlign w:val="center"/>
          </w:tcPr>
          <w:p w14:paraId="4FC1A955" w14:textId="77777777" w:rsidR="00CB18DF" w:rsidRPr="00D91C64" w:rsidRDefault="00CB18DF" w:rsidP="00D91C64">
            <w:pPr>
              <w:ind w:right="57"/>
              <w:jc w:val="right"/>
              <w:rPr>
                <w:rFonts w:ascii="Calibri" w:hAnsi="Calibri" w:cs="Calibri"/>
                <w:color w:val="000000"/>
                <w:sz w:val="20"/>
                <w:szCs w:val="20"/>
              </w:rPr>
            </w:pPr>
            <w:r w:rsidRPr="00D91C64">
              <w:rPr>
                <w:rFonts w:ascii="Calibri" w:hAnsi="Calibri" w:cs="Calibri"/>
                <w:color w:val="000000"/>
                <w:sz w:val="20"/>
                <w:szCs w:val="20"/>
              </w:rPr>
              <w:t>58,52</w:t>
            </w:r>
          </w:p>
        </w:tc>
        <w:tc>
          <w:tcPr>
            <w:tcW w:w="1386" w:type="dxa"/>
            <w:vAlign w:val="center"/>
          </w:tcPr>
          <w:p w14:paraId="538A06E2" w14:textId="77777777" w:rsidR="00CB18DF" w:rsidRPr="00D91C64" w:rsidRDefault="00CB18DF" w:rsidP="00CB18DF">
            <w:pPr>
              <w:jc w:val="center"/>
              <w:rPr>
                <w:rFonts w:ascii="Calibri" w:hAnsi="Calibri" w:cs="Calibri"/>
                <w:color w:val="000000"/>
                <w:sz w:val="20"/>
                <w:szCs w:val="20"/>
              </w:rPr>
            </w:pPr>
            <w:r w:rsidRPr="00D91C64">
              <w:rPr>
                <w:rFonts w:ascii="Calibri" w:hAnsi="Calibri" w:cs="Calibri"/>
                <w:color w:val="000000"/>
                <w:sz w:val="20"/>
                <w:szCs w:val="20"/>
              </w:rPr>
              <w:t>34 527 756,27</w:t>
            </w:r>
          </w:p>
        </w:tc>
        <w:tc>
          <w:tcPr>
            <w:tcW w:w="737" w:type="dxa"/>
            <w:vAlign w:val="center"/>
          </w:tcPr>
          <w:p w14:paraId="7136E03E" w14:textId="77777777" w:rsidR="00CB18DF" w:rsidRPr="00D91C64" w:rsidRDefault="00CB18DF" w:rsidP="00D91C64">
            <w:pPr>
              <w:ind w:left="-57" w:right="227"/>
              <w:jc w:val="right"/>
              <w:rPr>
                <w:rFonts w:ascii="Calibri" w:hAnsi="Calibri" w:cs="Calibri"/>
                <w:color w:val="000000"/>
                <w:sz w:val="20"/>
                <w:szCs w:val="20"/>
              </w:rPr>
            </w:pPr>
            <w:r w:rsidRPr="00D91C64">
              <w:rPr>
                <w:rFonts w:ascii="Calibri" w:hAnsi="Calibri" w:cs="Calibri"/>
                <w:color w:val="000000"/>
                <w:sz w:val="20"/>
                <w:szCs w:val="20"/>
              </w:rPr>
              <w:t>100</w:t>
            </w:r>
          </w:p>
        </w:tc>
      </w:tr>
      <w:tr w:rsidR="00CB18DF" w:rsidRPr="00D91C64" w14:paraId="2C19C5D4" w14:textId="77777777" w:rsidTr="00733E0C">
        <w:trPr>
          <w:trHeight w:val="64"/>
          <w:jc w:val="center"/>
        </w:trPr>
        <w:tc>
          <w:tcPr>
            <w:tcW w:w="1077" w:type="dxa"/>
            <w:shd w:val="clear" w:color="auto" w:fill="auto"/>
            <w:vAlign w:val="center"/>
          </w:tcPr>
          <w:p w14:paraId="4899948E" w14:textId="11A7491E" w:rsidR="00CB18DF" w:rsidRPr="00D91C64" w:rsidRDefault="00383106" w:rsidP="00D91C64">
            <w:pPr>
              <w:ind w:left="-57" w:right="-57"/>
              <w:jc w:val="center"/>
              <w:rPr>
                <w:rFonts w:ascii="Calibri" w:hAnsi="Calibri" w:cs="Calibri"/>
                <w:b/>
                <w:sz w:val="18"/>
                <w:szCs w:val="18"/>
              </w:rPr>
            </w:pPr>
            <w:r w:rsidRPr="00D91C64">
              <w:rPr>
                <w:rFonts w:ascii="Calibri" w:hAnsi="Calibri" w:cs="Calibri"/>
                <w:b/>
                <w:sz w:val="18"/>
                <w:szCs w:val="18"/>
              </w:rPr>
              <w:t xml:space="preserve">Celkem </w:t>
            </w:r>
            <w:r w:rsidR="00CB18DF" w:rsidRPr="00D91C64">
              <w:rPr>
                <w:rFonts w:ascii="Calibri" w:hAnsi="Calibri" w:cs="Calibri"/>
                <w:b/>
                <w:sz w:val="18"/>
                <w:szCs w:val="18"/>
              </w:rPr>
              <w:t>2017–2022</w:t>
            </w:r>
          </w:p>
        </w:tc>
        <w:tc>
          <w:tcPr>
            <w:tcW w:w="1191" w:type="dxa"/>
            <w:shd w:val="clear" w:color="auto" w:fill="auto"/>
            <w:vAlign w:val="center"/>
          </w:tcPr>
          <w:p w14:paraId="46E4F1A3" w14:textId="77777777" w:rsidR="00CB18DF" w:rsidRPr="00D91C64" w:rsidRDefault="00CB18DF" w:rsidP="00D91C64">
            <w:pPr>
              <w:ind w:left="-57" w:right="-57"/>
              <w:jc w:val="right"/>
              <w:rPr>
                <w:rFonts w:ascii="Calibri" w:hAnsi="Calibri" w:cs="Calibri"/>
                <w:b/>
                <w:color w:val="000000"/>
                <w:sz w:val="20"/>
                <w:szCs w:val="20"/>
              </w:rPr>
            </w:pPr>
            <w:r w:rsidRPr="00D91C64">
              <w:rPr>
                <w:rFonts w:ascii="Calibri" w:hAnsi="Calibri" w:cs="Calibri"/>
                <w:b/>
                <w:color w:val="000000"/>
                <w:sz w:val="20"/>
                <w:szCs w:val="20"/>
              </w:rPr>
              <w:t>192 000 000</w:t>
            </w:r>
          </w:p>
        </w:tc>
        <w:tc>
          <w:tcPr>
            <w:tcW w:w="1191" w:type="dxa"/>
            <w:shd w:val="clear" w:color="auto" w:fill="auto"/>
            <w:vAlign w:val="center"/>
          </w:tcPr>
          <w:p w14:paraId="5816E330" w14:textId="77777777" w:rsidR="00CB18DF" w:rsidRPr="00D91C64" w:rsidRDefault="00CB18DF" w:rsidP="00D91C64">
            <w:pPr>
              <w:ind w:left="-57" w:right="-57"/>
              <w:jc w:val="right"/>
              <w:rPr>
                <w:rFonts w:ascii="Calibri" w:hAnsi="Calibri" w:cs="Calibri"/>
                <w:b/>
                <w:color w:val="000000"/>
                <w:sz w:val="20"/>
                <w:szCs w:val="20"/>
              </w:rPr>
            </w:pPr>
            <w:r w:rsidRPr="00D91C64">
              <w:rPr>
                <w:rFonts w:ascii="Calibri" w:hAnsi="Calibri" w:cs="Calibri"/>
                <w:b/>
                <w:color w:val="000000"/>
                <w:sz w:val="20"/>
                <w:szCs w:val="20"/>
              </w:rPr>
              <w:t>192 000 000</w:t>
            </w:r>
          </w:p>
        </w:tc>
        <w:tc>
          <w:tcPr>
            <w:tcW w:w="891" w:type="dxa"/>
            <w:shd w:val="clear" w:color="auto" w:fill="auto"/>
            <w:vAlign w:val="center"/>
          </w:tcPr>
          <w:p w14:paraId="011694A3" w14:textId="77777777" w:rsidR="00CB18DF" w:rsidRPr="00D91C64" w:rsidRDefault="00CB18DF" w:rsidP="00D91C64">
            <w:pPr>
              <w:ind w:left="-57" w:right="-57"/>
              <w:jc w:val="right"/>
              <w:rPr>
                <w:rFonts w:ascii="Calibri" w:hAnsi="Calibri" w:cs="Calibri"/>
                <w:b/>
                <w:color w:val="000000"/>
                <w:sz w:val="20"/>
                <w:szCs w:val="20"/>
              </w:rPr>
            </w:pPr>
          </w:p>
        </w:tc>
        <w:tc>
          <w:tcPr>
            <w:tcW w:w="1474" w:type="dxa"/>
            <w:shd w:val="clear" w:color="auto" w:fill="auto"/>
            <w:vAlign w:val="center"/>
          </w:tcPr>
          <w:p w14:paraId="5A50EFC7" w14:textId="77777777" w:rsidR="00CB18DF" w:rsidRPr="00D91C64" w:rsidRDefault="00CB18DF" w:rsidP="00D91C64">
            <w:pPr>
              <w:ind w:left="-57" w:right="-57"/>
              <w:jc w:val="right"/>
              <w:rPr>
                <w:rFonts w:ascii="Calibri" w:hAnsi="Calibri" w:cs="Calibri"/>
                <w:b/>
                <w:color w:val="000000"/>
                <w:sz w:val="20"/>
                <w:szCs w:val="20"/>
              </w:rPr>
            </w:pPr>
            <w:r w:rsidRPr="00D91C64">
              <w:rPr>
                <w:rFonts w:ascii="Calibri" w:hAnsi="Calibri" w:cs="Calibri"/>
                <w:b/>
                <w:color w:val="000000"/>
                <w:sz w:val="20"/>
                <w:szCs w:val="20"/>
              </w:rPr>
              <w:t>210 208 274,88</w:t>
            </w:r>
          </w:p>
        </w:tc>
        <w:tc>
          <w:tcPr>
            <w:tcW w:w="1191" w:type="dxa"/>
            <w:shd w:val="clear" w:color="auto" w:fill="auto"/>
            <w:vAlign w:val="center"/>
          </w:tcPr>
          <w:p w14:paraId="6E0B98D5" w14:textId="77777777" w:rsidR="00CB18DF" w:rsidRPr="00D91C64" w:rsidRDefault="00CB18DF" w:rsidP="00D91C64">
            <w:pPr>
              <w:ind w:left="-57" w:right="-57"/>
              <w:jc w:val="right"/>
              <w:rPr>
                <w:rFonts w:ascii="Calibri" w:hAnsi="Calibri" w:cs="Calibri"/>
                <w:b/>
                <w:color w:val="000000"/>
                <w:sz w:val="20"/>
                <w:szCs w:val="20"/>
              </w:rPr>
            </w:pPr>
          </w:p>
        </w:tc>
        <w:tc>
          <w:tcPr>
            <w:tcW w:w="1386" w:type="dxa"/>
            <w:shd w:val="clear" w:color="auto" w:fill="auto"/>
            <w:vAlign w:val="center"/>
          </w:tcPr>
          <w:p w14:paraId="4DF30C21" w14:textId="77777777" w:rsidR="00CB18DF" w:rsidRPr="00D91C64" w:rsidRDefault="00CB18DF" w:rsidP="00D91C64">
            <w:pPr>
              <w:ind w:left="-57" w:right="-57"/>
              <w:jc w:val="right"/>
              <w:rPr>
                <w:rFonts w:ascii="Calibri" w:hAnsi="Calibri" w:cs="Calibri"/>
                <w:b/>
                <w:color w:val="000000"/>
                <w:sz w:val="20"/>
                <w:szCs w:val="20"/>
              </w:rPr>
            </w:pPr>
            <w:r w:rsidRPr="00D91C64">
              <w:rPr>
                <w:rFonts w:ascii="Calibri" w:hAnsi="Calibri" w:cs="Calibri"/>
                <w:b/>
                <w:color w:val="000000"/>
                <w:sz w:val="20"/>
                <w:szCs w:val="20"/>
              </w:rPr>
              <w:t>152 756 479,58</w:t>
            </w:r>
          </w:p>
        </w:tc>
        <w:tc>
          <w:tcPr>
            <w:tcW w:w="737" w:type="dxa"/>
            <w:shd w:val="clear" w:color="auto" w:fill="auto"/>
            <w:vAlign w:val="center"/>
          </w:tcPr>
          <w:p w14:paraId="0025256F" w14:textId="77777777" w:rsidR="00CB18DF" w:rsidRPr="00D91C64" w:rsidRDefault="00CB18DF" w:rsidP="00D91C64">
            <w:pPr>
              <w:ind w:left="-57" w:right="-57"/>
              <w:jc w:val="right"/>
              <w:rPr>
                <w:rFonts w:ascii="Calibri" w:hAnsi="Calibri" w:cs="Calibri"/>
                <w:b/>
                <w:color w:val="000000"/>
                <w:sz w:val="20"/>
                <w:szCs w:val="20"/>
              </w:rPr>
            </w:pPr>
          </w:p>
        </w:tc>
      </w:tr>
    </w:tbl>
    <w:p w14:paraId="73C719D3" w14:textId="3207CDE6" w:rsidR="00CB18DF" w:rsidRPr="00EA6B3C" w:rsidRDefault="00CB18DF" w:rsidP="00955553">
      <w:pPr>
        <w:pStyle w:val="Zdrojeapozn"/>
        <w:rPr>
          <w:b w:val="0"/>
          <w:lang w:eastAsia="cs-CZ"/>
        </w:rPr>
      </w:pPr>
      <w:r w:rsidRPr="00F13367">
        <w:rPr>
          <w:lang w:eastAsia="cs-CZ"/>
        </w:rPr>
        <w:t>Zdroj:</w:t>
      </w:r>
      <w:r w:rsidR="00675381">
        <w:rPr>
          <w:lang w:eastAsia="cs-CZ"/>
        </w:rPr>
        <w:t xml:space="preserve"> </w:t>
      </w:r>
      <w:r w:rsidRPr="00EA6B3C">
        <w:rPr>
          <w:b w:val="0"/>
          <w:lang w:eastAsia="cs-CZ"/>
        </w:rPr>
        <w:t xml:space="preserve">Státní pokladna za roky 2017–2022, </w:t>
      </w:r>
      <w:r w:rsidR="00664A04" w:rsidRPr="00EA6B3C">
        <w:rPr>
          <w:b w:val="0"/>
          <w:lang w:eastAsia="cs-CZ"/>
        </w:rPr>
        <w:t xml:space="preserve">informace </w:t>
      </w:r>
      <w:r w:rsidRPr="00EA6B3C">
        <w:rPr>
          <w:b w:val="0"/>
          <w:lang w:eastAsia="cs-CZ"/>
        </w:rPr>
        <w:t>MŽ</w:t>
      </w:r>
      <w:r w:rsidR="00664A04" w:rsidRPr="00EA6B3C">
        <w:rPr>
          <w:b w:val="0"/>
          <w:lang w:eastAsia="cs-CZ"/>
        </w:rPr>
        <w:t>P</w:t>
      </w:r>
      <w:r w:rsidRPr="00EA6B3C">
        <w:rPr>
          <w:b w:val="0"/>
          <w:lang w:eastAsia="cs-CZ"/>
        </w:rPr>
        <w:t>, výpočet NKÚ.</w:t>
      </w:r>
    </w:p>
    <w:p w14:paraId="3836AAA4" w14:textId="3BB6E58E" w:rsidR="00CB18DF" w:rsidRDefault="00CB18DF" w:rsidP="00CB18DF">
      <w:pPr>
        <w:pStyle w:val="TextKP"/>
      </w:pPr>
      <w:r w:rsidRPr="00C0338B">
        <w:t>Výnos z poplatků za znečisťování ovzduší za roky 2019 a 2020 činil celkem 92</w:t>
      </w:r>
      <w:r w:rsidR="00751EF5">
        <w:t>,</w:t>
      </w:r>
      <w:r w:rsidRPr="00C0338B">
        <w:t>41</w:t>
      </w:r>
      <w:r w:rsidR="00751EF5">
        <w:t xml:space="preserve"> mil.</w:t>
      </w:r>
      <w:r w:rsidRPr="00C0338B">
        <w:t xml:space="preserve"> Kč a</w:t>
      </w:r>
      <w:r w:rsidR="00FA61F6">
        <w:t> </w:t>
      </w:r>
      <w:r w:rsidRPr="00C0338B">
        <w:t>ČHMÚ byla v těchto letech převedena částka ve výši jen 34</w:t>
      </w:r>
      <w:r w:rsidR="00751EF5">
        <w:t>,</w:t>
      </w:r>
      <w:r w:rsidRPr="00C0338B">
        <w:t>9</w:t>
      </w:r>
      <w:r w:rsidR="00751EF5">
        <w:t>6</w:t>
      </w:r>
      <w:r w:rsidRPr="00C0338B">
        <w:t> </w:t>
      </w:r>
      <w:r w:rsidR="00751EF5">
        <w:t xml:space="preserve">mil. </w:t>
      </w:r>
      <w:r w:rsidRPr="00C0338B">
        <w:t>Kč.</w:t>
      </w:r>
    </w:p>
    <w:p w14:paraId="4CEE6771" w14:textId="77777777" w:rsidR="00507C4A" w:rsidRPr="00507C4A" w:rsidRDefault="00507C4A" w:rsidP="00507C4A">
      <w:pPr>
        <w:pStyle w:val="TextKP"/>
        <w:rPr>
          <w:b/>
          <w:bCs/>
        </w:rPr>
      </w:pPr>
      <w:r w:rsidRPr="00507C4A">
        <w:rPr>
          <w:b/>
          <w:bCs/>
        </w:rPr>
        <w:t>Kontrolou NKÚ bylo zjištěno, že za roky 2019 a 2020 nebyly prostředky státního rozpočtu v celkové výši 57,45 mil. Kč použity na účely stanovené v § 15 odst. 14 zákona č. 201/2012 Sb.</w:t>
      </w:r>
    </w:p>
    <w:p w14:paraId="71032D4B" w14:textId="77777777" w:rsidR="00507C4A" w:rsidRPr="00507C4A" w:rsidRDefault="00507C4A" w:rsidP="00507C4A">
      <w:pPr>
        <w:pStyle w:val="TextKP"/>
      </w:pPr>
      <w:r w:rsidRPr="00507C4A">
        <w:t>Peníze v letech 2019 a 2020 skončily na příjmovém účtu GŘC a dle MŽP byly využity na snížení deficitu státního rozpočtu v daném roce.</w:t>
      </w:r>
    </w:p>
    <w:p w14:paraId="30E50272" w14:textId="4DDF1A6E" w:rsidR="009466BF" w:rsidRPr="00441B1E" w:rsidRDefault="00EF40CB" w:rsidP="00733E0C">
      <w:pPr>
        <w:pStyle w:val="TextKP"/>
        <w:keepNext/>
        <w:spacing w:before="240" w:after="120"/>
        <w:outlineLvl w:val="2"/>
        <w:rPr>
          <w:b/>
        </w:rPr>
      </w:pPr>
      <w:r w:rsidRPr="00441B1E">
        <w:rPr>
          <w:b/>
        </w:rPr>
        <w:lastRenderedPageBreak/>
        <w:t>P</w:t>
      </w:r>
      <w:r w:rsidR="009466BF" w:rsidRPr="00441B1E">
        <w:rPr>
          <w:b/>
        </w:rPr>
        <w:t xml:space="preserve">rogram </w:t>
      </w:r>
      <w:r w:rsidR="009466BF" w:rsidRPr="002F3B4E">
        <w:rPr>
          <w:b/>
          <w:i/>
        </w:rPr>
        <w:t>Nová zelená úsporám</w:t>
      </w:r>
    </w:p>
    <w:p w14:paraId="0880F437" w14:textId="77777777" w:rsidR="00507C4A" w:rsidRDefault="009466BF" w:rsidP="00522022">
      <w:pPr>
        <w:pStyle w:val="TextKP"/>
      </w:pPr>
      <w:r>
        <w:t>Mezi MŽP vytyčené cíle programu NZÚ patří kromě snižování spotřeby energie a zvyšování energetické účinnosti také snížení emisí látek znečišťujících ovzduší, a to zejména v důsledku výměn kotlů na tuhá paliva</w:t>
      </w:r>
      <w:r w:rsidRPr="00752A42">
        <w:t xml:space="preserve"> nedosahujících parametrů pro 3. třídu dle ČSN EN 303-5:201 v</w:t>
      </w:r>
      <w:r>
        <w:t> </w:t>
      </w:r>
      <w:r w:rsidRPr="00752A42">
        <w:t>domácnostech nebo jiných lokálních topidel na pevná paliva</w:t>
      </w:r>
      <w:r>
        <w:t xml:space="preserve">. Do konce roku 2022 MŽP podpořilo v rámci podprogramu </w:t>
      </w:r>
      <w:r w:rsidRPr="00752A42">
        <w:rPr>
          <w:i/>
        </w:rPr>
        <w:t>Rodinné domy</w:t>
      </w:r>
      <w:r>
        <w:t xml:space="preserve"> programu NZÚ cca 6 tis. výměn kotlů na pevná paliva</w:t>
      </w:r>
      <w:r w:rsidR="007841C8">
        <w:t>. Na tyto výměny vynaložilo peněžní prostředky ze SR ve výši 304,88 mil. Kč v rámci I</w:t>
      </w:r>
      <w:r w:rsidR="004971C4">
        <w:t>. </w:t>
      </w:r>
      <w:r w:rsidR="007841C8">
        <w:t xml:space="preserve">etapy NZÚ 14+ a 488,3 mil. Kč </w:t>
      </w:r>
      <w:r w:rsidR="004971C4">
        <w:t xml:space="preserve">z prostředků EU </w:t>
      </w:r>
      <w:r w:rsidR="007841C8">
        <w:t xml:space="preserve">v rámci </w:t>
      </w:r>
      <w:r w:rsidR="00714A62">
        <w:t>I</w:t>
      </w:r>
      <w:r w:rsidR="007841C8">
        <w:t>I. etapy NZÚ 21+.</w:t>
      </w:r>
    </w:p>
    <w:p w14:paraId="3357AFAB" w14:textId="54EECD85" w:rsidR="00C5233F" w:rsidRPr="0059045E" w:rsidRDefault="0059045E" w:rsidP="00675381">
      <w:pPr>
        <w:pStyle w:val="TextKP"/>
        <w:spacing w:after="120"/>
        <w:rPr>
          <w:b/>
          <w:i/>
        </w:rPr>
      </w:pPr>
      <w:r w:rsidRPr="0059045E">
        <w:rPr>
          <w:b/>
          <w:i/>
          <w:color w:val="AF1953"/>
        </w:rPr>
        <w:t xml:space="preserve">→ </w:t>
      </w:r>
      <w:r w:rsidR="00507C4A" w:rsidRPr="0059045E">
        <w:rPr>
          <w:b/>
          <w:i/>
          <w:color w:val="AF1953"/>
        </w:rPr>
        <w:t>MŽP nestanovilo</w:t>
      </w:r>
      <w:r w:rsidR="00C46F91" w:rsidRPr="0059045E">
        <w:rPr>
          <w:b/>
          <w:i/>
          <w:color w:val="AF1953"/>
        </w:rPr>
        <w:t xml:space="preserve"> </w:t>
      </w:r>
      <w:r w:rsidR="00507C4A" w:rsidRPr="0059045E">
        <w:rPr>
          <w:b/>
          <w:i/>
          <w:color w:val="AF1953"/>
        </w:rPr>
        <w:t>žádné pa</w:t>
      </w:r>
      <w:r w:rsidR="00507C4A" w:rsidRPr="00BF0848">
        <w:rPr>
          <w:b/>
          <w:i/>
          <w:color w:val="AF1953"/>
        </w:rPr>
        <w:t>rametry či indikátory, na základě kterých by bylo možné vyhodnocovat přínosy programu NZÚ ke zlepšová</w:t>
      </w:r>
      <w:r w:rsidR="00507C4A" w:rsidRPr="0059045E">
        <w:rPr>
          <w:b/>
          <w:i/>
          <w:color w:val="AF1953"/>
        </w:rPr>
        <w:t>ní kvality ovzduší.</w:t>
      </w:r>
    </w:p>
    <w:p w14:paraId="03A25AA6" w14:textId="2D6DD708" w:rsidR="00714A62" w:rsidRPr="00733E0C" w:rsidRDefault="00714A62" w:rsidP="00733E0C">
      <w:pPr>
        <w:pStyle w:val="Titulek"/>
        <w:tabs>
          <w:tab w:val="right" w:pos="9072"/>
        </w:tabs>
        <w:spacing w:before="0"/>
        <w:ind w:left="1418" w:hanging="1418"/>
        <w:rPr>
          <w:b/>
        </w:rPr>
      </w:pPr>
      <w:r w:rsidRPr="00733E0C">
        <w:rPr>
          <w:b/>
        </w:rPr>
        <w:t xml:space="preserve">Tabulka č. </w:t>
      </w:r>
      <w:r w:rsidRPr="00733E0C">
        <w:rPr>
          <w:b/>
        </w:rPr>
        <w:fldChar w:fldCharType="begin"/>
      </w:r>
      <w:r w:rsidRPr="00733E0C">
        <w:rPr>
          <w:b/>
        </w:rPr>
        <w:instrText xml:space="preserve"> SEQ Tabulka_č. \* ARABIC </w:instrText>
      </w:r>
      <w:r w:rsidRPr="00733E0C">
        <w:rPr>
          <w:b/>
        </w:rPr>
        <w:fldChar w:fldCharType="separate"/>
      </w:r>
      <w:r w:rsidR="000D2E96">
        <w:rPr>
          <w:b/>
          <w:noProof/>
        </w:rPr>
        <w:t>9</w:t>
      </w:r>
      <w:r w:rsidRPr="00733E0C">
        <w:rPr>
          <w:b/>
        </w:rPr>
        <w:fldChar w:fldCharType="end"/>
      </w:r>
      <w:r w:rsidRPr="00733E0C">
        <w:rPr>
          <w:b/>
        </w:rPr>
        <w:t xml:space="preserve">: </w:t>
      </w:r>
      <w:r w:rsidR="00733E0C">
        <w:rPr>
          <w:b/>
        </w:rPr>
        <w:tab/>
      </w:r>
      <w:r w:rsidRPr="00733E0C">
        <w:rPr>
          <w:b/>
        </w:rPr>
        <w:t xml:space="preserve">Počet projektů, jejichž součástí byla výměna starých kotlů na pevná paliva, za období implementace NZÚ do 31. 12. 2022 (podprogram </w:t>
      </w:r>
      <w:r w:rsidRPr="00733E0C">
        <w:rPr>
          <w:b/>
          <w:i/>
        </w:rPr>
        <w:t>Rodinné domy</w:t>
      </w:r>
      <w:r w:rsidRPr="00733E0C">
        <w:rPr>
          <w:b/>
        </w:rPr>
        <w:t>)</w:t>
      </w:r>
    </w:p>
    <w:tbl>
      <w:tblPr>
        <w:tblW w:w="5000" w:type="pct"/>
        <w:tblCellMar>
          <w:left w:w="70" w:type="dxa"/>
          <w:right w:w="70" w:type="dxa"/>
        </w:tblCellMar>
        <w:tblLook w:val="04A0" w:firstRow="1" w:lastRow="0" w:firstColumn="1" w:lastColumn="0" w:noHBand="0" w:noVBand="1"/>
      </w:tblPr>
      <w:tblGrid>
        <w:gridCol w:w="2122"/>
        <w:gridCol w:w="2835"/>
        <w:gridCol w:w="2267"/>
        <w:gridCol w:w="1838"/>
      </w:tblGrid>
      <w:tr w:rsidR="001C1FE2" w:rsidRPr="001C1FE2" w14:paraId="48C60FEE" w14:textId="77777777" w:rsidTr="00A13E4F">
        <w:trPr>
          <w:trHeight w:val="510"/>
        </w:trPr>
        <w:tc>
          <w:tcPr>
            <w:tcW w:w="117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41D5335" w14:textId="77777777" w:rsidR="001C1FE2" w:rsidRPr="001C1FE2" w:rsidRDefault="001C1FE2" w:rsidP="001C1FE2">
            <w:pPr>
              <w:jc w:val="center"/>
              <w:rPr>
                <w:rFonts w:ascii="Calibri" w:eastAsia="Times New Roman" w:hAnsi="Calibri" w:cs="Calibri"/>
                <w:b/>
                <w:bCs/>
                <w:color w:val="000000"/>
                <w:sz w:val="20"/>
                <w:szCs w:val="20"/>
                <w:lang w:eastAsia="cs-CZ"/>
              </w:rPr>
            </w:pPr>
            <w:r w:rsidRPr="001C1FE2">
              <w:rPr>
                <w:rFonts w:ascii="Calibri" w:eastAsia="Times New Roman" w:hAnsi="Calibri" w:cs="Calibri"/>
                <w:b/>
                <w:bCs/>
                <w:color w:val="000000"/>
                <w:sz w:val="20"/>
                <w:szCs w:val="20"/>
                <w:lang w:eastAsia="cs-CZ"/>
              </w:rPr>
              <w:t>Etapa NZÚ</w:t>
            </w:r>
          </w:p>
        </w:tc>
        <w:tc>
          <w:tcPr>
            <w:tcW w:w="1564" w:type="pct"/>
            <w:tcBorders>
              <w:top w:val="single" w:sz="4" w:space="0" w:color="auto"/>
              <w:left w:val="nil"/>
              <w:bottom w:val="single" w:sz="4" w:space="0" w:color="auto"/>
              <w:right w:val="single" w:sz="4" w:space="0" w:color="auto"/>
            </w:tcBorders>
            <w:shd w:val="clear" w:color="auto" w:fill="F2F2F2"/>
            <w:vAlign w:val="center"/>
            <w:hideMark/>
          </w:tcPr>
          <w:p w14:paraId="440DDE16" w14:textId="4B8ECB8E" w:rsidR="001C1FE2" w:rsidRPr="001C1FE2" w:rsidRDefault="001C1FE2" w:rsidP="001C1FE2">
            <w:pPr>
              <w:jc w:val="center"/>
              <w:rPr>
                <w:rFonts w:ascii="Calibri" w:eastAsia="Times New Roman" w:hAnsi="Calibri" w:cs="Calibri"/>
                <w:b/>
                <w:bCs/>
                <w:color w:val="000000"/>
                <w:sz w:val="20"/>
                <w:szCs w:val="20"/>
                <w:lang w:eastAsia="cs-CZ"/>
              </w:rPr>
            </w:pPr>
            <w:r w:rsidRPr="001C1FE2">
              <w:rPr>
                <w:rFonts w:ascii="Calibri" w:eastAsia="Times New Roman" w:hAnsi="Calibri" w:cs="Calibri"/>
                <w:b/>
                <w:bCs/>
                <w:color w:val="000000"/>
                <w:sz w:val="20"/>
                <w:szCs w:val="20"/>
                <w:lang w:eastAsia="cs-CZ"/>
              </w:rPr>
              <w:t>Typ projektu</w:t>
            </w:r>
          </w:p>
        </w:tc>
        <w:tc>
          <w:tcPr>
            <w:tcW w:w="1251" w:type="pct"/>
            <w:tcBorders>
              <w:top w:val="single" w:sz="4" w:space="0" w:color="auto"/>
              <w:left w:val="nil"/>
              <w:bottom w:val="single" w:sz="4" w:space="0" w:color="auto"/>
              <w:right w:val="single" w:sz="4" w:space="0" w:color="auto"/>
            </w:tcBorders>
            <w:shd w:val="clear" w:color="auto" w:fill="F2F2F2"/>
            <w:vAlign w:val="center"/>
            <w:hideMark/>
          </w:tcPr>
          <w:p w14:paraId="630DD6EB" w14:textId="77777777" w:rsidR="001C1FE2" w:rsidRPr="001C1FE2" w:rsidRDefault="001C1FE2" w:rsidP="001C1FE2">
            <w:pPr>
              <w:jc w:val="center"/>
              <w:rPr>
                <w:rFonts w:ascii="Calibri" w:eastAsia="Times New Roman" w:hAnsi="Calibri" w:cs="Calibri"/>
                <w:b/>
                <w:bCs/>
                <w:color w:val="000000"/>
                <w:sz w:val="20"/>
                <w:szCs w:val="20"/>
                <w:lang w:eastAsia="cs-CZ"/>
              </w:rPr>
            </w:pPr>
            <w:r w:rsidRPr="001C1FE2">
              <w:rPr>
                <w:rFonts w:ascii="Calibri" w:eastAsia="Times New Roman" w:hAnsi="Calibri" w:cs="Calibri"/>
                <w:b/>
                <w:bCs/>
                <w:color w:val="000000"/>
                <w:sz w:val="20"/>
                <w:szCs w:val="20"/>
                <w:lang w:eastAsia="cs-CZ"/>
              </w:rPr>
              <w:t>Počet realizovaných projektů</w:t>
            </w:r>
          </w:p>
        </w:tc>
        <w:tc>
          <w:tcPr>
            <w:tcW w:w="1014" w:type="pct"/>
            <w:tcBorders>
              <w:top w:val="single" w:sz="4" w:space="0" w:color="auto"/>
              <w:left w:val="nil"/>
              <w:bottom w:val="single" w:sz="4" w:space="0" w:color="auto"/>
              <w:right w:val="single" w:sz="4" w:space="0" w:color="auto"/>
            </w:tcBorders>
            <w:shd w:val="clear" w:color="auto" w:fill="F2F2F2"/>
            <w:vAlign w:val="center"/>
            <w:hideMark/>
          </w:tcPr>
          <w:p w14:paraId="24FAE8EA" w14:textId="29000659" w:rsidR="001C1FE2" w:rsidRPr="001C1FE2" w:rsidRDefault="001C1FE2" w:rsidP="001C1FE2">
            <w:pPr>
              <w:jc w:val="center"/>
              <w:rPr>
                <w:rFonts w:ascii="Calibri" w:eastAsia="Times New Roman" w:hAnsi="Calibri" w:cs="Calibri"/>
                <w:b/>
                <w:bCs/>
                <w:color w:val="000000"/>
                <w:sz w:val="20"/>
                <w:szCs w:val="20"/>
                <w:lang w:eastAsia="cs-CZ"/>
              </w:rPr>
            </w:pPr>
            <w:r w:rsidRPr="001C1FE2">
              <w:rPr>
                <w:rFonts w:ascii="Calibri" w:eastAsia="Times New Roman" w:hAnsi="Calibri" w:cs="Calibri"/>
                <w:b/>
                <w:bCs/>
                <w:color w:val="000000"/>
                <w:sz w:val="20"/>
                <w:szCs w:val="20"/>
                <w:lang w:eastAsia="cs-CZ"/>
              </w:rPr>
              <w:t>Vyplacené prostředky</w:t>
            </w:r>
            <w:r w:rsidR="00675381">
              <w:rPr>
                <w:rFonts w:ascii="Calibri" w:eastAsia="Times New Roman" w:hAnsi="Calibri" w:cs="Calibri"/>
                <w:b/>
                <w:bCs/>
                <w:color w:val="000000"/>
                <w:sz w:val="20"/>
                <w:szCs w:val="20"/>
                <w:lang w:eastAsia="cs-CZ"/>
              </w:rPr>
              <w:t xml:space="preserve"> (v Kč)</w:t>
            </w:r>
          </w:p>
        </w:tc>
      </w:tr>
      <w:tr w:rsidR="001C1FE2" w:rsidRPr="001C1FE2" w14:paraId="16CF0364" w14:textId="77777777" w:rsidTr="002D56FA">
        <w:trPr>
          <w:trHeight w:val="260"/>
        </w:trPr>
        <w:tc>
          <w:tcPr>
            <w:tcW w:w="1171" w:type="pct"/>
            <w:vMerge w:val="restart"/>
            <w:tcBorders>
              <w:top w:val="nil"/>
              <w:left w:val="single" w:sz="4" w:space="0" w:color="auto"/>
              <w:bottom w:val="single" w:sz="4" w:space="0" w:color="auto"/>
              <w:right w:val="single" w:sz="4" w:space="0" w:color="auto"/>
            </w:tcBorders>
            <w:shd w:val="clear" w:color="auto" w:fill="auto"/>
            <w:vAlign w:val="center"/>
            <w:hideMark/>
          </w:tcPr>
          <w:p w14:paraId="715DFCC4" w14:textId="44C83E97" w:rsidR="001C1FE2" w:rsidRPr="001C1FE2" w:rsidRDefault="001C1FE2" w:rsidP="001C1FE2">
            <w:pPr>
              <w:jc w:val="center"/>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 xml:space="preserve">I. </w:t>
            </w:r>
            <w:r w:rsidR="00675381">
              <w:rPr>
                <w:rFonts w:ascii="Calibri" w:eastAsia="Times New Roman" w:hAnsi="Calibri" w:cs="Calibri"/>
                <w:color w:val="000000"/>
                <w:sz w:val="20"/>
                <w:szCs w:val="20"/>
                <w:lang w:eastAsia="cs-CZ"/>
              </w:rPr>
              <w:t>e</w:t>
            </w:r>
            <w:r w:rsidRPr="001C1FE2">
              <w:rPr>
                <w:rFonts w:ascii="Calibri" w:eastAsia="Times New Roman" w:hAnsi="Calibri" w:cs="Calibri"/>
                <w:color w:val="000000"/>
                <w:sz w:val="20"/>
                <w:szCs w:val="20"/>
                <w:lang w:eastAsia="cs-CZ"/>
              </w:rPr>
              <w:t>tapa 14+</w:t>
            </w:r>
          </w:p>
        </w:tc>
        <w:tc>
          <w:tcPr>
            <w:tcW w:w="1564" w:type="pct"/>
            <w:tcBorders>
              <w:top w:val="nil"/>
              <w:left w:val="nil"/>
              <w:bottom w:val="single" w:sz="4" w:space="0" w:color="auto"/>
              <w:right w:val="single" w:sz="4" w:space="0" w:color="auto"/>
            </w:tcBorders>
            <w:shd w:val="clear" w:color="auto" w:fill="auto"/>
            <w:vAlign w:val="center"/>
            <w:hideMark/>
          </w:tcPr>
          <w:p w14:paraId="3DB6ED34" w14:textId="2E2D531D" w:rsidR="001C1FE2" w:rsidRPr="001C1FE2" w:rsidRDefault="001C1FE2" w:rsidP="001C1FE2">
            <w:pPr>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Samostatné výměny</w:t>
            </w:r>
          </w:p>
        </w:tc>
        <w:tc>
          <w:tcPr>
            <w:tcW w:w="1251" w:type="pct"/>
            <w:tcBorders>
              <w:top w:val="nil"/>
              <w:left w:val="nil"/>
              <w:bottom w:val="single" w:sz="4" w:space="0" w:color="auto"/>
              <w:right w:val="single" w:sz="4" w:space="0" w:color="auto"/>
            </w:tcBorders>
            <w:shd w:val="clear" w:color="auto" w:fill="auto"/>
            <w:noWrap/>
            <w:vAlign w:val="center"/>
            <w:hideMark/>
          </w:tcPr>
          <w:p w14:paraId="2DB6C36D" w14:textId="77777777" w:rsidR="001C1FE2" w:rsidRPr="001C1FE2" w:rsidRDefault="001C1FE2" w:rsidP="00733E0C">
            <w:pPr>
              <w:ind w:right="636"/>
              <w:jc w:val="right"/>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250</w:t>
            </w:r>
          </w:p>
        </w:tc>
        <w:tc>
          <w:tcPr>
            <w:tcW w:w="1014" w:type="pct"/>
            <w:tcBorders>
              <w:top w:val="nil"/>
              <w:left w:val="nil"/>
              <w:bottom w:val="single" w:sz="4" w:space="0" w:color="auto"/>
              <w:right w:val="single" w:sz="4" w:space="0" w:color="auto"/>
            </w:tcBorders>
            <w:shd w:val="clear" w:color="auto" w:fill="auto"/>
            <w:noWrap/>
            <w:vAlign w:val="center"/>
            <w:hideMark/>
          </w:tcPr>
          <w:p w14:paraId="5773F6C7" w14:textId="77777777" w:rsidR="001C1FE2" w:rsidRPr="001C1FE2" w:rsidRDefault="001C1FE2" w:rsidP="00733E0C">
            <w:pPr>
              <w:ind w:right="57"/>
              <w:jc w:val="right"/>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15 950 248</w:t>
            </w:r>
          </w:p>
        </w:tc>
      </w:tr>
      <w:tr w:rsidR="001C1FE2" w:rsidRPr="001C1FE2" w14:paraId="17A1C8E8" w14:textId="77777777" w:rsidTr="002D56FA">
        <w:trPr>
          <w:trHeight w:val="520"/>
        </w:trPr>
        <w:tc>
          <w:tcPr>
            <w:tcW w:w="1171" w:type="pct"/>
            <w:vMerge/>
            <w:tcBorders>
              <w:top w:val="nil"/>
              <w:left w:val="single" w:sz="4" w:space="0" w:color="auto"/>
              <w:bottom w:val="single" w:sz="4" w:space="0" w:color="auto"/>
              <w:right w:val="single" w:sz="4" w:space="0" w:color="auto"/>
            </w:tcBorders>
            <w:vAlign w:val="center"/>
            <w:hideMark/>
          </w:tcPr>
          <w:p w14:paraId="1EC1D7AA" w14:textId="77777777" w:rsidR="001C1FE2" w:rsidRPr="001C1FE2" w:rsidRDefault="001C1FE2" w:rsidP="001C1FE2">
            <w:pPr>
              <w:rPr>
                <w:rFonts w:ascii="Calibri" w:eastAsia="Times New Roman" w:hAnsi="Calibri" w:cs="Calibri"/>
                <w:color w:val="000000"/>
                <w:sz w:val="20"/>
                <w:szCs w:val="20"/>
                <w:lang w:eastAsia="cs-CZ"/>
              </w:rPr>
            </w:pPr>
          </w:p>
        </w:tc>
        <w:tc>
          <w:tcPr>
            <w:tcW w:w="1564" w:type="pct"/>
            <w:tcBorders>
              <w:top w:val="nil"/>
              <w:left w:val="nil"/>
              <w:bottom w:val="single" w:sz="4" w:space="0" w:color="auto"/>
              <w:right w:val="single" w:sz="4" w:space="0" w:color="auto"/>
            </w:tcBorders>
            <w:shd w:val="clear" w:color="auto" w:fill="auto"/>
            <w:vAlign w:val="center"/>
            <w:hideMark/>
          </w:tcPr>
          <w:p w14:paraId="0D7B616A" w14:textId="5CF709FC" w:rsidR="001C1FE2" w:rsidRPr="001C1FE2" w:rsidRDefault="001C1FE2" w:rsidP="001C1FE2">
            <w:pPr>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Kombinovaná opatření včetně výměny zdroje vytápění</w:t>
            </w:r>
          </w:p>
        </w:tc>
        <w:tc>
          <w:tcPr>
            <w:tcW w:w="1251" w:type="pct"/>
            <w:tcBorders>
              <w:top w:val="nil"/>
              <w:left w:val="nil"/>
              <w:bottom w:val="single" w:sz="4" w:space="0" w:color="auto"/>
              <w:right w:val="single" w:sz="4" w:space="0" w:color="auto"/>
            </w:tcBorders>
            <w:shd w:val="clear" w:color="auto" w:fill="auto"/>
            <w:noWrap/>
            <w:vAlign w:val="center"/>
            <w:hideMark/>
          </w:tcPr>
          <w:p w14:paraId="5154CC04" w14:textId="77777777" w:rsidR="001C1FE2" w:rsidRPr="001C1FE2" w:rsidRDefault="001C1FE2" w:rsidP="00733E0C">
            <w:pPr>
              <w:ind w:right="636"/>
              <w:jc w:val="right"/>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631</w:t>
            </w:r>
          </w:p>
        </w:tc>
        <w:tc>
          <w:tcPr>
            <w:tcW w:w="1014" w:type="pct"/>
            <w:tcBorders>
              <w:top w:val="nil"/>
              <w:left w:val="nil"/>
              <w:bottom w:val="single" w:sz="4" w:space="0" w:color="auto"/>
              <w:right w:val="single" w:sz="4" w:space="0" w:color="auto"/>
            </w:tcBorders>
            <w:shd w:val="clear" w:color="auto" w:fill="auto"/>
            <w:noWrap/>
            <w:vAlign w:val="center"/>
            <w:hideMark/>
          </w:tcPr>
          <w:p w14:paraId="3D238B3F" w14:textId="77777777" w:rsidR="001C1FE2" w:rsidRPr="001C1FE2" w:rsidRDefault="001C1FE2" w:rsidP="00733E0C">
            <w:pPr>
              <w:ind w:right="57"/>
              <w:jc w:val="right"/>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288 928 710</w:t>
            </w:r>
          </w:p>
        </w:tc>
      </w:tr>
      <w:tr w:rsidR="001C1FE2" w:rsidRPr="001C1FE2" w14:paraId="484F6E3B" w14:textId="77777777" w:rsidTr="002D56FA">
        <w:trPr>
          <w:trHeight w:val="260"/>
        </w:trPr>
        <w:tc>
          <w:tcPr>
            <w:tcW w:w="1171" w:type="pct"/>
            <w:vMerge w:val="restart"/>
            <w:tcBorders>
              <w:top w:val="nil"/>
              <w:left w:val="single" w:sz="4" w:space="0" w:color="auto"/>
              <w:bottom w:val="single" w:sz="4" w:space="0" w:color="auto"/>
              <w:right w:val="single" w:sz="4" w:space="0" w:color="auto"/>
            </w:tcBorders>
            <w:shd w:val="clear" w:color="auto" w:fill="auto"/>
            <w:vAlign w:val="center"/>
            <w:hideMark/>
          </w:tcPr>
          <w:p w14:paraId="34A517AA" w14:textId="5115FAED" w:rsidR="001C1FE2" w:rsidRPr="001C1FE2" w:rsidRDefault="001C1FE2" w:rsidP="001C1FE2">
            <w:pPr>
              <w:jc w:val="center"/>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 xml:space="preserve">II. </w:t>
            </w:r>
            <w:r w:rsidR="00675381">
              <w:rPr>
                <w:rFonts w:ascii="Calibri" w:eastAsia="Times New Roman" w:hAnsi="Calibri" w:cs="Calibri"/>
                <w:color w:val="000000"/>
                <w:sz w:val="20"/>
                <w:szCs w:val="20"/>
                <w:lang w:eastAsia="cs-CZ"/>
              </w:rPr>
              <w:t>e</w:t>
            </w:r>
            <w:r w:rsidRPr="001C1FE2">
              <w:rPr>
                <w:rFonts w:ascii="Calibri" w:eastAsia="Times New Roman" w:hAnsi="Calibri" w:cs="Calibri"/>
                <w:color w:val="000000"/>
                <w:sz w:val="20"/>
                <w:szCs w:val="20"/>
                <w:lang w:eastAsia="cs-CZ"/>
              </w:rPr>
              <w:t>tapa 21+</w:t>
            </w:r>
          </w:p>
        </w:tc>
        <w:tc>
          <w:tcPr>
            <w:tcW w:w="1564" w:type="pct"/>
            <w:tcBorders>
              <w:top w:val="nil"/>
              <w:left w:val="nil"/>
              <w:bottom w:val="single" w:sz="4" w:space="0" w:color="auto"/>
              <w:right w:val="single" w:sz="4" w:space="0" w:color="auto"/>
            </w:tcBorders>
            <w:shd w:val="clear" w:color="auto" w:fill="auto"/>
            <w:vAlign w:val="center"/>
            <w:hideMark/>
          </w:tcPr>
          <w:p w14:paraId="3C89B51E" w14:textId="125437EA" w:rsidR="001C1FE2" w:rsidRPr="001C1FE2" w:rsidRDefault="001C1FE2" w:rsidP="001C1FE2">
            <w:pPr>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Samostatné výměny</w:t>
            </w:r>
          </w:p>
        </w:tc>
        <w:tc>
          <w:tcPr>
            <w:tcW w:w="1251" w:type="pct"/>
            <w:tcBorders>
              <w:top w:val="nil"/>
              <w:left w:val="nil"/>
              <w:bottom w:val="single" w:sz="4" w:space="0" w:color="auto"/>
              <w:right w:val="single" w:sz="4" w:space="0" w:color="auto"/>
            </w:tcBorders>
            <w:shd w:val="clear" w:color="auto" w:fill="auto"/>
            <w:noWrap/>
            <w:vAlign w:val="center"/>
            <w:hideMark/>
          </w:tcPr>
          <w:p w14:paraId="09F60A02" w14:textId="77777777" w:rsidR="001C1FE2" w:rsidRPr="001C1FE2" w:rsidRDefault="001C1FE2" w:rsidP="00733E0C">
            <w:pPr>
              <w:ind w:right="636"/>
              <w:jc w:val="right"/>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4 739</w:t>
            </w:r>
          </w:p>
        </w:tc>
        <w:tc>
          <w:tcPr>
            <w:tcW w:w="1014" w:type="pct"/>
            <w:tcBorders>
              <w:top w:val="nil"/>
              <w:left w:val="nil"/>
              <w:bottom w:val="single" w:sz="4" w:space="0" w:color="auto"/>
              <w:right w:val="single" w:sz="4" w:space="0" w:color="auto"/>
            </w:tcBorders>
            <w:shd w:val="clear" w:color="auto" w:fill="auto"/>
            <w:noWrap/>
            <w:vAlign w:val="center"/>
            <w:hideMark/>
          </w:tcPr>
          <w:p w14:paraId="3EEA947E" w14:textId="77777777" w:rsidR="001C1FE2" w:rsidRPr="001C1FE2" w:rsidRDefault="001C1FE2" w:rsidP="00733E0C">
            <w:pPr>
              <w:ind w:right="57"/>
              <w:jc w:val="right"/>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408 620 012</w:t>
            </w:r>
          </w:p>
        </w:tc>
      </w:tr>
      <w:tr w:rsidR="001C1FE2" w:rsidRPr="001C1FE2" w14:paraId="2DB5C30F" w14:textId="77777777" w:rsidTr="002D56FA">
        <w:trPr>
          <w:trHeight w:val="520"/>
        </w:trPr>
        <w:tc>
          <w:tcPr>
            <w:tcW w:w="1171" w:type="pct"/>
            <w:vMerge/>
            <w:tcBorders>
              <w:top w:val="nil"/>
              <w:left w:val="single" w:sz="4" w:space="0" w:color="auto"/>
              <w:bottom w:val="single" w:sz="4" w:space="0" w:color="auto"/>
              <w:right w:val="single" w:sz="4" w:space="0" w:color="auto"/>
            </w:tcBorders>
            <w:vAlign w:val="center"/>
            <w:hideMark/>
          </w:tcPr>
          <w:p w14:paraId="2A4499B6" w14:textId="77777777" w:rsidR="001C1FE2" w:rsidRPr="001C1FE2" w:rsidRDefault="001C1FE2" w:rsidP="001C1FE2">
            <w:pPr>
              <w:rPr>
                <w:rFonts w:ascii="Calibri" w:eastAsia="Times New Roman" w:hAnsi="Calibri" w:cs="Calibri"/>
                <w:color w:val="000000"/>
                <w:sz w:val="20"/>
                <w:szCs w:val="20"/>
                <w:lang w:eastAsia="cs-CZ"/>
              </w:rPr>
            </w:pPr>
          </w:p>
        </w:tc>
        <w:tc>
          <w:tcPr>
            <w:tcW w:w="1564" w:type="pct"/>
            <w:tcBorders>
              <w:top w:val="nil"/>
              <w:left w:val="nil"/>
              <w:bottom w:val="single" w:sz="4" w:space="0" w:color="auto"/>
              <w:right w:val="single" w:sz="4" w:space="0" w:color="auto"/>
            </w:tcBorders>
            <w:shd w:val="clear" w:color="auto" w:fill="auto"/>
            <w:vAlign w:val="center"/>
            <w:hideMark/>
          </w:tcPr>
          <w:p w14:paraId="24C9B183" w14:textId="283FB0ED" w:rsidR="001C1FE2" w:rsidRPr="001C1FE2" w:rsidRDefault="001C1FE2" w:rsidP="001C1FE2">
            <w:pPr>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Kombinovaná opatření včetně výměny zdroje vytápění</w:t>
            </w:r>
          </w:p>
        </w:tc>
        <w:tc>
          <w:tcPr>
            <w:tcW w:w="1251" w:type="pct"/>
            <w:tcBorders>
              <w:top w:val="nil"/>
              <w:left w:val="nil"/>
              <w:bottom w:val="single" w:sz="4" w:space="0" w:color="auto"/>
              <w:right w:val="single" w:sz="4" w:space="0" w:color="auto"/>
            </w:tcBorders>
            <w:shd w:val="clear" w:color="auto" w:fill="auto"/>
            <w:noWrap/>
            <w:vAlign w:val="center"/>
            <w:hideMark/>
          </w:tcPr>
          <w:p w14:paraId="68ABB29F" w14:textId="77777777" w:rsidR="001C1FE2" w:rsidRPr="001C1FE2" w:rsidRDefault="001C1FE2" w:rsidP="00733E0C">
            <w:pPr>
              <w:ind w:right="636"/>
              <w:jc w:val="right"/>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228</w:t>
            </w:r>
          </w:p>
        </w:tc>
        <w:tc>
          <w:tcPr>
            <w:tcW w:w="1014" w:type="pct"/>
            <w:tcBorders>
              <w:top w:val="nil"/>
              <w:left w:val="nil"/>
              <w:bottom w:val="single" w:sz="4" w:space="0" w:color="auto"/>
              <w:right w:val="single" w:sz="4" w:space="0" w:color="auto"/>
            </w:tcBorders>
            <w:shd w:val="clear" w:color="auto" w:fill="auto"/>
            <w:noWrap/>
            <w:vAlign w:val="center"/>
            <w:hideMark/>
          </w:tcPr>
          <w:p w14:paraId="1DF07B45" w14:textId="77777777" w:rsidR="001C1FE2" w:rsidRPr="001C1FE2" w:rsidRDefault="001C1FE2" w:rsidP="00733E0C">
            <w:pPr>
              <w:ind w:right="57"/>
              <w:jc w:val="right"/>
              <w:rPr>
                <w:rFonts w:ascii="Calibri" w:eastAsia="Times New Roman" w:hAnsi="Calibri" w:cs="Calibri"/>
                <w:color w:val="000000"/>
                <w:sz w:val="20"/>
                <w:szCs w:val="20"/>
                <w:lang w:eastAsia="cs-CZ"/>
              </w:rPr>
            </w:pPr>
            <w:r w:rsidRPr="001C1FE2">
              <w:rPr>
                <w:rFonts w:ascii="Calibri" w:eastAsia="Times New Roman" w:hAnsi="Calibri" w:cs="Calibri"/>
                <w:color w:val="000000"/>
                <w:sz w:val="20"/>
                <w:szCs w:val="20"/>
                <w:lang w:eastAsia="cs-CZ"/>
              </w:rPr>
              <w:t>79 681 224</w:t>
            </w:r>
          </w:p>
        </w:tc>
      </w:tr>
      <w:tr w:rsidR="001C1FE2" w:rsidRPr="001C1FE2" w14:paraId="58028E0A" w14:textId="77777777" w:rsidTr="002D56FA">
        <w:trPr>
          <w:trHeight w:val="255"/>
        </w:trPr>
        <w:tc>
          <w:tcPr>
            <w:tcW w:w="2735"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08EABF" w14:textId="1B4221F8" w:rsidR="001C1FE2" w:rsidRPr="001C1FE2" w:rsidRDefault="001C1FE2" w:rsidP="001C1FE2">
            <w:pPr>
              <w:rPr>
                <w:rFonts w:ascii="Calibri" w:eastAsia="Times New Roman" w:hAnsi="Calibri" w:cs="Calibri"/>
                <w:b/>
                <w:bCs/>
                <w:color w:val="000000"/>
                <w:sz w:val="20"/>
                <w:szCs w:val="20"/>
                <w:lang w:eastAsia="cs-CZ"/>
              </w:rPr>
            </w:pPr>
            <w:r w:rsidRPr="001C1FE2">
              <w:rPr>
                <w:rFonts w:ascii="Calibri" w:eastAsia="Times New Roman" w:hAnsi="Calibri" w:cs="Calibri"/>
                <w:b/>
                <w:bCs/>
                <w:color w:val="000000"/>
                <w:sz w:val="20"/>
                <w:szCs w:val="20"/>
                <w:lang w:eastAsia="cs-CZ"/>
              </w:rPr>
              <w:t>Celkem</w:t>
            </w:r>
          </w:p>
        </w:tc>
        <w:tc>
          <w:tcPr>
            <w:tcW w:w="1251" w:type="pct"/>
            <w:tcBorders>
              <w:top w:val="nil"/>
              <w:left w:val="nil"/>
              <w:bottom w:val="single" w:sz="4" w:space="0" w:color="auto"/>
              <w:right w:val="single" w:sz="4" w:space="0" w:color="auto"/>
            </w:tcBorders>
            <w:shd w:val="clear" w:color="auto" w:fill="auto"/>
            <w:noWrap/>
            <w:vAlign w:val="center"/>
            <w:hideMark/>
          </w:tcPr>
          <w:p w14:paraId="3E226220" w14:textId="77777777" w:rsidR="001C1FE2" w:rsidRPr="001C1FE2" w:rsidRDefault="001C1FE2" w:rsidP="00733E0C">
            <w:pPr>
              <w:ind w:right="636"/>
              <w:jc w:val="right"/>
              <w:rPr>
                <w:rFonts w:ascii="Calibri" w:eastAsia="Times New Roman" w:hAnsi="Calibri" w:cs="Calibri"/>
                <w:b/>
                <w:bCs/>
                <w:color w:val="000000"/>
                <w:sz w:val="20"/>
                <w:szCs w:val="20"/>
                <w:lang w:eastAsia="cs-CZ"/>
              </w:rPr>
            </w:pPr>
            <w:r w:rsidRPr="001C1FE2">
              <w:rPr>
                <w:rFonts w:ascii="Calibri" w:eastAsia="Times New Roman" w:hAnsi="Calibri" w:cs="Calibri"/>
                <w:b/>
                <w:bCs/>
                <w:color w:val="000000"/>
                <w:sz w:val="20"/>
                <w:szCs w:val="20"/>
                <w:lang w:eastAsia="cs-CZ"/>
              </w:rPr>
              <w:t>5 848</w:t>
            </w:r>
          </w:p>
        </w:tc>
        <w:tc>
          <w:tcPr>
            <w:tcW w:w="1014" w:type="pct"/>
            <w:tcBorders>
              <w:top w:val="nil"/>
              <w:left w:val="nil"/>
              <w:bottom w:val="single" w:sz="4" w:space="0" w:color="auto"/>
              <w:right w:val="single" w:sz="4" w:space="0" w:color="auto"/>
            </w:tcBorders>
            <w:shd w:val="clear" w:color="auto" w:fill="auto"/>
            <w:noWrap/>
            <w:vAlign w:val="center"/>
            <w:hideMark/>
          </w:tcPr>
          <w:p w14:paraId="481B3D11" w14:textId="77777777" w:rsidR="001C1FE2" w:rsidRPr="001C1FE2" w:rsidRDefault="001C1FE2" w:rsidP="00733E0C">
            <w:pPr>
              <w:ind w:right="57"/>
              <w:jc w:val="right"/>
              <w:rPr>
                <w:rFonts w:ascii="Calibri" w:eastAsia="Times New Roman" w:hAnsi="Calibri" w:cs="Calibri"/>
                <w:b/>
                <w:bCs/>
                <w:color w:val="000000"/>
                <w:sz w:val="20"/>
                <w:szCs w:val="20"/>
                <w:lang w:eastAsia="cs-CZ"/>
              </w:rPr>
            </w:pPr>
            <w:r w:rsidRPr="001C1FE2">
              <w:rPr>
                <w:rFonts w:ascii="Calibri" w:eastAsia="Times New Roman" w:hAnsi="Calibri" w:cs="Calibri"/>
                <w:b/>
                <w:bCs/>
                <w:color w:val="000000"/>
                <w:sz w:val="20"/>
                <w:szCs w:val="20"/>
                <w:lang w:eastAsia="cs-CZ"/>
              </w:rPr>
              <w:t>793 180 194</w:t>
            </w:r>
          </w:p>
        </w:tc>
      </w:tr>
    </w:tbl>
    <w:p w14:paraId="6F71C465" w14:textId="5348284B" w:rsidR="00714A62" w:rsidRPr="00EA6B3C" w:rsidRDefault="001C1FE2" w:rsidP="00955553">
      <w:pPr>
        <w:pStyle w:val="Zdrojeapozn"/>
        <w:rPr>
          <w:b w:val="0"/>
        </w:rPr>
      </w:pPr>
      <w:r w:rsidRPr="001C1FE2">
        <w:t>Zdroj:</w:t>
      </w:r>
      <w:r w:rsidR="00675381">
        <w:t xml:space="preserve"> </w:t>
      </w:r>
      <w:r w:rsidR="00675381" w:rsidRPr="00EA6B3C">
        <w:rPr>
          <w:b w:val="0"/>
        </w:rPr>
        <w:t>i</w:t>
      </w:r>
      <w:r w:rsidRPr="00EA6B3C">
        <w:rPr>
          <w:b w:val="0"/>
        </w:rPr>
        <w:t>nformace MŽP a SFŽP.</w:t>
      </w:r>
    </w:p>
    <w:p w14:paraId="608EC345" w14:textId="607584F6" w:rsidR="009466BF" w:rsidRPr="0045471A" w:rsidRDefault="009466BF" w:rsidP="009466BF">
      <w:pPr>
        <w:pStyle w:val="TextKP"/>
        <w:rPr>
          <w:b/>
        </w:rPr>
      </w:pPr>
      <w:r w:rsidRPr="0045471A">
        <w:rPr>
          <w:b/>
        </w:rPr>
        <w:t>NKÚ vyhodnotil, že MŽP nesledovalo a nevyhodnocovalo hospodárnost, efektivnost a</w:t>
      </w:r>
      <w:r w:rsidR="0045471A">
        <w:rPr>
          <w:b/>
        </w:rPr>
        <w:t> </w:t>
      </w:r>
      <w:r w:rsidRPr="0045471A">
        <w:rPr>
          <w:b/>
        </w:rPr>
        <w:t>účelnost vynakládaných výdajů poskytovaných v</w:t>
      </w:r>
      <w:r w:rsidR="00C46F91">
        <w:rPr>
          <w:b/>
        </w:rPr>
        <w:t> </w:t>
      </w:r>
      <w:r w:rsidRPr="0045471A">
        <w:rPr>
          <w:b/>
        </w:rPr>
        <w:t>rámci</w:t>
      </w:r>
      <w:r w:rsidR="00C46F91">
        <w:rPr>
          <w:b/>
        </w:rPr>
        <w:t xml:space="preserve"> programu</w:t>
      </w:r>
      <w:r w:rsidRPr="0045471A">
        <w:rPr>
          <w:b/>
        </w:rPr>
        <w:t xml:space="preserve"> NZÚ ve vztahu ke stanovenému cíli programu, tj. zlepšení stavu ovzduší vč. snížení emisí p</w:t>
      </w:r>
      <w:r w:rsidR="00320DB5" w:rsidRPr="0045471A">
        <w:rPr>
          <w:b/>
        </w:rPr>
        <w:t>rachových</w:t>
      </w:r>
      <w:r w:rsidRPr="0045471A">
        <w:rPr>
          <w:b/>
        </w:rPr>
        <w:t xml:space="preserve"> část</w:t>
      </w:r>
      <w:r w:rsidR="00320DB5" w:rsidRPr="0045471A">
        <w:rPr>
          <w:b/>
        </w:rPr>
        <w:t>ic</w:t>
      </w:r>
      <w:r w:rsidRPr="0045471A">
        <w:rPr>
          <w:b/>
        </w:rPr>
        <w:t xml:space="preserve"> PM</w:t>
      </w:r>
      <w:r w:rsidRPr="0045471A">
        <w:rPr>
          <w:b/>
          <w:vertAlign w:val="subscript"/>
        </w:rPr>
        <w:t>10</w:t>
      </w:r>
      <w:r w:rsidRPr="0045471A">
        <w:rPr>
          <w:b/>
        </w:rPr>
        <w:t xml:space="preserve"> a PM</w:t>
      </w:r>
      <w:r w:rsidRPr="0045471A">
        <w:rPr>
          <w:b/>
          <w:vertAlign w:val="subscript"/>
        </w:rPr>
        <w:t>2,5</w:t>
      </w:r>
      <w:r w:rsidRPr="0045471A">
        <w:rPr>
          <w:b/>
        </w:rPr>
        <w:t>, čímž nepostupovalo v souladu s</w:t>
      </w:r>
      <w:r w:rsidR="00EF40CB" w:rsidRPr="0045471A">
        <w:rPr>
          <w:b/>
        </w:rPr>
        <w:t xml:space="preserve"> § 39, odst. 3 zákona č.</w:t>
      </w:r>
      <w:r w:rsidR="0045471A">
        <w:rPr>
          <w:b/>
        </w:rPr>
        <w:t> </w:t>
      </w:r>
      <w:r w:rsidR="00EF40CB" w:rsidRPr="0045471A">
        <w:rPr>
          <w:b/>
        </w:rPr>
        <w:t>218/2000 Sb.</w:t>
      </w:r>
    </w:p>
    <w:p w14:paraId="48F2C71B" w14:textId="511E3C54" w:rsidR="00CB18DF" w:rsidRPr="00441B1E" w:rsidRDefault="00CB18DF" w:rsidP="00733E0C">
      <w:pPr>
        <w:pStyle w:val="TextKP"/>
        <w:keepNext/>
        <w:spacing w:before="240" w:after="120"/>
        <w:outlineLvl w:val="2"/>
        <w:rPr>
          <w:b/>
          <w:color w:val="000000"/>
          <w:lang w:eastAsia="cs-CZ"/>
        </w:rPr>
      </w:pPr>
      <w:r w:rsidRPr="00441B1E">
        <w:rPr>
          <w:b/>
        </w:rPr>
        <w:t>Výnosy z dražeb emisních povolenek</w:t>
      </w:r>
    </w:p>
    <w:p w14:paraId="24CD2543" w14:textId="08E82F78" w:rsidR="00CB18DF" w:rsidRPr="004B449F" w:rsidRDefault="00CB18DF" w:rsidP="00F76A63">
      <w:pPr>
        <w:pStyle w:val="TextKP"/>
        <w:spacing w:after="120"/>
        <w:rPr>
          <w:b/>
          <w:bCs/>
        </w:rPr>
      </w:pPr>
      <w:r w:rsidRPr="004B449F">
        <w:t xml:space="preserve">Povolenky na emise skleníkových plynů (dále také „emisní povolenky“) </w:t>
      </w:r>
      <w:r w:rsidRPr="004B449F">
        <w:rPr>
          <w:bdr w:val="none" w:sz="0" w:space="0" w:color="auto" w:frame="1"/>
          <w:lang w:eastAsia="cs-CZ" w:bidi="bn-BD"/>
        </w:rPr>
        <w:t>jsou hlavním nástrojem Evropského systému pro obchodování s emisemi, který má snížit emise skleníkových plynů</w:t>
      </w:r>
      <w:r w:rsidR="00CE0D98" w:rsidRPr="004B449F">
        <w:rPr>
          <w:bdr w:val="none" w:sz="0" w:space="0" w:color="auto" w:frame="1"/>
          <w:lang w:eastAsia="cs-CZ" w:bidi="bn-BD"/>
        </w:rPr>
        <w:t xml:space="preserve"> a</w:t>
      </w:r>
      <w:r w:rsidR="004C7446" w:rsidRPr="004B449F">
        <w:rPr>
          <w:bdr w:val="none" w:sz="0" w:space="0" w:color="auto" w:frame="1"/>
          <w:lang w:eastAsia="cs-CZ" w:bidi="bn-BD"/>
        </w:rPr>
        <w:t> </w:t>
      </w:r>
      <w:r w:rsidRPr="004B449F">
        <w:t>který sdružuje největší emitenty odpovídající za přibližně 45 % celkových vypouštěných emisí skleníkových plynů v Evropě</w:t>
      </w:r>
      <w:r w:rsidRPr="004B449F">
        <w:rPr>
          <w:bdr w:val="none" w:sz="0" w:space="0" w:color="auto" w:frame="1"/>
          <w:lang w:eastAsia="cs-CZ" w:bidi="bn-BD"/>
        </w:rPr>
        <w:t xml:space="preserve">. V ČR je </w:t>
      </w:r>
      <w:r w:rsidR="004C7446" w:rsidRPr="004B449F">
        <w:rPr>
          <w:bdr w:val="none" w:sz="0" w:space="0" w:color="auto" w:frame="1"/>
          <w:lang w:eastAsia="cs-CZ" w:bidi="bn-BD"/>
        </w:rPr>
        <w:t>systém pro obchodování s emisními povolenkami</w:t>
      </w:r>
      <w:r w:rsidRPr="004B449F">
        <w:rPr>
          <w:bdr w:val="none" w:sz="0" w:space="0" w:color="auto" w:frame="1"/>
          <w:lang w:eastAsia="cs-CZ" w:bidi="bn-BD"/>
        </w:rPr>
        <w:t xml:space="preserve"> upraven zákonem č.</w:t>
      </w:r>
      <w:r w:rsidR="00E551D1" w:rsidRPr="004B449F">
        <w:rPr>
          <w:bdr w:val="none" w:sz="0" w:space="0" w:color="auto" w:frame="1"/>
          <w:lang w:eastAsia="cs-CZ" w:bidi="bn-BD"/>
        </w:rPr>
        <w:t> </w:t>
      </w:r>
      <w:r w:rsidRPr="004B449F">
        <w:rPr>
          <w:bdr w:val="none" w:sz="0" w:space="0" w:color="auto" w:frame="1"/>
          <w:lang w:eastAsia="cs-CZ" w:bidi="bn-BD"/>
        </w:rPr>
        <w:t>383/2012</w:t>
      </w:r>
      <w:r w:rsidR="00E551D1" w:rsidRPr="004B449F">
        <w:rPr>
          <w:bdr w:val="none" w:sz="0" w:space="0" w:color="auto" w:frame="1"/>
          <w:lang w:eastAsia="cs-CZ" w:bidi="bn-BD"/>
        </w:rPr>
        <w:t> </w:t>
      </w:r>
      <w:r w:rsidRPr="004B449F">
        <w:rPr>
          <w:bdr w:val="none" w:sz="0" w:space="0" w:color="auto" w:frame="1"/>
          <w:lang w:eastAsia="cs-CZ" w:bidi="bn-BD"/>
        </w:rPr>
        <w:t xml:space="preserve">Sb. Uvádí, na jaká zařízení se systém vztahuje a jaká jsou práva a povinnosti jejich provozovatelů. </w:t>
      </w:r>
      <w:r w:rsidRPr="004B449F">
        <w:t>Výnosy z</w:t>
      </w:r>
      <w:r w:rsidR="0019017B" w:rsidRPr="004B449F">
        <w:t> </w:t>
      </w:r>
      <w:r w:rsidRPr="004B449F">
        <w:t>dražeb emisních povolenek m</w:t>
      </w:r>
      <w:r w:rsidR="002A5450" w:rsidRPr="004B449F">
        <w:t>ěly</w:t>
      </w:r>
      <w:r w:rsidRPr="004B449F">
        <w:t xml:space="preserve"> sloužit pro financování opatření ke snižování emisí skleníkových plynů, zvyšování energetické účinnosti </w:t>
      </w:r>
      <w:r w:rsidR="004C7446" w:rsidRPr="004B449F">
        <w:t>či</w:t>
      </w:r>
      <w:r w:rsidR="00B56103">
        <w:t xml:space="preserve"> </w:t>
      </w:r>
      <w:r w:rsidRPr="004B449F">
        <w:t xml:space="preserve">k rozvoji obnovitelných zdrojů energie. </w:t>
      </w:r>
      <w:r w:rsidRPr="004B449F">
        <w:rPr>
          <w:bdr w:val="none" w:sz="0" w:space="0" w:color="auto" w:frame="1"/>
          <w:lang w:eastAsia="cs-CZ" w:bidi="bn-BD"/>
        </w:rPr>
        <w:t>V</w:t>
      </w:r>
      <w:r w:rsidR="002A5450" w:rsidRPr="004B449F">
        <w:rPr>
          <w:bdr w:val="none" w:sz="0" w:space="0" w:color="auto" w:frame="1"/>
          <w:lang w:eastAsia="cs-CZ" w:bidi="bn-BD"/>
        </w:rPr>
        <w:t> kontrolovaném období byla</w:t>
      </w:r>
      <w:r w:rsidRPr="004B449F">
        <w:rPr>
          <w:bdr w:val="none" w:sz="0" w:space="0" w:color="auto" w:frame="1"/>
          <w:lang w:eastAsia="cs-CZ" w:bidi="bn-BD"/>
        </w:rPr>
        <w:t xml:space="preserve"> část výnosů přerozděl</w:t>
      </w:r>
      <w:r w:rsidR="00CE0D98" w:rsidRPr="004B449F">
        <w:rPr>
          <w:bdr w:val="none" w:sz="0" w:space="0" w:color="auto" w:frame="1"/>
          <w:lang w:eastAsia="cs-CZ" w:bidi="bn-BD"/>
        </w:rPr>
        <w:t>ová</w:t>
      </w:r>
      <w:r w:rsidRPr="004B449F">
        <w:rPr>
          <w:bdr w:val="none" w:sz="0" w:space="0" w:color="auto" w:frame="1"/>
          <w:lang w:eastAsia="cs-CZ" w:bidi="bn-BD"/>
        </w:rPr>
        <w:t>n</w:t>
      </w:r>
      <w:r w:rsidR="00CE0D98" w:rsidRPr="004B449F">
        <w:rPr>
          <w:bdr w:val="none" w:sz="0" w:space="0" w:color="auto" w:frame="1"/>
          <w:lang w:eastAsia="cs-CZ" w:bidi="bn-BD"/>
        </w:rPr>
        <w:t>a</w:t>
      </w:r>
      <w:r w:rsidR="00E426FA" w:rsidRPr="004B449F">
        <w:rPr>
          <w:bdr w:val="none" w:sz="0" w:space="0" w:color="auto" w:frame="1"/>
          <w:lang w:eastAsia="cs-CZ" w:bidi="bn-BD"/>
        </w:rPr>
        <w:t xml:space="preserve"> na realizaci výdajů</w:t>
      </w:r>
      <w:r w:rsidRPr="004B449F">
        <w:rPr>
          <w:bdr w:val="none" w:sz="0" w:space="0" w:color="auto" w:frame="1"/>
          <w:lang w:eastAsia="cs-CZ" w:bidi="bn-BD"/>
        </w:rPr>
        <w:t xml:space="preserve"> mezi</w:t>
      </w:r>
      <w:r w:rsidR="004C7446" w:rsidRPr="004B449F">
        <w:rPr>
          <w:bdr w:val="none" w:sz="0" w:space="0" w:color="auto" w:frame="1"/>
          <w:lang w:eastAsia="cs-CZ" w:bidi="bn-BD"/>
        </w:rPr>
        <w:t xml:space="preserve"> MPO a MŽP se SFŽP</w:t>
      </w:r>
      <w:r w:rsidRPr="004B449F">
        <w:rPr>
          <w:bdr w:val="none" w:sz="0" w:space="0" w:color="auto" w:frame="1"/>
          <w:lang w:eastAsia="cs-CZ" w:bidi="bn-BD"/>
        </w:rPr>
        <w:t>. Re</w:t>
      </w:r>
      <w:r w:rsidR="00B56103">
        <w:rPr>
          <w:bdr w:val="none" w:sz="0" w:space="0" w:color="auto" w:frame="1"/>
          <w:lang w:eastAsia="cs-CZ" w:bidi="bn-BD"/>
        </w:rPr>
        <w:t>s</w:t>
      </w:r>
      <w:r w:rsidRPr="004B449F">
        <w:rPr>
          <w:bdr w:val="none" w:sz="0" w:space="0" w:color="auto" w:frame="1"/>
          <w:lang w:eastAsia="cs-CZ" w:bidi="bn-BD"/>
        </w:rPr>
        <w:t xml:space="preserve">ort životního prostředí </w:t>
      </w:r>
      <w:r w:rsidR="004C7446" w:rsidRPr="004B449F">
        <w:rPr>
          <w:bdr w:val="none" w:sz="0" w:space="0" w:color="auto" w:frame="1"/>
          <w:lang w:eastAsia="cs-CZ" w:bidi="bn-BD"/>
        </w:rPr>
        <w:t xml:space="preserve">využíval výnosy z prodeje </w:t>
      </w:r>
      <w:r w:rsidRPr="004B449F">
        <w:rPr>
          <w:bdr w:val="none" w:sz="0" w:space="0" w:color="auto" w:frame="1"/>
          <w:lang w:eastAsia="cs-CZ" w:bidi="bn-BD"/>
        </w:rPr>
        <w:t>emisní</w:t>
      </w:r>
      <w:r w:rsidR="004C7446" w:rsidRPr="004B449F">
        <w:rPr>
          <w:bdr w:val="none" w:sz="0" w:space="0" w:color="auto" w:frame="1"/>
          <w:lang w:eastAsia="cs-CZ" w:bidi="bn-BD"/>
        </w:rPr>
        <w:t>ch</w:t>
      </w:r>
      <w:r w:rsidRPr="004B449F">
        <w:rPr>
          <w:bdr w:val="none" w:sz="0" w:space="0" w:color="auto" w:frame="1"/>
          <w:lang w:eastAsia="cs-CZ" w:bidi="bn-BD"/>
        </w:rPr>
        <w:t xml:space="preserve"> povolen</w:t>
      </w:r>
      <w:r w:rsidR="004C7446" w:rsidRPr="004B449F">
        <w:rPr>
          <w:bdr w:val="none" w:sz="0" w:space="0" w:color="auto" w:frame="1"/>
          <w:lang w:eastAsia="cs-CZ" w:bidi="bn-BD"/>
        </w:rPr>
        <w:t>e</w:t>
      </w:r>
      <w:r w:rsidRPr="004B449F">
        <w:rPr>
          <w:bdr w:val="none" w:sz="0" w:space="0" w:color="auto" w:frame="1"/>
          <w:lang w:eastAsia="cs-CZ" w:bidi="bn-BD"/>
        </w:rPr>
        <w:t xml:space="preserve">k </w:t>
      </w:r>
      <w:r w:rsidR="000F4F30" w:rsidRPr="004B449F">
        <w:rPr>
          <w:bdr w:val="none" w:sz="0" w:space="0" w:color="auto" w:frame="1"/>
          <w:lang w:eastAsia="cs-CZ" w:bidi="bn-BD"/>
        </w:rPr>
        <w:t>výlučně pro</w:t>
      </w:r>
      <w:r w:rsidR="00E426FA" w:rsidRPr="004B449F">
        <w:rPr>
          <w:bdr w:val="none" w:sz="0" w:space="0" w:color="auto" w:frame="1"/>
          <w:lang w:eastAsia="cs-CZ" w:bidi="bn-BD"/>
        </w:rPr>
        <w:t xml:space="preserve"> financování</w:t>
      </w:r>
      <w:r w:rsidR="00A1585A" w:rsidRPr="004B449F">
        <w:rPr>
          <w:bdr w:val="none" w:sz="0" w:space="0" w:color="auto" w:frame="1"/>
          <w:lang w:eastAsia="cs-CZ" w:bidi="bn-BD"/>
        </w:rPr>
        <w:t xml:space="preserve"> I</w:t>
      </w:r>
      <w:r w:rsidR="006746F8" w:rsidRPr="004B449F">
        <w:rPr>
          <w:bdr w:val="none" w:sz="0" w:space="0" w:color="auto" w:frame="1"/>
          <w:lang w:eastAsia="cs-CZ" w:bidi="bn-BD"/>
        </w:rPr>
        <w:t>.</w:t>
      </w:r>
      <w:r w:rsidR="00A1585A" w:rsidRPr="004B449F">
        <w:rPr>
          <w:bdr w:val="none" w:sz="0" w:space="0" w:color="auto" w:frame="1"/>
          <w:lang w:eastAsia="cs-CZ" w:bidi="bn-BD"/>
        </w:rPr>
        <w:t xml:space="preserve"> etapy</w:t>
      </w:r>
      <w:r w:rsidR="00E426FA" w:rsidRPr="004B449F">
        <w:rPr>
          <w:bdr w:val="none" w:sz="0" w:space="0" w:color="auto" w:frame="1"/>
          <w:lang w:eastAsia="cs-CZ" w:bidi="bn-BD"/>
        </w:rPr>
        <w:t xml:space="preserve"> </w:t>
      </w:r>
      <w:r w:rsidRPr="004B449F">
        <w:rPr>
          <w:bdr w:val="none" w:sz="0" w:space="0" w:color="auto" w:frame="1"/>
          <w:lang w:eastAsia="cs-CZ" w:bidi="bn-BD"/>
        </w:rPr>
        <w:t xml:space="preserve">programu </w:t>
      </w:r>
      <w:r w:rsidR="004C7446" w:rsidRPr="004B449F">
        <w:rPr>
          <w:bdr w:val="none" w:sz="0" w:space="0" w:color="auto" w:frame="1"/>
          <w:lang w:eastAsia="cs-CZ" w:bidi="bn-BD"/>
        </w:rPr>
        <w:t>NZÚ</w:t>
      </w:r>
      <w:r w:rsidRPr="004B449F">
        <w:rPr>
          <w:bdr w:val="none" w:sz="0" w:space="0" w:color="auto" w:frame="1"/>
          <w:lang w:eastAsia="cs-CZ" w:bidi="bn-BD"/>
        </w:rPr>
        <w:t>.</w:t>
      </w:r>
    </w:p>
    <w:p w14:paraId="6D1B35A2" w14:textId="26A3ACD0" w:rsidR="00C5233F" w:rsidRDefault="00CB18DF" w:rsidP="00F76A63">
      <w:pPr>
        <w:pStyle w:val="TextKP"/>
        <w:spacing w:after="120"/>
      </w:pPr>
      <w:r w:rsidRPr="00C0338B">
        <w:t xml:space="preserve">Výnosy z dražeb emisních povolenek jsou dle </w:t>
      </w:r>
      <w:r w:rsidR="001C1FE2">
        <w:t xml:space="preserve">§ 7 </w:t>
      </w:r>
      <w:r w:rsidRPr="00C0338B">
        <w:t>zákona č. 383/2012 Sb. příjmem státního rozpočtu a jsou účelově vázány</w:t>
      </w:r>
      <w:r w:rsidRPr="00C0338B">
        <w:rPr>
          <w:rStyle w:val="Znakapoznpodarou"/>
        </w:rPr>
        <w:footnoteReference w:id="30"/>
      </w:r>
      <w:r w:rsidRPr="00C0338B">
        <w:t xml:space="preserve"> mj. na </w:t>
      </w:r>
      <w:r w:rsidRPr="00C0338B">
        <w:rPr>
          <w:iCs/>
        </w:rPr>
        <w:t xml:space="preserve">financování činností vedoucích ke snižování emisí </w:t>
      </w:r>
      <w:r w:rsidRPr="00C0338B">
        <w:rPr>
          <w:iCs/>
        </w:rPr>
        <w:lastRenderedPageBreak/>
        <w:t xml:space="preserve">skleníkových plynů, </w:t>
      </w:r>
      <w:r w:rsidRPr="00C0338B">
        <w:t xml:space="preserve">a to </w:t>
      </w:r>
      <w:r w:rsidR="000F4F30" w:rsidRPr="00C0338B">
        <w:t>nejvýše do částky 12 m</w:t>
      </w:r>
      <w:r w:rsidR="000F4F30">
        <w:t>l</w:t>
      </w:r>
      <w:r w:rsidR="000F4F30" w:rsidRPr="00C0338B">
        <w:t>d</w:t>
      </w:r>
      <w:r w:rsidR="000F4F30">
        <w:t>.</w:t>
      </w:r>
      <w:r w:rsidR="000F4F30" w:rsidRPr="00C0338B">
        <w:t xml:space="preserve"> Kč ročně </w:t>
      </w:r>
      <w:r w:rsidRPr="00C0338B">
        <w:t xml:space="preserve">v období do 31. 12. 2020 a </w:t>
      </w:r>
      <w:r w:rsidR="000F4F30" w:rsidRPr="00C0338B">
        <w:t>nejvýše do částky 8 m</w:t>
      </w:r>
      <w:r w:rsidR="000F4F30">
        <w:t>ld.</w:t>
      </w:r>
      <w:r w:rsidR="000F4F30" w:rsidRPr="00C0338B">
        <w:t xml:space="preserve"> Kč ročně </w:t>
      </w:r>
      <w:r w:rsidRPr="00C0338B">
        <w:t>ode dne 1. 1. 2021. Výdaje odpovídající účelově vázanému výnosu z</w:t>
      </w:r>
      <w:r w:rsidR="000F4F30">
        <w:t> </w:t>
      </w:r>
      <w:r w:rsidRPr="00C0338B">
        <w:t xml:space="preserve">dražeb emisních povolenek </w:t>
      </w:r>
      <w:r w:rsidR="009E11C7">
        <w:t>mají být z</w:t>
      </w:r>
      <w:r w:rsidRPr="00C0338B">
        <w:t> 50 % realizovány prostřednictvím kapitoly MPO a</w:t>
      </w:r>
      <w:r w:rsidR="00BC175F">
        <w:t> </w:t>
      </w:r>
      <w:r w:rsidRPr="00C0338B">
        <w:t>z</w:t>
      </w:r>
      <w:r w:rsidR="00BC175F">
        <w:t> </w:t>
      </w:r>
      <w:r w:rsidRPr="00C0338B">
        <w:t>50</w:t>
      </w:r>
      <w:r w:rsidR="00BC175F">
        <w:t> </w:t>
      </w:r>
      <w:r w:rsidRPr="00C0338B">
        <w:t>% prostřednictvím kapitoly MŽP a SFŽP.</w:t>
      </w:r>
    </w:p>
    <w:p w14:paraId="34B995DD" w14:textId="1D3734AD" w:rsidR="00EB6D62" w:rsidRPr="00F76A63" w:rsidRDefault="00EB6D62" w:rsidP="00B56103">
      <w:pPr>
        <w:pStyle w:val="Titulek"/>
        <w:tabs>
          <w:tab w:val="right" w:pos="9072"/>
        </w:tabs>
        <w:spacing w:after="40"/>
        <w:ind w:left="1418" w:hanging="1418"/>
        <w:rPr>
          <w:rFonts w:eastAsia="Calibri" w:cstheme="minorHAnsi"/>
          <w:b/>
        </w:rPr>
      </w:pPr>
      <w:r w:rsidRPr="00F76A63">
        <w:rPr>
          <w:b/>
        </w:rPr>
        <w:t xml:space="preserve">Tabulka č. </w:t>
      </w:r>
      <w:r w:rsidRPr="00F76A63">
        <w:rPr>
          <w:b/>
        </w:rPr>
        <w:fldChar w:fldCharType="begin"/>
      </w:r>
      <w:r w:rsidRPr="00F76A63">
        <w:rPr>
          <w:b/>
        </w:rPr>
        <w:instrText xml:space="preserve"> SEQ Tabulka_č. \* ARABIC </w:instrText>
      </w:r>
      <w:r w:rsidRPr="00F76A63">
        <w:rPr>
          <w:b/>
        </w:rPr>
        <w:fldChar w:fldCharType="separate"/>
      </w:r>
      <w:r w:rsidR="000D2E96">
        <w:rPr>
          <w:b/>
          <w:noProof/>
        </w:rPr>
        <w:t>10</w:t>
      </w:r>
      <w:r w:rsidRPr="00F76A63">
        <w:rPr>
          <w:b/>
        </w:rPr>
        <w:fldChar w:fldCharType="end"/>
      </w:r>
      <w:r w:rsidRPr="00F76A63">
        <w:rPr>
          <w:b/>
        </w:rPr>
        <w:t>:</w:t>
      </w:r>
      <w:r w:rsidR="00B56103">
        <w:rPr>
          <w:b/>
        </w:rPr>
        <w:t xml:space="preserve"> </w:t>
      </w:r>
      <w:r w:rsidR="00B56103">
        <w:rPr>
          <w:b/>
        </w:rPr>
        <w:tab/>
      </w:r>
      <w:r w:rsidRPr="00F76A63">
        <w:rPr>
          <w:b/>
        </w:rPr>
        <w:t>P</w:t>
      </w:r>
      <w:r w:rsidRPr="00F76A63">
        <w:rPr>
          <w:rFonts w:eastAsia="Calibri" w:cstheme="minorHAnsi"/>
          <w:b/>
        </w:rPr>
        <w:t>říjmy z prodeje emisních povolenek v letech 2013 až 2023 (do 30. 9. 2023) a z toho účelově vázané výnosy podle</w:t>
      </w:r>
      <w:r w:rsidR="00F3352C" w:rsidRPr="00F76A63">
        <w:rPr>
          <w:rFonts w:eastAsia="Calibri" w:cstheme="minorHAnsi"/>
          <w:b/>
        </w:rPr>
        <w:t xml:space="preserve"> ustanovení</w:t>
      </w:r>
      <w:r w:rsidRPr="00F76A63">
        <w:rPr>
          <w:b/>
        </w:rPr>
        <w:t xml:space="preserve"> </w:t>
      </w:r>
      <w:r w:rsidRPr="00F76A63">
        <w:rPr>
          <w:rFonts w:eastAsia="Calibri" w:cstheme="minorHAnsi"/>
          <w:b/>
        </w:rPr>
        <w:t>§ 7 odst. 6 zákona. č.</w:t>
      </w:r>
      <w:r w:rsidR="00B56103">
        <w:rPr>
          <w:rFonts w:eastAsia="Calibri" w:cstheme="minorHAnsi"/>
          <w:b/>
        </w:rPr>
        <w:t> </w:t>
      </w:r>
      <w:r w:rsidRPr="00F76A63">
        <w:rPr>
          <w:rFonts w:eastAsia="Calibri" w:cstheme="minorHAnsi"/>
          <w:b/>
        </w:rPr>
        <w:t>383/2012 Sb.</w:t>
      </w:r>
      <w:r w:rsidRPr="00F76A63">
        <w:rPr>
          <w:rFonts w:eastAsia="Calibri" w:cstheme="minorHAnsi"/>
          <w:b/>
        </w:rPr>
        <w:tab/>
        <w:t>(v Kč)</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0"/>
        <w:gridCol w:w="3683"/>
        <w:gridCol w:w="3679"/>
      </w:tblGrid>
      <w:tr w:rsidR="00F76A63" w:rsidRPr="00EB6D62" w14:paraId="65479787" w14:textId="77777777" w:rsidTr="00F76A63">
        <w:trPr>
          <w:trHeight w:val="50"/>
          <w:jc w:val="right"/>
        </w:trPr>
        <w:tc>
          <w:tcPr>
            <w:tcW w:w="938" w:type="pct"/>
            <w:shd w:val="clear" w:color="auto" w:fill="F2F2F2"/>
            <w:noWrap/>
            <w:vAlign w:val="center"/>
            <w:hideMark/>
          </w:tcPr>
          <w:p w14:paraId="186AD749" w14:textId="77777777" w:rsidR="00EB6D62" w:rsidRPr="00EB6D62" w:rsidRDefault="00EB6D62" w:rsidP="00EB6D62">
            <w:pPr>
              <w:jc w:val="center"/>
              <w:rPr>
                <w:rFonts w:cstheme="minorHAnsi"/>
                <w:b/>
                <w:color w:val="000000"/>
                <w:sz w:val="20"/>
                <w:szCs w:val="20"/>
                <w:lang w:eastAsia="cs-CZ"/>
              </w:rPr>
            </w:pPr>
            <w:r w:rsidRPr="00EB6D62">
              <w:rPr>
                <w:rFonts w:cstheme="minorHAnsi"/>
                <w:b/>
                <w:color w:val="000000"/>
                <w:sz w:val="20"/>
                <w:szCs w:val="20"/>
                <w:lang w:eastAsia="cs-CZ"/>
              </w:rPr>
              <w:t>Rok</w:t>
            </w:r>
          </w:p>
        </w:tc>
        <w:tc>
          <w:tcPr>
            <w:tcW w:w="2032" w:type="pct"/>
            <w:shd w:val="clear" w:color="auto" w:fill="F2F2F2"/>
            <w:noWrap/>
            <w:vAlign w:val="center"/>
            <w:hideMark/>
          </w:tcPr>
          <w:p w14:paraId="55D1C37D" w14:textId="4E71B69B" w:rsidR="00EB6D62" w:rsidRPr="00EB6D62" w:rsidRDefault="00EB6D62" w:rsidP="00EB6D62">
            <w:pPr>
              <w:jc w:val="center"/>
              <w:rPr>
                <w:rFonts w:cstheme="minorHAnsi"/>
                <w:b/>
                <w:color w:val="000000"/>
                <w:sz w:val="20"/>
                <w:szCs w:val="20"/>
                <w:lang w:eastAsia="cs-CZ"/>
              </w:rPr>
            </w:pPr>
            <w:r w:rsidRPr="00EB6D62">
              <w:rPr>
                <w:rFonts w:cstheme="minorHAnsi"/>
                <w:b/>
                <w:color w:val="000000"/>
                <w:sz w:val="20"/>
                <w:szCs w:val="20"/>
                <w:lang w:eastAsia="cs-CZ"/>
              </w:rPr>
              <w:t>Příjmy z prodeje emisních povolenek</w:t>
            </w:r>
            <w:r w:rsidR="00B56103" w:rsidRPr="00B56103">
              <w:rPr>
                <w:b/>
                <w:sz w:val="20"/>
              </w:rPr>
              <w:t>*</w:t>
            </w:r>
          </w:p>
        </w:tc>
        <w:tc>
          <w:tcPr>
            <w:tcW w:w="2030" w:type="pct"/>
            <w:shd w:val="clear" w:color="auto" w:fill="F2F2F2"/>
            <w:vAlign w:val="center"/>
          </w:tcPr>
          <w:p w14:paraId="6B45868C" w14:textId="77777777" w:rsidR="00EB6D62" w:rsidRPr="00EB6D62" w:rsidRDefault="00EB6D62" w:rsidP="00EB6D62">
            <w:pPr>
              <w:jc w:val="center"/>
              <w:rPr>
                <w:rFonts w:cstheme="minorHAnsi"/>
                <w:b/>
                <w:i/>
                <w:color w:val="000000"/>
                <w:sz w:val="20"/>
                <w:szCs w:val="20"/>
                <w:lang w:eastAsia="cs-CZ"/>
              </w:rPr>
            </w:pPr>
            <w:r w:rsidRPr="00EB6D62">
              <w:rPr>
                <w:rFonts w:cstheme="minorHAnsi"/>
                <w:b/>
                <w:color w:val="000000"/>
                <w:sz w:val="20"/>
                <w:szCs w:val="20"/>
                <w:lang w:eastAsia="cs-CZ"/>
              </w:rPr>
              <w:t>Účelově vázané výnosy</w:t>
            </w:r>
          </w:p>
        </w:tc>
      </w:tr>
      <w:tr w:rsidR="00F76A63" w:rsidRPr="00EB6D62" w14:paraId="4322389E" w14:textId="77777777" w:rsidTr="00F76A63">
        <w:trPr>
          <w:trHeight w:val="227"/>
          <w:jc w:val="right"/>
        </w:trPr>
        <w:tc>
          <w:tcPr>
            <w:tcW w:w="938" w:type="pct"/>
            <w:shd w:val="clear" w:color="auto" w:fill="auto"/>
            <w:noWrap/>
            <w:vAlign w:val="center"/>
          </w:tcPr>
          <w:p w14:paraId="068CFAD3" w14:textId="77777777" w:rsidR="00EB6D62" w:rsidRPr="00EB6D62" w:rsidRDefault="00EB6D62" w:rsidP="00EB6D62">
            <w:pPr>
              <w:jc w:val="center"/>
              <w:rPr>
                <w:rFonts w:cstheme="minorHAnsi"/>
                <w:color w:val="000000"/>
                <w:sz w:val="20"/>
                <w:szCs w:val="20"/>
                <w:lang w:eastAsia="cs-CZ"/>
              </w:rPr>
            </w:pPr>
            <w:r w:rsidRPr="00EB6D62">
              <w:rPr>
                <w:rFonts w:cstheme="minorHAnsi"/>
                <w:color w:val="000000"/>
                <w:sz w:val="20"/>
                <w:szCs w:val="20"/>
                <w:lang w:eastAsia="cs-CZ"/>
              </w:rPr>
              <w:t>2013</w:t>
            </w:r>
          </w:p>
        </w:tc>
        <w:tc>
          <w:tcPr>
            <w:tcW w:w="2032" w:type="pct"/>
            <w:shd w:val="clear" w:color="auto" w:fill="auto"/>
            <w:noWrap/>
            <w:vAlign w:val="center"/>
          </w:tcPr>
          <w:p w14:paraId="697F2FE4" w14:textId="77777777" w:rsidR="00EB6D62" w:rsidRPr="00EB6D62" w:rsidRDefault="00EB6D62" w:rsidP="00F76A63">
            <w:pPr>
              <w:ind w:right="354"/>
              <w:jc w:val="right"/>
              <w:rPr>
                <w:rFonts w:cstheme="minorHAnsi"/>
                <w:bCs/>
                <w:sz w:val="20"/>
                <w:szCs w:val="20"/>
              </w:rPr>
            </w:pPr>
            <w:r w:rsidRPr="00EB6D62">
              <w:rPr>
                <w:rFonts w:cstheme="minorHAnsi"/>
                <w:bCs/>
                <w:sz w:val="20"/>
                <w:szCs w:val="20"/>
              </w:rPr>
              <w:t>2 240 784 138,74</w:t>
            </w:r>
          </w:p>
        </w:tc>
        <w:tc>
          <w:tcPr>
            <w:tcW w:w="2030" w:type="pct"/>
            <w:vAlign w:val="center"/>
          </w:tcPr>
          <w:p w14:paraId="4F5D235B" w14:textId="77777777" w:rsidR="00EB6D62" w:rsidRPr="00EB6D62" w:rsidRDefault="00EB6D62" w:rsidP="00F76A63">
            <w:pPr>
              <w:ind w:right="354"/>
              <w:jc w:val="right"/>
              <w:rPr>
                <w:rFonts w:cstheme="minorHAnsi"/>
                <w:sz w:val="20"/>
                <w:szCs w:val="20"/>
                <w:lang w:eastAsia="cs-CZ"/>
              </w:rPr>
            </w:pPr>
            <w:r w:rsidRPr="00EB6D62">
              <w:rPr>
                <w:rFonts w:cstheme="minorHAnsi"/>
                <w:sz w:val="20"/>
                <w:szCs w:val="20"/>
                <w:lang w:eastAsia="cs-CZ"/>
              </w:rPr>
              <w:t>1 120 392 069,37</w:t>
            </w:r>
          </w:p>
        </w:tc>
      </w:tr>
      <w:tr w:rsidR="00F76A63" w:rsidRPr="00EB6D62" w14:paraId="537737B8" w14:textId="77777777" w:rsidTr="00F76A63">
        <w:trPr>
          <w:trHeight w:val="227"/>
          <w:jc w:val="right"/>
        </w:trPr>
        <w:tc>
          <w:tcPr>
            <w:tcW w:w="938" w:type="pct"/>
            <w:shd w:val="clear" w:color="auto" w:fill="auto"/>
            <w:noWrap/>
            <w:vAlign w:val="center"/>
            <w:hideMark/>
          </w:tcPr>
          <w:p w14:paraId="12E2E815" w14:textId="77777777" w:rsidR="00EB6D62" w:rsidRPr="00EB6D62" w:rsidRDefault="00EB6D62" w:rsidP="00EB6D62">
            <w:pPr>
              <w:jc w:val="center"/>
              <w:rPr>
                <w:rFonts w:cstheme="minorHAnsi"/>
                <w:color w:val="000000"/>
                <w:sz w:val="20"/>
                <w:szCs w:val="20"/>
                <w:lang w:eastAsia="cs-CZ"/>
              </w:rPr>
            </w:pPr>
            <w:r w:rsidRPr="00EB6D62">
              <w:rPr>
                <w:rFonts w:cstheme="minorHAnsi"/>
                <w:color w:val="000000"/>
                <w:sz w:val="20"/>
                <w:szCs w:val="20"/>
                <w:lang w:eastAsia="cs-CZ"/>
              </w:rPr>
              <w:t>2014</w:t>
            </w:r>
          </w:p>
        </w:tc>
        <w:tc>
          <w:tcPr>
            <w:tcW w:w="2032" w:type="pct"/>
            <w:shd w:val="clear" w:color="auto" w:fill="auto"/>
            <w:noWrap/>
            <w:vAlign w:val="center"/>
            <w:hideMark/>
          </w:tcPr>
          <w:p w14:paraId="25EE2993"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1 521 636 145,14</w:t>
            </w:r>
          </w:p>
        </w:tc>
        <w:tc>
          <w:tcPr>
            <w:tcW w:w="2030" w:type="pct"/>
            <w:vAlign w:val="center"/>
          </w:tcPr>
          <w:p w14:paraId="3CBDABDE"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760 818 072,57</w:t>
            </w:r>
          </w:p>
        </w:tc>
      </w:tr>
      <w:tr w:rsidR="00F76A63" w:rsidRPr="00EB6D62" w14:paraId="662A0555" w14:textId="77777777" w:rsidTr="00F76A63">
        <w:trPr>
          <w:trHeight w:val="227"/>
          <w:jc w:val="right"/>
        </w:trPr>
        <w:tc>
          <w:tcPr>
            <w:tcW w:w="938" w:type="pct"/>
            <w:shd w:val="clear" w:color="auto" w:fill="auto"/>
            <w:noWrap/>
            <w:vAlign w:val="center"/>
            <w:hideMark/>
          </w:tcPr>
          <w:p w14:paraId="1FA1600B" w14:textId="77777777" w:rsidR="00EB6D62" w:rsidRPr="00EB6D62" w:rsidRDefault="00EB6D62" w:rsidP="00EB6D62">
            <w:pPr>
              <w:jc w:val="center"/>
              <w:rPr>
                <w:rFonts w:cstheme="minorHAnsi"/>
                <w:color w:val="000000"/>
                <w:sz w:val="20"/>
                <w:szCs w:val="20"/>
                <w:lang w:eastAsia="cs-CZ"/>
              </w:rPr>
            </w:pPr>
            <w:r w:rsidRPr="00EB6D62">
              <w:rPr>
                <w:rFonts w:cstheme="minorHAnsi"/>
                <w:color w:val="000000"/>
                <w:sz w:val="20"/>
                <w:szCs w:val="20"/>
                <w:lang w:eastAsia="cs-CZ"/>
              </w:rPr>
              <w:t>2015</w:t>
            </w:r>
          </w:p>
        </w:tc>
        <w:tc>
          <w:tcPr>
            <w:tcW w:w="2032" w:type="pct"/>
            <w:shd w:val="clear" w:color="auto" w:fill="auto"/>
            <w:noWrap/>
            <w:vAlign w:val="center"/>
            <w:hideMark/>
          </w:tcPr>
          <w:p w14:paraId="0CEE4371"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3 025 563 550,00</w:t>
            </w:r>
          </w:p>
        </w:tc>
        <w:tc>
          <w:tcPr>
            <w:tcW w:w="2030" w:type="pct"/>
            <w:vAlign w:val="center"/>
          </w:tcPr>
          <w:p w14:paraId="2B9DF76E"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1 512 781 775,00</w:t>
            </w:r>
          </w:p>
        </w:tc>
      </w:tr>
      <w:tr w:rsidR="00F76A63" w:rsidRPr="00EB6D62" w14:paraId="376DC99B" w14:textId="77777777" w:rsidTr="00F76A63">
        <w:trPr>
          <w:trHeight w:val="227"/>
          <w:jc w:val="right"/>
        </w:trPr>
        <w:tc>
          <w:tcPr>
            <w:tcW w:w="938" w:type="pct"/>
            <w:shd w:val="clear" w:color="auto" w:fill="auto"/>
            <w:noWrap/>
            <w:vAlign w:val="center"/>
            <w:hideMark/>
          </w:tcPr>
          <w:p w14:paraId="751B8DEE" w14:textId="77777777" w:rsidR="00EB6D62" w:rsidRPr="00EB6D62" w:rsidRDefault="00EB6D62" w:rsidP="00EB6D62">
            <w:pPr>
              <w:jc w:val="center"/>
              <w:rPr>
                <w:rFonts w:cstheme="minorHAnsi"/>
                <w:color w:val="000000"/>
                <w:sz w:val="20"/>
                <w:szCs w:val="20"/>
                <w:lang w:eastAsia="cs-CZ"/>
              </w:rPr>
            </w:pPr>
            <w:r w:rsidRPr="00EB6D62">
              <w:rPr>
                <w:rFonts w:cstheme="minorHAnsi"/>
                <w:color w:val="000000"/>
                <w:sz w:val="20"/>
                <w:szCs w:val="20"/>
                <w:lang w:eastAsia="cs-CZ"/>
              </w:rPr>
              <w:t>2016</w:t>
            </w:r>
          </w:p>
        </w:tc>
        <w:tc>
          <w:tcPr>
            <w:tcW w:w="2032" w:type="pct"/>
            <w:shd w:val="clear" w:color="auto" w:fill="auto"/>
            <w:noWrap/>
            <w:vAlign w:val="center"/>
            <w:hideMark/>
          </w:tcPr>
          <w:p w14:paraId="3D20CD8F"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3 172 996 365,66</w:t>
            </w:r>
          </w:p>
        </w:tc>
        <w:tc>
          <w:tcPr>
            <w:tcW w:w="2030" w:type="pct"/>
            <w:vAlign w:val="center"/>
          </w:tcPr>
          <w:p w14:paraId="2E7AC895"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1 586 498 182,83</w:t>
            </w:r>
          </w:p>
        </w:tc>
      </w:tr>
      <w:tr w:rsidR="00F76A63" w:rsidRPr="00EB6D62" w14:paraId="476BF648" w14:textId="77777777" w:rsidTr="00F76A63">
        <w:trPr>
          <w:trHeight w:val="227"/>
          <w:jc w:val="right"/>
        </w:trPr>
        <w:tc>
          <w:tcPr>
            <w:tcW w:w="938" w:type="pct"/>
            <w:shd w:val="clear" w:color="auto" w:fill="auto"/>
            <w:noWrap/>
            <w:vAlign w:val="center"/>
            <w:hideMark/>
          </w:tcPr>
          <w:p w14:paraId="09DC121C" w14:textId="77777777" w:rsidR="00EB6D62" w:rsidRPr="00EB6D62" w:rsidRDefault="00EB6D62" w:rsidP="00EB6D62">
            <w:pPr>
              <w:jc w:val="center"/>
              <w:rPr>
                <w:rFonts w:cstheme="minorHAnsi"/>
                <w:color w:val="000000"/>
                <w:sz w:val="20"/>
                <w:szCs w:val="20"/>
                <w:lang w:eastAsia="cs-CZ"/>
              </w:rPr>
            </w:pPr>
            <w:r w:rsidRPr="00EB6D62">
              <w:rPr>
                <w:rFonts w:cstheme="minorHAnsi"/>
                <w:color w:val="000000"/>
                <w:sz w:val="20"/>
                <w:szCs w:val="20"/>
                <w:lang w:eastAsia="cs-CZ"/>
              </w:rPr>
              <w:t>2017</w:t>
            </w:r>
          </w:p>
        </w:tc>
        <w:tc>
          <w:tcPr>
            <w:tcW w:w="2032" w:type="pct"/>
            <w:shd w:val="clear" w:color="auto" w:fill="auto"/>
            <w:noWrap/>
            <w:vAlign w:val="center"/>
            <w:hideMark/>
          </w:tcPr>
          <w:p w14:paraId="5AAF64A2"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5 220 325 437,71</w:t>
            </w:r>
          </w:p>
        </w:tc>
        <w:tc>
          <w:tcPr>
            <w:tcW w:w="2030" w:type="pct"/>
            <w:vAlign w:val="center"/>
          </w:tcPr>
          <w:p w14:paraId="15B477FE"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2 610 162 718,86</w:t>
            </w:r>
          </w:p>
        </w:tc>
      </w:tr>
      <w:tr w:rsidR="00F76A63" w:rsidRPr="00EB6D62" w14:paraId="2DFF78C1" w14:textId="77777777" w:rsidTr="00F76A63">
        <w:trPr>
          <w:trHeight w:val="227"/>
          <w:jc w:val="right"/>
        </w:trPr>
        <w:tc>
          <w:tcPr>
            <w:tcW w:w="938" w:type="pct"/>
            <w:shd w:val="clear" w:color="auto" w:fill="FFFFFF" w:themeFill="background1"/>
            <w:noWrap/>
            <w:vAlign w:val="center"/>
            <w:hideMark/>
          </w:tcPr>
          <w:p w14:paraId="13D40C0A" w14:textId="77777777" w:rsidR="00EB6D62" w:rsidRPr="00EB6D62" w:rsidRDefault="00EB6D62" w:rsidP="00EB6D62">
            <w:pPr>
              <w:jc w:val="center"/>
              <w:rPr>
                <w:rFonts w:cstheme="minorHAnsi"/>
                <w:color w:val="000000"/>
                <w:sz w:val="20"/>
                <w:szCs w:val="20"/>
                <w:lang w:eastAsia="cs-CZ"/>
              </w:rPr>
            </w:pPr>
            <w:r w:rsidRPr="00EB6D62">
              <w:rPr>
                <w:rFonts w:cstheme="minorHAnsi"/>
                <w:color w:val="000000"/>
                <w:sz w:val="20"/>
                <w:szCs w:val="20"/>
                <w:lang w:eastAsia="cs-CZ"/>
              </w:rPr>
              <w:t>2018</w:t>
            </w:r>
          </w:p>
        </w:tc>
        <w:tc>
          <w:tcPr>
            <w:tcW w:w="2032" w:type="pct"/>
            <w:shd w:val="clear" w:color="auto" w:fill="FFFFFF" w:themeFill="background1"/>
            <w:noWrap/>
            <w:vAlign w:val="center"/>
            <w:hideMark/>
          </w:tcPr>
          <w:p w14:paraId="48DE93FB"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14 934 783 011,48</w:t>
            </w:r>
          </w:p>
        </w:tc>
        <w:tc>
          <w:tcPr>
            <w:tcW w:w="2030" w:type="pct"/>
            <w:shd w:val="clear" w:color="auto" w:fill="FFFFFF" w:themeFill="background1"/>
            <w:vAlign w:val="center"/>
          </w:tcPr>
          <w:p w14:paraId="1DDFCE71"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6 000 000 000,00</w:t>
            </w:r>
          </w:p>
        </w:tc>
      </w:tr>
      <w:tr w:rsidR="00F76A63" w:rsidRPr="00EB6D62" w14:paraId="07A68C06" w14:textId="77777777" w:rsidTr="00F76A63">
        <w:trPr>
          <w:trHeight w:val="227"/>
          <w:jc w:val="right"/>
        </w:trPr>
        <w:tc>
          <w:tcPr>
            <w:tcW w:w="938" w:type="pct"/>
            <w:shd w:val="clear" w:color="auto" w:fill="FFFFFF" w:themeFill="background1"/>
            <w:noWrap/>
            <w:vAlign w:val="center"/>
            <w:hideMark/>
          </w:tcPr>
          <w:p w14:paraId="3CC84454" w14:textId="77777777" w:rsidR="00EB6D62" w:rsidRPr="00EB6D62" w:rsidRDefault="00EB6D62" w:rsidP="00EB6D62">
            <w:pPr>
              <w:jc w:val="center"/>
              <w:rPr>
                <w:rFonts w:cstheme="minorHAnsi"/>
                <w:color w:val="000000"/>
                <w:sz w:val="20"/>
                <w:szCs w:val="20"/>
                <w:lang w:eastAsia="cs-CZ"/>
              </w:rPr>
            </w:pPr>
            <w:r w:rsidRPr="00EB6D62">
              <w:rPr>
                <w:rFonts w:cstheme="minorHAnsi"/>
                <w:color w:val="000000"/>
                <w:sz w:val="20"/>
                <w:szCs w:val="20"/>
                <w:lang w:eastAsia="cs-CZ"/>
              </w:rPr>
              <w:t>2019</w:t>
            </w:r>
          </w:p>
        </w:tc>
        <w:tc>
          <w:tcPr>
            <w:tcW w:w="2032" w:type="pct"/>
            <w:shd w:val="clear" w:color="auto" w:fill="FFFFFF" w:themeFill="background1"/>
            <w:noWrap/>
            <w:vAlign w:val="center"/>
            <w:hideMark/>
          </w:tcPr>
          <w:p w14:paraId="69F2178A"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16 098 489 118,14</w:t>
            </w:r>
          </w:p>
        </w:tc>
        <w:tc>
          <w:tcPr>
            <w:tcW w:w="2030" w:type="pct"/>
            <w:shd w:val="clear" w:color="auto" w:fill="FFFFFF" w:themeFill="background1"/>
            <w:vAlign w:val="center"/>
          </w:tcPr>
          <w:p w14:paraId="077DFED9"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6 000 000 000,00</w:t>
            </w:r>
          </w:p>
        </w:tc>
      </w:tr>
      <w:tr w:rsidR="00F76A63" w:rsidRPr="00EB6D62" w14:paraId="726D2AB8" w14:textId="77777777" w:rsidTr="00F76A63">
        <w:trPr>
          <w:trHeight w:val="227"/>
          <w:jc w:val="right"/>
        </w:trPr>
        <w:tc>
          <w:tcPr>
            <w:tcW w:w="938" w:type="pct"/>
            <w:shd w:val="clear" w:color="auto" w:fill="auto"/>
            <w:noWrap/>
            <w:vAlign w:val="center"/>
          </w:tcPr>
          <w:p w14:paraId="1B5676B5" w14:textId="77777777" w:rsidR="00EB6D62" w:rsidRPr="00EB6D62" w:rsidRDefault="00EB6D62" w:rsidP="00EB6D62">
            <w:pPr>
              <w:jc w:val="center"/>
              <w:rPr>
                <w:rFonts w:cstheme="minorHAnsi"/>
                <w:color w:val="000000"/>
                <w:sz w:val="20"/>
                <w:szCs w:val="20"/>
                <w:lang w:eastAsia="cs-CZ"/>
              </w:rPr>
            </w:pPr>
            <w:r w:rsidRPr="00EB6D62">
              <w:rPr>
                <w:rFonts w:cstheme="minorHAnsi"/>
                <w:color w:val="000000"/>
                <w:sz w:val="20"/>
                <w:szCs w:val="20"/>
                <w:lang w:eastAsia="cs-CZ"/>
              </w:rPr>
              <w:t>2020</w:t>
            </w:r>
          </w:p>
        </w:tc>
        <w:tc>
          <w:tcPr>
            <w:tcW w:w="2032" w:type="pct"/>
            <w:shd w:val="clear" w:color="auto" w:fill="auto"/>
            <w:noWrap/>
            <w:vAlign w:val="center"/>
          </w:tcPr>
          <w:p w14:paraId="5F14BDE4" w14:textId="77777777" w:rsidR="00EB6D62" w:rsidRPr="00EB6D62" w:rsidRDefault="00EB6D62" w:rsidP="00F76A63">
            <w:pPr>
              <w:ind w:right="354"/>
              <w:jc w:val="right"/>
              <w:rPr>
                <w:rFonts w:cstheme="minorHAnsi"/>
                <w:sz w:val="20"/>
                <w:szCs w:val="20"/>
              </w:rPr>
            </w:pPr>
            <w:r w:rsidRPr="00EB6D62">
              <w:rPr>
                <w:rFonts w:cstheme="minorHAnsi"/>
                <w:sz w:val="20"/>
                <w:szCs w:val="20"/>
              </w:rPr>
              <w:t>18 936 891 675,13</w:t>
            </w:r>
          </w:p>
        </w:tc>
        <w:tc>
          <w:tcPr>
            <w:tcW w:w="2030" w:type="pct"/>
            <w:shd w:val="clear" w:color="auto" w:fill="auto"/>
            <w:vAlign w:val="center"/>
          </w:tcPr>
          <w:p w14:paraId="39C5C040"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6 000 000 000,00</w:t>
            </w:r>
          </w:p>
        </w:tc>
      </w:tr>
      <w:tr w:rsidR="00F76A63" w:rsidRPr="00EB6D62" w14:paraId="0B788B01" w14:textId="77777777" w:rsidTr="00F76A63">
        <w:trPr>
          <w:trHeight w:val="227"/>
          <w:jc w:val="right"/>
        </w:trPr>
        <w:tc>
          <w:tcPr>
            <w:tcW w:w="938" w:type="pct"/>
            <w:shd w:val="clear" w:color="auto" w:fill="auto"/>
            <w:noWrap/>
            <w:vAlign w:val="center"/>
          </w:tcPr>
          <w:p w14:paraId="610CBC05" w14:textId="77777777" w:rsidR="00EB6D62" w:rsidRPr="00EB6D62" w:rsidRDefault="00EB6D62" w:rsidP="00EB6D62">
            <w:pPr>
              <w:jc w:val="center"/>
              <w:rPr>
                <w:rFonts w:cstheme="minorHAnsi"/>
                <w:color w:val="000000"/>
                <w:sz w:val="20"/>
                <w:szCs w:val="20"/>
                <w:lang w:eastAsia="cs-CZ"/>
              </w:rPr>
            </w:pPr>
            <w:r w:rsidRPr="00EB6D62">
              <w:rPr>
                <w:rFonts w:cstheme="minorHAnsi"/>
                <w:color w:val="000000"/>
                <w:sz w:val="20"/>
                <w:szCs w:val="20"/>
                <w:lang w:eastAsia="cs-CZ"/>
              </w:rPr>
              <w:t>2021</w:t>
            </w:r>
          </w:p>
        </w:tc>
        <w:tc>
          <w:tcPr>
            <w:tcW w:w="2032" w:type="pct"/>
            <w:shd w:val="clear" w:color="auto" w:fill="auto"/>
            <w:noWrap/>
            <w:vAlign w:val="center"/>
          </w:tcPr>
          <w:p w14:paraId="4095EA4D" w14:textId="77777777" w:rsidR="00EB6D62" w:rsidRPr="00EB6D62" w:rsidRDefault="00EB6D62" w:rsidP="00F76A63">
            <w:pPr>
              <w:ind w:right="354"/>
              <w:jc w:val="right"/>
              <w:rPr>
                <w:rFonts w:cstheme="minorHAnsi"/>
                <w:sz w:val="20"/>
                <w:szCs w:val="20"/>
              </w:rPr>
            </w:pPr>
            <w:r w:rsidRPr="00EB6D62">
              <w:rPr>
                <w:rFonts w:cstheme="minorHAnsi"/>
                <w:sz w:val="20"/>
                <w:szCs w:val="20"/>
              </w:rPr>
              <w:t>15 396 999 737,11</w:t>
            </w:r>
          </w:p>
        </w:tc>
        <w:tc>
          <w:tcPr>
            <w:tcW w:w="2030" w:type="pct"/>
            <w:shd w:val="clear" w:color="auto" w:fill="auto"/>
            <w:vAlign w:val="center"/>
          </w:tcPr>
          <w:p w14:paraId="524A67AF"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4 000 000 000,00</w:t>
            </w:r>
          </w:p>
        </w:tc>
      </w:tr>
      <w:tr w:rsidR="00F76A63" w:rsidRPr="00EB6D62" w14:paraId="445D7F3A" w14:textId="77777777" w:rsidTr="00F76A63">
        <w:trPr>
          <w:trHeight w:val="227"/>
          <w:jc w:val="right"/>
        </w:trPr>
        <w:tc>
          <w:tcPr>
            <w:tcW w:w="938" w:type="pct"/>
            <w:shd w:val="clear" w:color="auto" w:fill="auto"/>
            <w:noWrap/>
            <w:vAlign w:val="center"/>
          </w:tcPr>
          <w:p w14:paraId="2A796474" w14:textId="77777777" w:rsidR="00EB6D62" w:rsidRPr="00EB6D62" w:rsidRDefault="00EB6D62" w:rsidP="00EB6D62">
            <w:pPr>
              <w:jc w:val="center"/>
              <w:rPr>
                <w:rFonts w:cstheme="minorHAnsi"/>
                <w:color w:val="000000"/>
                <w:sz w:val="20"/>
                <w:szCs w:val="20"/>
                <w:lang w:eastAsia="cs-CZ"/>
              </w:rPr>
            </w:pPr>
            <w:r w:rsidRPr="00EB6D62">
              <w:rPr>
                <w:rFonts w:cstheme="minorHAnsi"/>
                <w:color w:val="000000"/>
                <w:sz w:val="20"/>
                <w:szCs w:val="20"/>
                <w:lang w:eastAsia="cs-CZ"/>
              </w:rPr>
              <w:t>2022</w:t>
            </w:r>
          </w:p>
        </w:tc>
        <w:tc>
          <w:tcPr>
            <w:tcW w:w="2032" w:type="pct"/>
            <w:shd w:val="clear" w:color="auto" w:fill="auto"/>
            <w:noWrap/>
            <w:vAlign w:val="center"/>
          </w:tcPr>
          <w:p w14:paraId="0E0F8DBC"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16 464 422 064,00</w:t>
            </w:r>
          </w:p>
        </w:tc>
        <w:tc>
          <w:tcPr>
            <w:tcW w:w="2030" w:type="pct"/>
            <w:shd w:val="clear" w:color="auto" w:fill="auto"/>
            <w:vAlign w:val="center"/>
          </w:tcPr>
          <w:p w14:paraId="05BD25BD"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4 000 000 000,00</w:t>
            </w:r>
          </w:p>
        </w:tc>
      </w:tr>
      <w:tr w:rsidR="00F76A63" w:rsidRPr="00EB6D62" w14:paraId="154C8320" w14:textId="77777777" w:rsidTr="00F76A63">
        <w:trPr>
          <w:trHeight w:val="227"/>
          <w:jc w:val="right"/>
        </w:trPr>
        <w:tc>
          <w:tcPr>
            <w:tcW w:w="938" w:type="pct"/>
            <w:shd w:val="clear" w:color="auto" w:fill="FFFFFF" w:themeFill="background1"/>
            <w:noWrap/>
            <w:vAlign w:val="center"/>
          </w:tcPr>
          <w:p w14:paraId="51E6BD6B" w14:textId="77777777" w:rsidR="00EB6D62" w:rsidRPr="00EB6D62" w:rsidRDefault="00EB6D62" w:rsidP="00EB6D62">
            <w:pPr>
              <w:jc w:val="center"/>
              <w:rPr>
                <w:rFonts w:cstheme="minorHAnsi"/>
                <w:color w:val="000000"/>
                <w:sz w:val="20"/>
                <w:szCs w:val="20"/>
                <w:lang w:eastAsia="cs-CZ"/>
              </w:rPr>
            </w:pPr>
            <w:r w:rsidRPr="00EB6D62">
              <w:rPr>
                <w:rFonts w:cstheme="minorHAnsi"/>
                <w:sz w:val="20"/>
                <w:szCs w:val="20"/>
                <w:lang w:eastAsia="cs-CZ"/>
              </w:rPr>
              <w:t>do 30. 9. 2023</w:t>
            </w:r>
          </w:p>
        </w:tc>
        <w:tc>
          <w:tcPr>
            <w:tcW w:w="2032" w:type="pct"/>
            <w:shd w:val="clear" w:color="auto" w:fill="FFFFFF" w:themeFill="background1"/>
            <w:noWrap/>
            <w:vAlign w:val="center"/>
          </w:tcPr>
          <w:p w14:paraId="1BFD9A8C"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rPr>
              <w:t>13 148 954 531,80</w:t>
            </w:r>
          </w:p>
        </w:tc>
        <w:tc>
          <w:tcPr>
            <w:tcW w:w="2030" w:type="pct"/>
            <w:shd w:val="clear" w:color="auto" w:fill="FFFFFF" w:themeFill="background1"/>
            <w:vAlign w:val="center"/>
          </w:tcPr>
          <w:p w14:paraId="6B1EBD2E" w14:textId="77777777" w:rsidR="00EB6D62" w:rsidRPr="00EB6D62" w:rsidRDefault="00EB6D62" w:rsidP="00F76A63">
            <w:pPr>
              <w:snapToGrid w:val="0"/>
              <w:ind w:right="354"/>
              <w:jc w:val="right"/>
              <w:rPr>
                <w:rFonts w:cstheme="minorHAnsi"/>
                <w:sz w:val="20"/>
                <w:szCs w:val="20"/>
                <w:lang w:eastAsia="cs-CZ"/>
              </w:rPr>
            </w:pPr>
            <w:r w:rsidRPr="00EB6D62">
              <w:rPr>
                <w:rFonts w:cstheme="minorHAnsi"/>
                <w:sz w:val="20"/>
                <w:szCs w:val="20"/>
                <w:lang w:eastAsia="cs-CZ"/>
              </w:rPr>
              <w:t>4 000 000 000,00</w:t>
            </w:r>
          </w:p>
        </w:tc>
      </w:tr>
      <w:tr w:rsidR="00F76A63" w:rsidRPr="00EB6D62" w14:paraId="3C007BE1" w14:textId="77777777" w:rsidTr="00F76A63">
        <w:trPr>
          <w:trHeight w:val="56"/>
          <w:jc w:val="right"/>
        </w:trPr>
        <w:tc>
          <w:tcPr>
            <w:tcW w:w="938" w:type="pct"/>
            <w:shd w:val="clear" w:color="auto" w:fill="auto"/>
            <w:noWrap/>
            <w:vAlign w:val="center"/>
            <w:hideMark/>
          </w:tcPr>
          <w:p w14:paraId="334F2E61" w14:textId="77777777" w:rsidR="00EB6D62" w:rsidRPr="00EB6D62" w:rsidRDefault="00EB6D62" w:rsidP="00EB6D62">
            <w:pPr>
              <w:jc w:val="center"/>
              <w:rPr>
                <w:rFonts w:cstheme="minorHAnsi"/>
                <w:b/>
                <w:bCs/>
                <w:color w:val="000000"/>
                <w:sz w:val="20"/>
                <w:szCs w:val="20"/>
                <w:lang w:eastAsia="cs-CZ"/>
              </w:rPr>
            </w:pPr>
            <w:r w:rsidRPr="00EB6D62">
              <w:rPr>
                <w:rFonts w:cstheme="minorHAnsi"/>
                <w:b/>
                <w:bCs/>
                <w:color w:val="000000"/>
                <w:sz w:val="20"/>
                <w:szCs w:val="20"/>
                <w:lang w:eastAsia="cs-CZ"/>
              </w:rPr>
              <w:t>Celkem</w:t>
            </w:r>
          </w:p>
        </w:tc>
        <w:tc>
          <w:tcPr>
            <w:tcW w:w="2032" w:type="pct"/>
            <w:shd w:val="clear" w:color="auto" w:fill="auto"/>
            <w:noWrap/>
            <w:vAlign w:val="center"/>
            <w:hideMark/>
          </w:tcPr>
          <w:p w14:paraId="7FB30B36" w14:textId="77777777" w:rsidR="00EB6D62" w:rsidRPr="00EB6D62" w:rsidRDefault="00EB6D62" w:rsidP="00F76A63">
            <w:pPr>
              <w:ind w:right="354"/>
              <w:jc w:val="right"/>
              <w:rPr>
                <w:rFonts w:cstheme="minorHAnsi"/>
                <w:b/>
                <w:sz w:val="20"/>
                <w:szCs w:val="20"/>
              </w:rPr>
            </w:pPr>
            <w:r w:rsidRPr="00EB6D62">
              <w:rPr>
                <w:rFonts w:cstheme="minorHAnsi"/>
                <w:b/>
                <w:sz w:val="20"/>
                <w:szCs w:val="20"/>
              </w:rPr>
              <w:t>110 161 845 774,91</w:t>
            </w:r>
          </w:p>
        </w:tc>
        <w:tc>
          <w:tcPr>
            <w:tcW w:w="2030" w:type="pct"/>
            <w:shd w:val="clear" w:color="auto" w:fill="auto"/>
            <w:vAlign w:val="center"/>
          </w:tcPr>
          <w:p w14:paraId="12C21DDE" w14:textId="77777777" w:rsidR="00EB6D62" w:rsidRPr="00EB6D62" w:rsidRDefault="00EB6D62" w:rsidP="00F76A63">
            <w:pPr>
              <w:ind w:right="354"/>
              <w:jc w:val="right"/>
              <w:rPr>
                <w:rFonts w:cstheme="minorHAnsi"/>
                <w:b/>
                <w:sz w:val="20"/>
                <w:szCs w:val="20"/>
              </w:rPr>
            </w:pPr>
            <w:r w:rsidRPr="00EB6D62">
              <w:rPr>
                <w:rFonts w:cstheme="minorHAnsi"/>
                <w:b/>
                <w:sz w:val="20"/>
                <w:szCs w:val="20"/>
              </w:rPr>
              <w:t>36 590 652 818,63</w:t>
            </w:r>
          </w:p>
        </w:tc>
      </w:tr>
    </w:tbl>
    <w:p w14:paraId="558724C3" w14:textId="4AD0B675" w:rsidR="007A057C" w:rsidRPr="000B0E09" w:rsidRDefault="007A057C" w:rsidP="00955553">
      <w:pPr>
        <w:pStyle w:val="Zdrojeapozn"/>
        <w:rPr>
          <w:b w:val="0"/>
        </w:rPr>
      </w:pPr>
      <w:r w:rsidRPr="00F13367">
        <w:t>Zdroj:</w:t>
      </w:r>
      <w:r w:rsidR="00D25D0A">
        <w:t xml:space="preserve"> </w:t>
      </w:r>
      <w:r w:rsidR="000B0E09">
        <w:rPr>
          <w:b w:val="0"/>
        </w:rPr>
        <w:t>i</w:t>
      </w:r>
      <w:r w:rsidRPr="000B0E09">
        <w:rPr>
          <w:b w:val="0"/>
        </w:rPr>
        <w:t>nformace MŽP, výpočet NKÚ.</w:t>
      </w:r>
    </w:p>
    <w:p w14:paraId="3C9A3E35" w14:textId="190B9DB1" w:rsidR="007A057C" w:rsidRPr="000B0E09" w:rsidRDefault="00D25D0A" w:rsidP="00955553">
      <w:pPr>
        <w:pStyle w:val="Zdrojeapozn"/>
        <w:rPr>
          <w:b w:val="0"/>
          <w:bCs/>
        </w:rPr>
      </w:pPr>
      <w:r w:rsidRPr="00B56103">
        <w:t>*</w:t>
      </w:r>
      <w:r>
        <w:tab/>
      </w:r>
      <w:r w:rsidR="00EB6D62" w:rsidRPr="000B0E09">
        <w:rPr>
          <w:b w:val="0"/>
        </w:rPr>
        <w:t>Rozpočtová položka 3114 – Příjmy z prodeje nehmotného dlouhodobého majetku. Patří sem mj. příjmy MŽP z</w:t>
      </w:r>
      <w:r w:rsidR="000B0E09">
        <w:rPr>
          <w:b w:val="0"/>
        </w:rPr>
        <w:t> </w:t>
      </w:r>
      <w:r w:rsidR="00EB6D62" w:rsidRPr="000B0E09">
        <w:rPr>
          <w:b w:val="0"/>
        </w:rPr>
        <w:t>prodeje emisních povolenek dle ustanovení § 7 odst. 5 a</w:t>
      </w:r>
      <w:r w:rsidRPr="000B0E09">
        <w:rPr>
          <w:b w:val="0"/>
        </w:rPr>
        <w:t> </w:t>
      </w:r>
      <w:r w:rsidR="00EB6D62" w:rsidRPr="000B0E09">
        <w:rPr>
          <w:b w:val="0"/>
        </w:rPr>
        <w:t>§ 17 zákona č. 383/2012 Sb.</w:t>
      </w:r>
    </w:p>
    <w:p w14:paraId="4C61F2F7" w14:textId="39962942" w:rsidR="000F4F30" w:rsidRPr="0059045E" w:rsidRDefault="0059045E" w:rsidP="00D25D0A">
      <w:pPr>
        <w:pStyle w:val="TextKP"/>
        <w:spacing w:after="120"/>
        <w:rPr>
          <w:b/>
          <w:bCs/>
          <w:i/>
          <w:color w:val="AF1953"/>
        </w:rPr>
      </w:pPr>
      <w:r w:rsidRPr="0059045E">
        <w:rPr>
          <w:b/>
          <w:i/>
          <w:color w:val="AF1953"/>
        </w:rPr>
        <w:t xml:space="preserve">→ </w:t>
      </w:r>
      <w:r w:rsidR="000F4F30" w:rsidRPr="0059045E">
        <w:rPr>
          <w:b/>
          <w:bCs/>
          <w:i/>
          <w:color w:val="AF1953"/>
        </w:rPr>
        <w:t xml:space="preserve">MŽP </w:t>
      </w:r>
      <w:r w:rsidR="006062AF" w:rsidRPr="0059045E">
        <w:rPr>
          <w:b/>
          <w:bCs/>
          <w:i/>
          <w:color w:val="AF1953"/>
        </w:rPr>
        <w:t>nerealizovalo výdaje</w:t>
      </w:r>
      <w:r w:rsidR="000F4F30" w:rsidRPr="0059045E">
        <w:rPr>
          <w:b/>
          <w:bCs/>
          <w:i/>
          <w:color w:val="AF1953"/>
        </w:rPr>
        <w:t xml:space="preserve"> ve výši odpovídající zákonem stanovené části výnosů z dražeb emisních povolenek.</w:t>
      </w:r>
    </w:p>
    <w:p w14:paraId="14D0645F" w14:textId="756845EF" w:rsidR="007A057C" w:rsidRPr="00C0338B" w:rsidRDefault="007A057C" w:rsidP="007A057C">
      <w:pPr>
        <w:pStyle w:val="TextKP"/>
        <w:rPr>
          <w:bCs/>
        </w:rPr>
      </w:pPr>
      <w:r w:rsidRPr="00C0338B">
        <w:rPr>
          <w:bCs/>
        </w:rPr>
        <w:t xml:space="preserve">Pro období </w:t>
      </w:r>
      <w:r w:rsidR="005A6618">
        <w:rPr>
          <w:bCs/>
        </w:rPr>
        <w:t xml:space="preserve">od zahájení programu NZÚ 115 280 (I. etapa NZÚ) </w:t>
      </w:r>
      <w:r w:rsidR="005A6618" w:rsidRPr="00E426FA">
        <w:rPr>
          <w:bCs/>
        </w:rPr>
        <w:t>do 30. 9. 2023</w:t>
      </w:r>
      <w:r w:rsidR="005A6618" w:rsidRPr="00C0338B">
        <w:rPr>
          <w:bCs/>
        </w:rPr>
        <w:t xml:space="preserve"> </w:t>
      </w:r>
      <w:r w:rsidR="005A6618">
        <w:rPr>
          <w:bCs/>
        </w:rPr>
        <w:t xml:space="preserve">byly </w:t>
      </w:r>
      <w:r w:rsidRPr="00C0338B">
        <w:rPr>
          <w:bCs/>
        </w:rPr>
        <w:t xml:space="preserve">rozpočtovány </w:t>
      </w:r>
      <w:r w:rsidR="005A6618">
        <w:rPr>
          <w:bCs/>
        </w:rPr>
        <w:t xml:space="preserve">na realizaci programu </w:t>
      </w:r>
      <w:r w:rsidRPr="00C0338B">
        <w:rPr>
          <w:bCs/>
        </w:rPr>
        <w:t>peněžní prostředky státního rozpočtu v celkové výši 19</w:t>
      </w:r>
      <w:r w:rsidR="00844B1D">
        <w:rPr>
          <w:bCs/>
        </w:rPr>
        <w:t>,2</w:t>
      </w:r>
      <w:r w:rsidR="0075614A">
        <w:rPr>
          <w:bCs/>
        </w:rPr>
        <w:t xml:space="preserve"> mld.</w:t>
      </w:r>
      <w:r w:rsidRPr="00C0338B">
        <w:rPr>
          <w:bCs/>
        </w:rPr>
        <w:t xml:space="preserve"> Kč</w:t>
      </w:r>
      <w:r w:rsidR="005A6618">
        <w:rPr>
          <w:bCs/>
        </w:rPr>
        <w:t xml:space="preserve">. MŽP </w:t>
      </w:r>
      <w:r w:rsidRPr="00C0338B">
        <w:rPr>
          <w:bCs/>
        </w:rPr>
        <w:t>skutečně vynalož</w:t>
      </w:r>
      <w:r w:rsidR="005A6618">
        <w:rPr>
          <w:bCs/>
        </w:rPr>
        <w:t xml:space="preserve">ilo </w:t>
      </w:r>
      <w:r w:rsidRPr="00C0338B">
        <w:rPr>
          <w:bCs/>
        </w:rPr>
        <w:t>peněžní prostředky v celkové výši 16</w:t>
      </w:r>
      <w:r w:rsidR="0075614A">
        <w:rPr>
          <w:bCs/>
        </w:rPr>
        <w:t>,4 mld.</w:t>
      </w:r>
      <w:r w:rsidRPr="00C0338B">
        <w:rPr>
          <w:bCs/>
        </w:rPr>
        <w:t xml:space="preserve"> Kč. Další cca 1,2</w:t>
      </w:r>
      <w:r>
        <w:rPr>
          <w:bCs/>
        </w:rPr>
        <w:t> </w:t>
      </w:r>
      <w:r w:rsidRPr="00C0338B">
        <w:rPr>
          <w:bCs/>
        </w:rPr>
        <w:t>mld.</w:t>
      </w:r>
      <w:r w:rsidR="0075614A">
        <w:rPr>
          <w:bCs/>
        </w:rPr>
        <w:t> </w:t>
      </w:r>
      <w:r w:rsidRPr="00C0338B">
        <w:rPr>
          <w:bCs/>
        </w:rPr>
        <w:t xml:space="preserve">Kč představovaly transfery jiným organizačním složkám státu v rámci podprogramu NZÚ 14+ </w:t>
      </w:r>
      <w:r w:rsidRPr="008A309A">
        <w:rPr>
          <w:bCs/>
          <w:i/>
        </w:rPr>
        <w:t>B</w:t>
      </w:r>
      <w:r w:rsidR="008A309A" w:rsidRPr="008A309A">
        <w:rPr>
          <w:bCs/>
          <w:i/>
        </w:rPr>
        <w:t>udovy veřejného sektoru</w:t>
      </w:r>
      <w:r w:rsidRPr="00C0338B">
        <w:rPr>
          <w:bCs/>
        </w:rPr>
        <w:t xml:space="preserve"> (tj. </w:t>
      </w:r>
      <w:r>
        <w:rPr>
          <w:bCs/>
        </w:rPr>
        <w:t xml:space="preserve">celkem </w:t>
      </w:r>
      <w:r w:rsidRPr="00C0338B">
        <w:rPr>
          <w:bCs/>
        </w:rPr>
        <w:t xml:space="preserve">cca 17,6 mld. Kč). MŽP však mělo realizovat výdaje na dodatečné financování činností </w:t>
      </w:r>
      <w:r w:rsidR="006062AF">
        <w:rPr>
          <w:bCs/>
        </w:rPr>
        <w:t>po</w:t>
      </w:r>
      <w:r w:rsidRPr="00C0338B">
        <w:rPr>
          <w:bCs/>
        </w:rPr>
        <w:t>dle § 7 odst. 4 zákona č. 383/2012 Sb. v celkové výši 36,</w:t>
      </w:r>
      <w:r w:rsidR="0075614A">
        <w:rPr>
          <w:bCs/>
        </w:rPr>
        <w:t>6</w:t>
      </w:r>
      <w:r w:rsidR="005A6618">
        <w:rPr>
          <w:bCs/>
        </w:rPr>
        <w:t> </w:t>
      </w:r>
      <w:r w:rsidRPr="00C0338B">
        <w:rPr>
          <w:bCs/>
        </w:rPr>
        <w:t>mld. Kč.</w:t>
      </w:r>
    </w:p>
    <w:p w14:paraId="2D1C8CB0" w14:textId="77777777" w:rsidR="003323C3" w:rsidRDefault="006062AF" w:rsidP="007A3ECB">
      <w:pPr>
        <w:pStyle w:val="TextKP"/>
        <w:rPr>
          <w:lang w:eastAsia="cs-CZ"/>
        </w:rPr>
      </w:pPr>
      <w:r>
        <w:t>P</w:t>
      </w:r>
      <w:r w:rsidR="00CB18DF" w:rsidRPr="00C0338B">
        <w:t xml:space="preserve">říjem z prodeje emisních povolenek </w:t>
      </w:r>
      <w:r>
        <w:t>v kontrolovaných letech 2020 až 2022</w:t>
      </w:r>
      <w:r w:rsidR="00CB18DF" w:rsidRPr="00C0338B">
        <w:t xml:space="preserve"> činil 50</w:t>
      </w:r>
      <w:r w:rsidR="0075614A">
        <w:t>,8</w:t>
      </w:r>
      <w:r>
        <w:t> </w:t>
      </w:r>
      <w:r w:rsidR="00CB18DF" w:rsidRPr="00C0338B">
        <w:t>mld. Kč.</w:t>
      </w:r>
      <w:r w:rsidR="007A057C">
        <w:t xml:space="preserve"> </w:t>
      </w:r>
      <w:r w:rsidR="007A057C" w:rsidRPr="00C0338B">
        <w:rPr>
          <w:lang w:eastAsia="cs-CZ"/>
        </w:rPr>
        <w:t>MŽP bylo podle § 7 odst. 6 zákona č. 383/2012 Sb.</w:t>
      </w:r>
      <w:r w:rsidR="007A057C">
        <w:rPr>
          <w:lang w:eastAsia="cs-CZ"/>
        </w:rPr>
        <w:t xml:space="preserve"> </w:t>
      </w:r>
      <w:r w:rsidR="007A057C" w:rsidRPr="00C0338B">
        <w:rPr>
          <w:lang w:eastAsia="cs-CZ"/>
        </w:rPr>
        <w:t>oprávněno nakládat na základě výsledků dražeb emisních povolenek</w:t>
      </w:r>
      <w:r w:rsidR="007A057C">
        <w:rPr>
          <w:lang w:eastAsia="cs-CZ"/>
        </w:rPr>
        <w:t xml:space="preserve"> v kontrolovaných letech s výnosy ve výši </w:t>
      </w:r>
      <w:r w:rsidR="00CB18DF" w:rsidRPr="00C0338B">
        <w:rPr>
          <w:lang w:eastAsia="cs-CZ"/>
        </w:rPr>
        <w:t>14 mld. Kč.</w:t>
      </w:r>
    </w:p>
    <w:p w14:paraId="13FB6CB4" w14:textId="2CCB912F" w:rsidR="00CB18DF" w:rsidRPr="003323C3" w:rsidRDefault="00FA61F6" w:rsidP="003323C3">
      <w:pPr>
        <w:pStyle w:val="TextKP"/>
        <w:keepNext/>
        <w:rPr>
          <w:b/>
          <w:lang w:eastAsia="cs-CZ"/>
        </w:rPr>
      </w:pPr>
      <w:r w:rsidRPr="003323C3">
        <w:rPr>
          <w:b/>
        </w:rPr>
        <w:lastRenderedPageBreak/>
        <w:t xml:space="preserve">Graf č. </w:t>
      </w:r>
      <w:r w:rsidR="00997592">
        <w:rPr>
          <w:b/>
        </w:rPr>
        <w:t>2</w:t>
      </w:r>
      <w:r w:rsidRPr="003323C3">
        <w:rPr>
          <w:b/>
        </w:rPr>
        <w:t xml:space="preserve">: </w:t>
      </w:r>
      <w:r w:rsidR="00CB18DF" w:rsidRPr="003323C3">
        <w:rPr>
          <w:b/>
        </w:rPr>
        <w:t>Příjmy z dražeb emisních povolenek a podíl programu NZÚ</w:t>
      </w:r>
      <w:r w:rsidR="00DB05D5" w:rsidRPr="003323C3">
        <w:rPr>
          <w:b/>
        </w:rPr>
        <w:t xml:space="preserve"> v letech 2020 až 2022</w:t>
      </w:r>
    </w:p>
    <w:p w14:paraId="2485D99B" w14:textId="3A29739D" w:rsidR="008220CA" w:rsidRDefault="00296D21" w:rsidP="00955553">
      <w:pPr>
        <w:pStyle w:val="Zdrojeapozn"/>
      </w:pPr>
      <w:r w:rsidRPr="00F97349">
        <w:rPr>
          <w:noProof/>
        </w:rPr>
        <w:drawing>
          <wp:inline distT="0" distB="0" distL="0" distR="0" wp14:anchorId="634513CB" wp14:editId="6C1530B4">
            <wp:extent cx="5616054" cy="5268144"/>
            <wp:effectExtent l="0" t="0" r="381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44851" cy="5295157"/>
                    </a:xfrm>
                    <a:prstGeom prst="rect">
                      <a:avLst/>
                    </a:prstGeom>
                  </pic:spPr>
                </pic:pic>
              </a:graphicData>
            </a:graphic>
          </wp:inline>
        </w:drawing>
      </w:r>
    </w:p>
    <w:p w14:paraId="5AEDC9C7" w14:textId="0219E302" w:rsidR="00CB18DF" w:rsidRPr="00197C6F" w:rsidRDefault="00CB18DF" w:rsidP="00955553">
      <w:pPr>
        <w:pStyle w:val="Zdrojeapozn"/>
        <w:rPr>
          <w:b w:val="0"/>
        </w:rPr>
      </w:pPr>
      <w:r w:rsidRPr="00F13367">
        <w:t>Zdroj:</w:t>
      </w:r>
      <w:r w:rsidR="00F76A63">
        <w:t xml:space="preserve"> </w:t>
      </w:r>
      <w:r w:rsidR="00A3224D" w:rsidRPr="00197C6F">
        <w:rPr>
          <w:b w:val="0"/>
        </w:rPr>
        <w:t>z</w:t>
      </w:r>
      <w:r w:rsidRPr="00197C6F">
        <w:rPr>
          <w:b w:val="0"/>
        </w:rPr>
        <w:t>ávěrečn</w:t>
      </w:r>
      <w:r w:rsidR="00A3224D" w:rsidRPr="00197C6F">
        <w:rPr>
          <w:b w:val="0"/>
        </w:rPr>
        <w:t>é</w:t>
      </w:r>
      <w:r w:rsidRPr="00197C6F">
        <w:rPr>
          <w:b w:val="0"/>
        </w:rPr>
        <w:t xml:space="preserve"> účt</w:t>
      </w:r>
      <w:r w:rsidR="00A3224D" w:rsidRPr="00197C6F">
        <w:rPr>
          <w:b w:val="0"/>
        </w:rPr>
        <w:t>y</w:t>
      </w:r>
      <w:r w:rsidRPr="00197C6F">
        <w:rPr>
          <w:b w:val="0"/>
        </w:rPr>
        <w:t xml:space="preserve"> kapitoly 315 – MŽP za rok</w:t>
      </w:r>
      <w:r w:rsidR="00A3224D" w:rsidRPr="00197C6F">
        <w:rPr>
          <w:b w:val="0"/>
        </w:rPr>
        <w:t>y</w:t>
      </w:r>
      <w:r w:rsidRPr="00197C6F">
        <w:rPr>
          <w:b w:val="0"/>
        </w:rPr>
        <w:t xml:space="preserve"> 2020, 2021, 2022, informace MŽP, v</w:t>
      </w:r>
      <w:r w:rsidR="00A3224D" w:rsidRPr="00197C6F">
        <w:rPr>
          <w:b w:val="0"/>
        </w:rPr>
        <w:t>ypracoval</w:t>
      </w:r>
      <w:r w:rsidRPr="00197C6F">
        <w:rPr>
          <w:b w:val="0"/>
        </w:rPr>
        <w:t xml:space="preserve"> NKÚ.</w:t>
      </w:r>
    </w:p>
    <w:p w14:paraId="6F62C669" w14:textId="5CC3FD39" w:rsidR="00CB18DF" w:rsidRDefault="00CB18DF" w:rsidP="00CB18DF">
      <w:pPr>
        <w:pStyle w:val="TextKP"/>
        <w:spacing w:before="0"/>
        <w:rPr>
          <w:bCs/>
          <w:sz w:val="20"/>
          <w:szCs w:val="20"/>
        </w:rPr>
      </w:pPr>
      <w:r w:rsidRPr="00F76A63">
        <w:rPr>
          <w:b/>
          <w:bCs/>
          <w:sz w:val="20"/>
          <w:szCs w:val="20"/>
        </w:rPr>
        <w:t>Vysvětlivka:</w:t>
      </w:r>
      <w:r w:rsidRPr="00C0338B">
        <w:rPr>
          <w:bCs/>
          <w:sz w:val="20"/>
          <w:szCs w:val="20"/>
        </w:rPr>
        <w:t> EUA – obecné emisní povolenky</w:t>
      </w:r>
      <w:r w:rsidR="00E74896">
        <w:rPr>
          <w:bCs/>
          <w:sz w:val="20"/>
          <w:szCs w:val="20"/>
        </w:rPr>
        <w:t>.</w:t>
      </w:r>
    </w:p>
    <w:p w14:paraId="5D31FA97" w14:textId="1F935FB9" w:rsidR="00CB18DF" w:rsidRDefault="00CB18DF" w:rsidP="00CB18DF">
      <w:pPr>
        <w:pStyle w:val="TextKP"/>
        <w:rPr>
          <w:b/>
        </w:rPr>
      </w:pPr>
      <w:r w:rsidRPr="00C0338B">
        <w:rPr>
          <w:b/>
        </w:rPr>
        <w:t>V kontrolovaném období let 2020 až 2022 byly</w:t>
      </w:r>
      <w:r w:rsidR="001D4D85">
        <w:rPr>
          <w:b/>
        </w:rPr>
        <w:t xml:space="preserve"> MŽP</w:t>
      </w:r>
      <w:r w:rsidRPr="00C0338B">
        <w:rPr>
          <w:b/>
        </w:rPr>
        <w:t xml:space="preserve"> na program NZÚ 115 280 rozpočtovány peněžní prostředky státního rozpočtu v celkové výši 3</w:t>
      </w:r>
      <w:r w:rsidR="001D4D85">
        <w:rPr>
          <w:b/>
        </w:rPr>
        <w:t>,</w:t>
      </w:r>
      <w:r w:rsidRPr="00C0338B">
        <w:rPr>
          <w:b/>
        </w:rPr>
        <w:t>1</w:t>
      </w:r>
      <w:r w:rsidR="001D4D85">
        <w:rPr>
          <w:b/>
        </w:rPr>
        <w:t xml:space="preserve"> mld. Kč</w:t>
      </w:r>
      <w:r w:rsidR="007F5468">
        <w:rPr>
          <w:b/>
        </w:rPr>
        <w:t xml:space="preserve">. </w:t>
      </w:r>
      <w:r w:rsidR="007F5468" w:rsidRPr="00C0338B">
        <w:rPr>
          <w:b/>
        </w:rPr>
        <w:t xml:space="preserve">MŽP </w:t>
      </w:r>
      <w:r w:rsidR="007F5468">
        <w:rPr>
          <w:b/>
        </w:rPr>
        <w:t>v</w:t>
      </w:r>
      <w:r w:rsidR="007F5468" w:rsidRPr="00C0338B">
        <w:rPr>
          <w:b/>
        </w:rPr>
        <w:t>ynaložilo</w:t>
      </w:r>
      <w:r w:rsidR="007F5468">
        <w:rPr>
          <w:b/>
        </w:rPr>
        <w:t xml:space="preserve"> </w:t>
      </w:r>
      <w:r w:rsidR="001D4D85">
        <w:rPr>
          <w:b/>
        </w:rPr>
        <w:t xml:space="preserve">v rámci programu NZÚ </w:t>
      </w:r>
      <w:r w:rsidR="007F5468">
        <w:rPr>
          <w:b/>
        </w:rPr>
        <w:t xml:space="preserve">v letech 2020 až 2022 </w:t>
      </w:r>
      <w:r w:rsidRPr="00C0338B">
        <w:rPr>
          <w:b/>
        </w:rPr>
        <w:t>peněžní prostředky v celkové výši 8</w:t>
      </w:r>
      <w:r w:rsidR="001D4D85">
        <w:rPr>
          <w:b/>
        </w:rPr>
        <w:t>,</w:t>
      </w:r>
      <w:r w:rsidR="0075614A">
        <w:rPr>
          <w:b/>
        </w:rPr>
        <w:t>6</w:t>
      </w:r>
      <w:r w:rsidR="001D4D85">
        <w:rPr>
          <w:b/>
        </w:rPr>
        <w:t xml:space="preserve"> mld.</w:t>
      </w:r>
      <w:r w:rsidRPr="00C0338B">
        <w:rPr>
          <w:b/>
        </w:rPr>
        <w:t xml:space="preserve"> Kč</w:t>
      </w:r>
      <w:r w:rsidR="001D4D85">
        <w:rPr>
          <w:rStyle w:val="Znakapoznpodarou"/>
          <w:b/>
        </w:rPr>
        <w:footnoteReference w:id="31"/>
      </w:r>
      <w:r w:rsidR="00C20F35">
        <w:rPr>
          <w:b/>
        </w:rPr>
        <w:t xml:space="preserve"> </w:t>
      </w:r>
      <w:r w:rsidR="005A6618">
        <w:rPr>
          <w:b/>
        </w:rPr>
        <w:t xml:space="preserve">včetně zapojených </w:t>
      </w:r>
      <w:r w:rsidR="005A6618" w:rsidRPr="00C0338B">
        <w:rPr>
          <w:b/>
        </w:rPr>
        <w:t xml:space="preserve">nároků z nespotřebovaných výdajů </w:t>
      </w:r>
      <w:r w:rsidR="005A6618">
        <w:rPr>
          <w:b/>
        </w:rPr>
        <w:t xml:space="preserve">z předešlých let. </w:t>
      </w:r>
      <w:r w:rsidR="00C20F35">
        <w:rPr>
          <w:b/>
        </w:rPr>
        <w:t xml:space="preserve">MŽP </w:t>
      </w:r>
      <w:r w:rsidR="00FA2610">
        <w:rPr>
          <w:b/>
        </w:rPr>
        <w:t xml:space="preserve">nerealizovalo </w:t>
      </w:r>
      <w:r w:rsidR="005A6618" w:rsidRPr="00C20F35">
        <w:rPr>
          <w:b/>
        </w:rPr>
        <w:t>v období let 2020 až 2022</w:t>
      </w:r>
      <w:r w:rsidR="005A6618">
        <w:rPr>
          <w:b/>
        </w:rPr>
        <w:t xml:space="preserve"> </w:t>
      </w:r>
      <w:r w:rsidR="00C20F35">
        <w:rPr>
          <w:b/>
        </w:rPr>
        <w:t>p</w:t>
      </w:r>
      <w:r w:rsidR="00C20F35" w:rsidRPr="00C20F35">
        <w:rPr>
          <w:b/>
        </w:rPr>
        <w:t>rostřednictvím programu NZÚ</w:t>
      </w:r>
      <w:r w:rsidR="005A6618">
        <w:rPr>
          <w:b/>
        </w:rPr>
        <w:t xml:space="preserve"> 115 280 </w:t>
      </w:r>
      <w:r w:rsidR="00C20F35" w:rsidRPr="00C20F35">
        <w:rPr>
          <w:b/>
        </w:rPr>
        <w:t xml:space="preserve">výdaje ve výši odpovídající zákonem stanovené části výnosů z dražeb emisních povolenek. MŽP vynaložilo o 5,4 mld. Kč méně, než mělo </w:t>
      </w:r>
      <w:r w:rsidR="009530CA">
        <w:rPr>
          <w:b/>
        </w:rPr>
        <w:t xml:space="preserve">použit. </w:t>
      </w:r>
      <w:r w:rsidR="001D4D85">
        <w:rPr>
          <w:b/>
        </w:rPr>
        <w:t>MŽP uvedeným způsobem nepostupovalo v souladu s</w:t>
      </w:r>
      <w:r w:rsidR="00F76A63">
        <w:rPr>
          <w:b/>
        </w:rPr>
        <w:t> </w:t>
      </w:r>
      <w:r w:rsidR="00DC10FA">
        <w:rPr>
          <w:b/>
        </w:rPr>
        <w:t>ustanovením</w:t>
      </w:r>
      <w:r w:rsidR="00F76A63">
        <w:rPr>
          <w:b/>
        </w:rPr>
        <w:t xml:space="preserve"> </w:t>
      </w:r>
      <w:r w:rsidR="001D4D85">
        <w:rPr>
          <w:b/>
        </w:rPr>
        <w:t>§</w:t>
      </w:r>
      <w:r w:rsidR="00F76A63">
        <w:rPr>
          <w:b/>
        </w:rPr>
        <w:t> </w:t>
      </w:r>
      <w:r w:rsidR="001D4D85">
        <w:rPr>
          <w:b/>
        </w:rPr>
        <w:t>7 odst. 6 zákona č. 383/2012 Sb.</w:t>
      </w:r>
    </w:p>
    <w:p w14:paraId="54F5C351" w14:textId="443D0538" w:rsidR="00CB18DF" w:rsidRPr="00C0338B" w:rsidRDefault="00CB18DF" w:rsidP="00CB18DF">
      <w:pPr>
        <w:pStyle w:val="TextKP"/>
        <w:rPr>
          <w:bCs/>
        </w:rPr>
      </w:pPr>
      <w:r w:rsidRPr="00C0338B">
        <w:rPr>
          <w:bCs/>
        </w:rPr>
        <w:t>Dle důvodové zprávy k novele zákona č. 383/2012 Sb.</w:t>
      </w:r>
      <w:r w:rsidRPr="00C0338B">
        <w:rPr>
          <w:rStyle w:val="Znakapoznpodarou"/>
          <w:bCs/>
        </w:rPr>
        <w:footnoteReference w:id="32"/>
      </w:r>
      <w:r w:rsidRPr="00C0338B">
        <w:rPr>
          <w:bCs/>
        </w:rPr>
        <w:t xml:space="preserve"> měla vláda cílit na co nejvyšší využití výnosů z dražeb na účelově vázané výdaje pro financování opatření ke snižování emisí </w:t>
      </w:r>
      <w:r w:rsidRPr="00C0338B">
        <w:rPr>
          <w:bCs/>
        </w:rPr>
        <w:lastRenderedPageBreak/>
        <w:t xml:space="preserve">skleníkových plynů, zvyšování energetické účinnosti a k rozvoji </w:t>
      </w:r>
      <w:r w:rsidR="00383106">
        <w:rPr>
          <w:bCs/>
        </w:rPr>
        <w:t>obnovitelných zdrojů energie</w:t>
      </w:r>
      <w:r w:rsidRPr="00C0338B">
        <w:rPr>
          <w:bCs/>
        </w:rPr>
        <w:t>. Účelově vázané výnosy neměly sloužit jako obecný příjem státu k financování běžných výdajů.</w:t>
      </w:r>
    </w:p>
    <w:p w14:paraId="7352CF2B" w14:textId="7CB2DF38" w:rsidR="00CB18DF" w:rsidRDefault="00847EA8" w:rsidP="00CB18DF">
      <w:pPr>
        <w:pStyle w:val="TextKP"/>
        <w:rPr>
          <w:bCs/>
        </w:rPr>
      </w:pPr>
      <w:r>
        <w:rPr>
          <w:bCs/>
          <w:noProof/>
        </w:rPr>
        <w:t>P</w:t>
      </w:r>
      <w:r w:rsidR="00FF38DC" w:rsidRPr="00FF38DC">
        <w:rPr>
          <w:bCs/>
          <w:noProof/>
        </w:rPr>
        <w:t>říjem žádostí v rámci programu NZÚ 115 280 byl ukončen ke dni 11. 10. 2021. MŽP od 12.</w:t>
      </w:r>
      <w:r>
        <w:rPr>
          <w:bCs/>
          <w:noProof/>
        </w:rPr>
        <w:t> </w:t>
      </w:r>
      <w:r w:rsidR="00FF38DC" w:rsidRPr="00FF38DC">
        <w:rPr>
          <w:bCs/>
          <w:noProof/>
        </w:rPr>
        <w:t>10.</w:t>
      </w:r>
      <w:r>
        <w:rPr>
          <w:bCs/>
          <w:noProof/>
        </w:rPr>
        <w:t> </w:t>
      </w:r>
      <w:r w:rsidR="00FF38DC" w:rsidRPr="00FF38DC">
        <w:rPr>
          <w:bCs/>
          <w:noProof/>
        </w:rPr>
        <w:t>2021 proplácí výdaje související s postupným ukončováním podpořených projektů, které musí být ukončeny nejpozději do 31. 8. 2024</w:t>
      </w:r>
      <w:r w:rsidR="00CB18DF" w:rsidRPr="00FF38DC">
        <w:rPr>
          <w:bCs/>
        </w:rPr>
        <w:t>.</w:t>
      </w:r>
    </w:p>
    <w:p w14:paraId="4A07493D" w14:textId="113B9394" w:rsidR="006062AF" w:rsidRPr="006062AF" w:rsidRDefault="00847EA8" w:rsidP="00CB18DF">
      <w:pPr>
        <w:pStyle w:val="TextKP"/>
        <w:rPr>
          <w:b/>
        </w:rPr>
      </w:pPr>
      <w:r>
        <w:rPr>
          <w:b/>
        </w:rPr>
        <w:t xml:space="preserve">NKÚ kontrolou zjistil, že </w:t>
      </w:r>
      <w:r w:rsidR="006062AF" w:rsidRPr="006062AF">
        <w:rPr>
          <w:b/>
        </w:rPr>
        <w:t>MŽP ne</w:t>
      </w:r>
      <w:r w:rsidR="002F3B4E">
        <w:rPr>
          <w:b/>
        </w:rPr>
        <w:t>přijalo</w:t>
      </w:r>
      <w:r w:rsidR="006062AF" w:rsidRPr="006062AF">
        <w:rPr>
          <w:b/>
        </w:rPr>
        <w:t xml:space="preserve"> do doby ukončení kontroly NKÚ žádný navazující program</w:t>
      </w:r>
      <w:r>
        <w:rPr>
          <w:b/>
        </w:rPr>
        <w:t>,</w:t>
      </w:r>
      <w:r w:rsidR="006062AF" w:rsidRPr="006062AF">
        <w:rPr>
          <w:b/>
        </w:rPr>
        <w:t xml:space="preserve"> v </w:t>
      </w:r>
      <w:r w:rsidR="00B02ED2">
        <w:rPr>
          <w:b/>
        </w:rPr>
        <w:t xml:space="preserve">jehož </w:t>
      </w:r>
      <w:r w:rsidR="006062AF" w:rsidRPr="006062AF">
        <w:rPr>
          <w:b/>
        </w:rPr>
        <w:t>rámci bude dále realizovat výdaje</w:t>
      </w:r>
      <w:r w:rsidR="006062AF" w:rsidRPr="006062AF">
        <w:rPr>
          <w:b/>
          <w:bCs/>
        </w:rPr>
        <w:t xml:space="preserve"> ve výši odpovídající zákonem stanovené části výnosů z dražeb emisních povolenek</w:t>
      </w:r>
      <w:r w:rsidR="006062AF" w:rsidRPr="006062AF">
        <w:rPr>
          <w:b/>
        </w:rPr>
        <w:t>. MŽP tak nezajistilo plnění povinnosti vyplývající z § 7 odst. 6 zákona č.</w:t>
      </w:r>
      <w:r w:rsidR="00C20F35">
        <w:rPr>
          <w:b/>
        </w:rPr>
        <w:t> </w:t>
      </w:r>
      <w:r w:rsidR="006062AF" w:rsidRPr="006062AF">
        <w:rPr>
          <w:b/>
        </w:rPr>
        <w:t>383/2012 Sb.</w:t>
      </w:r>
    </w:p>
    <w:p w14:paraId="566171BE" w14:textId="773B7EA8" w:rsidR="001772BC" w:rsidRDefault="004B449F" w:rsidP="0019017B">
      <w:pPr>
        <w:pStyle w:val="TextKP"/>
        <w:rPr>
          <w:bCs/>
          <w:i/>
          <w:color w:val="000000" w:themeColor="text1"/>
        </w:rPr>
      </w:pPr>
      <w:bookmarkStart w:id="20" w:name="_Hlk148544610"/>
      <w:r w:rsidRPr="00C0338B">
        <w:rPr>
          <w:bCs/>
        </w:rPr>
        <w:t xml:space="preserve">NKÚ již v kontrolním závěru z kontrolní akce č. 20/05 </w:t>
      </w:r>
      <w:r w:rsidR="00B02ED2">
        <w:rPr>
          <w:bCs/>
        </w:rPr>
        <w:t>–</w:t>
      </w:r>
      <w:r w:rsidRPr="00C0338B">
        <w:rPr>
          <w:bCs/>
        </w:rPr>
        <w:t xml:space="preserve"> </w:t>
      </w:r>
      <w:r w:rsidRPr="00C0338B">
        <w:rPr>
          <w:bCs/>
          <w:i/>
          <w:color w:val="000000" w:themeColor="text1"/>
        </w:rPr>
        <w:t>Podpora energetických úspor u veřejných budov</w:t>
      </w:r>
      <w:r>
        <w:rPr>
          <w:bCs/>
          <w:i/>
          <w:color w:val="000000" w:themeColor="text1"/>
        </w:rPr>
        <w:t xml:space="preserve"> </w:t>
      </w:r>
      <w:r>
        <w:rPr>
          <w:bCs/>
          <w:color w:val="000000" w:themeColor="text1"/>
        </w:rPr>
        <w:t>upozornil n</w:t>
      </w:r>
      <w:r w:rsidR="00CB18DF" w:rsidRPr="00C0338B">
        <w:rPr>
          <w:bCs/>
        </w:rPr>
        <w:t>a nedodržování výše výdajů realizovaných MŽP v rámci programu NZÚ 115 280 z hlediska účelově vázaného výnosu z dražeb emisních povolenek dle zákona č. 383/2012 Sb.</w:t>
      </w:r>
      <w:bookmarkEnd w:id="20"/>
    </w:p>
    <w:p w14:paraId="2E6A01D9" w14:textId="77777777" w:rsidR="00D034B5" w:rsidRDefault="00D034B5">
      <w:pPr>
        <w:rPr>
          <w:rFonts w:cstheme="minorHAnsi"/>
          <w:b/>
        </w:rPr>
      </w:pPr>
      <w:bookmarkStart w:id="21" w:name="_Hlk162252505"/>
      <w:r>
        <w:br w:type="page"/>
      </w:r>
    </w:p>
    <w:p w14:paraId="717253E3" w14:textId="3DEFAA6E" w:rsidR="003006D9" w:rsidRPr="00F57D3A" w:rsidRDefault="003006D9" w:rsidP="00522022">
      <w:pPr>
        <w:pStyle w:val="Nadpis1"/>
        <w:numPr>
          <w:ilvl w:val="0"/>
          <w:numId w:val="0"/>
        </w:numPr>
        <w:spacing w:before="240"/>
        <w:ind w:left="431" w:hanging="431"/>
      </w:pPr>
      <w:r w:rsidRPr="00F57D3A">
        <w:lastRenderedPageBreak/>
        <w:t>Seznam zkratek a pojmů</w:t>
      </w:r>
    </w:p>
    <w:bookmarkEnd w:id="21"/>
    <w:p w14:paraId="676E2B39" w14:textId="4756A319" w:rsidR="00AF59FE" w:rsidRPr="00AF59FE" w:rsidRDefault="00AF59FE" w:rsidP="00AF59FE">
      <w:pPr>
        <w:pStyle w:val="Text"/>
        <w:spacing w:before="0"/>
        <w:ind w:left="1701" w:hanging="1701"/>
      </w:pPr>
      <w:proofErr w:type="spellStart"/>
      <w:r w:rsidRPr="00AF59FE">
        <w:t>kt</w:t>
      </w:r>
      <w:proofErr w:type="spellEnd"/>
      <w:r w:rsidRPr="00AF59FE">
        <w:tab/>
      </w:r>
      <w:r w:rsidR="00B02ED2">
        <w:t>k</w:t>
      </w:r>
      <w:r w:rsidRPr="00AF59FE">
        <w:t>ilotuna</w:t>
      </w:r>
    </w:p>
    <w:p w14:paraId="087D1382" w14:textId="61BBD983" w:rsidR="00AF59FE" w:rsidRPr="00AF59FE" w:rsidRDefault="00AF59FE" w:rsidP="00AF59FE">
      <w:pPr>
        <w:pStyle w:val="Text"/>
        <w:spacing w:before="0"/>
        <w:ind w:left="1701" w:hanging="1701"/>
      </w:pPr>
      <w:r w:rsidRPr="00AF59FE">
        <w:t>µg/m</w:t>
      </w:r>
      <w:r w:rsidRPr="00AF59FE">
        <w:rPr>
          <w:vertAlign w:val="superscript"/>
        </w:rPr>
        <w:t>3</w:t>
      </w:r>
      <w:r w:rsidRPr="00AF59FE">
        <w:tab/>
      </w:r>
      <w:r w:rsidR="00B02ED2">
        <w:t>m</w:t>
      </w:r>
      <w:r w:rsidRPr="00AF59FE">
        <w:t>ikrogram na metr krychlový (měrná jednotka koncentrace znečišťujících látky ve vzduchu)</w:t>
      </w:r>
    </w:p>
    <w:p w14:paraId="416227FC" w14:textId="7E9451D9" w:rsidR="00AF59FE" w:rsidRPr="00AF59FE" w:rsidRDefault="00AF59FE" w:rsidP="00AF59FE">
      <w:pPr>
        <w:pStyle w:val="Text"/>
        <w:spacing w:before="0"/>
        <w:ind w:left="1701" w:hanging="1701"/>
        <w:jc w:val="left"/>
      </w:pPr>
      <w:r w:rsidRPr="00AF59FE">
        <w:t>µm</w:t>
      </w:r>
      <w:r w:rsidRPr="00AF59FE">
        <w:tab/>
      </w:r>
      <w:r w:rsidR="00B02ED2">
        <w:t>m</w:t>
      </w:r>
      <w:r w:rsidRPr="00AF59FE">
        <w:t>ikrometr</w:t>
      </w:r>
    </w:p>
    <w:p w14:paraId="6DA4CC81" w14:textId="1B14FB2E" w:rsidR="00AF59FE" w:rsidRPr="00AF59FE" w:rsidRDefault="00AF59FE" w:rsidP="00AF59FE">
      <w:pPr>
        <w:pStyle w:val="Text"/>
        <w:spacing w:before="0"/>
        <w:ind w:left="1701" w:hanging="1701"/>
      </w:pPr>
      <w:proofErr w:type="spellStart"/>
      <w:r w:rsidRPr="00AF59FE">
        <w:t>ng</w:t>
      </w:r>
      <w:proofErr w:type="spellEnd"/>
      <w:r w:rsidRPr="00AF59FE">
        <w:t>/m</w:t>
      </w:r>
      <w:r w:rsidRPr="00AF59FE">
        <w:rPr>
          <w:vertAlign w:val="superscript"/>
        </w:rPr>
        <w:t>3</w:t>
      </w:r>
      <w:r w:rsidRPr="00AF59FE">
        <w:tab/>
      </w:r>
      <w:r w:rsidR="00B02ED2">
        <w:t>n</w:t>
      </w:r>
      <w:r w:rsidRPr="00AF59FE">
        <w:t xml:space="preserve">anogram na metr krychlový (měrná jednotka koncentrace znečišťující látky ve vzduchu) </w:t>
      </w:r>
    </w:p>
    <w:p w14:paraId="66466886" w14:textId="0EF4C53E" w:rsidR="00AF59FE" w:rsidRPr="00AF59FE" w:rsidRDefault="00AF59FE" w:rsidP="00AF59FE">
      <w:pPr>
        <w:pStyle w:val="Text"/>
        <w:spacing w:before="0"/>
        <w:ind w:left="1701" w:hanging="1701"/>
        <w:jc w:val="left"/>
      </w:pPr>
      <w:r w:rsidRPr="00AF59FE">
        <w:t>AMO</w:t>
      </w:r>
      <w:r w:rsidRPr="00AF59FE">
        <w:tab/>
      </w:r>
      <w:r w:rsidR="00B02ED2">
        <w:t>p</w:t>
      </w:r>
      <w:r w:rsidRPr="00AF59FE">
        <w:t xml:space="preserve">odprogram </w:t>
      </w:r>
      <w:r w:rsidRPr="002F3B4E">
        <w:rPr>
          <w:i/>
        </w:rPr>
        <w:t xml:space="preserve">Adaptační a </w:t>
      </w:r>
      <w:proofErr w:type="spellStart"/>
      <w:r w:rsidRPr="002F3B4E">
        <w:rPr>
          <w:i/>
        </w:rPr>
        <w:t>mitigační</w:t>
      </w:r>
      <w:proofErr w:type="spellEnd"/>
      <w:r w:rsidRPr="002F3B4E">
        <w:rPr>
          <w:i/>
        </w:rPr>
        <w:t xml:space="preserve"> opatření </w:t>
      </w:r>
      <w:r w:rsidRPr="00AF59FE">
        <w:t xml:space="preserve">programu </w:t>
      </w:r>
      <w:r w:rsidRPr="002F3B4E">
        <w:rPr>
          <w:i/>
        </w:rPr>
        <w:t>Nová zelená úsporám</w:t>
      </w:r>
    </w:p>
    <w:p w14:paraId="3624B9AB" w14:textId="5F3F9178" w:rsidR="00AF59FE" w:rsidRPr="00AF59FE" w:rsidRDefault="00A32942" w:rsidP="00AF59FE">
      <w:pPr>
        <w:pStyle w:val="Text"/>
        <w:spacing w:before="0"/>
        <w:ind w:left="1701" w:hanging="1701"/>
        <w:jc w:val="left"/>
      </w:pPr>
      <w:r>
        <w:t>B(a)P</w:t>
      </w:r>
      <w:r w:rsidR="00AF59FE" w:rsidRPr="00AF59FE">
        <w:tab/>
      </w:r>
      <w:proofErr w:type="spellStart"/>
      <w:r w:rsidR="00B02ED2">
        <w:t>b</w:t>
      </w:r>
      <w:r w:rsidR="00AF59FE" w:rsidRPr="00AF59FE">
        <w:t>enzo</w:t>
      </w:r>
      <w:proofErr w:type="spellEnd"/>
      <w:r>
        <w:t>(</w:t>
      </w:r>
      <w:r w:rsidR="00AF59FE" w:rsidRPr="00AF59FE">
        <w:t>a</w:t>
      </w:r>
      <w:r>
        <w:t>)</w:t>
      </w:r>
      <w:r w:rsidR="00AF59FE" w:rsidRPr="00AF59FE">
        <w:t>pyren</w:t>
      </w:r>
    </w:p>
    <w:p w14:paraId="666CA418" w14:textId="172A14DF" w:rsidR="00A3224D" w:rsidRDefault="00A3224D" w:rsidP="00AF59FE">
      <w:pPr>
        <w:pStyle w:val="TextKP"/>
        <w:tabs>
          <w:tab w:val="left" w:pos="2410"/>
        </w:tabs>
        <w:spacing w:before="0"/>
        <w:ind w:left="1701" w:hanging="1701"/>
        <w:rPr>
          <w:rFonts w:ascii="Calibri" w:hAnsi="Calibri" w:cs="Calibri"/>
        </w:rPr>
      </w:pPr>
      <w:r>
        <w:rPr>
          <w:rFonts w:ascii="Calibri" w:hAnsi="Calibri" w:cs="Calibri"/>
        </w:rPr>
        <w:t>BVS</w:t>
      </w:r>
      <w:r>
        <w:rPr>
          <w:rFonts w:ascii="Calibri" w:hAnsi="Calibri" w:cs="Calibri"/>
        </w:rPr>
        <w:tab/>
      </w:r>
      <w:r w:rsidR="00B02ED2" w:rsidRPr="00B02ED2">
        <w:rPr>
          <w:rFonts w:ascii="Calibri" w:hAnsi="Calibri" w:cs="Calibri"/>
        </w:rPr>
        <w:t xml:space="preserve">podprogram NZÚ 14+ </w:t>
      </w:r>
      <w:r w:rsidR="00B02ED2" w:rsidRPr="00B02ED2">
        <w:rPr>
          <w:rFonts w:ascii="Calibri" w:hAnsi="Calibri" w:cs="Calibri"/>
          <w:i/>
        </w:rPr>
        <w:t>Budovy veřejného sektoru</w:t>
      </w:r>
    </w:p>
    <w:p w14:paraId="51306BB5" w14:textId="705E22DE"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ČHMÚ</w:t>
      </w:r>
      <w:r w:rsidRPr="00AF59FE">
        <w:rPr>
          <w:rFonts w:ascii="Calibri" w:hAnsi="Calibri" w:cs="Calibri"/>
        </w:rPr>
        <w:tab/>
        <w:t>Český hydrometeorologický ústav</w:t>
      </w:r>
    </w:p>
    <w:p w14:paraId="49A0DCB7" w14:textId="77777777"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ČR</w:t>
      </w:r>
      <w:r w:rsidRPr="00AF59FE">
        <w:rPr>
          <w:rFonts w:ascii="Calibri" w:hAnsi="Calibri" w:cs="Calibri"/>
        </w:rPr>
        <w:tab/>
        <w:t>Česká republika</w:t>
      </w:r>
    </w:p>
    <w:p w14:paraId="3B4029C7" w14:textId="77777777"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EFRR</w:t>
      </w:r>
      <w:r w:rsidRPr="00AF59FE">
        <w:rPr>
          <w:rFonts w:ascii="Calibri" w:hAnsi="Calibri" w:cs="Calibri"/>
        </w:rPr>
        <w:tab/>
        <w:t>Evropský fond pro regionální rozvoj</w:t>
      </w:r>
    </w:p>
    <w:p w14:paraId="278F9435" w14:textId="77777777"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EK</w:t>
      </w:r>
      <w:r w:rsidRPr="00AF59FE">
        <w:rPr>
          <w:rFonts w:ascii="Calibri" w:hAnsi="Calibri" w:cs="Calibri"/>
        </w:rPr>
        <w:tab/>
        <w:t>Evropská komise</w:t>
      </w:r>
    </w:p>
    <w:p w14:paraId="4A3571B9" w14:textId="77777777"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EU</w:t>
      </w:r>
      <w:r w:rsidRPr="00AF59FE">
        <w:rPr>
          <w:rFonts w:ascii="Calibri" w:hAnsi="Calibri" w:cs="Calibri"/>
        </w:rPr>
        <w:tab/>
        <w:t>Evropská unie</w:t>
      </w:r>
    </w:p>
    <w:p w14:paraId="039C7995" w14:textId="24BCA068" w:rsidR="00AF59FE" w:rsidRPr="00AF59FE" w:rsidRDefault="00AF59FE" w:rsidP="00AF59FE">
      <w:pPr>
        <w:pStyle w:val="TextKP"/>
        <w:tabs>
          <w:tab w:val="left" w:pos="2410"/>
        </w:tabs>
        <w:spacing w:before="0"/>
        <w:ind w:left="1701" w:hanging="1701"/>
      </w:pPr>
      <w:r w:rsidRPr="00AF59FE">
        <w:t>FS</w:t>
      </w:r>
      <w:r w:rsidRPr="00AF59FE">
        <w:tab/>
        <w:t xml:space="preserve">Fond </w:t>
      </w:r>
      <w:r w:rsidR="00B02ED2">
        <w:t>s</w:t>
      </w:r>
      <w:r w:rsidRPr="00AF59FE">
        <w:t>oudržnosti</w:t>
      </w:r>
    </w:p>
    <w:p w14:paraId="24F0F7A9" w14:textId="77777777" w:rsidR="00AF59FE" w:rsidRPr="00AF59FE" w:rsidRDefault="00AF59FE" w:rsidP="00AF59FE">
      <w:pPr>
        <w:pStyle w:val="TextKP"/>
        <w:tabs>
          <w:tab w:val="left" w:pos="2410"/>
        </w:tabs>
        <w:spacing w:before="0"/>
        <w:ind w:left="1701" w:hanging="1701"/>
        <w:rPr>
          <w:rFonts w:ascii="Calibri" w:hAnsi="Calibri" w:cs="Calibri"/>
        </w:rPr>
      </w:pPr>
      <w:r w:rsidRPr="00AF59FE">
        <w:t>GŘC</w:t>
      </w:r>
      <w:r w:rsidRPr="00AF59FE">
        <w:tab/>
        <w:t>Generální ředitelství cel</w:t>
      </w:r>
    </w:p>
    <w:p w14:paraId="4B59E084" w14:textId="73627A43"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IL</w:t>
      </w:r>
      <w:r w:rsidRPr="00AF59FE">
        <w:rPr>
          <w:rFonts w:ascii="Calibri" w:hAnsi="Calibri" w:cs="Calibri"/>
        </w:rPr>
        <w:tab/>
      </w:r>
      <w:r w:rsidR="00B02ED2">
        <w:rPr>
          <w:rFonts w:ascii="Calibri" w:hAnsi="Calibri" w:cs="Calibri"/>
        </w:rPr>
        <w:t>i</w:t>
      </w:r>
      <w:r w:rsidRPr="00AF59FE">
        <w:rPr>
          <w:rFonts w:ascii="Calibri" w:hAnsi="Calibri" w:cs="Calibri"/>
        </w:rPr>
        <w:t>misní limit</w:t>
      </w:r>
    </w:p>
    <w:p w14:paraId="520704CA" w14:textId="77777777"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MS2014+</w:t>
      </w:r>
      <w:r w:rsidRPr="00AF59FE">
        <w:rPr>
          <w:rFonts w:ascii="Calibri" w:hAnsi="Calibri" w:cs="Calibri"/>
        </w:rPr>
        <w:tab/>
      </w:r>
      <w:r w:rsidRPr="002F3B4E">
        <w:rPr>
          <w:rFonts w:ascii="Calibri" w:hAnsi="Calibri" w:cs="Calibri"/>
          <w:i/>
        </w:rPr>
        <w:t>Monitorovací systém evropských fondů pro programové období 2014–2020</w:t>
      </w:r>
    </w:p>
    <w:p w14:paraId="724F953E" w14:textId="77777777"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MŽP</w:t>
      </w:r>
      <w:r w:rsidRPr="00AF59FE">
        <w:rPr>
          <w:rFonts w:ascii="Calibri" w:hAnsi="Calibri" w:cs="Calibri"/>
        </w:rPr>
        <w:tab/>
        <w:t>Ministerstvo životního prostředí</w:t>
      </w:r>
    </w:p>
    <w:p w14:paraId="721D5FE2" w14:textId="23F95D4B" w:rsidR="00AF59FE" w:rsidRPr="00AF59FE" w:rsidRDefault="00AF59FE" w:rsidP="00AF59FE">
      <w:pPr>
        <w:pStyle w:val="Text"/>
        <w:spacing w:before="0"/>
        <w:ind w:left="1701" w:hanging="1701"/>
        <w:jc w:val="left"/>
      </w:pPr>
      <w:r w:rsidRPr="00AF59FE">
        <w:t>VOC / NMVOC</w:t>
      </w:r>
      <w:r w:rsidRPr="00AF59FE">
        <w:tab/>
      </w:r>
      <w:r w:rsidR="00B22D53">
        <w:t>n</w:t>
      </w:r>
      <w:r w:rsidRPr="00AF59FE">
        <w:t>emetanové těkavé organické látky</w:t>
      </w:r>
    </w:p>
    <w:p w14:paraId="6BF464C0" w14:textId="77777777"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NKÚ</w:t>
      </w:r>
      <w:r w:rsidRPr="00AF59FE">
        <w:rPr>
          <w:rFonts w:ascii="Calibri" w:hAnsi="Calibri" w:cs="Calibri"/>
        </w:rPr>
        <w:tab/>
        <w:t>Nejvyšší kontrolní úřad</w:t>
      </w:r>
    </w:p>
    <w:p w14:paraId="19C9F923" w14:textId="307CD0F3" w:rsidR="00AF59FE" w:rsidRPr="00AF59FE" w:rsidRDefault="00AF59FE" w:rsidP="00AF59FE">
      <w:pPr>
        <w:pStyle w:val="Text"/>
        <w:spacing w:before="0"/>
        <w:ind w:left="1701" w:hanging="1701"/>
        <w:jc w:val="left"/>
      </w:pPr>
      <w:r w:rsidRPr="00AF59FE">
        <w:t>NO</w:t>
      </w:r>
      <w:r w:rsidRPr="00AF59FE">
        <w:rPr>
          <w:vertAlign w:val="subscript"/>
        </w:rPr>
        <w:t>2</w:t>
      </w:r>
      <w:r w:rsidRPr="00AF59FE">
        <w:tab/>
      </w:r>
      <w:r w:rsidR="00B22D53">
        <w:t>o</w:t>
      </w:r>
      <w:r w:rsidRPr="00AF59FE">
        <w:t>xid dusičitý</w:t>
      </w:r>
    </w:p>
    <w:p w14:paraId="74677007" w14:textId="3F68D7CA" w:rsidR="00AF59FE" w:rsidRPr="00AF59FE" w:rsidRDefault="00AF59FE" w:rsidP="00AF59FE">
      <w:pPr>
        <w:pStyle w:val="Text"/>
        <w:spacing w:before="0"/>
        <w:ind w:left="1701" w:hanging="1701"/>
        <w:jc w:val="left"/>
      </w:pPr>
      <w:r w:rsidRPr="00AF59FE">
        <w:t>NO</w:t>
      </w:r>
      <w:r w:rsidRPr="00AF59FE">
        <w:rPr>
          <w:vertAlign w:val="subscript"/>
        </w:rPr>
        <w:t>X</w:t>
      </w:r>
      <w:r w:rsidRPr="00AF59FE">
        <w:tab/>
      </w:r>
      <w:r w:rsidR="00B22D53">
        <w:t>o</w:t>
      </w:r>
      <w:r w:rsidRPr="00AF59FE">
        <w:t>xidy dusíku</w:t>
      </w:r>
    </w:p>
    <w:p w14:paraId="59378E72" w14:textId="77777777" w:rsidR="00AF59FE" w:rsidRPr="00AF59FE" w:rsidRDefault="00AF59FE" w:rsidP="00AF59FE">
      <w:pPr>
        <w:pStyle w:val="Text"/>
        <w:spacing w:before="0"/>
        <w:ind w:left="1701" w:hanging="1701"/>
        <w:jc w:val="left"/>
      </w:pPr>
      <w:r w:rsidRPr="00AF59FE">
        <w:t>NPSE</w:t>
      </w:r>
      <w:r w:rsidRPr="00AF59FE">
        <w:tab/>
      </w:r>
      <w:r w:rsidRPr="002F3B4E">
        <w:rPr>
          <w:i/>
        </w:rPr>
        <w:t>Národní program snižování emisí České republiky</w:t>
      </w:r>
    </w:p>
    <w:p w14:paraId="43607F7C" w14:textId="77777777"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NPŽP</w:t>
      </w:r>
      <w:r w:rsidRPr="00AF59FE">
        <w:rPr>
          <w:rFonts w:ascii="Calibri" w:hAnsi="Calibri" w:cs="Calibri"/>
        </w:rPr>
        <w:tab/>
      </w:r>
      <w:r w:rsidRPr="002F3B4E">
        <w:rPr>
          <w:rFonts w:ascii="Calibri" w:hAnsi="Calibri" w:cs="Calibri"/>
          <w:i/>
        </w:rPr>
        <w:t>Národní program Životní prostředí</w:t>
      </w:r>
    </w:p>
    <w:p w14:paraId="68078A3E" w14:textId="342B2E3C"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NZÚ</w:t>
      </w:r>
      <w:r w:rsidRPr="00AF59FE">
        <w:rPr>
          <w:rFonts w:ascii="Calibri" w:hAnsi="Calibri" w:cs="Calibri"/>
        </w:rPr>
        <w:tab/>
      </w:r>
      <w:r w:rsidR="00B22D53">
        <w:rPr>
          <w:rFonts w:ascii="Calibri" w:hAnsi="Calibri" w:cs="Calibri"/>
        </w:rPr>
        <w:t>p</w:t>
      </w:r>
      <w:r w:rsidRPr="00AF59FE">
        <w:rPr>
          <w:rFonts w:ascii="Calibri" w:hAnsi="Calibri" w:cs="Calibri"/>
        </w:rPr>
        <w:t xml:space="preserve">rogram </w:t>
      </w:r>
      <w:r w:rsidRPr="002F3B4E">
        <w:rPr>
          <w:rFonts w:ascii="Calibri" w:hAnsi="Calibri" w:cs="Calibri"/>
          <w:i/>
        </w:rPr>
        <w:t>Nová zelená úsporám</w:t>
      </w:r>
    </w:p>
    <w:p w14:paraId="044F5055" w14:textId="77998311"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OPŽP</w:t>
      </w:r>
      <w:r w:rsidRPr="00AF59FE">
        <w:rPr>
          <w:rFonts w:ascii="Calibri" w:hAnsi="Calibri" w:cs="Calibri"/>
        </w:rPr>
        <w:tab/>
      </w:r>
      <w:r w:rsidR="00B22D53">
        <w:rPr>
          <w:rFonts w:ascii="Calibri" w:hAnsi="Calibri" w:cs="Calibri"/>
        </w:rPr>
        <w:t>o</w:t>
      </w:r>
      <w:r w:rsidRPr="00AF59FE">
        <w:rPr>
          <w:rFonts w:ascii="Calibri" w:hAnsi="Calibri" w:cs="Calibri"/>
        </w:rPr>
        <w:t xml:space="preserve">perační program </w:t>
      </w:r>
      <w:r w:rsidRPr="002F3B4E">
        <w:rPr>
          <w:rFonts w:ascii="Calibri" w:hAnsi="Calibri" w:cs="Calibri"/>
          <w:i/>
        </w:rPr>
        <w:t>Životní prostředí 2014–2020</w:t>
      </w:r>
    </w:p>
    <w:p w14:paraId="71C97E41" w14:textId="57462A1F"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PJ</w:t>
      </w:r>
      <w:r w:rsidRPr="00AF59FE">
        <w:rPr>
          <w:rFonts w:ascii="Calibri" w:hAnsi="Calibri" w:cs="Calibri"/>
        </w:rPr>
        <w:tab/>
      </w:r>
      <w:proofErr w:type="spellStart"/>
      <w:r w:rsidR="00B22D53">
        <w:rPr>
          <w:rFonts w:ascii="Calibri" w:hAnsi="Calibri" w:cs="Calibri"/>
        </w:rPr>
        <w:t>p</w:t>
      </w:r>
      <w:r w:rsidRPr="00AF59FE">
        <w:rPr>
          <w:rFonts w:ascii="Calibri" w:hAnsi="Calibri" w:cs="Calibri"/>
        </w:rPr>
        <w:t>etajoule</w:t>
      </w:r>
      <w:proofErr w:type="spellEnd"/>
      <w:r w:rsidRPr="00AF59FE">
        <w:rPr>
          <w:rFonts w:ascii="Calibri" w:hAnsi="Calibri" w:cs="Calibri"/>
        </w:rPr>
        <w:t>, jednotka práce a energie (10</w:t>
      </w:r>
      <w:r w:rsidRPr="00AF59FE">
        <w:rPr>
          <w:rFonts w:ascii="Calibri" w:hAnsi="Calibri" w:cs="Calibri"/>
          <w:vertAlign w:val="superscript"/>
        </w:rPr>
        <w:t>15</w:t>
      </w:r>
      <w:r w:rsidRPr="00AF59FE">
        <w:rPr>
          <w:rFonts w:ascii="Calibri" w:hAnsi="Calibri" w:cs="Calibri"/>
        </w:rPr>
        <w:t xml:space="preserve"> joulů)</w:t>
      </w:r>
    </w:p>
    <w:p w14:paraId="59FD785A" w14:textId="39CAC659"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PM</w:t>
      </w:r>
      <w:r w:rsidRPr="00AF59FE">
        <w:rPr>
          <w:rFonts w:ascii="Calibri" w:hAnsi="Calibri" w:cs="Calibri"/>
          <w:vertAlign w:val="subscript"/>
        </w:rPr>
        <w:t>2,5</w:t>
      </w:r>
      <w:r w:rsidRPr="00AF59FE">
        <w:rPr>
          <w:rFonts w:ascii="Calibri" w:hAnsi="Calibri" w:cs="Calibri"/>
        </w:rPr>
        <w:tab/>
      </w:r>
      <w:r w:rsidR="00B22D53">
        <w:rPr>
          <w:rFonts w:ascii="Calibri" w:hAnsi="Calibri" w:cs="Calibri"/>
        </w:rPr>
        <w:t>p</w:t>
      </w:r>
      <w:r w:rsidRPr="00AF59FE">
        <w:rPr>
          <w:rFonts w:ascii="Calibri" w:hAnsi="Calibri" w:cs="Calibri"/>
        </w:rPr>
        <w:t>rachové částice frakce 2,5 µm (jemné částice)</w:t>
      </w:r>
    </w:p>
    <w:p w14:paraId="6BFEEE88" w14:textId="33280B11"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PM</w:t>
      </w:r>
      <w:r w:rsidRPr="00AF59FE">
        <w:rPr>
          <w:rFonts w:ascii="Calibri" w:hAnsi="Calibri" w:cs="Calibri"/>
          <w:vertAlign w:val="subscript"/>
        </w:rPr>
        <w:t>10</w:t>
      </w:r>
      <w:r w:rsidRPr="00AF59FE">
        <w:rPr>
          <w:rFonts w:ascii="Calibri" w:hAnsi="Calibri" w:cs="Calibri"/>
        </w:rPr>
        <w:tab/>
      </w:r>
      <w:r w:rsidR="00B22D53">
        <w:rPr>
          <w:rFonts w:ascii="Calibri" w:hAnsi="Calibri" w:cs="Calibri"/>
        </w:rPr>
        <w:t>p</w:t>
      </w:r>
      <w:r w:rsidRPr="00AF59FE">
        <w:rPr>
          <w:rFonts w:ascii="Calibri" w:hAnsi="Calibri" w:cs="Calibri"/>
        </w:rPr>
        <w:t>rachové částice frakce 10 µm</w:t>
      </w:r>
    </w:p>
    <w:p w14:paraId="2E11CF71" w14:textId="223D50A3"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PO 2</w:t>
      </w:r>
      <w:r w:rsidRPr="00AF59FE">
        <w:rPr>
          <w:rFonts w:ascii="Calibri" w:hAnsi="Calibri" w:cs="Calibri"/>
        </w:rPr>
        <w:tab/>
      </w:r>
      <w:r w:rsidR="00B22D53">
        <w:rPr>
          <w:rFonts w:ascii="Calibri" w:hAnsi="Calibri" w:cs="Calibri"/>
        </w:rPr>
        <w:t>p</w:t>
      </w:r>
      <w:r w:rsidRPr="00AF59FE">
        <w:rPr>
          <w:rFonts w:ascii="Calibri" w:hAnsi="Calibri" w:cs="Calibri"/>
        </w:rPr>
        <w:t xml:space="preserve">rioritní osa 2: </w:t>
      </w:r>
      <w:r w:rsidRPr="002F3B4E">
        <w:rPr>
          <w:rFonts w:ascii="Calibri" w:hAnsi="Calibri" w:cs="Calibri"/>
          <w:i/>
        </w:rPr>
        <w:t>Zlepšování kvality ovzduší v lidských sídlech</w:t>
      </w:r>
      <w:r w:rsidRPr="00AF59FE">
        <w:rPr>
          <w:rFonts w:ascii="Calibri" w:hAnsi="Calibri" w:cs="Calibri"/>
        </w:rPr>
        <w:t xml:space="preserve"> (jedna z prioritních os OPŽP)</w:t>
      </w:r>
    </w:p>
    <w:p w14:paraId="7C4FFB96" w14:textId="77777777"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PO 7</w:t>
      </w:r>
      <w:r w:rsidRPr="00AF59FE">
        <w:rPr>
          <w:rFonts w:ascii="Calibri" w:hAnsi="Calibri" w:cs="Calibri"/>
        </w:rPr>
        <w:tab/>
        <w:t xml:space="preserve">prioritní osa 7: </w:t>
      </w:r>
      <w:r w:rsidRPr="002F3B4E">
        <w:rPr>
          <w:rFonts w:ascii="Calibri" w:hAnsi="Calibri" w:cs="Calibri"/>
          <w:i/>
        </w:rPr>
        <w:t>Podpora pro zmírnění důsledků energetické krize</w:t>
      </w:r>
    </w:p>
    <w:p w14:paraId="2373AC05" w14:textId="254B3F4E" w:rsidR="00AF59FE" w:rsidRPr="00AF59FE" w:rsidRDefault="00AF59FE" w:rsidP="00AF59FE">
      <w:pPr>
        <w:pStyle w:val="Text"/>
        <w:spacing w:before="0"/>
        <w:ind w:left="1701" w:hanging="1701"/>
        <w:jc w:val="left"/>
      </w:pPr>
      <w:r w:rsidRPr="00AF59FE">
        <w:t>PZKO</w:t>
      </w:r>
      <w:r w:rsidRPr="00AF59FE">
        <w:tab/>
      </w:r>
      <w:r w:rsidR="00B22D53">
        <w:t>p</w:t>
      </w:r>
      <w:r w:rsidRPr="00AF59FE">
        <w:t>rogram/y zlepšování kvality ovzduší</w:t>
      </w:r>
    </w:p>
    <w:p w14:paraId="279AFF7A" w14:textId="52C84EC1" w:rsidR="00AF59FE" w:rsidRPr="00AF59FE" w:rsidRDefault="00AF59FE" w:rsidP="00AF59FE">
      <w:pPr>
        <w:pStyle w:val="Text"/>
        <w:spacing w:before="0"/>
        <w:ind w:left="1701" w:hanging="1701"/>
        <w:jc w:val="left"/>
      </w:pPr>
      <w:r w:rsidRPr="00AF59FE">
        <w:t>REZZO</w:t>
      </w:r>
      <w:r w:rsidRPr="00AF59FE">
        <w:tab/>
      </w:r>
      <w:r w:rsidR="00B22D53">
        <w:t>r</w:t>
      </w:r>
      <w:r w:rsidRPr="00AF59FE">
        <w:t>egistr emisí a zdrojů znečištění ovzduší</w:t>
      </w:r>
    </w:p>
    <w:p w14:paraId="0047C5FD" w14:textId="69821D86"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SC</w:t>
      </w:r>
      <w:r w:rsidRPr="00AF59FE">
        <w:rPr>
          <w:rFonts w:ascii="Calibri" w:hAnsi="Calibri" w:cs="Calibri"/>
        </w:rPr>
        <w:tab/>
      </w:r>
      <w:r w:rsidR="00B22D53">
        <w:rPr>
          <w:rFonts w:ascii="Calibri" w:hAnsi="Calibri" w:cs="Calibri"/>
        </w:rPr>
        <w:t>s</w:t>
      </w:r>
      <w:r w:rsidRPr="00AF59FE">
        <w:rPr>
          <w:rFonts w:ascii="Calibri" w:hAnsi="Calibri" w:cs="Calibri"/>
        </w:rPr>
        <w:t>pecifický cíl (v rámci OPŽP)</w:t>
      </w:r>
    </w:p>
    <w:p w14:paraId="5C832624" w14:textId="77777777" w:rsidR="00AF59FE" w:rsidRPr="00AF59FE" w:rsidRDefault="00AF59FE" w:rsidP="00AF59FE">
      <w:pPr>
        <w:pStyle w:val="TextKP"/>
        <w:tabs>
          <w:tab w:val="left" w:pos="2410"/>
        </w:tabs>
        <w:spacing w:before="0"/>
        <w:ind w:left="1701" w:hanging="1701"/>
        <w:rPr>
          <w:rFonts w:ascii="Calibri" w:hAnsi="Calibri" w:cs="Calibri"/>
        </w:rPr>
      </w:pPr>
      <w:r w:rsidRPr="00AF59FE">
        <w:rPr>
          <w:rFonts w:ascii="Calibri" w:hAnsi="Calibri" w:cs="Calibri"/>
        </w:rPr>
        <w:t>SFŽP</w:t>
      </w:r>
      <w:r w:rsidRPr="00AF59FE">
        <w:rPr>
          <w:rFonts w:ascii="Calibri" w:hAnsi="Calibri" w:cs="Calibri"/>
        </w:rPr>
        <w:tab/>
        <w:t>Státní fond životního prostředí České republiky</w:t>
      </w:r>
    </w:p>
    <w:p w14:paraId="2E5B2BDE" w14:textId="3FB38E99" w:rsidR="00AF59FE" w:rsidRPr="00AF59FE" w:rsidRDefault="00AF59FE" w:rsidP="00AF59FE">
      <w:pPr>
        <w:pStyle w:val="Text"/>
        <w:spacing w:before="0"/>
        <w:ind w:left="1701" w:hanging="1701"/>
        <w:jc w:val="left"/>
      </w:pPr>
      <w:r w:rsidRPr="00AF59FE">
        <w:t>SO</w:t>
      </w:r>
      <w:r w:rsidRPr="00AF59FE">
        <w:rPr>
          <w:vertAlign w:val="subscript"/>
        </w:rPr>
        <w:t>2</w:t>
      </w:r>
      <w:r w:rsidRPr="00AF59FE">
        <w:tab/>
      </w:r>
      <w:r w:rsidR="00B22D53">
        <w:t>o</w:t>
      </w:r>
      <w:r w:rsidRPr="00AF59FE">
        <w:t>xid siřičitý</w:t>
      </w:r>
    </w:p>
    <w:p w14:paraId="7AAE9E04" w14:textId="66725327" w:rsidR="00AF59FE" w:rsidRPr="00AF59FE" w:rsidRDefault="00AF59FE" w:rsidP="00AF59FE">
      <w:pPr>
        <w:pStyle w:val="Text"/>
        <w:spacing w:before="0"/>
        <w:ind w:left="1701" w:hanging="1701"/>
        <w:jc w:val="left"/>
      </w:pPr>
      <w:r w:rsidRPr="00AF59FE">
        <w:t>SO</w:t>
      </w:r>
      <w:r w:rsidRPr="00AF59FE">
        <w:rPr>
          <w:vertAlign w:val="subscript"/>
        </w:rPr>
        <w:t>X</w:t>
      </w:r>
      <w:r w:rsidRPr="00AF59FE">
        <w:tab/>
      </w:r>
      <w:r w:rsidR="00B22D53">
        <w:t>o</w:t>
      </w:r>
      <w:r w:rsidRPr="00AF59FE">
        <w:t>xidy síry</w:t>
      </w:r>
    </w:p>
    <w:p w14:paraId="17F0EC67" w14:textId="4AECFBA0" w:rsidR="00AF59FE" w:rsidRPr="00AF59FE" w:rsidRDefault="00AF59FE" w:rsidP="00AF59FE">
      <w:pPr>
        <w:pStyle w:val="Text"/>
        <w:spacing w:before="0"/>
        <w:ind w:left="1701" w:hanging="1701"/>
        <w:jc w:val="left"/>
      </w:pPr>
      <w:r w:rsidRPr="00AF59FE">
        <w:t>SR</w:t>
      </w:r>
      <w:r w:rsidRPr="00AF59FE">
        <w:tab/>
      </w:r>
      <w:r w:rsidR="00B22D53">
        <w:t>s</w:t>
      </w:r>
      <w:r w:rsidRPr="00AF59FE">
        <w:t>tátní rozpočet</w:t>
      </w:r>
    </w:p>
    <w:p w14:paraId="254D1073" w14:textId="2E628F03" w:rsidR="00320DB5" w:rsidRDefault="00320DB5" w:rsidP="00AF59FE">
      <w:pPr>
        <w:pStyle w:val="Text"/>
        <w:spacing w:before="0"/>
        <w:ind w:left="1701" w:hanging="1701"/>
        <w:jc w:val="left"/>
      </w:pPr>
      <w:r>
        <w:t>ÚP ČR</w:t>
      </w:r>
      <w:r>
        <w:tab/>
      </w:r>
      <w:r w:rsidRPr="00320DB5">
        <w:t>Úřad práce České republiky</w:t>
      </w:r>
    </w:p>
    <w:p w14:paraId="06B00BEF" w14:textId="1615215C" w:rsidR="000E314D" w:rsidRPr="007564D4" w:rsidRDefault="00AF59FE" w:rsidP="00320DB5">
      <w:pPr>
        <w:pStyle w:val="Text"/>
        <w:spacing w:before="0"/>
        <w:ind w:left="1701" w:hanging="1701"/>
        <w:jc w:val="left"/>
        <w:rPr>
          <w:rFonts w:ascii="Calibri" w:hAnsi="Calibri" w:cs="Calibri"/>
          <w:i/>
        </w:rPr>
      </w:pPr>
      <w:r w:rsidRPr="00AF59FE">
        <w:t>WHO</w:t>
      </w:r>
      <w:r w:rsidRPr="00AF59FE">
        <w:tab/>
        <w:t>Světová zdravotnická organizace (</w:t>
      </w:r>
      <w:proofErr w:type="spellStart"/>
      <w:r w:rsidRPr="00AF59FE">
        <w:t>World</w:t>
      </w:r>
      <w:proofErr w:type="spellEnd"/>
      <w:r w:rsidRPr="00AF59FE">
        <w:t xml:space="preserve"> </w:t>
      </w:r>
      <w:proofErr w:type="spellStart"/>
      <w:r w:rsidRPr="00AF59FE">
        <w:t>Health</w:t>
      </w:r>
      <w:proofErr w:type="spellEnd"/>
      <w:r w:rsidRPr="00AF59FE">
        <w:t xml:space="preserve"> </w:t>
      </w:r>
      <w:proofErr w:type="spellStart"/>
      <w:r w:rsidRPr="00AF59FE">
        <w:t>Organization</w:t>
      </w:r>
      <w:proofErr w:type="spellEnd"/>
      <w:r w:rsidRPr="00AF59FE">
        <w:t>)</w:t>
      </w:r>
      <w:r w:rsidR="00F061AE">
        <w:rPr>
          <w:rFonts w:ascii="Calibri" w:hAnsi="Calibri" w:cs="Calibri"/>
        </w:rPr>
        <w:br w:type="page"/>
      </w:r>
    </w:p>
    <w:p w14:paraId="367BAA8F" w14:textId="5121D427" w:rsidR="00F76A63" w:rsidRDefault="00DA6A2F" w:rsidP="00F76A63">
      <w:pPr>
        <w:pStyle w:val="TextKP"/>
        <w:spacing w:before="0"/>
        <w:jc w:val="right"/>
        <w:outlineLvl w:val="0"/>
        <w:rPr>
          <w:b/>
        </w:rPr>
      </w:pPr>
      <w:r w:rsidRPr="00303804">
        <w:rPr>
          <w:b/>
        </w:rPr>
        <w:lastRenderedPageBreak/>
        <w:t xml:space="preserve">Příloha č. </w:t>
      </w:r>
      <w:r w:rsidRPr="00303804">
        <w:rPr>
          <w:b/>
        </w:rPr>
        <w:fldChar w:fldCharType="begin"/>
      </w:r>
      <w:r w:rsidRPr="00303804">
        <w:rPr>
          <w:b/>
        </w:rPr>
        <w:instrText xml:space="preserve"> SEQ Příloha_č. \* ARABIC </w:instrText>
      </w:r>
      <w:r w:rsidRPr="00303804">
        <w:rPr>
          <w:b/>
        </w:rPr>
        <w:fldChar w:fldCharType="separate"/>
      </w:r>
      <w:r w:rsidR="000D2E96">
        <w:rPr>
          <w:b/>
          <w:noProof/>
        </w:rPr>
        <w:t>1</w:t>
      </w:r>
      <w:r w:rsidRPr="00303804">
        <w:rPr>
          <w:b/>
        </w:rPr>
        <w:fldChar w:fldCharType="end"/>
      </w:r>
    </w:p>
    <w:p w14:paraId="4EB04625" w14:textId="414B0A63" w:rsidR="001F62E7" w:rsidRPr="001F62E7" w:rsidRDefault="001F62E7" w:rsidP="001F62E7">
      <w:pPr>
        <w:pStyle w:val="TextKP"/>
        <w:spacing w:before="0"/>
        <w:outlineLvl w:val="0"/>
      </w:pPr>
      <w:bookmarkStart w:id="22" w:name="_Toc150941253"/>
      <w:r w:rsidRPr="001F62E7">
        <w:rPr>
          <w:b/>
          <w:lang w:eastAsia="cs-CZ"/>
        </w:rPr>
        <w:t>Vybrané imisní limity podle zákona č. 201/2012 Sb.</w:t>
      </w:r>
      <w:bookmarkEnd w:id="22"/>
    </w:p>
    <w:p w14:paraId="5B7FE38A" w14:textId="22A4C7F4" w:rsidR="001F62E7" w:rsidRPr="0040025E" w:rsidRDefault="001F62E7" w:rsidP="0040025E">
      <w:pPr>
        <w:tabs>
          <w:tab w:val="right" w:pos="9072"/>
        </w:tabs>
        <w:spacing w:before="120" w:after="40"/>
        <w:ind w:left="1134" w:hanging="1134"/>
        <w:rPr>
          <w:b/>
          <w:lang w:eastAsia="cs-CZ"/>
        </w:rPr>
      </w:pPr>
      <w:r w:rsidRPr="0040025E">
        <w:rPr>
          <w:b/>
        </w:rPr>
        <w:t>Tabulk</w:t>
      </w:r>
      <w:r w:rsidR="008D328F">
        <w:rPr>
          <w:b/>
        </w:rPr>
        <w:t>a č. </w:t>
      </w:r>
      <w:r w:rsidR="0088657C">
        <w:rPr>
          <w:b/>
        </w:rPr>
        <w:t>1:</w:t>
      </w:r>
      <w:r w:rsidR="00885A90">
        <w:rPr>
          <w:b/>
        </w:rPr>
        <w:t xml:space="preserve"> </w:t>
      </w:r>
      <w:r w:rsidRPr="0040025E">
        <w:rPr>
          <w:b/>
          <w:lang w:eastAsia="cs-CZ"/>
        </w:rPr>
        <w:t>Imisní limity pro ochranu zdraví a maximální počet jejich překročení</w:t>
      </w:r>
      <w:r w:rsidRPr="0040025E">
        <w:rPr>
          <w:b/>
          <w:lang w:eastAsia="cs-CZ"/>
        </w:rPr>
        <w:tab/>
      </w:r>
      <w:r w:rsidRPr="0040025E">
        <w:rPr>
          <w:b/>
          <w:bCs/>
          <w:lang w:eastAsia="cs-CZ"/>
        </w:rPr>
        <w:t>[µg/m</w:t>
      </w:r>
      <w:r w:rsidRPr="0040025E">
        <w:rPr>
          <w:b/>
          <w:bCs/>
          <w:vertAlign w:val="superscript"/>
          <w:lang w:eastAsia="cs-CZ"/>
        </w:rPr>
        <w:t>3</w:t>
      </w:r>
      <w:r w:rsidRPr="0040025E">
        <w:rPr>
          <w:b/>
          <w:bCs/>
          <w:lang w:eastAsia="cs-CZ"/>
        </w:rPr>
        <w:t>]</w:t>
      </w:r>
    </w:p>
    <w:tbl>
      <w:tblPr>
        <w:tblW w:w="5000" w:type="pct"/>
        <w:tblCellMar>
          <w:left w:w="70" w:type="dxa"/>
          <w:right w:w="70" w:type="dxa"/>
        </w:tblCellMar>
        <w:tblLook w:val="04A0" w:firstRow="1" w:lastRow="0" w:firstColumn="1" w:lastColumn="0" w:noHBand="0" w:noVBand="1"/>
      </w:tblPr>
      <w:tblGrid>
        <w:gridCol w:w="1624"/>
        <w:gridCol w:w="2392"/>
        <w:gridCol w:w="1584"/>
        <w:gridCol w:w="1584"/>
        <w:gridCol w:w="1878"/>
      </w:tblGrid>
      <w:tr w:rsidR="001F62E7" w:rsidRPr="009E1731" w14:paraId="337A255C" w14:textId="77777777" w:rsidTr="00A13E4F">
        <w:trPr>
          <w:trHeight w:val="20"/>
        </w:trPr>
        <w:tc>
          <w:tcPr>
            <w:tcW w:w="896"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44906C3" w14:textId="77777777" w:rsidR="001F62E7" w:rsidRPr="009E1731" w:rsidRDefault="001F62E7" w:rsidP="00004505">
            <w:pPr>
              <w:jc w:val="center"/>
              <w:rPr>
                <w:b/>
                <w:bCs/>
                <w:sz w:val="20"/>
                <w:szCs w:val="20"/>
                <w:lang w:eastAsia="cs-CZ"/>
              </w:rPr>
            </w:pPr>
            <w:r w:rsidRPr="009E1731">
              <w:rPr>
                <w:b/>
                <w:bCs/>
                <w:sz w:val="20"/>
                <w:szCs w:val="20"/>
                <w:lang w:eastAsia="cs-CZ"/>
              </w:rPr>
              <w:t>Znečišťující látka</w:t>
            </w:r>
          </w:p>
        </w:tc>
        <w:tc>
          <w:tcPr>
            <w:tcW w:w="1320"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0955AAF" w14:textId="77777777" w:rsidR="001F62E7" w:rsidRPr="009E1731" w:rsidRDefault="001F62E7" w:rsidP="00004505">
            <w:pPr>
              <w:jc w:val="center"/>
              <w:rPr>
                <w:b/>
                <w:bCs/>
                <w:sz w:val="20"/>
                <w:szCs w:val="20"/>
                <w:lang w:eastAsia="cs-CZ"/>
              </w:rPr>
            </w:pPr>
            <w:r w:rsidRPr="009E1731">
              <w:rPr>
                <w:b/>
                <w:bCs/>
                <w:sz w:val="20"/>
                <w:szCs w:val="20"/>
                <w:lang w:eastAsia="cs-CZ"/>
              </w:rPr>
              <w:t>Doba průměrování</w:t>
            </w:r>
          </w:p>
        </w:tc>
        <w:tc>
          <w:tcPr>
            <w:tcW w:w="1748" w:type="pct"/>
            <w:gridSpan w:val="2"/>
            <w:tcBorders>
              <w:top w:val="single" w:sz="4" w:space="0" w:color="auto"/>
              <w:left w:val="nil"/>
              <w:bottom w:val="single" w:sz="4" w:space="0" w:color="auto"/>
              <w:right w:val="single" w:sz="4" w:space="0" w:color="auto"/>
            </w:tcBorders>
            <w:shd w:val="clear" w:color="auto" w:fill="F2F2F2"/>
            <w:vAlign w:val="center"/>
            <w:hideMark/>
          </w:tcPr>
          <w:p w14:paraId="4CC49802" w14:textId="77777777" w:rsidR="001F62E7" w:rsidRPr="009E1731" w:rsidRDefault="001F62E7" w:rsidP="00004505">
            <w:pPr>
              <w:jc w:val="center"/>
              <w:rPr>
                <w:b/>
                <w:bCs/>
                <w:sz w:val="20"/>
                <w:szCs w:val="20"/>
                <w:lang w:eastAsia="cs-CZ"/>
              </w:rPr>
            </w:pPr>
            <w:r w:rsidRPr="009E1731">
              <w:rPr>
                <w:b/>
                <w:bCs/>
                <w:sz w:val="20"/>
                <w:szCs w:val="20"/>
                <w:lang w:eastAsia="cs-CZ"/>
              </w:rPr>
              <w:t xml:space="preserve">Mez pro posuzování </w:t>
            </w:r>
          </w:p>
        </w:tc>
        <w:tc>
          <w:tcPr>
            <w:tcW w:w="1036"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D08538D" w14:textId="77777777" w:rsidR="001F62E7" w:rsidRPr="009E1731" w:rsidRDefault="001F62E7" w:rsidP="00004505">
            <w:pPr>
              <w:jc w:val="center"/>
              <w:rPr>
                <w:b/>
                <w:bCs/>
                <w:sz w:val="20"/>
                <w:szCs w:val="20"/>
                <w:lang w:eastAsia="cs-CZ"/>
              </w:rPr>
            </w:pPr>
            <w:r w:rsidRPr="009E1731">
              <w:rPr>
                <w:b/>
                <w:bCs/>
                <w:sz w:val="20"/>
                <w:szCs w:val="20"/>
                <w:lang w:eastAsia="cs-CZ"/>
              </w:rPr>
              <w:t>Imisní limit</w:t>
            </w:r>
          </w:p>
        </w:tc>
      </w:tr>
      <w:tr w:rsidR="001F62E7" w:rsidRPr="009E1731" w14:paraId="0B9AB2CF" w14:textId="77777777" w:rsidTr="00A13E4F">
        <w:trPr>
          <w:trHeight w:val="20"/>
        </w:trPr>
        <w:tc>
          <w:tcPr>
            <w:tcW w:w="896" w:type="pct"/>
            <w:vMerge/>
            <w:tcBorders>
              <w:top w:val="single" w:sz="4" w:space="0" w:color="auto"/>
              <w:left w:val="single" w:sz="4" w:space="0" w:color="auto"/>
              <w:bottom w:val="single" w:sz="4" w:space="0" w:color="auto"/>
              <w:right w:val="single" w:sz="4" w:space="0" w:color="auto"/>
            </w:tcBorders>
            <w:vAlign w:val="center"/>
            <w:hideMark/>
          </w:tcPr>
          <w:p w14:paraId="6FF80BCB" w14:textId="77777777" w:rsidR="001F62E7" w:rsidRPr="009E1731" w:rsidRDefault="001F62E7" w:rsidP="00004505">
            <w:pPr>
              <w:rPr>
                <w:b/>
                <w:bCs/>
                <w:sz w:val="20"/>
                <w:szCs w:val="20"/>
                <w:lang w:eastAsia="cs-CZ"/>
              </w:rPr>
            </w:pPr>
          </w:p>
        </w:tc>
        <w:tc>
          <w:tcPr>
            <w:tcW w:w="1320" w:type="pct"/>
            <w:vMerge/>
            <w:tcBorders>
              <w:top w:val="single" w:sz="4" w:space="0" w:color="auto"/>
              <w:left w:val="single" w:sz="4" w:space="0" w:color="auto"/>
              <w:bottom w:val="single" w:sz="4" w:space="0" w:color="auto"/>
              <w:right w:val="single" w:sz="4" w:space="0" w:color="auto"/>
            </w:tcBorders>
            <w:vAlign w:val="center"/>
            <w:hideMark/>
          </w:tcPr>
          <w:p w14:paraId="19E94EA1" w14:textId="77777777" w:rsidR="001F62E7" w:rsidRPr="009E1731" w:rsidRDefault="001F62E7" w:rsidP="00004505">
            <w:pPr>
              <w:rPr>
                <w:b/>
                <w:bCs/>
                <w:sz w:val="20"/>
                <w:szCs w:val="20"/>
                <w:lang w:eastAsia="cs-CZ"/>
              </w:rPr>
            </w:pPr>
          </w:p>
        </w:tc>
        <w:tc>
          <w:tcPr>
            <w:tcW w:w="874" w:type="pct"/>
            <w:tcBorders>
              <w:top w:val="nil"/>
              <w:left w:val="nil"/>
              <w:bottom w:val="single" w:sz="4" w:space="0" w:color="auto"/>
              <w:right w:val="single" w:sz="4" w:space="0" w:color="auto"/>
            </w:tcBorders>
            <w:shd w:val="clear" w:color="auto" w:fill="F2F2F2"/>
            <w:noWrap/>
            <w:vAlign w:val="center"/>
            <w:hideMark/>
          </w:tcPr>
          <w:p w14:paraId="267A2EE9" w14:textId="77777777" w:rsidR="001F62E7" w:rsidRPr="009E1731" w:rsidRDefault="001F62E7" w:rsidP="00004505">
            <w:pPr>
              <w:jc w:val="center"/>
              <w:rPr>
                <w:b/>
                <w:bCs/>
                <w:sz w:val="20"/>
                <w:szCs w:val="20"/>
                <w:lang w:eastAsia="cs-CZ"/>
              </w:rPr>
            </w:pPr>
            <w:r w:rsidRPr="009E1731">
              <w:rPr>
                <w:b/>
                <w:bCs/>
                <w:sz w:val="20"/>
                <w:szCs w:val="20"/>
                <w:lang w:eastAsia="cs-CZ"/>
              </w:rPr>
              <w:t>Dolní LAT</w:t>
            </w:r>
          </w:p>
        </w:tc>
        <w:tc>
          <w:tcPr>
            <w:tcW w:w="874" w:type="pct"/>
            <w:tcBorders>
              <w:top w:val="nil"/>
              <w:left w:val="nil"/>
              <w:bottom w:val="single" w:sz="4" w:space="0" w:color="auto"/>
              <w:right w:val="single" w:sz="4" w:space="0" w:color="auto"/>
            </w:tcBorders>
            <w:shd w:val="clear" w:color="auto" w:fill="F2F2F2"/>
            <w:noWrap/>
            <w:vAlign w:val="center"/>
            <w:hideMark/>
          </w:tcPr>
          <w:p w14:paraId="386671DE" w14:textId="77777777" w:rsidR="001F62E7" w:rsidRPr="009E1731" w:rsidRDefault="001F62E7" w:rsidP="00004505">
            <w:pPr>
              <w:jc w:val="center"/>
              <w:rPr>
                <w:b/>
                <w:bCs/>
                <w:sz w:val="20"/>
                <w:szCs w:val="20"/>
                <w:lang w:eastAsia="cs-CZ"/>
              </w:rPr>
            </w:pPr>
            <w:r w:rsidRPr="009E1731">
              <w:rPr>
                <w:b/>
                <w:bCs/>
                <w:sz w:val="20"/>
                <w:szCs w:val="20"/>
                <w:lang w:eastAsia="cs-CZ"/>
              </w:rPr>
              <w:t>Horní UAT</w:t>
            </w: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4D2B2797" w14:textId="77777777" w:rsidR="001F62E7" w:rsidRPr="009E1731" w:rsidRDefault="001F62E7" w:rsidP="00004505">
            <w:pPr>
              <w:rPr>
                <w:b/>
                <w:bCs/>
                <w:sz w:val="20"/>
                <w:szCs w:val="20"/>
                <w:lang w:eastAsia="cs-CZ"/>
              </w:rPr>
            </w:pPr>
          </w:p>
        </w:tc>
      </w:tr>
      <w:tr w:rsidR="001F62E7" w:rsidRPr="009E1731" w14:paraId="053731AA" w14:textId="77777777" w:rsidTr="008C57CA">
        <w:trPr>
          <w:trHeight w:val="20"/>
        </w:trPr>
        <w:tc>
          <w:tcPr>
            <w:tcW w:w="8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CA78B4" w14:textId="77777777" w:rsidR="001F62E7" w:rsidRPr="009E1731" w:rsidRDefault="001F62E7" w:rsidP="00004505">
            <w:pPr>
              <w:jc w:val="center"/>
              <w:rPr>
                <w:color w:val="000000"/>
                <w:sz w:val="20"/>
                <w:szCs w:val="20"/>
                <w:lang w:eastAsia="cs-CZ"/>
              </w:rPr>
            </w:pPr>
            <w:r w:rsidRPr="009E1731">
              <w:rPr>
                <w:color w:val="000000"/>
                <w:sz w:val="20"/>
                <w:szCs w:val="20"/>
                <w:lang w:eastAsia="cs-CZ"/>
              </w:rPr>
              <w:t>SO</w:t>
            </w:r>
            <w:r w:rsidRPr="009E1731">
              <w:rPr>
                <w:color w:val="000000"/>
                <w:sz w:val="20"/>
                <w:szCs w:val="20"/>
                <w:vertAlign w:val="subscript"/>
                <w:lang w:eastAsia="cs-CZ"/>
              </w:rPr>
              <w:t>2</w:t>
            </w:r>
          </w:p>
        </w:tc>
        <w:tc>
          <w:tcPr>
            <w:tcW w:w="1320" w:type="pct"/>
            <w:tcBorders>
              <w:top w:val="nil"/>
              <w:left w:val="nil"/>
              <w:bottom w:val="single" w:sz="4" w:space="0" w:color="auto"/>
              <w:right w:val="single" w:sz="4" w:space="0" w:color="auto"/>
            </w:tcBorders>
            <w:shd w:val="clear" w:color="auto" w:fill="auto"/>
            <w:noWrap/>
            <w:vAlign w:val="center"/>
            <w:hideMark/>
          </w:tcPr>
          <w:p w14:paraId="1A857280" w14:textId="77777777" w:rsidR="001F62E7" w:rsidRPr="009E1731" w:rsidRDefault="001F62E7" w:rsidP="008C57CA">
            <w:pPr>
              <w:jc w:val="center"/>
              <w:rPr>
                <w:color w:val="000000"/>
                <w:sz w:val="20"/>
                <w:szCs w:val="20"/>
                <w:lang w:eastAsia="cs-CZ"/>
              </w:rPr>
            </w:pPr>
            <w:r w:rsidRPr="009E1731">
              <w:rPr>
                <w:color w:val="000000"/>
                <w:sz w:val="20"/>
                <w:szCs w:val="20"/>
                <w:lang w:eastAsia="cs-CZ"/>
              </w:rPr>
              <w:t>1 hodina</w:t>
            </w:r>
          </w:p>
        </w:tc>
        <w:tc>
          <w:tcPr>
            <w:tcW w:w="874" w:type="pct"/>
            <w:tcBorders>
              <w:top w:val="nil"/>
              <w:left w:val="nil"/>
              <w:bottom w:val="single" w:sz="4" w:space="0" w:color="auto"/>
              <w:right w:val="single" w:sz="4" w:space="0" w:color="auto"/>
            </w:tcBorders>
            <w:shd w:val="clear" w:color="auto" w:fill="auto"/>
            <w:vAlign w:val="center"/>
            <w:hideMark/>
          </w:tcPr>
          <w:p w14:paraId="0C865B90" w14:textId="77777777" w:rsidR="001F62E7" w:rsidRPr="009E1731" w:rsidRDefault="001F62E7" w:rsidP="00004505">
            <w:pPr>
              <w:jc w:val="center"/>
              <w:rPr>
                <w:color w:val="000000"/>
                <w:sz w:val="20"/>
                <w:szCs w:val="20"/>
                <w:lang w:eastAsia="cs-CZ"/>
              </w:rPr>
            </w:pPr>
            <w:r w:rsidRPr="009E1731">
              <w:rPr>
                <w:color w:val="000000"/>
                <w:sz w:val="20"/>
                <w:szCs w:val="20"/>
                <w:lang w:eastAsia="cs-CZ"/>
              </w:rPr>
              <w:t>-</w:t>
            </w:r>
          </w:p>
        </w:tc>
        <w:tc>
          <w:tcPr>
            <w:tcW w:w="874" w:type="pct"/>
            <w:tcBorders>
              <w:top w:val="nil"/>
              <w:left w:val="nil"/>
              <w:bottom w:val="single" w:sz="4" w:space="0" w:color="auto"/>
              <w:right w:val="single" w:sz="4" w:space="0" w:color="auto"/>
            </w:tcBorders>
            <w:shd w:val="clear" w:color="auto" w:fill="auto"/>
            <w:vAlign w:val="center"/>
            <w:hideMark/>
          </w:tcPr>
          <w:p w14:paraId="19736C98" w14:textId="77777777" w:rsidR="001F62E7" w:rsidRPr="009E1731" w:rsidRDefault="001F62E7" w:rsidP="00004505">
            <w:pPr>
              <w:jc w:val="center"/>
              <w:rPr>
                <w:color w:val="000000"/>
                <w:sz w:val="20"/>
                <w:szCs w:val="20"/>
                <w:lang w:eastAsia="cs-CZ"/>
              </w:rPr>
            </w:pPr>
            <w:r w:rsidRPr="009E1731">
              <w:rPr>
                <w:color w:val="000000"/>
                <w:sz w:val="20"/>
                <w:szCs w:val="20"/>
                <w:lang w:eastAsia="cs-CZ"/>
              </w:rPr>
              <w:t>-</w:t>
            </w:r>
          </w:p>
        </w:tc>
        <w:tc>
          <w:tcPr>
            <w:tcW w:w="1036" w:type="pct"/>
            <w:tcBorders>
              <w:top w:val="nil"/>
              <w:left w:val="nil"/>
              <w:bottom w:val="single" w:sz="4" w:space="0" w:color="auto"/>
              <w:right w:val="single" w:sz="4" w:space="0" w:color="auto"/>
            </w:tcBorders>
            <w:shd w:val="clear" w:color="auto" w:fill="auto"/>
            <w:vAlign w:val="center"/>
            <w:hideMark/>
          </w:tcPr>
          <w:p w14:paraId="7C19CF6B" w14:textId="3EB5C652" w:rsidR="001F62E7" w:rsidRPr="009E1731" w:rsidRDefault="001F62E7" w:rsidP="00004505">
            <w:pPr>
              <w:jc w:val="center"/>
              <w:rPr>
                <w:color w:val="000000"/>
                <w:sz w:val="20"/>
                <w:szCs w:val="20"/>
                <w:lang w:eastAsia="cs-CZ"/>
              </w:rPr>
            </w:pPr>
            <w:r w:rsidRPr="009E1731">
              <w:rPr>
                <w:color w:val="000000"/>
                <w:sz w:val="20"/>
                <w:szCs w:val="20"/>
                <w:lang w:eastAsia="cs-CZ"/>
              </w:rPr>
              <w:t>350</w:t>
            </w:r>
            <w:r w:rsidRPr="009E1731">
              <w:rPr>
                <w:color w:val="000000"/>
                <w:sz w:val="20"/>
                <w:szCs w:val="20"/>
                <w:lang w:eastAsia="cs-CZ"/>
              </w:rPr>
              <w:br/>
              <w:t>max. 24</w:t>
            </w:r>
            <w:r w:rsidR="008C57CA">
              <w:rPr>
                <w:rFonts w:cstheme="minorHAnsi"/>
                <w:color w:val="000000"/>
                <w:sz w:val="20"/>
                <w:szCs w:val="20"/>
                <w:lang w:eastAsia="cs-CZ"/>
              </w:rPr>
              <w:t>×</w:t>
            </w:r>
            <w:r w:rsidRPr="009E1731">
              <w:rPr>
                <w:color w:val="000000"/>
                <w:sz w:val="20"/>
                <w:szCs w:val="20"/>
                <w:lang w:eastAsia="cs-CZ"/>
              </w:rPr>
              <w:t xml:space="preserve"> za rok</w:t>
            </w:r>
          </w:p>
        </w:tc>
      </w:tr>
      <w:tr w:rsidR="001F62E7" w:rsidRPr="009E1731" w14:paraId="14A200A2" w14:textId="77777777" w:rsidTr="008C57CA">
        <w:trPr>
          <w:trHeight w:val="20"/>
        </w:trPr>
        <w:tc>
          <w:tcPr>
            <w:tcW w:w="896" w:type="pct"/>
            <w:vMerge/>
            <w:tcBorders>
              <w:top w:val="nil"/>
              <w:left w:val="single" w:sz="4" w:space="0" w:color="auto"/>
              <w:bottom w:val="single" w:sz="4" w:space="0" w:color="auto"/>
              <w:right w:val="single" w:sz="4" w:space="0" w:color="auto"/>
            </w:tcBorders>
            <w:vAlign w:val="center"/>
            <w:hideMark/>
          </w:tcPr>
          <w:p w14:paraId="3178E88D" w14:textId="77777777" w:rsidR="001F62E7" w:rsidRPr="009E1731" w:rsidRDefault="001F62E7" w:rsidP="00004505">
            <w:pPr>
              <w:rPr>
                <w:color w:val="000000"/>
                <w:sz w:val="20"/>
                <w:szCs w:val="20"/>
                <w:lang w:eastAsia="cs-CZ"/>
              </w:rPr>
            </w:pPr>
          </w:p>
        </w:tc>
        <w:tc>
          <w:tcPr>
            <w:tcW w:w="1320" w:type="pct"/>
            <w:tcBorders>
              <w:top w:val="nil"/>
              <w:left w:val="nil"/>
              <w:bottom w:val="single" w:sz="4" w:space="0" w:color="auto"/>
              <w:right w:val="single" w:sz="4" w:space="0" w:color="auto"/>
            </w:tcBorders>
            <w:shd w:val="clear" w:color="auto" w:fill="auto"/>
            <w:noWrap/>
            <w:vAlign w:val="center"/>
            <w:hideMark/>
          </w:tcPr>
          <w:p w14:paraId="067E3FFE" w14:textId="77777777" w:rsidR="001F62E7" w:rsidRPr="009E1731" w:rsidRDefault="001F62E7" w:rsidP="008C57CA">
            <w:pPr>
              <w:jc w:val="center"/>
              <w:rPr>
                <w:color w:val="000000"/>
                <w:sz w:val="20"/>
                <w:szCs w:val="20"/>
                <w:lang w:eastAsia="cs-CZ"/>
              </w:rPr>
            </w:pPr>
            <w:r w:rsidRPr="009E1731">
              <w:rPr>
                <w:color w:val="000000"/>
                <w:sz w:val="20"/>
                <w:szCs w:val="20"/>
                <w:lang w:eastAsia="cs-CZ"/>
              </w:rPr>
              <w:t>24 hodin</w:t>
            </w:r>
          </w:p>
        </w:tc>
        <w:tc>
          <w:tcPr>
            <w:tcW w:w="874" w:type="pct"/>
            <w:tcBorders>
              <w:top w:val="nil"/>
              <w:left w:val="nil"/>
              <w:bottom w:val="single" w:sz="4" w:space="0" w:color="auto"/>
              <w:right w:val="single" w:sz="4" w:space="0" w:color="auto"/>
            </w:tcBorders>
            <w:shd w:val="clear" w:color="auto" w:fill="auto"/>
            <w:vAlign w:val="center"/>
            <w:hideMark/>
          </w:tcPr>
          <w:p w14:paraId="3469B3CA" w14:textId="5E85FF58" w:rsidR="001F62E7" w:rsidRPr="009E1731" w:rsidRDefault="001F62E7" w:rsidP="00004505">
            <w:pPr>
              <w:jc w:val="center"/>
              <w:rPr>
                <w:color w:val="000000"/>
                <w:sz w:val="20"/>
                <w:szCs w:val="20"/>
                <w:lang w:eastAsia="cs-CZ"/>
              </w:rPr>
            </w:pPr>
            <w:r w:rsidRPr="009E1731">
              <w:rPr>
                <w:color w:val="000000"/>
                <w:sz w:val="20"/>
                <w:szCs w:val="20"/>
                <w:lang w:eastAsia="cs-CZ"/>
              </w:rPr>
              <w:t>50</w:t>
            </w:r>
            <w:r w:rsidRPr="009E1731">
              <w:rPr>
                <w:color w:val="000000"/>
                <w:sz w:val="20"/>
                <w:szCs w:val="20"/>
                <w:lang w:eastAsia="cs-CZ"/>
              </w:rPr>
              <w:br/>
              <w:t>max. 3</w:t>
            </w:r>
            <w:r w:rsidR="008C57CA">
              <w:rPr>
                <w:rFonts w:cstheme="minorHAnsi"/>
                <w:color w:val="000000"/>
                <w:sz w:val="20"/>
                <w:szCs w:val="20"/>
                <w:lang w:eastAsia="cs-CZ"/>
              </w:rPr>
              <w:t>×</w:t>
            </w:r>
            <w:r w:rsidRPr="009E1731">
              <w:rPr>
                <w:color w:val="000000"/>
                <w:sz w:val="20"/>
                <w:szCs w:val="20"/>
                <w:lang w:eastAsia="cs-CZ"/>
              </w:rPr>
              <w:t xml:space="preserve"> za rok</w:t>
            </w:r>
          </w:p>
        </w:tc>
        <w:tc>
          <w:tcPr>
            <w:tcW w:w="874" w:type="pct"/>
            <w:tcBorders>
              <w:top w:val="nil"/>
              <w:left w:val="nil"/>
              <w:bottom w:val="single" w:sz="4" w:space="0" w:color="auto"/>
              <w:right w:val="single" w:sz="4" w:space="0" w:color="auto"/>
            </w:tcBorders>
            <w:shd w:val="clear" w:color="auto" w:fill="auto"/>
            <w:vAlign w:val="center"/>
            <w:hideMark/>
          </w:tcPr>
          <w:p w14:paraId="56230EEB" w14:textId="55A1BEB7" w:rsidR="001F62E7" w:rsidRPr="009E1731" w:rsidRDefault="001F62E7" w:rsidP="00004505">
            <w:pPr>
              <w:jc w:val="center"/>
              <w:rPr>
                <w:color w:val="000000"/>
                <w:sz w:val="20"/>
                <w:szCs w:val="20"/>
                <w:lang w:eastAsia="cs-CZ"/>
              </w:rPr>
            </w:pPr>
            <w:r w:rsidRPr="009E1731">
              <w:rPr>
                <w:color w:val="000000"/>
                <w:sz w:val="20"/>
                <w:szCs w:val="20"/>
                <w:lang w:eastAsia="cs-CZ"/>
              </w:rPr>
              <w:t>75</w:t>
            </w:r>
            <w:r w:rsidRPr="009E1731">
              <w:rPr>
                <w:color w:val="000000"/>
                <w:sz w:val="20"/>
                <w:szCs w:val="20"/>
                <w:lang w:eastAsia="cs-CZ"/>
              </w:rPr>
              <w:br/>
              <w:t>max. 3</w:t>
            </w:r>
            <w:r w:rsidR="008C57CA">
              <w:rPr>
                <w:rFonts w:cstheme="minorHAnsi"/>
                <w:color w:val="000000"/>
                <w:sz w:val="20"/>
                <w:szCs w:val="20"/>
                <w:lang w:eastAsia="cs-CZ"/>
              </w:rPr>
              <w:t>×</w:t>
            </w:r>
            <w:r w:rsidRPr="009E1731">
              <w:rPr>
                <w:color w:val="000000"/>
                <w:sz w:val="20"/>
                <w:szCs w:val="20"/>
                <w:lang w:eastAsia="cs-CZ"/>
              </w:rPr>
              <w:t xml:space="preserve"> za rok</w:t>
            </w:r>
          </w:p>
        </w:tc>
        <w:tc>
          <w:tcPr>
            <w:tcW w:w="1036" w:type="pct"/>
            <w:tcBorders>
              <w:top w:val="nil"/>
              <w:left w:val="nil"/>
              <w:bottom w:val="single" w:sz="4" w:space="0" w:color="auto"/>
              <w:right w:val="single" w:sz="4" w:space="0" w:color="auto"/>
            </w:tcBorders>
            <w:shd w:val="clear" w:color="auto" w:fill="auto"/>
            <w:vAlign w:val="center"/>
            <w:hideMark/>
          </w:tcPr>
          <w:p w14:paraId="1A00329A" w14:textId="391E53F7" w:rsidR="001F62E7" w:rsidRPr="009E1731" w:rsidRDefault="001F62E7" w:rsidP="00004505">
            <w:pPr>
              <w:jc w:val="center"/>
              <w:rPr>
                <w:color w:val="000000"/>
                <w:sz w:val="20"/>
                <w:szCs w:val="20"/>
                <w:lang w:eastAsia="cs-CZ"/>
              </w:rPr>
            </w:pPr>
            <w:r w:rsidRPr="009E1731">
              <w:rPr>
                <w:color w:val="000000"/>
                <w:sz w:val="20"/>
                <w:szCs w:val="20"/>
                <w:lang w:eastAsia="cs-CZ"/>
              </w:rPr>
              <w:t>125</w:t>
            </w:r>
            <w:r w:rsidRPr="009E1731">
              <w:rPr>
                <w:color w:val="000000"/>
                <w:sz w:val="20"/>
                <w:szCs w:val="20"/>
                <w:lang w:eastAsia="cs-CZ"/>
              </w:rPr>
              <w:br/>
              <w:t>max. 3</w:t>
            </w:r>
            <w:r w:rsidR="008C57CA">
              <w:rPr>
                <w:rFonts w:cstheme="minorHAnsi"/>
                <w:color w:val="000000"/>
                <w:sz w:val="20"/>
                <w:szCs w:val="20"/>
                <w:lang w:eastAsia="cs-CZ"/>
              </w:rPr>
              <w:t>×</w:t>
            </w:r>
            <w:r w:rsidRPr="009E1731">
              <w:rPr>
                <w:color w:val="000000"/>
                <w:sz w:val="20"/>
                <w:szCs w:val="20"/>
                <w:lang w:eastAsia="cs-CZ"/>
              </w:rPr>
              <w:t xml:space="preserve"> za rok </w:t>
            </w:r>
          </w:p>
        </w:tc>
      </w:tr>
      <w:tr w:rsidR="001F62E7" w:rsidRPr="009E1731" w14:paraId="5A617AE3" w14:textId="77777777" w:rsidTr="008C57CA">
        <w:trPr>
          <w:trHeight w:val="20"/>
        </w:trPr>
        <w:tc>
          <w:tcPr>
            <w:tcW w:w="8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FF13A8" w14:textId="77777777" w:rsidR="001F62E7" w:rsidRPr="009E1731" w:rsidRDefault="001F62E7" w:rsidP="00004505">
            <w:pPr>
              <w:jc w:val="center"/>
              <w:rPr>
                <w:color w:val="000000"/>
                <w:sz w:val="20"/>
                <w:szCs w:val="20"/>
                <w:lang w:eastAsia="cs-CZ"/>
              </w:rPr>
            </w:pPr>
            <w:r w:rsidRPr="009E1731">
              <w:rPr>
                <w:color w:val="000000"/>
                <w:sz w:val="20"/>
                <w:szCs w:val="20"/>
                <w:lang w:eastAsia="cs-CZ"/>
              </w:rPr>
              <w:t>NO</w:t>
            </w:r>
            <w:r w:rsidRPr="009E1731">
              <w:rPr>
                <w:color w:val="000000"/>
                <w:sz w:val="20"/>
                <w:szCs w:val="20"/>
                <w:vertAlign w:val="subscript"/>
                <w:lang w:eastAsia="cs-CZ"/>
              </w:rPr>
              <w:t>2</w:t>
            </w:r>
          </w:p>
        </w:tc>
        <w:tc>
          <w:tcPr>
            <w:tcW w:w="1320" w:type="pct"/>
            <w:tcBorders>
              <w:top w:val="nil"/>
              <w:left w:val="nil"/>
              <w:bottom w:val="single" w:sz="4" w:space="0" w:color="auto"/>
              <w:right w:val="single" w:sz="4" w:space="0" w:color="auto"/>
            </w:tcBorders>
            <w:shd w:val="clear" w:color="auto" w:fill="auto"/>
            <w:noWrap/>
            <w:vAlign w:val="center"/>
            <w:hideMark/>
          </w:tcPr>
          <w:p w14:paraId="45A1CE7A" w14:textId="77777777" w:rsidR="001F62E7" w:rsidRPr="009E1731" w:rsidRDefault="001F62E7" w:rsidP="008C57CA">
            <w:pPr>
              <w:jc w:val="center"/>
              <w:rPr>
                <w:color w:val="000000"/>
                <w:sz w:val="20"/>
                <w:szCs w:val="20"/>
                <w:lang w:eastAsia="cs-CZ"/>
              </w:rPr>
            </w:pPr>
            <w:r w:rsidRPr="009E1731">
              <w:rPr>
                <w:color w:val="000000"/>
                <w:sz w:val="20"/>
                <w:szCs w:val="20"/>
                <w:lang w:eastAsia="cs-CZ"/>
              </w:rPr>
              <w:t>1 hodina</w:t>
            </w:r>
          </w:p>
        </w:tc>
        <w:tc>
          <w:tcPr>
            <w:tcW w:w="874" w:type="pct"/>
            <w:tcBorders>
              <w:top w:val="nil"/>
              <w:left w:val="nil"/>
              <w:bottom w:val="single" w:sz="4" w:space="0" w:color="auto"/>
              <w:right w:val="single" w:sz="4" w:space="0" w:color="auto"/>
            </w:tcBorders>
            <w:shd w:val="clear" w:color="auto" w:fill="auto"/>
            <w:vAlign w:val="center"/>
            <w:hideMark/>
          </w:tcPr>
          <w:p w14:paraId="6B7AEBDE" w14:textId="5B87EA45" w:rsidR="001F62E7" w:rsidRPr="009E1731" w:rsidRDefault="001F62E7" w:rsidP="00004505">
            <w:pPr>
              <w:jc w:val="center"/>
              <w:rPr>
                <w:color w:val="000000"/>
                <w:sz w:val="20"/>
                <w:szCs w:val="20"/>
                <w:lang w:eastAsia="cs-CZ"/>
              </w:rPr>
            </w:pPr>
            <w:r w:rsidRPr="009E1731">
              <w:rPr>
                <w:color w:val="000000"/>
                <w:sz w:val="20"/>
                <w:szCs w:val="20"/>
                <w:lang w:eastAsia="cs-CZ"/>
              </w:rPr>
              <w:t>100</w:t>
            </w:r>
            <w:r w:rsidRPr="009E1731">
              <w:rPr>
                <w:color w:val="000000"/>
                <w:sz w:val="20"/>
                <w:szCs w:val="20"/>
                <w:lang w:eastAsia="cs-CZ"/>
              </w:rPr>
              <w:br/>
              <w:t>max. 18</w:t>
            </w:r>
            <w:r w:rsidR="008C57CA">
              <w:rPr>
                <w:rFonts w:cstheme="minorHAnsi"/>
                <w:color w:val="000000"/>
                <w:sz w:val="20"/>
                <w:szCs w:val="20"/>
                <w:lang w:eastAsia="cs-CZ"/>
              </w:rPr>
              <w:t>×</w:t>
            </w:r>
            <w:r w:rsidRPr="009E1731">
              <w:rPr>
                <w:color w:val="000000"/>
                <w:sz w:val="20"/>
                <w:szCs w:val="20"/>
                <w:lang w:eastAsia="cs-CZ"/>
              </w:rPr>
              <w:t xml:space="preserve"> za rok</w:t>
            </w:r>
          </w:p>
        </w:tc>
        <w:tc>
          <w:tcPr>
            <w:tcW w:w="874" w:type="pct"/>
            <w:tcBorders>
              <w:top w:val="nil"/>
              <w:left w:val="nil"/>
              <w:bottom w:val="single" w:sz="4" w:space="0" w:color="auto"/>
              <w:right w:val="single" w:sz="4" w:space="0" w:color="auto"/>
            </w:tcBorders>
            <w:shd w:val="clear" w:color="auto" w:fill="auto"/>
            <w:vAlign w:val="center"/>
            <w:hideMark/>
          </w:tcPr>
          <w:p w14:paraId="65B7A3C6" w14:textId="0833341C" w:rsidR="001F62E7" w:rsidRPr="009E1731" w:rsidRDefault="001F62E7" w:rsidP="00004505">
            <w:pPr>
              <w:jc w:val="center"/>
              <w:rPr>
                <w:color w:val="000000"/>
                <w:sz w:val="20"/>
                <w:szCs w:val="20"/>
                <w:lang w:eastAsia="cs-CZ"/>
              </w:rPr>
            </w:pPr>
            <w:r w:rsidRPr="009E1731">
              <w:rPr>
                <w:color w:val="000000"/>
                <w:sz w:val="20"/>
                <w:szCs w:val="20"/>
                <w:lang w:eastAsia="cs-CZ"/>
              </w:rPr>
              <w:t>140</w:t>
            </w:r>
            <w:r w:rsidRPr="009E1731">
              <w:rPr>
                <w:color w:val="000000"/>
                <w:sz w:val="20"/>
                <w:szCs w:val="20"/>
                <w:lang w:eastAsia="cs-CZ"/>
              </w:rPr>
              <w:br/>
              <w:t>max. 18</w:t>
            </w:r>
            <w:r w:rsidR="008C57CA">
              <w:rPr>
                <w:rFonts w:cstheme="minorHAnsi"/>
                <w:color w:val="000000"/>
                <w:sz w:val="20"/>
                <w:szCs w:val="20"/>
                <w:lang w:eastAsia="cs-CZ"/>
              </w:rPr>
              <w:t>×</w:t>
            </w:r>
            <w:r w:rsidRPr="009E1731">
              <w:rPr>
                <w:color w:val="000000"/>
                <w:sz w:val="20"/>
                <w:szCs w:val="20"/>
                <w:lang w:eastAsia="cs-CZ"/>
              </w:rPr>
              <w:t xml:space="preserve"> za rok</w:t>
            </w:r>
          </w:p>
        </w:tc>
        <w:tc>
          <w:tcPr>
            <w:tcW w:w="1036" w:type="pct"/>
            <w:tcBorders>
              <w:top w:val="nil"/>
              <w:left w:val="nil"/>
              <w:bottom w:val="single" w:sz="4" w:space="0" w:color="auto"/>
              <w:right w:val="single" w:sz="4" w:space="0" w:color="auto"/>
            </w:tcBorders>
            <w:shd w:val="clear" w:color="auto" w:fill="auto"/>
            <w:vAlign w:val="center"/>
            <w:hideMark/>
          </w:tcPr>
          <w:p w14:paraId="5112D425" w14:textId="2F62BDE3" w:rsidR="001F62E7" w:rsidRPr="009E1731" w:rsidRDefault="001F62E7" w:rsidP="00004505">
            <w:pPr>
              <w:jc w:val="center"/>
              <w:rPr>
                <w:color w:val="000000"/>
                <w:sz w:val="20"/>
                <w:szCs w:val="20"/>
                <w:lang w:eastAsia="cs-CZ"/>
              </w:rPr>
            </w:pPr>
            <w:r w:rsidRPr="009E1731">
              <w:rPr>
                <w:color w:val="000000"/>
                <w:sz w:val="20"/>
                <w:szCs w:val="20"/>
                <w:lang w:eastAsia="cs-CZ"/>
              </w:rPr>
              <w:t>200</w:t>
            </w:r>
            <w:r w:rsidRPr="009E1731">
              <w:rPr>
                <w:color w:val="000000"/>
                <w:sz w:val="20"/>
                <w:szCs w:val="20"/>
                <w:lang w:eastAsia="cs-CZ"/>
              </w:rPr>
              <w:br/>
              <w:t>max. 18</w:t>
            </w:r>
            <w:r w:rsidR="008C57CA">
              <w:rPr>
                <w:rFonts w:cstheme="minorHAnsi"/>
                <w:color w:val="000000"/>
                <w:sz w:val="20"/>
                <w:szCs w:val="20"/>
                <w:lang w:eastAsia="cs-CZ"/>
              </w:rPr>
              <w:t>×</w:t>
            </w:r>
            <w:r w:rsidRPr="009E1731">
              <w:rPr>
                <w:color w:val="000000"/>
                <w:sz w:val="20"/>
                <w:szCs w:val="20"/>
                <w:lang w:eastAsia="cs-CZ"/>
              </w:rPr>
              <w:t xml:space="preserve"> za rok</w:t>
            </w:r>
          </w:p>
        </w:tc>
      </w:tr>
      <w:tr w:rsidR="001F62E7" w:rsidRPr="009E1731" w14:paraId="33553493" w14:textId="77777777" w:rsidTr="008C57CA">
        <w:trPr>
          <w:trHeight w:val="20"/>
        </w:trPr>
        <w:tc>
          <w:tcPr>
            <w:tcW w:w="896" w:type="pct"/>
            <w:vMerge/>
            <w:tcBorders>
              <w:top w:val="nil"/>
              <w:left w:val="single" w:sz="4" w:space="0" w:color="auto"/>
              <w:bottom w:val="single" w:sz="4" w:space="0" w:color="auto"/>
              <w:right w:val="single" w:sz="4" w:space="0" w:color="auto"/>
            </w:tcBorders>
            <w:vAlign w:val="center"/>
            <w:hideMark/>
          </w:tcPr>
          <w:p w14:paraId="68B4426F" w14:textId="77777777" w:rsidR="001F62E7" w:rsidRPr="009E1731" w:rsidRDefault="001F62E7" w:rsidP="00004505">
            <w:pPr>
              <w:rPr>
                <w:color w:val="000000"/>
                <w:sz w:val="20"/>
                <w:szCs w:val="20"/>
                <w:lang w:eastAsia="cs-CZ"/>
              </w:rPr>
            </w:pPr>
          </w:p>
        </w:tc>
        <w:tc>
          <w:tcPr>
            <w:tcW w:w="1320" w:type="pct"/>
            <w:tcBorders>
              <w:top w:val="nil"/>
              <w:left w:val="nil"/>
              <w:bottom w:val="single" w:sz="4" w:space="0" w:color="auto"/>
              <w:right w:val="single" w:sz="4" w:space="0" w:color="auto"/>
            </w:tcBorders>
            <w:shd w:val="clear" w:color="auto" w:fill="auto"/>
            <w:noWrap/>
            <w:vAlign w:val="center"/>
            <w:hideMark/>
          </w:tcPr>
          <w:p w14:paraId="666592B5" w14:textId="7A1B6B47" w:rsidR="001F62E7" w:rsidRPr="009E1731" w:rsidRDefault="001965B0" w:rsidP="008C57CA">
            <w:pPr>
              <w:jc w:val="center"/>
              <w:rPr>
                <w:color w:val="000000"/>
                <w:sz w:val="20"/>
                <w:szCs w:val="20"/>
                <w:lang w:eastAsia="cs-CZ"/>
              </w:rPr>
            </w:pPr>
            <w:r>
              <w:rPr>
                <w:color w:val="000000"/>
                <w:sz w:val="20"/>
                <w:szCs w:val="20"/>
                <w:lang w:eastAsia="cs-CZ"/>
              </w:rPr>
              <w:t>K</w:t>
            </w:r>
            <w:r w:rsidR="001F62E7" w:rsidRPr="009E1731">
              <w:rPr>
                <w:color w:val="000000"/>
                <w:sz w:val="20"/>
                <w:szCs w:val="20"/>
                <w:lang w:eastAsia="cs-CZ"/>
              </w:rPr>
              <w:t>alendářní rok</w:t>
            </w:r>
          </w:p>
        </w:tc>
        <w:tc>
          <w:tcPr>
            <w:tcW w:w="874" w:type="pct"/>
            <w:tcBorders>
              <w:top w:val="nil"/>
              <w:left w:val="nil"/>
              <w:bottom w:val="single" w:sz="4" w:space="0" w:color="auto"/>
              <w:right w:val="single" w:sz="4" w:space="0" w:color="auto"/>
            </w:tcBorders>
            <w:shd w:val="clear" w:color="auto" w:fill="auto"/>
            <w:vAlign w:val="center"/>
            <w:hideMark/>
          </w:tcPr>
          <w:p w14:paraId="61BA29A8" w14:textId="77777777" w:rsidR="001F62E7" w:rsidRPr="009E1731" w:rsidRDefault="001F62E7" w:rsidP="00004505">
            <w:pPr>
              <w:jc w:val="center"/>
              <w:rPr>
                <w:color w:val="000000"/>
                <w:sz w:val="20"/>
                <w:szCs w:val="20"/>
                <w:lang w:eastAsia="cs-CZ"/>
              </w:rPr>
            </w:pPr>
            <w:r w:rsidRPr="009E1731">
              <w:rPr>
                <w:color w:val="000000"/>
                <w:sz w:val="20"/>
                <w:szCs w:val="20"/>
                <w:lang w:eastAsia="cs-CZ"/>
              </w:rPr>
              <w:t>26</w:t>
            </w:r>
          </w:p>
        </w:tc>
        <w:tc>
          <w:tcPr>
            <w:tcW w:w="874" w:type="pct"/>
            <w:tcBorders>
              <w:top w:val="nil"/>
              <w:left w:val="nil"/>
              <w:bottom w:val="single" w:sz="4" w:space="0" w:color="auto"/>
              <w:right w:val="single" w:sz="4" w:space="0" w:color="auto"/>
            </w:tcBorders>
            <w:shd w:val="clear" w:color="auto" w:fill="auto"/>
            <w:vAlign w:val="center"/>
            <w:hideMark/>
          </w:tcPr>
          <w:p w14:paraId="3DDCEE32" w14:textId="77777777" w:rsidR="001F62E7" w:rsidRPr="009E1731" w:rsidRDefault="001F62E7" w:rsidP="00004505">
            <w:pPr>
              <w:jc w:val="center"/>
              <w:rPr>
                <w:color w:val="000000"/>
                <w:sz w:val="20"/>
                <w:szCs w:val="20"/>
                <w:lang w:eastAsia="cs-CZ"/>
              </w:rPr>
            </w:pPr>
            <w:r w:rsidRPr="009E1731">
              <w:rPr>
                <w:color w:val="000000"/>
                <w:sz w:val="20"/>
                <w:szCs w:val="20"/>
                <w:lang w:eastAsia="cs-CZ"/>
              </w:rPr>
              <w:t>32</w:t>
            </w:r>
          </w:p>
        </w:tc>
        <w:tc>
          <w:tcPr>
            <w:tcW w:w="1036" w:type="pct"/>
            <w:tcBorders>
              <w:top w:val="nil"/>
              <w:left w:val="nil"/>
              <w:bottom w:val="single" w:sz="4" w:space="0" w:color="auto"/>
              <w:right w:val="single" w:sz="4" w:space="0" w:color="auto"/>
            </w:tcBorders>
            <w:shd w:val="clear" w:color="auto" w:fill="auto"/>
            <w:vAlign w:val="center"/>
            <w:hideMark/>
          </w:tcPr>
          <w:p w14:paraId="5FAAB7AC" w14:textId="77777777" w:rsidR="001F62E7" w:rsidRPr="009E1731" w:rsidRDefault="001F62E7" w:rsidP="00004505">
            <w:pPr>
              <w:jc w:val="center"/>
              <w:rPr>
                <w:color w:val="000000"/>
                <w:sz w:val="20"/>
                <w:szCs w:val="20"/>
                <w:lang w:eastAsia="cs-CZ"/>
              </w:rPr>
            </w:pPr>
            <w:r w:rsidRPr="009E1731">
              <w:rPr>
                <w:color w:val="000000"/>
                <w:sz w:val="20"/>
                <w:szCs w:val="20"/>
                <w:lang w:eastAsia="cs-CZ"/>
              </w:rPr>
              <w:t>40</w:t>
            </w:r>
          </w:p>
        </w:tc>
      </w:tr>
      <w:tr w:rsidR="001F62E7" w:rsidRPr="009E1731" w14:paraId="31C61767" w14:textId="77777777" w:rsidTr="008C57CA">
        <w:trPr>
          <w:trHeight w:val="20"/>
        </w:trPr>
        <w:tc>
          <w:tcPr>
            <w:tcW w:w="8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6CEC53D" w14:textId="77777777" w:rsidR="001F62E7" w:rsidRPr="009E1731" w:rsidRDefault="001F62E7" w:rsidP="00004505">
            <w:pPr>
              <w:jc w:val="center"/>
              <w:rPr>
                <w:color w:val="000000"/>
                <w:sz w:val="20"/>
                <w:szCs w:val="20"/>
                <w:lang w:eastAsia="cs-CZ"/>
              </w:rPr>
            </w:pPr>
            <w:r w:rsidRPr="009E1731">
              <w:rPr>
                <w:color w:val="000000"/>
                <w:sz w:val="20"/>
                <w:szCs w:val="20"/>
                <w:lang w:eastAsia="cs-CZ"/>
              </w:rPr>
              <w:t>PM</w:t>
            </w:r>
            <w:r w:rsidRPr="009E1731">
              <w:rPr>
                <w:color w:val="000000"/>
                <w:sz w:val="20"/>
                <w:szCs w:val="20"/>
                <w:vertAlign w:val="subscript"/>
                <w:lang w:eastAsia="cs-CZ"/>
              </w:rPr>
              <w:t>10</w:t>
            </w:r>
          </w:p>
        </w:tc>
        <w:tc>
          <w:tcPr>
            <w:tcW w:w="1320" w:type="pct"/>
            <w:tcBorders>
              <w:top w:val="nil"/>
              <w:left w:val="nil"/>
              <w:bottom w:val="single" w:sz="4" w:space="0" w:color="auto"/>
              <w:right w:val="single" w:sz="4" w:space="0" w:color="auto"/>
            </w:tcBorders>
            <w:shd w:val="clear" w:color="auto" w:fill="auto"/>
            <w:noWrap/>
            <w:vAlign w:val="center"/>
            <w:hideMark/>
          </w:tcPr>
          <w:p w14:paraId="2571AD32" w14:textId="77777777" w:rsidR="001F62E7" w:rsidRPr="009E1731" w:rsidRDefault="001F62E7" w:rsidP="008C57CA">
            <w:pPr>
              <w:jc w:val="center"/>
              <w:rPr>
                <w:color w:val="000000"/>
                <w:sz w:val="20"/>
                <w:szCs w:val="20"/>
                <w:lang w:eastAsia="cs-CZ"/>
              </w:rPr>
            </w:pPr>
            <w:r w:rsidRPr="009E1731">
              <w:rPr>
                <w:color w:val="000000"/>
                <w:sz w:val="20"/>
                <w:szCs w:val="20"/>
                <w:lang w:eastAsia="cs-CZ"/>
              </w:rPr>
              <w:t>24 hodin</w:t>
            </w:r>
          </w:p>
        </w:tc>
        <w:tc>
          <w:tcPr>
            <w:tcW w:w="874" w:type="pct"/>
            <w:tcBorders>
              <w:top w:val="nil"/>
              <w:left w:val="nil"/>
              <w:bottom w:val="single" w:sz="4" w:space="0" w:color="auto"/>
              <w:right w:val="single" w:sz="4" w:space="0" w:color="auto"/>
            </w:tcBorders>
            <w:shd w:val="clear" w:color="auto" w:fill="auto"/>
            <w:vAlign w:val="center"/>
            <w:hideMark/>
          </w:tcPr>
          <w:p w14:paraId="150E308E" w14:textId="08EF7D61" w:rsidR="001F62E7" w:rsidRPr="009E1731" w:rsidRDefault="001F62E7" w:rsidP="00004505">
            <w:pPr>
              <w:jc w:val="center"/>
              <w:rPr>
                <w:color w:val="000000"/>
                <w:sz w:val="20"/>
                <w:szCs w:val="20"/>
                <w:lang w:eastAsia="cs-CZ"/>
              </w:rPr>
            </w:pPr>
            <w:r w:rsidRPr="009E1731">
              <w:rPr>
                <w:color w:val="000000"/>
                <w:sz w:val="20"/>
                <w:szCs w:val="20"/>
                <w:lang w:eastAsia="cs-CZ"/>
              </w:rPr>
              <w:t>25</w:t>
            </w:r>
            <w:r w:rsidRPr="009E1731">
              <w:rPr>
                <w:color w:val="000000"/>
                <w:sz w:val="20"/>
                <w:szCs w:val="20"/>
                <w:lang w:eastAsia="cs-CZ"/>
              </w:rPr>
              <w:br/>
              <w:t>max. 35</w:t>
            </w:r>
            <w:r w:rsidR="008C57CA">
              <w:rPr>
                <w:rFonts w:cstheme="minorHAnsi"/>
                <w:color w:val="000000"/>
                <w:sz w:val="20"/>
                <w:szCs w:val="20"/>
                <w:lang w:eastAsia="cs-CZ"/>
              </w:rPr>
              <w:t>×</w:t>
            </w:r>
            <w:r w:rsidRPr="009E1731">
              <w:rPr>
                <w:color w:val="000000"/>
                <w:sz w:val="20"/>
                <w:szCs w:val="20"/>
                <w:lang w:eastAsia="cs-CZ"/>
              </w:rPr>
              <w:t xml:space="preserve"> za rok</w:t>
            </w:r>
          </w:p>
        </w:tc>
        <w:tc>
          <w:tcPr>
            <w:tcW w:w="874" w:type="pct"/>
            <w:tcBorders>
              <w:top w:val="nil"/>
              <w:left w:val="nil"/>
              <w:bottom w:val="single" w:sz="4" w:space="0" w:color="auto"/>
              <w:right w:val="single" w:sz="4" w:space="0" w:color="auto"/>
            </w:tcBorders>
            <w:shd w:val="clear" w:color="auto" w:fill="auto"/>
            <w:vAlign w:val="center"/>
            <w:hideMark/>
          </w:tcPr>
          <w:p w14:paraId="5C6985CF" w14:textId="66A9AC02" w:rsidR="001F62E7" w:rsidRPr="009E1731" w:rsidRDefault="001F62E7" w:rsidP="00004505">
            <w:pPr>
              <w:jc w:val="center"/>
              <w:rPr>
                <w:color w:val="000000"/>
                <w:sz w:val="20"/>
                <w:szCs w:val="20"/>
                <w:lang w:eastAsia="cs-CZ"/>
              </w:rPr>
            </w:pPr>
            <w:r w:rsidRPr="009E1731">
              <w:rPr>
                <w:color w:val="000000"/>
                <w:sz w:val="20"/>
                <w:szCs w:val="20"/>
                <w:lang w:eastAsia="cs-CZ"/>
              </w:rPr>
              <w:t>35</w:t>
            </w:r>
            <w:r w:rsidRPr="009E1731">
              <w:rPr>
                <w:color w:val="000000"/>
                <w:sz w:val="20"/>
                <w:szCs w:val="20"/>
                <w:lang w:eastAsia="cs-CZ"/>
              </w:rPr>
              <w:br/>
              <w:t>max. 35</w:t>
            </w:r>
            <w:r w:rsidR="008C57CA">
              <w:rPr>
                <w:rFonts w:cstheme="minorHAnsi"/>
                <w:color w:val="000000"/>
                <w:sz w:val="20"/>
                <w:szCs w:val="20"/>
                <w:lang w:eastAsia="cs-CZ"/>
              </w:rPr>
              <w:t>×</w:t>
            </w:r>
            <w:r w:rsidRPr="009E1731">
              <w:rPr>
                <w:color w:val="000000"/>
                <w:sz w:val="20"/>
                <w:szCs w:val="20"/>
                <w:lang w:eastAsia="cs-CZ"/>
              </w:rPr>
              <w:t xml:space="preserve"> za rok</w:t>
            </w:r>
          </w:p>
        </w:tc>
        <w:tc>
          <w:tcPr>
            <w:tcW w:w="1036" w:type="pct"/>
            <w:tcBorders>
              <w:top w:val="nil"/>
              <w:left w:val="nil"/>
              <w:bottom w:val="single" w:sz="4" w:space="0" w:color="auto"/>
              <w:right w:val="single" w:sz="4" w:space="0" w:color="auto"/>
            </w:tcBorders>
            <w:shd w:val="clear" w:color="auto" w:fill="auto"/>
            <w:vAlign w:val="center"/>
            <w:hideMark/>
          </w:tcPr>
          <w:p w14:paraId="573F4850" w14:textId="1638A44B" w:rsidR="001F62E7" w:rsidRPr="009E1731" w:rsidRDefault="001F62E7" w:rsidP="00004505">
            <w:pPr>
              <w:jc w:val="center"/>
              <w:rPr>
                <w:color w:val="000000"/>
                <w:sz w:val="20"/>
                <w:szCs w:val="20"/>
                <w:lang w:eastAsia="cs-CZ"/>
              </w:rPr>
            </w:pPr>
            <w:r w:rsidRPr="009E1731">
              <w:rPr>
                <w:color w:val="000000"/>
                <w:sz w:val="20"/>
                <w:szCs w:val="20"/>
                <w:lang w:eastAsia="cs-CZ"/>
              </w:rPr>
              <w:t>50</w:t>
            </w:r>
            <w:r w:rsidRPr="009E1731">
              <w:rPr>
                <w:color w:val="000000"/>
                <w:sz w:val="20"/>
                <w:szCs w:val="20"/>
                <w:lang w:eastAsia="cs-CZ"/>
              </w:rPr>
              <w:br/>
              <w:t>max. 35</w:t>
            </w:r>
            <w:r w:rsidR="008C57CA">
              <w:rPr>
                <w:rFonts w:cstheme="minorHAnsi"/>
                <w:color w:val="000000"/>
                <w:sz w:val="20"/>
                <w:szCs w:val="20"/>
                <w:lang w:eastAsia="cs-CZ"/>
              </w:rPr>
              <w:t>×</w:t>
            </w:r>
            <w:r w:rsidRPr="009E1731">
              <w:rPr>
                <w:color w:val="000000"/>
                <w:sz w:val="20"/>
                <w:szCs w:val="20"/>
                <w:lang w:eastAsia="cs-CZ"/>
              </w:rPr>
              <w:t xml:space="preserve"> za rok</w:t>
            </w:r>
          </w:p>
        </w:tc>
      </w:tr>
      <w:tr w:rsidR="001F62E7" w:rsidRPr="009E1731" w14:paraId="20C90F50" w14:textId="77777777" w:rsidTr="008C57CA">
        <w:trPr>
          <w:trHeight w:val="20"/>
        </w:trPr>
        <w:tc>
          <w:tcPr>
            <w:tcW w:w="896" w:type="pct"/>
            <w:vMerge/>
            <w:tcBorders>
              <w:top w:val="nil"/>
              <w:left w:val="single" w:sz="4" w:space="0" w:color="auto"/>
              <w:bottom w:val="single" w:sz="4" w:space="0" w:color="auto"/>
              <w:right w:val="single" w:sz="4" w:space="0" w:color="auto"/>
            </w:tcBorders>
            <w:vAlign w:val="center"/>
            <w:hideMark/>
          </w:tcPr>
          <w:p w14:paraId="177CAB4E" w14:textId="77777777" w:rsidR="001F62E7" w:rsidRPr="009E1731" w:rsidRDefault="001F62E7" w:rsidP="00004505">
            <w:pPr>
              <w:rPr>
                <w:color w:val="000000"/>
                <w:sz w:val="20"/>
                <w:szCs w:val="20"/>
                <w:lang w:eastAsia="cs-CZ"/>
              </w:rPr>
            </w:pPr>
          </w:p>
        </w:tc>
        <w:tc>
          <w:tcPr>
            <w:tcW w:w="1320" w:type="pct"/>
            <w:tcBorders>
              <w:top w:val="nil"/>
              <w:left w:val="nil"/>
              <w:bottom w:val="single" w:sz="4" w:space="0" w:color="auto"/>
              <w:right w:val="single" w:sz="4" w:space="0" w:color="auto"/>
            </w:tcBorders>
            <w:shd w:val="clear" w:color="auto" w:fill="auto"/>
            <w:noWrap/>
            <w:vAlign w:val="center"/>
            <w:hideMark/>
          </w:tcPr>
          <w:p w14:paraId="24C47D7E" w14:textId="16038360" w:rsidR="001F62E7" w:rsidRPr="009E1731" w:rsidRDefault="001965B0" w:rsidP="008C57CA">
            <w:pPr>
              <w:jc w:val="center"/>
              <w:rPr>
                <w:color w:val="000000"/>
                <w:sz w:val="20"/>
                <w:szCs w:val="20"/>
                <w:lang w:eastAsia="cs-CZ"/>
              </w:rPr>
            </w:pPr>
            <w:r>
              <w:rPr>
                <w:color w:val="000000"/>
                <w:sz w:val="20"/>
                <w:szCs w:val="20"/>
                <w:lang w:eastAsia="cs-CZ"/>
              </w:rPr>
              <w:t>K</w:t>
            </w:r>
            <w:r w:rsidR="001F62E7" w:rsidRPr="009E1731">
              <w:rPr>
                <w:color w:val="000000"/>
                <w:sz w:val="20"/>
                <w:szCs w:val="20"/>
                <w:lang w:eastAsia="cs-CZ"/>
              </w:rPr>
              <w:t>alendářní rok</w:t>
            </w:r>
          </w:p>
        </w:tc>
        <w:tc>
          <w:tcPr>
            <w:tcW w:w="874" w:type="pct"/>
            <w:tcBorders>
              <w:top w:val="nil"/>
              <w:left w:val="nil"/>
              <w:bottom w:val="single" w:sz="4" w:space="0" w:color="auto"/>
              <w:right w:val="single" w:sz="4" w:space="0" w:color="auto"/>
            </w:tcBorders>
            <w:shd w:val="clear" w:color="auto" w:fill="auto"/>
            <w:vAlign w:val="center"/>
            <w:hideMark/>
          </w:tcPr>
          <w:p w14:paraId="210F206B" w14:textId="77777777" w:rsidR="001F62E7" w:rsidRPr="009E1731" w:rsidRDefault="001F62E7" w:rsidP="00004505">
            <w:pPr>
              <w:jc w:val="center"/>
              <w:rPr>
                <w:color w:val="000000"/>
                <w:sz w:val="20"/>
                <w:szCs w:val="20"/>
                <w:lang w:eastAsia="cs-CZ"/>
              </w:rPr>
            </w:pPr>
            <w:r w:rsidRPr="009E1731">
              <w:rPr>
                <w:color w:val="000000"/>
                <w:sz w:val="20"/>
                <w:szCs w:val="20"/>
                <w:lang w:eastAsia="cs-CZ"/>
              </w:rPr>
              <w:t>20</w:t>
            </w:r>
          </w:p>
        </w:tc>
        <w:tc>
          <w:tcPr>
            <w:tcW w:w="874" w:type="pct"/>
            <w:tcBorders>
              <w:top w:val="nil"/>
              <w:left w:val="nil"/>
              <w:bottom w:val="single" w:sz="4" w:space="0" w:color="auto"/>
              <w:right w:val="single" w:sz="4" w:space="0" w:color="auto"/>
            </w:tcBorders>
            <w:shd w:val="clear" w:color="auto" w:fill="auto"/>
            <w:vAlign w:val="center"/>
            <w:hideMark/>
          </w:tcPr>
          <w:p w14:paraId="5C5B73F3" w14:textId="77777777" w:rsidR="001F62E7" w:rsidRPr="009E1731" w:rsidRDefault="001F62E7" w:rsidP="00004505">
            <w:pPr>
              <w:jc w:val="center"/>
              <w:rPr>
                <w:color w:val="000000"/>
                <w:sz w:val="20"/>
                <w:szCs w:val="20"/>
                <w:lang w:eastAsia="cs-CZ"/>
              </w:rPr>
            </w:pPr>
            <w:r w:rsidRPr="009E1731">
              <w:rPr>
                <w:color w:val="000000"/>
                <w:sz w:val="20"/>
                <w:szCs w:val="20"/>
                <w:lang w:eastAsia="cs-CZ"/>
              </w:rPr>
              <w:t>28</w:t>
            </w:r>
          </w:p>
        </w:tc>
        <w:tc>
          <w:tcPr>
            <w:tcW w:w="1036" w:type="pct"/>
            <w:tcBorders>
              <w:top w:val="nil"/>
              <w:left w:val="nil"/>
              <w:bottom w:val="single" w:sz="4" w:space="0" w:color="auto"/>
              <w:right w:val="single" w:sz="4" w:space="0" w:color="auto"/>
            </w:tcBorders>
            <w:shd w:val="clear" w:color="auto" w:fill="auto"/>
            <w:vAlign w:val="center"/>
            <w:hideMark/>
          </w:tcPr>
          <w:p w14:paraId="3B7C0B44" w14:textId="77777777" w:rsidR="001F62E7" w:rsidRPr="009E1731" w:rsidRDefault="001F62E7" w:rsidP="00004505">
            <w:pPr>
              <w:jc w:val="center"/>
              <w:rPr>
                <w:color w:val="000000"/>
                <w:sz w:val="20"/>
                <w:szCs w:val="20"/>
                <w:lang w:eastAsia="cs-CZ"/>
              </w:rPr>
            </w:pPr>
            <w:r w:rsidRPr="009E1731">
              <w:rPr>
                <w:color w:val="000000"/>
                <w:sz w:val="20"/>
                <w:szCs w:val="20"/>
                <w:lang w:eastAsia="cs-CZ"/>
              </w:rPr>
              <w:t>40</w:t>
            </w:r>
          </w:p>
        </w:tc>
      </w:tr>
      <w:tr w:rsidR="001F62E7" w:rsidRPr="009E1731" w14:paraId="77627EEC" w14:textId="77777777" w:rsidTr="008C57CA">
        <w:trPr>
          <w:trHeight w:val="20"/>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5C5D4135" w14:textId="77777777" w:rsidR="001F62E7" w:rsidRPr="009E1731" w:rsidRDefault="001F62E7" w:rsidP="00004505">
            <w:pPr>
              <w:jc w:val="center"/>
              <w:rPr>
                <w:color w:val="000000"/>
                <w:sz w:val="20"/>
                <w:szCs w:val="20"/>
                <w:lang w:eastAsia="cs-CZ"/>
              </w:rPr>
            </w:pPr>
            <w:r w:rsidRPr="009E1731">
              <w:rPr>
                <w:color w:val="000000"/>
                <w:sz w:val="20"/>
                <w:szCs w:val="20"/>
                <w:lang w:eastAsia="cs-CZ"/>
              </w:rPr>
              <w:t>PM</w:t>
            </w:r>
            <w:r w:rsidRPr="009E1731">
              <w:rPr>
                <w:color w:val="000000"/>
                <w:sz w:val="20"/>
                <w:szCs w:val="20"/>
                <w:vertAlign w:val="subscript"/>
                <w:lang w:eastAsia="cs-CZ"/>
              </w:rPr>
              <w:t>2,5</w:t>
            </w:r>
          </w:p>
        </w:tc>
        <w:tc>
          <w:tcPr>
            <w:tcW w:w="1320" w:type="pct"/>
            <w:tcBorders>
              <w:top w:val="nil"/>
              <w:left w:val="nil"/>
              <w:bottom w:val="single" w:sz="4" w:space="0" w:color="auto"/>
              <w:right w:val="single" w:sz="4" w:space="0" w:color="auto"/>
            </w:tcBorders>
            <w:shd w:val="clear" w:color="auto" w:fill="auto"/>
            <w:noWrap/>
            <w:vAlign w:val="center"/>
            <w:hideMark/>
          </w:tcPr>
          <w:p w14:paraId="009B8399" w14:textId="1FD3C136" w:rsidR="001F62E7" w:rsidRPr="009E1731" w:rsidRDefault="001965B0" w:rsidP="008C57CA">
            <w:pPr>
              <w:jc w:val="center"/>
              <w:rPr>
                <w:color w:val="000000"/>
                <w:sz w:val="20"/>
                <w:szCs w:val="20"/>
                <w:lang w:eastAsia="cs-CZ"/>
              </w:rPr>
            </w:pPr>
            <w:r>
              <w:rPr>
                <w:color w:val="000000"/>
                <w:sz w:val="20"/>
                <w:szCs w:val="20"/>
                <w:lang w:eastAsia="cs-CZ"/>
              </w:rPr>
              <w:t>K</w:t>
            </w:r>
            <w:r w:rsidR="001F62E7" w:rsidRPr="009E1731">
              <w:rPr>
                <w:color w:val="000000"/>
                <w:sz w:val="20"/>
                <w:szCs w:val="20"/>
                <w:lang w:eastAsia="cs-CZ"/>
              </w:rPr>
              <w:t>alendářní rok</w:t>
            </w:r>
          </w:p>
        </w:tc>
        <w:tc>
          <w:tcPr>
            <w:tcW w:w="874" w:type="pct"/>
            <w:tcBorders>
              <w:top w:val="nil"/>
              <w:left w:val="nil"/>
              <w:bottom w:val="single" w:sz="4" w:space="0" w:color="auto"/>
              <w:right w:val="single" w:sz="4" w:space="0" w:color="auto"/>
            </w:tcBorders>
            <w:shd w:val="clear" w:color="auto" w:fill="auto"/>
            <w:vAlign w:val="center"/>
            <w:hideMark/>
          </w:tcPr>
          <w:p w14:paraId="691422ED" w14:textId="77777777" w:rsidR="001F62E7" w:rsidRPr="009E1731" w:rsidRDefault="001F62E7" w:rsidP="00004505">
            <w:pPr>
              <w:jc w:val="center"/>
              <w:rPr>
                <w:color w:val="000000"/>
                <w:sz w:val="20"/>
                <w:szCs w:val="20"/>
                <w:lang w:eastAsia="cs-CZ"/>
              </w:rPr>
            </w:pPr>
            <w:r w:rsidRPr="009E1731">
              <w:rPr>
                <w:color w:val="000000"/>
                <w:sz w:val="20"/>
                <w:szCs w:val="20"/>
                <w:lang w:eastAsia="cs-CZ"/>
              </w:rPr>
              <w:t>12</w:t>
            </w:r>
          </w:p>
        </w:tc>
        <w:tc>
          <w:tcPr>
            <w:tcW w:w="874" w:type="pct"/>
            <w:tcBorders>
              <w:top w:val="nil"/>
              <w:left w:val="nil"/>
              <w:bottom w:val="single" w:sz="4" w:space="0" w:color="auto"/>
              <w:right w:val="single" w:sz="4" w:space="0" w:color="auto"/>
            </w:tcBorders>
            <w:shd w:val="clear" w:color="auto" w:fill="auto"/>
            <w:vAlign w:val="center"/>
            <w:hideMark/>
          </w:tcPr>
          <w:p w14:paraId="448CCD98" w14:textId="77777777" w:rsidR="001F62E7" w:rsidRPr="009E1731" w:rsidRDefault="001F62E7" w:rsidP="00004505">
            <w:pPr>
              <w:jc w:val="center"/>
              <w:rPr>
                <w:color w:val="000000"/>
                <w:sz w:val="20"/>
                <w:szCs w:val="20"/>
                <w:lang w:eastAsia="cs-CZ"/>
              </w:rPr>
            </w:pPr>
            <w:r w:rsidRPr="009E1731">
              <w:rPr>
                <w:color w:val="000000"/>
                <w:sz w:val="20"/>
                <w:szCs w:val="20"/>
                <w:lang w:eastAsia="cs-CZ"/>
              </w:rPr>
              <w:t>17</w:t>
            </w:r>
          </w:p>
        </w:tc>
        <w:tc>
          <w:tcPr>
            <w:tcW w:w="1036" w:type="pct"/>
            <w:tcBorders>
              <w:top w:val="nil"/>
              <w:left w:val="nil"/>
              <w:bottom w:val="single" w:sz="4" w:space="0" w:color="auto"/>
              <w:right w:val="single" w:sz="4" w:space="0" w:color="auto"/>
            </w:tcBorders>
            <w:shd w:val="clear" w:color="auto" w:fill="auto"/>
            <w:vAlign w:val="center"/>
            <w:hideMark/>
          </w:tcPr>
          <w:p w14:paraId="68B809F2" w14:textId="77777777" w:rsidR="001F62E7" w:rsidRPr="009E1731" w:rsidRDefault="001F62E7" w:rsidP="00004505">
            <w:pPr>
              <w:jc w:val="center"/>
              <w:rPr>
                <w:color w:val="000000"/>
                <w:sz w:val="20"/>
                <w:szCs w:val="20"/>
                <w:lang w:eastAsia="cs-CZ"/>
              </w:rPr>
            </w:pPr>
            <w:r w:rsidRPr="009E1731">
              <w:rPr>
                <w:color w:val="000000"/>
                <w:sz w:val="20"/>
                <w:szCs w:val="20"/>
                <w:lang w:eastAsia="cs-CZ"/>
              </w:rPr>
              <w:t>20</w:t>
            </w:r>
            <w:r>
              <w:rPr>
                <w:color w:val="000000"/>
                <w:sz w:val="20"/>
                <w:szCs w:val="20"/>
                <w:lang w:eastAsia="cs-CZ"/>
              </w:rPr>
              <w:t>*/25</w:t>
            </w:r>
          </w:p>
        </w:tc>
      </w:tr>
      <w:tr w:rsidR="001F62E7" w:rsidRPr="009E1731" w14:paraId="32AC65E9" w14:textId="77777777" w:rsidTr="008C57CA">
        <w:trPr>
          <w:trHeight w:val="20"/>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18AC2729" w14:textId="77777777" w:rsidR="001F62E7" w:rsidRPr="009E1731" w:rsidRDefault="001F62E7" w:rsidP="00004505">
            <w:pPr>
              <w:jc w:val="center"/>
              <w:rPr>
                <w:color w:val="000000"/>
                <w:sz w:val="20"/>
                <w:szCs w:val="20"/>
                <w:lang w:eastAsia="cs-CZ"/>
              </w:rPr>
            </w:pPr>
            <w:proofErr w:type="spellStart"/>
            <w:r w:rsidRPr="009E1731">
              <w:rPr>
                <w:color w:val="000000"/>
                <w:sz w:val="20"/>
                <w:szCs w:val="20"/>
                <w:lang w:eastAsia="cs-CZ"/>
              </w:rPr>
              <w:t>Pb</w:t>
            </w:r>
            <w:proofErr w:type="spellEnd"/>
          </w:p>
        </w:tc>
        <w:tc>
          <w:tcPr>
            <w:tcW w:w="1320" w:type="pct"/>
            <w:tcBorders>
              <w:top w:val="nil"/>
              <w:left w:val="nil"/>
              <w:bottom w:val="single" w:sz="4" w:space="0" w:color="auto"/>
              <w:right w:val="single" w:sz="4" w:space="0" w:color="auto"/>
            </w:tcBorders>
            <w:shd w:val="clear" w:color="auto" w:fill="auto"/>
            <w:noWrap/>
            <w:vAlign w:val="center"/>
            <w:hideMark/>
          </w:tcPr>
          <w:p w14:paraId="1F671A73" w14:textId="19A7E519" w:rsidR="001F62E7" w:rsidRPr="009E1731" w:rsidRDefault="001965B0" w:rsidP="008C57CA">
            <w:pPr>
              <w:jc w:val="center"/>
              <w:rPr>
                <w:color w:val="000000"/>
                <w:sz w:val="20"/>
                <w:szCs w:val="20"/>
                <w:lang w:eastAsia="cs-CZ"/>
              </w:rPr>
            </w:pPr>
            <w:r>
              <w:rPr>
                <w:color w:val="000000"/>
                <w:sz w:val="20"/>
                <w:szCs w:val="20"/>
                <w:lang w:eastAsia="cs-CZ"/>
              </w:rPr>
              <w:t>K</w:t>
            </w:r>
            <w:r w:rsidR="001F62E7" w:rsidRPr="009E1731">
              <w:rPr>
                <w:color w:val="000000"/>
                <w:sz w:val="20"/>
                <w:szCs w:val="20"/>
                <w:lang w:eastAsia="cs-CZ"/>
              </w:rPr>
              <w:t>alendářní rok</w:t>
            </w:r>
          </w:p>
        </w:tc>
        <w:tc>
          <w:tcPr>
            <w:tcW w:w="874" w:type="pct"/>
            <w:tcBorders>
              <w:top w:val="nil"/>
              <w:left w:val="nil"/>
              <w:bottom w:val="single" w:sz="4" w:space="0" w:color="auto"/>
              <w:right w:val="single" w:sz="4" w:space="0" w:color="auto"/>
            </w:tcBorders>
            <w:shd w:val="clear" w:color="auto" w:fill="auto"/>
            <w:vAlign w:val="center"/>
            <w:hideMark/>
          </w:tcPr>
          <w:p w14:paraId="516E7D5A" w14:textId="77777777" w:rsidR="001F62E7" w:rsidRPr="009E1731" w:rsidRDefault="001F62E7" w:rsidP="00004505">
            <w:pPr>
              <w:jc w:val="center"/>
              <w:rPr>
                <w:color w:val="000000"/>
                <w:sz w:val="20"/>
                <w:szCs w:val="20"/>
                <w:lang w:eastAsia="cs-CZ"/>
              </w:rPr>
            </w:pPr>
            <w:r w:rsidRPr="009E1731">
              <w:rPr>
                <w:color w:val="000000"/>
                <w:sz w:val="20"/>
                <w:szCs w:val="20"/>
                <w:lang w:eastAsia="cs-CZ"/>
              </w:rPr>
              <w:t>0,25</w:t>
            </w:r>
          </w:p>
        </w:tc>
        <w:tc>
          <w:tcPr>
            <w:tcW w:w="874" w:type="pct"/>
            <w:tcBorders>
              <w:top w:val="nil"/>
              <w:left w:val="nil"/>
              <w:bottom w:val="single" w:sz="4" w:space="0" w:color="auto"/>
              <w:right w:val="single" w:sz="4" w:space="0" w:color="auto"/>
            </w:tcBorders>
            <w:shd w:val="clear" w:color="auto" w:fill="auto"/>
            <w:vAlign w:val="center"/>
            <w:hideMark/>
          </w:tcPr>
          <w:p w14:paraId="16CBBBCA" w14:textId="77777777" w:rsidR="001F62E7" w:rsidRPr="009E1731" w:rsidRDefault="001F62E7" w:rsidP="00004505">
            <w:pPr>
              <w:jc w:val="center"/>
              <w:rPr>
                <w:color w:val="000000"/>
                <w:sz w:val="20"/>
                <w:szCs w:val="20"/>
                <w:lang w:eastAsia="cs-CZ"/>
              </w:rPr>
            </w:pPr>
            <w:r w:rsidRPr="009E1731">
              <w:rPr>
                <w:color w:val="000000"/>
                <w:sz w:val="20"/>
                <w:szCs w:val="20"/>
                <w:lang w:eastAsia="cs-CZ"/>
              </w:rPr>
              <w:t>0,35</w:t>
            </w:r>
          </w:p>
        </w:tc>
        <w:tc>
          <w:tcPr>
            <w:tcW w:w="1036" w:type="pct"/>
            <w:tcBorders>
              <w:top w:val="nil"/>
              <w:left w:val="nil"/>
              <w:bottom w:val="single" w:sz="4" w:space="0" w:color="auto"/>
              <w:right w:val="single" w:sz="4" w:space="0" w:color="auto"/>
            </w:tcBorders>
            <w:shd w:val="clear" w:color="auto" w:fill="auto"/>
            <w:vAlign w:val="center"/>
            <w:hideMark/>
          </w:tcPr>
          <w:p w14:paraId="20F002E9" w14:textId="77777777" w:rsidR="001F62E7" w:rsidRPr="009E1731" w:rsidRDefault="001F62E7" w:rsidP="00004505">
            <w:pPr>
              <w:jc w:val="center"/>
              <w:rPr>
                <w:color w:val="000000"/>
                <w:sz w:val="20"/>
                <w:szCs w:val="20"/>
                <w:lang w:eastAsia="cs-CZ"/>
              </w:rPr>
            </w:pPr>
            <w:r w:rsidRPr="009E1731">
              <w:rPr>
                <w:color w:val="000000"/>
                <w:sz w:val="20"/>
                <w:szCs w:val="20"/>
                <w:lang w:eastAsia="cs-CZ"/>
              </w:rPr>
              <w:t>0,5</w:t>
            </w:r>
          </w:p>
        </w:tc>
      </w:tr>
      <w:tr w:rsidR="001F62E7" w:rsidRPr="009E1731" w14:paraId="1948CF91" w14:textId="77777777" w:rsidTr="008C57CA">
        <w:trPr>
          <w:trHeight w:val="20"/>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1ACE5724" w14:textId="77777777" w:rsidR="001F62E7" w:rsidRPr="009E1731" w:rsidRDefault="001F62E7" w:rsidP="00004505">
            <w:pPr>
              <w:jc w:val="center"/>
              <w:rPr>
                <w:color w:val="000000"/>
                <w:sz w:val="20"/>
                <w:szCs w:val="20"/>
                <w:lang w:eastAsia="cs-CZ"/>
              </w:rPr>
            </w:pPr>
            <w:r w:rsidRPr="009E1731">
              <w:rPr>
                <w:color w:val="000000"/>
                <w:sz w:val="20"/>
                <w:szCs w:val="20"/>
                <w:lang w:eastAsia="cs-CZ"/>
              </w:rPr>
              <w:t>CO</w:t>
            </w:r>
          </w:p>
        </w:tc>
        <w:tc>
          <w:tcPr>
            <w:tcW w:w="1320" w:type="pct"/>
            <w:tcBorders>
              <w:top w:val="nil"/>
              <w:left w:val="nil"/>
              <w:bottom w:val="single" w:sz="4" w:space="0" w:color="auto"/>
              <w:right w:val="single" w:sz="4" w:space="0" w:color="auto"/>
            </w:tcBorders>
            <w:shd w:val="clear" w:color="auto" w:fill="auto"/>
            <w:vAlign w:val="center"/>
            <w:hideMark/>
          </w:tcPr>
          <w:p w14:paraId="78F1BC18" w14:textId="590CB790" w:rsidR="001F62E7" w:rsidRPr="009E1731" w:rsidRDefault="001965B0" w:rsidP="008C57CA">
            <w:pPr>
              <w:jc w:val="center"/>
              <w:rPr>
                <w:color w:val="000000"/>
                <w:sz w:val="20"/>
                <w:szCs w:val="20"/>
                <w:lang w:eastAsia="cs-CZ"/>
              </w:rPr>
            </w:pPr>
            <w:r>
              <w:rPr>
                <w:color w:val="000000"/>
                <w:sz w:val="20"/>
                <w:szCs w:val="20"/>
                <w:lang w:eastAsia="cs-CZ"/>
              </w:rPr>
              <w:t>M</w:t>
            </w:r>
            <w:r w:rsidR="001F62E7" w:rsidRPr="009E1731">
              <w:rPr>
                <w:color w:val="000000"/>
                <w:sz w:val="20"/>
                <w:szCs w:val="20"/>
                <w:lang w:eastAsia="cs-CZ"/>
              </w:rPr>
              <w:t>aximální denní 8hod. klouzavý průměr</w:t>
            </w:r>
          </w:p>
        </w:tc>
        <w:tc>
          <w:tcPr>
            <w:tcW w:w="874" w:type="pct"/>
            <w:tcBorders>
              <w:top w:val="nil"/>
              <w:left w:val="nil"/>
              <w:bottom w:val="single" w:sz="4" w:space="0" w:color="auto"/>
              <w:right w:val="single" w:sz="4" w:space="0" w:color="auto"/>
            </w:tcBorders>
            <w:shd w:val="clear" w:color="auto" w:fill="auto"/>
            <w:vAlign w:val="center"/>
            <w:hideMark/>
          </w:tcPr>
          <w:p w14:paraId="6CC9D183" w14:textId="77777777" w:rsidR="001F62E7" w:rsidRPr="009E1731" w:rsidRDefault="001F62E7" w:rsidP="00004505">
            <w:pPr>
              <w:jc w:val="center"/>
              <w:rPr>
                <w:color w:val="000000"/>
                <w:sz w:val="20"/>
                <w:szCs w:val="20"/>
                <w:lang w:eastAsia="cs-CZ"/>
              </w:rPr>
            </w:pPr>
            <w:r w:rsidRPr="009E1731">
              <w:rPr>
                <w:color w:val="000000"/>
                <w:sz w:val="20"/>
                <w:szCs w:val="20"/>
                <w:lang w:eastAsia="cs-CZ"/>
              </w:rPr>
              <w:t>5 000</w:t>
            </w:r>
          </w:p>
        </w:tc>
        <w:tc>
          <w:tcPr>
            <w:tcW w:w="874" w:type="pct"/>
            <w:tcBorders>
              <w:top w:val="nil"/>
              <w:left w:val="nil"/>
              <w:bottom w:val="single" w:sz="4" w:space="0" w:color="auto"/>
              <w:right w:val="single" w:sz="4" w:space="0" w:color="auto"/>
            </w:tcBorders>
            <w:shd w:val="clear" w:color="auto" w:fill="auto"/>
            <w:vAlign w:val="center"/>
            <w:hideMark/>
          </w:tcPr>
          <w:p w14:paraId="157784E8" w14:textId="77777777" w:rsidR="001F62E7" w:rsidRPr="009E1731" w:rsidRDefault="001F62E7" w:rsidP="00004505">
            <w:pPr>
              <w:jc w:val="center"/>
              <w:rPr>
                <w:color w:val="000000"/>
                <w:sz w:val="20"/>
                <w:szCs w:val="20"/>
                <w:lang w:eastAsia="cs-CZ"/>
              </w:rPr>
            </w:pPr>
            <w:r w:rsidRPr="009E1731">
              <w:rPr>
                <w:color w:val="000000"/>
                <w:sz w:val="20"/>
                <w:szCs w:val="20"/>
                <w:lang w:eastAsia="cs-CZ"/>
              </w:rPr>
              <w:t>7 000</w:t>
            </w:r>
          </w:p>
        </w:tc>
        <w:tc>
          <w:tcPr>
            <w:tcW w:w="1036" w:type="pct"/>
            <w:tcBorders>
              <w:top w:val="nil"/>
              <w:left w:val="nil"/>
              <w:bottom w:val="single" w:sz="4" w:space="0" w:color="auto"/>
              <w:right w:val="single" w:sz="4" w:space="0" w:color="auto"/>
            </w:tcBorders>
            <w:shd w:val="clear" w:color="auto" w:fill="auto"/>
            <w:vAlign w:val="center"/>
            <w:hideMark/>
          </w:tcPr>
          <w:p w14:paraId="25326491" w14:textId="77777777" w:rsidR="001F62E7" w:rsidRPr="009E1731" w:rsidRDefault="001F62E7" w:rsidP="00004505">
            <w:pPr>
              <w:jc w:val="center"/>
              <w:rPr>
                <w:color w:val="000000"/>
                <w:sz w:val="20"/>
                <w:szCs w:val="20"/>
                <w:lang w:eastAsia="cs-CZ"/>
              </w:rPr>
            </w:pPr>
            <w:r w:rsidRPr="009E1731">
              <w:rPr>
                <w:color w:val="000000"/>
                <w:sz w:val="20"/>
                <w:szCs w:val="20"/>
                <w:lang w:eastAsia="cs-CZ"/>
              </w:rPr>
              <w:t>10 000</w:t>
            </w:r>
          </w:p>
        </w:tc>
      </w:tr>
      <w:tr w:rsidR="001F62E7" w:rsidRPr="009E1731" w14:paraId="437309B4" w14:textId="77777777" w:rsidTr="008C57CA">
        <w:trPr>
          <w:trHeight w:val="20"/>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194FACB1" w14:textId="77777777" w:rsidR="001F62E7" w:rsidRPr="009E1731" w:rsidRDefault="001F62E7" w:rsidP="00004505">
            <w:pPr>
              <w:jc w:val="center"/>
              <w:rPr>
                <w:color w:val="000000"/>
                <w:sz w:val="20"/>
                <w:szCs w:val="20"/>
                <w:lang w:eastAsia="cs-CZ"/>
              </w:rPr>
            </w:pPr>
            <w:r w:rsidRPr="009E1731">
              <w:rPr>
                <w:color w:val="000000"/>
                <w:sz w:val="20"/>
                <w:szCs w:val="20"/>
                <w:lang w:eastAsia="cs-CZ"/>
              </w:rPr>
              <w:t>Benzen</w:t>
            </w:r>
          </w:p>
        </w:tc>
        <w:tc>
          <w:tcPr>
            <w:tcW w:w="1320" w:type="pct"/>
            <w:tcBorders>
              <w:top w:val="nil"/>
              <w:left w:val="nil"/>
              <w:bottom w:val="single" w:sz="4" w:space="0" w:color="auto"/>
              <w:right w:val="single" w:sz="4" w:space="0" w:color="auto"/>
            </w:tcBorders>
            <w:shd w:val="clear" w:color="auto" w:fill="auto"/>
            <w:noWrap/>
            <w:vAlign w:val="center"/>
            <w:hideMark/>
          </w:tcPr>
          <w:p w14:paraId="20A0D2ED" w14:textId="57EAF417" w:rsidR="001F62E7" w:rsidRPr="009E1731" w:rsidRDefault="001965B0" w:rsidP="008C57CA">
            <w:pPr>
              <w:jc w:val="center"/>
              <w:rPr>
                <w:color w:val="000000"/>
                <w:sz w:val="20"/>
                <w:szCs w:val="20"/>
                <w:lang w:eastAsia="cs-CZ"/>
              </w:rPr>
            </w:pPr>
            <w:r>
              <w:rPr>
                <w:color w:val="000000"/>
                <w:sz w:val="20"/>
                <w:szCs w:val="20"/>
                <w:lang w:eastAsia="cs-CZ"/>
              </w:rPr>
              <w:t>K</w:t>
            </w:r>
            <w:r w:rsidR="001F62E7" w:rsidRPr="009E1731">
              <w:rPr>
                <w:color w:val="000000"/>
                <w:sz w:val="20"/>
                <w:szCs w:val="20"/>
                <w:lang w:eastAsia="cs-CZ"/>
              </w:rPr>
              <w:t>alendářní rok</w:t>
            </w:r>
          </w:p>
        </w:tc>
        <w:tc>
          <w:tcPr>
            <w:tcW w:w="874" w:type="pct"/>
            <w:tcBorders>
              <w:top w:val="nil"/>
              <w:left w:val="nil"/>
              <w:bottom w:val="single" w:sz="4" w:space="0" w:color="auto"/>
              <w:right w:val="single" w:sz="4" w:space="0" w:color="auto"/>
            </w:tcBorders>
            <w:shd w:val="clear" w:color="auto" w:fill="auto"/>
            <w:vAlign w:val="center"/>
            <w:hideMark/>
          </w:tcPr>
          <w:p w14:paraId="54C892A8" w14:textId="77777777" w:rsidR="001F62E7" w:rsidRPr="009E1731" w:rsidRDefault="001F62E7" w:rsidP="00004505">
            <w:pPr>
              <w:jc w:val="center"/>
              <w:rPr>
                <w:color w:val="000000"/>
                <w:sz w:val="20"/>
                <w:szCs w:val="20"/>
                <w:lang w:eastAsia="cs-CZ"/>
              </w:rPr>
            </w:pPr>
            <w:r w:rsidRPr="009E1731">
              <w:rPr>
                <w:color w:val="000000"/>
                <w:sz w:val="20"/>
                <w:szCs w:val="20"/>
                <w:lang w:eastAsia="cs-CZ"/>
              </w:rPr>
              <w:t>2</w:t>
            </w:r>
          </w:p>
        </w:tc>
        <w:tc>
          <w:tcPr>
            <w:tcW w:w="874" w:type="pct"/>
            <w:tcBorders>
              <w:top w:val="nil"/>
              <w:left w:val="nil"/>
              <w:bottom w:val="single" w:sz="4" w:space="0" w:color="auto"/>
              <w:right w:val="single" w:sz="4" w:space="0" w:color="auto"/>
            </w:tcBorders>
            <w:shd w:val="clear" w:color="auto" w:fill="auto"/>
            <w:vAlign w:val="center"/>
            <w:hideMark/>
          </w:tcPr>
          <w:p w14:paraId="2DAF1897" w14:textId="77777777" w:rsidR="001F62E7" w:rsidRPr="009E1731" w:rsidRDefault="001F62E7" w:rsidP="00004505">
            <w:pPr>
              <w:jc w:val="center"/>
              <w:rPr>
                <w:color w:val="000000"/>
                <w:sz w:val="20"/>
                <w:szCs w:val="20"/>
                <w:lang w:eastAsia="cs-CZ"/>
              </w:rPr>
            </w:pPr>
            <w:r w:rsidRPr="009E1731">
              <w:rPr>
                <w:color w:val="000000"/>
                <w:sz w:val="20"/>
                <w:szCs w:val="20"/>
                <w:lang w:eastAsia="cs-CZ"/>
              </w:rPr>
              <w:t>3,5</w:t>
            </w:r>
          </w:p>
        </w:tc>
        <w:tc>
          <w:tcPr>
            <w:tcW w:w="1036" w:type="pct"/>
            <w:tcBorders>
              <w:top w:val="nil"/>
              <w:left w:val="nil"/>
              <w:bottom w:val="single" w:sz="4" w:space="0" w:color="auto"/>
              <w:right w:val="single" w:sz="4" w:space="0" w:color="auto"/>
            </w:tcBorders>
            <w:shd w:val="clear" w:color="auto" w:fill="auto"/>
            <w:vAlign w:val="center"/>
            <w:hideMark/>
          </w:tcPr>
          <w:p w14:paraId="314F1F5D" w14:textId="77777777" w:rsidR="001F62E7" w:rsidRPr="009E1731" w:rsidRDefault="001F62E7" w:rsidP="00004505">
            <w:pPr>
              <w:jc w:val="center"/>
              <w:rPr>
                <w:color w:val="000000"/>
                <w:sz w:val="20"/>
                <w:szCs w:val="20"/>
                <w:lang w:eastAsia="cs-CZ"/>
              </w:rPr>
            </w:pPr>
            <w:r w:rsidRPr="009E1731">
              <w:rPr>
                <w:color w:val="000000"/>
                <w:sz w:val="20"/>
                <w:szCs w:val="20"/>
                <w:lang w:eastAsia="cs-CZ"/>
              </w:rPr>
              <w:t>5</w:t>
            </w:r>
          </w:p>
        </w:tc>
      </w:tr>
    </w:tbl>
    <w:p w14:paraId="2F480CD8" w14:textId="6BA2FBF5" w:rsidR="001F62E7" w:rsidRPr="009945E6" w:rsidRDefault="001F62E7" w:rsidP="00955553">
      <w:pPr>
        <w:pStyle w:val="Zdrojeapozn"/>
        <w:rPr>
          <w:b w:val="0"/>
        </w:rPr>
      </w:pPr>
      <w:r w:rsidRPr="00F13367">
        <w:t>Zdroj:</w:t>
      </w:r>
      <w:r w:rsidR="008C57CA">
        <w:t xml:space="preserve"> </w:t>
      </w:r>
      <w:r w:rsidR="008C57CA" w:rsidRPr="009945E6">
        <w:rPr>
          <w:b w:val="0"/>
        </w:rPr>
        <w:t>p</w:t>
      </w:r>
      <w:r w:rsidRPr="009945E6">
        <w:rPr>
          <w:b w:val="0"/>
        </w:rPr>
        <w:t>říloha č. 1 zákona č. 201/2012 Sb.</w:t>
      </w:r>
    </w:p>
    <w:p w14:paraId="7A2174C2" w14:textId="22BA3954" w:rsidR="001F62E7" w:rsidRPr="008A0F5D" w:rsidRDefault="001F62E7" w:rsidP="00955553">
      <w:pPr>
        <w:pStyle w:val="Zdrojeapozn"/>
      </w:pPr>
      <w:r w:rsidRPr="00E14921">
        <w:t>Pozn</w:t>
      </w:r>
      <w:r w:rsidR="00E14921" w:rsidRPr="00E14921">
        <w:t>.:</w:t>
      </w:r>
      <w:r w:rsidR="008C57CA" w:rsidRPr="009945E6">
        <w:rPr>
          <w:b w:val="0"/>
        </w:rPr>
        <w:t xml:space="preserve"> </w:t>
      </w:r>
      <w:r w:rsidRPr="009945E6">
        <w:rPr>
          <w:b w:val="0"/>
        </w:rPr>
        <w:t>Imisní limit PM</w:t>
      </w:r>
      <w:r w:rsidRPr="009945E6">
        <w:rPr>
          <w:b w:val="0"/>
          <w:vertAlign w:val="subscript"/>
        </w:rPr>
        <w:t>2,5</w:t>
      </w:r>
      <w:r w:rsidRPr="009945E6">
        <w:rPr>
          <w:b w:val="0"/>
        </w:rPr>
        <w:t xml:space="preserve"> platný od roku 2020, do roku 2019 platil imisní limit 25 </w:t>
      </w:r>
      <w:proofErr w:type="spellStart"/>
      <w:r w:rsidRPr="009945E6">
        <w:rPr>
          <w:b w:val="0"/>
        </w:rPr>
        <w:t>μg</w:t>
      </w:r>
      <w:proofErr w:type="spellEnd"/>
      <w:r w:rsidRPr="009945E6">
        <w:rPr>
          <w:b w:val="0"/>
        </w:rPr>
        <w:t>/m</w:t>
      </w:r>
      <w:r w:rsidRPr="009945E6">
        <w:rPr>
          <w:b w:val="0"/>
          <w:vertAlign w:val="superscript"/>
        </w:rPr>
        <w:t>3</w:t>
      </w:r>
      <w:r w:rsidRPr="009945E6">
        <w:rPr>
          <w:b w:val="0"/>
        </w:rPr>
        <w:t>.</w:t>
      </w:r>
    </w:p>
    <w:p w14:paraId="708942D1" w14:textId="0337F598" w:rsidR="001F62E7" w:rsidRPr="0040025E" w:rsidRDefault="001F62E7" w:rsidP="0040025E">
      <w:pPr>
        <w:tabs>
          <w:tab w:val="right" w:pos="9072"/>
        </w:tabs>
        <w:spacing w:before="120" w:after="40"/>
        <w:rPr>
          <w:b/>
          <w:lang w:eastAsia="cs-CZ"/>
        </w:rPr>
      </w:pPr>
      <w:r w:rsidRPr="0040025E">
        <w:rPr>
          <w:b/>
        </w:rPr>
        <w:t>Tabulk</w:t>
      </w:r>
      <w:r w:rsidR="00885A90">
        <w:rPr>
          <w:b/>
        </w:rPr>
        <w:t xml:space="preserve">a č. 2: </w:t>
      </w:r>
      <w:r w:rsidRPr="0040025E">
        <w:rPr>
          <w:b/>
          <w:lang w:eastAsia="cs-CZ"/>
        </w:rPr>
        <w:t>Imisní limity pro ochranu zdraví – celkový obsah v částicích PM</w:t>
      </w:r>
      <w:r w:rsidRPr="0040025E">
        <w:rPr>
          <w:b/>
          <w:vertAlign w:val="subscript"/>
          <w:lang w:eastAsia="cs-CZ"/>
        </w:rPr>
        <w:t>10</w:t>
      </w:r>
      <w:r w:rsidRPr="0040025E">
        <w:rPr>
          <w:b/>
          <w:vertAlign w:val="subscript"/>
          <w:lang w:eastAsia="cs-CZ"/>
        </w:rPr>
        <w:tab/>
      </w:r>
      <w:r w:rsidRPr="0040025E">
        <w:rPr>
          <w:b/>
          <w:bCs/>
          <w:color w:val="000000"/>
          <w:lang w:eastAsia="cs-CZ"/>
        </w:rPr>
        <w:t>[</w:t>
      </w:r>
      <w:proofErr w:type="spellStart"/>
      <w:r w:rsidRPr="0040025E">
        <w:rPr>
          <w:b/>
          <w:bCs/>
          <w:color w:val="000000"/>
          <w:lang w:eastAsia="cs-CZ"/>
        </w:rPr>
        <w:t>ng</w:t>
      </w:r>
      <w:proofErr w:type="spellEnd"/>
      <w:r w:rsidRPr="0040025E">
        <w:rPr>
          <w:b/>
          <w:bCs/>
          <w:color w:val="000000"/>
          <w:lang w:eastAsia="cs-CZ"/>
        </w:rPr>
        <w:t>/m</w:t>
      </w:r>
      <w:r w:rsidRPr="0040025E">
        <w:rPr>
          <w:b/>
          <w:bCs/>
          <w:color w:val="000000"/>
          <w:vertAlign w:val="superscript"/>
          <w:lang w:eastAsia="cs-CZ"/>
        </w:rPr>
        <w:t>3</w:t>
      </w:r>
      <w:r w:rsidRPr="0040025E">
        <w:rPr>
          <w:b/>
          <w:bCs/>
          <w:color w:val="000000"/>
          <w:lang w:eastAsia="cs-CZ"/>
        </w:rPr>
        <w:t>]</w:t>
      </w:r>
    </w:p>
    <w:tbl>
      <w:tblPr>
        <w:tblW w:w="5000" w:type="pct"/>
        <w:tblCellMar>
          <w:left w:w="70" w:type="dxa"/>
          <w:right w:w="70" w:type="dxa"/>
        </w:tblCellMar>
        <w:tblLook w:val="04A0" w:firstRow="1" w:lastRow="0" w:firstColumn="1" w:lastColumn="0" w:noHBand="0" w:noVBand="1"/>
      </w:tblPr>
      <w:tblGrid>
        <w:gridCol w:w="1624"/>
        <w:gridCol w:w="2392"/>
        <w:gridCol w:w="1653"/>
        <w:gridCol w:w="1653"/>
        <w:gridCol w:w="1740"/>
      </w:tblGrid>
      <w:tr w:rsidR="001F62E7" w14:paraId="0372DA96" w14:textId="77777777" w:rsidTr="00A13E4F">
        <w:trPr>
          <w:trHeight w:val="255"/>
        </w:trPr>
        <w:tc>
          <w:tcPr>
            <w:tcW w:w="896"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CD52E01" w14:textId="77777777" w:rsidR="001F62E7" w:rsidRPr="00CF4750" w:rsidRDefault="001F62E7" w:rsidP="00004505">
            <w:pPr>
              <w:jc w:val="center"/>
              <w:rPr>
                <w:b/>
                <w:bCs/>
                <w:color w:val="000000"/>
                <w:sz w:val="20"/>
                <w:szCs w:val="20"/>
                <w:lang w:eastAsia="cs-CZ"/>
              </w:rPr>
            </w:pPr>
            <w:r w:rsidRPr="00CF4750">
              <w:rPr>
                <w:b/>
                <w:bCs/>
                <w:color w:val="000000"/>
                <w:sz w:val="20"/>
                <w:szCs w:val="20"/>
                <w:lang w:eastAsia="cs-CZ"/>
              </w:rPr>
              <w:t>Znečišťující látka</w:t>
            </w:r>
          </w:p>
        </w:tc>
        <w:tc>
          <w:tcPr>
            <w:tcW w:w="1320"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952D3B9" w14:textId="77777777" w:rsidR="001F62E7" w:rsidRPr="00CF4750" w:rsidRDefault="001F62E7" w:rsidP="00004505">
            <w:pPr>
              <w:jc w:val="center"/>
              <w:rPr>
                <w:b/>
                <w:bCs/>
                <w:color w:val="000000"/>
                <w:sz w:val="20"/>
                <w:szCs w:val="20"/>
                <w:lang w:eastAsia="cs-CZ"/>
              </w:rPr>
            </w:pPr>
            <w:r w:rsidRPr="00CF4750">
              <w:rPr>
                <w:b/>
                <w:bCs/>
                <w:color w:val="000000"/>
                <w:sz w:val="20"/>
                <w:szCs w:val="20"/>
                <w:lang w:eastAsia="cs-CZ"/>
              </w:rPr>
              <w:t>Doba průměrování</w:t>
            </w:r>
          </w:p>
        </w:tc>
        <w:tc>
          <w:tcPr>
            <w:tcW w:w="1824" w:type="pct"/>
            <w:gridSpan w:val="2"/>
            <w:tcBorders>
              <w:top w:val="single" w:sz="4" w:space="0" w:color="auto"/>
              <w:left w:val="nil"/>
              <w:bottom w:val="single" w:sz="4" w:space="0" w:color="auto"/>
              <w:right w:val="single" w:sz="4" w:space="0" w:color="auto"/>
            </w:tcBorders>
            <w:shd w:val="clear" w:color="auto" w:fill="F2F2F2"/>
            <w:vAlign w:val="center"/>
            <w:hideMark/>
          </w:tcPr>
          <w:p w14:paraId="7991479B" w14:textId="77777777" w:rsidR="001F62E7" w:rsidRPr="00CF4750" w:rsidRDefault="001F62E7" w:rsidP="00004505">
            <w:pPr>
              <w:jc w:val="center"/>
              <w:rPr>
                <w:b/>
                <w:bCs/>
                <w:color w:val="000000"/>
                <w:sz w:val="20"/>
                <w:szCs w:val="20"/>
                <w:lang w:eastAsia="cs-CZ"/>
              </w:rPr>
            </w:pPr>
            <w:r w:rsidRPr="00CF4750">
              <w:rPr>
                <w:b/>
                <w:bCs/>
                <w:color w:val="000000"/>
                <w:sz w:val="20"/>
                <w:szCs w:val="20"/>
                <w:lang w:eastAsia="cs-CZ"/>
              </w:rPr>
              <w:t xml:space="preserve">Mez pro posuzování </w:t>
            </w:r>
          </w:p>
        </w:tc>
        <w:tc>
          <w:tcPr>
            <w:tcW w:w="960"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574F89F" w14:textId="77777777" w:rsidR="001F62E7" w:rsidRPr="00CF4750" w:rsidRDefault="001F62E7" w:rsidP="00004505">
            <w:pPr>
              <w:jc w:val="center"/>
              <w:rPr>
                <w:b/>
                <w:bCs/>
                <w:color w:val="000000"/>
                <w:sz w:val="20"/>
                <w:szCs w:val="20"/>
                <w:lang w:eastAsia="cs-CZ"/>
              </w:rPr>
            </w:pPr>
            <w:r w:rsidRPr="00CF4750">
              <w:rPr>
                <w:b/>
                <w:bCs/>
                <w:color w:val="000000"/>
                <w:sz w:val="20"/>
                <w:szCs w:val="20"/>
                <w:lang w:eastAsia="cs-CZ"/>
              </w:rPr>
              <w:t>Imisní limit</w:t>
            </w:r>
          </w:p>
        </w:tc>
      </w:tr>
      <w:tr w:rsidR="001F62E7" w14:paraId="42499F88" w14:textId="77777777" w:rsidTr="00A13E4F">
        <w:trPr>
          <w:trHeight w:val="255"/>
        </w:trPr>
        <w:tc>
          <w:tcPr>
            <w:tcW w:w="896" w:type="pct"/>
            <w:vMerge/>
            <w:tcBorders>
              <w:top w:val="single" w:sz="4" w:space="0" w:color="auto"/>
              <w:left w:val="single" w:sz="4" w:space="0" w:color="auto"/>
              <w:bottom w:val="single" w:sz="4" w:space="0" w:color="auto"/>
              <w:right w:val="single" w:sz="4" w:space="0" w:color="auto"/>
            </w:tcBorders>
            <w:vAlign w:val="center"/>
            <w:hideMark/>
          </w:tcPr>
          <w:p w14:paraId="68385267" w14:textId="77777777" w:rsidR="001F62E7" w:rsidRPr="00CF4750" w:rsidRDefault="001F62E7" w:rsidP="00004505">
            <w:pPr>
              <w:rPr>
                <w:b/>
                <w:bCs/>
                <w:color w:val="000000"/>
                <w:sz w:val="20"/>
                <w:szCs w:val="20"/>
                <w:lang w:eastAsia="cs-CZ"/>
              </w:rPr>
            </w:pPr>
          </w:p>
        </w:tc>
        <w:tc>
          <w:tcPr>
            <w:tcW w:w="1320" w:type="pct"/>
            <w:vMerge/>
            <w:tcBorders>
              <w:top w:val="single" w:sz="4" w:space="0" w:color="auto"/>
              <w:left w:val="single" w:sz="4" w:space="0" w:color="auto"/>
              <w:bottom w:val="single" w:sz="4" w:space="0" w:color="auto"/>
              <w:right w:val="single" w:sz="4" w:space="0" w:color="auto"/>
            </w:tcBorders>
            <w:vAlign w:val="center"/>
            <w:hideMark/>
          </w:tcPr>
          <w:p w14:paraId="53BE362C" w14:textId="77777777" w:rsidR="001F62E7" w:rsidRPr="00CF4750" w:rsidRDefault="001F62E7" w:rsidP="00004505">
            <w:pPr>
              <w:rPr>
                <w:b/>
                <w:bCs/>
                <w:color w:val="000000"/>
                <w:sz w:val="20"/>
                <w:szCs w:val="20"/>
                <w:lang w:eastAsia="cs-CZ"/>
              </w:rPr>
            </w:pPr>
          </w:p>
        </w:tc>
        <w:tc>
          <w:tcPr>
            <w:tcW w:w="912" w:type="pct"/>
            <w:tcBorders>
              <w:top w:val="nil"/>
              <w:left w:val="nil"/>
              <w:bottom w:val="single" w:sz="4" w:space="0" w:color="auto"/>
              <w:right w:val="single" w:sz="4" w:space="0" w:color="auto"/>
            </w:tcBorders>
            <w:shd w:val="clear" w:color="auto" w:fill="F2F2F2"/>
            <w:noWrap/>
            <w:vAlign w:val="center"/>
            <w:hideMark/>
          </w:tcPr>
          <w:p w14:paraId="43312062" w14:textId="77777777" w:rsidR="001F62E7" w:rsidRPr="00CF4750" w:rsidRDefault="001F62E7" w:rsidP="00004505">
            <w:pPr>
              <w:jc w:val="center"/>
              <w:rPr>
                <w:b/>
                <w:bCs/>
                <w:color w:val="000000"/>
                <w:sz w:val="20"/>
                <w:szCs w:val="20"/>
                <w:lang w:eastAsia="cs-CZ"/>
              </w:rPr>
            </w:pPr>
            <w:r w:rsidRPr="00CF4750">
              <w:rPr>
                <w:b/>
                <w:bCs/>
                <w:color w:val="000000"/>
                <w:sz w:val="20"/>
                <w:szCs w:val="20"/>
                <w:lang w:eastAsia="cs-CZ"/>
              </w:rPr>
              <w:t>Dolní LAT</w:t>
            </w:r>
          </w:p>
        </w:tc>
        <w:tc>
          <w:tcPr>
            <w:tcW w:w="912" w:type="pct"/>
            <w:tcBorders>
              <w:top w:val="nil"/>
              <w:left w:val="nil"/>
              <w:bottom w:val="single" w:sz="4" w:space="0" w:color="auto"/>
              <w:right w:val="single" w:sz="4" w:space="0" w:color="auto"/>
            </w:tcBorders>
            <w:shd w:val="clear" w:color="auto" w:fill="F2F2F2"/>
            <w:noWrap/>
            <w:vAlign w:val="center"/>
            <w:hideMark/>
          </w:tcPr>
          <w:p w14:paraId="4EB426BE" w14:textId="77777777" w:rsidR="001F62E7" w:rsidRPr="00CF4750" w:rsidRDefault="001F62E7" w:rsidP="00004505">
            <w:pPr>
              <w:jc w:val="center"/>
              <w:rPr>
                <w:b/>
                <w:bCs/>
                <w:color w:val="000000"/>
                <w:sz w:val="20"/>
                <w:szCs w:val="20"/>
                <w:lang w:eastAsia="cs-CZ"/>
              </w:rPr>
            </w:pPr>
            <w:r w:rsidRPr="00CF4750">
              <w:rPr>
                <w:b/>
                <w:bCs/>
                <w:color w:val="000000"/>
                <w:sz w:val="20"/>
                <w:szCs w:val="20"/>
                <w:lang w:eastAsia="cs-CZ"/>
              </w:rPr>
              <w:t>Horní UAT</w:t>
            </w:r>
          </w:p>
        </w:tc>
        <w:tc>
          <w:tcPr>
            <w:tcW w:w="960" w:type="pct"/>
            <w:vMerge/>
            <w:tcBorders>
              <w:top w:val="single" w:sz="4" w:space="0" w:color="auto"/>
              <w:left w:val="single" w:sz="4" w:space="0" w:color="auto"/>
              <w:bottom w:val="single" w:sz="4" w:space="0" w:color="auto"/>
              <w:right w:val="single" w:sz="4" w:space="0" w:color="auto"/>
            </w:tcBorders>
            <w:vAlign w:val="center"/>
            <w:hideMark/>
          </w:tcPr>
          <w:p w14:paraId="703F2A60" w14:textId="77777777" w:rsidR="001F62E7" w:rsidRPr="00CF4750" w:rsidRDefault="001F62E7" w:rsidP="00004505">
            <w:pPr>
              <w:rPr>
                <w:b/>
                <w:bCs/>
                <w:color w:val="000000"/>
                <w:sz w:val="20"/>
                <w:szCs w:val="20"/>
                <w:lang w:eastAsia="cs-CZ"/>
              </w:rPr>
            </w:pPr>
          </w:p>
        </w:tc>
      </w:tr>
      <w:tr w:rsidR="001F62E7" w14:paraId="51358891" w14:textId="77777777" w:rsidTr="008C57CA">
        <w:trPr>
          <w:trHeight w:val="255"/>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1D7A0B96" w14:textId="77777777" w:rsidR="001F62E7" w:rsidRPr="00CF4750" w:rsidRDefault="001F62E7" w:rsidP="00004505">
            <w:pPr>
              <w:jc w:val="center"/>
              <w:rPr>
                <w:color w:val="000000"/>
                <w:sz w:val="20"/>
                <w:szCs w:val="20"/>
                <w:lang w:eastAsia="cs-CZ"/>
              </w:rPr>
            </w:pPr>
            <w:r w:rsidRPr="00CF4750">
              <w:rPr>
                <w:color w:val="000000"/>
                <w:sz w:val="20"/>
                <w:szCs w:val="20"/>
                <w:lang w:eastAsia="cs-CZ"/>
              </w:rPr>
              <w:t>As</w:t>
            </w:r>
          </w:p>
        </w:tc>
        <w:tc>
          <w:tcPr>
            <w:tcW w:w="1320" w:type="pct"/>
            <w:tcBorders>
              <w:top w:val="nil"/>
              <w:left w:val="nil"/>
              <w:bottom w:val="single" w:sz="4" w:space="0" w:color="auto"/>
              <w:right w:val="single" w:sz="4" w:space="0" w:color="auto"/>
            </w:tcBorders>
            <w:shd w:val="clear" w:color="auto" w:fill="auto"/>
            <w:noWrap/>
            <w:vAlign w:val="center"/>
            <w:hideMark/>
          </w:tcPr>
          <w:p w14:paraId="6E1B3189" w14:textId="7494FF0A" w:rsidR="001F62E7" w:rsidRPr="00CF4750" w:rsidRDefault="001965B0" w:rsidP="008C57CA">
            <w:pPr>
              <w:jc w:val="center"/>
              <w:rPr>
                <w:color w:val="000000"/>
                <w:sz w:val="20"/>
                <w:szCs w:val="20"/>
                <w:lang w:eastAsia="cs-CZ"/>
              </w:rPr>
            </w:pPr>
            <w:r>
              <w:rPr>
                <w:color w:val="000000"/>
                <w:sz w:val="20"/>
                <w:szCs w:val="20"/>
                <w:lang w:eastAsia="cs-CZ"/>
              </w:rPr>
              <w:t>K</w:t>
            </w:r>
            <w:r w:rsidR="001F62E7" w:rsidRPr="00CF4750">
              <w:rPr>
                <w:color w:val="000000"/>
                <w:sz w:val="20"/>
                <w:szCs w:val="20"/>
                <w:lang w:eastAsia="cs-CZ"/>
              </w:rPr>
              <w:t>alendářní rok</w:t>
            </w:r>
          </w:p>
        </w:tc>
        <w:tc>
          <w:tcPr>
            <w:tcW w:w="912" w:type="pct"/>
            <w:tcBorders>
              <w:top w:val="nil"/>
              <w:left w:val="nil"/>
              <w:bottom w:val="single" w:sz="4" w:space="0" w:color="auto"/>
              <w:right w:val="single" w:sz="4" w:space="0" w:color="auto"/>
            </w:tcBorders>
            <w:shd w:val="clear" w:color="auto" w:fill="auto"/>
            <w:vAlign w:val="center"/>
            <w:hideMark/>
          </w:tcPr>
          <w:p w14:paraId="24484FE1"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2,4</w:t>
            </w:r>
          </w:p>
        </w:tc>
        <w:tc>
          <w:tcPr>
            <w:tcW w:w="912" w:type="pct"/>
            <w:tcBorders>
              <w:top w:val="nil"/>
              <w:left w:val="nil"/>
              <w:bottom w:val="single" w:sz="4" w:space="0" w:color="auto"/>
              <w:right w:val="single" w:sz="4" w:space="0" w:color="auto"/>
            </w:tcBorders>
            <w:shd w:val="clear" w:color="auto" w:fill="auto"/>
            <w:vAlign w:val="center"/>
            <w:hideMark/>
          </w:tcPr>
          <w:p w14:paraId="052D2F00"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3,6</w:t>
            </w:r>
          </w:p>
        </w:tc>
        <w:tc>
          <w:tcPr>
            <w:tcW w:w="960" w:type="pct"/>
            <w:tcBorders>
              <w:top w:val="nil"/>
              <w:left w:val="nil"/>
              <w:bottom w:val="single" w:sz="4" w:space="0" w:color="auto"/>
              <w:right w:val="single" w:sz="4" w:space="0" w:color="auto"/>
            </w:tcBorders>
            <w:shd w:val="clear" w:color="auto" w:fill="auto"/>
            <w:vAlign w:val="center"/>
            <w:hideMark/>
          </w:tcPr>
          <w:p w14:paraId="3170D8AF"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6</w:t>
            </w:r>
          </w:p>
        </w:tc>
      </w:tr>
      <w:tr w:rsidR="001F62E7" w14:paraId="3C513FBA" w14:textId="77777777" w:rsidTr="008C57CA">
        <w:trPr>
          <w:trHeight w:val="255"/>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0DC4F819" w14:textId="77777777" w:rsidR="001F62E7" w:rsidRPr="00CF4750" w:rsidRDefault="001F62E7" w:rsidP="00004505">
            <w:pPr>
              <w:jc w:val="center"/>
              <w:rPr>
                <w:color w:val="000000"/>
                <w:sz w:val="20"/>
                <w:szCs w:val="20"/>
                <w:lang w:eastAsia="cs-CZ"/>
              </w:rPr>
            </w:pPr>
            <w:r w:rsidRPr="00CF4750">
              <w:rPr>
                <w:color w:val="000000"/>
                <w:sz w:val="20"/>
                <w:szCs w:val="20"/>
                <w:lang w:eastAsia="cs-CZ"/>
              </w:rPr>
              <w:t>Cd</w:t>
            </w:r>
          </w:p>
        </w:tc>
        <w:tc>
          <w:tcPr>
            <w:tcW w:w="1320" w:type="pct"/>
            <w:tcBorders>
              <w:top w:val="nil"/>
              <w:left w:val="nil"/>
              <w:bottom w:val="single" w:sz="4" w:space="0" w:color="auto"/>
              <w:right w:val="single" w:sz="4" w:space="0" w:color="auto"/>
            </w:tcBorders>
            <w:shd w:val="clear" w:color="auto" w:fill="auto"/>
            <w:noWrap/>
            <w:vAlign w:val="center"/>
            <w:hideMark/>
          </w:tcPr>
          <w:p w14:paraId="586E8D41" w14:textId="13090C49" w:rsidR="001F62E7" w:rsidRPr="00CF4750" w:rsidRDefault="001965B0" w:rsidP="008C57CA">
            <w:pPr>
              <w:jc w:val="center"/>
              <w:rPr>
                <w:color w:val="000000"/>
                <w:sz w:val="20"/>
                <w:szCs w:val="20"/>
                <w:lang w:eastAsia="cs-CZ"/>
              </w:rPr>
            </w:pPr>
            <w:r>
              <w:rPr>
                <w:color w:val="000000"/>
                <w:sz w:val="20"/>
                <w:szCs w:val="20"/>
                <w:lang w:eastAsia="cs-CZ"/>
              </w:rPr>
              <w:t>K</w:t>
            </w:r>
            <w:r w:rsidR="001F62E7" w:rsidRPr="00CF4750">
              <w:rPr>
                <w:color w:val="000000"/>
                <w:sz w:val="20"/>
                <w:szCs w:val="20"/>
                <w:lang w:eastAsia="cs-CZ"/>
              </w:rPr>
              <w:t>alendářní rok</w:t>
            </w:r>
          </w:p>
        </w:tc>
        <w:tc>
          <w:tcPr>
            <w:tcW w:w="912" w:type="pct"/>
            <w:tcBorders>
              <w:top w:val="nil"/>
              <w:left w:val="nil"/>
              <w:bottom w:val="single" w:sz="4" w:space="0" w:color="auto"/>
              <w:right w:val="single" w:sz="4" w:space="0" w:color="auto"/>
            </w:tcBorders>
            <w:shd w:val="clear" w:color="auto" w:fill="auto"/>
            <w:vAlign w:val="center"/>
            <w:hideMark/>
          </w:tcPr>
          <w:p w14:paraId="242DDCF8"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2</w:t>
            </w:r>
          </w:p>
        </w:tc>
        <w:tc>
          <w:tcPr>
            <w:tcW w:w="912" w:type="pct"/>
            <w:tcBorders>
              <w:top w:val="nil"/>
              <w:left w:val="nil"/>
              <w:bottom w:val="single" w:sz="4" w:space="0" w:color="auto"/>
              <w:right w:val="single" w:sz="4" w:space="0" w:color="auto"/>
            </w:tcBorders>
            <w:shd w:val="clear" w:color="auto" w:fill="auto"/>
            <w:vAlign w:val="center"/>
            <w:hideMark/>
          </w:tcPr>
          <w:p w14:paraId="0E82CE38"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3</w:t>
            </w:r>
          </w:p>
        </w:tc>
        <w:tc>
          <w:tcPr>
            <w:tcW w:w="960" w:type="pct"/>
            <w:tcBorders>
              <w:top w:val="nil"/>
              <w:left w:val="nil"/>
              <w:bottom w:val="single" w:sz="4" w:space="0" w:color="auto"/>
              <w:right w:val="single" w:sz="4" w:space="0" w:color="auto"/>
            </w:tcBorders>
            <w:shd w:val="clear" w:color="auto" w:fill="auto"/>
            <w:vAlign w:val="center"/>
            <w:hideMark/>
          </w:tcPr>
          <w:p w14:paraId="4B2DEFB1"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5</w:t>
            </w:r>
          </w:p>
        </w:tc>
      </w:tr>
      <w:tr w:rsidR="001F62E7" w14:paraId="10A34095" w14:textId="77777777" w:rsidTr="008C57CA">
        <w:trPr>
          <w:trHeight w:val="255"/>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1406A807" w14:textId="77777777" w:rsidR="001F62E7" w:rsidRPr="00CF4750" w:rsidRDefault="001F62E7" w:rsidP="00004505">
            <w:pPr>
              <w:jc w:val="center"/>
              <w:rPr>
                <w:color w:val="000000"/>
                <w:sz w:val="20"/>
                <w:szCs w:val="20"/>
                <w:lang w:eastAsia="cs-CZ"/>
              </w:rPr>
            </w:pPr>
            <w:r w:rsidRPr="00CF4750">
              <w:rPr>
                <w:color w:val="000000"/>
                <w:sz w:val="20"/>
                <w:szCs w:val="20"/>
                <w:lang w:eastAsia="cs-CZ"/>
              </w:rPr>
              <w:t>Ni</w:t>
            </w:r>
          </w:p>
        </w:tc>
        <w:tc>
          <w:tcPr>
            <w:tcW w:w="1320" w:type="pct"/>
            <w:tcBorders>
              <w:top w:val="nil"/>
              <w:left w:val="nil"/>
              <w:bottom w:val="single" w:sz="4" w:space="0" w:color="auto"/>
              <w:right w:val="single" w:sz="4" w:space="0" w:color="auto"/>
            </w:tcBorders>
            <w:shd w:val="clear" w:color="auto" w:fill="auto"/>
            <w:vAlign w:val="center"/>
            <w:hideMark/>
          </w:tcPr>
          <w:p w14:paraId="5E68C5C5" w14:textId="5D29047D" w:rsidR="001F62E7" w:rsidRPr="00CF4750" w:rsidRDefault="001965B0" w:rsidP="008C57CA">
            <w:pPr>
              <w:jc w:val="center"/>
              <w:rPr>
                <w:color w:val="000000"/>
                <w:sz w:val="20"/>
                <w:szCs w:val="20"/>
                <w:lang w:eastAsia="cs-CZ"/>
              </w:rPr>
            </w:pPr>
            <w:r>
              <w:rPr>
                <w:color w:val="000000"/>
                <w:sz w:val="20"/>
                <w:szCs w:val="20"/>
                <w:lang w:eastAsia="cs-CZ"/>
              </w:rPr>
              <w:t>K</w:t>
            </w:r>
            <w:r w:rsidR="001F62E7" w:rsidRPr="00CF4750">
              <w:rPr>
                <w:color w:val="000000"/>
                <w:sz w:val="20"/>
                <w:szCs w:val="20"/>
                <w:lang w:eastAsia="cs-CZ"/>
              </w:rPr>
              <w:t>alendářní rok</w:t>
            </w:r>
          </w:p>
        </w:tc>
        <w:tc>
          <w:tcPr>
            <w:tcW w:w="912" w:type="pct"/>
            <w:tcBorders>
              <w:top w:val="nil"/>
              <w:left w:val="nil"/>
              <w:bottom w:val="single" w:sz="4" w:space="0" w:color="auto"/>
              <w:right w:val="single" w:sz="4" w:space="0" w:color="auto"/>
            </w:tcBorders>
            <w:shd w:val="clear" w:color="auto" w:fill="auto"/>
            <w:vAlign w:val="center"/>
            <w:hideMark/>
          </w:tcPr>
          <w:p w14:paraId="7477FD5D"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10</w:t>
            </w:r>
          </w:p>
        </w:tc>
        <w:tc>
          <w:tcPr>
            <w:tcW w:w="912" w:type="pct"/>
            <w:tcBorders>
              <w:top w:val="nil"/>
              <w:left w:val="nil"/>
              <w:bottom w:val="single" w:sz="4" w:space="0" w:color="auto"/>
              <w:right w:val="single" w:sz="4" w:space="0" w:color="auto"/>
            </w:tcBorders>
            <w:shd w:val="clear" w:color="auto" w:fill="auto"/>
            <w:vAlign w:val="center"/>
            <w:hideMark/>
          </w:tcPr>
          <w:p w14:paraId="3A3FE115"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14</w:t>
            </w:r>
          </w:p>
        </w:tc>
        <w:tc>
          <w:tcPr>
            <w:tcW w:w="960" w:type="pct"/>
            <w:tcBorders>
              <w:top w:val="nil"/>
              <w:left w:val="nil"/>
              <w:bottom w:val="single" w:sz="4" w:space="0" w:color="auto"/>
              <w:right w:val="single" w:sz="4" w:space="0" w:color="auto"/>
            </w:tcBorders>
            <w:shd w:val="clear" w:color="auto" w:fill="auto"/>
            <w:vAlign w:val="center"/>
            <w:hideMark/>
          </w:tcPr>
          <w:p w14:paraId="3FAAA5B1"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20</w:t>
            </w:r>
          </w:p>
        </w:tc>
      </w:tr>
      <w:tr w:rsidR="001F62E7" w14:paraId="1483125F" w14:textId="77777777" w:rsidTr="008C57CA">
        <w:trPr>
          <w:trHeight w:val="255"/>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61F16054" w14:textId="0940230C" w:rsidR="001F62E7" w:rsidRPr="00CF4750" w:rsidRDefault="00A32942" w:rsidP="00004505">
            <w:pPr>
              <w:jc w:val="center"/>
              <w:rPr>
                <w:color w:val="000000"/>
                <w:sz w:val="20"/>
                <w:szCs w:val="20"/>
                <w:lang w:eastAsia="cs-CZ"/>
              </w:rPr>
            </w:pPr>
            <w:r>
              <w:rPr>
                <w:color w:val="000000"/>
                <w:sz w:val="20"/>
                <w:szCs w:val="20"/>
                <w:lang w:eastAsia="cs-CZ"/>
              </w:rPr>
              <w:t>B(a)P</w:t>
            </w:r>
          </w:p>
        </w:tc>
        <w:tc>
          <w:tcPr>
            <w:tcW w:w="1320" w:type="pct"/>
            <w:tcBorders>
              <w:top w:val="nil"/>
              <w:left w:val="nil"/>
              <w:bottom w:val="single" w:sz="4" w:space="0" w:color="auto"/>
              <w:right w:val="single" w:sz="4" w:space="0" w:color="auto"/>
            </w:tcBorders>
            <w:shd w:val="clear" w:color="auto" w:fill="auto"/>
            <w:noWrap/>
            <w:vAlign w:val="center"/>
            <w:hideMark/>
          </w:tcPr>
          <w:p w14:paraId="04096C4F" w14:textId="099E238D" w:rsidR="001F62E7" w:rsidRPr="00CF4750" w:rsidRDefault="001965B0" w:rsidP="008C57CA">
            <w:pPr>
              <w:jc w:val="center"/>
              <w:rPr>
                <w:color w:val="000000"/>
                <w:sz w:val="20"/>
                <w:szCs w:val="20"/>
                <w:lang w:eastAsia="cs-CZ"/>
              </w:rPr>
            </w:pPr>
            <w:r>
              <w:rPr>
                <w:color w:val="000000"/>
                <w:sz w:val="20"/>
                <w:szCs w:val="20"/>
                <w:lang w:eastAsia="cs-CZ"/>
              </w:rPr>
              <w:t>K</w:t>
            </w:r>
            <w:r w:rsidR="001F62E7" w:rsidRPr="00CF4750">
              <w:rPr>
                <w:color w:val="000000"/>
                <w:sz w:val="20"/>
                <w:szCs w:val="20"/>
                <w:lang w:eastAsia="cs-CZ"/>
              </w:rPr>
              <w:t>alendářní rok</w:t>
            </w:r>
          </w:p>
        </w:tc>
        <w:tc>
          <w:tcPr>
            <w:tcW w:w="912" w:type="pct"/>
            <w:tcBorders>
              <w:top w:val="nil"/>
              <w:left w:val="nil"/>
              <w:bottom w:val="single" w:sz="4" w:space="0" w:color="auto"/>
              <w:right w:val="single" w:sz="4" w:space="0" w:color="auto"/>
            </w:tcBorders>
            <w:shd w:val="clear" w:color="auto" w:fill="auto"/>
            <w:vAlign w:val="center"/>
            <w:hideMark/>
          </w:tcPr>
          <w:p w14:paraId="788CB47D"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0,4</w:t>
            </w:r>
          </w:p>
        </w:tc>
        <w:tc>
          <w:tcPr>
            <w:tcW w:w="912" w:type="pct"/>
            <w:tcBorders>
              <w:top w:val="nil"/>
              <w:left w:val="nil"/>
              <w:bottom w:val="single" w:sz="4" w:space="0" w:color="auto"/>
              <w:right w:val="single" w:sz="4" w:space="0" w:color="auto"/>
            </w:tcBorders>
            <w:shd w:val="clear" w:color="auto" w:fill="auto"/>
            <w:vAlign w:val="center"/>
            <w:hideMark/>
          </w:tcPr>
          <w:p w14:paraId="48F51C8A"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0,6</w:t>
            </w:r>
          </w:p>
        </w:tc>
        <w:tc>
          <w:tcPr>
            <w:tcW w:w="960" w:type="pct"/>
            <w:tcBorders>
              <w:top w:val="nil"/>
              <w:left w:val="nil"/>
              <w:bottom w:val="single" w:sz="4" w:space="0" w:color="auto"/>
              <w:right w:val="single" w:sz="4" w:space="0" w:color="auto"/>
            </w:tcBorders>
            <w:shd w:val="clear" w:color="auto" w:fill="auto"/>
            <w:vAlign w:val="center"/>
            <w:hideMark/>
          </w:tcPr>
          <w:p w14:paraId="7E54C128" w14:textId="77777777" w:rsidR="001F62E7" w:rsidRPr="00CF4750" w:rsidRDefault="001F62E7" w:rsidP="008C57CA">
            <w:pPr>
              <w:ind w:right="498"/>
              <w:jc w:val="right"/>
              <w:rPr>
                <w:color w:val="000000"/>
                <w:sz w:val="20"/>
                <w:szCs w:val="20"/>
                <w:lang w:eastAsia="cs-CZ"/>
              </w:rPr>
            </w:pPr>
            <w:r w:rsidRPr="00CF4750">
              <w:rPr>
                <w:color w:val="000000"/>
                <w:sz w:val="20"/>
                <w:szCs w:val="20"/>
                <w:lang w:eastAsia="cs-CZ"/>
              </w:rPr>
              <w:t>1</w:t>
            </w:r>
          </w:p>
        </w:tc>
      </w:tr>
    </w:tbl>
    <w:p w14:paraId="12A1C183" w14:textId="12C6A088" w:rsidR="008039C3" w:rsidRPr="009945E6" w:rsidRDefault="001F62E7" w:rsidP="00955553">
      <w:pPr>
        <w:pStyle w:val="Zdrojeapozn"/>
        <w:rPr>
          <w:b w:val="0"/>
        </w:rPr>
      </w:pPr>
      <w:r w:rsidRPr="00F13367">
        <w:t>Zdroj:</w:t>
      </w:r>
      <w:r w:rsidR="00FA443D">
        <w:t xml:space="preserve"> </w:t>
      </w:r>
      <w:r w:rsidR="00FA443D" w:rsidRPr="009945E6">
        <w:rPr>
          <w:b w:val="0"/>
        </w:rPr>
        <w:t>p</w:t>
      </w:r>
      <w:r w:rsidRPr="009945E6">
        <w:rPr>
          <w:b w:val="0"/>
        </w:rPr>
        <w:t>říloha č. 1 zákona č. 201/2012 Sb.</w:t>
      </w:r>
    </w:p>
    <w:p w14:paraId="4CE9F35B" w14:textId="4E74DBE3" w:rsidR="008039C3" w:rsidRDefault="008039C3" w:rsidP="008039C3">
      <w:r>
        <w:br w:type="page"/>
      </w:r>
    </w:p>
    <w:p w14:paraId="17865B86" w14:textId="2724C224" w:rsidR="00C60562" w:rsidRDefault="008039C3" w:rsidP="00096C5B">
      <w:pPr>
        <w:pStyle w:val="TextKP"/>
        <w:spacing w:before="0"/>
        <w:jc w:val="right"/>
        <w:outlineLvl w:val="0"/>
        <w:rPr>
          <w:b/>
        </w:rPr>
      </w:pPr>
      <w:r w:rsidRPr="00303804">
        <w:rPr>
          <w:b/>
        </w:rPr>
        <w:lastRenderedPageBreak/>
        <w:t xml:space="preserve">Příloha č. </w:t>
      </w:r>
      <w:r w:rsidRPr="00303804">
        <w:rPr>
          <w:b/>
        </w:rPr>
        <w:fldChar w:fldCharType="begin"/>
      </w:r>
      <w:r w:rsidRPr="00303804">
        <w:rPr>
          <w:b/>
        </w:rPr>
        <w:instrText xml:space="preserve"> SEQ Příloha_č. \* ARABIC </w:instrText>
      </w:r>
      <w:r w:rsidRPr="00303804">
        <w:rPr>
          <w:b/>
        </w:rPr>
        <w:fldChar w:fldCharType="separate"/>
      </w:r>
      <w:r w:rsidR="000D2E96">
        <w:rPr>
          <w:b/>
          <w:noProof/>
        </w:rPr>
        <w:t>2</w:t>
      </w:r>
      <w:r w:rsidRPr="00303804">
        <w:rPr>
          <w:b/>
        </w:rPr>
        <w:fldChar w:fldCharType="end"/>
      </w:r>
    </w:p>
    <w:p w14:paraId="47ACBC83" w14:textId="634C4035" w:rsidR="008039C3" w:rsidRPr="001F62E7" w:rsidRDefault="00E721D0" w:rsidP="008039C3">
      <w:pPr>
        <w:pStyle w:val="TextKP"/>
        <w:spacing w:before="0"/>
        <w:outlineLvl w:val="0"/>
      </w:pPr>
      <w:bookmarkStart w:id="23" w:name="_Hlk161833563"/>
      <w:r>
        <w:rPr>
          <w:b/>
        </w:rPr>
        <w:t>N</w:t>
      </w:r>
      <w:r w:rsidR="00B74652">
        <w:rPr>
          <w:b/>
        </w:rPr>
        <w:t>ed</w:t>
      </w:r>
      <w:r w:rsidR="001804E7">
        <w:rPr>
          <w:b/>
        </w:rPr>
        <w:t>održov</w:t>
      </w:r>
      <w:r w:rsidR="00B74652">
        <w:rPr>
          <w:b/>
        </w:rPr>
        <w:t>an</w:t>
      </w:r>
      <w:r w:rsidR="00576F7D">
        <w:rPr>
          <w:b/>
        </w:rPr>
        <w:t>í</w:t>
      </w:r>
      <w:r w:rsidR="001804E7">
        <w:rPr>
          <w:b/>
        </w:rPr>
        <w:t xml:space="preserve"> imisní</w:t>
      </w:r>
      <w:r w:rsidR="00576F7D">
        <w:rPr>
          <w:b/>
        </w:rPr>
        <w:t>ch</w:t>
      </w:r>
      <w:r w:rsidR="001804E7">
        <w:rPr>
          <w:b/>
        </w:rPr>
        <w:t xml:space="preserve"> limit</w:t>
      </w:r>
      <w:r w:rsidR="00576F7D">
        <w:rPr>
          <w:b/>
        </w:rPr>
        <w:t>ů</w:t>
      </w:r>
      <w:r w:rsidR="001804E7">
        <w:rPr>
          <w:b/>
        </w:rPr>
        <w:t xml:space="preserve"> v</w:t>
      </w:r>
      <w:r w:rsidR="00B74652">
        <w:rPr>
          <w:b/>
        </w:rPr>
        <w:t> </w:t>
      </w:r>
      <w:r w:rsidR="001804E7">
        <w:rPr>
          <w:b/>
        </w:rPr>
        <w:t>ČR</w:t>
      </w:r>
      <w:bookmarkEnd w:id="23"/>
    </w:p>
    <w:p w14:paraId="2B8167F8" w14:textId="22DF6106" w:rsidR="0004367C" w:rsidRDefault="0004367C" w:rsidP="0004367C">
      <w:pPr>
        <w:pStyle w:val="TextKP"/>
        <w:rPr>
          <w:lang w:eastAsia="cs-CZ"/>
        </w:rPr>
      </w:pPr>
      <w:r w:rsidRPr="001F62E7">
        <w:rPr>
          <w:lang w:eastAsia="cs-CZ"/>
        </w:rPr>
        <w:t xml:space="preserve">Prostřednictvím zákona </w:t>
      </w:r>
      <w:r>
        <w:rPr>
          <w:lang w:eastAsia="cs-CZ"/>
        </w:rPr>
        <w:t>o ochraně ovzduší</w:t>
      </w:r>
      <w:r w:rsidRPr="001F62E7">
        <w:rPr>
          <w:lang w:eastAsia="cs-CZ"/>
        </w:rPr>
        <w:t xml:space="preserve"> jsou do </w:t>
      </w:r>
      <w:r>
        <w:rPr>
          <w:lang w:eastAsia="cs-CZ"/>
        </w:rPr>
        <w:t xml:space="preserve">právního řádu ČR transponovány mj. požadavky na kvalitu ovzduší stanovené ve </w:t>
      </w:r>
      <w:r w:rsidR="00FA443D">
        <w:rPr>
          <w:lang w:eastAsia="cs-CZ"/>
        </w:rPr>
        <w:t>s</w:t>
      </w:r>
      <w:r>
        <w:rPr>
          <w:lang w:eastAsia="cs-CZ"/>
        </w:rPr>
        <w:t>měrnici EU 2008/50/ES. Směrnice umožňovala členským státům možnost prodloužení lhůt pro dosažení mezních hodnot (imisních limitů) pro PM</w:t>
      </w:r>
      <w:r w:rsidRPr="00AD61B1">
        <w:rPr>
          <w:vertAlign w:val="subscript"/>
          <w:lang w:eastAsia="cs-CZ"/>
        </w:rPr>
        <w:t>10</w:t>
      </w:r>
      <w:r>
        <w:rPr>
          <w:lang w:eastAsia="cs-CZ"/>
        </w:rPr>
        <w:t xml:space="preserve"> a pro NO</w:t>
      </w:r>
      <w:r w:rsidRPr="00AD61B1">
        <w:rPr>
          <w:vertAlign w:val="subscript"/>
          <w:lang w:eastAsia="cs-CZ"/>
        </w:rPr>
        <w:t>2</w:t>
      </w:r>
      <w:r>
        <w:rPr>
          <w:lang w:eastAsia="cs-CZ"/>
        </w:rPr>
        <w:t>. Česká republika požádala o výjimky z dosažení mezních hodnot jak pro PM</w:t>
      </w:r>
      <w:r w:rsidRPr="00AD61B1">
        <w:rPr>
          <w:vertAlign w:val="subscript"/>
          <w:lang w:eastAsia="cs-CZ"/>
        </w:rPr>
        <w:t>10</w:t>
      </w:r>
      <w:r>
        <w:rPr>
          <w:lang w:eastAsia="cs-CZ"/>
        </w:rPr>
        <w:t>, tak pro NO</w:t>
      </w:r>
      <w:r w:rsidRPr="009834AC">
        <w:rPr>
          <w:vertAlign w:val="subscript"/>
          <w:lang w:eastAsia="cs-CZ"/>
        </w:rPr>
        <w:t>2</w:t>
      </w:r>
      <w:r>
        <w:rPr>
          <w:lang w:eastAsia="cs-CZ"/>
        </w:rPr>
        <w:t>. Imisní limity pro PM</w:t>
      </w:r>
      <w:r w:rsidRPr="0027496A">
        <w:rPr>
          <w:vertAlign w:val="subscript"/>
          <w:lang w:eastAsia="cs-CZ"/>
        </w:rPr>
        <w:t>10</w:t>
      </w:r>
      <w:r>
        <w:rPr>
          <w:lang w:eastAsia="cs-CZ"/>
        </w:rPr>
        <w:t xml:space="preserve"> měla ČR následně plnit do 11. 6. 2011 a pro NO</w:t>
      </w:r>
      <w:r w:rsidRPr="0027496A">
        <w:rPr>
          <w:vertAlign w:val="subscript"/>
          <w:lang w:eastAsia="cs-CZ"/>
        </w:rPr>
        <w:t>2</w:t>
      </w:r>
      <w:r>
        <w:rPr>
          <w:lang w:eastAsia="cs-CZ"/>
        </w:rPr>
        <w:t xml:space="preserve"> do 1. 1. 2015. </w:t>
      </w:r>
      <w:r w:rsidRPr="00362827">
        <w:rPr>
          <w:lang w:eastAsia="cs-CZ"/>
        </w:rPr>
        <w:t xml:space="preserve">Nedodržení imisních limitů vyústilo v zahájení </w:t>
      </w:r>
      <w:r>
        <w:rPr>
          <w:lang w:eastAsia="cs-CZ"/>
        </w:rPr>
        <w:t xml:space="preserve">tzv. </w:t>
      </w:r>
      <w:proofErr w:type="spellStart"/>
      <w:r w:rsidRPr="00362827">
        <w:rPr>
          <w:lang w:eastAsia="cs-CZ"/>
        </w:rPr>
        <w:t>infringementových</w:t>
      </w:r>
      <w:proofErr w:type="spellEnd"/>
      <w:r w:rsidRPr="00362827">
        <w:rPr>
          <w:lang w:eastAsia="cs-CZ"/>
        </w:rPr>
        <w:t xml:space="preserve"> řízení</w:t>
      </w:r>
      <w:r>
        <w:rPr>
          <w:rStyle w:val="Znakapoznpodarou"/>
        </w:rPr>
        <w:footnoteReference w:id="33"/>
      </w:r>
      <w:r>
        <w:t xml:space="preserve">, které vede Evropská komise s Českou republikou z důvodu neplnění závazků vyplývajících ze </w:t>
      </w:r>
      <w:r w:rsidR="00FA443D">
        <w:t>s</w:t>
      </w:r>
      <w:r>
        <w:t>měrnice 2008/50/ES, resp. neplnění imisních limitů pro PM</w:t>
      </w:r>
      <w:r w:rsidRPr="00FD1AA5">
        <w:rPr>
          <w:vertAlign w:val="subscript"/>
        </w:rPr>
        <w:t>10</w:t>
      </w:r>
      <w:r>
        <w:t xml:space="preserve"> a pro NO</w:t>
      </w:r>
      <w:r w:rsidRPr="00D74718">
        <w:rPr>
          <w:vertAlign w:val="subscript"/>
        </w:rPr>
        <w:t>2</w:t>
      </w:r>
      <w:r>
        <w:t>.</w:t>
      </w:r>
      <w:r w:rsidRPr="00362827">
        <w:rPr>
          <w:lang w:eastAsia="cs-CZ"/>
        </w:rPr>
        <w:t xml:space="preserve"> Zjištěná překročení mezních hodnot jsou v současnosti nadále předmětem řízení o nesplnění povinnosti. Řízení jsou ve stádiu dodatečného odůvodněného stanoviska (PM</w:t>
      </w:r>
      <w:r w:rsidRPr="00362827">
        <w:rPr>
          <w:vertAlign w:val="subscript"/>
          <w:lang w:eastAsia="cs-CZ"/>
        </w:rPr>
        <w:t>10</w:t>
      </w:r>
      <w:r w:rsidRPr="00362827">
        <w:rPr>
          <w:lang w:eastAsia="cs-CZ"/>
        </w:rPr>
        <w:t>) a ve stádiu formálního upozornění (NO</w:t>
      </w:r>
      <w:r w:rsidRPr="00362827">
        <w:rPr>
          <w:vertAlign w:val="subscript"/>
          <w:lang w:eastAsia="cs-CZ"/>
        </w:rPr>
        <w:t>2</w:t>
      </w:r>
      <w:r w:rsidRPr="00362827">
        <w:rPr>
          <w:lang w:eastAsia="cs-CZ"/>
        </w:rPr>
        <w:t>).</w:t>
      </w:r>
    </w:p>
    <w:p w14:paraId="41722EAA" w14:textId="6E99E676" w:rsidR="00E721D0" w:rsidRDefault="00E721D0" w:rsidP="00E721D0">
      <w:pPr>
        <w:pStyle w:val="TextKP"/>
        <w:spacing w:before="80"/>
        <w:rPr>
          <w:lang w:eastAsia="cs-CZ"/>
        </w:rPr>
      </w:pPr>
      <w:r w:rsidRPr="00E974E5">
        <w:rPr>
          <w:lang w:eastAsia="cs-CZ"/>
        </w:rPr>
        <w:t xml:space="preserve">MŽP informuje </w:t>
      </w:r>
      <w:r>
        <w:rPr>
          <w:lang w:eastAsia="cs-CZ"/>
        </w:rPr>
        <w:t>EK</w:t>
      </w:r>
      <w:r w:rsidRPr="00E974E5">
        <w:rPr>
          <w:lang w:eastAsia="cs-CZ"/>
        </w:rPr>
        <w:t xml:space="preserve"> o aktuálním stavu plnění imisních limitů pro PM</w:t>
      </w:r>
      <w:r w:rsidRPr="00E974E5">
        <w:rPr>
          <w:vertAlign w:val="subscript"/>
          <w:lang w:eastAsia="cs-CZ"/>
        </w:rPr>
        <w:t>10</w:t>
      </w:r>
      <w:r w:rsidRPr="00E974E5">
        <w:rPr>
          <w:lang w:eastAsia="cs-CZ"/>
        </w:rPr>
        <w:t xml:space="preserve"> a NO</w:t>
      </w:r>
      <w:r w:rsidRPr="00E974E5">
        <w:rPr>
          <w:vertAlign w:val="subscript"/>
          <w:lang w:eastAsia="cs-CZ"/>
        </w:rPr>
        <w:t>2</w:t>
      </w:r>
      <w:r w:rsidRPr="00E974E5">
        <w:rPr>
          <w:lang w:eastAsia="cs-CZ"/>
        </w:rPr>
        <w:t xml:space="preserve">. </w:t>
      </w:r>
      <w:r>
        <w:rPr>
          <w:lang w:eastAsia="cs-CZ"/>
        </w:rPr>
        <w:t>Z</w:t>
      </w:r>
      <w:r>
        <w:t> </w:t>
      </w:r>
      <w:r w:rsidRPr="00E974E5">
        <w:rPr>
          <w:lang w:eastAsia="cs-CZ"/>
        </w:rPr>
        <w:t>údajů za roky 2020 až 2022 vyplývá, že mezní hodnoty pro NO</w:t>
      </w:r>
      <w:r w:rsidRPr="00E974E5">
        <w:rPr>
          <w:vertAlign w:val="subscript"/>
          <w:lang w:eastAsia="cs-CZ"/>
        </w:rPr>
        <w:t>2</w:t>
      </w:r>
      <w:r w:rsidRPr="00E974E5">
        <w:rPr>
          <w:lang w:eastAsia="cs-CZ"/>
        </w:rPr>
        <w:t xml:space="preserve"> nejsou překračovány. V</w:t>
      </w:r>
      <w:r>
        <w:rPr>
          <w:lang w:eastAsia="cs-CZ"/>
        </w:rPr>
        <w:t> </w:t>
      </w:r>
      <w:r w:rsidRPr="00E974E5">
        <w:rPr>
          <w:lang w:eastAsia="cs-CZ"/>
        </w:rPr>
        <w:t>případě PM</w:t>
      </w:r>
      <w:r w:rsidRPr="00E974E5">
        <w:rPr>
          <w:vertAlign w:val="subscript"/>
          <w:lang w:eastAsia="cs-CZ"/>
        </w:rPr>
        <w:t>10</w:t>
      </w:r>
      <w:r w:rsidRPr="00E974E5">
        <w:rPr>
          <w:lang w:eastAsia="cs-CZ"/>
        </w:rPr>
        <w:t xml:space="preserve"> dochází nadále k</w:t>
      </w:r>
      <w:r>
        <w:rPr>
          <w:lang w:eastAsia="cs-CZ"/>
        </w:rPr>
        <w:t> </w:t>
      </w:r>
      <w:r w:rsidRPr="00E974E5">
        <w:rPr>
          <w:lang w:eastAsia="cs-CZ"/>
        </w:rPr>
        <w:t>překračování mezních hodnot</w:t>
      </w:r>
      <w:r>
        <w:rPr>
          <w:lang w:eastAsia="cs-CZ"/>
        </w:rPr>
        <w:t xml:space="preserve"> </w:t>
      </w:r>
      <w:r w:rsidRPr="00E974E5">
        <w:rPr>
          <w:lang w:eastAsia="cs-CZ"/>
        </w:rPr>
        <w:t>v aglomeraci O</w:t>
      </w:r>
      <w:r>
        <w:rPr>
          <w:lang w:eastAsia="cs-CZ"/>
        </w:rPr>
        <w:t>strava</w:t>
      </w:r>
      <w:r w:rsidRPr="00E974E5">
        <w:rPr>
          <w:lang w:eastAsia="cs-CZ"/>
        </w:rPr>
        <w:t>/K</w:t>
      </w:r>
      <w:r>
        <w:rPr>
          <w:lang w:eastAsia="cs-CZ"/>
        </w:rPr>
        <w:t>arviná</w:t>
      </w:r>
      <w:r w:rsidRPr="00E974E5">
        <w:rPr>
          <w:lang w:eastAsia="cs-CZ"/>
        </w:rPr>
        <w:t>/F</w:t>
      </w:r>
      <w:r>
        <w:rPr>
          <w:lang w:eastAsia="cs-CZ"/>
        </w:rPr>
        <w:t>rýdek</w:t>
      </w:r>
      <w:r w:rsidRPr="00E974E5">
        <w:rPr>
          <w:lang w:eastAsia="cs-CZ"/>
        </w:rPr>
        <w:t>-M</w:t>
      </w:r>
      <w:r>
        <w:rPr>
          <w:lang w:eastAsia="cs-CZ"/>
        </w:rPr>
        <w:t>ístek</w:t>
      </w:r>
      <w:r w:rsidRPr="00E974E5">
        <w:rPr>
          <w:lang w:eastAsia="cs-CZ"/>
        </w:rPr>
        <w:t>.</w:t>
      </w:r>
    </w:p>
    <w:p w14:paraId="610C6E32" w14:textId="77777777" w:rsidR="0004367C" w:rsidRPr="009D60AB" w:rsidRDefault="0004367C" w:rsidP="00C60562">
      <w:pPr>
        <w:pStyle w:val="Titulek"/>
        <w:spacing w:after="120"/>
        <w:rPr>
          <w:b/>
        </w:rPr>
      </w:pPr>
      <w:r>
        <w:rPr>
          <w:b/>
        </w:rPr>
        <w:t>NEDODRŽOVANÉ IMISNÍ LIMITY V ČR V LETECH 2013 AŽ 2022 (BEZ ZARHNUTÍ O</w:t>
      </w:r>
      <w:r w:rsidRPr="009D60AB">
        <w:rPr>
          <w:b/>
          <w:vertAlign w:val="subscript"/>
        </w:rPr>
        <w:t>3</w:t>
      </w:r>
      <w:r>
        <w:rPr>
          <w:b/>
        </w:rPr>
        <w:t>)</w:t>
      </w:r>
    </w:p>
    <w:p w14:paraId="34EC520D" w14:textId="4755ADA5" w:rsidR="0004367C" w:rsidRPr="0040025E" w:rsidRDefault="0004367C" w:rsidP="0040025E">
      <w:pPr>
        <w:spacing w:before="120" w:after="40"/>
        <w:rPr>
          <w:b/>
        </w:rPr>
      </w:pPr>
      <w:r w:rsidRPr="0040025E">
        <w:rPr>
          <w:b/>
        </w:rPr>
        <w:t>Tabulk</w:t>
      </w:r>
      <w:r w:rsidR="00885A90">
        <w:rPr>
          <w:b/>
        </w:rPr>
        <w:t xml:space="preserve">a č. 1: </w:t>
      </w:r>
      <w:r w:rsidRPr="0040025E">
        <w:rPr>
          <w:b/>
        </w:rPr>
        <w:t>Přehled počtů stanic s ročními průměrnými koncentracemi pro NO</w:t>
      </w:r>
      <w:r w:rsidRPr="0040025E">
        <w:rPr>
          <w:b/>
          <w:vertAlign w:val="subscript"/>
        </w:rPr>
        <w:t xml:space="preserve">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8"/>
        <w:gridCol w:w="546"/>
        <w:gridCol w:w="546"/>
        <w:gridCol w:w="546"/>
        <w:gridCol w:w="546"/>
        <w:gridCol w:w="546"/>
        <w:gridCol w:w="546"/>
        <w:gridCol w:w="547"/>
        <w:gridCol w:w="546"/>
        <w:gridCol w:w="546"/>
        <w:gridCol w:w="549"/>
      </w:tblGrid>
      <w:tr w:rsidR="0004367C" w:rsidRPr="0063785F" w14:paraId="1CDC724A" w14:textId="77777777" w:rsidTr="009F75A3">
        <w:trPr>
          <w:trHeight w:val="20"/>
        </w:trPr>
        <w:tc>
          <w:tcPr>
            <w:tcW w:w="1985" w:type="pct"/>
            <w:shd w:val="clear" w:color="auto" w:fill="F2F2F2"/>
            <w:vAlign w:val="center"/>
            <w:hideMark/>
          </w:tcPr>
          <w:p w14:paraId="6914870D" w14:textId="77777777" w:rsidR="0004367C" w:rsidRPr="0063785F" w:rsidRDefault="0004367C" w:rsidP="009F75A3">
            <w:pPr>
              <w:jc w:val="center"/>
              <w:rPr>
                <w:rFonts w:eastAsia="Times New Roman"/>
                <w:b/>
                <w:bCs/>
                <w:color w:val="000000"/>
                <w:sz w:val="20"/>
                <w:szCs w:val="20"/>
                <w:lang w:eastAsia="cs-CZ"/>
              </w:rPr>
            </w:pPr>
            <w:r w:rsidRPr="0063785F">
              <w:rPr>
                <w:rFonts w:eastAsia="Times New Roman"/>
                <w:b/>
                <w:bCs/>
                <w:color w:val="000000"/>
                <w:sz w:val="20"/>
                <w:szCs w:val="20"/>
                <w:lang w:eastAsia="cs-CZ"/>
              </w:rPr>
              <w:t>NO</w:t>
            </w:r>
            <w:r w:rsidRPr="0063785F">
              <w:rPr>
                <w:rFonts w:eastAsia="Times New Roman"/>
                <w:b/>
                <w:bCs/>
                <w:color w:val="000000"/>
                <w:sz w:val="20"/>
                <w:szCs w:val="20"/>
                <w:vertAlign w:val="subscript"/>
                <w:lang w:eastAsia="cs-CZ"/>
              </w:rPr>
              <w:t>2</w:t>
            </w:r>
          </w:p>
        </w:tc>
        <w:tc>
          <w:tcPr>
            <w:tcW w:w="301" w:type="pct"/>
            <w:shd w:val="clear" w:color="auto" w:fill="F2F2F2"/>
            <w:vAlign w:val="center"/>
            <w:hideMark/>
          </w:tcPr>
          <w:p w14:paraId="538DDEC1" w14:textId="77777777" w:rsidR="0004367C" w:rsidRPr="0063785F" w:rsidRDefault="0004367C" w:rsidP="009F75A3">
            <w:pPr>
              <w:jc w:val="center"/>
              <w:rPr>
                <w:rFonts w:eastAsia="Times New Roman"/>
                <w:b/>
                <w:bCs/>
                <w:color w:val="000000"/>
                <w:sz w:val="20"/>
                <w:szCs w:val="20"/>
                <w:lang w:eastAsia="cs-CZ"/>
              </w:rPr>
            </w:pPr>
            <w:r w:rsidRPr="0063785F">
              <w:rPr>
                <w:rFonts w:eastAsia="Times New Roman"/>
                <w:b/>
                <w:bCs/>
                <w:color w:val="000000"/>
                <w:sz w:val="20"/>
                <w:szCs w:val="20"/>
                <w:lang w:eastAsia="cs-CZ"/>
              </w:rPr>
              <w:t>2013</w:t>
            </w:r>
          </w:p>
        </w:tc>
        <w:tc>
          <w:tcPr>
            <w:tcW w:w="301" w:type="pct"/>
            <w:shd w:val="clear" w:color="auto" w:fill="F2F2F2"/>
            <w:vAlign w:val="center"/>
            <w:hideMark/>
          </w:tcPr>
          <w:p w14:paraId="04A77493" w14:textId="77777777" w:rsidR="0004367C" w:rsidRPr="0063785F" w:rsidRDefault="0004367C" w:rsidP="009F75A3">
            <w:pPr>
              <w:jc w:val="center"/>
              <w:rPr>
                <w:rFonts w:eastAsia="Times New Roman"/>
                <w:b/>
                <w:bCs/>
                <w:color w:val="000000"/>
                <w:sz w:val="20"/>
                <w:szCs w:val="20"/>
                <w:lang w:eastAsia="cs-CZ"/>
              </w:rPr>
            </w:pPr>
            <w:r w:rsidRPr="0063785F">
              <w:rPr>
                <w:rFonts w:eastAsia="Times New Roman"/>
                <w:b/>
                <w:bCs/>
                <w:color w:val="000000"/>
                <w:sz w:val="20"/>
                <w:szCs w:val="20"/>
                <w:lang w:eastAsia="cs-CZ"/>
              </w:rPr>
              <w:t>2014</w:t>
            </w:r>
          </w:p>
        </w:tc>
        <w:tc>
          <w:tcPr>
            <w:tcW w:w="301" w:type="pct"/>
            <w:shd w:val="clear" w:color="auto" w:fill="F2F2F2"/>
            <w:vAlign w:val="center"/>
            <w:hideMark/>
          </w:tcPr>
          <w:p w14:paraId="272FD271" w14:textId="77777777" w:rsidR="0004367C" w:rsidRPr="0063785F" w:rsidRDefault="0004367C" w:rsidP="009F75A3">
            <w:pPr>
              <w:jc w:val="center"/>
              <w:rPr>
                <w:rFonts w:eastAsia="Times New Roman"/>
                <w:b/>
                <w:bCs/>
                <w:color w:val="000000"/>
                <w:sz w:val="20"/>
                <w:szCs w:val="20"/>
                <w:lang w:eastAsia="cs-CZ"/>
              </w:rPr>
            </w:pPr>
            <w:r w:rsidRPr="0063785F">
              <w:rPr>
                <w:rFonts w:eastAsia="Times New Roman"/>
                <w:b/>
                <w:bCs/>
                <w:color w:val="000000"/>
                <w:sz w:val="20"/>
                <w:szCs w:val="20"/>
                <w:lang w:eastAsia="cs-CZ"/>
              </w:rPr>
              <w:t>2015</w:t>
            </w:r>
          </w:p>
        </w:tc>
        <w:tc>
          <w:tcPr>
            <w:tcW w:w="301" w:type="pct"/>
            <w:shd w:val="clear" w:color="auto" w:fill="F2F2F2"/>
            <w:vAlign w:val="center"/>
            <w:hideMark/>
          </w:tcPr>
          <w:p w14:paraId="70A904E0" w14:textId="77777777" w:rsidR="0004367C" w:rsidRPr="0063785F" w:rsidRDefault="0004367C" w:rsidP="009F75A3">
            <w:pPr>
              <w:jc w:val="center"/>
              <w:rPr>
                <w:rFonts w:eastAsia="Times New Roman"/>
                <w:b/>
                <w:bCs/>
                <w:color w:val="000000"/>
                <w:sz w:val="20"/>
                <w:szCs w:val="20"/>
                <w:lang w:eastAsia="cs-CZ"/>
              </w:rPr>
            </w:pPr>
            <w:r w:rsidRPr="0063785F">
              <w:rPr>
                <w:rFonts w:eastAsia="Times New Roman"/>
                <w:b/>
                <w:bCs/>
                <w:color w:val="000000"/>
                <w:sz w:val="20"/>
                <w:szCs w:val="20"/>
                <w:lang w:eastAsia="cs-CZ"/>
              </w:rPr>
              <w:t>2016</w:t>
            </w:r>
          </w:p>
        </w:tc>
        <w:tc>
          <w:tcPr>
            <w:tcW w:w="301" w:type="pct"/>
            <w:shd w:val="clear" w:color="auto" w:fill="F2F2F2"/>
            <w:vAlign w:val="center"/>
            <w:hideMark/>
          </w:tcPr>
          <w:p w14:paraId="1F2CFEB0" w14:textId="77777777" w:rsidR="0004367C" w:rsidRPr="0063785F" w:rsidRDefault="0004367C" w:rsidP="009F75A3">
            <w:pPr>
              <w:jc w:val="center"/>
              <w:rPr>
                <w:rFonts w:eastAsia="Times New Roman"/>
                <w:b/>
                <w:bCs/>
                <w:color w:val="000000"/>
                <w:sz w:val="20"/>
                <w:szCs w:val="20"/>
                <w:lang w:eastAsia="cs-CZ"/>
              </w:rPr>
            </w:pPr>
            <w:r w:rsidRPr="0063785F">
              <w:rPr>
                <w:rFonts w:eastAsia="Times New Roman"/>
                <w:b/>
                <w:bCs/>
                <w:color w:val="000000"/>
                <w:sz w:val="20"/>
                <w:szCs w:val="20"/>
                <w:lang w:eastAsia="cs-CZ"/>
              </w:rPr>
              <w:t>2017</w:t>
            </w:r>
          </w:p>
        </w:tc>
        <w:tc>
          <w:tcPr>
            <w:tcW w:w="301" w:type="pct"/>
            <w:shd w:val="clear" w:color="auto" w:fill="F2F2F2"/>
            <w:vAlign w:val="center"/>
            <w:hideMark/>
          </w:tcPr>
          <w:p w14:paraId="1C335C6A" w14:textId="77777777" w:rsidR="0004367C" w:rsidRPr="0063785F" w:rsidRDefault="0004367C" w:rsidP="009F75A3">
            <w:pPr>
              <w:jc w:val="center"/>
              <w:rPr>
                <w:rFonts w:eastAsia="Times New Roman"/>
                <w:b/>
                <w:bCs/>
                <w:color w:val="000000"/>
                <w:sz w:val="20"/>
                <w:szCs w:val="20"/>
                <w:lang w:eastAsia="cs-CZ"/>
              </w:rPr>
            </w:pPr>
            <w:r w:rsidRPr="0063785F">
              <w:rPr>
                <w:rFonts w:eastAsia="Times New Roman"/>
                <w:b/>
                <w:bCs/>
                <w:color w:val="000000"/>
                <w:sz w:val="20"/>
                <w:szCs w:val="20"/>
                <w:lang w:eastAsia="cs-CZ"/>
              </w:rPr>
              <w:t>2018</w:t>
            </w:r>
          </w:p>
        </w:tc>
        <w:tc>
          <w:tcPr>
            <w:tcW w:w="302" w:type="pct"/>
            <w:shd w:val="clear" w:color="auto" w:fill="F2F2F2"/>
            <w:vAlign w:val="center"/>
            <w:hideMark/>
          </w:tcPr>
          <w:p w14:paraId="796D0401" w14:textId="77777777" w:rsidR="0004367C" w:rsidRPr="0063785F" w:rsidRDefault="0004367C" w:rsidP="009F75A3">
            <w:pPr>
              <w:jc w:val="center"/>
              <w:rPr>
                <w:rFonts w:eastAsia="Times New Roman"/>
                <w:b/>
                <w:bCs/>
                <w:color w:val="000000"/>
                <w:sz w:val="20"/>
                <w:szCs w:val="20"/>
                <w:lang w:eastAsia="cs-CZ"/>
              </w:rPr>
            </w:pPr>
            <w:r w:rsidRPr="0063785F">
              <w:rPr>
                <w:rFonts w:eastAsia="Times New Roman"/>
                <w:b/>
                <w:bCs/>
                <w:color w:val="000000"/>
                <w:sz w:val="20"/>
                <w:szCs w:val="20"/>
                <w:lang w:eastAsia="cs-CZ"/>
              </w:rPr>
              <w:t>2019</w:t>
            </w:r>
          </w:p>
        </w:tc>
        <w:tc>
          <w:tcPr>
            <w:tcW w:w="301" w:type="pct"/>
            <w:shd w:val="clear" w:color="auto" w:fill="F2F2F2"/>
            <w:vAlign w:val="center"/>
            <w:hideMark/>
          </w:tcPr>
          <w:p w14:paraId="663F8EBA" w14:textId="77777777" w:rsidR="0004367C" w:rsidRPr="0063785F" w:rsidRDefault="0004367C" w:rsidP="009F75A3">
            <w:pPr>
              <w:jc w:val="center"/>
              <w:rPr>
                <w:rFonts w:eastAsia="Times New Roman"/>
                <w:b/>
                <w:bCs/>
                <w:color w:val="000000"/>
                <w:sz w:val="20"/>
                <w:szCs w:val="20"/>
                <w:lang w:eastAsia="cs-CZ"/>
              </w:rPr>
            </w:pPr>
            <w:r w:rsidRPr="0063785F">
              <w:rPr>
                <w:rFonts w:eastAsia="Times New Roman"/>
                <w:b/>
                <w:bCs/>
                <w:color w:val="000000"/>
                <w:sz w:val="20"/>
                <w:szCs w:val="20"/>
                <w:lang w:eastAsia="cs-CZ"/>
              </w:rPr>
              <w:t>2020</w:t>
            </w:r>
          </w:p>
        </w:tc>
        <w:tc>
          <w:tcPr>
            <w:tcW w:w="301" w:type="pct"/>
            <w:shd w:val="clear" w:color="auto" w:fill="F2F2F2"/>
            <w:vAlign w:val="center"/>
            <w:hideMark/>
          </w:tcPr>
          <w:p w14:paraId="2F5352DB" w14:textId="77777777" w:rsidR="0004367C" w:rsidRPr="0063785F" w:rsidRDefault="0004367C" w:rsidP="009F75A3">
            <w:pPr>
              <w:jc w:val="center"/>
              <w:rPr>
                <w:rFonts w:eastAsia="Times New Roman"/>
                <w:b/>
                <w:bCs/>
                <w:color w:val="000000"/>
                <w:sz w:val="20"/>
                <w:szCs w:val="20"/>
                <w:lang w:eastAsia="cs-CZ"/>
              </w:rPr>
            </w:pPr>
            <w:r w:rsidRPr="0063785F">
              <w:rPr>
                <w:rFonts w:eastAsia="Times New Roman"/>
                <w:b/>
                <w:bCs/>
                <w:color w:val="000000"/>
                <w:sz w:val="20"/>
                <w:szCs w:val="20"/>
                <w:lang w:eastAsia="cs-CZ"/>
              </w:rPr>
              <w:t>2021</w:t>
            </w:r>
          </w:p>
        </w:tc>
        <w:tc>
          <w:tcPr>
            <w:tcW w:w="303" w:type="pct"/>
            <w:shd w:val="clear" w:color="auto" w:fill="F2F2F2"/>
            <w:vAlign w:val="center"/>
            <w:hideMark/>
          </w:tcPr>
          <w:p w14:paraId="2A9E7ADE" w14:textId="77777777" w:rsidR="0004367C" w:rsidRPr="0063785F" w:rsidRDefault="0004367C" w:rsidP="009F75A3">
            <w:pPr>
              <w:jc w:val="center"/>
              <w:rPr>
                <w:rFonts w:eastAsia="Times New Roman"/>
                <w:b/>
                <w:bCs/>
                <w:color w:val="000000"/>
                <w:sz w:val="20"/>
                <w:szCs w:val="20"/>
                <w:lang w:eastAsia="cs-CZ"/>
              </w:rPr>
            </w:pPr>
            <w:r w:rsidRPr="0063785F">
              <w:rPr>
                <w:rFonts w:eastAsia="Times New Roman"/>
                <w:b/>
                <w:bCs/>
                <w:color w:val="000000"/>
                <w:sz w:val="20"/>
                <w:szCs w:val="20"/>
                <w:lang w:eastAsia="cs-CZ"/>
              </w:rPr>
              <w:t>2022</w:t>
            </w:r>
          </w:p>
        </w:tc>
      </w:tr>
      <w:tr w:rsidR="0004367C" w:rsidRPr="0063785F" w14:paraId="5D2E6741" w14:textId="77777777" w:rsidTr="009F75A3">
        <w:trPr>
          <w:trHeight w:val="20"/>
        </w:trPr>
        <w:tc>
          <w:tcPr>
            <w:tcW w:w="1985" w:type="pct"/>
            <w:shd w:val="clear" w:color="auto" w:fill="auto"/>
            <w:vAlign w:val="center"/>
            <w:hideMark/>
          </w:tcPr>
          <w:p w14:paraId="501939FA" w14:textId="77777777" w:rsidR="0004367C" w:rsidRPr="0063785F" w:rsidRDefault="0004367C" w:rsidP="009F75A3">
            <w:pPr>
              <w:rPr>
                <w:rFonts w:eastAsia="Times New Roman"/>
                <w:color w:val="000000"/>
                <w:sz w:val="20"/>
                <w:szCs w:val="20"/>
                <w:lang w:eastAsia="cs-CZ"/>
              </w:rPr>
            </w:pPr>
            <w:r w:rsidRPr="0063785F">
              <w:rPr>
                <w:rFonts w:eastAsia="Times New Roman"/>
                <w:color w:val="000000"/>
                <w:sz w:val="20"/>
                <w:szCs w:val="20"/>
                <w:lang w:eastAsia="cs-CZ"/>
              </w:rPr>
              <w:t>Počet stanic</w:t>
            </w:r>
          </w:p>
        </w:tc>
        <w:tc>
          <w:tcPr>
            <w:tcW w:w="301" w:type="pct"/>
            <w:shd w:val="clear" w:color="auto" w:fill="auto"/>
            <w:noWrap/>
            <w:vAlign w:val="center"/>
            <w:hideMark/>
          </w:tcPr>
          <w:p w14:paraId="72D21564"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90</w:t>
            </w:r>
          </w:p>
        </w:tc>
        <w:tc>
          <w:tcPr>
            <w:tcW w:w="301" w:type="pct"/>
            <w:shd w:val="clear" w:color="auto" w:fill="auto"/>
            <w:noWrap/>
            <w:vAlign w:val="center"/>
            <w:hideMark/>
          </w:tcPr>
          <w:p w14:paraId="008B9AEA"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94</w:t>
            </w:r>
          </w:p>
        </w:tc>
        <w:tc>
          <w:tcPr>
            <w:tcW w:w="301" w:type="pct"/>
            <w:shd w:val="clear" w:color="auto" w:fill="auto"/>
            <w:noWrap/>
            <w:vAlign w:val="center"/>
            <w:hideMark/>
          </w:tcPr>
          <w:p w14:paraId="06C2A09C"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93</w:t>
            </w:r>
          </w:p>
        </w:tc>
        <w:tc>
          <w:tcPr>
            <w:tcW w:w="301" w:type="pct"/>
            <w:shd w:val="clear" w:color="auto" w:fill="auto"/>
            <w:noWrap/>
            <w:vAlign w:val="center"/>
            <w:hideMark/>
          </w:tcPr>
          <w:p w14:paraId="73982A7B"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96</w:t>
            </w:r>
          </w:p>
        </w:tc>
        <w:tc>
          <w:tcPr>
            <w:tcW w:w="301" w:type="pct"/>
            <w:shd w:val="clear" w:color="auto" w:fill="auto"/>
            <w:noWrap/>
            <w:vAlign w:val="center"/>
            <w:hideMark/>
          </w:tcPr>
          <w:p w14:paraId="2FA2A3AA"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93</w:t>
            </w:r>
          </w:p>
        </w:tc>
        <w:tc>
          <w:tcPr>
            <w:tcW w:w="301" w:type="pct"/>
            <w:shd w:val="clear" w:color="auto" w:fill="auto"/>
            <w:noWrap/>
            <w:vAlign w:val="center"/>
            <w:hideMark/>
          </w:tcPr>
          <w:p w14:paraId="0D6D6D14"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95</w:t>
            </w:r>
          </w:p>
        </w:tc>
        <w:tc>
          <w:tcPr>
            <w:tcW w:w="302" w:type="pct"/>
            <w:shd w:val="clear" w:color="auto" w:fill="auto"/>
            <w:noWrap/>
            <w:vAlign w:val="center"/>
            <w:hideMark/>
          </w:tcPr>
          <w:p w14:paraId="39FE5435"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99</w:t>
            </w:r>
          </w:p>
        </w:tc>
        <w:tc>
          <w:tcPr>
            <w:tcW w:w="301" w:type="pct"/>
            <w:shd w:val="clear" w:color="auto" w:fill="auto"/>
            <w:noWrap/>
            <w:vAlign w:val="center"/>
            <w:hideMark/>
          </w:tcPr>
          <w:p w14:paraId="6CF15B14"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103</w:t>
            </w:r>
          </w:p>
        </w:tc>
        <w:tc>
          <w:tcPr>
            <w:tcW w:w="301" w:type="pct"/>
            <w:shd w:val="clear" w:color="auto" w:fill="auto"/>
            <w:noWrap/>
            <w:vAlign w:val="center"/>
            <w:hideMark/>
          </w:tcPr>
          <w:p w14:paraId="024008B4"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100</w:t>
            </w:r>
          </w:p>
        </w:tc>
        <w:tc>
          <w:tcPr>
            <w:tcW w:w="303" w:type="pct"/>
            <w:shd w:val="clear" w:color="auto" w:fill="auto"/>
            <w:noWrap/>
            <w:vAlign w:val="center"/>
            <w:hideMark/>
          </w:tcPr>
          <w:p w14:paraId="6D9A8D5F"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100</w:t>
            </w:r>
          </w:p>
        </w:tc>
      </w:tr>
      <w:tr w:rsidR="0004367C" w:rsidRPr="0063785F" w14:paraId="1291AA89" w14:textId="77777777" w:rsidTr="009F75A3">
        <w:trPr>
          <w:trHeight w:val="20"/>
        </w:trPr>
        <w:tc>
          <w:tcPr>
            <w:tcW w:w="1985" w:type="pct"/>
            <w:shd w:val="clear" w:color="auto" w:fill="auto"/>
            <w:vAlign w:val="center"/>
            <w:hideMark/>
          </w:tcPr>
          <w:p w14:paraId="583C0F30" w14:textId="77777777" w:rsidR="0004367C" w:rsidRPr="0063785F" w:rsidRDefault="0004367C" w:rsidP="009F75A3">
            <w:pPr>
              <w:rPr>
                <w:rFonts w:eastAsia="Times New Roman"/>
                <w:color w:val="000000"/>
                <w:sz w:val="20"/>
                <w:szCs w:val="20"/>
                <w:lang w:eastAsia="cs-CZ"/>
              </w:rPr>
            </w:pPr>
            <w:r w:rsidRPr="0063785F">
              <w:rPr>
                <w:rFonts w:eastAsia="Times New Roman"/>
                <w:color w:val="000000"/>
                <w:sz w:val="20"/>
                <w:szCs w:val="20"/>
                <w:lang w:eastAsia="cs-CZ"/>
              </w:rPr>
              <w:t>Počet stanic, kde došlo k překročení limitu</w:t>
            </w:r>
          </w:p>
        </w:tc>
        <w:tc>
          <w:tcPr>
            <w:tcW w:w="301" w:type="pct"/>
            <w:shd w:val="clear" w:color="auto" w:fill="auto"/>
            <w:noWrap/>
            <w:vAlign w:val="center"/>
            <w:hideMark/>
          </w:tcPr>
          <w:p w14:paraId="131F97D5"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4</w:t>
            </w:r>
          </w:p>
        </w:tc>
        <w:tc>
          <w:tcPr>
            <w:tcW w:w="301" w:type="pct"/>
            <w:shd w:val="clear" w:color="auto" w:fill="auto"/>
            <w:noWrap/>
            <w:vAlign w:val="center"/>
            <w:hideMark/>
          </w:tcPr>
          <w:p w14:paraId="3E106F5D"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4</w:t>
            </w:r>
          </w:p>
        </w:tc>
        <w:tc>
          <w:tcPr>
            <w:tcW w:w="301" w:type="pct"/>
            <w:shd w:val="clear" w:color="auto" w:fill="auto"/>
            <w:noWrap/>
            <w:vAlign w:val="center"/>
            <w:hideMark/>
          </w:tcPr>
          <w:p w14:paraId="178D2A57"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2</w:t>
            </w:r>
          </w:p>
        </w:tc>
        <w:tc>
          <w:tcPr>
            <w:tcW w:w="301" w:type="pct"/>
            <w:shd w:val="clear" w:color="auto" w:fill="auto"/>
            <w:noWrap/>
            <w:vAlign w:val="center"/>
            <w:hideMark/>
          </w:tcPr>
          <w:p w14:paraId="1D9E0022"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4</w:t>
            </w:r>
          </w:p>
        </w:tc>
        <w:tc>
          <w:tcPr>
            <w:tcW w:w="301" w:type="pct"/>
            <w:shd w:val="clear" w:color="auto" w:fill="auto"/>
            <w:noWrap/>
            <w:vAlign w:val="center"/>
            <w:hideMark/>
          </w:tcPr>
          <w:p w14:paraId="5177D87D"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4</w:t>
            </w:r>
          </w:p>
        </w:tc>
        <w:tc>
          <w:tcPr>
            <w:tcW w:w="301" w:type="pct"/>
            <w:shd w:val="clear" w:color="auto" w:fill="auto"/>
            <w:noWrap/>
            <w:vAlign w:val="center"/>
            <w:hideMark/>
          </w:tcPr>
          <w:p w14:paraId="7DB91FD4"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3</w:t>
            </w:r>
          </w:p>
        </w:tc>
        <w:tc>
          <w:tcPr>
            <w:tcW w:w="302" w:type="pct"/>
            <w:shd w:val="clear" w:color="auto" w:fill="auto"/>
            <w:noWrap/>
            <w:vAlign w:val="center"/>
            <w:hideMark/>
          </w:tcPr>
          <w:p w14:paraId="420701D9"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1</w:t>
            </w:r>
          </w:p>
        </w:tc>
        <w:tc>
          <w:tcPr>
            <w:tcW w:w="301" w:type="pct"/>
            <w:shd w:val="clear" w:color="auto" w:fill="auto"/>
            <w:noWrap/>
            <w:vAlign w:val="center"/>
            <w:hideMark/>
          </w:tcPr>
          <w:p w14:paraId="21DEC929"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0</w:t>
            </w:r>
          </w:p>
        </w:tc>
        <w:tc>
          <w:tcPr>
            <w:tcW w:w="301" w:type="pct"/>
            <w:shd w:val="clear" w:color="auto" w:fill="auto"/>
            <w:noWrap/>
            <w:vAlign w:val="center"/>
            <w:hideMark/>
          </w:tcPr>
          <w:p w14:paraId="7AD7EFE0"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0</w:t>
            </w:r>
          </w:p>
        </w:tc>
        <w:tc>
          <w:tcPr>
            <w:tcW w:w="303" w:type="pct"/>
            <w:shd w:val="clear" w:color="auto" w:fill="auto"/>
            <w:noWrap/>
            <w:vAlign w:val="center"/>
            <w:hideMark/>
          </w:tcPr>
          <w:p w14:paraId="491A573D"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0</w:t>
            </w:r>
          </w:p>
        </w:tc>
      </w:tr>
      <w:tr w:rsidR="0004367C" w:rsidRPr="0063785F" w14:paraId="46122B9C" w14:textId="77777777" w:rsidTr="009F75A3">
        <w:trPr>
          <w:trHeight w:val="20"/>
        </w:trPr>
        <w:tc>
          <w:tcPr>
            <w:tcW w:w="1985" w:type="pct"/>
            <w:shd w:val="clear" w:color="auto" w:fill="auto"/>
            <w:vAlign w:val="center"/>
            <w:hideMark/>
          </w:tcPr>
          <w:p w14:paraId="79480868" w14:textId="77777777" w:rsidR="0004367C" w:rsidRPr="0063785F" w:rsidRDefault="0004367C" w:rsidP="009F75A3">
            <w:pPr>
              <w:rPr>
                <w:rFonts w:eastAsia="Times New Roman"/>
                <w:color w:val="000000"/>
                <w:sz w:val="20"/>
                <w:szCs w:val="20"/>
                <w:lang w:eastAsia="cs-CZ"/>
              </w:rPr>
            </w:pPr>
            <w:r w:rsidRPr="0063785F">
              <w:rPr>
                <w:rFonts w:eastAsia="Times New Roman"/>
                <w:color w:val="000000"/>
                <w:sz w:val="20"/>
                <w:szCs w:val="20"/>
                <w:lang w:eastAsia="cs-CZ"/>
              </w:rPr>
              <w:t>Procento z celkové počtu stanic</w:t>
            </w:r>
          </w:p>
        </w:tc>
        <w:tc>
          <w:tcPr>
            <w:tcW w:w="301" w:type="pct"/>
            <w:shd w:val="clear" w:color="auto" w:fill="auto"/>
            <w:noWrap/>
            <w:vAlign w:val="center"/>
            <w:hideMark/>
          </w:tcPr>
          <w:p w14:paraId="5B77784A" w14:textId="77777777" w:rsidR="0004367C" w:rsidRPr="00096C5B" w:rsidRDefault="0004367C" w:rsidP="009F75A3">
            <w:pPr>
              <w:jc w:val="right"/>
              <w:rPr>
                <w:rFonts w:eastAsia="Times New Roman"/>
                <w:color w:val="000000"/>
                <w:sz w:val="18"/>
                <w:szCs w:val="20"/>
                <w:lang w:eastAsia="cs-CZ"/>
              </w:rPr>
            </w:pPr>
            <w:r w:rsidRPr="00096C5B">
              <w:rPr>
                <w:rFonts w:eastAsia="Times New Roman"/>
                <w:color w:val="000000"/>
                <w:sz w:val="18"/>
                <w:szCs w:val="20"/>
                <w:lang w:eastAsia="cs-CZ"/>
              </w:rPr>
              <w:t>4,4</w:t>
            </w:r>
          </w:p>
        </w:tc>
        <w:tc>
          <w:tcPr>
            <w:tcW w:w="301" w:type="pct"/>
            <w:shd w:val="clear" w:color="auto" w:fill="auto"/>
            <w:noWrap/>
            <w:vAlign w:val="center"/>
            <w:hideMark/>
          </w:tcPr>
          <w:p w14:paraId="114E8820" w14:textId="77777777" w:rsidR="0004367C" w:rsidRPr="00096C5B" w:rsidRDefault="0004367C" w:rsidP="009F75A3">
            <w:pPr>
              <w:jc w:val="right"/>
              <w:rPr>
                <w:rFonts w:eastAsia="Times New Roman"/>
                <w:color w:val="000000"/>
                <w:sz w:val="18"/>
                <w:szCs w:val="20"/>
                <w:lang w:eastAsia="cs-CZ"/>
              </w:rPr>
            </w:pPr>
            <w:r w:rsidRPr="00096C5B">
              <w:rPr>
                <w:rFonts w:eastAsia="Times New Roman"/>
                <w:color w:val="000000"/>
                <w:sz w:val="18"/>
                <w:szCs w:val="20"/>
                <w:lang w:eastAsia="cs-CZ"/>
              </w:rPr>
              <w:t>4,3</w:t>
            </w:r>
          </w:p>
        </w:tc>
        <w:tc>
          <w:tcPr>
            <w:tcW w:w="301" w:type="pct"/>
            <w:shd w:val="clear" w:color="auto" w:fill="auto"/>
            <w:noWrap/>
            <w:vAlign w:val="center"/>
            <w:hideMark/>
          </w:tcPr>
          <w:p w14:paraId="0CC8F3EB" w14:textId="77777777" w:rsidR="0004367C" w:rsidRPr="00096C5B" w:rsidRDefault="0004367C" w:rsidP="009F75A3">
            <w:pPr>
              <w:jc w:val="right"/>
              <w:rPr>
                <w:rFonts w:eastAsia="Times New Roman"/>
                <w:color w:val="000000"/>
                <w:sz w:val="18"/>
                <w:szCs w:val="20"/>
                <w:lang w:eastAsia="cs-CZ"/>
              </w:rPr>
            </w:pPr>
            <w:r w:rsidRPr="00096C5B">
              <w:rPr>
                <w:rFonts w:eastAsia="Times New Roman"/>
                <w:color w:val="000000"/>
                <w:sz w:val="18"/>
                <w:szCs w:val="20"/>
                <w:lang w:eastAsia="cs-CZ"/>
              </w:rPr>
              <w:t>2,2</w:t>
            </w:r>
          </w:p>
        </w:tc>
        <w:tc>
          <w:tcPr>
            <w:tcW w:w="301" w:type="pct"/>
            <w:shd w:val="clear" w:color="auto" w:fill="auto"/>
            <w:noWrap/>
            <w:vAlign w:val="center"/>
            <w:hideMark/>
          </w:tcPr>
          <w:p w14:paraId="14422C01" w14:textId="77777777" w:rsidR="0004367C" w:rsidRPr="00096C5B" w:rsidRDefault="0004367C" w:rsidP="009F75A3">
            <w:pPr>
              <w:jc w:val="right"/>
              <w:rPr>
                <w:rFonts w:eastAsia="Times New Roman"/>
                <w:color w:val="000000"/>
                <w:sz w:val="18"/>
                <w:szCs w:val="20"/>
                <w:lang w:eastAsia="cs-CZ"/>
              </w:rPr>
            </w:pPr>
            <w:r w:rsidRPr="00096C5B">
              <w:rPr>
                <w:rFonts w:eastAsia="Times New Roman"/>
                <w:color w:val="000000"/>
                <w:sz w:val="18"/>
                <w:szCs w:val="20"/>
                <w:lang w:eastAsia="cs-CZ"/>
              </w:rPr>
              <w:t>4,2</w:t>
            </w:r>
          </w:p>
        </w:tc>
        <w:tc>
          <w:tcPr>
            <w:tcW w:w="301" w:type="pct"/>
            <w:shd w:val="clear" w:color="auto" w:fill="auto"/>
            <w:noWrap/>
            <w:vAlign w:val="center"/>
            <w:hideMark/>
          </w:tcPr>
          <w:p w14:paraId="499EED97" w14:textId="77777777" w:rsidR="0004367C" w:rsidRPr="00096C5B" w:rsidRDefault="0004367C" w:rsidP="009F75A3">
            <w:pPr>
              <w:jc w:val="right"/>
              <w:rPr>
                <w:rFonts w:eastAsia="Times New Roman"/>
                <w:color w:val="000000"/>
                <w:sz w:val="18"/>
                <w:szCs w:val="20"/>
                <w:lang w:eastAsia="cs-CZ"/>
              </w:rPr>
            </w:pPr>
            <w:r w:rsidRPr="00096C5B">
              <w:rPr>
                <w:rFonts w:eastAsia="Times New Roman"/>
                <w:color w:val="000000"/>
                <w:sz w:val="18"/>
                <w:szCs w:val="20"/>
                <w:lang w:eastAsia="cs-CZ"/>
              </w:rPr>
              <w:t>4,3</w:t>
            </w:r>
          </w:p>
        </w:tc>
        <w:tc>
          <w:tcPr>
            <w:tcW w:w="301" w:type="pct"/>
            <w:shd w:val="clear" w:color="auto" w:fill="auto"/>
            <w:noWrap/>
            <w:vAlign w:val="center"/>
            <w:hideMark/>
          </w:tcPr>
          <w:p w14:paraId="710DA1C7" w14:textId="77777777" w:rsidR="0004367C" w:rsidRPr="00096C5B" w:rsidRDefault="0004367C" w:rsidP="009F75A3">
            <w:pPr>
              <w:jc w:val="right"/>
              <w:rPr>
                <w:rFonts w:eastAsia="Times New Roman"/>
                <w:color w:val="000000"/>
                <w:sz w:val="18"/>
                <w:szCs w:val="20"/>
                <w:lang w:eastAsia="cs-CZ"/>
              </w:rPr>
            </w:pPr>
            <w:r w:rsidRPr="00096C5B">
              <w:rPr>
                <w:rFonts w:eastAsia="Times New Roman"/>
                <w:color w:val="000000"/>
                <w:sz w:val="18"/>
                <w:szCs w:val="20"/>
                <w:lang w:eastAsia="cs-CZ"/>
              </w:rPr>
              <w:t>3,2</w:t>
            </w:r>
          </w:p>
        </w:tc>
        <w:tc>
          <w:tcPr>
            <w:tcW w:w="302" w:type="pct"/>
            <w:shd w:val="clear" w:color="auto" w:fill="auto"/>
            <w:noWrap/>
            <w:vAlign w:val="center"/>
            <w:hideMark/>
          </w:tcPr>
          <w:p w14:paraId="33044D06"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1</w:t>
            </w:r>
          </w:p>
        </w:tc>
        <w:tc>
          <w:tcPr>
            <w:tcW w:w="301" w:type="pct"/>
            <w:shd w:val="clear" w:color="auto" w:fill="auto"/>
            <w:noWrap/>
            <w:vAlign w:val="center"/>
            <w:hideMark/>
          </w:tcPr>
          <w:p w14:paraId="470BB13A"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0</w:t>
            </w:r>
          </w:p>
        </w:tc>
        <w:tc>
          <w:tcPr>
            <w:tcW w:w="301" w:type="pct"/>
            <w:shd w:val="clear" w:color="auto" w:fill="auto"/>
            <w:noWrap/>
            <w:vAlign w:val="center"/>
            <w:hideMark/>
          </w:tcPr>
          <w:p w14:paraId="269AD3F1"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0</w:t>
            </w:r>
          </w:p>
        </w:tc>
        <w:tc>
          <w:tcPr>
            <w:tcW w:w="303" w:type="pct"/>
            <w:shd w:val="clear" w:color="auto" w:fill="auto"/>
            <w:noWrap/>
            <w:vAlign w:val="center"/>
            <w:hideMark/>
          </w:tcPr>
          <w:p w14:paraId="1CC17E2C" w14:textId="77777777" w:rsidR="0004367C" w:rsidRPr="00096C5B" w:rsidRDefault="0004367C" w:rsidP="00FA443D">
            <w:pPr>
              <w:ind w:right="113"/>
              <w:jc w:val="right"/>
              <w:rPr>
                <w:rFonts w:eastAsia="Times New Roman"/>
                <w:color w:val="000000"/>
                <w:sz w:val="18"/>
                <w:szCs w:val="20"/>
                <w:lang w:eastAsia="cs-CZ"/>
              </w:rPr>
            </w:pPr>
            <w:r w:rsidRPr="00096C5B">
              <w:rPr>
                <w:rFonts w:eastAsia="Times New Roman"/>
                <w:color w:val="000000"/>
                <w:sz w:val="18"/>
                <w:szCs w:val="20"/>
                <w:lang w:eastAsia="cs-CZ"/>
              </w:rPr>
              <w:t>0</w:t>
            </w:r>
          </w:p>
        </w:tc>
      </w:tr>
    </w:tbl>
    <w:p w14:paraId="421FE068" w14:textId="137965CA" w:rsidR="0004367C" w:rsidRPr="00197C6F" w:rsidRDefault="0004367C" w:rsidP="00955553">
      <w:pPr>
        <w:pStyle w:val="Zdrojeapozn"/>
        <w:rPr>
          <w:b w:val="0"/>
        </w:rPr>
      </w:pPr>
      <w:r w:rsidRPr="00F13367">
        <w:t>Zdroj:</w:t>
      </w:r>
      <w:r w:rsidR="00C60562">
        <w:t xml:space="preserve"> </w:t>
      </w:r>
      <w:r w:rsidR="00FA443D" w:rsidRPr="00197C6F">
        <w:rPr>
          <w:b w:val="0"/>
        </w:rPr>
        <w:t>i</w:t>
      </w:r>
      <w:r w:rsidRPr="00197C6F">
        <w:rPr>
          <w:b w:val="0"/>
        </w:rPr>
        <w:t>nformace MŽP a ČHMÚ.</w:t>
      </w:r>
    </w:p>
    <w:p w14:paraId="1D20A5D1" w14:textId="147468EF" w:rsidR="0004367C" w:rsidRPr="0040025E" w:rsidRDefault="0004367C" w:rsidP="0040025E">
      <w:pPr>
        <w:spacing w:before="120" w:after="40"/>
        <w:rPr>
          <w:b/>
        </w:rPr>
      </w:pPr>
      <w:r w:rsidRPr="0040025E">
        <w:rPr>
          <w:b/>
        </w:rPr>
        <w:t>Tabul</w:t>
      </w:r>
      <w:r w:rsidR="00885A90">
        <w:rPr>
          <w:b/>
        </w:rPr>
        <w:t xml:space="preserve">ka č. 2: </w:t>
      </w:r>
      <w:r w:rsidRPr="0040025E">
        <w:rPr>
          <w:b/>
        </w:rPr>
        <w:t>Nedodržení IL pro průměrnou 24hod. koncentraci PM</w:t>
      </w:r>
      <w:r w:rsidRPr="0040025E">
        <w:rPr>
          <w:b/>
          <w:vertAlign w:val="subscript"/>
        </w:rPr>
        <w:t>10</w:t>
      </w:r>
      <w:r w:rsidRPr="0040025E">
        <w:rPr>
          <w:b/>
        </w:rPr>
        <w:t xml:space="preserve"> v letech 2013–2022</w:t>
      </w:r>
    </w:p>
    <w:tbl>
      <w:tblPr>
        <w:tblW w:w="5000" w:type="pct"/>
        <w:tblCellMar>
          <w:left w:w="70" w:type="dxa"/>
          <w:right w:w="70" w:type="dxa"/>
        </w:tblCellMar>
        <w:tblLook w:val="04A0" w:firstRow="1" w:lastRow="0" w:firstColumn="1" w:lastColumn="0" w:noHBand="0" w:noVBand="1"/>
      </w:tblPr>
      <w:tblGrid>
        <w:gridCol w:w="1554"/>
        <w:gridCol w:w="1370"/>
        <w:gridCol w:w="2458"/>
        <w:gridCol w:w="1985"/>
        <w:gridCol w:w="1695"/>
      </w:tblGrid>
      <w:tr w:rsidR="005C6AB8" w:rsidRPr="00086E38" w14:paraId="3C580579" w14:textId="77777777" w:rsidTr="005C6AB8">
        <w:trPr>
          <w:trHeight w:val="20"/>
        </w:trPr>
        <w:tc>
          <w:tcPr>
            <w:tcW w:w="85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85FD99" w14:textId="37E5B0CA" w:rsidR="0004367C" w:rsidRPr="00086E38" w:rsidRDefault="0004367C" w:rsidP="009F75A3">
            <w:pPr>
              <w:jc w:val="center"/>
              <w:rPr>
                <w:rFonts w:eastAsia="Times New Roman"/>
                <w:b/>
                <w:bCs/>
                <w:sz w:val="20"/>
                <w:szCs w:val="20"/>
                <w:lang w:eastAsia="cs-CZ"/>
              </w:rPr>
            </w:pPr>
            <w:r w:rsidRPr="00086E38">
              <w:rPr>
                <w:rFonts w:eastAsia="Times New Roman"/>
                <w:b/>
                <w:bCs/>
                <w:sz w:val="20"/>
                <w:szCs w:val="20"/>
                <w:lang w:eastAsia="cs-CZ"/>
              </w:rPr>
              <w:t>Rok</w:t>
            </w:r>
            <w:r w:rsidR="00F11983" w:rsidRPr="00140ED3">
              <w:rPr>
                <w:rFonts w:eastAsia="Times New Roman"/>
                <w:b/>
                <w:bCs/>
                <w:sz w:val="20"/>
                <w:szCs w:val="20"/>
                <w:lang w:eastAsia="cs-CZ"/>
              </w:rPr>
              <w:t xml:space="preserve"> /</w:t>
            </w:r>
            <w:r w:rsidR="00F11983">
              <w:rPr>
                <w:rFonts w:eastAsia="Times New Roman"/>
                <w:b/>
                <w:bCs/>
                <w:sz w:val="20"/>
                <w:szCs w:val="20"/>
                <w:lang w:eastAsia="cs-CZ"/>
              </w:rPr>
              <w:t xml:space="preserve"> </w:t>
            </w:r>
            <w:r w:rsidR="00F11983" w:rsidRPr="00140ED3">
              <w:rPr>
                <w:rFonts w:eastAsia="Times New Roman"/>
                <w:b/>
                <w:bCs/>
                <w:sz w:val="20"/>
                <w:szCs w:val="20"/>
                <w:lang w:eastAsia="cs-CZ"/>
              </w:rPr>
              <w:t>pětiletý průměr</w:t>
            </w:r>
          </w:p>
        </w:tc>
        <w:tc>
          <w:tcPr>
            <w:tcW w:w="756" w:type="pct"/>
            <w:tcBorders>
              <w:top w:val="single" w:sz="4" w:space="0" w:color="auto"/>
              <w:left w:val="nil"/>
              <w:bottom w:val="single" w:sz="4" w:space="0" w:color="auto"/>
              <w:right w:val="single" w:sz="4" w:space="0" w:color="auto"/>
            </w:tcBorders>
            <w:shd w:val="clear" w:color="auto" w:fill="F2F2F2"/>
            <w:vAlign w:val="center"/>
            <w:hideMark/>
          </w:tcPr>
          <w:p w14:paraId="175E92AD" w14:textId="77777777" w:rsidR="0004367C" w:rsidRPr="00086E38" w:rsidRDefault="0004367C" w:rsidP="009F75A3">
            <w:pPr>
              <w:jc w:val="center"/>
              <w:rPr>
                <w:rFonts w:eastAsia="Times New Roman"/>
                <w:b/>
                <w:bCs/>
                <w:sz w:val="20"/>
                <w:szCs w:val="20"/>
                <w:lang w:eastAsia="cs-CZ"/>
              </w:rPr>
            </w:pPr>
            <w:r w:rsidRPr="00086E38">
              <w:rPr>
                <w:rFonts w:eastAsia="Times New Roman"/>
                <w:b/>
                <w:bCs/>
                <w:sz w:val="20"/>
                <w:szCs w:val="20"/>
                <w:lang w:eastAsia="cs-CZ"/>
              </w:rPr>
              <w:t>Celkem stanic</w:t>
            </w:r>
          </w:p>
        </w:tc>
        <w:tc>
          <w:tcPr>
            <w:tcW w:w="1355" w:type="pct"/>
            <w:tcBorders>
              <w:top w:val="single" w:sz="4" w:space="0" w:color="auto"/>
              <w:left w:val="nil"/>
              <w:bottom w:val="single" w:sz="4" w:space="0" w:color="auto"/>
              <w:right w:val="single" w:sz="4" w:space="0" w:color="auto"/>
            </w:tcBorders>
            <w:shd w:val="clear" w:color="auto" w:fill="F2F2F2"/>
            <w:vAlign w:val="center"/>
            <w:hideMark/>
          </w:tcPr>
          <w:p w14:paraId="222DC440" w14:textId="56C0DC50" w:rsidR="0004367C" w:rsidRPr="00086E38" w:rsidRDefault="0004367C" w:rsidP="009F75A3">
            <w:pPr>
              <w:jc w:val="center"/>
              <w:rPr>
                <w:rFonts w:eastAsia="Times New Roman"/>
                <w:b/>
                <w:bCs/>
                <w:sz w:val="20"/>
                <w:szCs w:val="20"/>
                <w:lang w:eastAsia="cs-CZ"/>
              </w:rPr>
            </w:pPr>
            <w:r w:rsidRPr="00086E38">
              <w:rPr>
                <w:rFonts w:eastAsia="Times New Roman"/>
                <w:b/>
                <w:bCs/>
                <w:sz w:val="20"/>
                <w:szCs w:val="20"/>
                <w:lang w:eastAsia="cs-CZ"/>
              </w:rPr>
              <w:t>Počet (podíl) stanic s</w:t>
            </w:r>
            <w:r w:rsidR="00C60562">
              <w:rPr>
                <w:rFonts w:eastAsia="Times New Roman"/>
                <w:b/>
                <w:bCs/>
                <w:sz w:val="20"/>
                <w:szCs w:val="20"/>
                <w:lang w:eastAsia="cs-CZ"/>
              </w:rPr>
              <w:t> </w:t>
            </w:r>
            <w:r w:rsidRPr="00086E38">
              <w:rPr>
                <w:rFonts w:eastAsia="Times New Roman"/>
                <w:b/>
                <w:bCs/>
                <w:sz w:val="20"/>
                <w:szCs w:val="20"/>
                <w:lang w:eastAsia="cs-CZ"/>
              </w:rPr>
              <w:t xml:space="preserve">nedodrženým </w:t>
            </w:r>
            <w:r>
              <w:rPr>
                <w:rFonts w:eastAsia="Times New Roman"/>
                <w:b/>
                <w:bCs/>
                <w:sz w:val="20"/>
                <w:szCs w:val="20"/>
                <w:lang w:eastAsia="cs-CZ"/>
              </w:rPr>
              <w:t>IL</w:t>
            </w:r>
          </w:p>
        </w:tc>
        <w:tc>
          <w:tcPr>
            <w:tcW w:w="1095" w:type="pct"/>
            <w:tcBorders>
              <w:top w:val="single" w:sz="4" w:space="0" w:color="auto"/>
              <w:left w:val="nil"/>
              <w:bottom w:val="single" w:sz="4" w:space="0" w:color="auto"/>
              <w:right w:val="single" w:sz="4" w:space="0" w:color="auto"/>
            </w:tcBorders>
            <w:shd w:val="clear" w:color="auto" w:fill="F2F2F2"/>
            <w:vAlign w:val="center"/>
            <w:hideMark/>
          </w:tcPr>
          <w:p w14:paraId="2086AD37" w14:textId="671FEBAA" w:rsidR="0004367C" w:rsidRPr="00086E38" w:rsidRDefault="0004367C" w:rsidP="005C6AB8">
            <w:pPr>
              <w:jc w:val="center"/>
              <w:rPr>
                <w:rFonts w:eastAsia="Times New Roman"/>
                <w:b/>
                <w:bCs/>
                <w:sz w:val="20"/>
                <w:szCs w:val="20"/>
                <w:lang w:eastAsia="cs-CZ"/>
              </w:rPr>
            </w:pPr>
            <w:r w:rsidRPr="00086E38">
              <w:rPr>
                <w:rFonts w:eastAsia="Times New Roman"/>
                <w:b/>
                <w:bCs/>
                <w:sz w:val="20"/>
                <w:szCs w:val="20"/>
                <w:lang w:eastAsia="cs-CZ"/>
              </w:rPr>
              <w:t>Zasažená plocha</w:t>
            </w:r>
            <w:r w:rsidR="00A55226">
              <w:rPr>
                <w:rFonts w:eastAsia="Times New Roman"/>
                <w:b/>
                <w:bCs/>
                <w:sz w:val="20"/>
                <w:szCs w:val="20"/>
                <w:lang w:eastAsia="cs-CZ"/>
              </w:rPr>
              <w:t xml:space="preserve"> území ČR</w:t>
            </w:r>
            <w:r w:rsidR="005C6AB8">
              <w:rPr>
                <w:rFonts w:eastAsia="Times New Roman"/>
                <w:b/>
                <w:bCs/>
                <w:sz w:val="20"/>
                <w:szCs w:val="20"/>
                <w:lang w:eastAsia="cs-CZ"/>
              </w:rPr>
              <w:t xml:space="preserve"> </w:t>
            </w:r>
            <w:r w:rsidRPr="00140ED3">
              <w:rPr>
                <w:rFonts w:eastAsia="Times New Roman"/>
                <w:b/>
                <w:bCs/>
                <w:sz w:val="20"/>
                <w:szCs w:val="20"/>
                <w:lang w:val="en-GB" w:eastAsia="cs-CZ"/>
              </w:rPr>
              <w:t>[</w:t>
            </w:r>
            <w:r w:rsidRPr="00140ED3">
              <w:rPr>
                <w:rFonts w:eastAsia="Times New Roman"/>
                <w:b/>
                <w:bCs/>
                <w:sz w:val="20"/>
                <w:szCs w:val="20"/>
                <w:lang w:eastAsia="cs-CZ"/>
              </w:rPr>
              <w:t>%</w:t>
            </w:r>
            <w:r w:rsidRPr="00140ED3">
              <w:rPr>
                <w:rFonts w:eastAsia="Times New Roman"/>
                <w:b/>
                <w:bCs/>
                <w:sz w:val="20"/>
                <w:szCs w:val="20"/>
                <w:lang w:val="en-GB" w:eastAsia="cs-CZ"/>
              </w:rPr>
              <w:t>]</w:t>
            </w:r>
          </w:p>
        </w:tc>
        <w:tc>
          <w:tcPr>
            <w:tcW w:w="935" w:type="pct"/>
            <w:tcBorders>
              <w:top w:val="single" w:sz="4" w:space="0" w:color="auto"/>
              <w:left w:val="nil"/>
              <w:bottom w:val="single" w:sz="4" w:space="0" w:color="auto"/>
              <w:right w:val="single" w:sz="4" w:space="0" w:color="auto"/>
            </w:tcBorders>
            <w:shd w:val="clear" w:color="auto" w:fill="F2F2F2"/>
            <w:vAlign w:val="center"/>
            <w:hideMark/>
          </w:tcPr>
          <w:p w14:paraId="1866D723" w14:textId="1D06AA25" w:rsidR="0004367C" w:rsidRPr="00086E38" w:rsidRDefault="0004367C" w:rsidP="005C6AB8">
            <w:pPr>
              <w:jc w:val="center"/>
              <w:rPr>
                <w:rFonts w:eastAsia="Times New Roman"/>
                <w:b/>
                <w:bCs/>
                <w:sz w:val="20"/>
                <w:szCs w:val="20"/>
                <w:lang w:eastAsia="cs-CZ"/>
              </w:rPr>
            </w:pPr>
            <w:r w:rsidRPr="00086E38">
              <w:rPr>
                <w:rFonts w:eastAsia="Times New Roman"/>
                <w:b/>
                <w:bCs/>
                <w:sz w:val="20"/>
                <w:szCs w:val="20"/>
                <w:lang w:eastAsia="cs-CZ"/>
              </w:rPr>
              <w:t xml:space="preserve">Zasaženo </w:t>
            </w:r>
            <w:r w:rsidR="005C6AB8">
              <w:rPr>
                <w:rFonts w:eastAsia="Times New Roman"/>
                <w:b/>
                <w:bCs/>
                <w:sz w:val="20"/>
                <w:szCs w:val="20"/>
                <w:lang w:eastAsia="cs-CZ"/>
              </w:rPr>
              <w:br/>
            </w:r>
            <w:r w:rsidRPr="00086E38">
              <w:rPr>
                <w:rFonts w:eastAsia="Times New Roman"/>
                <w:b/>
                <w:bCs/>
                <w:sz w:val="20"/>
                <w:szCs w:val="20"/>
                <w:lang w:eastAsia="cs-CZ"/>
              </w:rPr>
              <w:t>obyvatel</w:t>
            </w:r>
            <w:r w:rsidR="00A55226">
              <w:rPr>
                <w:rFonts w:eastAsia="Times New Roman"/>
                <w:b/>
                <w:bCs/>
                <w:sz w:val="20"/>
                <w:szCs w:val="20"/>
                <w:lang w:eastAsia="cs-CZ"/>
              </w:rPr>
              <w:t xml:space="preserve"> ČR</w:t>
            </w:r>
            <w:r w:rsidR="005C6AB8">
              <w:rPr>
                <w:rFonts w:eastAsia="Times New Roman"/>
                <w:b/>
                <w:bCs/>
                <w:sz w:val="20"/>
                <w:szCs w:val="20"/>
                <w:lang w:eastAsia="cs-CZ"/>
              </w:rPr>
              <w:t xml:space="preserve"> </w:t>
            </w:r>
            <w:r w:rsidRPr="00140ED3">
              <w:rPr>
                <w:rFonts w:eastAsia="Times New Roman"/>
                <w:b/>
                <w:bCs/>
                <w:sz w:val="20"/>
                <w:szCs w:val="20"/>
                <w:lang w:val="en-GB" w:eastAsia="cs-CZ"/>
              </w:rPr>
              <w:t>[</w:t>
            </w:r>
            <w:r w:rsidRPr="00140ED3">
              <w:rPr>
                <w:rFonts w:eastAsia="Times New Roman"/>
                <w:b/>
                <w:bCs/>
                <w:sz w:val="20"/>
                <w:szCs w:val="20"/>
                <w:lang w:eastAsia="cs-CZ"/>
              </w:rPr>
              <w:t>%</w:t>
            </w:r>
            <w:r w:rsidRPr="00140ED3">
              <w:rPr>
                <w:rFonts w:eastAsia="Times New Roman"/>
                <w:b/>
                <w:bCs/>
                <w:sz w:val="20"/>
                <w:szCs w:val="20"/>
                <w:lang w:val="en-GB" w:eastAsia="cs-CZ"/>
              </w:rPr>
              <w:t>]</w:t>
            </w:r>
          </w:p>
        </w:tc>
      </w:tr>
      <w:tr w:rsidR="005C6AB8" w:rsidRPr="00086E38" w14:paraId="7C3FD231" w14:textId="77777777" w:rsidTr="005C6AB8">
        <w:trPr>
          <w:trHeight w:val="2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17D6CFCC" w14:textId="77777777" w:rsidR="0004367C" w:rsidRPr="00086E38" w:rsidRDefault="0004367C" w:rsidP="00C60562">
            <w:pPr>
              <w:jc w:val="center"/>
              <w:rPr>
                <w:rFonts w:eastAsia="Times New Roman"/>
                <w:color w:val="000000"/>
                <w:sz w:val="20"/>
                <w:szCs w:val="20"/>
                <w:lang w:eastAsia="cs-CZ"/>
              </w:rPr>
            </w:pPr>
            <w:r w:rsidRPr="00086E38">
              <w:rPr>
                <w:rFonts w:eastAsia="Times New Roman"/>
                <w:color w:val="000000"/>
                <w:sz w:val="20"/>
                <w:szCs w:val="20"/>
                <w:lang w:eastAsia="cs-CZ"/>
              </w:rPr>
              <w:t>2013</w:t>
            </w:r>
          </w:p>
        </w:tc>
        <w:tc>
          <w:tcPr>
            <w:tcW w:w="756" w:type="pct"/>
            <w:tcBorders>
              <w:top w:val="nil"/>
              <w:left w:val="nil"/>
              <w:bottom w:val="single" w:sz="4" w:space="0" w:color="auto"/>
              <w:right w:val="single" w:sz="4" w:space="0" w:color="auto"/>
            </w:tcBorders>
            <w:shd w:val="clear" w:color="auto" w:fill="auto"/>
            <w:noWrap/>
            <w:vAlign w:val="center"/>
            <w:hideMark/>
          </w:tcPr>
          <w:p w14:paraId="26EE7A9C"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129</w:t>
            </w:r>
          </w:p>
        </w:tc>
        <w:tc>
          <w:tcPr>
            <w:tcW w:w="1355" w:type="pct"/>
            <w:tcBorders>
              <w:top w:val="nil"/>
              <w:left w:val="nil"/>
              <w:bottom w:val="single" w:sz="4" w:space="0" w:color="auto"/>
              <w:right w:val="single" w:sz="4" w:space="0" w:color="auto"/>
            </w:tcBorders>
            <w:shd w:val="clear" w:color="auto" w:fill="auto"/>
            <w:noWrap/>
            <w:vAlign w:val="center"/>
            <w:hideMark/>
          </w:tcPr>
          <w:p w14:paraId="25E280AD"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42 (32,6 %)</w:t>
            </w:r>
          </w:p>
        </w:tc>
        <w:tc>
          <w:tcPr>
            <w:tcW w:w="1095" w:type="pct"/>
            <w:tcBorders>
              <w:top w:val="nil"/>
              <w:left w:val="nil"/>
              <w:bottom w:val="single" w:sz="4" w:space="0" w:color="auto"/>
              <w:right w:val="single" w:sz="4" w:space="0" w:color="auto"/>
            </w:tcBorders>
            <w:shd w:val="clear" w:color="auto" w:fill="auto"/>
            <w:noWrap/>
            <w:vAlign w:val="center"/>
            <w:hideMark/>
          </w:tcPr>
          <w:p w14:paraId="7D6F23B1"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5,73</w:t>
            </w:r>
          </w:p>
        </w:tc>
        <w:tc>
          <w:tcPr>
            <w:tcW w:w="935" w:type="pct"/>
            <w:tcBorders>
              <w:top w:val="nil"/>
              <w:left w:val="nil"/>
              <w:bottom w:val="single" w:sz="4" w:space="0" w:color="auto"/>
              <w:right w:val="single" w:sz="4" w:space="0" w:color="auto"/>
            </w:tcBorders>
            <w:shd w:val="clear" w:color="auto" w:fill="auto"/>
            <w:noWrap/>
            <w:vAlign w:val="center"/>
            <w:hideMark/>
          </w:tcPr>
          <w:p w14:paraId="2BB93C02"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16,00</w:t>
            </w:r>
          </w:p>
        </w:tc>
      </w:tr>
      <w:tr w:rsidR="005C6AB8" w:rsidRPr="00086E38" w14:paraId="2EB9F46B" w14:textId="77777777" w:rsidTr="005C6AB8">
        <w:trPr>
          <w:trHeight w:val="2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376FAE38" w14:textId="77777777" w:rsidR="0004367C" w:rsidRPr="00086E38" w:rsidRDefault="0004367C" w:rsidP="00C60562">
            <w:pPr>
              <w:jc w:val="center"/>
              <w:rPr>
                <w:rFonts w:eastAsia="Times New Roman"/>
                <w:color w:val="000000"/>
                <w:sz w:val="20"/>
                <w:szCs w:val="20"/>
                <w:lang w:eastAsia="cs-CZ"/>
              </w:rPr>
            </w:pPr>
            <w:r w:rsidRPr="00086E38">
              <w:rPr>
                <w:rFonts w:eastAsia="Times New Roman"/>
                <w:color w:val="000000"/>
                <w:sz w:val="20"/>
                <w:szCs w:val="20"/>
                <w:lang w:eastAsia="cs-CZ"/>
              </w:rPr>
              <w:t>2014</w:t>
            </w:r>
          </w:p>
        </w:tc>
        <w:tc>
          <w:tcPr>
            <w:tcW w:w="756" w:type="pct"/>
            <w:tcBorders>
              <w:top w:val="nil"/>
              <w:left w:val="nil"/>
              <w:bottom w:val="single" w:sz="4" w:space="0" w:color="auto"/>
              <w:right w:val="single" w:sz="4" w:space="0" w:color="auto"/>
            </w:tcBorders>
            <w:shd w:val="clear" w:color="auto" w:fill="auto"/>
            <w:noWrap/>
            <w:vAlign w:val="center"/>
            <w:hideMark/>
          </w:tcPr>
          <w:p w14:paraId="527B5D1B"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133</w:t>
            </w:r>
          </w:p>
        </w:tc>
        <w:tc>
          <w:tcPr>
            <w:tcW w:w="1355" w:type="pct"/>
            <w:tcBorders>
              <w:top w:val="nil"/>
              <w:left w:val="nil"/>
              <w:bottom w:val="single" w:sz="4" w:space="0" w:color="auto"/>
              <w:right w:val="single" w:sz="4" w:space="0" w:color="auto"/>
            </w:tcBorders>
            <w:shd w:val="clear" w:color="auto" w:fill="auto"/>
            <w:noWrap/>
            <w:vAlign w:val="center"/>
            <w:hideMark/>
          </w:tcPr>
          <w:p w14:paraId="61AFA894"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57 (42,9 %)</w:t>
            </w:r>
          </w:p>
        </w:tc>
        <w:tc>
          <w:tcPr>
            <w:tcW w:w="1095" w:type="pct"/>
            <w:tcBorders>
              <w:top w:val="nil"/>
              <w:left w:val="nil"/>
              <w:bottom w:val="single" w:sz="4" w:space="0" w:color="auto"/>
              <w:right w:val="single" w:sz="4" w:space="0" w:color="auto"/>
            </w:tcBorders>
            <w:shd w:val="clear" w:color="auto" w:fill="auto"/>
            <w:noWrap/>
            <w:vAlign w:val="center"/>
            <w:hideMark/>
          </w:tcPr>
          <w:p w14:paraId="2AE31274"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8,16</w:t>
            </w:r>
          </w:p>
        </w:tc>
        <w:tc>
          <w:tcPr>
            <w:tcW w:w="935" w:type="pct"/>
            <w:tcBorders>
              <w:top w:val="nil"/>
              <w:left w:val="nil"/>
              <w:bottom w:val="single" w:sz="4" w:space="0" w:color="auto"/>
              <w:right w:val="single" w:sz="4" w:space="0" w:color="auto"/>
            </w:tcBorders>
            <w:shd w:val="clear" w:color="auto" w:fill="auto"/>
            <w:noWrap/>
            <w:vAlign w:val="center"/>
            <w:hideMark/>
          </w:tcPr>
          <w:p w14:paraId="6447BA10"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24,40</w:t>
            </w:r>
          </w:p>
        </w:tc>
      </w:tr>
      <w:tr w:rsidR="005C6AB8" w:rsidRPr="00086E38" w14:paraId="4BAF7939" w14:textId="77777777" w:rsidTr="005C6AB8">
        <w:trPr>
          <w:trHeight w:val="2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2EE28955" w14:textId="77777777" w:rsidR="0004367C" w:rsidRPr="00086E38" w:rsidRDefault="0004367C" w:rsidP="00C60562">
            <w:pPr>
              <w:jc w:val="center"/>
              <w:rPr>
                <w:rFonts w:eastAsia="Times New Roman"/>
                <w:color w:val="000000"/>
                <w:sz w:val="20"/>
                <w:szCs w:val="20"/>
                <w:lang w:eastAsia="cs-CZ"/>
              </w:rPr>
            </w:pPr>
            <w:r w:rsidRPr="00086E38">
              <w:rPr>
                <w:rFonts w:eastAsia="Times New Roman"/>
                <w:color w:val="000000"/>
                <w:sz w:val="20"/>
                <w:szCs w:val="20"/>
                <w:lang w:eastAsia="cs-CZ"/>
              </w:rPr>
              <w:t>2015</w:t>
            </w:r>
          </w:p>
        </w:tc>
        <w:tc>
          <w:tcPr>
            <w:tcW w:w="756" w:type="pct"/>
            <w:tcBorders>
              <w:top w:val="nil"/>
              <w:left w:val="nil"/>
              <w:bottom w:val="single" w:sz="4" w:space="0" w:color="auto"/>
              <w:right w:val="single" w:sz="4" w:space="0" w:color="auto"/>
            </w:tcBorders>
            <w:shd w:val="clear" w:color="auto" w:fill="auto"/>
            <w:noWrap/>
            <w:vAlign w:val="center"/>
            <w:hideMark/>
          </w:tcPr>
          <w:p w14:paraId="43BB6143"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124</w:t>
            </w:r>
          </w:p>
        </w:tc>
        <w:tc>
          <w:tcPr>
            <w:tcW w:w="1355" w:type="pct"/>
            <w:tcBorders>
              <w:top w:val="nil"/>
              <w:left w:val="nil"/>
              <w:bottom w:val="single" w:sz="4" w:space="0" w:color="auto"/>
              <w:right w:val="single" w:sz="4" w:space="0" w:color="auto"/>
            </w:tcBorders>
            <w:shd w:val="clear" w:color="auto" w:fill="auto"/>
            <w:noWrap/>
            <w:vAlign w:val="center"/>
            <w:hideMark/>
          </w:tcPr>
          <w:p w14:paraId="068F29F3"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29 (23,4 %)</w:t>
            </w:r>
          </w:p>
        </w:tc>
        <w:tc>
          <w:tcPr>
            <w:tcW w:w="1095" w:type="pct"/>
            <w:tcBorders>
              <w:top w:val="nil"/>
              <w:left w:val="nil"/>
              <w:bottom w:val="single" w:sz="4" w:space="0" w:color="auto"/>
              <w:right w:val="single" w:sz="4" w:space="0" w:color="auto"/>
            </w:tcBorders>
            <w:shd w:val="clear" w:color="auto" w:fill="auto"/>
            <w:noWrap/>
            <w:vAlign w:val="center"/>
            <w:hideMark/>
          </w:tcPr>
          <w:p w14:paraId="3D490441"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2,54</w:t>
            </w:r>
          </w:p>
        </w:tc>
        <w:tc>
          <w:tcPr>
            <w:tcW w:w="935" w:type="pct"/>
            <w:tcBorders>
              <w:top w:val="nil"/>
              <w:left w:val="nil"/>
              <w:bottom w:val="single" w:sz="4" w:space="0" w:color="auto"/>
              <w:right w:val="single" w:sz="4" w:space="0" w:color="auto"/>
            </w:tcBorders>
            <w:shd w:val="clear" w:color="auto" w:fill="auto"/>
            <w:noWrap/>
            <w:vAlign w:val="center"/>
            <w:hideMark/>
          </w:tcPr>
          <w:p w14:paraId="3534F533"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10,40</w:t>
            </w:r>
          </w:p>
        </w:tc>
      </w:tr>
      <w:tr w:rsidR="005C6AB8" w:rsidRPr="00086E38" w14:paraId="4EA34BC2" w14:textId="77777777" w:rsidTr="005C6AB8">
        <w:trPr>
          <w:trHeight w:val="2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25CA556D" w14:textId="77777777" w:rsidR="0004367C" w:rsidRPr="00086E38" w:rsidRDefault="0004367C" w:rsidP="00C60562">
            <w:pPr>
              <w:jc w:val="center"/>
              <w:rPr>
                <w:rFonts w:eastAsia="Times New Roman"/>
                <w:color w:val="000000"/>
                <w:sz w:val="20"/>
                <w:szCs w:val="20"/>
                <w:lang w:eastAsia="cs-CZ"/>
              </w:rPr>
            </w:pPr>
            <w:r w:rsidRPr="00086E38">
              <w:rPr>
                <w:rFonts w:eastAsia="Times New Roman"/>
                <w:color w:val="000000"/>
                <w:sz w:val="20"/>
                <w:szCs w:val="20"/>
                <w:lang w:eastAsia="cs-CZ"/>
              </w:rPr>
              <w:t>2016</w:t>
            </w:r>
          </w:p>
        </w:tc>
        <w:tc>
          <w:tcPr>
            <w:tcW w:w="756" w:type="pct"/>
            <w:tcBorders>
              <w:top w:val="nil"/>
              <w:left w:val="nil"/>
              <w:bottom w:val="single" w:sz="4" w:space="0" w:color="auto"/>
              <w:right w:val="single" w:sz="4" w:space="0" w:color="auto"/>
            </w:tcBorders>
            <w:shd w:val="clear" w:color="auto" w:fill="auto"/>
            <w:noWrap/>
            <w:vAlign w:val="center"/>
            <w:hideMark/>
          </w:tcPr>
          <w:p w14:paraId="5E3C08A5"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145</w:t>
            </w:r>
          </w:p>
        </w:tc>
        <w:tc>
          <w:tcPr>
            <w:tcW w:w="1355" w:type="pct"/>
            <w:tcBorders>
              <w:top w:val="nil"/>
              <w:left w:val="nil"/>
              <w:bottom w:val="single" w:sz="4" w:space="0" w:color="auto"/>
              <w:right w:val="single" w:sz="4" w:space="0" w:color="auto"/>
            </w:tcBorders>
            <w:shd w:val="clear" w:color="auto" w:fill="auto"/>
            <w:noWrap/>
            <w:vAlign w:val="center"/>
            <w:hideMark/>
          </w:tcPr>
          <w:p w14:paraId="402477CF"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23 (15,9 %)</w:t>
            </w:r>
          </w:p>
        </w:tc>
        <w:tc>
          <w:tcPr>
            <w:tcW w:w="1095" w:type="pct"/>
            <w:tcBorders>
              <w:top w:val="nil"/>
              <w:left w:val="nil"/>
              <w:bottom w:val="single" w:sz="4" w:space="0" w:color="auto"/>
              <w:right w:val="single" w:sz="4" w:space="0" w:color="auto"/>
            </w:tcBorders>
            <w:shd w:val="clear" w:color="auto" w:fill="auto"/>
            <w:noWrap/>
            <w:vAlign w:val="center"/>
            <w:hideMark/>
          </w:tcPr>
          <w:p w14:paraId="5215202E"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1,43</w:t>
            </w:r>
          </w:p>
        </w:tc>
        <w:tc>
          <w:tcPr>
            <w:tcW w:w="935" w:type="pct"/>
            <w:tcBorders>
              <w:top w:val="nil"/>
              <w:left w:val="nil"/>
              <w:bottom w:val="single" w:sz="4" w:space="0" w:color="auto"/>
              <w:right w:val="single" w:sz="4" w:space="0" w:color="auto"/>
            </w:tcBorders>
            <w:shd w:val="clear" w:color="auto" w:fill="auto"/>
            <w:noWrap/>
            <w:vAlign w:val="center"/>
            <w:hideMark/>
          </w:tcPr>
          <w:p w14:paraId="0F8078B4"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7,30</w:t>
            </w:r>
          </w:p>
        </w:tc>
      </w:tr>
      <w:tr w:rsidR="005C6AB8" w:rsidRPr="00086E38" w14:paraId="6C843022" w14:textId="77777777" w:rsidTr="005C6AB8">
        <w:trPr>
          <w:trHeight w:val="2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699E3E6C" w14:textId="77777777" w:rsidR="0004367C" w:rsidRPr="00086E38" w:rsidRDefault="0004367C" w:rsidP="00C60562">
            <w:pPr>
              <w:jc w:val="center"/>
              <w:rPr>
                <w:rFonts w:eastAsia="Times New Roman"/>
                <w:color w:val="000000"/>
                <w:sz w:val="20"/>
                <w:szCs w:val="20"/>
                <w:lang w:eastAsia="cs-CZ"/>
              </w:rPr>
            </w:pPr>
            <w:r w:rsidRPr="00086E38">
              <w:rPr>
                <w:rFonts w:eastAsia="Times New Roman"/>
                <w:color w:val="000000"/>
                <w:sz w:val="20"/>
                <w:szCs w:val="20"/>
                <w:lang w:eastAsia="cs-CZ"/>
              </w:rPr>
              <w:t>2017</w:t>
            </w:r>
          </w:p>
        </w:tc>
        <w:tc>
          <w:tcPr>
            <w:tcW w:w="756" w:type="pct"/>
            <w:tcBorders>
              <w:top w:val="nil"/>
              <w:left w:val="nil"/>
              <w:bottom w:val="single" w:sz="4" w:space="0" w:color="auto"/>
              <w:right w:val="single" w:sz="4" w:space="0" w:color="auto"/>
            </w:tcBorders>
            <w:shd w:val="clear" w:color="auto" w:fill="auto"/>
            <w:noWrap/>
            <w:vAlign w:val="center"/>
            <w:hideMark/>
          </w:tcPr>
          <w:p w14:paraId="76CD931E"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143</w:t>
            </w:r>
          </w:p>
        </w:tc>
        <w:tc>
          <w:tcPr>
            <w:tcW w:w="1355" w:type="pct"/>
            <w:tcBorders>
              <w:top w:val="nil"/>
              <w:left w:val="nil"/>
              <w:bottom w:val="single" w:sz="4" w:space="0" w:color="auto"/>
              <w:right w:val="single" w:sz="4" w:space="0" w:color="auto"/>
            </w:tcBorders>
            <w:shd w:val="clear" w:color="auto" w:fill="auto"/>
            <w:noWrap/>
            <w:vAlign w:val="center"/>
            <w:hideMark/>
          </w:tcPr>
          <w:p w14:paraId="4791D697"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50 (34,9 %)</w:t>
            </w:r>
          </w:p>
        </w:tc>
        <w:tc>
          <w:tcPr>
            <w:tcW w:w="1095" w:type="pct"/>
            <w:tcBorders>
              <w:top w:val="nil"/>
              <w:left w:val="nil"/>
              <w:bottom w:val="single" w:sz="4" w:space="0" w:color="auto"/>
              <w:right w:val="single" w:sz="4" w:space="0" w:color="auto"/>
            </w:tcBorders>
            <w:shd w:val="clear" w:color="auto" w:fill="auto"/>
            <w:noWrap/>
            <w:vAlign w:val="center"/>
            <w:hideMark/>
          </w:tcPr>
          <w:p w14:paraId="40E23FE3"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8,25</w:t>
            </w:r>
          </w:p>
        </w:tc>
        <w:tc>
          <w:tcPr>
            <w:tcW w:w="935" w:type="pct"/>
            <w:tcBorders>
              <w:top w:val="nil"/>
              <w:left w:val="nil"/>
              <w:bottom w:val="single" w:sz="4" w:space="0" w:color="auto"/>
              <w:right w:val="single" w:sz="4" w:space="0" w:color="auto"/>
            </w:tcBorders>
            <w:shd w:val="clear" w:color="auto" w:fill="auto"/>
            <w:noWrap/>
            <w:vAlign w:val="center"/>
            <w:hideMark/>
          </w:tcPr>
          <w:p w14:paraId="42B9C9EC"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23,10</w:t>
            </w:r>
          </w:p>
        </w:tc>
      </w:tr>
      <w:tr w:rsidR="005C6AB8" w:rsidRPr="00086E38" w14:paraId="02E1A8D6" w14:textId="77777777" w:rsidTr="005C6AB8">
        <w:trPr>
          <w:trHeight w:val="2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26377A8B" w14:textId="77777777" w:rsidR="0004367C" w:rsidRPr="00086E38" w:rsidRDefault="0004367C" w:rsidP="00C60562">
            <w:pPr>
              <w:jc w:val="center"/>
              <w:rPr>
                <w:rFonts w:eastAsia="Times New Roman"/>
                <w:color w:val="000000"/>
                <w:sz w:val="20"/>
                <w:szCs w:val="20"/>
                <w:lang w:eastAsia="cs-CZ"/>
              </w:rPr>
            </w:pPr>
            <w:r w:rsidRPr="00086E38">
              <w:rPr>
                <w:rFonts w:eastAsia="Times New Roman"/>
                <w:color w:val="000000"/>
                <w:sz w:val="20"/>
                <w:szCs w:val="20"/>
                <w:lang w:eastAsia="cs-CZ"/>
              </w:rPr>
              <w:t>2018</w:t>
            </w:r>
          </w:p>
        </w:tc>
        <w:tc>
          <w:tcPr>
            <w:tcW w:w="756" w:type="pct"/>
            <w:tcBorders>
              <w:top w:val="nil"/>
              <w:left w:val="nil"/>
              <w:bottom w:val="single" w:sz="4" w:space="0" w:color="auto"/>
              <w:right w:val="single" w:sz="4" w:space="0" w:color="auto"/>
            </w:tcBorders>
            <w:shd w:val="clear" w:color="auto" w:fill="auto"/>
            <w:noWrap/>
            <w:vAlign w:val="center"/>
            <w:hideMark/>
          </w:tcPr>
          <w:p w14:paraId="3964F971"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144</w:t>
            </w:r>
          </w:p>
        </w:tc>
        <w:tc>
          <w:tcPr>
            <w:tcW w:w="1355" w:type="pct"/>
            <w:tcBorders>
              <w:top w:val="nil"/>
              <w:left w:val="nil"/>
              <w:bottom w:val="single" w:sz="4" w:space="0" w:color="auto"/>
              <w:right w:val="single" w:sz="4" w:space="0" w:color="auto"/>
            </w:tcBorders>
            <w:shd w:val="clear" w:color="auto" w:fill="auto"/>
            <w:noWrap/>
            <w:vAlign w:val="center"/>
            <w:hideMark/>
          </w:tcPr>
          <w:p w14:paraId="71C240CF"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45 (31 %)</w:t>
            </w:r>
          </w:p>
        </w:tc>
        <w:tc>
          <w:tcPr>
            <w:tcW w:w="1095" w:type="pct"/>
            <w:tcBorders>
              <w:top w:val="nil"/>
              <w:left w:val="nil"/>
              <w:bottom w:val="single" w:sz="4" w:space="0" w:color="auto"/>
              <w:right w:val="single" w:sz="4" w:space="0" w:color="auto"/>
            </w:tcBorders>
            <w:shd w:val="clear" w:color="auto" w:fill="auto"/>
            <w:noWrap/>
            <w:vAlign w:val="center"/>
            <w:hideMark/>
          </w:tcPr>
          <w:p w14:paraId="443D4075"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3,20</w:t>
            </w:r>
          </w:p>
        </w:tc>
        <w:tc>
          <w:tcPr>
            <w:tcW w:w="935" w:type="pct"/>
            <w:tcBorders>
              <w:top w:val="nil"/>
              <w:left w:val="nil"/>
              <w:bottom w:val="single" w:sz="4" w:space="0" w:color="auto"/>
              <w:right w:val="single" w:sz="4" w:space="0" w:color="auto"/>
            </w:tcBorders>
            <w:shd w:val="clear" w:color="auto" w:fill="auto"/>
            <w:noWrap/>
            <w:vAlign w:val="center"/>
            <w:hideMark/>
          </w:tcPr>
          <w:p w14:paraId="7CDE9AB2"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13,80</w:t>
            </w:r>
          </w:p>
        </w:tc>
      </w:tr>
      <w:tr w:rsidR="005C6AB8" w:rsidRPr="00086E38" w14:paraId="1C91EEB8" w14:textId="77777777" w:rsidTr="005C6AB8">
        <w:trPr>
          <w:trHeight w:val="2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2616CB1F" w14:textId="77777777" w:rsidR="0004367C" w:rsidRPr="00086E38" w:rsidRDefault="0004367C" w:rsidP="00C60562">
            <w:pPr>
              <w:jc w:val="center"/>
              <w:rPr>
                <w:rFonts w:eastAsia="Times New Roman"/>
                <w:color w:val="000000"/>
                <w:sz w:val="20"/>
                <w:szCs w:val="20"/>
                <w:lang w:eastAsia="cs-CZ"/>
              </w:rPr>
            </w:pPr>
            <w:r w:rsidRPr="00086E38">
              <w:rPr>
                <w:rFonts w:eastAsia="Times New Roman"/>
                <w:color w:val="000000"/>
                <w:sz w:val="20"/>
                <w:szCs w:val="20"/>
                <w:lang w:eastAsia="cs-CZ"/>
              </w:rPr>
              <w:t>2019</w:t>
            </w:r>
          </w:p>
        </w:tc>
        <w:tc>
          <w:tcPr>
            <w:tcW w:w="756" w:type="pct"/>
            <w:tcBorders>
              <w:top w:val="nil"/>
              <w:left w:val="nil"/>
              <w:bottom w:val="single" w:sz="4" w:space="0" w:color="auto"/>
              <w:right w:val="single" w:sz="4" w:space="0" w:color="auto"/>
            </w:tcBorders>
            <w:shd w:val="clear" w:color="auto" w:fill="auto"/>
            <w:noWrap/>
            <w:vAlign w:val="center"/>
            <w:hideMark/>
          </w:tcPr>
          <w:p w14:paraId="537B32A3"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147</w:t>
            </w:r>
          </w:p>
        </w:tc>
        <w:tc>
          <w:tcPr>
            <w:tcW w:w="1355" w:type="pct"/>
            <w:tcBorders>
              <w:top w:val="nil"/>
              <w:left w:val="nil"/>
              <w:bottom w:val="single" w:sz="4" w:space="0" w:color="auto"/>
              <w:right w:val="single" w:sz="4" w:space="0" w:color="auto"/>
            </w:tcBorders>
            <w:shd w:val="clear" w:color="auto" w:fill="auto"/>
            <w:noWrap/>
            <w:vAlign w:val="center"/>
            <w:hideMark/>
          </w:tcPr>
          <w:p w14:paraId="385287E8"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7 (5 %)</w:t>
            </w:r>
          </w:p>
        </w:tc>
        <w:tc>
          <w:tcPr>
            <w:tcW w:w="1095" w:type="pct"/>
            <w:tcBorders>
              <w:top w:val="nil"/>
              <w:left w:val="nil"/>
              <w:bottom w:val="single" w:sz="4" w:space="0" w:color="auto"/>
              <w:right w:val="single" w:sz="4" w:space="0" w:color="auto"/>
            </w:tcBorders>
            <w:shd w:val="clear" w:color="auto" w:fill="auto"/>
            <w:noWrap/>
            <w:vAlign w:val="center"/>
            <w:hideMark/>
          </w:tcPr>
          <w:p w14:paraId="5134B050"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0,30</w:t>
            </w:r>
          </w:p>
        </w:tc>
        <w:tc>
          <w:tcPr>
            <w:tcW w:w="935" w:type="pct"/>
            <w:tcBorders>
              <w:top w:val="nil"/>
              <w:left w:val="nil"/>
              <w:bottom w:val="single" w:sz="4" w:space="0" w:color="auto"/>
              <w:right w:val="single" w:sz="4" w:space="0" w:color="auto"/>
            </w:tcBorders>
            <w:shd w:val="clear" w:color="auto" w:fill="auto"/>
            <w:noWrap/>
            <w:vAlign w:val="center"/>
            <w:hideMark/>
          </w:tcPr>
          <w:p w14:paraId="6D5CCF84"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0,90</w:t>
            </w:r>
          </w:p>
        </w:tc>
      </w:tr>
      <w:tr w:rsidR="005C6AB8" w:rsidRPr="00086E38" w14:paraId="66DEB86B" w14:textId="77777777" w:rsidTr="005C6AB8">
        <w:trPr>
          <w:trHeight w:val="2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257FD4C0" w14:textId="77777777" w:rsidR="0004367C" w:rsidRPr="00086E38" w:rsidRDefault="0004367C" w:rsidP="00C60562">
            <w:pPr>
              <w:jc w:val="center"/>
              <w:rPr>
                <w:rFonts w:eastAsia="Times New Roman"/>
                <w:color w:val="000000"/>
                <w:sz w:val="20"/>
                <w:szCs w:val="20"/>
                <w:lang w:eastAsia="cs-CZ"/>
              </w:rPr>
            </w:pPr>
            <w:r w:rsidRPr="00086E38">
              <w:rPr>
                <w:rFonts w:eastAsia="Times New Roman"/>
                <w:color w:val="000000"/>
                <w:sz w:val="20"/>
                <w:szCs w:val="20"/>
                <w:lang w:eastAsia="cs-CZ"/>
              </w:rPr>
              <w:t>2020</w:t>
            </w:r>
          </w:p>
        </w:tc>
        <w:tc>
          <w:tcPr>
            <w:tcW w:w="756" w:type="pct"/>
            <w:tcBorders>
              <w:top w:val="nil"/>
              <w:left w:val="nil"/>
              <w:bottom w:val="single" w:sz="4" w:space="0" w:color="auto"/>
              <w:right w:val="single" w:sz="4" w:space="0" w:color="auto"/>
            </w:tcBorders>
            <w:shd w:val="clear" w:color="auto" w:fill="auto"/>
            <w:noWrap/>
            <w:vAlign w:val="center"/>
            <w:hideMark/>
          </w:tcPr>
          <w:p w14:paraId="34117D4D"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156</w:t>
            </w:r>
          </w:p>
        </w:tc>
        <w:tc>
          <w:tcPr>
            <w:tcW w:w="1355" w:type="pct"/>
            <w:tcBorders>
              <w:top w:val="nil"/>
              <w:left w:val="nil"/>
              <w:bottom w:val="single" w:sz="4" w:space="0" w:color="auto"/>
              <w:right w:val="single" w:sz="4" w:space="0" w:color="auto"/>
            </w:tcBorders>
            <w:shd w:val="clear" w:color="auto" w:fill="auto"/>
            <w:noWrap/>
            <w:vAlign w:val="center"/>
            <w:hideMark/>
          </w:tcPr>
          <w:p w14:paraId="1E00CB9D"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3 (2 %)</w:t>
            </w:r>
          </w:p>
        </w:tc>
        <w:tc>
          <w:tcPr>
            <w:tcW w:w="1095" w:type="pct"/>
            <w:tcBorders>
              <w:top w:val="nil"/>
              <w:left w:val="nil"/>
              <w:bottom w:val="single" w:sz="4" w:space="0" w:color="auto"/>
              <w:right w:val="single" w:sz="4" w:space="0" w:color="auto"/>
            </w:tcBorders>
            <w:shd w:val="clear" w:color="auto" w:fill="auto"/>
            <w:noWrap/>
            <w:vAlign w:val="center"/>
            <w:hideMark/>
          </w:tcPr>
          <w:p w14:paraId="1F901B4E" w14:textId="77777777" w:rsidR="0004367C" w:rsidRPr="00086E38" w:rsidRDefault="0004367C" w:rsidP="00197C6F">
            <w:pPr>
              <w:jc w:val="right"/>
              <w:rPr>
                <w:rFonts w:eastAsia="Times New Roman"/>
                <w:color w:val="000000"/>
                <w:sz w:val="20"/>
                <w:szCs w:val="20"/>
                <w:lang w:eastAsia="cs-CZ"/>
              </w:rPr>
            </w:pPr>
            <w:r w:rsidRPr="00086E38">
              <w:rPr>
                <w:rFonts w:eastAsia="Times New Roman"/>
                <w:color w:val="000000"/>
                <w:sz w:val="20"/>
                <w:szCs w:val="20"/>
                <w:lang w:eastAsia="cs-CZ"/>
              </w:rPr>
              <w:t>0,001</w:t>
            </w:r>
          </w:p>
        </w:tc>
        <w:tc>
          <w:tcPr>
            <w:tcW w:w="935" w:type="pct"/>
            <w:tcBorders>
              <w:top w:val="nil"/>
              <w:left w:val="nil"/>
              <w:bottom w:val="single" w:sz="4" w:space="0" w:color="auto"/>
              <w:right w:val="single" w:sz="4" w:space="0" w:color="auto"/>
            </w:tcBorders>
            <w:shd w:val="clear" w:color="auto" w:fill="auto"/>
            <w:noWrap/>
            <w:vAlign w:val="center"/>
            <w:hideMark/>
          </w:tcPr>
          <w:p w14:paraId="76744DEF" w14:textId="77777777" w:rsidR="0004367C" w:rsidRPr="00086E38" w:rsidRDefault="0004367C" w:rsidP="00197C6F">
            <w:pPr>
              <w:jc w:val="right"/>
              <w:rPr>
                <w:rFonts w:eastAsia="Times New Roman"/>
                <w:color w:val="000000"/>
                <w:sz w:val="20"/>
                <w:szCs w:val="20"/>
                <w:lang w:eastAsia="cs-CZ"/>
              </w:rPr>
            </w:pPr>
            <w:r w:rsidRPr="00086E38">
              <w:rPr>
                <w:rFonts w:eastAsia="Times New Roman"/>
                <w:color w:val="000000"/>
                <w:sz w:val="20"/>
                <w:szCs w:val="20"/>
                <w:lang w:eastAsia="cs-CZ"/>
              </w:rPr>
              <w:t>0,002</w:t>
            </w:r>
          </w:p>
        </w:tc>
      </w:tr>
      <w:tr w:rsidR="005C6AB8" w:rsidRPr="00086E38" w14:paraId="49510EA2" w14:textId="77777777" w:rsidTr="005C6AB8">
        <w:trPr>
          <w:trHeight w:val="2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0955BE9C" w14:textId="77777777" w:rsidR="0004367C" w:rsidRPr="00086E38" w:rsidRDefault="0004367C" w:rsidP="00C60562">
            <w:pPr>
              <w:jc w:val="center"/>
              <w:rPr>
                <w:rFonts w:eastAsia="Times New Roman"/>
                <w:color w:val="000000"/>
                <w:sz w:val="20"/>
                <w:szCs w:val="20"/>
                <w:lang w:eastAsia="cs-CZ"/>
              </w:rPr>
            </w:pPr>
            <w:r w:rsidRPr="00086E38">
              <w:rPr>
                <w:rFonts w:eastAsia="Times New Roman"/>
                <w:color w:val="000000"/>
                <w:sz w:val="20"/>
                <w:szCs w:val="20"/>
                <w:lang w:eastAsia="cs-CZ"/>
              </w:rPr>
              <w:t>2021</w:t>
            </w:r>
          </w:p>
        </w:tc>
        <w:tc>
          <w:tcPr>
            <w:tcW w:w="756" w:type="pct"/>
            <w:tcBorders>
              <w:top w:val="nil"/>
              <w:left w:val="nil"/>
              <w:bottom w:val="single" w:sz="4" w:space="0" w:color="auto"/>
              <w:right w:val="single" w:sz="4" w:space="0" w:color="auto"/>
            </w:tcBorders>
            <w:shd w:val="clear" w:color="auto" w:fill="auto"/>
            <w:noWrap/>
            <w:vAlign w:val="center"/>
            <w:hideMark/>
          </w:tcPr>
          <w:p w14:paraId="397E2311"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152</w:t>
            </w:r>
          </w:p>
        </w:tc>
        <w:tc>
          <w:tcPr>
            <w:tcW w:w="1355" w:type="pct"/>
            <w:tcBorders>
              <w:top w:val="nil"/>
              <w:left w:val="nil"/>
              <w:bottom w:val="single" w:sz="4" w:space="0" w:color="auto"/>
              <w:right w:val="single" w:sz="4" w:space="0" w:color="auto"/>
            </w:tcBorders>
            <w:shd w:val="clear" w:color="auto" w:fill="auto"/>
            <w:noWrap/>
            <w:vAlign w:val="center"/>
            <w:hideMark/>
          </w:tcPr>
          <w:p w14:paraId="37140616"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4 (3 %)</w:t>
            </w:r>
          </w:p>
        </w:tc>
        <w:tc>
          <w:tcPr>
            <w:tcW w:w="1095" w:type="pct"/>
            <w:tcBorders>
              <w:top w:val="nil"/>
              <w:left w:val="nil"/>
              <w:bottom w:val="single" w:sz="4" w:space="0" w:color="auto"/>
              <w:right w:val="single" w:sz="4" w:space="0" w:color="auto"/>
            </w:tcBorders>
            <w:shd w:val="clear" w:color="auto" w:fill="auto"/>
            <w:noWrap/>
            <w:vAlign w:val="center"/>
            <w:hideMark/>
          </w:tcPr>
          <w:p w14:paraId="163A5BB4"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0,10</w:t>
            </w:r>
          </w:p>
        </w:tc>
        <w:tc>
          <w:tcPr>
            <w:tcW w:w="935" w:type="pct"/>
            <w:tcBorders>
              <w:top w:val="nil"/>
              <w:left w:val="nil"/>
              <w:bottom w:val="single" w:sz="4" w:space="0" w:color="auto"/>
              <w:right w:val="single" w:sz="4" w:space="0" w:color="auto"/>
            </w:tcBorders>
            <w:shd w:val="clear" w:color="auto" w:fill="auto"/>
            <w:noWrap/>
            <w:vAlign w:val="center"/>
            <w:hideMark/>
          </w:tcPr>
          <w:p w14:paraId="57DCB678"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0,40</w:t>
            </w:r>
          </w:p>
        </w:tc>
      </w:tr>
      <w:tr w:rsidR="005C6AB8" w:rsidRPr="00086E38" w14:paraId="0D9C7628" w14:textId="77777777" w:rsidTr="005C6AB8">
        <w:trPr>
          <w:trHeight w:val="20"/>
        </w:trPr>
        <w:tc>
          <w:tcPr>
            <w:tcW w:w="858" w:type="pct"/>
            <w:tcBorders>
              <w:top w:val="nil"/>
              <w:left w:val="single" w:sz="4" w:space="0" w:color="auto"/>
              <w:bottom w:val="double" w:sz="4" w:space="0" w:color="auto"/>
              <w:right w:val="single" w:sz="4" w:space="0" w:color="auto"/>
            </w:tcBorders>
            <w:shd w:val="clear" w:color="auto" w:fill="auto"/>
            <w:noWrap/>
            <w:vAlign w:val="center"/>
            <w:hideMark/>
          </w:tcPr>
          <w:p w14:paraId="45AB2C0D" w14:textId="77777777" w:rsidR="0004367C" w:rsidRPr="00086E38" w:rsidRDefault="0004367C" w:rsidP="00C60562">
            <w:pPr>
              <w:jc w:val="center"/>
              <w:rPr>
                <w:rFonts w:eastAsia="Times New Roman"/>
                <w:color w:val="000000"/>
                <w:sz w:val="20"/>
                <w:szCs w:val="20"/>
                <w:lang w:eastAsia="cs-CZ"/>
              </w:rPr>
            </w:pPr>
            <w:r w:rsidRPr="00086E38">
              <w:rPr>
                <w:rFonts w:eastAsia="Times New Roman"/>
                <w:color w:val="000000"/>
                <w:sz w:val="20"/>
                <w:szCs w:val="20"/>
                <w:lang w:eastAsia="cs-CZ"/>
              </w:rPr>
              <w:t>2022</w:t>
            </w:r>
          </w:p>
        </w:tc>
        <w:tc>
          <w:tcPr>
            <w:tcW w:w="756" w:type="pct"/>
            <w:tcBorders>
              <w:top w:val="nil"/>
              <w:left w:val="nil"/>
              <w:bottom w:val="double" w:sz="4" w:space="0" w:color="auto"/>
              <w:right w:val="single" w:sz="4" w:space="0" w:color="auto"/>
            </w:tcBorders>
            <w:shd w:val="clear" w:color="auto" w:fill="auto"/>
            <w:noWrap/>
            <w:vAlign w:val="center"/>
            <w:hideMark/>
          </w:tcPr>
          <w:p w14:paraId="52C5C856"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157</w:t>
            </w:r>
          </w:p>
        </w:tc>
        <w:tc>
          <w:tcPr>
            <w:tcW w:w="1355" w:type="pct"/>
            <w:tcBorders>
              <w:top w:val="nil"/>
              <w:left w:val="nil"/>
              <w:bottom w:val="double" w:sz="4" w:space="0" w:color="auto"/>
              <w:right w:val="single" w:sz="4" w:space="0" w:color="auto"/>
            </w:tcBorders>
            <w:shd w:val="clear" w:color="auto" w:fill="auto"/>
            <w:noWrap/>
            <w:vAlign w:val="center"/>
            <w:hideMark/>
          </w:tcPr>
          <w:p w14:paraId="08A36E60"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3 (2 %)</w:t>
            </w:r>
          </w:p>
        </w:tc>
        <w:tc>
          <w:tcPr>
            <w:tcW w:w="1095" w:type="pct"/>
            <w:tcBorders>
              <w:top w:val="nil"/>
              <w:left w:val="nil"/>
              <w:bottom w:val="double" w:sz="4" w:space="0" w:color="auto"/>
              <w:right w:val="single" w:sz="4" w:space="0" w:color="auto"/>
            </w:tcBorders>
            <w:shd w:val="clear" w:color="auto" w:fill="auto"/>
            <w:noWrap/>
            <w:vAlign w:val="center"/>
            <w:hideMark/>
          </w:tcPr>
          <w:p w14:paraId="00CE1845"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 </w:t>
            </w:r>
            <w:r>
              <w:rPr>
                <w:rFonts w:eastAsia="Times New Roman"/>
                <w:color w:val="000000"/>
                <w:sz w:val="20"/>
                <w:szCs w:val="20"/>
                <w:lang w:eastAsia="cs-CZ"/>
              </w:rPr>
              <w:t>0,02</w:t>
            </w:r>
          </w:p>
        </w:tc>
        <w:tc>
          <w:tcPr>
            <w:tcW w:w="935" w:type="pct"/>
            <w:tcBorders>
              <w:top w:val="nil"/>
              <w:left w:val="nil"/>
              <w:bottom w:val="single" w:sz="4" w:space="0" w:color="auto"/>
              <w:right w:val="single" w:sz="4" w:space="0" w:color="auto"/>
            </w:tcBorders>
            <w:shd w:val="clear" w:color="auto" w:fill="auto"/>
            <w:noWrap/>
            <w:vAlign w:val="center"/>
            <w:hideMark/>
          </w:tcPr>
          <w:p w14:paraId="7D85B5CD"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 </w:t>
            </w:r>
            <w:r>
              <w:rPr>
                <w:rFonts w:eastAsia="Times New Roman"/>
                <w:color w:val="000000"/>
                <w:sz w:val="20"/>
                <w:szCs w:val="20"/>
                <w:lang w:eastAsia="cs-CZ"/>
              </w:rPr>
              <w:t>0,03</w:t>
            </w:r>
          </w:p>
        </w:tc>
      </w:tr>
      <w:tr w:rsidR="0004367C" w:rsidRPr="00086E38" w14:paraId="3A88F4E5" w14:textId="77777777" w:rsidTr="005C6AB8">
        <w:trPr>
          <w:trHeight w:val="20"/>
        </w:trPr>
        <w:tc>
          <w:tcPr>
            <w:tcW w:w="2970" w:type="pct"/>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66DA523" w14:textId="77777777" w:rsidR="0004367C" w:rsidRPr="00086E38" w:rsidRDefault="0004367C" w:rsidP="009F75A3">
            <w:pPr>
              <w:rPr>
                <w:rFonts w:eastAsia="Times New Roman"/>
                <w:color w:val="000000"/>
                <w:sz w:val="20"/>
                <w:szCs w:val="20"/>
                <w:lang w:eastAsia="cs-CZ"/>
              </w:rPr>
            </w:pPr>
            <w:r w:rsidRPr="00086E38">
              <w:rPr>
                <w:rFonts w:eastAsia="Times New Roman"/>
                <w:color w:val="000000"/>
                <w:sz w:val="20"/>
                <w:szCs w:val="20"/>
                <w:lang w:eastAsia="cs-CZ"/>
              </w:rPr>
              <w:t>2013–2017</w:t>
            </w:r>
          </w:p>
        </w:tc>
        <w:tc>
          <w:tcPr>
            <w:tcW w:w="1095" w:type="pct"/>
            <w:tcBorders>
              <w:top w:val="double" w:sz="4" w:space="0" w:color="auto"/>
              <w:left w:val="nil"/>
              <w:bottom w:val="single" w:sz="4" w:space="0" w:color="auto"/>
              <w:right w:val="single" w:sz="4" w:space="0" w:color="auto"/>
            </w:tcBorders>
            <w:shd w:val="clear" w:color="auto" w:fill="auto"/>
            <w:noWrap/>
            <w:vAlign w:val="center"/>
            <w:hideMark/>
          </w:tcPr>
          <w:p w14:paraId="776509ED"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5,22</w:t>
            </w:r>
          </w:p>
        </w:tc>
        <w:tc>
          <w:tcPr>
            <w:tcW w:w="935" w:type="pct"/>
            <w:tcBorders>
              <w:top w:val="double" w:sz="4" w:space="0" w:color="auto"/>
              <w:left w:val="nil"/>
              <w:bottom w:val="single" w:sz="4" w:space="0" w:color="auto"/>
              <w:right w:val="single" w:sz="4" w:space="0" w:color="auto"/>
            </w:tcBorders>
            <w:shd w:val="clear" w:color="auto" w:fill="auto"/>
            <w:noWrap/>
            <w:vAlign w:val="center"/>
            <w:hideMark/>
          </w:tcPr>
          <w:p w14:paraId="7A3ABD9C"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16,24</w:t>
            </w:r>
          </w:p>
        </w:tc>
      </w:tr>
      <w:tr w:rsidR="0004367C" w:rsidRPr="00086E38" w14:paraId="7C8F3F74" w14:textId="77777777" w:rsidTr="005C6AB8">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7CC56" w14:textId="77777777" w:rsidR="0004367C" w:rsidRPr="00086E38" w:rsidRDefault="0004367C" w:rsidP="009F75A3">
            <w:pPr>
              <w:rPr>
                <w:rFonts w:eastAsia="Times New Roman"/>
                <w:color w:val="000000"/>
                <w:sz w:val="20"/>
                <w:szCs w:val="20"/>
                <w:lang w:eastAsia="cs-CZ"/>
              </w:rPr>
            </w:pPr>
            <w:r w:rsidRPr="00086E38">
              <w:rPr>
                <w:rFonts w:eastAsia="Times New Roman"/>
                <w:color w:val="000000"/>
                <w:sz w:val="20"/>
                <w:szCs w:val="20"/>
                <w:lang w:eastAsia="cs-CZ"/>
              </w:rPr>
              <w:t>2014–2018</w:t>
            </w:r>
          </w:p>
        </w:tc>
        <w:tc>
          <w:tcPr>
            <w:tcW w:w="1095" w:type="pct"/>
            <w:tcBorders>
              <w:top w:val="nil"/>
              <w:left w:val="nil"/>
              <w:bottom w:val="single" w:sz="4" w:space="0" w:color="auto"/>
              <w:right w:val="single" w:sz="4" w:space="0" w:color="auto"/>
            </w:tcBorders>
            <w:shd w:val="clear" w:color="auto" w:fill="auto"/>
            <w:noWrap/>
            <w:vAlign w:val="center"/>
            <w:hideMark/>
          </w:tcPr>
          <w:p w14:paraId="18D6BC3D"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4,72</w:t>
            </w:r>
          </w:p>
        </w:tc>
        <w:tc>
          <w:tcPr>
            <w:tcW w:w="935" w:type="pct"/>
            <w:tcBorders>
              <w:top w:val="nil"/>
              <w:left w:val="nil"/>
              <w:bottom w:val="single" w:sz="4" w:space="0" w:color="auto"/>
              <w:right w:val="single" w:sz="4" w:space="0" w:color="auto"/>
            </w:tcBorders>
            <w:shd w:val="clear" w:color="auto" w:fill="auto"/>
            <w:noWrap/>
            <w:vAlign w:val="center"/>
            <w:hideMark/>
          </w:tcPr>
          <w:p w14:paraId="01001E18"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15,80</w:t>
            </w:r>
          </w:p>
        </w:tc>
      </w:tr>
      <w:tr w:rsidR="0004367C" w:rsidRPr="00086E38" w14:paraId="57856CE2" w14:textId="77777777" w:rsidTr="005C6AB8">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242F3" w14:textId="77777777" w:rsidR="0004367C" w:rsidRPr="00086E38" w:rsidRDefault="0004367C" w:rsidP="009F75A3">
            <w:pPr>
              <w:rPr>
                <w:rFonts w:eastAsia="Times New Roman"/>
                <w:color w:val="000000"/>
                <w:sz w:val="20"/>
                <w:szCs w:val="20"/>
                <w:lang w:eastAsia="cs-CZ"/>
              </w:rPr>
            </w:pPr>
            <w:r w:rsidRPr="00086E38">
              <w:rPr>
                <w:rFonts w:eastAsia="Times New Roman"/>
                <w:color w:val="000000"/>
                <w:sz w:val="20"/>
                <w:szCs w:val="20"/>
                <w:lang w:eastAsia="cs-CZ"/>
              </w:rPr>
              <w:t>2015–2019</w:t>
            </w:r>
          </w:p>
        </w:tc>
        <w:tc>
          <w:tcPr>
            <w:tcW w:w="1095" w:type="pct"/>
            <w:tcBorders>
              <w:top w:val="nil"/>
              <w:left w:val="nil"/>
              <w:bottom w:val="single" w:sz="4" w:space="0" w:color="auto"/>
              <w:right w:val="single" w:sz="4" w:space="0" w:color="auto"/>
            </w:tcBorders>
            <w:shd w:val="clear" w:color="auto" w:fill="auto"/>
            <w:noWrap/>
            <w:vAlign w:val="center"/>
            <w:hideMark/>
          </w:tcPr>
          <w:p w14:paraId="064F2266"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3,14</w:t>
            </w:r>
          </w:p>
        </w:tc>
        <w:tc>
          <w:tcPr>
            <w:tcW w:w="935" w:type="pct"/>
            <w:tcBorders>
              <w:top w:val="nil"/>
              <w:left w:val="nil"/>
              <w:bottom w:val="single" w:sz="4" w:space="0" w:color="auto"/>
              <w:right w:val="single" w:sz="4" w:space="0" w:color="auto"/>
            </w:tcBorders>
            <w:shd w:val="clear" w:color="auto" w:fill="auto"/>
            <w:noWrap/>
            <w:vAlign w:val="center"/>
            <w:hideMark/>
          </w:tcPr>
          <w:p w14:paraId="24E7466C"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11,10</w:t>
            </w:r>
          </w:p>
        </w:tc>
      </w:tr>
      <w:tr w:rsidR="0004367C" w:rsidRPr="00086E38" w14:paraId="75A0C006" w14:textId="77777777" w:rsidTr="005C6AB8">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EF72A" w14:textId="77777777" w:rsidR="0004367C" w:rsidRPr="00086E38" w:rsidRDefault="0004367C" w:rsidP="009F75A3">
            <w:pPr>
              <w:rPr>
                <w:rFonts w:eastAsia="Times New Roman"/>
                <w:color w:val="000000"/>
                <w:sz w:val="20"/>
                <w:szCs w:val="20"/>
                <w:lang w:eastAsia="cs-CZ"/>
              </w:rPr>
            </w:pPr>
            <w:r w:rsidRPr="00086E38">
              <w:rPr>
                <w:rFonts w:eastAsia="Times New Roman"/>
                <w:color w:val="000000"/>
                <w:sz w:val="20"/>
                <w:szCs w:val="20"/>
                <w:lang w:eastAsia="cs-CZ"/>
              </w:rPr>
              <w:t>2016–2020</w:t>
            </w:r>
          </w:p>
        </w:tc>
        <w:tc>
          <w:tcPr>
            <w:tcW w:w="1095" w:type="pct"/>
            <w:tcBorders>
              <w:top w:val="nil"/>
              <w:left w:val="nil"/>
              <w:bottom w:val="single" w:sz="4" w:space="0" w:color="auto"/>
              <w:right w:val="single" w:sz="4" w:space="0" w:color="auto"/>
            </w:tcBorders>
            <w:shd w:val="clear" w:color="auto" w:fill="auto"/>
            <w:noWrap/>
            <w:vAlign w:val="center"/>
            <w:hideMark/>
          </w:tcPr>
          <w:p w14:paraId="374CD0AA"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2,64</w:t>
            </w:r>
          </w:p>
        </w:tc>
        <w:tc>
          <w:tcPr>
            <w:tcW w:w="935" w:type="pct"/>
            <w:tcBorders>
              <w:top w:val="nil"/>
              <w:left w:val="nil"/>
              <w:bottom w:val="single" w:sz="4" w:space="0" w:color="auto"/>
              <w:right w:val="single" w:sz="4" w:space="0" w:color="auto"/>
            </w:tcBorders>
            <w:shd w:val="clear" w:color="auto" w:fill="auto"/>
            <w:noWrap/>
            <w:vAlign w:val="center"/>
            <w:hideMark/>
          </w:tcPr>
          <w:p w14:paraId="18EDCB66"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9,02</w:t>
            </w:r>
          </w:p>
        </w:tc>
      </w:tr>
      <w:tr w:rsidR="0004367C" w:rsidRPr="00086E38" w14:paraId="33406EA7" w14:textId="77777777" w:rsidTr="005C6AB8">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39A52" w14:textId="77777777" w:rsidR="0004367C" w:rsidRPr="00086E38" w:rsidRDefault="0004367C" w:rsidP="009F75A3">
            <w:pPr>
              <w:rPr>
                <w:rFonts w:eastAsia="Times New Roman"/>
                <w:color w:val="000000"/>
                <w:sz w:val="20"/>
                <w:szCs w:val="20"/>
                <w:lang w:eastAsia="cs-CZ"/>
              </w:rPr>
            </w:pPr>
            <w:r w:rsidRPr="00086E38">
              <w:rPr>
                <w:rFonts w:eastAsia="Times New Roman"/>
                <w:color w:val="000000"/>
                <w:sz w:val="20"/>
                <w:szCs w:val="20"/>
                <w:lang w:eastAsia="cs-CZ"/>
              </w:rPr>
              <w:t>2017–2021</w:t>
            </w:r>
          </w:p>
        </w:tc>
        <w:tc>
          <w:tcPr>
            <w:tcW w:w="1095" w:type="pct"/>
            <w:tcBorders>
              <w:top w:val="nil"/>
              <w:left w:val="nil"/>
              <w:bottom w:val="single" w:sz="4" w:space="0" w:color="auto"/>
              <w:right w:val="single" w:sz="4" w:space="0" w:color="auto"/>
            </w:tcBorders>
            <w:shd w:val="clear" w:color="auto" w:fill="auto"/>
            <w:noWrap/>
            <w:vAlign w:val="center"/>
            <w:hideMark/>
          </w:tcPr>
          <w:p w14:paraId="4674043F"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2,37</w:t>
            </w:r>
          </w:p>
        </w:tc>
        <w:tc>
          <w:tcPr>
            <w:tcW w:w="935" w:type="pct"/>
            <w:tcBorders>
              <w:top w:val="nil"/>
              <w:left w:val="nil"/>
              <w:bottom w:val="single" w:sz="4" w:space="0" w:color="auto"/>
              <w:right w:val="single" w:sz="4" w:space="0" w:color="auto"/>
            </w:tcBorders>
            <w:shd w:val="clear" w:color="auto" w:fill="auto"/>
            <w:noWrap/>
            <w:vAlign w:val="center"/>
            <w:hideMark/>
          </w:tcPr>
          <w:p w14:paraId="6BD3B129" w14:textId="77777777" w:rsidR="0004367C" w:rsidRPr="00086E38" w:rsidRDefault="0004367C" w:rsidP="005C6AB8">
            <w:pPr>
              <w:ind w:right="113"/>
              <w:jc w:val="right"/>
              <w:rPr>
                <w:rFonts w:eastAsia="Times New Roman"/>
                <w:color w:val="000000"/>
                <w:sz w:val="20"/>
                <w:szCs w:val="20"/>
                <w:lang w:eastAsia="cs-CZ"/>
              </w:rPr>
            </w:pPr>
            <w:r w:rsidRPr="00086E38">
              <w:rPr>
                <w:rFonts w:eastAsia="Times New Roman"/>
                <w:color w:val="000000"/>
                <w:sz w:val="20"/>
                <w:szCs w:val="20"/>
                <w:lang w:eastAsia="cs-CZ"/>
              </w:rPr>
              <w:t>7,64</w:t>
            </w:r>
          </w:p>
        </w:tc>
      </w:tr>
      <w:tr w:rsidR="0004367C" w:rsidRPr="00086E38" w14:paraId="5FDF2169" w14:textId="77777777" w:rsidTr="005C6AB8">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E1C0C7" w14:textId="77777777" w:rsidR="0004367C" w:rsidRPr="00086E38" w:rsidRDefault="0004367C" w:rsidP="009F75A3">
            <w:pPr>
              <w:rPr>
                <w:rFonts w:eastAsia="Times New Roman"/>
                <w:color w:val="000000"/>
                <w:sz w:val="20"/>
                <w:szCs w:val="20"/>
                <w:lang w:eastAsia="cs-CZ"/>
              </w:rPr>
            </w:pPr>
            <w:r>
              <w:rPr>
                <w:rFonts w:eastAsia="Times New Roman"/>
                <w:color w:val="000000"/>
                <w:sz w:val="20"/>
                <w:szCs w:val="20"/>
                <w:lang w:eastAsia="cs-CZ"/>
              </w:rPr>
              <w:t>2018–2022</w:t>
            </w:r>
          </w:p>
        </w:tc>
        <w:tc>
          <w:tcPr>
            <w:tcW w:w="1095" w:type="pct"/>
            <w:tcBorders>
              <w:top w:val="single" w:sz="4" w:space="0" w:color="auto"/>
              <w:left w:val="nil"/>
              <w:bottom w:val="single" w:sz="4" w:space="0" w:color="auto"/>
              <w:right w:val="single" w:sz="4" w:space="0" w:color="auto"/>
            </w:tcBorders>
            <w:shd w:val="clear" w:color="auto" w:fill="auto"/>
            <w:noWrap/>
            <w:vAlign w:val="center"/>
          </w:tcPr>
          <w:p w14:paraId="74AD7066" w14:textId="77777777" w:rsidR="0004367C" w:rsidRPr="00086E38" w:rsidRDefault="0004367C" w:rsidP="005C6AB8">
            <w:pPr>
              <w:ind w:right="113"/>
              <w:jc w:val="right"/>
              <w:rPr>
                <w:rFonts w:eastAsia="Times New Roman"/>
                <w:color w:val="000000"/>
                <w:sz w:val="20"/>
                <w:szCs w:val="20"/>
                <w:lang w:eastAsia="cs-CZ"/>
              </w:rPr>
            </w:pPr>
            <w:r>
              <w:rPr>
                <w:rFonts w:eastAsia="Times New Roman"/>
                <w:color w:val="000000"/>
                <w:sz w:val="20"/>
                <w:szCs w:val="20"/>
                <w:lang w:eastAsia="cs-CZ"/>
              </w:rPr>
              <w:t>0,72</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3CBDFEA7" w14:textId="77777777" w:rsidR="0004367C" w:rsidRPr="00086E38" w:rsidRDefault="0004367C" w:rsidP="005C6AB8">
            <w:pPr>
              <w:ind w:right="113"/>
              <w:jc w:val="right"/>
              <w:rPr>
                <w:rFonts w:eastAsia="Times New Roman"/>
                <w:color w:val="000000"/>
                <w:sz w:val="20"/>
                <w:szCs w:val="20"/>
                <w:lang w:eastAsia="cs-CZ"/>
              </w:rPr>
            </w:pPr>
            <w:r>
              <w:rPr>
                <w:rFonts w:eastAsia="Times New Roman"/>
                <w:color w:val="000000"/>
                <w:sz w:val="20"/>
                <w:szCs w:val="20"/>
                <w:lang w:eastAsia="cs-CZ"/>
              </w:rPr>
              <w:t>3,02</w:t>
            </w:r>
          </w:p>
        </w:tc>
      </w:tr>
    </w:tbl>
    <w:p w14:paraId="0E11A3B2" w14:textId="1F22129B" w:rsidR="0004367C" w:rsidRDefault="0004367C" w:rsidP="00955553">
      <w:pPr>
        <w:pStyle w:val="Zdrojeapozn"/>
      </w:pPr>
      <w:r w:rsidRPr="00F13367">
        <w:t>Zdroj:</w:t>
      </w:r>
      <w:r w:rsidR="00096C5B">
        <w:t xml:space="preserve"> </w:t>
      </w:r>
      <w:r w:rsidR="00096C5B" w:rsidRPr="00197C6F">
        <w:rPr>
          <w:b w:val="0"/>
        </w:rPr>
        <w:t>i</w:t>
      </w:r>
      <w:r w:rsidRPr="00197C6F">
        <w:rPr>
          <w:b w:val="0"/>
        </w:rPr>
        <w:t>nformace MŽP a ČHMÚ.</w:t>
      </w:r>
      <w:r>
        <w:br w:type="page"/>
      </w:r>
    </w:p>
    <w:p w14:paraId="55C1A261" w14:textId="3BC9F06D" w:rsidR="0004367C" w:rsidRPr="000352E0" w:rsidRDefault="0004367C" w:rsidP="000352E0">
      <w:pPr>
        <w:spacing w:before="120" w:after="40"/>
        <w:rPr>
          <w:b/>
        </w:rPr>
      </w:pPr>
      <w:r w:rsidRPr="000352E0">
        <w:rPr>
          <w:b/>
        </w:rPr>
        <w:lastRenderedPageBreak/>
        <w:t>Tabulk</w:t>
      </w:r>
      <w:r w:rsidR="00885A90">
        <w:rPr>
          <w:b/>
        </w:rPr>
        <w:t xml:space="preserve">a č. 3: </w:t>
      </w:r>
      <w:r w:rsidRPr="000352E0">
        <w:rPr>
          <w:b/>
        </w:rPr>
        <w:t>Nedodržení IL pro průměrnou roční koncentraci PM</w:t>
      </w:r>
      <w:r w:rsidRPr="000352E0">
        <w:rPr>
          <w:b/>
          <w:vertAlign w:val="subscript"/>
        </w:rPr>
        <w:t>10</w:t>
      </w:r>
      <w:r w:rsidRPr="000352E0">
        <w:rPr>
          <w:b/>
        </w:rPr>
        <w:t xml:space="preserve"> v letech 2013–2022</w:t>
      </w:r>
    </w:p>
    <w:tbl>
      <w:tblPr>
        <w:tblW w:w="5000" w:type="pct"/>
        <w:tblCellMar>
          <w:left w:w="70" w:type="dxa"/>
          <w:right w:w="70" w:type="dxa"/>
        </w:tblCellMar>
        <w:tblLook w:val="04A0" w:firstRow="1" w:lastRow="0" w:firstColumn="1" w:lastColumn="0" w:noHBand="0" w:noVBand="1"/>
      </w:tblPr>
      <w:tblGrid>
        <w:gridCol w:w="1593"/>
        <w:gridCol w:w="1593"/>
        <w:gridCol w:w="2197"/>
        <w:gridCol w:w="1700"/>
        <w:gridCol w:w="1979"/>
      </w:tblGrid>
      <w:tr w:rsidR="0004367C" w:rsidRPr="00140ED3" w14:paraId="52FAB1C2" w14:textId="77777777" w:rsidTr="009F75A3">
        <w:trPr>
          <w:trHeight w:val="20"/>
        </w:trPr>
        <w:tc>
          <w:tcPr>
            <w:tcW w:w="87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F3E5B" w14:textId="76DC3270" w:rsidR="0004367C" w:rsidRPr="00140ED3" w:rsidRDefault="0004367C" w:rsidP="009F75A3">
            <w:pPr>
              <w:jc w:val="center"/>
              <w:rPr>
                <w:rFonts w:eastAsia="Times New Roman"/>
                <w:b/>
                <w:bCs/>
                <w:sz w:val="20"/>
                <w:szCs w:val="20"/>
                <w:lang w:eastAsia="cs-CZ"/>
              </w:rPr>
            </w:pPr>
            <w:r w:rsidRPr="00140ED3">
              <w:rPr>
                <w:rFonts w:eastAsia="Times New Roman"/>
                <w:b/>
                <w:bCs/>
                <w:sz w:val="20"/>
                <w:szCs w:val="20"/>
                <w:lang w:eastAsia="cs-CZ"/>
              </w:rPr>
              <w:t>Rok /</w:t>
            </w:r>
            <w:r w:rsidR="00F92BB8">
              <w:rPr>
                <w:rFonts w:eastAsia="Times New Roman"/>
                <w:b/>
                <w:bCs/>
                <w:sz w:val="20"/>
                <w:szCs w:val="20"/>
                <w:lang w:eastAsia="cs-CZ"/>
              </w:rPr>
              <w:t xml:space="preserve"> </w:t>
            </w:r>
            <w:r w:rsidRPr="00140ED3">
              <w:rPr>
                <w:rFonts w:eastAsia="Times New Roman"/>
                <w:b/>
                <w:bCs/>
                <w:sz w:val="20"/>
                <w:szCs w:val="20"/>
                <w:lang w:eastAsia="cs-CZ"/>
              </w:rPr>
              <w:t>pětiletý průměr</w:t>
            </w:r>
          </w:p>
        </w:tc>
        <w:tc>
          <w:tcPr>
            <w:tcW w:w="879" w:type="pct"/>
            <w:tcBorders>
              <w:top w:val="single" w:sz="4" w:space="0" w:color="auto"/>
              <w:left w:val="nil"/>
              <w:bottom w:val="single" w:sz="4" w:space="0" w:color="auto"/>
              <w:right w:val="single" w:sz="4" w:space="0" w:color="auto"/>
            </w:tcBorders>
            <w:shd w:val="clear" w:color="auto" w:fill="F2F2F2"/>
            <w:vAlign w:val="center"/>
            <w:hideMark/>
          </w:tcPr>
          <w:p w14:paraId="2C87D7BE" w14:textId="77777777" w:rsidR="0004367C" w:rsidRPr="00140ED3" w:rsidRDefault="0004367C" w:rsidP="009F75A3">
            <w:pPr>
              <w:jc w:val="center"/>
              <w:rPr>
                <w:rFonts w:eastAsia="Times New Roman"/>
                <w:b/>
                <w:bCs/>
                <w:sz w:val="20"/>
                <w:szCs w:val="20"/>
                <w:lang w:eastAsia="cs-CZ"/>
              </w:rPr>
            </w:pPr>
            <w:r w:rsidRPr="00140ED3">
              <w:rPr>
                <w:rFonts w:eastAsia="Times New Roman"/>
                <w:b/>
                <w:bCs/>
                <w:sz w:val="20"/>
                <w:szCs w:val="20"/>
                <w:lang w:eastAsia="cs-CZ"/>
              </w:rPr>
              <w:t>Celkem stanic</w:t>
            </w:r>
          </w:p>
        </w:tc>
        <w:tc>
          <w:tcPr>
            <w:tcW w:w="1212" w:type="pct"/>
            <w:tcBorders>
              <w:top w:val="single" w:sz="4" w:space="0" w:color="auto"/>
              <w:left w:val="nil"/>
              <w:bottom w:val="single" w:sz="4" w:space="0" w:color="auto"/>
              <w:right w:val="single" w:sz="4" w:space="0" w:color="auto"/>
            </w:tcBorders>
            <w:shd w:val="clear" w:color="auto" w:fill="F2F2F2"/>
            <w:vAlign w:val="center"/>
            <w:hideMark/>
          </w:tcPr>
          <w:p w14:paraId="3FEE6BF1" w14:textId="74BECE1E" w:rsidR="0004367C" w:rsidRPr="00140ED3" w:rsidRDefault="0004367C" w:rsidP="005C6AB8">
            <w:pPr>
              <w:jc w:val="center"/>
              <w:rPr>
                <w:rFonts w:eastAsia="Times New Roman"/>
                <w:b/>
                <w:bCs/>
                <w:sz w:val="20"/>
                <w:szCs w:val="20"/>
                <w:lang w:eastAsia="cs-CZ"/>
              </w:rPr>
            </w:pPr>
            <w:r w:rsidRPr="00140ED3">
              <w:rPr>
                <w:rFonts w:eastAsia="Times New Roman"/>
                <w:b/>
                <w:bCs/>
                <w:sz w:val="20"/>
                <w:szCs w:val="20"/>
                <w:lang w:eastAsia="cs-CZ"/>
              </w:rPr>
              <w:t>Počet (podíl) stanic</w:t>
            </w:r>
            <w:r w:rsidR="005C6AB8">
              <w:rPr>
                <w:rFonts w:eastAsia="Times New Roman"/>
                <w:b/>
                <w:bCs/>
                <w:sz w:val="20"/>
                <w:szCs w:val="20"/>
                <w:lang w:eastAsia="cs-CZ"/>
              </w:rPr>
              <w:t xml:space="preserve"> </w:t>
            </w:r>
            <w:r w:rsidRPr="00140ED3">
              <w:rPr>
                <w:rFonts w:eastAsia="Times New Roman"/>
                <w:b/>
                <w:bCs/>
                <w:sz w:val="20"/>
                <w:szCs w:val="20"/>
                <w:lang w:eastAsia="cs-CZ"/>
              </w:rPr>
              <w:t>s</w:t>
            </w:r>
            <w:r w:rsidR="005C6AB8">
              <w:rPr>
                <w:rFonts w:eastAsia="Times New Roman"/>
                <w:b/>
                <w:bCs/>
                <w:sz w:val="20"/>
                <w:szCs w:val="20"/>
                <w:lang w:eastAsia="cs-CZ"/>
              </w:rPr>
              <w:t> </w:t>
            </w:r>
            <w:r w:rsidRPr="00140ED3">
              <w:rPr>
                <w:rFonts w:eastAsia="Times New Roman"/>
                <w:b/>
                <w:bCs/>
                <w:sz w:val="20"/>
                <w:szCs w:val="20"/>
                <w:lang w:eastAsia="cs-CZ"/>
              </w:rPr>
              <w:t xml:space="preserve">nedodrženým </w:t>
            </w:r>
            <w:r>
              <w:rPr>
                <w:rFonts w:eastAsia="Times New Roman"/>
                <w:b/>
                <w:bCs/>
                <w:sz w:val="20"/>
                <w:szCs w:val="20"/>
                <w:lang w:eastAsia="cs-CZ"/>
              </w:rPr>
              <w:t>IL</w:t>
            </w:r>
          </w:p>
        </w:tc>
        <w:tc>
          <w:tcPr>
            <w:tcW w:w="938" w:type="pct"/>
            <w:tcBorders>
              <w:top w:val="single" w:sz="4" w:space="0" w:color="auto"/>
              <w:left w:val="nil"/>
              <w:bottom w:val="single" w:sz="4" w:space="0" w:color="auto"/>
              <w:right w:val="single" w:sz="4" w:space="0" w:color="auto"/>
            </w:tcBorders>
            <w:shd w:val="clear" w:color="auto" w:fill="F2F2F2"/>
            <w:vAlign w:val="center"/>
            <w:hideMark/>
          </w:tcPr>
          <w:p w14:paraId="49A16FF4" w14:textId="4467C9F7" w:rsidR="0004367C" w:rsidRPr="00140ED3" w:rsidRDefault="0004367C" w:rsidP="005C6AB8">
            <w:pPr>
              <w:jc w:val="center"/>
              <w:rPr>
                <w:rFonts w:eastAsia="Times New Roman"/>
                <w:b/>
                <w:bCs/>
                <w:sz w:val="20"/>
                <w:szCs w:val="20"/>
                <w:lang w:val="en-GB" w:eastAsia="cs-CZ"/>
              </w:rPr>
            </w:pPr>
            <w:r w:rsidRPr="00140ED3">
              <w:rPr>
                <w:rFonts w:eastAsia="Times New Roman"/>
                <w:b/>
                <w:bCs/>
                <w:sz w:val="20"/>
                <w:szCs w:val="20"/>
                <w:lang w:eastAsia="cs-CZ"/>
              </w:rPr>
              <w:t>Zasažená plocha</w:t>
            </w:r>
            <w:r w:rsidR="00A55226">
              <w:rPr>
                <w:rFonts w:eastAsia="Times New Roman"/>
                <w:b/>
                <w:bCs/>
                <w:sz w:val="20"/>
                <w:szCs w:val="20"/>
                <w:lang w:eastAsia="cs-CZ"/>
              </w:rPr>
              <w:t xml:space="preserve"> území ČR</w:t>
            </w:r>
            <w:r w:rsidR="005C6AB8">
              <w:rPr>
                <w:rFonts w:eastAsia="Times New Roman"/>
                <w:b/>
                <w:bCs/>
                <w:sz w:val="20"/>
                <w:szCs w:val="20"/>
                <w:lang w:eastAsia="cs-CZ"/>
              </w:rPr>
              <w:t xml:space="preserve"> </w:t>
            </w:r>
            <w:r w:rsidRPr="00140ED3">
              <w:rPr>
                <w:rFonts w:eastAsia="Times New Roman"/>
                <w:b/>
                <w:bCs/>
                <w:sz w:val="20"/>
                <w:szCs w:val="20"/>
                <w:lang w:val="en-GB" w:eastAsia="cs-CZ"/>
              </w:rPr>
              <w:t>[</w:t>
            </w:r>
            <w:r w:rsidRPr="00140ED3">
              <w:rPr>
                <w:rFonts w:eastAsia="Times New Roman"/>
                <w:b/>
                <w:bCs/>
                <w:sz w:val="20"/>
                <w:szCs w:val="20"/>
                <w:lang w:eastAsia="cs-CZ"/>
              </w:rPr>
              <w:t>%</w:t>
            </w:r>
            <w:r w:rsidRPr="00140ED3">
              <w:rPr>
                <w:rFonts w:eastAsia="Times New Roman"/>
                <w:b/>
                <w:bCs/>
                <w:sz w:val="20"/>
                <w:szCs w:val="20"/>
                <w:lang w:val="en-GB" w:eastAsia="cs-CZ"/>
              </w:rPr>
              <w:t>]</w:t>
            </w:r>
          </w:p>
        </w:tc>
        <w:tc>
          <w:tcPr>
            <w:tcW w:w="1092" w:type="pct"/>
            <w:tcBorders>
              <w:top w:val="single" w:sz="4" w:space="0" w:color="auto"/>
              <w:left w:val="nil"/>
              <w:bottom w:val="single" w:sz="4" w:space="0" w:color="auto"/>
              <w:right w:val="single" w:sz="4" w:space="0" w:color="auto"/>
            </w:tcBorders>
            <w:shd w:val="clear" w:color="auto" w:fill="F2F2F2"/>
            <w:vAlign w:val="center"/>
            <w:hideMark/>
          </w:tcPr>
          <w:p w14:paraId="20A77330" w14:textId="5A256D27" w:rsidR="0004367C" w:rsidRPr="00140ED3" w:rsidRDefault="0004367C" w:rsidP="005C6AB8">
            <w:pPr>
              <w:jc w:val="center"/>
              <w:rPr>
                <w:rFonts w:eastAsia="Times New Roman"/>
                <w:b/>
                <w:bCs/>
                <w:sz w:val="20"/>
                <w:szCs w:val="20"/>
                <w:lang w:eastAsia="cs-CZ"/>
              </w:rPr>
            </w:pPr>
            <w:r w:rsidRPr="00140ED3">
              <w:rPr>
                <w:rFonts w:eastAsia="Times New Roman"/>
                <w:b/>
                <w:bCs/>
                <w:sz w:val="20"/>
                <w:szCs w:val="20"/>
                <w:lang w:eastAsia="cs-CZ"/>
              </w:rPr>
              <w:t>Zasaženo</w:t>
            </w:r>
            <w:r w:rsidR="005C6AB8">
              <w:rPr>
                <w:rFonts w:eastAsia="Times New Roman"/>
                <w:b/>
                <w:bCs/>
                <w:sz w:val="20"/>
                <w:szCs w:val="20"/>
                <w:lang w:eastAsia="cs-CZ"/>
              </w:rPr>
              <w:br/>
            </w:r>
            <w:r w:rsidR="00A55226">
              <w:rPr>
                <w:rFonts w:eastAsia="Times New Roman"/>
                <w:b/>
                <w:bCs/>
                <w:sz w:val="20"/>
                <w:szCs w:val="20"/>
                <w:lang w:eastAsia="cs-CZ"/>
              </w:rPr>
              <w:t>o</w:t>
            </w:r>
            <w:r w:rsidRPr="00140ED3">
              <w:rPr>
                <w:rFonts w:eastAsia="Times New Roman"/>
                <w:b/>
                <w:bCs/>
                <w:sz w:val="20"/>
                <w:szCs w:val="20"/>
                <w:lang w:eastAsia="cs-CZ"/>
              </w:rPr>
              <w:t>byvatel</w:t>
            </w:r>
            <w:r w:rsidR="00A55226">
              <w:rPr>
                <w:rFonts w:eastAsia="Times New Roman"/>
                <w:b/>
                <w:bCs/>
                <w:sz w:val="20"/>
                <w:szCs w:val="20"/>
                <w:lang w:eastAsia="cs-CZ"/>
              </w:rPr>
              <w:t xml:space="preserve"> ČR</w:t>
            </w:r>
            <w:r w:rsidR="005C6AB8">
              <w:rPr>
                <w:rFonts w:eastAsia="Times New Roman"/>
                <w:b/>
                <w:bCs/>
                <w:sz w:val="20"/>
                <w:szCs w:val="20"/>
                <w:lang w:eastAsia="cs-CZ"/>
              </w:rPr>
              <w:t xml:space="preserve"> </w:t>
            </w:r>
            <w:r w:rsidRPr="00140ED3">
              <w:rPr>
                <w:rFonts w:eastAsia="Times New Roman"/>
                <w:b/>
                <w:bCs/>
                <w:sz w:val="20"/>
                <w:szCs w:val="20"/>
                <w:lang w:val="en-GB" w:eastAsia="cs-CZ"/>
              </w:rPr>
              <w:t>[</w:t>
            </w:r>
            <w:r w:rsidRPr="00140ED3">
              <w:rPr>
                <w:rFonts w:eastAsia="Times New Roman"/>
                <w:b/>
                <w:bCs/>
                <w:sz w:val="20"/>
                <w:szCs w:val="20"/>
                <w:lang w:eastAsia="cs-CZ"/>
              </w:rPr>
              <w:t>%</w:t>
            </w:r>
            <w:r w:rsidRPr="00140ED3">
              <w:rPr>
                <w:rFonts w:eastAsia="Times New Roman"/>
                <w:b/>
                <w:bCs/>
                <w:sz w:val="20"/>
                <w:szCs w:val="20"/>
                <w:lang w:val="en-GB" w:eastAsia="cs-CZ"/>
              </w:rPr>
              <w:t>]</w:t>
            </w:r>
          </w:p>
        </w:tc>
      </w:tr>
      <w:tr w:rsidR="0004367C" w:rsidRPr="00140ED3" w14:paraId="2C76181C" w14:textId="77777777" w:rsidTr="009F75A3">
        <w:trPr>
          <w:trHeight w:val="20"/>
        </w:trPr>
        <w:tc>
          <w:tcPr>
            <w:tcW w:w="879" w:type="pct"/>
            <w:tcBorders>
              <w:top w:val="nil"/>
              <w:left w:val="single" w:sz="4" w:space="0" w:color="auto"/>
              <w:bottom w:val="single" w:sz="4" w:space="0" w:color="auto"/>
              <w:right w:val="single" w:sz="4" w:space="0" w:color="auto"/>
            </w:tcBorders>
            <w:shd w:val="clear" w:color="auto" w:fill="auto"/>
            <w:noWrap/>
            <w:vAlign w:val="center"/>
            <w:hideMark/>
          </w:tcPr>
          <w:p w14:paraId="76823797" w14:textId="77777777" w:rsidR="0004367C" w:rsidRPr="00140ED3" w:rsidRDefault="0004367C" w:rsidP="009F75A3">
            <w:pPr>
              <w:jc w:val="center"/>
              <w:rPr>
                <w:rFonts w:eastAsia="Times New Roman"/>
                <w:color w:val="000000"/>
                <w:sz w:val="20"/>
                <w:szCs w:val="20"/>
                <w:lang w:eastAsia="cs-CZ"/>
              </w:rPr>
            </w:pPr>
            <w:r w:rsidRPr="00140ED3">
              <w:rPr>
                <w:rFonts w:eastAsia="Times New Roman"/>
                <w:color w:val="000000"/>
                <w:sz w:val="20"/>
                <w:szCs w:val="20"/>
                <w:lang w:eastAsia="cs-CZ"/>
              </w:rPr>
              <w:t>2013</w:t>
            </w:r>
          </w:p>
        </w:tc>
        <w:tc>
          <w:tcPr>
            <w:tcW w:w="879" w:type="pct"/>
            <w:tcBorders>
              <w:top w:val="nil"/>
              <w:left w:val="nil"/>
              <w:bottom w:val="single" w:sz="4" w:space="0" w:color="auto"/>
              <w:right w:val="single" w:sz="4" w:space="0" w:color="auto"/>
            </w:tcBorders>
            <w:shd w:val="clear" w:color="auto" w:fill="auto"/>
            <w:noWrap/>
            <w:vAlign w:val="center"/>
            <w:hideMark/>
          </w:tcPr>
          <w:p w14:paraId="7C9B8D12"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136</w:t>
            </w:r>
          </w:p>
        </w:tc>
        <w:tc>
          <w:tcPr>
            <w:tcW w:w="1212" w:type="pct"/>
            <w:tcBorders>
              <w:top w:val="nil"/>
              <w:left w:val="nil"/>
              <w:bottom w:val="single" w:sz="4" w:space="0" w:color="auto"/>
              <w:right w:val="single" w:sz="4" w:space="0" w:color="auto"/>
            </w:tcBorders>
            <w:shd w:val="clear" w:color="auto" w:fill="auto"/>
            <w:noWrap/>
            <w:vAlign w:val="center"/>
            <w:hideMark/>
          </w:tcPr>
          <w:p w14:paraId="767FD70F"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10 (7,4 %)</w:t>
            </w:r>
          </w:p>
        </w:tc>
        <w:tc>
          <w:tcPr>
            <w:tcW w:w="938" w:type="pct"/>
            <w:tcBorders>
              <w:top w:val="nil"/>
              <w:left w:val="nil"/>
              <w:bottom w:val="single" w:sz="4" w:space="0" w:color="auto"/>
              <w:right w:val="single" w:sz="4" w:space="0" w:color="auto"/>
            </w:tcBorders>
            <w:shd w:val="clear" w:color="auto" w:fill="auto"/>
            <w:noWrap/>
            <w:vAlign w:val="center"/>
            <w:hideMark/>
          </w:tcPr>
          <w:p w14:paraId="216A4D77"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0,73</w:t>
            </w:r>
          </w:p>
        </w:tc>
        <w:tc>
          <w:tcPr>
            <w:tcW w:w="1092" w:type="pct"/>
            <w:tcBorders>
              <w:top w:val="nil"/>
              <w:left w:val="nil"/>
              <w:bottom w:val="single" w:sz="4" w:space="0" w:color="auto"/>
              <w:right w:val="single" w:sz="4" w:space="0" w:color="auto"/>
            </w:tcBorders>
            <w:shd w:val="clear" w:color="auto" w:fill="auto"/>
            <w:noWrap/>
            <w:vAlign w:val="center"/>
            <w:hideMark/>
          </w:tcPr>
          <w:p w14:paraId="062AA12E"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5,00</w:t>
            </w:r>
          </w:p>
        </w:tc>
      </w:tr>
      <w:tr w:rsidR="0004367C" w:rsidRPr="00140ED3" w14:paraId="64F1C9D8" w14:textId="77777777" w:rsidTr="009F75A3">
        <w:trPr>
          <w:trHeight w:val="20"/>
        </w:trPr>
        <w:tc>
          <w:tcPr>
            <w:tcW w:w="879" w:type="pct"/>
            <w:tcBorders>
              <w:top w:val="nil"/>
              <w:left w:val="single" w:sz="4" w:space="0" w:color="auto"/>
              <w:bottom w:val="single" w:sz="4" w:space="0" w:color="auto"/>
              <w:right w:val="single" w:sz="4" w:space="0" w:color="auto"/>
            </w:tcBorders>
            <w:shd w:val="clear" w:color="auto" w:fill="auto"/>
            <w:noWrap/>
            <w:vAlign w:val="center"/>
            <w:hideMark/>
          </w:tcPr>
          <w:p w14:paraId="4987BF11" w14:textId="77777777" w:rsidR="0004367C" w:rsidRPr="00140ED3" w:rsidRDefault="0004367C" w:rsidP="009F75A3">
            <w:pPr>
              <w:jc w:val="center"/>
              <w:rPr>
                <w:rFonts w:eastAsia="Times New Roman"/>
                <w:color w:val="000000"/>
                <w:sz w:val="20"/>
                <w:szCs w:val="20"/>
                <w:lang w:eastAsia="cs-CZ"/>
              </w:rPr>
            </w:pPr>
            <w:r w:rsidRPr="00140ED3">
              <w:rPr>
                <w:rFonts w:eastAsia="Times New Roman"/>
                <w:color w:val="000000"/>
                <w:sz w:val="20"/>
                <w:szCs w:val="20"/>
                <w:lang w:eastAsia="cs-CZ"/>
              </w:rPr>
              <w:t>2014</w:t>
            </w:r>
          </w:p>
        </w:tc>
        <w:tc>
          <w:tcPr>
            <w:tcW w:w="879" w:type="pct"/>
            <w:tcBorders>
              <w:top w:val="nil"/>
              <w:left w:val="nil"/>
              <w:bottom w:val="single" w:sz="4" w:space="0" w:color="auto"/>
              <w:right w:val="single" w:sz="4" w:space="0" w:color="auto"/>
            </w:tcBorders>
            <w:shd w:val="clear" w:color="auto" w:fill="auto"/>
            <w:noWrap/>
            <w:vAlign w:val="center"/>
            <w:hideMark/>
          </w:tcPr>
          <w:p w14:paraId="77B9C14B"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141</w:t>
            </w:r>
          </w:p>
        </w:tc>
        <w:tc>
          <w:tcPr>
            <w:tcW w:w="1212" w:type="pct"/>
            <w:tcBorders>
              <w:top w:val="nil"/>
              <w:left w:val="nil"/>
              <w:bottom w:val="single" w:sz="4" w:space="0" w:color="auto"/>
              <w:right w:val="single" w:sz="4" w:space="0" w:color="auto"/>
            </w:tcBorders>
            <w:shd w:val="clear" w:color="auto" w:fill="auto"/>
            <w:noWrap/>
            <w:vAlign w:val="center"/>
            <w:hideMark/>
          </w:tcPr>
          <w:p w14:paraId="2C395D72"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10 (7,1 %)</w:t>
            </w:r>
          </w:p>
        </w:tc>
        <w:tc>
          <w:tcPr>
            <w:tcW w:w="938" w:type="pct"/>
            <w:tcBorders>
              <w:top w:val="nil"/>
              <w:left w:val="nil"/>
              <w:bottom w:val="single" w:sz="4" w:space="0" w:color="auto"/>
              <w:right w:val="single" w:sz="4" w:space="0" w:color="auto"/>
            </w:tcBorders>
            <w:shd w:val="clear" w:color="auto" w:fill="auto"/>
            <w:noWrap/>
            <w:vAlign w:val="center"/>
            <w:hideMark/>
          </w:tcPr>
          <w:p w14:paraId="2FC2BA5A"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0,45</w:t>
            </w:r>
          </w:p>
        </w:tc>
        <w:tc>
          <w:tcPr>
            <w:tcW w:w="1092" w:type="pct"/>
            <w:tcBorders>
              <w:top w:val="nil"/>
              <w:left w:val="nil"/>
              <w:bottom w:val="single" w:sz="4" w:space="0" w:color="auto"/>
              <w:right w:val="single" w:sz="4" w:space="0" w:color="auto"/>
            </w:tcBorders>
            <w:shd w:val="clear" w:color="auto" w:fill="auto"/>
            <w:noWrap/>
            <w:vAlign w:val="center"/>
            <w:hideMark/>
          </w:tcPr>
          <w:p w14:paraId="5C73E3AA"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2,20</w:t>
            </w:r>
          </w:p>
        </w:tc>
      </w:tr>
      <w:tr w:rsidR="0004367C" w:rsidRPr="00140ED3" w14:paraId="3746736D" w14:textId="77777777" w:rsidTr="009F75A3">
        <w:trPr>
          <w:trHeight w:val="20"/>
        </w:trPr>
        <w:tc>
          <w:tcPr>
            <w:tcW w:w="879" w:type="pct"/>
            <w:tcBorders>
              <w:top w:val="nil"/>
              <w:left w:val="single" w:sz="4" w:space="0" w:color="auto"/>
              <w:bottom w:val="single" w:sz="4" w:space="0" w:color="auto"/>
              <w:right w:val="single" w:sz="4" w:space="0" w:color="auto"/>
            </w:tcBorders>
            <w:shd w:val="clear" w:color="auto" w:fill="auto"/>
            <w:noWrap/>
            <w:vAlign w:val="center"/>
            <w:hideMark/>
          </w:tcPr>
          <w:p w14:paraId="2AD9628C" w14:textId="77777777" w:rsidR="0004367C" w:rsidRPr="00140ED3" w:rsidRDefault="0004367C" w:rsidP="009F75A3">
            <w:pPr>
              <w:jc w:val="center"/>
              <w:rPr>
                <w:rFonts w:eastAsia="Times New Roman"/>
                <w:color w:val="000000"/>
                <w:sz w:val="20"/>
                <w:szCs w:val="20"/>
                <w:lang w:eastAsia="cs-CZ"/>
              </w:rPr>
            </w:pPr>
            <w:r w:rsidRPr="00140ED3">
              <w:rPr>
                <w:rFonts w:eastAsia="Times New Roman"/>
                <w:color w:val="000000"/>
                <w:sz w:val="20"/>
                <w:szCs w:val="20"/>
                <w:lang w:eastAsia="cs-CZ"/>
              </w:rPr>
              <w:t>2015</w:t>
            </w:r>
          </w:p>
        </w:tc>
        <w:tc>
          <w:tcPr>
            <w:tcW w:w="879" w:type="pct"/>
            <w:tcBorders>
              <w:top w:val="nil"/>
              <w:left w:val="nil"/>
              <w:bottom w:val="single" w:sz="4" w:space="0" w:color="auto"/>
              <w:right w:val="single" w:sz="4" w:space="0" w:color="auto"/>
            </w:tcBorders>
            <w:shd w:val="clear" w:color="auto" w:fill="auto"/>
            <w:noWrap/>
            <w:vAlign w:val="center"/>
            <w:hideMark/>
          </w:tcPr>
          <w:p w14:paraId="70A67118"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132</w:t>
            </w:r>
          </w:p>
        </w:tc>
        <w:tc>
          <w:tcPr>
            <w:tcW w:w="1212" w:type="pct"/>
            <w:tcBorders>
              <w:top w:val="nil"/>
              <w:left w:val="nil"/>
              <w:bottom w:val="single" w:sz="4" w:space="0" w:color="auto"/>
              <w:right w:val="single" w:sz="4" w:space="0" w:color="auto"/>
            </w:tcBorders>
            <w:shd w:val="clear" w:color="auto" w:fill="auto"/>
            <w:noWrap/>
            <w:vAlign w:val="center"/>
            <w:hideMark/>
          </w:tcPr>
          <w:p w14:paraId="3C4D9690"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3 (2,3 %)</w:t>
            </w:r>
          </w:p>
        </w:tc>
        <w:tc>
          <w:tcPr>
            <w:tcW w:w="938" w:type="pct"/>
            <w:tcBorders>
              <w:top w:val="nil"/>
              <w:left w:val="nil"/>
              <w:bottom w:val="single" w:sz="4" w:space="0" w:color="auto"/>
              <w:right w:val="single" w:sz="4" w:space="0" w:color="auto"/>
            </w:tcBorders>
            <w:shd w:val="clear" w:color="auto" w:fill="auto"/>
            <w:noWrap/>
            <w:vAlign w:val="center"/>
            <w:hideMark/>
          </w:tcPr>
          <w:p w14:paraId="0795DB12"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0,02</w:t>
            </w:r>
          </w:p>
        </w:tc>
        <w:tc>
          <w:tcPr>
            <w:tcW w:w="1092" w:type="pct"/>
            <w:tcBorders>
              <w:top w:val="nil"/>
              <w:left w:val="nil"/>
              <w:bottom w:val="single" w:sz="4" w:space="0" w:color="auto"/>
              <w:right w:val="single" w:sz="4" w:space="0" w:color="auto"/>
            </w:tcBorders>
            <w:shd w:val="clear" w:color="auto" w:fill="auto"/>
            <w:noWrap/>
            <w:vAlign w:val="center"/>
            <w:hideMark/>
          </w:tcPr>
          <w:p w14:paraId="1B020354"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0,01</w:t>
            </w:r>
          </w:p>
        </w:tc>
      </w:tr>
      <w:tr w:rsidR="0004367C" w:rsidRPr="00140ED3" w14:paraId="2EF73AB3" w14:textId="77777777" w:rsidTr="009F75A3">
        <w:trPr>
          <w:trHeight w:val="20"/>
        </w:trPr>
        <w:tc>
          <w:tcPr>
            <w:tcW w:w="879" w:type="pct"/>
            <w:tcBorders>
              <w:top w:val="nil"/>
              <w:left w:val="single" w:sz="4" w:space="0" w:color="auto"/>
              <w:bottom w:val="single" w:sz="4" w:space="0" w:color="auto"/>
              <w:right w:val="single" w:sz="4" w:space="0" w:color="auto"/>
            </w:tcBorders>
            <w:shd w:val="clear" w:color="auto" w:fill="auto"/>
            <w:noWrap/>
            <w:vAlign w:val="center"/>
            <w:hideMark/>
          </w:tcPr>
          <w:p w14:paraId="24C6E222" w14:textId="77777777" w:rsidR="0004367C" w:rsidRPr="00140ED3" w:rsidRDefault="0004367C" w:rsidP="009F75A3">
            <w:pPr>
              <w:jc w:val="center"/>
              <w:rPr>
                <w:rFonts w:eastAsia="Times New Roman"/>
                <w:color w:val="000000"/>
                <w:sz w:val="20"/>
                <w:szCs w:val="20"/>
                <w:lang w:eastAsia="cs-CZ"/>
              </w:rPr>
            </w:pPr>
            <w:r w:rsidRPr="00140ED3">
              <w:rPr>
                <w:rFonts w:eastAsia="Times New Roman"/>
                <w:color w:val="000000"/>
                <w:sz w:val="20"/>
                <w:szCs w:val="20"/>
                <w:lang w:eastAsia="cs-CZ"/>
              </w:rPr>
              <w:t>2016</w:t>
            </w:r>
          </w:p>
        </w:tc>
        <w:tc>
          <w:tcPr>
            <w:tcW w:w="879" w:type="pct"/>
            <w:tcBorders>
              <w:top w:val="nil"/>
              <w:left w:val="nil"/>
              <w:bottom w:val="single" w:sz="4" w:space="0" w:color="auto"/>
              <w:right w:val="single" w:sz="4" w:space="0" w:color="auto"/>
            </w:tcBorders>
            <w:shd w:val="clear" w:color="auto" w:fill="auto"/>
            <w:noWrap/>
            <w:vAlign w:val="center"/>
            <w:hideMark/>
          </w:tcPr>
          <w:p w14:paraId="7CDDFB67"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152</w:t>
            </w:r>
          </w:p>
        </w:tc>
        <w:tc>
          <w:tcPr>
            <w:tcW w:w="1212" w:type="pct"/>
            <w:tcBorders>
              <w:top w:val="nil"/>
              <w:left w:val="nil"/>
              <w:bottom w:val="single" w:sz="4" w:space="0" w:color="auto"/>
              <w:right w:val="single" w:sz="4" w:space="0" w:color="auto"/>
            </w:tcBorders>
            <w:shd w:val="clear" w:color="auto" w:fill="auto"/>
            <w:noWrap/>
            <w:vAlign w:val="center"/>
            <w:hideMark/>
          </w:tcPr>
          <w:p w14:paraId="6B02A270"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 (0,7 %)</w:t>
            </w:r>
          </w:p>
        </w:tc>
        <w:tc>
          <w:tcPr>
            <w:tcW w:w="938" w:type="pct"/>
            <w:tcBorders>
              <w:top w:val="nil"/>
              <w:left w:val="nil"/>
              <w:bottom w:val="single" w:sz="4" w:space="0" w:color="auto"/>
              <w:right w:val="single" w:sz="4" w:space="0" w:color="auto"/>
            </w:tcBorders>
            <w:shd w:val="clear" w:color="auto" w:fill="auto"/>
            <w:noWrap/>
            <w:vAlign w:val="center"/>
            <w:hideMark/>
          </w:tcPr>
          <w:p w14:paraId="5F1EA4FC"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0,00</w:t>
            </w:r>
          </w:p>
        </w:tc>
        <w:tc>
          <w:tcPr>
            <w:tcW w:w="1092" w:type="pct"/>
            <w:tcBorders>
              <w:top w:val="nil"/>
              <w:left w:val="nil"/>
              <w:bottom w:val="single" w:sz="4" w:space="0" w:color="auto"/>
              <w:right w:val="single" w:sz="4" w:space="0" w:color="auto"/>
            </w:tcBorders>
            <w:shd w:val="clear" w:color="auto" w:fill="auto"/>
            <w:noWrap/>
            <w:vAlign w:val="center"/>
            <w:hideMark/>
          </w:tcPr>
          <w:p w14:paraId="35AC52F4"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0,00</w:t>
            </w:r>
          </w:p>
        </w:tc>
      </w:tr>
      <w:tr w:rsidR="0004367C" w:rsidRPr="00140ED3" w14:paraId="4C4224D1" w14:textId="77777777" w:rsidTr="009F75A3">
        <w:trPr>
          <w:trHeight w:val="20"/>
        </w:trPr>
        <w:tc>
          <w:tcPr>
            <w:tcW w:w="879" w:type="pct"/>
            <w:tcBorders>
              <w:top w:val="nil"/>
              <w:left w:val="single" w:sz="4" w:space="0" w:color="auto"/>
              <w:bottom w:val="single" w:sz="4" w:space="0" w:color="auto"/>
              <w:right w:val="single" w:sz="4" w:space="0" w:color="auto"/>
            </w:tcBorders>
            <w:shd w:val="clear" w:color="auto" w:fill="auto"/>
            <w:noWrap/>
            <w:vAlign w:val="center"/>
            <w:hideMark/>
          </w:tcPr>
          <w:p w14:paraId="5D93B99F" w14:textId="77777777" w:rsidR="0004367C" w:rsidRPr="00140ED3" w:rsidRDefault="0004367C" w:rsidP="009F75A3">
            <w:pPr>
              <w:jc w:val="center"/>
              <w:rPr>
                <w:rFonts w:eastAsia="Times New Roman"/>
                <w:color w:val="000000"/>
                <w:sz w:val="20"/>
                <w:szCs w:val="20"/>
                <w:lang w:eastAsia="cs-CZ"/>
              </w:rPr>
            </w:pPr>
            <w:r w:rsidRPr="00140ED3">
              <w:rPr>
                <w:rFonts w:eastAsia="Times New Roman"/>
                <w:color w:val="000000"/>
                <w:sz w:val="20"/>
                <w:szCs w:val="20"/>
                <w:lang w:eastAsia="cs-CZ"/>
              </w:rPr>
              <w:t>2017</w:t>
            </w:r>
          </w:p>
        </w:tc>
        <w:tc>
          <w:tcPr>
            <w:tcW w:w="879" w:type="pct"/>
            <w:tcBorders>
              <w:top w:val="nil"/>
              <w:left w:val="nil"/>
              <w:bottom w:val="single" w:sz="4" w:space="0" w:color="auto"/>
              <w:right w:val="single" w:sz="4" w:space="0" w:color="auto"/>
            </w:tcBorders>
            <w:shd w:val="clear" w:color="auto" w:fill="auto"/>
            <w:noWrap/>
            <w:vAlign w:val="center"/>
            <w:hideMark/>
          </w:tcPr>
          <w:p w14:paraId="0744E560"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146</w:t>
            </w:r>
          </w:p>
        </w:tc>
        <w:tc>
          <w:tcPr>
            <w:tcW w:w="1212" w:type="pct"/>
            <w:tcBorders>
              <w:top w:val="nil"/>
              <w:left w:val="nil"/>
              <w:bottom w:val="single" w:sz="4" w:space="0" w:color="auto"/>
              <w:right w:val="single" w:sz="4" w:space="0" w:color="auto"/>
            </w:tcBorders>
            <w:shd w:val="clear" w:color="auto" w:fill="auto"/>
            <w:noWrap/>
            <w:vAlign w:val="center"/>
            <w:hideMark/>
          </w:tcPr>
          <w:p w14:paraId="79205AD4"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2 (1,4 %)</w:t>
            </w:r>
          </w:p>
        </w:tc>
        <w:tc>
          <w:tcPr>
            <w:tcW w:w="938" w:type="pct"/>
            <w:tcBorders>
              <w:top w:val="nil"/>
              <w:left w:val="nil"/>
              <w:bottom w:val="single" w:sz="4" w:space="0" w:color="auto"/>
              <w:right w:val="single" w:sz="4" w:space="0" w:color="auto"/>
            </w:tcBorders>
            <w:shd w:val="clear" w:color="auto" w:fill="auto"/>
            <w:noWrap/>
            <w:vAlign w:val="center"/>
            <w:hideMark/>
          </w:tcPr>
          <w:p w14:paraId="694977BE"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0,02</w:t>
            </w:r>
          </w:p>
        </w:tc>
        <w:tc>
          <w:tcPr>
            <w:tcW w:w="1092" w:type="pct"/>
            <w:tcBorders>
              <w:top w:val="nil"/>
              <w:left w:val="nil"/>
              <w:bottom w:val="single" w:sz="4" w:space="0" w:color="auto"/>
              <w:right w:val="single" w:sz="4" w:space="0" w:color="auto"/>
            </w:tcBorders>
            <w:shd w:val="clear" w:color="auto" w:fill="auto"/>
            <w:noWrap/>
            <w:vAlign w:val="center"/>
            <w:hideMark/>
          </w:tcPr>
          <w:p w14:paraId="42839043"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0,01</w:t>
            </w:r>
          </w:p>
        </w:tc>
      </w:tr>
      <w:tr w:rsidR="0004367C" w:rsidRPr="00140ED3" w14:paraId="1CF7A114" w14:textId="77777777" w:rsidTr="009F75A3">
        <w:trPr>
          <w:trHeight w:val="20"/>
        </w:trPr>
        <w:tc>
          <w:tcPr>
            <w:tcW w:w="879" w:type="pct"/>
            <w:tcBorders>
              <w:top w:val="nil"/>
              <w:left w:val="single" w:sz="4" w:space="0" w:color="auto"/>
              <w:bottom w:val="single" w:sz="4" w:space="0" w:color="auto"/>
              <w:right w:val="single" w:sz="4" w:space="0" w:color="auto"/>
            </w:tcBorders>
            <w:shd w:val="clear" w:color="auto" w:fill="auto"/>
            <w:noWrap/>
            <w:vAlign w:val="center"/>
            <w:hideMark/>
          </w:tcPr>
          <w:p w14:paraId="208B54E6" w14:textId="77777777" w:rsidR="0004367C" w:rsidRPr="00140ED3" w:rsidRDefault="0004367C" w:rsidP="009F75A3">
            <w:pPr>
              <w:jc w:val="center"/>
              <w:rPr>
                <w:rFonts w:eastAsia="Times New Roman"/>
                <w:color w:val="000000"/>
                <w:sz w:val="20"/>
                <w:szCs w:val="20"/>
                <w:lang w:eastAsia="cs-CZ"/>
              </w:rPr>
            </w:pPr>
            <w:r w:rsidRPr="00140ED3">
              <w:rPr>
                <w:rFonts w:eastAsia="Times New Roman"/>
                <w:color w:val="000000"/>
                <w:sz w:val="20"/>
                <w:szCs w:val="20"/>
                <w:lang w:eastAsia="cs-CZ"/>
              </w:rPr>
              <w:t>2018</w:t>
            </w:r>
          </w:p>
        </w:tc>
        <w:tc>
          <w:tcPr>
            <w:tcW w:w="879" w:type="pct"/>
            <w:tcBorders>
              <w:top w:val="nil"/>
              <w:left w:val="nil"/>
              <w:bottom w:val="single" w:sz="4" w:space="0" w:color="auto"/>
              <w:right w:val="single" w:sz="4" w:space="0" w:color="auto"/>
            </w:tcBorders>
            <w:shd w:val="clear" w:color="auto" w:fill="auto"/>
            <w:noWrap/>
            <w:vAlign w:val="center"/>
            <w:hideMark/>
          </w:tcPr>
          <w:p w14:paraId="1C44AF68"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144</w:t>
            </w:r>
          </w:p>
        </w:tc>
        <w:tc>
          <w:tcPr>
            <w:tcW w:w="1212" w:type="pct"/>
            <w:tcBorders>
              <w:top w:val="nil"/>
              <w:left w:val="nil"/>
              <w:bottom w:val="single" w:sz="4" w:space="0" w:color="auto"/>
              <w:right w:val="single" w:sz="4" w:space="0" w:color="auto"/>
            </w:tcBorders>
            <w:shd w:val="clear" w:color="auto" w:fill="auto"/>
            <w:noWrap/>
            <w:vAlign w:val="center"/>
            <w:hideMark/>
          </w:tcPr>
          <w:p w14:paraId="1209F6EF"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2 (2,1 %)</w:t>
            </w:r>
          </w:p>
        </w:tc>
        <w:tc>
          <w:tcPr>
            <w:tcW w:w="938" w:type="pct"/>
            <w:tcBorders>
              <w:top w:val="nil"/>
              <w:left w:val="nil"/>
              <w:bottom w:val="single" w:sz="4" w:space="0" w:color="auto"/>
              <w:right w:val="single" w:sz="4" w:space="0" w:color="auto"/>
            </w:tcBorders>
            <w:shd w:val="clear" w:color="auto" w:fill="auto"/>
            <w:noWrap/>
            <w:vAlign w:val="center"/>
            <w:hideMark/>
          </w:tcPr>
          <w:p w14:paraId="2352F39C"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0,10</w:t>
            </w:r>
          </w:p>
        </w:tc>
        <w:tc>
          <w:tcPr>
            <w:tcW w:w="1092" w:type="pct"/>
            <w:tcBorders>
              <w:top w:val="nil"/>
              <w:left w:val="nil"/>
              <w:bottom w:val="single" w:sz="4" w:space="0" w:color="auto"/>
              <w:right w:val="single" w:sz="4" w:space="0" w:color="auto"/>
            </w:tcBorders>
            <w:shd w:val="clear" w:color="auto" w:fill="auto"/>
            <w:noWrap/>
            <w:vAlign w:val="center"/>
            <w:hideMark/>
          </w:tcPr>
          <w:p w14:paraId="405877C5"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0,30</w:t>
            </w:r>
          </w:p>
        </w:tc>
      </w:tr>
      <w:tr w:rsidR="0004367C" w:rsidRPr="00140ED3" w14:paraId="7DFAD409" w14:textId="77777777" w:rsidTr="009F75A3">
        <w:trPr>
          <w:trHeight w:val="20"/>
        </w:trPr>
        <w:tc>
          <w:tcPr>
            <w:tcW w:w="879" w:type="pct"/>
            <w:tcBorders>
              <w:top w:val="nil"/>
              <w:left w:val="single" w:sz="4" w:space="0" w:color="auto"/>
              <w:bottom w:val="single" w:sz="4" w:space="0" w:color="auto"/>
              <w:right w:val="single" w:sz="4" w:space="0" w:color="auto"/>
            </w:tcBorders>
            <w:shd w:val="clear" w:color="auto" w:fill="auto"/>
            <w:noWrap/>
            <w:vAlign w:val="center"/>
            <w:hideMark/>
          </w:tcPr>
          <w:p w14:paraId="62EB2DF1" w14:textId="77777777" w:rsidR="0004367C" w:rsidRPr="00140ED3" w:rsidRDefault="0004367C" w:rsidP="009F75A3">
            <w:pPr>
              <w:jc w:val="center"/>
              <w:rPr>
                <w:rFonts w:eastAsia="Times New Roman"/>
                <w:color w:val="000000"/>
                <w:sz w:val="20"/>
                <w:szCs w:val="20"/>
                <w:lang w:eastAsia="cs-CZ"/>
              </w:rPr>
            </w:pPr>
            <w:r w:rsidRPr="00140ED3">
              <w:rPr>
                <w:rFonts w:eastAsia="Times New Roman"/>
                <w:color w:val="000000"/>
                <w:sz w:val="20"/>
                <w:szCs w:val="20"/>
                <w:lang w:eastAsia="cs-CZ"/>
              </w:rPr>
              <w:t>2019</w:t>
            </w:r>
          </w:p>
        </w:tc>
        <w:tc>
          <w:tcPr>
            <w:tcW w:w="879" w:type="pct"/>
            <w:tcBorders>
              <w:top w:val="nil"/>
              <w:left w:val="nil"/>
              <w:bottom w:val="single" w:sz="4" w:space="0" w:color="auto"/>
              <w:right w:val="single" w:sz="4" w:space="0" w:color="auto"/>
            </w:tcBorders>
            <w:shd w:val="clear" w:color="auto" w:fill="auto"/>
            <w:noWrap/>
            <w:vAlign w:val="center"/>
            <w:hideMark/>
          </w:tcPr>
          <w:p w14:paraId="734E60CC"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147</w:t>
            </w:r>
          </w:p>
        </w:tc>
        <w:tc>
          <w:tcPr>
            <w:tcW w:w="1212" w:type="pct"/>
            <w:tcBorders>
              <w:top w:val="nil"/>
              <w:left w:val="nil"/>
              <w:bottom w:val="single" w:sz="4" w:space="0" w:color="auto"/>
              <w:right w:val="single" w:sz="4" w:space="0" w:color="auto"/>
            </w:tcBorders>
            <w:shd w:val="clear" w:color="auto" w:fill="auto"/>
            <w:noWrap/>
            <w:vAlign w:val="center"/>
            <w:hideMark/>
          </w:tcPr>
          <w:p w14:paraId="20E461AE"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3 (2,3 %)</w:t>
            </w:r>
          </w:p>
        </w:tc>
        <w:tc>
          <w:tcPr>
            <w:tcW w:w="938" w:type="pct"/>
            <w:tcBorders>
              <w:top w:val="nil"/>
              <w:left w:val="nil"/>
              <w:bottom w:val="single" w:sz="4" w:space="0" w:color="auto"/>
              <w:right w:val="single" w:sz="4" w:space="0" w:color="auto"/>
            </w:tcBorders>
            <w:shd w:val="clear" w:color="auto" w:fill="auto"/>
            <w:noWrap/>
            <w:vAlign w:val="center"/>
            <w:hideMark/>
          </w:tcPr>
          <w:p w14:paraId="74841584"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0,02</w:t>
            </w:r>
          </w:p>
        </w:tc>
        <w:tc>
          <w:tcPr>
            <w:tcW w:w="1092" w:type="pct"/>
            <w:tcBorders>
              <w:top w:val="nil"/>
              <w:left w:val="nil"/>
              <w:bottom w:val="single" w:sz="4" w:space="0" w:color="auto"/>
              <w:right w:val="single" w:sz="4" w:space="0" w:color="auto"/>
            </w:tcBorders>
            <w:shd w:val="clear" w:color="auto" w:fill="auto"/>
            <w:noWrap/>
            <w:vAlign w:val="center"/>
            <w:hideMark/>
          </w:tcPr>
          <w:p w14:paraId="0A3A69D5"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0,01</w:t>
            </w:r>
          </w:p>
        </w:tc>
      </w:tr>
      <w:tr w:rsidR="0004367C" w:rsidRPr="00140ED3" w14:paraId="63FCE8BB" w14:textId="77777777" w:rsidTr="009F75A3">
        <w:trPr>
          <w:trHeight w:val="20"/>
        </w:trPr>
        <w:tc>
          <w:tcPr>
            <w:tcW w:w="879" w:type="pct"/>
            <w:tcBorders>
              <w:top w:val="nil"/>
              <w:left w:val="single" w:sz="4" w:space="0" w:color="auto"/>
              <w:bottom w:val="single" w:sz="4" w:space="0" w:color="auto"/>
              <w:right w:val="single" w:sz="4" w:space="0" w:color="auto"/>
            </w:tcBorders>
            <w:shd w:val="clear" w:color="auto" w:fill="auto"/>
            <w:noWrap/>
            <w:vAlign w:val="center"/>
            <w:hideMark/>
          </w:tcPr>
          <w:p w14:paraId="1AA55E4C" w14:textId="77777777" w:rsidR="0004367C" w:rsidRPr="00140ED3" w:rsidRDefault="0004367C" w:rsidP="009F75A3">
            <w:pPr>
              <w:jc w:val="center"/>
              <w:rPr>
                <w:rFonts w:eastAsia="Times New Roman"/>
                <w:color w:val="000000"/>
                <w:sz w:val="20"/>
                <w:szCs w:val="20"/>
                <w:lang w:eastAsia="cs-CZ"/>
              </w:rPr>
            </w:pPr>
            <w:r w:rsidRPr="00140ED3">
              <w:rPr>
                <w:rFonts w:eastAsia="Times New Roman"/>
                <w:color w:val="000000"/>
                <w:sz w:val="20"/>
                <w:szCs w:val="20"/>
                <w:lang w:eastAsia="cs-CZ"/>
              </w:rPr>
              <w:t>2020</w:t>
            </w:r>
          </w:p>
        </w:tc>
        <w:tc>
          <w:tcPr>
            <w:tcW w:w="879" w:type="pct"/>
            <w:tcBorders>
              <w:top w:val="nil"/>
              <w:left w:val="nil"/>
              <w:bottom w:val="single" w:sz="4" w:space="0" w:color="auto"/>
              <w:right w:val="single" w:sz="4" w:space="0" w:color="auto"/>
            </w:tcBorders>
            <w:shd w:val="clear" w:color="auto" w:fill="auto"/>
            <w:noWrap/>
            <w:vAlign w:val="center"/>
            <w:hideMark/>
          </w:tcPr>
          <w:p w14:paraId="551F5B5B"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152</w:t>
            </w:r>
          </w:p>
        </w:tc>
        <w:tc>
          <w:tcPr>
            <w:tcW w:w="1212" w:type="pct"/>
            <w:tcBorders>
              <w:top w:val="nil"/>
              <w:left w:val="nil"/>
              <w:bottom w:val="single" w:sz="4" w:space="0" w:color="auto"/>
              <w:right w:val="single" w:sz="4" w:space="0" w:color="auto"/>
            </w:tcBorders>
            <w:shd w:val="clear" w:color="auto" w:fill="auto"/>
            <w:noWrap/>
            <w:vAlign w:val="center"/>
            <w:hideMark/>
          </w:tcPr>
          <w:p w14:paraId="2F00926B"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 (0 %)</w:t>
            </w:r>
          </w:p>
        </w:tc>
        <w:tc>
          <w:tcPr>
            <w:tcW w:w="938" w:type="pct"/>
            <w:tcBorders>
              <w:top w:val="nil"/>
              <w:left w:val="nil"/>
              <w:bottom w:val="single" w:sz="4" w:space="0" w:color="auto"/>
              <w:right w:val="single" w:sz="4" w:space="0" w:color="auto"/>
            </w:tcBorders>
            <w:shd w:val="clear" w:color="auto" w:fill="auto"/>
            <w:noWrap/>
            <w:vAlign w:val="center"/>
            <w:hideMark/>
          </w:tcPr>
          <w:p w14:paraId="43FDDCFA"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0,00</w:t>
            </w:r>
          </w:p>
        </w:tc>
        <w:tc>
          <w:tcPr>
            <w:tcW w:w="1092" w:type="pct"/>
            <w:tcBorders>
              <w:top w:val="nil"/>
              <w:left w:val="nil"/>
              <w:bottom w:val="single" w:sz="4" w:space="0" w:color="auto"/>
              <w:right w:val="single" w:sz="4" w:space="0" w:color="auto"/>
            </w:tcBorders>
            <w:shd w:val="clear" w:color="auto" w:fill="auto"/>
            <w:noWrap/>
            <w:vAlign w:val="center"/>
            <w:hideMark/>
          </w:tcPr>
          <w:p w14:paraId="7D132EF2"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0,00</w:t>
            </w:r>
          </w:p>
        </w:tc>
      </w:tr>
      <w:tr w:rsidR="0004367C" w:rsidRPr="00140ED3" w14:paraId="188C5466" w14:textId="77777777" w:rsidTr="009F75A3">
        <w:trPr>
          <w:trHeight w:val="20"/>
        </w:trPr>
        <w:tc>
          <w:tcPr>
            <w:tcW w:w="879" w:type="pct"/>
            <w:tcBorders>
              <w:top w:val="nil"/>
              <w:left w:val="single" w:sz="4" w:space="0" w:color="auto"/>
              <w:bottom w:val="single" w:sz="4" w:space="0" w:color="auto"/>
              <w:right w:val="single" w:sz="4" w:space="0" w:color="auto"/>
            </w:tcBorders>
            <w:shd w:val="clear" w:color="auto" w:fill="auto"/>
            <w:noWrap/>
            <w:vAlign w:val="center"/>
            <w:hideMark/>
          </w:tcPr>
          <w:p w14:paraId="787940A5" w14:textId="77777777" w:rsidR="0004367C" w:rsidRPr="00140ED3" w:rsidRDefault="0004367C" w:rsidP="009F75A3">
            <w:pPr>
              <w:jc w:val="center"/>
              <w:rPr>
                <w:rFonts w:eastAsia="Times New Roman"/>
                <w:color w:val="000000"/>
                <w:sz w:val="20"/>
                <w:szCs w:val="20"/>
                <w:lang w:eastAsia="cs-CZ"/>
              </w:rPr>
            </w:pPr>
            <w:r w:rsidRPr="00140ED3">
              <w:rPr>
                <w:rFonts w:eastAsia="Times New Roman"/>
                <w:color w:val="000000"/>
                <w:sz w:val="20"/>
                <w:szCs w:val="20"/>
                <w:lang w:eastAsia="cs-CZ"/>
              </w:rPr>
              <w:t>2021</w:t>
            </w:r>
          </w:p>
        </w:tc>
        <w:tc>
          <w:tcPr>
            <w:tcW w:w="879" w:type="pct"/>
            <w:tcBorders>
              <w:top w:val="nil"/>
              <w:left w:val="nil"/>
              <w:bottom w:val="single" w:sz="4" w:space="0" w:color="auto"/>
              <w:right w:val="single" w:sz="4" w:space="0" w:color="auto"/>
            </w:tcBorders>
            <w:shd w:val="clear" w:color="auto" w:fill="auto"/>
            <w:noWrap/>
            <w:vAlign w:val="center"/>
            <w:hideMark/>
          </w:tcPr>
          <w:p w14:paraId="5EB1FDAA"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152</w:t>
            </w:r>
          </w:p>
        </w:tc>
        <w:tc>
          <w:tcPr>
            <w:tcW w:w="1212" w:type="pct"/>
            <w:tcBorders>
              <w:top w:val="nil"/>
              <w:left w:val="nil"/>
              <w:bottom w:val="single" w:sz="4" w:space="0" w:color="auto"/>
              <w:right w:val="single" w:sz="4" w:space="0" w:color="auto"/>
            </w:tcBorders>
            <w:shd w:val="clear" w:color="auto" w:fill="auto"/>
            <w:noWrap/>
            <w:vAlign w:val="center"/>
            <w:hideMark/>
          </w:tcPr>
          <w:p w14:paraId="6D5D492F"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 (0 %)</w:t>
            </w:r>
          </w:p>
        </w:tc>
        <w:tc>
          <w:tcPr>
            <w:tcW w:w="938" w:type="pct"/>
            <w:tcBorders>
              <w:top w:val="nil"/>
              <w:left w:val="nil"/>
              <w:bottom w:val="single" w:sz="4" w:space="0" w:color="auto"/>
              <w:right w:val="single" w:sz="4" w:space="0" w:color="auto"/>
            </w:tcBorders>
            <w:shd w:val="clear" w:color="auto" w:fill="auto"/>
            <w:noWrap/>
            <w:vAlign w:val="center"/>
            <w:hideMark/>
          </w:tcPr>
          <w:p w14:paraId="2ECD7587"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0,00</w:t>
            </w:r>
          </w:p>
        </w:tc>
        <w:tc>
          <w:tcPr>
            <w:tcW w:w="1092" w:type="pct"/>
            <w:tcBorders>
              <w:top w:val="nil"/>
              <w:left w:val="nil"/>
              <w:bottom w:val="single" w:sz="4" w:space="0" w:color="auto"/>
              <w:right w:val="single" w:sz="4" w:space="0" w:color="auto"/>
            </w:tcBorders>
            <w:shd w:val="clear" w:color="auto" w:fill="auto"/>
            <w:noWrap/>
            <w:vAlign w:val="center"/>
            <w:hideMark/>
          </w:tcPr>
          <w:p w14:paraId="1B2293C9"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0,00</w:t>
            </w:r>
          </w:p>
        </w:tc>
      </w:tr>
      <w:tr w:rsidR="0004367C" w:rsidRPr="00140ED3" w14:paraId="2D504D19" w14:textId="77777777" w:rsidTr="009F75A3">
        <w:trPr>
          <w:trHeight w:val="20"/>
        </w:trPr>
        <w:tc>
          <w:tcPr>
            <w:tcW w:w="879" w:type="pct"/>
            <w:tcBorders>
              <w:top w:val="nil"/>
              <w:left w:val="single" w:sz="4" w:space="0" w:color="auto"/>
              <w:bottom w:val="double" w:sz="4" w:space="0" w:color="auto"/>
              <w:right w:val="single" w:sz="4" w:space="0" w:color="auto"/>
            </w:tcBorders>
            <w:shd w:val="clear" w:color="auto" w:fill="auto"/>
            <w:noWrap/>
            <w:vAlign w:val="center"/>
            <w:hideMark/>
          </w:tcPr>
          <w:p w14:paraId="5A8E8061" w14:textId="77777777" w:rsidR="0004367C" w:rsidRPr="00140ED3" w:rsidRDefault="0004367C" w:rsidP="009F75A3">
            <w:pPr>
              <w:jc w:val="center"/>
              <w:rPr>
                <w:rFonts w:eastAsia="Times New Roman"/>
                <w:color w:val="000000"/>
                <w:sz w:val="20"/>
                <w:szCs w:val="20"/>
                <w:lang w:eastAsia="cs-CZ"/>
              </w:rPr>
            </w:pPr>
            <w:r w:rsidRPr="00140ED3">
              <w:rPr>
                <w:rFonts w:eastAsia="Times New Roman"/>
                <w:color w:val="000000"/>
                <w:sz w:val="20"/>
                <w:szCs w:val="20"/>
                <w:lang w:eastAsia="cs-CZ"/>
              </w:rPr>
              <w:t>2022</w:t>
            </w:r>
          </w:p>
        </w:tc>
        <w:tc>
          <w:tcPr>
            <w:tcW w:w="879" w:type="pct"/>
            <w:tcBorders>
              <w:top w:val="nil"/>
              <w:left w:val="nil"/>
              <w:bottom w:val="double" w:sz="4" w:space="0" w:color="auto"/>
              <w:right w:val="single" w:sz="4" w:space="0" w:color="auto"/>
            </w:tcBorders>
            <w:shd w:val="clear" w:color="auto" w:fill="auto"/>
            <w:noWrap/>
            <w:vAlign w:val="center"/>
            <w:hideMark/>
          </w:tcPr>
          <w:p w14:paraId="27DFF357"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161</w:t>
            </w:r>
          </w:p>
        </w:tc>
        <w:tc>
          <w:tcPr>
            <w:tcW w:w="1212" w:type="pct"/>
            <w:tcBorders>
              <w:top w:val="nil"/>
              <w:left w:val="nil"/>
              <w:bottom w:val="double" w:sz="4" w:space="0" w:color="auto"/>
              <w:right w:val="single" w:sz="4" w:space="0" w:color="auto"/>
            </w:tcBorders>
            <w:shd w:val="clear" w:color="auto" w:fill="auto"/>
            <w:noWrap/>
            <w:vAlign w:val="center"/>
            <w:hideMark/>
          </w:tcPr>
          <w:p w14:paraId="55870BDF"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 (0 %)</w:t>
            </w:r>
          </w:p>
        </w:tc>
        <w:tc>
          <w:tcPr>
            <w:tcW w:w="938" w:type="pct"/>
            <w:tcBorders>
              <w:top w:val="nil"/>
              <w:left w:val="nil"/>
              <w:bottom w:val="double" w:sz="4" w:space="0" w:color="auto"/>
              <w:right w:val="single" w:sz="4" w:space="0" w:color="auto"/>
            </w:tcBorders>
            <w:shd w:val="clear" w:color="auto" w:fill="auto"/>
            <w:noWrap/>
            <w:vAlign w:val="center"/>
            <w:hideMark/>
          </w:tcPr>
          <w:p w14:paraId="38DF5DDA"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0,00</w:t>
            </w:r>
          </w:p>
        </w:tc>
        <w:tc>
          <w:tcPr>
            <w:tcW w:w="1092" w:type="pct"/>
            <w:tcBorders>
              <w:top w:val="nil"/>
              <w:left w:val="nil"/>
              <w:bottom w:val="single" w:sz="4" w:space="0" w:color="auto"/>
              <w:right w:val="single" w:sz="4" w:space="0" w:color="auto"/>
            </w:tcBorders>
            <w:shd w:val="clear" w:color="auto" w:fill="auto"/>
            <w:noWrap/>
            <w:vAlign w:val="center"/>
            <w:hideMark/>
          </w:tcPr>
          <w:p w14:paraId="6C2046FD"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0,00</w:t>
            </w:r>
          </w:p>
        </w:tc>
      </w:tr>
      <w:tr w:rsidR="0004367C" w:rsidRPr="00140ED3" w14:paraId="6E29FDDF" w14:textId="77777777" w:rsidTr="009F75A3">
        <w:trPr>
          <w:trHeight w:val="20"/>
        </w:trPr>
        <w:tc>
          <w:tcPr>
            <w:tcW w:w="2970" w:type="pct"/>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CAA9537" w14:textId="77777777" w:rsidR="0004367C" w:rsidRPr="00140ED3" w:rsidRDefault="0004367C" w:rsidP="009F75A3">
            <w:pPr>
              <w:rPr>
                <w:rFonts w:eastAsia="Times New Roman"/>
                <w:color w:val="000000"/>
                <w:sz w:val="20"/>
                <w:szCs w:val="20"/>
                <w:lang w:eastAsia="cs-CZ"/>
              </w:rPr>
            </w:pPr>
            <w:r w:rsidRPr="00140ED3">
              <w:rPr>
                <w:rFonts w:eastAsia="Times New Roman"/>
                <w:color w:val="000000"/>
                <w:sz w:val="20"/>
                <w:szCs w:val="20"/>
                <w:lang w:eastAsia="cs-CZ"/>
              </w:rPr>
              <w:t>2013–2017</w:t>
            </w:r>
          </w:p>
        </w:tc>
        <w:tc>
          <w:tcPr>
            <w:tcW w:w="938" w:type="pct"/>
            <w:tcBorders>
              <w:top w:val="double" w:sz="4" w:space="0" w:color="auto"/>
              <w:left w:val="nil"/>
              <w:bottom w:val="single" w:sz="4" w:space="0" w:color="auto"/>
              <w:right w:val="single" w:sz="4" w:space="0" w:color="auto"/>
            </w:tcBorders>
            <w:shd w:val="clear" w:color="auto" w:fill="auto"/>
            <w:noWrap/>
            <w:vAlign w:val="center"/>
            <w:hideMark/>
          </w:tcPr>
          <w:p w14:paraId="372B56B7"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0,24</w:t>
            </w:r>
          </w:p>
        </w:tc>
        <w:tc>
          <w:tcPr>
            <w:tcW w:w="1092" w:type="pct"/>
            <w:tcBorders>
              <w:top w:val="double" w:sz="4" w:space="0" w:color="auto"/>
              <w:left w:val="nil"/>
              <w:bottom w:val="single" w:sz="4" w:space="0" w:color="auto"/>
              <w:right w:val="single" w:sz="4" w:space="0" w:color="auto"/>
            </w:tcBorders>
            <w:shd w:val="clear" w:color="auto" w:fill="auto"/>
            <w:noWrap/>
            <w:vAlign w:val="center"/>
            <w:hideMark/>
          </w:tcPr>
          <w:p w14:paraId="14AA8E83"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1,44</w:t>
            </w:r>
          </w:p>
        </w:tc>
      </w:tr>
      <w:tr w:rsidR="0004367C" w:rsidRPr="00140ED3" w14:paraId="5EBAA215" w14:textId="77777777" w:rsidTr="009F75A3">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D3C63" w14:textId="77777777" w:rsidR="0004367C" w:rsidRPr="00140ED3" w:rsidRDefault="0004367C" w:rsidP="009F75A3">
            <w:pPr>
              <w:rPr>
                <w:rFonts w:eastAsia="Times New Roman"/>
                <w:color w:val="000000"/>
                <w:sz w:val="20"/>
                <w:szCs w:val="20"/>
                <w:lang w:eastAsia="cs-CZ"/>
              </w:rPr>
            </w:pPr>
            <w:r w:rsidRPr="00140ED3">
              <w:rPr>
                <w:rFonts w:eastAsia="Times New Roman"/>
                <w:color w:val="000000"/>
                <w:sz w:val="20"/>
                <w:szCs w:val="20"/>
                <w:lang w:eastAsia="cs-CZ"/>
              </w:rPr>
              <w:t>2014–2018</w:t>
            </w:r>
          </w:p>
        </w:tc>
        <w:tc>
          <w:tcPr>
            <w:tcW w:w="938" w:type="pct"/>
            <w:tcBorders>
              <w:top w:val="nil"/>
              <w:left w:val="nil"/>
              <w:bottom w:val="single" w:sz="4" w:space="0" w:color="auto"/>
              <w:right w:val="single" w:sz="4" w:space="0" w:color="auto"/>
            </w:tcBorders>
            <w:shd w:val="clear" w:color="auto" w:fill="auto"/>
            <w:noWrap/>
            <w:vAlign w:val="center"/>
            <w:hideMark/>
          </w:tcPr>
          <w:p w14:paraId="1D027CDB"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0,12</w:t>
            </w:r>
          </w:p>
        </w:tc>
        <w:tc>
          <w:tcPr>
            <w:tcW w:w="1092" w:type="pct"/>
            <w:tcBorders>
              <w:top w:val="nil"/>
              <w:left w:val="nil"/>
              <w:bottom w:val="single" w:sz="4" w:space="0" w:color="auto"/>
              <w:right w:val="single" w:sz="4" w:space="0" w:color="auto"/>
            </w:tcBorders>
            <w:shd w:val="clear" w:color="auto" w:fill="auto"/>
            <w:noWrap/>
            <w:vAlign w:val="center"/>
            <w:hideMark/>
          </w:tcPr>
          <w:p w14:paraId="037C9DB4"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0,50</w:t>
            </w:r>
          </w:p>
        </w:tc>
      </w:tr>
      <w:tr w:rsidR="0004367C" w:rsidRPr="00140ED3" w14:paraId="3AD10187" w14:textId="77777777" w:rsidTr="009F75A3">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8F977" w14:textId="77777777" w:rsidR="0004367C" w:rsidRPr="00140ED3" w:rsidRDefault="0004367C" w:rsidP="009F75A3">
            <w:pPr>
              <w:rPr>
                <w:rFonts w:eastAsia="Times New Roman"/>
                <w:color w:val="000000"/>
                <w:sz w:val="20"/>
                <w:szCs w:val="20"/>
                <w:lang w:eastAsia="cs-CZ"/>
              </w:rPr>
            </w:pPr>
            <w:r w:rsidRPr="00140ED3">
              <w:rPr>
                <w:rFonts w:eastAsia="Times New Roman"/>
                <w:color w:val="000000"/>
                <w:sz w:val="20"/>
                <w:szCs w:val="20"/>
                <w:lang w:eastAsia="cs-CZ"/>
              </w:rPr>
              <w:t>2015–2019</w:t>
            </w:r>
          </w:p>
        </w:tc>
        <w:tc>
          <w:tcPr>
            <w:tcW w:w="938" w:type="pct"/>
            <w:tcBorders>
              <w:top w:val="nil"/>
              <w:left w:val="nil"/>
              <w:bottom w:val="single" w:sz="4" w:space="0" w:color="auto"/>
              <w:right w:val="single" w:sz="4" w:space="0" w:color="auto"/>
            </w:tcBorders>
            <w:shd w:val="clear" w:color="auto" w:fill="auto"/>
            <w:noWrap/>
            <w:vAlign w:val="center"/>
            <w:hideMark/>
          </w:tcPr>
          <w:p w14:paraId="5CB70B0B"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0,03</w:t>
            </w:r>
          </w:p>
        </w:tc>
        <w:tc>
          <w:tcPr>
            <w:tcW w:w="1092" w:type="pct"/>
            <w:tcBorders>
              <w:top w:val="nil"/>
              <w:left w:val="nil"/>
              <w:bottom w:val="single" w:sz="4" w:space="0" w:color="auto"/>
              <w:right w:val="single" w:sz="4" w:space="0" w:color="auto"/>
            </w:tcBorders>
            <w:shd w:val="clear" w:color="auto" w:fill="auto"/>
            <w:noWrap/>
            <w:vAlign w:val="center"/>
            <w:hideMark/>
          </w:tcPr>
          <w:p w14:paraId="752F8367"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0,07</w:t>
            </w:r>
          </w:p>
        </w:tc>
      </w:tr>
      <w:tr w:rsidR="0004367C" w:rsidRPr="00140ED3" w14:paraId="0A9D8A5D" w14:textId="77777777" w:rsidTr="009F75A3">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45C4D" w14:textId="77777777" w:rsidR="0004367C" w:rsidRPr="00140ED3" w:rsidRDefault="0004367C" w:rsidP="009F75A3">
            <w:pPr>
              <w:rPr>
                <w:rFonts w:eastAsia="Times New Roman"/>
                <w:color w:val="000000"/>
                <w:sz w:val="20"/>
                <w:szCs w:val="20"/>
                <w:lang w:eastAsia="cs-CZ"/>
              </w:rPr>
            </w:pPr>
            <w:r w:rsidRPr="00140ED3">
              <w:rPr>
                <w:rFonts w:eastAsia="Times New Roman"/>
                <w:color w:val="000000"/>
                <w:sz w:val="20"/>
                <w:szCs w:val="20"/>
                <w:lang w:eastAsia="cs-CZ"/>
              </w:rPr>
              <w:t>2016–2020</w:t>
            </w:r>
          </w:p>
        </w:tc>
        <w:tc>
          <w:tcPr>
            <w:tcW w:w="938" w:type="pct"/>
            <w:tcBorders>
              <w:top w:val="nil"/>
              <w:left w:val="nil"/>
              <w:bottom w:val="single" w:sz="4" w:space="0" w:color="auto"/>
              <w:right w:val="single" w:sz="4" w:space="0" w:color="auto"/>
            </w:tcBorders>
            <w:shd w:val="clear" w:color="auto" w:fill="auto"/>
            <w:noWrap/>
            <w:vAlign w:val="center"/>
            <w:hideMark/>
          </w:tcPr>
          <w:p w14:paraId="16C5E206"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0,03</w:t>
            </w:r>
          </w:p>
        </w:tc>
        <w:tc>
          <w:tcPr>
            <w:tcW w:w="1092" w:type="pct"/>
            <w:tcBorders>
              <w:top w:val="nil"/>
              <w:left w:val="nil"/>
              <w:bottom w:val="single" w:sz="4" w:space="0" w:color="auto"/>
              <w:right w:val="single" w:sz="4" w:space="0" w:color="auto"/>
            </w:tcBorders>
            <w:shd w:val="clear" w:color="auto" w:fill="auto"/>
            <w:noWrap/>
            <w:vAlign w:val="center"/>
            <w:hideMark/>
          </w:tcPr>
          <w:p w14:paraId="407CB0F5"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0,06</w:t>
            </w:r>
          </w:p>
        </w:tc>
      </w:tr>
      <w:tr w:rsidR="0004367C" w:rsidRPr="00140ED3" w14:paraId="3A8C3EE8" w14:textId="77777777" w:rsidTr="009F75A3">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1BFB7" w14:textId="77777777" w:rsidR="0004367C" w:rsidRPr="00140ED3" w:rsidRDefault="0004367C" w:rsidP="009F75A3">
            <w:pPr>
              <w:rPr>
                <w:rFonts w:eastAsia="Times New Roman"/>
                <w:color w:val="000000"/>
                <w:sz w:val="20"/>
                <w:szCs w:val="20"/>
                <w:lang w:eastAsia="cs-CZ"/>
              </w:rPr>
            </w:pPr>
            <w:r w:rsidRPr="00140ED3">
              <w:rPr>
                <w:rFonts w:eastAsia="Times New Roman"/>
                <w:color w:val="000000"/>
                <w:sz w:val="20"/>
                <w:szCs w:val="20"/>
                <w:lang w:eastAsia="cs-CZ"/>
              </w:rPr>
              <w:t>2017–2021</w:t>
            </w:r>
          </w:p>
        </w:tc>
        <w:tc>
          <w:tcPr>
            <w:tcW w:w="938" w:type="pct"/>
            <w:tcBorders>
              <w:top w:val="nil"/>
              <w:left w:val="nil"/>
              <w:bottom w:val="single" w:sz="4" w:space="0" w:color="auto"/>
              <w:right w:val="single" w:sz="4" w:space="0" w:color="auto"/>
            </w:tcBorders>
            <w:shd w:val="clear" w:color="auto" w:fill="auto"/>
            <w:noWrap/>
            <w:vAlign w:val="center"/>
            <w:hideMark/>
          </w:tcPr>
          <w:p w14:paraId="01B4B696"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0,03</w:t>
            </w:r>
          </w:p>
        </w:tc>
        <w:tc>
          <w:tcPr>
            <w:tcW w:w="1092" w:type="pct"/>
            <w:tcBorders>
              <w:top w:val="nil"/>
              <w:left w:val="nil"/>
              <w:bottom w:val="single" w:sz="4" w:space="0" w:color="auto"/>
              <w:right w:val="single" w:sz="4" w:space="0" w:color="auto"/>
            </w:tcBorders>
            <w:shd w:val="clear" w:color="auto" w:fill="auto"/>
            <w:noWrap/>
            <w:vAlign w:val="center"/>
            <w:hideMark/>
          </w:tcPr>
          <w:p w14:paraId="0CCD4993"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0,06</w:t>
            </w:r>
          </w:p>
        </w:tc>
      </w:tr>
      <w:tr w:rsidR="0004367C" w:rsidRPr="00140ED3" w14:paraId="03BD491C" w14:textId="77777777" w:rsidTr="009F75A3">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1562516" w14:textId="77777777" w:rsidR="0004367C" w:rsidRPr="00140ED3" w:rsidRDefault="0004367C" w:rsidP="009F75A3">
            <w:pPr>
              <w:rPr>
                <w:rFonts w:eastAsia="Times New Roman"/>
                <w:color w:val="000000"/>
                <w:sz w:val="20"/>
                <w:szCs w:val="20"/>
                <w:lang w:eastAsia="cs-CZ"/>
              </w:rPr>
            </w:pPr>
            <w:r w:rsidRPr="00140ED3">
              <w:rPr>
                <w:rFonts w:eastAsia="Times New Roman"/>
                <w:color w:val="000000"/>
                <w:sz w:val="20"/>
                <w:szCs w:val="20"/>
                <w:lang w:eastAsia="cs-CZ"/>
              </w:rPr>
              <w:t>2018–2022</w:t>
            </w:r>
          </w:p>
        </w:tc>
        <w:tc>
          <w:tcPr>
            <w:tcW w:w="938" w:type="pct"/>
            <w:tcBorders>
              <w:top w:val="single" w:sz="4" w:space="0" w:color="auto"/>
              <w:left w:val="nil"/>
              <w:bottom w:val="single" w:sz="4" w:space="0" w:color="auto"/>
              <w:right w:val="single" w:sz="4" w:space="0" w:color="auto"/>
            </w:tcBorders>
            <w:shd w:val="clear" w:color="auto" w:fill="auto"/>
            <w:noWrap/>
            <w:vAlign w:val="center"/>
          </w:tcPr>
          <w:p w14:paraId="50D98D3D"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0,02</w:t>
            </w:r>
          </w:p>
        </w:tc>
        <w:tc>
          <w:tcPr>
            <w:tcW w:w="1092" w:type="pct"/>
            <w:tcBorders>
              <w:top w:val="single" w:sz="4" w:space="0" w:color="auto"/>
              <w:left w:val="nil"/>
              <w:bottom w:val="single" w:sz="4" w:space="0" w:color="auto"/>
              <w:right w:val="single" w:sz="4" w:space="0" w:color="auto"/>
            </w:tcBorders>
            <w:shd w:val="clear" w:color="auto" w:fill="auto"/>
            <w:noWrap/>
            <w:vAlign w:val="center"/>
          </w:tcPr>
          <w:p w14:paraId="450C4B9B" w14:textId="77777777" w:rsidR="0004367C" w:rsidRPr="00140ED3" w:rsidRDefault="0004367C" w:rsidP="004A67B5">
            <w:pPr>
              <w:ind w:right="113"/>
              <w:jc w:val="right"/>
              <w:rPr>
                <w:rFonts w:eastAsia="Times New Roman"/>
                <w:color w:val="000000"/>
                <w:sz w:val="20"/>
                <w:szCs w:val="20"/>
                <w:lang w:eastAsia="cs-CZ"/>
              </w:rPr>
            </w:pPr>
            <w:r w:rsidRPr="00140ED3">
              <w:rPr>
                <w:rFonts w:eastAsia="Times New Roman"/>
                <w:color w:val="000000"/>
                <w:sz w:val="20"/>
                <w:szCs w:val="20"/>
                <w:lang w:eastAsia="cs-CZ"/>
              </w:rPr>
              <w:t>0,06</w:t>
            </w:r>
          </w:p>
        </w:tc>
      </w:tr>
    </w:tbl>
    <w:p w14:paraId="0FAA7BCF" w14:textId="5544B69C" w:rsidR="0004367C" w:rsidRDefault="0004367C" w:rsidP="00955553">
      <w:pPr>
        <w:pStyle w:val="Zdrojeapozn"/>
      </w:pPr>
      <w:r w:rsidRPr="00F13367">
        <w:t>Zdroj:</w:t>
      </w:r>
      <w:r w:rsidR="00F11983">
        <w:t xml:space="preserve"> </w:t>
      </w:r>
      <w:r w:rsidR="00F11983" w:rsidRPr="00296D21">
        <w:rPr>
          <w:b w:val="0"/>
        </w:rPr>
        <w:t>i</w:t>
      </w:r>
      <w:r w:rsidRPr="00296D21">
        <w:rPr>
          <w:b w:val="0"/>
        </w:rPr>
        <w:t>nformace MŽP a ČHMÚ.</w:t>
      </w:r>
    </w:p>
    <w:p w14:paraId="20FED1B9" w14:textId="5373B0C8" w:rsidR="0004367C" w:rsidRPr="000352E0" w:rsidRDefault="0004367C" w:rsidP="000352E0">
      <w:pPr>
        <w:spacing w:before="120" w:after="40"/>
        <w:rPr>
          <w:b/>
        </w:rPr>
      </w:pPr>
      <w:r w:rsidRPr="000352E0">
        <w:rPr>
          <w:b/>
        </w:rPr>
        <w:t>Tabulk</w:t>
      </w:r>
      <w:r w:rsidR="00885A90">
        <w:rPr>
          <w:b/>
        </w:rPr>
        <w:t xml:space="preserve">a č. 4: </w:t>
      </w:r>
      <w:r w:rsidRPr="000352E0">
        <w:rPr>
          <w:b/>
        </w:rPr>
        <w:t>Nedodržení IL pro průměrnou roční koncentraci PM</w:t>
      </w:r>
      <w:r w:rsidRPr="000352E0">
        <w:rPr>
          <w:b/>
          <w:vertAlign w:val="subscript"/>
        </w:rPr>
        <w:t>2,5</w:t>
      </w:r>
      <w:r w:rsidRPr="000352E0">
        <w:rPr>
          <w:b/>
        </w:rPr>
        <w:t xml:space="preserve"> v letech 2013–2022</w:t>
      </w:r>
    </w:p>
    <w:tbl>
      <w:tblPr>
        <w:tblW w:w="5000" w:type="pct"/>
        <w:tblCellMar>
          <w:left w:w="70" w:type="dxa"/>
          <w:right w:w="70" w:type="dxa"/>
        </w:tblCellMar>
        <w:tblLook w:val="04A0" w:firstRow="1" w:lastRow="0" w:firstColumn="1" w:lastColumn="0" w:noHBand="0" w:noVBand="1"/>
      </w:tblPr>
      <w:tblGrid>
        <w:gridCol w:w="1281"/>
        <w:gridCol w:w="488"/>
        <w:gridCol w:w="794"/>
        <w:gridCol w:w="1769"/>
        <w:gridCol w:w="1771"/>
        <w:gridCol w:w="1368"/>
        <w:gridCol w:w="1591"/>
      </w:tblGrid>
      <w:tr w:rsidR="000352E0" w:rsidRPr="006064AB" w14:paraId="3AF28414" w14:textId="77777777" w:rsidTr="000352E0">
        <w:trPr>
          <w:trHeight w:val="20"/>
        </w:trPr>
        <w:tc>
          <w:tcPr>
            <w:tcW w:w="70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C07242" w14:textId="4CD59916" w:rsidR="000352E0" w:rsidRPr="006064AB" w:rsidRDefault="000352E0" w:rsidP="009F75A3">
            <w:pPr>
              <w:jc w:val="center"/>
              <w:rPr>
                <w:rFonts w:eastAsia="Times New Roman"/>
                <w:b/>
                <w:bCs/>
                <w:sz w:val="20"/>
                <w:szCs w:val="20"/>
                <w:lang w:eastAsia="cs-CZ"/>
              </w:rPr>
            </w:pPr>
            <w:r w:rsidRPr="006064AB">
              <w:rPr>
                <w:rFonts w:eastAsia="Times New Roman"/>
                <w:b/>
                <w:bCs/>
                <w:sz w:val="20"/>
                <w:szCs w:val="20"/>
                <w:lang w:eastAsia="cs-CZ"/>
              </w:rPr>
              <w:t>Rok</w:t>
            </w:r>
            <w:r w:rsidRPr="00140ED3">
              <w:rPr>
                <w:rFonts w:eastAsia="Times New Roman"/>
                <w:b/>
                <w:bCs/>
                <w:sz w:val="20"/>
                <w:szCs w:val="20"/>
                <w:lang w:eastAsia="cs-CZ"/>
              </w:rPr>
              <w:t xml:space="preserve"> /</w:t>
            </w:r>
            <w:r>
              <w:rPr>
                <w:rFonts w:eastAsia="Times New Roman"/>
                <w:b/>
                <w:bCs/>
                <w:sz w:val="20"/>
                <w:szCs w:val="20"/>
                <w:lang w:eastAsia="cs-CZ"/>
              </w:rPr>
              <w:t xml:space="preserve"> </w:t>
            </w:r>
            <w:r w:rsidRPr="00140ED3">
              <w:rPr>
                <w:rFonts w:eastAsia="Times New Roman"/>
                <w:b/>
                <w:bCs/>
                <w:sz w:val="20"/>
                <w:szCs w:val="20"/>
                <w:lang w:eastAsia="cs-CZ"/>
              </w:rPr>
              <w:t>pětiletý průměr</w:t>
            </w:r>
          </w:p>
        </w:tc>
        <w:tc>
          <w:tcPr>
            <w:tcW w:w="707" w:type="pct"/>
            <w:gridSpan w:val="2"/>
            <w:tcBorders>
              <w:top w:val="single" w:sz="4" w:space="0" w:color="auto"/>
              <w:left w:val="nil"/>
              <w:bottom w:val="single" w:sz="4" w:space="0" w:color="auto"/>
              <w:right w:val="single" w:sz="4" w:space="0" w:color="auto"/>
            </w:tcBorders>
            <w:shd w:val="clear" w:color="auto" w:fill="F2F2F2"/>
            <w:vAlign w:val="center"/>
            <w:hideMark/>
          </w:tcPr>
          <w:p w14:paraId="73EC35D3" w14:textId="77777777" w:rsidR="000352E0" w:rsidRPr="006064AB" w:rsidRDefault="000352E0" w:rsidP="009F75A3">
            <w:pPr>
              <w:jc w:val="center"/>
              <w:rPr>
                <w:rFonts w:eastAsia="Times New Roman"/>
                <w:b/>
                <w:bCs/>
                <w:sz w:val="20"/>
                <w:szCs w:val="20"/>
                <w:lang w:eastAsia="cs-CZ"/>
              </w:rPr>
            </w:pPr>
            <w:r w:rsidRPr="006064AB">
              <w:rPr>
                <w:rFonts w:eastAsia="Times New Roman"/>
                <w:b/>
                <w:bCs/>
                <w:sz w:val="20"/>
                <w:szCs w:val="20"/>
                <w:lang w:eastAsia="cs-CZ"/>
              </w:rPr>
              <w:t>Celkem stanic</w:t>
            </w:r>
          </w:p>
        </w:tc>
        <w:tc>
          <w:tcPr>
            <w:tcW w:w="976" w:type="pct"/>
            <w:tcBorders>
              <w:top w:val="single" w:sz="4" w:space="0" w:color="auto"/>
              <w:left w:val="nil"/>
              <w:bottom w:val="single" w:sz="4" w:space="0" w:color="auto"/>
              <w:right w:val="nil"/>
            </w:tcBorders>
            <w:shd w:val="clear" w:color="auto" w:fill="F2F2F2"/>
          </w:tcPr>
          <w:p w14:paraId="24DC6AE0" w14:textId="77777777" w:rsidR="000352E0" w:rsidRPr="006064AB" w:rsidRDefault="000352E0" w:rsidP="004A67B5">
            <w:pPr>
              <w:jc w:val="center"/>
              <w:rPr>
                <w:rFonts w:eastAsia="Times New Roman"/>
                <w:b/>
                <w:bCs/>
                <w:sz w:val="20"/>
                <w:szCs w:val="20"/>
                <w:lang w:eastAsia="cs-CZ"/>
              </w:rPr>
            </w:pPr>
          </w:p>
        </w:tc>
        <w:tc>
          <w:tcPr>
            <w:tcW w:w="977" w:type="pct"/>
            <w:tcBorders>
              <w:top w:val="single" w:sz="4" w:space="0" w:color="auto"/>
              <w:left w:val="nil"/>
              <w:bottom w:val="single" w:sz="4" w:space="0" w:color="auto"/>
              <w:right w:val="single" w:sz="4" w:space="0" w:color="auto"/>
            </w:tcBorders>
            <w:shd w:val="clear" w:color="auto" w:fill="F2F2F2"/>
            <w:vAlign w:val="center"/>
            <w:hideMark/>
          </w:tcPr>
          <w:p w14:paraId="0B03769B" w14:textId="33281C8F" w:rsidR="000352E0" w:rsidRPr="006064AB" w:rsidRDefault="000352E0" w:rsidP="004A67B5">
            <w:pPr>
              <w:jc w:val="center"/>
              <w:rPr>
                <w:rFonts w:eastAsia="Times New Roman"/>
                <w:b/>
                <w:bCs/>
                <w:sz w:val="20"/>
                <w:szCs w:val="20"/>
                <w:lang w:eastAsia="cs-CZ"/>
              </w:rPr>
            </w:pPr>
            <w:r w:rsidRPr="006064AB">
              <w:rPr>
                <w:rFonts w:eastAsia="Times New Roman"/>
                <w:b/>
                <w:bCs/>
                <w:sz w:val="20"/>
                <w:szCs w:val="20"/>
                <w:lang w:eastAsia="cs-CZ"/>
              </w:rPr>
              <w:t>Počet (podíl) stanic</w:t>
            </w:r>
            <w:r>
              <w:rPr>
                <w:rFonts w:eastAsia="Times New Roman"/>
                <w:b/>
                <w:bCs/>
                <w:sz w:val="20"/>
                <w:szCs w:val="20"/>
                <w:lang w:eastAsia="cs-CZ"/>
              </w:rPr>
              <w:t xml:space="preserve"> </w:t>
            </w:r>
            <w:r w:rsidRPr="006064AB">
              <w:rPr>
                <w:rFonts w:eastAsia="Times New Roman"/>
                <w:b/>
                <w:bCs/>
                <w:sz w:val="20"/>
                <w:szCs w:val="20"/>
                <w:lang w:eastAsia="cs-CZ"/>
              </w:rPr>
              <w:t>s</w:t>
            </w:r>
            <w:r>
              <w:rPr>
                <w:rFonts w:eastAsia="Times New Roman"/>
                <w:b/>
                <w:bCs/>
                <w:sz w:val="20"/>
                <w:szCs w:val="20"/>
                <w:lang w:eastAsia="cs-CZ"/>
              </w:rPr>
              <w:t> </w:t>
            </w:r>
            <w:r w:rsidRPr="006064AB">
              <w:rPr>
                <w:rFonts w:eastAsia="Times New Roman"/>
                <w:b/>
                <w:bCs/>
                <w:sz w:val="20"/>
                <w:szCs w:val="20"/>
                <w:lang w:eastAsia="cs-CZ"/>
              </w:rPr>
              <w:t xml:space="preserve">nedodrženým </w:t>
            </w:r>
            <w:r>
              <w:rPr>
                <w:rFonts w:eastAsia="Times New Roman"/>
                <w:b/>
                <w:bCs/>
                <w:sz w:val="20"/>
                <w:szCs w:val="20"/>
                <w:lang w:eastAsia="cs-CZ"/>
              </w:rPr>
              <w:t>IL</w:t>
            </w:r>
          </w:p>
        </w:tc>
        <w:tc>
          <w:tcPr>
            <w:tcW w:w="755" w:type="pct"/>
            <w:tcBorders>
              <w:top w:val="single" w:sz="4" w:space="0" w:color="auto"/>
              <w:left w:val="nil"/>
              <w:bottom w:val="single" w:sz="4" w:space="0" w:color="auto"/>
              <w:right w:val="single" w:sz="4" w:space="0" w:color="auto"/>
            </w:tcBorders>
            <w:shd w:val="clear" w:color="auto" w:fill="F2F2F2"/>
            <w:vAlign w:val="center"/>
            <w:hideMark/>
          </w:tcPr>
          <w:p w14:paraId="0889A339" w14:textId="58DEE8BE" w:rsidR="000352E0" w:rsidRPr="006064AB" w:rsidRDefault="000352E0" w:rsidP="004A67B5">
            <w:pPr>
              <w:jc w:val="center"/>
              <w:rPr>
                <w:rFonts w:eastAsia="Times New Roman"/>
                <w:b/>
                <w:bCs/>
                <w:sz w:val="20"/>
                <w:szCs w:val="20"/>
                <w:lang w:eastAsia="cs-CZ"/>
              </w:rPr>
            </w:pPr>
            <w:r w:rsidRPr="006064AB">
              <w:rPr>
                <w:rFonts w:eastAsia="Times New Roman"/>
                <w:b/>
                <w:bCs/>
                <w:sz w:val="20"/>
                <w:szCs w:val="20"/>
                <w:lang w:eastAsia="cs-CZ"/>
              </w:rPr>
              <w:t>Zasažená plocha</w:t>
            </w:r>
            <w:r>
              <w:rPr>
                <w:rFonts w:eastAsia="Times New Roman"/>
                <w:b/>
                <w:bCs/>
                <w:sz w:val="20"/>
                <w:szCs w:val="20"/>
                <w:lang w:eastAsia="cs-CZ"/>
              </w:rPr>
              <w:t xml:space="preserve"> </w:t>
            </w:r>
            <w:r>
              <w:rPr>
                <w:rFonts w:eastAsia="Times New Roman"/>
                <w:b/>
                <w:bCs/>
                <w:sz w:val="20"/>
                <w:szCs w:val="20"/>
                <w:lang w:eastAsia="cs-CZ"/>
              </w:rPr>
              <w:br/>
              <w:t xml:space="preserve">území ČR </w:t>
            </w:r>
            <w:r w:rsidRPr="00140ED3">
              <w:rPr>
                <w:rFonts w:eastAsia="Times New Roman"/>
                <w:b/>
                <w:bCs/>
                <w:sz w:val="20"/>
                <w:szCs w:val="20"/>
                <w:lang w:val="en-GB" w:eastAsia="cs-CZ"/>
              </w:rPr>
              <w:t>[</w:t>
            </w:r>
            <w:r w:rsidRPr="00140ED3">
              <w:rPr>
                <w:rFonts w:eastAsia="Times New Roman"/>
                <w:b/>
                <w:bCs/>
                <w:sz w:val="20"/>
                <w:szCs w:val="20"/>
                <w:lang w:eastAsia="cs-CZ"/>
              </w:rPr>
              <w:t>%</w:t>
            </w:r>
            <w:r w:rsidRPr="00140ED3">
              <w:rPr>
                <w:rFonts w:eastAsia="Times New Roman"/>
                <w:b/>
                <w:bCs/>
                <w:sz w:val="20"/>
                <w:szCs w:val="20"/>
                <w:lang w:val="en-GB" w:eastAsia="cs-CZ"/>
              </w:rPr>
              <w:t>]</w:t>
            </w:r>
          </w:p>
        </w:tc>
        <w:tc>
          <w:tcPr>
            <w:tcW w:w="878" w:type="pct"/>
            <w:tcBorders>
              <w:top w:val="single" w:sz="4" w:space="0" w:color="auto"/>
              <w:left w:val="nil"/>
              <w:bottom w:val="single" w:sz="4" w:space="0" w:color="auto"/>
              <w:right w:val="single" w:sz="4" w:space="0" w:color="auto"/>
            </w:tcBorders>
            <w:shd w:val="clear" w:color="auto" w:fill="F2F2F2"/>
            <w:vAlign w:val="center"/>
            <w:hideMark/>
          </w:tcPr>
          <w:p w14:paraId="089AEFE9" w14:textId="2A144763" w:rsidR="000352E0" w:rsidRPr="006064AB" w:rsidRDefault="000352E0" w:rsidP="004A67B5">
            <w:pPr>
              <w:jc w:val="center"/>
              <w:rPr>
                <w:rFonts w:eastAsia="Times New Roman"/>
                <w:b/>
                <w:bCs/>
                <w:sz w:val="20"/>
                <w:szCs w:val="20"/>
                <w:lang w:eastAsia="cs-CZ"/>
              </w:rPr>
            </w:pPr>
            <w:r w:rsidRPr="006064AB">
              <w:rPr>
                <w:rFonts w:eastAsia="Times New Roman"/>
                <w:b/>
                <w:bCs/>
                <w:sz w:val="20"/>
                <w:szCs w:val="20"/>
                <w:lang w:eastAsia="cs-CZ"/>
              </w:rPr>
              <w:t xml:space="preserve">Zasaženo </w:t>
            </w:r>
            <w:r>
              <w:rPr>
                <w:rFonts w:eastAsia="Times New Roman"/>
                <w:b/>
                <w:bCs/>
                <w:sz w:val="20"/>
                <w:szCs w:val="20"/>
                <w:lang w:eastAsia="cs-CZ"/>
              </w:rPr>
              <w:br/>
            </w:r>
            <w:r w:rsidRPr="006064AB">
              <w:rPr>
                <w:rFonts w:eastAsia="Times New Roman"/>
                <w:b/>
                <w:bCs/>
                <w:sz w:val="20"/>
                <w:szCs w:val="20"/>
                <w:lang w:eastAsia="cs-CZ"/>
              </w:rPr>
              <w:t>obyvatel</w:t>
            </w:r>
            <w:r>
              <w:rPr>
                <w:rFonts w:eastAsia="Times New Roman"/>
                <w:b/>
                <w:bCs/>
                <w:sz w:val="20"/>
                <w:szCs w:val="20"/>
                <w:lang w:eastAsia="cs-CZ"/>
              </w:rPr>
              <w:t xml:space="preserve"> ČR </w:t>
            </w:r>
            <w:r w:rsidRPr="00140ED3">
              <w:rPr>
                <w:rFonts w:eastAsia="Times New Roman"/>
                <w:b/>
                <w:bCs/>
                <w:sz w:val="20"/>
                <w:szCs w:val="20"/>
                <w:lang w:val="en-GB" w:eastAsia="cs-CZ"/>
              </w:rPr>
              <w:t>[</w:t>
            </w:r>
            <w:r w:rsidRPr="00140ED3">
              <w:rPr>
                <w:rFonts w:eastAsia="Times New Roman"/>
                <w:b/>
                <w:bCs/>
                <w:sz w:val="20"/>
                <w:szCs w:val="20"/>
                <w:lang w:eastAsia="cs-CZ"/>
              </w:rPr>
              <w:t>%</w:t>
            </w:r>
            <w:r w:rsidRPr="00140ED3">
              <w:rPr>
                <w:rFonts w:eastAsia="Times New Roman"/>
                <w:b/>
                <w:bCs/>
                <w:sz w:val="20"/>
                <w:szCs w:val="20"/>
                <w:lang w:val="en-GB" w:eastAsia="cs-CZ"/>
              </w:rPr>
              <w:t>]</w:t>
            </w:r>
          </w:p>
        </w:tc>
      </w:tr>
      <w:tr w:rsidR="000352E0" w:rsidRPr="006064AB" w14:paraId="06062B6E" w14:textId="77777777" w:rsidTr="000352E0">
        <w:trPr>
          <w:trHeight w:val="2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04C1C338" w14:textId="77777777" w:rsidR="000352E0" w:rsidRPr="006064AB" w:rsidRDefault="000352E0" w:rsidP="004A67B5">
            <w:pPr>
              <w:jc w:val="center"/>
              <w:rPr>
                <w:rFonts w:eastAsia="Times New Roman"/>
                <w:color w:val="000000"/>
                <w:sz w:val="20"/>
                <w:szCs w:val="20"/>
                <w:lang w:eastAsia="cs-CZ"/>
              </w:rPr>
            </w:pPr>
            <w:r w:rsidRPr="006064AB">
              <w:rPr>
                <w:rFonts w:eastAsia="Times New Roman"/>
                <w:color w:val="000000"/>
                <w:sz w:val="20"/>
                <w:szCs w:val="20"/>
                <w:lang w:eastAsia="cs-CZ"/>
              </w:rPr>
              <w:t>2013</w:t>
            </w:r>
          </w:p>
        </w:tc>
        <w:tc>
          <w:tcPr>
            <w:tcW w:w="707" w:type="pct"/>
            <w:gridSpan w:val="2"/>
            <w:tcBorders>
              <w:top w:val="nil"/>
              <w:left w:val="nil"/>
              <w:bottom w:val="single" w:sz="4" w:space="0" w:color="auto"/>
              <w:right w:val="single" w:sz="4" w:space="0" w:color="auto"/>
            </w:tcBorders>
            <w:shd w:val="clear" w:color="auto" w:fill="auto"/>
            <w:noWrap/>
            <w:vAlign w:val="center"/>
            <w:hideMark/>
          </w:tcPr>
          <w:p w14:paraId="186AE78E"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46</w:t>
            </w:r>
          </w:p>
        </w:tc>
        <w:tc>
          <w:tcPr>
            <w:tcW w:w="976" w:type="pct"/>
            <w:tcBorders>
              <w:top w:val="nil"/>
              <w:left w:val="nil"/>
              <w:bottom w:val="single" w:sz="4" w:space="0" w:color="auto"/>
              <w:right w:val="nil"/>
            </w:tcBorders>
          </w:tcPr>
          <w:p w14:paraId="1B625F7D" w14:textId="77777777" w:rsidR="000352E0" w:rsidRPr="006064AB" w:rsidRDefault="000352E0" w:rsidP="004A67B5">
            <w:pPr>
              <w:ind w:right="113"/>
              <w:jc w:val="right"/>
              <w:rPr>
                <w:rFonts w:eastAsia="Times New Roman"/>
                <w:color w:val="000000"/>
                <w:sz w:val="20"/>
                <w:szCs w:val="20"/>
                <w:lang w:eastAsia="cs-CZ"/>
              </w:rPr>
            </w:pPr>
          </w:p>
        </w:tc>
        <w:tc>
          <w:tcPr>
            <w:tcW w:w="977" w:type="pct"/>
            <w:tcBorders>
              <w:top w:val="nil"/>
              <w:left w:val="nil"/>
              <w:bottom w:val="single" w:sz="4" w:space="0" w:color="auto"/>
              <w:right w:val="single" w:sz="4" w:space="0" w:color="auto"/>
            </w:tcBorders>
            <w:shd w:val="clear" w:color="auto" w:fill="auto"/>
            <w:noWrap/>
            <w:vAlign w:val="center"/>
            <w:hideMark/>
          </w:tcPr>
          <w:p w14:paraId="5841EC81" w14:textId="36FCCD72"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9 (19,6 %)</w:t>
            </w:r>
          </w:p>
        </w:tc>
        <w:tc>
          <w:tcPr>
            <w:tcW w:w="755" w:type="pct"/>
            <w:tcBorders>
              <w:top w:val="nil"/>
              <w:left w:val="nil"/>
              <w:bottom w:val="single" w:sz="4" w:space="0" w:color="auto"/>
              <w:right w:val="single" w:sz="4" w:space="0" w:color="auto"/>
            </w:tcBorders>
            <w:shd w:val="clear" w:color="auto" w:fill="auto"/>
            <w:noWrap/>
            <w:vAlign w:val="center"/>
            <w:hideMark/>
          </w:tcPr>
          <w:p w14:paraId="741AFA5C"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2,40</w:t>
            </w:r>
          </w:p>
        </w:tc>
        <w:tc>
          <w:tcPr>
            <w:tcW w:w="878" w:type="pct"/>
            <w:tcBorders>
              <w:top w:val="nil"/>
              <w:left w:val="nil"/>
              <w:bottom w:val="single" w:sz="4" w:space="0" w:color="auto"/>
              <w:right w:val="single" w:sz="4" w:space="0" w:color="auto"/>
            </w:tcBorders>
            <w:shd w:val="clear" w:color="auto" w:fill="auto"/>
            <w:noWrap/>
            <w:vAlign w:val="center"/>
            <w:hideMark/>
          </w:tcPr>
          <w:p w14:paraId="4A039208"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9,60</w:t>
            </w:r>
          </w:p>
        </w:tc>
      </w:tr>
      <w:tr w:rsidR="000352E0" w:rsidRPr="006064AB" w14:paraId="6C837B65" w14:textId="77777777" w:rsidTr="000352E0">
        <w:trPr>
          <w:trHeight w:val="2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35BCCB5E" w14:textId="77777777" w:rsidR="000352E0" w:rsidRPr="006064AB" w:rsidRDefault="000352E0" w:rsidP="004A67B5">
            <w:pPr>
              <w:jc w:val="center"/>
              <w:rPr>
                <w:rFonts w:eastAsia="Times New Roman"/>
                <w:color w:val="000000"/>
                <w:sz w:val="20"/>
                <w:szCs w:val="20"/>
                <w:lang w:eastAsia="cs-CZ"/>
              </w:rPr>
            </w:pPr>
            <w:r w:rsidRPr="006064AB">
              <w:rPr>
                <w:rFonts w:eastAsia="Times New Roman"/>
                <w:color w:val="000000"/>
                <w:sz w:val="20"/>
                <w:szCs w:val="20"/>
                <w:lang w:eastAsia="cs-CZ"/>
              </w:rPr>
              <w:t>2014</w:t>
            </w:r>
          </w:p>
        </w:tc>
        <w:tc>
          <w:tcPr>
            <w:tcW w:w="707" w:type="pct"/>
            <w:gridSpan w:val="2"/>
            <w:tcBorders>
              <w:top w:val="nil"/>
              <w:left w:val="nil"/>
              <w:bottom w:val="single" w:sz="4" w:space="0" w:color="auto"/>
              <w:right w:val="single" w:sz="4" w:space="0" w:color="auto"/>
            </w:tcBorders>
            <w:shd w:val="clear" w:color="auto" w:fill="auto"/>
            <w:noWrap/>
            <w:vAlign w:val="center"/>
            <w:hideMark/>
          </w:tcPr>
          <w:p w14:paraId="26D295AA"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52</w:t>
            </w:r>
          </w:p>
        </w:tc>
        <w:tc>
          <w:tcPr>
            <w:tcW w:w="976" w:type="pct"/>
            <w:tcBorders>
              <w:top w:val="nil"/>
              <w:left w:val="nil"/>
              <w:bottom w:val="single" w:sz="4" w:space="0" w:color="auto"/>
              <w:right w:val="nil"/>
            </w:tcBorders>
          </w:tcPr>
          <w:p w14:paraId="2460FFB4" w14:textId="77777777" w:rsidR="000352E0" w:rsidRPr="006064AB" w:rsidRDefault="000352E0" w:rsidP="004A67B5">
            <w:pPr>
              <w:ind w:right="113"/>
              <w:jc w:val="right"/>
              <w:rPr>
                <w:rFonts w:eastAsia="Times New Roman"/>
                <w:color w:val="000000"/>
                <w:sz w:val="20"/>
                <w:szCs w:val="20"/>
                <w:lang w:eastAsia="cs-CZ"/>
              </w:rPr>
            </w:pPr>
          </w:p>
        </w:tc>
        <w:tc>
          <w:tcPr>
            <w:tcW w:w="977" w:type="pct"/>
            <w:tcBorders>
              <w:top w:val="nil"/>
              <w:left w:val="nil"/>
              <w:bottom w:val="single" w:sz="4" w:space="0" w:color="auto"/>
              <w:right w:val="single" w:sz="4" w:space="0" w:color="auto"/>
            </w:tcBorders>
            <w:shd w:val="clear" w:color="auto" w:fill="auto"/>
            <w:noWrap/>
            <w:vAlign w:val="center"/>
            <w:hideMark/>
          </w:tcPr>
          <w:p w14:paraId="77C45D4B" w14:textId="27F6066B"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8 (15,4 %)</w:t>
            </w:r>
          </w:p>
        </w:tc>
        <w:tc>
          <w:tcPr>
            <w:tcW w:w="755" w:type="pct"/>
            <w:tcBorders>
              <w:top w:val="nil"/>
              <w:left w:val="nil"/>
              <w:bottom w:val="single" w:sz="4" w:space="0" w:color="auto"/>
              <w:right w:val="single" w:sz="4" w:space="0" w:color="auto"/>
            </w:tcBorders>
            <w:shd w:val="clear" w:color="auto" w:fill="auto"/>
            <w:noWrap/>
            <w:vAlign w:val="center"/>
            <w:hideMark/>
          </w:tcPr>
          <w:p w14:paraId="433BEB79"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1,80</w:t>
            </w:r>
          </w:p>
        </w:tc>
        <w:tc>
          <w:tcPr>
            <w:tcW w:w="878" w:type="pct"/>
            <w:tcBorders>
              <w:top w:val="nil"/>
              <w:left w:val="nil"/>
              <w:bottom w:val="single" w:sz="4" w:space="0" w:color="auto"/>
              <w:right w:val="single" w:sz="4" w:space="0" w:color="auto"/>
            </w:tcBorders>
            <w:shd w:val="clear" w:color="auto" w:fill="auto"/>
            <w:noWrap/>
            <w:vAlign w:val="center"/>
            <w:hideMark/>
          </w:tcPr>
          <w:p w14:paraId="6CC56A14"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8,60</w:t>
            </w:r>
          </w:p>
        </w:tc>
      </w:tr>
      <w:tr w:rsidR="000352E0" w:rsidRPr="006064AB" w14:paraId="2710BDA3" w14:textId="77777777" w:rsidTr="000352E0">
        <w:trPr>
          <w:trHeight w:val="2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0B21D4E5" w14:textId="77777777" w:rsidR="000352E0" w:rsidRPr="006064AB" w:rsidRDefault="000352E0" w:rsidP="004A67B5">
            <w:pPr>
              <w:jc w:val="center"/>
              <w:rPr>
                <w:rFonts w:eastAsia="Times New Roman"/>
                <w:color w:val="000000"/>
                <w:sz w:val="20"/>
                <w:szCs w:val="20"/>
                <w:lang w:eastAsia="cs-CZ"/>
              </w:rPr>
            </w:pPr>
            <w:r w:rsidRPr="006064AB">
              <w:rPr>
                <w:rFonts w:eastAsia="Times New Roman"/>
                <w:color w:val="000000"/>
                <w:sz w:val="20"/>
                <w:szCs w:val="20"/>
                <w:lang w:eastAsia="cs-CZ"/>
              </w:rPr>
              <w:t>2015</w:t>
            </w:r>
          </w:p>
        </w:tc>
        <w:tc>
          <w:tcPr>
            <w:tcW w:w="707" w:type="pct"/>
            <w:gridSpan w:val="2"/>
            <w:tcBorders>
              <w:top w:val="nil"/>
              <w:left w:val="nil"/>
              <w:bottom w:val="single" w:sz="4" w:space="0" w:color="auto"/>
              <w:right w:val="single" w:sz="4" w:space="0" w:color="auto"/>
            </w:tcBorders>
            <w:shd w:val="clear" w:color="auto" w:fill="auto"/>
            <w:noWrap/>
            <w:vAlign w:val="center"/>
            <w:hideMark/>
          </w:tcPr>
          <w:p w14:paraId="2BF10AC4"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48</w:t>
            </w:r>
          </w:p>
        </w:tc>
        <w:tc>
          <w:tcPr>
            <w:tcW w:w="976" w:type="pct"/>
            <w:tcBorders>
              <w:top w:val="nil"/>
              <w:left w:val="nil"/>
              <w:bottom w:val="single" w:sz="4" w:space="0" w:color="auto"/>
              <w:right w:val="nil"/>
            </w:tcBorders>
          </w:tcPr>
          <w:p w14:paraId="4CBB2497" w14:textId="77777777" w:rsidR="000352E0" w:rsidRPr="006064AB" w:rsidRDefault="000352E0" w:rsidP="004A67B5">
            <w:pPr>
              <w:ind w:right="113"/>
              <w:jc w:val="right"/>
              <w:rPr>
                <w:rFonts w:eastAsia="Times New Roman"/>
                <w:color w:val="000000"/>
                <w:sz w:val="20"/>
                <w:szCs w:val="20"/>
                <w:lang w:eastAsia="cs-CZ"/>
              </w:rPr>
            </w:pPr>
          </w:p>
        </w:tc>
        <w:tc>
          <w:tcPr>
            <w:tcW w:w="977" w:type="pct"/>
            <w:tcBorders>
              <w:top w:val="nil"/>
              <w:left w:val="nil"/>
              <w:bottom w:val="single" w:sz="4" w:space="0" w:color="auto"/>
              <w:right w:val="single" w:sz="4" w:space="0" w:color="auto"/>
            </w:tcBorders>
            <w:shd w:val="clear" w:color="auto" w:fill="auto"/>
            <w:noWrap/>
            <w:vAlign w:val="center"/>
            <w:hideMark/>
          </w:tcPr>
          <w:p w14:paraId="5936D62C" w14:textId="383E6526"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 (10,4 %)</w:t>
            </w:r>
          </w:p>
        </w:tc>
        <w:tc>
          <w:tcPr>
            <w:tcW w:w="755" w:type="pct"/>
            <w:tcBorders>
              <w:top w:val="nil"/>
              <w:left w:val="nil"/>
              <w:bottom w:val="single" w:sz="4" w:space="0" w:color="auto"/>
              <w:right w:val="single" w:sz="4" w:space="0" w:color="auto"/>
            </w:tcBorders>
            <w:shd w:val="clear" w:color="auto" w:fill="auto"/>
            <w:noWrap/>
            <w:vAlign w:val="center"/>
            <w:hideMark/>
          </w:tcPr>
          <w:p w14:paraId="27C32F13"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0,90</w:t>
            </w:r>
          </w:p>
        </w:tc>
        <w:tc>
          <w:tcPr>
            <w:tcW w:w="878" w:type="pct"/>
            <w:tcBorders>
              <w:top w:val="nil"/>
              <w:left w:val="nil"/>
              <w:bottom w:val="single" w:sz="4" w:space="0" w:color="auto"/>
              <w:right w:val="single" w:sz="4" w:space="0" w:color="auto"/>
            </w:tcBorders>
            <w:shd w:val="clear" w:color="auto" w:fill="auto"/>
            <w:noWrap/>
            <w:vAlign w:val="center"/>
            <w:hideMark/>
          </w:tcPr>
          <w:p w14:paraId="05F1C49F"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5,10</w:t>
            </w:r>
          </w:p>
        </w:tc>
      </w:tr>
      <w:tr w:rsidR="000352E0" w:rsidRPr="006064AB" w14:paraId="59DFE625" w14:textId="77777777" w:rsidTr="000352E0">
        <w:trPr>
          <w:trHeight w:val="2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4847E0B2" w14:textId="77777777" w:rsidR="000352E0" w:rsidRPr="006064AB" w:rsidRDefault="000352E0" w:rsidP="004A67B5">
            <w:pPr>
              <w:jc w:val="center"/>
              <w:rPr>
                <w:rFonts w:eastAsia="Times New Roman"/>
                <w:color w:val="000000"/>
                <w:sz w:val="20"/>
                <w:szCs w:val="20"/>
                <w:lang w:eastAsia="cs-CZ"/>
              </w:rPr>
            </w:pPr>
            <w:r w:rsidRPr="006064AB">
              <w:rPr>
                <w:rFonts w:eastAsia="Times New Roman"/>
                <w:color w:val="000000"/>
                <w:sz w:val="20"/>
                <w:szCs w:val="20"/>
                <w:lang w:eastAsia="cs-CZ"/>
              </w:rPr>
              <w:t>2016</w:t>
            </w:r>
          </w:p>
        </w:tc>
        <w:tc>
          <w:tcPr>
            <w:tcW w:w="707" w:type="pct"/>
            <w:gridSpan w:val="2"/>
            <w:tcBorders>
              <w:top w:val="nil"/>
              <w:left w:val="nil"/>
              <w:bottom w:val="single" w:sz="4" w:space="0" w:color="auto"/>
              <w:right w:val="single" w:sz="4" w:space="0" w:color="auto"/>
            </w:tcBorders>
            <w:shd w:val="clear" w:color="auto" w:fill="auto"/>
            <w:noWrap/>
            <w:vAlign w:val="center"/>
            <w:hideMark/>
          </w:tcPr>
          <w:p w14:paraId="0883D546"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81</w:t>
            </w:r>
          </w:p>
        </w:tc>
        <w:tc>
          <w:tcPr>
            <w:tcW w:w="976" w:type="pct"/>
            <w:tcBorders>
              <w:top w:val="nil"/>
              <w:left w:val="nil"/>
              <w:bottom w:val="single" w:sz="4" w:space="0" w:color="auto"/>
              <w:right w:val="nil"/>
            </w:tcBorders>
          </w:tcPr>
          <w:p w14:paraId="026D3487" w14:textId="77777777" w:rsidR="000352E0" w:rsidRPr="006064AB" w:rsidRDefault="000352E0" w:rsidP="004A67B5">
            <w:pPr>
              <w:ind w:right="113"/>
              <w:jc w:val="right"/>
              <w:rPr>
                <w:rFonts w:eastAsia="Times New Roman"/>
                <w:color w:val="000000"/>
                <w:sz w:val="20"/>
                <w:szCs w:val="20"/>
                <w:lang w:eastAsia="cs-CZ"/>
              </w:rPr>
            </w:pPr>
          </w:p>
        </w:tc>
        <w:tc>
          <w:tcPr>
            <w:tcW w:w="977" w:type="pct"/>
            <w:tcBorders>
              <w:top w:val="nil"/>
              <w:left w:val="nil"/>
              <w:bottom w:val="single" w:sz="4" w:space="0" w:color="auto"/>
              <w:right w:val="single" w:sz="4" w:space="0" w:color="auto"/>
            </w:tcBorders>
            <w:shd w:val="clear" w:color="auto" w:fill="auto"/>
            <w:noWrap/>
            <w:vAlign w:val="center"/>
            <w:hideMark/>
          </w:tcPr>
          <w:p w14:paraId="44999248" w14:textId="4277A121"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9 (11,1 %)</w:t>
            </w:r>
          </w:p>
        </w:tc>
        <w:tc>
          <w:tcPr>
            <w:tcW w:w="755" w:type="pct"/>
            <w:tcBorders>
              <w:top w:val="nil"/>
              <w:left w:val="nil"/>
              <w:bottom w:val="single" w:sz="4" w:space="0" w:color="auto"/>
              <w:right w:val="single" w:sz="4" w:space="0" w:color="auto"/>
            </w:tcBorders>
            <w:shd w:val="clear" w:color="auto" w:fill="auto"/>
            <w:noWrap/>
            <w:vAlign w:val="center"/>
            <w:hideMark/>
          </w:tcPr>
          <w:p w14:paraId="528DA24E"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0,50</w:t>
            </w:r>
          </w:p>
        </w:tc>
        <w:tc>
          <w:tcPr>
            <w:tcW w:w="878" w:type="pct"/>
            <w:tcBorders>
              <w:top w:val="nil"/>
              <w:left w:val="nil"/>
              <w:bottom w:val="single" w:sz="4" w:space="0" w:color="auto"/>
              <w:right w:val="single" w:sz="4" w:space="0" w:color="auto"/>
            </w:tcBorders>
            <w:shd w:val="clear" w:color="auto" w:fill="auto"/>
            <w:noWrap/>
            <w:vAlign w:val="center"/>
            <w:hideMark/>
          </w:tcPr>
          <w:p w14:paraId="1E98757C"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3,00</w:t>
            </w:r>
          </w:p>
        </w:tc>
      </w:tr>
      <w:tr w:rsidR="000352E0" w:rsidRPr="006064AB" w14:paraId="6D4BA19C" w14:textId="77777777" w:rsidTr="000352E0">
        <w:trPr>
          <w:trHeight w:val="2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7D8CF9F2" w14:textId="77777777" w:rsidR="000352E0" w:rsidRPr="006064AB" w:rsidRDefault="000352E0" w:rsidP="004A67B5">
            <w:pPr>
              <w:jc w:val="center"/>
              <w:rPr>
                <w:rFonts w:eastAsia="Times New Roman"/>
                <w:color w:val="000000"/>
                <w:sz w:val="20"/>
                <w:szCs w:val="20"/>
                <w:lang w:eastAsia="cs-CZ"/>
              </w:rPr>
            </w:pPr>
            <w:r w:rsidRPr="006064AB">
              <w:rPr>
                <w:rFonts w:eastAsia="Times New Roman"/>
                <w:color w:val="000000"/>
                <w:sz w:val="20"/>
                <w:szCs w:val="20"/>
                <w:lang w:eastAsia="cs-CZ"/>
              </w:rPr>
              <w:t>2017</w:t>
            </w:r>
          </w:p>
        </w:tc>
        <w:tc>
          <w:tcPr>
            <w:tcW w:w="707" w:type="pct"/>
            <w:gridSpan w:val="2"/>
            <w:tcBorders>
              <w:top w:val="nil"/>
              <w:left w:val="nil"/>
              <w:bottom w:val="single" w:sz="4" w:space="0" w:color="auto"/>
              <w:right w:val="single" w:sz="4" w:space="0" w:color="auto"/>
            </w:tcBorders>
            <w:shd w:val="clear" w:color="auto" w:fill="auto"/>
            <w:noWrap/>
            <w:vAlign w:val="center"/>
            <w:hideMark/>
          </w:tcPr>
          <w:p w14:paraId="245DB752"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79</w:t>
            </w:r>
          </w:p>
        </w:tc>
        <w:tc>
          <w:tcPr>
            <w:tcW w:w="976" w:type="pct"/>
            <w:tcBorders>
              <w:top w:val="nil"/>
              <w:left w:val="nil"/>
              <w:bottom w:val="single" w:sz="4" w:space="0" w:color="auto"/>
              <w:right w:val="nil"/>
            </w:tcBorders>
          </w:tcPr>
          <w:p w14:paraId="2A0926F6" w14:textId="77777777" w:rsidR="000352E0" w:rsidRPr="006064AB" w:rsidRDefault="000352E0" w:rsidP="004A67B5">
            <w:pPr>
              <w:ind w:right="113"/>
              <w:jc w:val="right"/>
              <w:rPr>
                <w:rFonts w:eastAsia="Times New Roman"/>
                <w:color w:val="000000"/>
                <w:sz w:val="20"/>
                <w:szCs w:val="20"/>
                <w:lang w:eastAsia="cs-CZ"/>
              </w:rPr>
            </w:pPr>
          </w:p>
        </w:tc>
        <w:tc>
          <w:tcPr>
            <w:tcW w:w="977" w:type="pct"/>
            <w:tcBorders>
              <w:top w:val="nil"/>
              <w:left w:val="nil"/>
              <w:bottom w:val="single" w:sz="4" w:space="0" w:color="auto"/>
              <w:right w:val="single" w:sz="4" w:space="0" w:color="auto"/>
            </w:tcBorders>
            <w:shd w:val="clear" w:color="auto" w:fill="auto"/>
            <w:noWrap/>
            <w:vAlign w:val="center"/>
            <w:hideMark/>
          </w:tcPr>
          <w:p w14:paraId="3A4E88C0" w14:textId="3284C1BC"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10 (12,7 %)</w:t>
            </w:r>
          </w:p>
        </w:tc>
        <w:tc>
          <w:tcPr>
            <w:tcW w:w="755" w:type="pct"/>
            <w:tcBorders>
              <w:top w:val="nil"/>
              <w:left w:val="nil"/>
              <w:bottom w:val="single" w:sz="4" w:space="0" w:color="auto"/>
              <w:right w:val="single" w:sz="4" w:space="0" w:color="auto"/>
            </w:tcBorders>
            <w:shd w:val="clear" w:color="auto" w:fill="auto"/>
            <w:noWrap/>
            <w:vAlign w:val="center"/>
            <w:hideMark/>
          </w:tcPr>
          <w:p w14:paraId="71E0FDEC"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0,90</w:t>
            </w:r>
          </w:p>
        </w:tc>
        <w:tc>
          <w:tcPr>
            <w:tcW w:w="878" w:type="pct"/>
            <w:tcBorders>
              <w:top w:val="nil"/>
              <w:left w:val="nil"/>
              <w:bottom w:val="single" w:sz="4" w:space="0" w:color="auto"/>
              <w:right w:val="single" w:sz="4" w:space="0" w:color="auto"/>
            </w:tcBorders>
            <w:shd w:val="clear" w:color="auto" w:fill="auto"/>
            <w:noWrap/>
            <w:vAlign w:val="center"/>
            <w:hideMark/>
          </w:tcPr>
          <w:p w14:paraId="5F7A2E35"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4,90</w:t>
            </w:r>
          </w:p>
        </w:tc>
      </w:tr>
      <w:tr w:rsidR="000352E0" w:rsidRPr="006064AB" w14:paraId="0BBBE6A1" w14:textId="77777777" w:rsidTr="000352E0">
        <w:trPr>
          <w:trHeight w:val="2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0983CF44" w14:textId="77777777" w:rsidR="000352E0" w:rsidRPr="006064AB" w:rsidRDefault="000352E0" w:rsidP="004A67B5">
            <w:pPr>
              <w:jc w:val="center"/>
              <w:rPr>
                <w:rFonts w:eastAsia="Times New Roman"/>
                <w:color w:val="000000"/>
                <w:sz w:val="20"/>
                <w:szCs w:val="20"/>
                <w:lang w:eastAsia="cs-CZ"/>
              </w:rPr>
            </w:pPr>
            <w:r w:rsidRPr="006064AB">
              <w:rPr>
                <w:rFonts w:eastAsia="Times New Roman"/>
                <w:color w:val="000000"/>
                <w:sz w:val="20"/>
                <w:szCs w:val="20"/>
                <w:lang w:eastAsia="cs-CZ"/>
              </w:rPr>
              <w:t>2018</w:t>
            </w:r>
          </w:p>
        </w:tc>
        <w:tc>
          <w:tcPr>
            <w:tcW w:w="707" w:type="pct"/>
            <w:gridSpan w:val="2"/>
            <w:tcBorders>
              <w:top w:val="nil"/>
              <w:left w:val="nil"/>
              <w:bottom w:val="single" w:sz="4" w:space="0" w:color="auto"/>
              <w:right w:val="single" w:sz="4" w:space="0" w:color="auto"/>
            </w:tcBorders>
            <w:shd w:val="clear" w:color="auto" w:fill="auto"/>
            <w:noWrap/>
            <w:vAlign w:val="center"/>
            <w:hideMark/>
          </w:tcPr>
          <w:p w14:paraId="20B32545"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80</w:t>
            </w:r>
          </w:p>
        </w:tc>
        <w:tc>
          <w:tcPr>
            <w:tcW w:w="976" w:type="pct"/>
            <w:tcBorders>
              <w:top w:val="nil"/>
              <w:left w:val="nil"/>
              <w:bottom w:val="single" w:sz="4" w:space="0" w:color="auto"/>
              <w:right w:val="nil"/>
            </w:tcBorders>
          </w:tcPr>
          <w:p w14:paraId="77888B12" w14:textId="77777777" w:rsidR="000352E0" w:rsidRPr="006064AB" w:rsidRDefault="000352E0" w:rsidP="004A67B5">
            <w:pPr>
              <w:ind w:right="113"/>
              <w:jc w:val="right"/>
              <w:rPr>
                <w:rFonts w:eastAsia="Times New Roman"/>
                <w:color w:val="000000"/>
                <w:sz w:val="20"/>
                <w:szCs w:val="20"/>
                <w:lang w:eastAsia="cs-CZ"/>
              </w:rPr>
            </w:pPr>
          </w:p>
        </w:tc>
        <w:tc>
          <w:tcPr>
            <w:tcW w:w="977" w:type="pct"/>
            <w:tcBorders>
              <w:top w:val="nil"/>
              <w:left w:val="nil"/>
              <w:bottom w:val="single" w:sz="4" w:space="0" w:color="auto"/>
              <w:right w:val="single" w:sz="4" w:space="0" w:color="auto"/>
            </w:tcBorders>
            <w:shd w:val="clear" w:color="auto" w:fill="auto"/>
            <w:noWrap/>
            <w:vAlign w:val="center"/>
            <w:hideMark/>
          </w:tcPr>
          <w:p w14:paraId="13A97913" w14:textId="3C2877CB"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13 (16 %)</w:t>
            </w:r>
          </w:p>
        </w:tc>
        <w:tc>
          <w:tcPr>
            <w:tcW w:w="755" w:type="pct"/>
            <w:tcBorders>
              <w:top w:val="nil"/>
              <w:left w:val="nil"/>
              <w:bottom w:val="single" w:sz="4" w:space="0" w:color="auto"/>
              <w:right w:val="single" w:sz="4" w:space="0" w:color="auto"/>
            </w:tcBorders>
            <w:shd w:val="clear" w:color="auto" w:fill="auto"/>
            <w:noWrap/>
            <w:vAlign w:val="center"/>
            <w:hideMark/>
          </w:tcPr>
          <w:p w14:paraId="6796796F"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1,20</w:t>
            </w:r>
          </w:p>
        </w:tc>
        <w:tc>
          <w:tcPr>
            <w:tcW w:w="878" w:type="pct"/>
            <w:tcBorders>
              <w:top w:val="nil"/>
              <w:left w:val="nil"/>
              <w:bottom w:val="single" w:sz="4" w:space="0" w:color="auto"/>
              <w:right w:val="single" w:sz="4" w:space="0" w:color="auto"/>
            </w:tcBorders>
            <w:shd w:val="clear" w:color="auto" w:fill="auto"/>
            <w:noWrap/>
            <w:vAlign w:val="center"/>
            <w:hideMark/>
          </w:tcPr>
          <w:p w14:paraId="12BD859F"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6,10</w:t>
            </w:r>
          </w:p>
        </w:tc>
      </w:tr>
      <w:tr w:rsidR="000352E0" w:rsidRPr="006064AB" w14:paraId="341DD3DC" w14:textId="77777777" w:rsidTr="000352E0">
        <w:trPr>
          <w:trHeight w:val="2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428B5500" w14:textId="77777777" w:rsidR="000352E0" w:rsidRPr="006064AB" w:rsidRDefault="000352E0" w:rsidP="004A67B5">
            <w:pPr>
              <w:jc w:val="center"/>
              <w:rPr>
                <w:rFonts w:eastAsia="Times New Roman"/>
                <w:color w:val="000000"/>
                <w:sz w:val="20"/>
                <w:szCs w:val="20"/>
                <w:lang w:eastAsia="cs-CZ"/>
              </w:rPr>
            </w:pPr>
            <w:r w:rsidRPr="006064AB">
              <w:rPr>
                <w:rFonts w:eastAsia="Times New Roman"/>
                <w:color w:val="000000"/>
                <w:sz w:val="20"/>
                <w:szCs w:val="20"/>
                <w:lang w:eastAsia="cs-CZ"/>
              </w:rPr>
              <w:t>2019</w:t>
            </w:r>
          </w:p>
        </w:tc>
        <w:tc>
          <w:tcPr>
            <w:tcW w:w="707" w:type="pct"/>
            <w:gridSpan w:val="2"/>
            <w:tcBorders>
              <w:top w:val="nil"/>
              <w:left w:val="nil"/>
              <w:bottom w:val="single" w:sz="4" w:space="0" w:color="auto"/>
              <w:right w:val="single" w:sz="4" w:space="0" w:color="auto"/>
            </w:tcBorders>
            <w:shd w:val="clear" w:color="auto" w:fill="auto"/>
            <w:noWrap/>
            <w:vAlign w:val="center"/>
            <w:hideMark/>
          </w:tcPr>
          <w:p w14:paraId="7648C8C6"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89</w:t>
            </w:r>
          </w:p>
        </w:tc>
        <w:tc>
          <w:tcPr>
            <w:tcW w:w="976" w:type="pct"/>
            <w:tcBorders>
              <w:top w:val="nil"/>
              <w:left w:val="nil"/>
              <w:bottom w:val="single" w:sz="4" w:space="0" w:color="auto"/>
              <w:right w:val="nil"/>
            </w:tcBorders>
          </w:tcPr>
          <w:p w14:paraId="235C297E" w14:textId="77777777" w:rsidR="000352E0" w:rsidRPr="006064AB" w:rsidRDefault="000352E0" w:rsidP="004A67B5">
            <w:pPr>
              <w:ind w:right="113"/>
              <w:jc w:val="right"/>
              <w:rPr>
                <w:rFonts w:eastAsia="Times New Roman"/>
                <w:color w:val="000000"/>
                <w:sz w:val="20"/>
                <w:szCs w:val="20"/>
                <w:lang w:eastAsia="cs-CZ"/>
              </w:rPr>
            </w:pPr>
          </w:p>
        </w:tc>
        <w:tc>
          <w:tcPr>
            <w:tcW w:w="977" w:type="pct"/>
            <w:tcBorders>
              <w:top w:val="nil"/>
              <w:left w:val="nil"/>
              <w:bottom w:val="single" w:sz="4" w:space="0" w:color="auto"/>
              <w:right w:val="single" w:sz="4" w:space="0" w:color="auto"/>
            </w:tcBorders>
            <w:shd w:val="clear" w:color="auto" w:fill="auto"/>
            <w:noWrap/>
            <w:vAlign w:val="center"/>
            <w:hideMark/>
          </w:tcPr>
          <w:p w14:paraId="614B43B9" w14:textId="4C4C3A0F"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 (2,2 %)</w:t>
            </w:r>
          </w:p>
        </w:tc>
        <w:tc>
          <w:tcPr>
            <w:tcW w:w="755" w:type="pct"/>
            <w:tcBorders>
              <w:top w:val="nil"/>
              <w:left w:val="nil"/>
              <w:bottom w:val="single" w:sz="4" w:space="0" w:color="auto"/>
              <w:right w:val="single" w:sz="4" w:space="0" w:color="auto"/>
            </w:tcBorders>
            <w:shd w:val="clear" w:color="auto" w:fill="auto"/>
            <w:noWrap/>
            <w:vAlign w:val="center"/>
            <w:hideMark/>
          </w:tcPr>
          <w:p w14:paraId="1F71EA59"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0,04</w:t>
            </w:r>
          </w:p>
        </w:tc>
        <w:tc>
          <w:tcPr>
            <w:tcW w:w="878" w:type="pct"/>
            <w:tcBorders>
              <w:top w:val="nil"/>
              <w:left w:val="nil"/>
              <w:bottom w:val="single" w:sz="4" w:space="0" w:color="auto"/>
              <w:right w:val="single" w:sz="4" w:space="0" w:color="auto"/>
            </w:tcBorders>
            <w:shd w:val="clear" w:color="auto" w:fill="auto"/>
            <w:noWrap/>
            <w:vAlign w:val="center"/>
            <w:hideMark/>
          </w:tcPr>
          <w:p w14:paraId="70381F83"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0,10</w:t>
            </w:r>
          </w:p>
        </w:tc>
      </w:tr>
      <w:tr w:rsidR="000352E0" w:rsidRPr="006064AB" w14:paraId="4E2EF012" w14:textId="77777777" w:rsidTr="000352E0">
        <w:trPr>
          <w:trHeight w:val="2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77556EB8" w14:textId="77777777" w:rsidR="000352E0" w:rsidRPr="006064AB" w:rsidRDefault="000352E0" w:rsidP="004A67B5">
            <w:pPr>
              <w:jc w:val="center"/>
              <w:rPr>
                <w:rFonts w:eastAsia="Times New Roman"/>
                <w:color w:val="000000"/>
                <w:sz w:val="20"/>
                <w:szCs w:val="20"/>
                <w:lang w:eastAsia="cs-CZ"/>
              </w:rPr>
            </w:pPr>
            <w:r w:rsidRPr="006064AB">
              <w:rPr>
                <w:rFonts w:eastAsia="Times New Roman"/>
                <w:color w:val="000000"/>
                <w:sz w:val="20"/>
                <w:szCs w:val="20"/>
                <w:lang w:eastAsia="cs-CZ"/>
              </w:rPr>
              <w:t>2020</w:t>
            </w:r>
          </w:p>
        </w:tc>
        <w:tc>
          <w:tcPr>
            <w:tcW w:w="707" w:type="pct"/>
            <w:gridSpan w:val="2"/>
            <w:tcBorders>
              <w:top w:val="nil"/>
              <w:left w:val="nil"/>
              <w:bottom w:val="single" w:sz="4" w:space="0" w:color="auto"/>
              <w:right w:val="single" w:sz="4" w:space="0" w:color="auto"/>
            </w:tcBorders>
            <w:shd w:val="clear" w:color="auto" w:fill="auto"/>
            <w:noWrap/>
            <w:vAlign w:val="center"/>
            <w:hideMark/>
          </w:tcPr>
          <w:p w14:paraId="238573D8"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101</w:t>
            </w:r>
          </w:p>
        </w:tc>
        <w:tc>
          <w:tcPr>
            <w:tcW w:w="976" w:type="pct"/>
            <w:tcBorders>
              <w:top w:val="nil"/>
              <w:left w:val="nil"/>
              <w:bottom w:val="single" w:sz="4" w:space="0" w:color="auto"/>
              <w:right w:val="nil"/>
            </w:tcBorders>
          </w:tcPr>
          <w:p w14:paraId="0CC43E9A" w14:textId="77777777" w:rsidR="000352E0" w:rsidRPr="006064AB" w:rsidRDefault="000352E0" w:rsidP="004A67B5">
            <w:pPr>
              <w:ind w:right="113"/>
              <w:jc w:val="right"/>
              <w:rPr>
                <w:rFonts w:eastAsia="Times New Roman"/>
                <w:color w:val="000000"/>
                <w:sz w:val="20"/>
                <w:szCs w:val="20"/>
                <w:lang w:eastAsia="cs-CZ"/>
              </w:rPr>
            </w:pPr>
          </w:p>
        </w:tc>
        <w:tc>
          <w:tcPr>
            <w:tcW w:w="977" w:type="pct"/>
            <w:tcBorders>
              <w:top w:val="nil"/>
              <w:left w:val="nil"/>
              <w:bottom w:val="single" w:sz="4" w:space="0" w:color="auto"/>
              <w:right w:val="single" w:sz="4" w:space="0" w:color="auto"/>
            </w:tcBorders>
            <w:shd w:val="clear" w:color="auto" w:fill="auto"/>
            <w:noWrap/>
            <w:vAlign w:val="center"/>
            <w:hideMark/>
          </w:tcPr>
          <w:p w14:paraId="51B9E7A1" w14:textId="21B08AA9"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 (2 %)</w:t>
            </w:r>
          </w:p>
        </w:tc>
        <w:tc>
          <w:tcPr>
            <w:tcW w:w="755" w:type="pct"/>
            <w:tcBorders>
              <w:top w:val="nil"/>
              <w:left w:val="nil"/>
              <w:bottom w:val="single" w:sz="4" w:space="0" w:color="auto"/>
              <w:right w:val="single" w:sz="4" w:space="0" w:color="auto"/>
            </w:tcBorders>
            <w:shd w:val="clear" w:color="auto" w:fill="auto"/>
            <w:noWrap/>
            <w:vAlign w:val="center"/>
            <w:hideMark/>
          </w:tcPr>
          <w:p w14:paraId="63F7F43C"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0,04</w:t>
            </w:r>
          </w:p>
        </w:tc>
        <w:tc>
          <w:tcPr>
            <w:tcW w:w="878" w:type="pct"/>
            <w:tcBorders>
              <w:top w:val="nil"/>
              <w:left w:val="nil"/>
              <w:bottom w:val="single" w:sz="4" w:space="0" w:color="auto"/>
              <w:right w:val="single" w:sz="4" w:space="0" w:color="auto"/>
            </w:tcBorders>
            <w:shd w:val="clear" w:color="auto" w:fill="auto"/>
            <w:noWrap/>
            <w:vAlign w:val="center"/>
            <w:hideMark/>
          </w:tcPr>
          <w:p w14:paraId="3A619F74"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0,20</w:t>
            </w:r>
          </w:p>
        </w:tc>
      </w:tr>
      <w:tr w:rsidR="000352E0" w:rsidRPr="006064AB" w14:paraId="5379E02B" w14:textId="77777777" w:rsidTr="000352E0">
        <w:trPr>
          <w:trHeight w:val="2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79BCAE97" w14:textId="77777777" w:rsidR="000352E0" w:rsidRPr="006064AB" w:rsidRDefault="000352E0" w:rsidP="004A67B5">
            <w:pPr>
              <w:jc w:val="center"/>
              <w:rPr>
                <w:rFonts w:eastAsia="Times New Roman"/>
                <w:color w:val="000000"/>
                <w:sz w:val="20"/>
                <w:szCs w:val="20"/>
                <w:lang w:eastAsia="cs-CZ"/>
              </w:rPr>
            </w:pPr>
            <w:r w:rsidRPr="006064AB">
              <w:rPr>
                <w:rFonts w:eastAsia="Times New Roman"/>
                <w:color w:val="000000"/>
                <w:sz w:val="20"/>
                <w:szCs w:val="20"/>
                <w:lang w:eastAsia="cs-CZ"/>
              </w:rPr>
              <w:t>2021</w:t>
            </w:r>
          </w:p>
        </w:tc>
        <w:tc>
          <w:tcPr>
            <w:tcW w:w="707" w:type="pct"/>
            <w:gridSpan w:val="2"/>
            <w:tcBorders>
              <w:top w:val="nil"/>
              <w:left w:val="nil"/>
              <w:bottom w:val="single" w:sz="4" w:space="0" w:color="auto"/>
              <w:right w:val="single" w:sz="4" w:space="0" w:color="auto"/>
            </w:tcBorders>
            <w:shd w:val="clear" w:color="auto" w:fill="auto"/>
            <w:noWrap/>
            <w:vAlign w:val="center"/>
            <w:hideMark/>
          </w:tcPr>
          <w:p w14:paraId="5682BEB4"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93</w:t>
            </w:r>
          </w:p>
        </w:tc>
        <w:tc>
          <w:tcPr>
            <w:tcW w:w="976" w:type="pct"/>
            <w:tcBorders>
              <w:top w:val="nil"/>
              <w:left w:val="nil"/>
              <w:bottom w:val="single" w:sz="4" w:space="0" w:color="auto"/>
              <w:right w:val="nil"/>
            </w:tcBorders>
          </w:tcPr>
          <w:p w14:paraId="732A3B41" w14:textId="77777777" w:rsidR="000352E0" w:rsidRPr="006064AB" w:rsidRDefault="000352E0" w:rsidP="004A67B5">
            <w:pPr>
              <w:ind w:right="113"/>
              <w:jc w:val="right"/>
              <w:rPr>
                <w:rFonts w:eastAsia="Times New Roman"/>
                <w:color w:val="000000"/>
                <w:sz w:val="20"/>
                <w:szCs w:val="20"/>
                <w:lang w:eastAsia="cs-CZ"/>
              </w:rPr>
            </w:pPr>
          </w:p>
        </w:tc>
        <w:tc>
          <w:tcPr>
            <w:tcW w:w="977" w:type="pct"/>
            <w:tcBorders>
              <w:top w:val="nil"/>
              <w:left w:val="nil"/>
              <w:bottom w:val="single" w:sz="4" w:space="0" w:color="auto"/>
              <w:right w:val="single" w:sz="4" w:space="0" w:color="auto"/>
            </w:tcBorders>
            <w:shd w:val="clear" w:color="auto" w:fill="auto"/>
            <w:noWrap/>
            <w:vAlign w:val="center"/>
            <w:hideMark/>
          </w:tcPr>
          <w:p w14:paraId="70DAF64D" w14:textId="5FA25F2D"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9 (9,7 %)</w:t>
            </w:r>
          </w:p>
        </w:tc>
        <w:tc>
          <w:tcPr>
            <w:tcW w:w="755" w:type="pct"/>
            <w:tcBorders>
              <w:top w:val="nil"/>
              <w:left w:val="nil"/>
              <w:bottom w:val="single" w:sz="4" w:space="0" w:color="auto"/>
              <w:right w:val="single" w:sz="4" w:space="0" w:color="auto"/>
            </w:tcBorders>
            <w:shd w:val="clear" w:color="auto" w:fill="auto"/>
            <w:noWrap/>
            <w:vAlign w:val="center"/>
            <w:hideMark/>
          </w:tcPr>
          <w:p w14:paraId="1B27CBEE"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0,30</w:t>
            </w:r>
          </w:p>
        </w:tc>
        <w:tc>
          <w:tcPr>
            <w:tcW w:w="878" w:type="pct"/>
            <w:tcBorders>
              <w:top w:val="nil"/>
              <w:left w:val="nil"/>
              <w:bottom w:val="single" w:sz="4" w:space="0" w:color="auto"/>
              <w:right w:val="single" w:sz="4" w:space="0" w:color="auto"/>
            </w:tcBorders>
            <w:shd w:val="clear" w:color="auto" w:fill="auto"/>
            <w:noWrap/>
            <w:vAlign w:val="center"/>
            <w:hideMark/>
          </w:tcPr>
          <w:p w14:paraId="60C728EC"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1,50</w:t>
            </w:r>
          </w:p>
        </w:tc>
      </w:tr>
      <w:tr w:rsidR="000352E0" w:rsidRPr="006064AB" w14:paraId="7C48FA8C" w14:textId="77777777" w:rsidTr="000352E0">
        <w:trPr>
          <w:trHeight w:val="20"/>
        </w:trPr>
        <w:tc>
          <w:tcPr>
            <w:tcW w:w="707" w:type="pct"/>
            <w:tcBorders>
              <w:top w:val="nil"/>
              <w:left w:val="single" w:sz="4" w:space="0" w:color="auto"/>
              <w:bottom w:val="double" w:sz="4" w:space="0" w:color="auto"/>
              <w:right w:val="single" w:sz="4" w:space="0" w:color="auto"/>
            </w:tcBorders>
            <w:shd w:val="clear" w:color="auto" w:fill="auto"/>
            <w:noWrap/>
            <w:vAlign w:val="center"/>
            <w:hideMark/>
          </w:tcPr>
          <w:p w14:paraId="0599A3D2" w14:textId="77777777" w:rsidR="000352E0" w:rsidRPr="006064AB" w:rsidRDefault="000352E0" w:rsidP="004A67B5">
            <w:pPr>
              <w:jc w:val="center"/>
              <w:rPr>
                <w:rFonts w:eastAsia="Times New Roman"/>
                <w:color w:val="000000"/>
                <w:sz w:val="20"/>
                <w:szCs w:val="20"/>
                <w:lang w:eastAsia="cs-CZ"/>
              </w:rPr>
            </w:pPr>
            <w:r w:rsidRPr="006064AB">
              <w:rPr>
                <w:rFonts w:eastAsia="Times New Roman"/>
                <w:color w:val="000000"/>
                <w:sz w:val="20"/>
                <w:szCs w:val="20"/>
                <w:lang w:eastAsia="cs-CZ"/>
              </w:rPr>
              <w:t>2022</w:t>
            </w:r>
          </w:p>
        </w:tc>
        <w:tc>
          <w:tcPr>
            <w:tcW w:w="707" w:type="pct"/>
            <w:gridSpan w:val="2"/>
            <w:tcBorders>
              <w:top w:val="nil"/>
              <w:left w:val="nil"/>
              <w:bottom w:val="double" w:sz="4" w:space="0" w:color="auto"/>
              <w:right w:val="single" w:sz="4" w:space="0" w:color="auto"/>
            </w:tcBorders>
            <w:shd w:val="clear" w:color="auto" w:fill="auto"/>
            <w:noWrap/>
            <w:vAlign w:val="center"/>
            <w:hideMark/>
          </w:tcPr>
          <w:p w14:paraId="722E6CBA"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101</w:t>
            </w:r>
          </w:p>
        </w:tc>
        <w:tc>
          <w:tcPr>
            <w:tcW w:w="976" w:type="pct"/>
            <w:tcBorders>
              <w:top w:val="nil"/>
              <w:left w:val="nil"/>
              <w:bottom w:val="double" w:sz="4" w:space="0" w:color="auto"/>
              <w:right w:val="nil"/>
            </w:tcBorders>
          </w:tcPr>
          <w:p w14:paraId="6E7F5EEA" w14:textId="77777777" w:rsidR="000352E0" w:rsidRPr="006064AB" w:rsidRDefault="000352E0" w:rsidP="004A67B5">
            <w:pPr>
              <w:ind w:right="113"/>
              <w:jc w:val="right"/>
              <w:rPr>
                <w:rFonts w:eastAsia="Times New Roman"/>
                <w:color w:val="000000"/>
                <w:sz w:val="20"/>
                <w:szCs w:val="20"/>
                <w:lang w:eastAsia="cs-CZ"/>
              </w:rPr>
            </w:pPr>
          </w:p>
        </w:tc>
        <w:tc>
          <w:tcPr>
            <w:tcW w:w="977" w:type="pct"/>
            <w:tcBorders>
              <w:top w:val="nil"/>
              <w:left w:val="nil"/>
              <w:bottom w:val="double" w:sz="4" w:space="0" w:color="auto"/>
              <w:right w:val="single" w:sz="4" w:space="0" w:color="auto"/>
            </w:tcBorders>
            <w:shd w:val="clear" w:color="auto" w:fill="auto"/>
            <w:noWrap/>
            <w:vAlign w:val="center"/>
            <w:hideMark/>
          </w:tcPr>
          <w:p w14:paraId="7A0E19AC" w14:textId="36301AC2"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4 (4 %)</w:t>
            </w:r>
          </w:p>
        </w:tc>
        <w:tc>
          <w:tcPr>
            <w:tcW w:w="755" w:type="pct"/>
            <w:tcBorders>
              <w:top w:val="nil"/>
              <w:left w:val="nil"/>
              <w:bottom w:val="double" w:sz="4" w:space="0" w:color="auto"/>
              <w:right w:val="single" w:sz="4" w:space="0" w:color="auto"/>
            </w:tcBorders>
            <w:shd w:val="clear" w:color="auto" w:fill="auto"/>
            <w:noWrap/>
            <w:vAlign w:val="center"/>
            <w:hideMark/>
          </w:tcPr>
          <w:p w14:paraId="09FBD04D"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 </w:t>
            </w:r>
            <w:r>
              <w:rPr>
                <w:rFonts w:eastAsia="Times New Roman"/>
                <w:color w:val="000000"/>
                <w:sz w:val="20"/>
                <w:szCs w:val="20"/>
                <w:lang w:eastAsia="cs-CZ"/>
              </w:rPr>
              <w:t>0,03</w:t>
            </w:r>
          </w:p>
        </w:tc>
        <w:tc>
          <w:tcPr>
            <w:tcW w:w="878" w:type="pct"/>
            <w:tcBorders>
              <w:top w:val="nil"/>
              <w:left w:val="nil"/>
              <w:bottom w:val="single" w:sz="4" w:space="0" w:color="auto"/>
              <w:right w:val="single" w:sz="4" w:space="0" w:color="auto"/>
            </w:tcBorders>
            <w:shd w:val="clear" w:color="auto" w:fill="auto"/>
            <w:noWrap/>
            <w:vAlign w:val="center"/>
            <w:hideMark/>
          </w:tcPr>
          <w:p w14:paraId="1C72D458" w14:textId="77777777" w:rsidR="000352E0" w:rsidRPr="006064AB" w:rsidRDefault="000352E0" w:rsidP="004A67B5">
            <w:pPr>
              <w:ind w:right="113"/>
              <w:jc w:val="right"/>
              <w:rPr>
                <w:rFonts w:eastAsia="Times New Roman"/>
                <w:color w:val="000000"/>
                <w:sz w:val="20"/>
                <w:szCs w:val="20"/>
                <w:lang w:eastAsia="cs-CZ"/>
              </w:rPr>
            </w:pPr>
            <w:r>
              <w:rPr>
                <w:rFonts w:eastAsia="Times New Roman"/>
                <w:color w:val="000000"/>
                <w:sz w:val="20"/>
                <w:szCs w:val="20"/>
                <w:lang w:eastAsia="cs-CZ"/>
              </w:rPr>
              <w:t>0,10</w:t>
            </w:r>
          </w:p>
        </w:tc>
      </w:tr>
      <w:tr w:rsidR="000352E0" w:rsidRPr="006064AB" w14:paraId="4CB511C1" w14:textId="77777777" w:rsidTr="000352E0">
        <w:trPr>
          <w:trHeight w:val="20"/>
        </w:trPr>
        <w:tc>
          <w:tcPr>
            <w:tcW w:w="976" w:type="pct"/>
            <w:gridSpan w:val="2"/>
            <w:tcBorders>
              <w:top w:val="double" w:sz="4" w:space="0" w:color="auto"/>
              <w:left w:val="single" w:sz="4" w:space="0" w:color="auto"/>
              <w:bottom w:val="single" w:sz="4" w:space="0" w:color="auto"/>
              <w:right w:val="single" w:sz="4" w:space="0" w:color="auto"/>
            </w:tcBorders>
          </w:tcPr>
          <w:p w14:paraId="0619B6C0" w14:textId="77777777" w:rsidR="000352E0" w:rsidRPr="006064AB" w:rsidRDefault="000352E0" w:rsidP="009F75A3">
            <w:pPr>
              <w:rPr>
                <w:rFonts w:eastAsia="Times New Roman"/>
                <w:color w:val="000000"/>
                <w:sz w:val="20"/>
                <w:szCs w:val="20"/>
                <w:lang w:eastAsia="cs-CZ"/>
              </w:rPr>
            </w:pPr>
          </w:p>
        </w:tc>
        <w:tc>
          <w:tcPr>
            <w:tcW w:w="2391" w:type="pct"/>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6C0D11C" w14:textId="27691A11" w:rsidR="000352E0" w:rsidRPr="006064AB" w:rsidRDefault="000352E0" w:rsidP="009F75A3">
            <w:pPr>
              <w:rPr>
                <w:rFonts w:eastAsia="Times New Roman"/>
                <w:color w:val="000000"/>
                <w:sz w:val="20"/>
                <w:szCs w:val="20"/>
                <w:lang w:eastAsia="cs-CZ"/>
              </w:rPr>
            </w:pPr>
            <w:r w:rsidRPr="006064AB">
              <w:rPr>
                <w:rFonts w:eastAsia="Times New Roman"/>
                <w:color w:val="000000"/>
                <w:sz w:val="20"/>
                <w:szCs w:val="20"/>
                <w:lang w:eastAsia="cs-CZ"/>
              </w:rPr>
              <w:t>2013–2017</w:t>
            </w:r>
          </w:p>
        </w:tc>
        <w:tc>
          <w:tcPr>
            <w:tcW w:w="755" w:type="pct"/>
            <w:tcBorders>
              <w:top w:val="double" w:sz="4" w:space="0" w:color="auto"/>
              <w:left w:val="nil"/>
              <w:bottom w:val="single" w:sz="4" w:space="0" w:color="auto"/>
              <w:right w:val="single" w:sz="4" w:space="0" w:color="auto"/>
            </w:tcBorders>
            <w:shd w:val="clear" w:color="auto" w:fill="auto"/>
            <w:noWrap/>
            <w:vAlign w:val="center"/>
            <w:hideMark/>
          </w:tcPr>
          <w:p w14:paraId="7E22E992"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1,30</w:t>
            </w:r>
          </w:p>
        </w:tc>
        <w:tc>
          <w:tcPr>
            <w:tcW w:w="878" w:type="pct"/>
            <w:tcBorders>
              <w:top w:val="double" w:sz="4" w:space="0" w:color="auto"/>
              <w:left w:val="nil"/>
              <w:bottom w:val="single" w:sz="4" w:space="0" w:color="auto"/>
              <w:right w:val="single" w:sz="4" w:space="0" w:color="auto"/>
            </w:tcBorders>
            <w:shd w:val="clear" w:color="auto" w:fill="auto"/>
            <w:noWrap/>
            <w:vAlign w:val="center"/>
            <w:hideMark/>
          </w:tcPr>
          <w:p w14:paraId="1C679468"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6,24</w:t>
            </w:r>
          </w:p>
        </w:tc>
      </w:tr>
      <w:tr w:rsidR="000352E0" w:rsidRPr="006064AB" w14:paraId="1F6C29B9" w14:textId="77777777" w:rsidTr="000352E0">
        <w:trPr>
          <w:trHeight w:val="20"/>
        </w:trPr>
        <w:tc>
          <w:tcPr>
            <w:tcW w:w="976" w:type="pct"/>
            <w:gridSpan w:val="2"/>
            <w:tcBorders>
              <w:top w:val="single" w:sz="4" w:space="0" w:color="auto"/>
              <w:left w:val="single" w:sz="4" w:space="0" w:color="auto"/>
              <w:bottom w:val="single" w:sz="4" w:space="0" w:color="auto"/>
              <w:right w:val="single" w:sz="4" w:space="0" w:color="auto"/>
            </w:tcBorders>
          </w:tcPr>
          <w:p w14:paraId="31767490" w14:textId="77777777" w:rsidR="000352E0" w:rsidRPr="006064AB" w:rsidRDefault="000352E0" w:rsidP="009F75A3">
            <w:pPr>
              <w:rPr>
                <w:rFonts w:eastAsia="Times New Roman"/>
                <w:color w:val="000000"/>
                <w:sz w:val="20"/>
                <w:szCs w:val="20"/>
                <w:lang w:eastAsia="cs-CZ"/>
              </w:rPr>
            </w:pPr>
          </w:p>
        </w:tc>
        <w:tc>
          <w:tcPr>
            <w:tcW w:w="239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6E6E3" w14:textId="23849C8C" w:rsidR="000352E0" w:rsidRPr="006064AB" w:rsidRDefault="000352E0" w:rsidP="009F75A3">
            <w:pPr>
              <w:rPr>
                <w:rFonts w:eastAsia="Times New Roman"/>
                <w:color w:val="000000"/>
                <w:sz w:val="20"/>
                <w:szCs w:val="20"/>
                <w:lang w:eastAsia="cs-CZ"/>
              </w:rPr>
            </w:pPr>
            <w:r w:rsidRPr="006064AB">
              <w:rPr>
                <w:rFonts w:eastAsia="Times New Roman"/>
                <w:color w:val="000000"/>
                <w:sz w:val="20"/>
                <w:szCs w:val="20"/>
                <w:lang w:eastAsia="cs-CZ"/>
              </w:rPr>
              <w:t>2014–2018</w:t>
            </w:r>
          </w:p>
        </w:tc>
        <w:tc>
          <w:tcPr>
            <w:tcW w:w="755" w:type="pct"/>
            <w:tcBorders>
              <w:top w:val="nil"/>
              <w:left w:val="nil"/>
              <w:bottom w:val="single" w:sz="4" w:space="0" w:color="auto"/>
              <w:right w:val="single" w:sz="4" w:space="0" w:color="auto"/>
            </w:tcBorders>
            <w:shd w:val="clear" w:color="auto" w:fill="auto"/>
            <w:noWrap/>
            <w:vAlign w:val="center"/>
            <w:hideMark/>
          </w:tcPr>
          <w:p w14:paraId="41848122"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1,06</w:t>
            </w:r>
          </w:p>
        </w:tc>
        <w:tc>
          <w:tcPr>
            <w:tcW w:w="878" w:type="pct"/>
            <w:tcBorders>
              <w:top w:val="nil"/>
              <w:left w:val="nil"/>
              <w:bottom w:val="single" w:sz="4" w:space="0" w:color="auto"/>
              <w:right w:val="single" w:sz="4" w:space="0" w:color="auto"/>
            </w:tcBorders>
            <w:shd w:val="clear" w:color="auto" w:fill="auto"/>
            <w:noWrap/>
            <w:vAlign w:val="center"/>
            <w:hideMark/>
          </w:tcPr>
          <w:p w14:paraId="135ADA0F"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5,54</w:t>
            </w:r>
          </w:p>
        </w:tc>
      </w:tr>
      <w:tr w:rsidR="000352E0" w:rsidRPr="006064AB" w14:paraId="3ECFA6CD" w14:textId="77777777" w:rsidTr="000352E0">
        <w:trPr>
          <w:trHeight w:val="20"/>
        </w:trPr>
        <w:tc>
          <w:tcPr>
            <w:tcW w:w="976" w:type="pct"/>
            <w:gridSpan w:val="2"/>
            <w:tcBorders>
              <w:top w:val="single" w:sz="4" w:space="0" w:color="auto"/>
              <w:left w:val="single" w:sz="4" w:space="0" w:color="auto"/>
              <w:bottom w:val="single" w:sz="4" w:space="0" w:color="auto"/>
              <w:right w:val="single" w:sz="4" w:space="0" w:color="auto"/>
            </w:tcBorders>
          </w:tcPr>
          <w:p w14:paraId="64E1BE21" w14:textId="77777777" w:rsidR="000352E0" w:rsidRPr="006064AB" w:rsidRDefault="000352E0" w:rsidP="009F75A3">
            <w:pPr>
              <w:rPr>
                <w:rFonts w:eastAsia="Times New Roman"/>
                <w:color w:val="000000"/>
                <w:sz w:val="20"/>
                <w:szCs w:val="20"/>
                <w:lang w:eastAsia="cs-CZ"/>
              </w:rPr>
            </w:pPr>
          </w:p>
        </w:tc>
        <w:tc>
          <w:tcPr>
            <w:tcW w:w="239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9617F" w14:textId="286279A7" w:rsidR="000352E0" w:rsidRPr="006064AB" w:rsidRDefault="000352E0" w:rsidP="009F75A3">
            <w:pPr>
              <w:rPr>
                <w:rFonts w:eastAsia="Times New Roman"/>
                <w:color w:val="000000"/>
                <w:sz w:val="20"/>
                <w:szCs w:val="20"/>
                <w:lang w:eastAsia="cs-CZ"/>
              </w:rPr>
            </w:pPr>
            <w:r w:rsidRPr="006064AB">
              <w:rPr>
                <w:rFonts w:eastAsia="Times New Roman"/>
                <w:color w:val="000000"/>
                <w:sz w:val="20"/>
                <w:szCs w:val="20"/>
                <w:lang w:eastAsia="cs-CZ"/>
              </w:rPr>
              <w:t>2015–2019</w:t>
            </w:r>
          </w:p>
        </w:tc>
        <w:tc>
          <w:tcPr>
            <w:tcW w:w="755" w:type="pct"/>
            <w:tcBorders>
              <w:top w:val="nil"/>
              <w:left w:val="nil"/>
              <w:bottom w:val="single" w:sz="4" w:space="0" w:color="auto"/>
              <w:right w:val="single" w:sz="4" w:space="0" w:color="auto"/>
            </w:tcBorders>
            <w:shd w:val="clear" w:color="auto" w:fill="auto"/>
            <w:noWrap/>
            <w:vAlign w:val="center"/>
            <w:hideMark/>
          </w:tcPr>
          <w:p w14:paraId="186DFCF6"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0,71</w:t>
            </w:r>
          </w:p>
        </w:tc>
        <w:tc>
          <w:tcPr>
            <w:tcW w:w="878" w:type="pct"/>
            <w:tcBorders>
              <w:top w:val="nil"/>
              <w:left w:val="nil"/>
              <w:bottom w:val="single" w:sz="4" w:space="0" w:color="auto"/>
              <w:right w:val="single" w:sz="4" w:space="0" w:color="auto"/>
            </w:tcBorders>
            <w:shd w:val="clear" w:color="auto" w:fill="auto"/>
            <w:noWrap/>
            <w:vAlign w:val="center"/>
            <w:hideMark/>
          </w:tcPr>
          <w:p w14:paraId="4E8E2935"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3,84</w:t>
            </w:r>
          </w:p>
        </w:tc>
      </w:tr>
      <w:tr w:rsidR="000352E0" w:rsidRPr="006064AB" w14:paraId="10D4688A" w14:textId="77777777" w:rsidTr="000352E0">
        <w:trPr>
          <w:trHeight w:val="20"/>
        </w:trPr>
        <w:tc>
          <w:tcPr>
            <w:tcW w:w="976" w:type="pct"/>
            <w:gridSpan w:val="2"/>
            <w:tcBorders>
              <w:top w:val="single" w:sz="4" w:space="0" w:color="auto"/>
              <w:left w:val="single" w:sz="4" w:space="0" w:color="auto"/>
              <w:bottom w:val="single" w:sz="4" w:space="0" w:color="auto"/>
              <w:right w:val="single" w:sz="4" w:space="0" w:color="auto"/>
            </w:tcBorders>
          </w:tcPr>
          <w:p w14:paraId="35F31C0F" w14:textId="77777777" w:rsidR="000352E0" w:rsidRPr="006064AB" w:rsidRDefault="000352E0" w:rsidP="009F75A3">
            <w:pPr>
              <w:rPr>
                <w:rFonts w:eastAsia="Times New Roman"/>
                <w:color w:val="000000"/>
                <w:sz w:val="20"/>
                <w:szCs w:val="20"/>
                <w:lang w:eastAsia="cs-CZ"/>
              </w:rPr>
            </w:pPr>
          </w:p>
        </w:tc>
        <w:tc>
          <w:tcPr>
            <w:tcW w:w="239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EEA6D" w14:textId="4347D640" w:rsidR="000352E0" w:rsidRPr="006064AB" w:rsidRDefault="000352E0" w:rsidP="009F75A3">
            <w:pPr>
              <w:rPr>
                <w:rFonts w:eastAsia="Times New Roman"/>
                <w:color w:val="000000"/>
                <w:sz w:val="20"/>
                <w:szCs w:val="20"/>
                <w:lang w:eastAsia="cs-CZ"/>
              </w:rPr>
            </w:pPr>
            <w:r w:rsidRPr="006064AB">
              <w:rPr>
                <w:rFonts w:eastAsia="Times New Roman"/>
                <w:color w:val="000000"/>
                <w:sz w:val="20"/>
                <w:szCs w:val="20"/>
                <w:lang w:eastAsia="cs-CZ"/>
              </w:rPr>
              <w:t>2016–2020</w:t>
            </w:r>
          </w:p>
        </w:tc>
        <w:tc>
          <w:tcPr>
            <w:tcW w:w="755" w:type="pct"/>
            <w:tcBorders>
              <w:top w:val="nil"/>
              <w:left w:val="nil"/>
              <w:bottom w:val="single" w:sz="4" w:space="0" w:color="auto"/>
              <w:right w:val="single" w:sz="4" w:space="0" w:color="auto"/>
            </w:tcBorders>
            <w:shd w:val="clear" w:color="auto" w:fill="auto"/>
            <w:noWrap/>
            <w:vAlign w:val="center"/>
            <w:hideMark/>
          </w:tcPr>
          <w:p w14:paraId="6BB43D46"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0,54</w:t>
            </w:r>
          </w:p>
        </w:tc>
        <w:tc>
          <w:tcPr>
            <w:tcW w:w="878" w:type="pct"/>
            <w:tcBorders>
              <w:top w:val="nil"/>
              <w:left w:val="nil"/>
              <w:bottom w:val="single" w:sz="4" w:space="0" w:color="auto"/>
              <w:right w:val="single" w:sz="4" w:space="0" w:color="auto"/>
            </w:tcBorders>
            <w:shd w:val="clear" w:color="auto" w:fill="auto"/>
            <w:noWrap/>
            <w:vAlign w:val="center"/>
            <w:hideMark/>
          </w:tcPr>
          <w:p w14:paraId="7C9F92EC"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2,86</w:t>
            </w:r>
          </w:p>
        </w:tc>
      </w:tr>
      <w:tr w:rsidR="000352E0" w:rsidRPr="006064AB" w14:paraId="01E1C4CB" w14:textId="77777777" w:rsidTr="000352E0">
        <w:trPr>
          <w:trHeight w:val="20"/>
        </w:trPr>
        <w:tc>
          <w:tcPr>
            <w:tcW w:w="976" w:type="pct"/>
            <w:gridSpan w:val="2"/>
            <w:tcBorders>
              <w:top w:val="single" w:sz="4" w:space="0" w:color="auto"/>
              <w:left w:val="single" w:sz="4" w:space="0" w:color="auto"/>
              <w:bottom w:val="single" w:sz="4" w:space="0" w:color="auto"/>
              <w:right w:val="single" w:sz="4" w:space="0" w:color="auto"/>
            </w:tcBorders>
          </w:tcPr>
          <w:p w14:paraId="66D470B4" w14:textId="77777777" w:rsidR="000352E0" w:rsidRPr="006064AB" w:rsidRDefault="000352E0" w:rsidP="009F75A3">
            <w:pPr>
              <w:rPr>
                <w:rFonts w:eastAsia="Times New Roman"/>
                <w:color w:val="000000"/>
                <w:sz w:val="20"/>
                <w:szCs w:val="20"/>
                <w:lang w:eastAsia="cs-CZ"/>
              </w:rPr>
            </w:pPr>
          </w:p>
        </w:tc>
        <w:tc>
          <w:tcPr>
            <w:tcW w:w="239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B32E6" w14:textId="4A8837E0" w:rsidR="000352E0" w:rsidRPr="006064AB" w:rsidRDefault="000352E0" w:rsidP="009F75A3">
            <w:pPr>
              <w:rPr>
                <w:rFonts w:eastAsia="Times New Roman"/>
                <w:color w:val="000000"/>
                <w:sz w:val="20"/>
                <w:szCs w:val="20"/>
                <w:lang w:eastAsia="cs-CZ"/>
              </w:rPr>
            </w:pPr>
            <w:r w:rsidRPr="006064AB">
              <w:rPr>
                <w:rFonts w:eastAsia="Times New Roman"/>
                <w:color w:val="000000"/>
                <w:sz w:val="20"/>
                <w:szCs w:val="20"/>
                <w:lang w:eastAsia="cs-CZ"/>
              </w:rPr>
              <w:t>2017–2021</w:t>
            </w:r>
          </w:p>
        </w:tc>
        <w:tc>
          <w:tcPr>
            <w:tcW w:w="755" w:type="pct"/>
            <w:tcBorders>
              <w:top w:val="nil"/>
              <w:left w:val="nil"/>
              <w:bottom w:val="single" w:sz="4" w:space="0" w:color="auto"/>
              <w:right w:val="single" w:sz="4" w:space="0" w:color="auto"/>
            </w:tcBorders>
            <w:shd w:val="clear" w:color="auto" w:fill="auto"/>
            <w:noWrap/>
            <w:vAlign w:val="center"/>
            <w:hideMark/>
          </w:tcPr>
          <w:p w14:paraId="0B9C8750"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0,50</w:t>
            </w:r>
          </w:p>
        </w:tc>
        <w:tc>
          <w:tcPr>
            <w:tcW w:w="878" w:type="pct"/>
            <w:tcBorders>
              <w:top w:val="nil"/>
              <w:left w:val="nil"/>
              <w:bottom w:val="single" w:sz="4" w:space="0" w:color="auto"/>
              <w:right w:val="single" w:sz="4" w:space="0" w:color="auto"/>
            </w:tcBorders>
            <w:shd w:val="clear" w:color="auto" w:fill="auto"/>
            <w:noWrap/>
            <w:vAlign w:val="center"/>
            <w:hideMark/>
          </w:tcPr>
          <w:p w14:paraId="0EFFAECE" w14:textId="77777777" w:rsidR="000352E0" w:rsidRPr="006064AB" w:rsidRDefault="000352E0"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2,56</w:t>
            </w:r>
          </w:p>
        </w:tc>
      </w:tr>
      <w:tr w:rsidR="000352E0" w:rsidRPr="006064AB" w14:paraId="7F2BF5F6" w14:textId="77777777" w:rsidTr="000352E0">
        <w:trPr>
          <w:trHeight w:val="20"/>
        </w:trPr>
        <w:tc>
          <w:tcPr>
            <w:tcW w:w="976" w:type="pct"/>
            <w:gridSpan w:val="2"/>
            <w:tcBorders>
              <w:top w:val="single" w:sz="4" w:space="0" w:color="auto"/>
              <w:left w:val="single" w:sz="4" w:space="0" w:color="auto"/>
              <w:bottom w:val="single" w:sz="4" w:space="0" w:color="auto"/>
              <w:right w:val="single" w:sz="4" w:space="0" w:color="auto"/>
            </w:tcBorders>
          </w:tcPr>
          <w:p w14:paraId="069A51C1" w14:textId="77777777" w:rsidR="000352E0" w:rsidRDefault="000352E0" w:rsidP="009F75A3">
            <w:pPr>
              <w:rPr>
                <w:rFonts w:eastAsia="Times New Roman"/>
                <w:color w:val="000000"/>
                <w:sz w:val="20"/>
                <w:szCs w:val="20"/>
                <w:lang w:eastAsia="cs-CZ"/>
              </w:rPr>
            </w:pPr>
          </w:p>
        </w:tc>
        <w:tc>
          <w:tcPr>
            <w:tcW w:w="239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475CD0" w14:textId="7EF48B8B" w:rsidR="000352E0" w:rsidRPr="006064AB" w:rsidRDefault="000352E0" w:rsidP="009F75A3">
            <w:pPr>
              <w:rPr>
                <w:rFonts w:eastAsia="Times New Roman"/>
                <w:color w:val="000000"/>
                <w:sz w:val="20"/>
                <w:szCs w:val="20"/>
                <w:lang w:eastAsia="cs-CZ"/>
              </w:rPr>
            </w:pPr>
            <w:r>
              <w:rPr>
                <w:rFonts w:eastAsia="Times New Roman"/>
                <w:color w:val="000000"/>
                <w:sz w:val="20"/>
                <w:szCs w:val="20"/>
                <w:lang w:eastAsia="cs-CZ"/>
              </w:rPr>
              <w:t>2018–2022</w:t>
            </w:r>
          </w:p>
        </w:tc>
        <w:tc>
          <w:tcPr>
            <w:tcW w:w="755" w:type="pct"/>
            <w:tcBorders>
              <w:top w:val="single" w:sz="4" w:space="0" w:color="auto"/>
              <w:left w:val="nil"/>
              <w:bottom w:val="single" w:sz="4" w:space="0" w:color="auto"/>
              <w:right w:val="single" w:sz="4" w:space="0" w:color="auto"/>
            </w:tcBorders>
            <w:shd w:val="clear" w:color="auto" w:fill="auto"/>
            <w:noWrap/>
            <w:vAlign w:val="center"/>
          </w:tcPr>
          <w:p w14:paraId="45C072D4" w14:textId="77777777" w:rsidR="000352E0" w:rsidRPr="006064AB" w:rsidRDefault="000352E0" w:rsidP="004A67B5">
            <w:pPr>
              <w:ind w:right="113"/>
              <w:jc w:val="right"/>
              <w:rPr>
                <w:rFonts w:eastAsia="Times New Roman"/>
                <w:color w:val="000000"/>
                <w:sz w:val="20"/>
                <w:szCs w:val="20"/>
                <w:lang w:eastAsia="cs-CZ"/>
              </w:rPr>
            </w:pPr>
            <w:r>
              <w:rPr>
                <w:rFonts w:eastAsia="Times New Roman"/>
                <w:color w:val="000000"/>
                <w:sz w:val="20"/>
                <w:szCs w:val="20"/>
                <w:lang w:eastAsia="cs-CZ"/>
              </w:rPr>
              <w:t>0,32</w:t>
            </w:r>
          </w:p>
        </w:tc>
        <w:tc>
          <w:tcPr>
            <w:tcW w:w="878" w:type="pct"/>
            <w:tcBorders>
              <w:top w:val="single" w:sz="4" w:space="0" w:color="auto"/>
              <w:left w:val="nil"/>
              <w:bottom w:val="single" w:sz="4" w:space="0" w:color="auto"/>
              <w:right w:val="single" w:sz="4" w:space="0" w:color="auto"/>
            </w:tcBorders>
            <w:shd w:val="clear" w:color="auto" w:fill="auto"/>
            <w:noWrap/>
            <w:vAlign w:val="center"/>
          </w:tcPr>
          <w:p w14:paraId="030202A4" w14:textId="77777777" w:rsidR="000352E0" w:rsidRPr="006064AB" w:rsidRDefault="000352E0" w:rsidP="004A67B5">
            <w:pPr>
              <w:ind w:right="113"/>
              <w:jc w:val="right"/>
              <w:rPr>
                <w:rFonts w:eastAsia="Times New Roman"/>
                <w:color w:val="000000"/>
                <w:sz w:val="20"/>
                <w:szCs w:val="20"/>
                <w:lang w:eastAsia="cs-CZ"/>
              </w:rPr>
            </w:pPr>
            <w:r>
              <w:rPr>
                <w:rFonts w:eastAsia="Times New Roman"/>
                <w:color w:val="000000"/>
                <w:sz w:val="20"/>
                <w:szCs w:val="20"/>
                <w:lang w:eastAsia="cs-CZ"/>
              </w:rPr>
              <w:t>1,60</w:t>
            </w:r>
          </w:p>
        </w:tc>
      </w:tr>
    </w:tbl>
    <w:p w14:paraId="5487DAE6" w14:textId="51F98B72" w:rsidR="0004367C" w:rsidRDefault="0004367C" w:rsidP="00955553">
      <w:pPr>
        <w:pStyle w:val="Zdrojeapozn"/>
      </w:pPr>
      <w:r w:rsidRPr="00F13367">
        <w:t>Zdroj:</w:t>
      </w:r>
      <w:r w:rsidR="00F11983">
        <w:t xml:space="preserve"> </w:t>
      </w:r>
      <w:r w:rsidR="00F11983" w:rsidRPr="00296D21">
        <w:rPr>
          <w:b w:val="0"/>
        </w:rPr>
        <w:t>i</w:t>
      </w:r>
      <w:r w:rsidRPr="00296D21">
        <w:rPr>
          <w:b w:val="0"/>
        </w:rPr>
        <w:t>nformace MŽP a ČHMÚ.</w:t>
      </w:r>
      <w:r>
        <w:br w:type="page"/>
      </w:r>
    </w:p>
    <w:p w14:paraId="7AE5961F" w14:textId="04CBB6B5" w:rsidR="0004367C" w:rsidRPr="000352E0" w:rsidRDefault="0004367C" w:rsidP="000352E0">
      <w:pPr>
        <w:spacing w:before="120" w:after="40"/>
        <w:rPr>
          <w:b/>
        </w:rPr>
      </w:pPr>
      <w:r w:rsidRPr="000352E0">
        <w:rPr>
          <w:b/>
        </w:rPr>
        <w:lastRenderedPageBreak/>
        <w:t>Tabulk</w:t>
      </w:r>
      <w:r w:rsidR="00885A90">
        <w:rPr>
          <w:b/>
        </w:rPr>
        <w:t xml:space="preserve">a č. 5: </w:t>
      </w:r>
      <w:r w:rsidRPr="000352E0">
        <w:rPr>
          <w:b/>
        </w:rPr>
        <w:t>Nedodržení IL pro průměrnou roční koncentraci B(a)P v letech 2013–2022</w:t>
      </w:r>
    </w:p>
    <w:tbl>
      <w:tblPr>
        <w:tblW w:w="5000" w:type="pct"/>
        <w:tblCellMar>
          <w:left w:w="70" w:type="dxa"/>
          <w:right w:w="70" w:type="dxa"/>
        </w:tblCellMar>
        <w:tblLook w:val="04A0" w:firstRow="1" w:lastRow="0" w:firstColumn="1" w:lastColumn="0" w:noHBand="0" w:noVBand="1"/>
      </w:tblPr>
      <w:tblGrid>
        <w:gridCol w:w="1606"/>
        <w:gridCol w:w="1606"/>
        <w:gridCol w:w="2171"/>
        <w:gridCol w:w="2079"/>
        <w:gridCol w:w="1600"/>
      </w:tblGrid>
      <w:tr w:rsidR="0004367C" w:rsidRPr="006064AB" w14:paraId="2056B724" w14:textId="77777777" w:rsidTr="004A67B5">
        <w:trPr>
          <w:trHeight w:val="20"/>
        </w:trPr>
        <w:tc>
          <w:tcPr>
            <w:tcW w:w="8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4BD2B08" w14:textId="35FCC4B8" w:rsidR="0004367C" w:rsidRPr="006064AB" w:rsidRDefault="0004367C" w:rsidP="009F75A3">
            <w:pPr>
              <w:jc w:val="center"/>
              <w:rPr>
                <w:rFonts w:eastAsia="Times New Roman"/>
                <w:b/>
                <w:bCs/>
                <w:sz w:val="20"/>
                <w:szCs w:val="20"/>
                <w:lang w:eastAsia="cs-CZ"/>
              </w:rPr>
            </w:pPr>
            <w:r w:rsidRPr="006064AB">
              <w:rPr>
                <w:rFonts w:eastAsia="Times New Roman"/>
                <w:b/>
                <w:bCs/>
                <w:sz w:val="20"/>
                <w:szCs w:val="20"/>
                <w:lang w:eastAsia="cs-CZ"/>
              </w:rPr>
              <w:t>Rok</w:t>
            </w:r>
            <w:r w:rsidR="00F11983" w:rsidRPr="00140ED3">
              <w:rPr>
                <w:rFonts w:eastAsia="Times New Roman"/>
                <w:b/>
                <w:bCs/>
                <w:sz w:val="20"/>
                <w:szCs w:val="20"/>
                <w:lang w:eastAsia="cs-CZ"/>
              </w:rPr>
              <w:t xml:space="preserve"> /</w:t>
            </w:r>
            <w:r w:rsidR="00F11983">
              <w:rPr>
                <w:rFonts w:eastAsia="Times New Roman"/>
                <w:b/>
                <w:bCs/>
                <w:sz w:val="20"/>
                <w:szCs w:val="20"/>
                <w:lang w:eastAsia="cs-CZ"/>
              </w:rPr>
              <w:t xml:space="preserve"> </w:t>
            </w:r>
            <w:r w:rsidR="00F11983" w:rsidRPr="00140ED3">
              <w:rPr>
                <w:rFonts w:eastAsia="Times New Roman"/>
                <w:b/>
                <w:bCs/>
                <w:sz w:val="20"/>
                <w:szCs w:val="20"/>
                <w:lang w:eastAsia="cs-CZ"/>
              </w:rPr>
              <w:t>pětiletý průměr</w:t>
            </w:r>
          </w:p>
        </w:tc>
        <w:tc>
          <w:tcPr>
            <w:tcW w:w="886" w:type="pct"/>
            <w:tcBorders>
              <w:top w:val="single" w:sz="4" w:space="0" w:color="auto"/>
              <w:left w:val="nil"/>
              <w:bottom w:val="single" w:sz="4" w:space="0" w:color="auto"/>
              <w:right w:val="single" w:sz="4" w:space="0" w:color="auto"/>
            </w:tcBorders>
            <w:shd w:val="clear" w:color="auto" w:fill="F2F2F2"/>
            <w:vAlign w:val="center"/>
            <w:hideMark/>
          </w:tcPr>
          <w:p w14:paraId="7828B0D6" w14:textId="77777777" w:rsidR="0004367C" w:rsidRPr="006064AB" w:rsidRDefault="0004367C" w:rsidP="009F75A3">
            <w:pPr>
              <w:jc w:val="center"/>
              <w:rPr>
                <w:rFonts w:eastAsia="Times New Roman"/>
                <w:b/>
                <w:bCs/>
                <w:sz w:val="20"/>
                <w:szCs w:val="20"/>
                <w:lang w:eastAsia="cs-CZ"/>
              </w:rPr>
            </w:pPr>
            <w:r w:rsidRPr="006064AB">
              <w:rPr>
                <w:rFonts w:eastAsia="Times New Roman"/>
                <w:b/>
                <w:bCs/>
                <w:sz w:val="20"/>
                <w:szCs w:val="20"/>
                <w:lang w:eastAsia="cs-CZ"/>
              </w:rPr>
              <w:t>Celkem stanic</w:t>
            </w:r>
          </w:p>
        </w:tc>
        <w:tc>
          <w:tcPr>
            <w:tcW w:w="1197" w:type="pct"/>
            <w:tcBorders>
              <w:top w:val="single" w:sz="4" w:space="0" w:color="auto"/>
              <w:left w:val="nil"/>
              <w:bottom w:val="single" w:sz="4" w:space="0" w:color="auto"/>
              <w:right w:val="single" w:sz="4" w:space="0" w:color="auto"/>
            </w:tcBorders>
            <w:shd w:val="clear" w:color="auto" w:fill="F2F2F2"/>
            <w:vAlign w:val="center"/>
            <w:hideMark/>
          </w:tcPr>
          <w:p w14:paraId="4C150744" w14:textId="01F4AEE3" w:rsidR="0004367C" w:rsidRPr="006064AB" w:rsidRDefault="0004367C" w:rsidP="009F75A3">
            <w:pPr>
              <w:jc w:val="center"/>
              <w:rPr>
                <w:rFonts w:eastAsia="Times New Roman"/>
                <w:b/>
                <w:bCs/>
                <w:sz w:val="20"/>
                <w:szCs w:val="20"/>
                <w:lang w:eastAsia="cs-CZ"/>
              </w:rPr>
            </w:pPr>
            <w:r w:rsidRPr="006064AB">
              <w:rPr>
                <w:rFonts w:eastAsia="Times New Roman"/>
                <w:b/>
                <w:bCs/>
                <w:sz w:val="20"/>
                <w:szCs w:val="20"/>
                <w:lang w:eastAsia="cs-CZ"/>
              </w:rPr>
              <w:t>Počet (podíl) stanic s</w:t>
            </w:r>
            <w:r w:rsidR="004A67B5">
              <w:rPr>
                <w:rFonts w:eastAsia="Times New Roman"/>
                <w:b/>
                <w:bCs/>
                <w:sz w:val="20"/>
                <w:szCs w:val="20"/>
                <w:lang w:eastAsia="cs-CZ"/>
              </w:rPr>
              <w:t> </w:t>
            </w:r>
            <w:r w:rsidRPr="006064AB">
              <w:rPr>
                <w:rFonts w:eastAsia="Times New Roman"/>
                <w:b/>
                <w:bCs/>
                <w:sz w:val="20"/>
                <w:szCs w:val="20"/>
                <w:lang w:eastAsia="cs-CZ"/>
              </w:rPr>
              <w:t xml:space="preserve">nedodrženým </w:t>
            </w:r>
            <w:r>
              <w:rPr>
                <w:rFonts w:eastAsia="Times New Roman"/>
                <w:b/>
                <w:bCs/>
                <w:sz w:val="20"/>
                <w:szCs w:val="20"/>
                <w:lang w:eastAsia="cs-CZ"/>
              </w:rPr>
              <w:t>IL</w:t>
            </w:r>
          </w:p>
        </w:tc>
        <w:tc>
          <w:tcPr>
            <w:tcW w:w="1147" w:type="pct"/>
            <w:tcBorders>
              <w:top w:val="single" w:sz="4" w:space="0" w:color="auto"/>
              <w:left w:val="nil"/>
              <w:bottom w:val="single" w:sz="4" w:space="0" w:color="auto"/>
              <w:right w:val="single" w:sz="4" w:space="0" w:color="auto"/>
            </w:tcBorders>
            <w:shd w:val="clear" w:color="auto" w:fill="F2F2F2"/>
            <w:vAlign w:val="center"/>
            <w:hideMark/>
          </w:tcPr>
          <w:p w14:paraId="57DDDBDC" w14:textId="484BBDD3" w:rsidR="0004367C" w:rsidRPr="006064AB" w:rsidRDefault="0004367C" w:rsidP="004A67B5">
            <w:pPr>
              <w:jc w:val="center"/>
              <w:rPr>
                <w:rFonts w:eastAsia="Times New Roman"/>
                <w:b/>
                <w:bCs/>
                <w:sz w:val="20"/>
                <w:szCs w:val="20"/>
                <w:lang w:eastAsia="cs-CZ"/>
              </w:rPr>
            </w:pPr>
            <w:r w:rsidRPr="006064AB">
              <w:rPr>
                <w:rFonts w:eastAsia="Times New Roman"/>
                <w:b/>
                <w:bCs/>
                <w:sz w:val="20"/>
                <w:szCs w:val="20"/>
                <w:lang w:eastAsia="cs-CZ"/>
              </w:rPr>
              <w:t>Zasažená plocha</w:t>
            </w:r>
            <w:r w:rsidR="00A55226">
              <w:rPr>
                <w:rFonts w:eastAsia="Times New Roman"/>
                <w:b/>
                <w:bCs/>
                <w:sz w:val="20"/>
                <w:szCs w:val="20"/>
                <w:lang w:eastAsia="cs-CZ"/>
              </w:rPr>
              <w:t xml:space="preserve"> </w:t>
            </w:r>
            <w:r w:rsidR="004A67B5">
              <w:rPr>
                <w:rFonts w:eastAsia="Times New Roman"/>
                <w:b/>
                <w:bCs/>
                <w:sz w:val="20"/>
                <w:szCs w:val="20"/>
                <w:lang w:eastAsia="cs-CZ"/>
              </w:rPr>
              <w:br/>
            </w:r>
            <w:r w:rsidR="00A55226">
              <w:rPr>
                <w:rFonts w:eastAsia="Times New Roman"/>
                <w:b/>
                <w:bCs/>
                <w:sz w:val="20"/>
                <w:szCs w:val="20"/>
                <w:lang w:eastAsia="cs-CZ"/>
              </w:rPr>
              <w:t>území ČR</w:t>
            </w:r>
            <w:r w:rsidR="004A67B5">
              <w:rPr>
                <w:rFonts w:eastAsia="Times New Roman"/>
                <w:b/>
                <w:bCs/>
                <w:sz w:val="20"/>
                <w:szCs w:val="20"/>
                <w:lang w:eastAsia="cs-CZ"/>
              </w:rPr>
              <w:t xml:space="preserve"> </w:t>
            </w:r>
            <w:r w:rsidRPr="00140ED3">
              <w:rPr>
                <w:rFonts w:eastAsia="Times New Roman"/>
                <w:b/>
                <w:bCs/>
                <w:sz w:val="20"/>
                <w:szCs w:val="20"/>
                <w:lang w:val="en-GB" w:eastAsia="cs-CZ"/>
              </w:rPr>
              <w:t>[</w:t>
            </w:r>
            <w:r w:rsidRPr="00140ED3">
              <w:rPr>
                <w:rFonts w:eastAsia="Times New Roman"/>
                <w:b/>
                <w:bCs/>
                <w:sz w:val="20"/>
                <w:szCs w:val="20"/>
                <w:lang w:eastAsia="cs-CZ"/>
              </w:rPr>
              <w:t>%</w:t>
            </w:r>
            <w:r w:rsidRPr="00140ED3">
              <w:rPr>
                <w:rFonts w:eastAsia="Times New Roman"/>
                <w:b/>
                <w:bCs/>
                <w:sz w:val="20"/>
                <w:szCs w:val="20"/>
                <w:lang w:val="en-GB" w:eastAsia="cs-CZ"/>
              </w:rPr>
              <w:t>]</w:t>
            </w:r>
          </w:p>
        </w:tc>
        <w:tc>
          <w:tcPr>
            <w:tcW w:w="884" w:type="pct"/>
            <w:tcBorders>
              <w:top w:val="single" w:sz="4" w:space="0" w:color="auto"/>
              <w:left w:val="nil"/>
              <w:bottom w:val="single" w:sz="4" w:space="0" w:color="auto"/>
              <w:right w:val="single" w:sz="4" w:space="0" w:color="auto"/>
            </w:tcBorders>
            <w:shd w:val="clear" w:color="auto" w:fill="F2F2F2"/>
            <w:vAlign w:val="center"/>
            <w:hideMark/>
          </w:tcPr>
          <w:p w14:paraId="75B79EDF" w14:textId="45232FEE" w:rsidR="0004367C" w:rsidRPr="006064AB" w:rsidRDefault="0004367C" w:rsidP="004A67B5">
            <w:pPr>
              <w:jc w:val="center"/>
              <w:rPr>
                <w:rFonts w:eastAsia="Times New Roman"/>
                <w:b/>
                <w:bCs/>
                <w:sz w:val="20"/>
                <w:szCs w:val="20"/>
                <w:lang w:eastAsia="cs-CZ"/>
              </w:rPr>
            </w:pPr>
            <w:r w:rsidRPr="006064AB">
              <w:rPr>
                <w:rFonts w:eastAsia="Times New Roman"/>
                <w:b/>
                <w:bCs/>
                <w:sz w:val="20"/>
                <w:szCs w:val="20"/>
                <w:lang w:eastAsia="cs-CZ"/>
              </w:rPr>
              <w:t>Zasaženo obyvatel</w:t>
            </w:r>
            <w:r w:rsidR="00A55226">
              <w:rPr>
                <w:rFonts w:eastAsia="Times New Roman"/>
                <w:b/>
                <w:bCs/>
                <w:sz w:val="20"/>
                <w:szCs w:val="20"/>
                <w:lang w:eastAsia="cs-CZ"/>
              </w:rPr>
              <w:t xml:space="preserve"> ČR</w:t>
            </w:r>
            <w:r w:rsidR="004A67B5">
              <w:rPr>
                <w:rFonts w:eastAsia="Times New Roman"/>
                <w:b/>
                <w:bCs/>
                <w:sz w:val="20"/>
                <w:szCs w:val="20"/>
                <w:lang w:eastAsia="cs-CZ"/>
              </w:rPr>
              <w:t xml:space="preserve"> </w:t>
            </w:r>
            <w:r w:rsidRPr="00140ED3">
              <w:rPr>
                <w:rFonts w:eastAsia="Times New Roman"/>
                <w:b/>
                <w:bCs/>
                <w:sz w:val="20"/>
                <w:szCs w:val="20"/>
                <w:lang w:val="en-GB" w:eastAsia="cs-CZ"/>
              </w:rPr>
              <w:t>[</w:t>
            </w:r>
            <w:r w:rsidRPr="00140ED3">
              <w:rPr>
                <w:rFonts w:eastAsia="Times New Roman"/>
                <w:b/>
                <w:bCs/>
                <w:sz w:val="20"/>
                <w:szCs w:val="20"/>
                <w:lang w:eastAsia="cs-CZ"/>
              </w:rPr>
              <w:t>%</w:t>
            </w:r>
            <w:r w:rsidRPr="00140ED3">
              <w:rPr>
                <w:rFonts w:eastAsia="Times New Roman"/>
                <w:b/>
                <w:bCs/>
                <w:sz w:val="20"/>
                <w:szCs w:val="20"/>
                <w:lang w:val="en-GB" w:eastAsia="cs-CZ"/>
              </w:rPr>
              <w:t>]</w:t>
            </w:r>
          </w:p>
        </w:tc>
      </w:tr>
      <w:tr w:rsidR="0004367C" w:rsidRPr="006064AB" w14:paraId="5C0E33C5" w14:textId="77777777" w:rsidTr="004A67B5">
        <w:trPr>
          <w:trHeight w:val="2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39BCA9BC" w14:textId="77777777" w:rsidR="0004367C" w:rsidRPr="006064AB" w:rsidRDefault="0004367C" w:rsidP="004A67B5">
            <w:pPr>
              <w:jc w:val="center"/>
              <w:rPr>
                <w:rFonts w:eastAsia="Times New Roman"/>
                <w:color w:val="000000"/>
                <w:sz w:val="20"/>
                <w:szCs w:val="20"/>
                <w:lang w:eastAsia="cs-CZ"/>
              </w:rPr>
            </w:pPr>
            <w:r w:rsidRPr="006064AB">
              <w:rPr>
                <w:rFonts w:eastAsia="Times New Roman"/>
                <w:color w:val="000000"/>
                <w:sz w:val="20"/>
                <w:szCs w:val="20"/>
                <w:lang w:eastAsia="cs-CZ"/>
              </w:rPr>
              <w:t>2013</w:t>
            </w:r>
          </w:p>
        </w:tc>
        <w:tc>
          <w:tcPr>
            <w:tcW w:w="886" w:type="pct"/>
            <w:tcBorders>
              <w:top w:val="nil"/>
              <w:left w:val="nil"/>
              <w:bottom w:val="single" w:sz="4" w:space="0" w:color="auto"/>
              <w:right w:val="single" w:sz="4" w:space="0" w:color="auto"/>
            </w:tcBorders>
            <w:shd w:val="clear" w:color="auto" w:fill="auto"/>
            <w:noWrap/>
            <w:vAlign w:val="center"/>
            <w:hideMark/>
          </w:tcPr>
          <w:p w14:paraId="15C859FB"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31</w:t>
            </w:r>
          </w:p>
        </w:tc>
        <w:tc>
          <w:tcPr>
            <w:tcW w:w="1197" w:type="pct"/>
            <w:tcBorders>
              <w:top w:val="nil"/>
              <w:left w:val="nil"/>
              <w:bottom w:val="single" w:sz="4" w:space="0" w:color="auto"/>
              <w:right w:val="single" w:sz="4" w:space="0" w:color="auto"/>
            </w:tcBorders>
            <w:shd w:val="clear" w:color="auto" w:fill="auto"/>
            <w:noWrap/>
            <w:vAlign w:val="center"/>
            <w:hideMark/>
          </w:tcPr>
          <w:p w14:paraId="4230AD01"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21 (54,5 %)</w:t>
            </w:r>
          </w:p>
        </w:tc>
        <w:tc>
          <w:tcPr>
            <w:tcW w:w="1147" w:type="pct"/>
            <w:tcBorders>
              <w:top w:val="nil"/>
              <w:left w:val="nil"/>
              <w:bottom w:val="single" w:sz="4" w:space="0" w:color="auto"/>
              <w:right w:val="single" w:sz="4" w:space="0" w:color="auto"/>
            </w:tcBorders>
            <w:shd w:val="clear" w:color="auto" w:fill="auto"/>
            <w:noWrap/>
            <w:vAlign w:val="center"/>
            <w:hideMark/>
          </w:tcPr>
          <w:p w14:paraId="6069C964"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17,37</w:t>
            </w:r>
          </w:p>
        </w:tc>
        <w:tc>
          <w:tcPr>
            <w:tcW w:w="884" w:type="pct"/>
            <w:tcBorders>
              <w:top w:val="nil"/>
              <w:left w:val="nil"/>
              <w:bottom w:val="single" w:sz="4" w:space="0" w:color="auto"/>
              <w:right w:val="single" w:sz="4" w:space="0" w:color="auto"/>
            </w:tcBorders>
            <w:shd w:val="clear" w:color="auto" w:fill="auto"/>
            <w:noWrap/>
            <w:vAlign w:val="center"/>
            <w:hideMark/>
          </w:tcPr>
          <w:p w14:paraId="555FECD9"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54,50</w:t>
            </w:r>
          </w:p>
        </w:tc>
      </w:tr>
      <w:tr w:rsidR="0004367C" w:rsidRPr="006064AB" w14:paraId="1A62D6DD" w14:textId="77777777" w:rsidTr="004A67B5">
        <w:trPr>
          <w:trHeight w:val="2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27E4FED5" w14:textId="77777777" w:rsidR="0004367C" w:rsidRPr="006064AB" w:rsidRDefault="0004367C" w:rsidP="004A67B5">
            <w:pPr>
              <w:jc w:val="center"/>
              <w:rPr>
                <w:rFonts w:eastAsia="Times New Roman"/>
                <w:color w:val="000000"/>
                <w:sz w:val="20"/>
                <w:szCs w:val="20"/>
                <w:lang w:eastAsia="cs-CZ"/>
              </w:rPr>
            </w:pPr>
            <w:r w:rsidRPr="006064AB">
              <w:rPr>
                <w:rFonts w:eastAsia="Times New Roman"/>
                <w:color w:val="000000"/>
                <w:sz w:val="20"/>
                <w:szCs w:val="20"/>
                <w:lang w:eastAsia="cs-CZ"/>
              </w:rPr>
              <w:t>2014</w:t>
            </w:r>
          </w:p>
        </w:tc>
        <w:tc>
          <w:tcPr>
            <w:tcW w:w="886" w:type="pct"/>
            <w:tcBorders>
              <w:top w:val="nil"/>
              <w:left w:val="nil"/>
              <w:bottom w:val="single" w:sz="4" w:space="0" w:color="auto"/>
              <w:right w:val="single" w:sz="4" w:space="0" w:color="auto"/>
            </w:tcBorders>
            <w:shd w:val="clear" w:color="auto" w:fill="auto"/>
            <w:noWrap/>
            <w:vAlign w:val="center"/>
            <w:hideMark/>
          </w:tcPr>
          <w:p w14:paraId="17110B4C"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31</w:t>
            </w:r>
          </w:p>
        </w:tc>
        <w:tc>
          <w:tcPr>
            <w:tcW w:w="1197" w:type="pct"/>
            <w:tcBorders>
              <w:top w:val="nil"/>
              <w:left w:val="nil"/>
              <w:bottom w:val="single" w:sz="4" w:space="0" w:color="auto"/>
              <w:right w:val="single" w:sz="4" w:space="0" w:color="auto"/>
            </w:tcBorders>
            <w:shd w:val="clear" w:color="auto" w:fill="auto"/>
            <w:noWrap/>
            <w:vAlign w:val="center"/>
            <w:hideMark/>
          </w:tcPr>
          <w:p w14:paraId="03EB14E4"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23 (51,1 %)</w:t>
            </w:r>
          </w:p>
        </w:tc>
        <w:tc>
          <w:tcPr>
            <w:tcW w:w="1147" w:type="pct"/>
            <w:tcBorders>
              <w:top w:val="nil"/>
              <w:left w:val="nil"/>
              <w:bottom w:val="single" w:sz="4" w:space="0" w:color="auto"/>
              <w:right w:val="single" w:sz="4" w:space="0" w:color="auto"/>
            </w:tcBorders>
            <w:shd w:val="clear" w:color="auto" w:fill="auto"/>
            <w:noWrap/>
            <w:vAlign w:val="center"/>
            <w:hideMark/>
          </w:tcPr>
          <w:p w14:paraId="6C8D1DBB"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10,67</w:t>
            </w:r>
          </w:p>
        </w:tc>
        <w:tc>
          <w:tcPr>
            <w:tcW w:w="884" w:type="pct"/>
            <w:tcBorders>
              <w:top w:val="nil"/>
              <w:left w:val="nil"/>
              <w:bottom w:val="single" w:sz="4" w:space="0" w:color="auto"/>
              <w:right w:val="single" w:sz="4" w:space="0" w:color="auto"/>
            </w:tcBorders>
            <w:shd w:val="clear" w:color="auto" w:fill="auto"/>
            <w:noWrap/>
            <w:vAlign w:val="center"/>
            <w:hideMark/>
          </w:tcPr>
          <w:p w14:paraId="7CBA83E5"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51,10</w:t>
            </w:r>
          </w:p>
        </w:tc>
      </w:tr>
      <w:tr w:rsidR="0004367C" w:rsidRPr="006064AB" w14:paraId="1C3568E0" w14:textId="77777777" w:rsidTr="004A67B5">
        <w:trPr>
          <w:trHeight w:val="2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5CD99AB3" w14:textId="77777777" w:rsidR="0004367C" w:rsidRPr="006064AB" w:rsidRDefault="0004367C" w:rsidP="004A67B5">
            <w:pPr>
              <w:jc w:val="center"/>
              <w:rPr>
                <w:rFonts w:eastAsia="Times New Roman"/>
                <w:color w:val="000000"/>
                <w:sz w:val="20"/>
                <w:szCs w:val="20"/>
                <w:lang w:eastAsia="cs-CZ"/>
              </w:rPr>
            </w:pPr>
            <w:r w:rsidRPr="006064AB">
              <w:rPr>
                <w:rFonts w:eastAsia="Times New Roman"/>
                <w:color w:val="000000"/>
                <w:sz w:val="20"/>
                <w:szCs w:val="20"/>
                <w:lang w:eastAsia="cs-CZ"/>
              </w:rPr>
              <w:t>2015</w:t>
            </w:r>
          </w:p>
        </w:tc>
        <w:tc>
          <w:tcPr>
            <w:tcW w:w="886" w:type="pct"/>
            <w:tcBorders>
              <w:top w:val="nil"/>
              <w:left w:val="nil"/>
              <w:bottom w:val="single" w:sz="4" w:space="0" w:color="auto"/>
              <w:right w:val="single" w:sz="4" w:space="0" w:color="auto"/>
            </w:tcBorders>
            <w:shd w:val="clear" w:color="auto" w:fill="auto"/>
            <w:noWrap/>
            <w:vAlign w:val="center"/>
            <w:hideMark/>
          </w:tcPr>
          <w:p w14:paraId="2310AAA2"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34</w:t>
            </w:r>
          </w:p>
        </w:tc>
        <w:tc>
          <w:tcPr>
            <w:tcW w:w="1197" w:type="pct"/>
            <w:tcBorders>
              <w:top w:val="nil"/>
              <w:left w:val="nil"/>
              <w:bottom w:val="single" w:sz="4" w:space="0" w:color="auto"/>
              <w:right w:val="single" w:sz="4" w:space="0" w:color="auto"/>
            </w:tcBorders>
            <w:shd w:val="clear" w:color="auto" w:fill="auto"/>
            <w:noWrap/>
            <w:vAlign w:val="center"/>
            <w:hideMark/>
          </w:tcPr>
          <w:p w14:paraId="516EC804"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21 (50,8 %)</w:t>
            </w:r>
          </w:p>
        </w:tc>
        <w:tc>
          <w:tcPr>
            <w:tcW w:w="1147" w:type="pct"/>
            <w:tcBorders>
              <w:top w:val="nil"/>
              <w:left w:val="nil"/>
              <w:bottom w:val="single" w:sz="4" w:space="0" w:color="auto"/>
              <w:right w:val="single" w:sz="4" w:space="0" w:color="auto"/>
            </w:tcBorders>
            <w:shd w:val="clear" w:color="auto" w:fill="auto"/>
            <w:noWrap/>
            <w:vAlign w:val="center"/>
            <w:hideMark/>
          </w:tcPr>
          <w:p w14:paraId="21FC2004"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20,35</w:t>
            </w:r>
          </w:p>
        </w:tc>
        <w:tc>
          <w:tcPr>
            <w:tcW w:w="884" w:type="pct"/>
            <w:tcBorders>
              <w:top w:val="nil"/>
              <w:left w:val="nil"/>
              <w:bottom w:val="single" w:sz="4" w:space="0" w:color="auto"/>
              <w:right w:val="single" w:sz="4" w:space="0" w:color="auto"/>
            </w:tcBorders>
            <w:shd w:val="clear" w:color="auto" w:fill="auto"/>
            <w:noWrap/>
            <w:vAlign w:val="center"/>
            <w:hideMark/>
          </w:tcPr>
          <w:p w14:paraId="6064F5C5"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50,80</w:t>
            </w:r>
          </w:p>
        </w:tc>
      </w:tr>
      <w:tr w:rsidR="0004367C" w:rsidRPr="006064AB" w14:paraId="158EC3DC" w14:textId="77777777" w:rsidTr="004A67B5">
        <w:trPr>
          <w:trHeight w:val="2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480518D7" w14:textId="77777777" w:rsidR="0004367C" w:rsidRPr="006064AB" w:rsidRDefault="0004367C" w:rsidP="004A67B5">
            <w:pPr>
              <w:jc w:val="center"/>
              <w:rPr>
                <w:rFonts w:eastAsia="Times New Roman"/>
                <w:color w:val="000000"/>
                <w:sz w:val="20"/>
                <w:szCs w:val="20"/>
                <w:lang w:eastAsia="cs-CZ"/>
              </w:rPr>
            </w:pPr>
            <w:r w:rsidRPr="006064AB">
              <w:rPr>
                <w:rFonts w:eastAsia="Times New Roman"/>
                <w:color w:val="000000"/>
                <w:sz w:val="20"/>
                <w:szCs w:val="20"/>
                <w:lang w:eastAsia="cs-CZ"/>
              </w:rPr>
              <w:t>2016</w:t>
            </w:r>
          </w:p>
        </w:tc>
        <w:tc>
          <w:tcPr>
            <w:tcW w:w="886" w:type="pct"/>
            <w:tcBorders>
              <w:top w:val="nil"/>
              <w:left w:val="nil"/>
              <w:bottom w:val="single" w:sz="4" w:space="0" w:color="auto"/>
              <w:right w:val="single" w:sz="4" w:space="0" w:color="auto"/>
            </w:tcBorders>
            <w:shd w:val="clear" w:color="auto" w:fill="auto"/>
            <w:noWrap/>
            <w:vAlign w:val="center"/>
            <w:hideMark/>
          </w:tcPr>
          <w:p w14:paraId="0696C42E"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44</w:t>
            </w:r>
          </w:p>
        </w:tc>
        <w:tc>
          <w:tcPr>
            <w:tcW w:w="1197" w:type="pct"/>
            <w:tcBorders>
              <w:top w:val="nil"/>
              <w:left w:val="nil"/>
              <w:bottom w:val="single" w:sz="4" w:space="0" w:color="auto"/>
              <w:right w:val="single" w:sz="4" w:space="0" w:color="auto"/>
            </w:tcBorders>
            <w:shd w:val="clear" w:color="auto" w:fill="auto"/>
            <w:noWrap/>
            <w:vAlign w:val="center"/>
            <w:hideMark/>
          </w:tcPr>
          <w:p w14:paraId="60F0C48B"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31 (55,7 %)</w:t>
            </w:r>
          </w:p>
        </w:tc>
        <w:tc>
          <w:tcPr>
            <w:tcW w:w="1147" w:type="pct"/>
            <w:tcBorders>
              <w:top w:val="nil"/>
              <w:left w:val="nil"/>
              <w:bottom w:val="single" w:sz="4" w:space="0" w:color="auto"/>
              <w:right w:val="single" w:sz="4" w:space="0" w:color="auto"/>
            </w:tcBorders>
            <w:shd w:val="clear" w:color="auto" w:fill="auto"/>
            <w:noWrap/>
            <w:vAlign w:val="center"/>
            <w:hideMark/>
          </w:tcPr>
          <w:p w14:paraId="0FB0EC4E"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25,89</w:t>
            </w:r>
          </w:p>
        </w:tc>
        <w:tc>
          <w:tcPr>
            <w:tcW w:w="884" w:type="pct"/>
            <w:tcBorders>
              <w:top w:val="nil"/>
              <w:left w:val="nil"/>
              <w:bottom w:val="single" w:sz="4" w:space="0" w:color="auto"/>
              <w:right w:val="single" w:sz="4" w:space="0" w:color="auto"/>
            </w:tcBorders>
            <w:shd w:val="clear" w:color="auto" w:fill="auto"/>
            <w:noWrap/>
            <w:vAlign w:val="center"/>
            <w:hideMark/>
          </w:tcPr>
          <w:p w14:paraId="11661DB8"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55,70</w:t>
            </w:r>
          </w:p>
        </w:tc>
      </w:tr>
      <w:tr w:rsidR="0004367C" w:rsidRPr="006064AB" w14:paraId="4D6B0FB2" w14:textId="77777777" w:rsidTr="004A67B5">
        <w:trPr>
          <w:trHeight w:val="2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20FC8240" w14:textId="77777777" w:rsidR="0004367C" w:rsidRPr="006064AB" w:rsidRDefault="0004367C" w:rsidP="004A67B5">
            <w:pPr>
              <w:jc w:val="center"/>
              <w:rPr>
                <w:rFonts w:eastAsia="Times New Roman"/>
                <w:color w:val="000000"/>
                <w:sz w:val="20"/>
                <w:szCs w:val="20"/>
                <w:lang w:eastAsia="cs-CZ"/>
              </w:rPr>
            </w:pPr>
            <w:r w:rsidRPr="006064AB">
              <w:rPr>
                <w:rFonts w:eastAsia="Times New Roman"/>
                <w:color w:val="000000"/>
                <w:sz w:val="20"/>
                <w:szCs w:val="20"/>
                <w:lang w:eastAsia="cs-CZ"/>
              </w:rPr>
              <w:t>2017</w:t>
            </w:r>
          </w:p>
        </w:tc>
        <w:tc>
          <w:tcPr>
            <w:tcW w:w="886" w:type="pct"/>
            <w:tcBorders>
              <w:top w:val="nil"/>
              <w:left w:val="nil"/>
              <w:bottom w:val="single" w:sz="4" w:space="0" w:color="auto"/>
              <w:right w:val="single" w:sz="4" w:space="0" w:color="auto"/>
            </w:tcBorders>
            <w:shd w:val="clear" w:color="auto" w:fill="auto"/>
            <w:noWrap/>
            <w:vAlign w:val="center"/>
            <w:hideMark/>
          </w:tcPr>
          <w:p w14:paraId="121D94FD"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38</w:t>
            </w:r>
          </w:p>
        </w:tc>
        <w:tc>
          <w:tcPr>
            <w:tcW w:w="1197" w:type="pct"/>
            <w:tcBorders>
              <w:top w:val="nil"/>
              <w:left w:val="nil"/>
              <w:bottom w:val="single" w:sz="4" w:space="0" w:color="auto"/>
              <w:right w:val="single" w:sz="4" w:space="0" w:color="auto"/>
            </w:tcBorders>
            <w:shd w:val="clear" w:color="auto" w:fill="auto"/>
            <w:noWrap/>
            <w:vAlign w:val="center"/>
            <w:hideMark/>
          </w:tcPr>
          <w:p w14:paraId="13E9692E"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25 (66 %)</w:t>
            </w:r>
          </w:p>
        </w:tc>
        <w:tc>
          <w:tcPr>
            <w:tcW w:w="1147" w:type="pct"/>
            <w:tcBorders>
              <w:top w:val="nil"/>
              <w:left w:val="nil"/>
              <w:bottom w:val="single" w:sz="4" w:space="0" w:color="auto"/>
              <w:right w:val="single" w:sz="4" w:space="0" w:color="auto"/>
            </w:tcBorders>
            <w:shd w:val="clear" w:color="auto" w:fill="auto"/>
            <w:noWrap/>
            <w:vAlign w:val="center"/>
            <w:hideMark/>
          </w:tcPr>
          <w:p w14:paraId="7C74D72F"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26,00</w:t>
            </w:r>
          </w:p>
        </w:tc>
        <w:tc>
          <w:tcPr>
            <w:tcW w:w="884" w:type="pct"/>
            <w:tcBorders>
              <w:top w:val="nil"/>
              <w:left w:val="nil"/>
              <w:bottom w:val="single" w:sz="4" w:space="0" w:color="auto"/>
              <w:right w:val="single" w:sz="4" w:space="0" w:color="auto"/>
            </w:tcBorders>
            <w:shd w:val="clear" w:color="auto" w:fill="auto"/>
            <w:noWrap/>
            <w:vAlign w:val="center"/>
            <w:hideMark/>
          </w:tcPr>
          <w:p w14:paraId="29701F3C"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61,80</w:t>
            </w:r>
          </w:p>
        </w:tc>
      </w:tr>
      <w:tr w:rsidR="0004367C" w:rsidRPr="006064AB" w14:paraId="49C67B9D" w14:textId="77777777" w:rsidTr="004A67B5">
        <w:trPr>
          <w:trHeight w:val="2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1F4603C5" w14:textId="77777777" w:rsidR="0004367C" w:rsidRPr="006064AB" w:rsidRDefault="0004367C" w:rsidP="004A67B5">
            <w:pPr>
              <w:jc w:val="center"/>
              <w:rPr>
                <w:rFonts w:eastAsia="Times New Roman"/>
                <w:color w:val="000000"/>
                <w:sz w:val="20"/>
                <w:szCs w:val="20"/>
                <w:lang w:eastAsia="cs-CZ"/>
              </w:rPr>
            </w:pPr>
            <w:r w:rsidRPr="006064AB">
              <w:rPr>
                <w:rFonts w:eastAsia="Times New Roman"/>
                <w:color w:val="000000"/>
                <w:sz w:val="20"/>
                <w:szCs w:val="20"/>
                <w:lang w:eastAsia="cs-CZ"/>
              </w:rPr>
              <w:t>2018</w:t>
            </w:r>
          </w:p>
        </w:tc>
        <w:tc>
          <w:tcPr>
            <w:tcW w:w="886" w:type="pct"/>
            <w:tcBorders>
              <w:top w:val="nil"/>
              <w:left w:val="nil"/>
              <w:bottom w:val="single" w:sz="4" w:space="0" w:color="auto"/>
              <w:right w:val="single" w:sz="4" w:space="0" w:color="auto"/>
            </w:tcBorders>
            <w:shd w:val="clear" w:color="auto" w:fill="auto"/>
            <w:noWrap/>
            <w:vAlign w:val="center"/>
            <w:hideMark/>
          </w:tcPr>
          <w:p w14:paraId="5C0B69D1"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39</w:t>
            </w:r>
          </w:p>
        </w:tc>
        <w:tc>
          <w:tcPr>
            <w:tcW w:w="1197" w:type="pct"/>
            <w:tcBorders>
              <w:top w:val="nil"/>
              <w:left w:val="nil"/>
              <w:bottom w:val="single" w:sz="4" w:space="0" w:color="auto"/>
              <w:right w:val="single" w:sz="4" w:space="0" w:color="auto"/>
            </w:tcBorders>
            <w:shd w:val="clear" w:color="auto" w:fill="auto"/>
            <w:noWrap/>
            <w:vAlign w:val="center"/>
            <w:hideMark/>
          </w:tcPr>
          <w:p w14:paraId="3CE75B2E"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22 (56 %)</w:t>
            </w:r>
          </w:p>
        </w:tc>
        <w:tc>
          <w:tcPr>
            <w:tcW w:w="1147" w:type="pct"/>
            <w:tcBorders>
              <w:top w:val="nil"/>
              <w:left w:val="nil"/>
              <w:bottom w:val="single" w:sz="4" w:space="0" w:color="auto"/>
              <w:right w:val="single" w:sz="4" w:space="0" w:color="auto"/>
            </w:tcBorders>
            <w:shd w:val="clear" w:color="auto" w:fill="auto"/>
            <w:noWrap/>
            <w:vAlign w:val="center"/>
            <w:hideMark/>
          </w:tcPr>
          <w:p w14:paraId="12A1CEE7"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12,60</w:t>
            </w:r>
          </w:p>
        </w:tc>
        <w:tc>
          <w:tcPr>
            <w:tcW w:w="884" w:type="pct"/>
            <w:tcBorders>
              <w:top w:val="nil"/>
              <w:left w:val="nil"/>
              <w:bottom w:val="single" w:sz="4" w:space="0" w:color="auto"/>
              <w:right w:val="single" w:sz="4" w:space="0" w:color="auto"/>
            </w:tcBorders>
            <w:shd w:val="clear" w:color="auto" w:fill="auto"/>
            <w:noWrap/>
            <w:vAlign w:val="center"/>
            <w:hideMark/>
          </w:tcPr>
          <w:p w14:paraId="648B2991"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35,50</w:t>
            </w:r>
          </w:p>
        </w:tc>
      </w:tr>
      <w:tr w:rsidR="0004367C" w:rsidRPr="006064AB" w14:paraId="6AC92A75" w14:textId="77777777" w:rsidTr="004A67B5">
        <w:trPr>
          <w:trHeight w:val="2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5E810B01" w14:textId="77777777" w:rsidR="0004367C" w:rsidRPr="006064AB" w:rsidRDefault="0004367C" w:rsidP="004A67B5">
            <w:pPr>
              <w:jc w:val="center"/>
              <w:rPr>
                <w:rFonts w:eastAsia="Times New Roman"/>
                <w:color w:val="000000"/>
                <w:sz w:val="20"/>
                <w:szCs w:val="20"/>
                <w:lang w:eastAsia="cs-CZ"/>
              </w:rPr>
            </w:pPr>
            <w:r w:rsidRPr="006064AB">
              <w:rPr>
                <w:rFonts w:eastAsia="Times New Roman"/>
                <w:color w:val="000000"/>
                <w:sz w:val="20"/>
                <w:szCs w:val="20"/>
                <w:lang w:eastAsia="cs-CZ"/>
              </w:rPr>
              <w:t>2019</w:t>
            </w:r>
          </w:p>
        </w:tc>
        <w:tc>
          <w:tcPr>
            <w:tcW w:w="886" w:type="pct"/>
            <w:tcBorders>
              <w:top w:val="nil"/>
              <w:left w:val="nil"/>
              <w:bottom w:val="single" w:sz="4" w:space="0" w:color="auto"/>
              <w:right w:val="single" w:sz="4" w:space="0" w:color="auto"/>
            </w:tcBorders>
            <w:shd w:val="clear" w:color="auto" w:fill="auto"/>
            <w:noWrap/>
            <w:vAlign w:val="center"/>
            <w:hideMark/>
          </w:tcPr>
          <w:p w14:paraId="178FFE75"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46</w:t>
            </w:r>
          </w:p>
        </w:tc>
        <w:tc>
          <w:tcPr>
            <w:tcW w:w="1197" w:type="pct"/>
            <w:tcBorders>
              <w:top w:val="nil"/>
              <w:left w:val="nil"/>
              <w:bottom w:val="single" w:sz="4" w:space="0" w:color="auto"/>
              <w:right w:val="single" w:sz="4" w:space="0" w:color="auto"/>
            </w:tcBorders>
            <w:shd w:val="clear" w:color="auto" w:fill="auto"/>
            <w:noWrap/>
            <w:vAlign w:val="center"/>
            <w:hideMark/>
          </w:tcPr>
          <w:p w14:paraId="0A2180DC"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19 (41 %)</w:t>
            </w:r>
          </w:p>
        </w:tc>
        <w:tc>
          <w:tcPr>
            <w:tcW w:w="1147" w:type="pct"/>
            <w:tcBorders>
              <w:top w:val="nil"/>
              <w:left w:val="nil"/>
              <w:bottom w:val="single" w:sz="4" w:space="0" w:color="auto"/>
              <w:right w:val="single" w:sz="4" w:space="0" w:color="auto"/>
            </w:tcBorders>
            <w:shd w:val="clear" w:color="auto" w:fill="auto"/>
            <w:noWrap/>
            <w:vAlign w:val="center"/>
            <w:hideMark/>
          </w:tcPr>
          <w:p w14:paraId="42592DCC"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8,40</w:t>
            </w:r>
          </w:p>
        </w:tc>
        <w:tc>
          <w:tcPr>
            <w:tcW w:w="884" w:type="pct"/>
            <w:tcBorders>
              <w:top w:val="nil"/>
              <w:left w:val="nil"/>
              <w:bottom w:val="single" w:sz="4" w:space="0" w:color="auto"/>
              <w:right w:val="single" w:sz="4" w:space="0" w:color="auto"/>
            </w:tcBorders>
            <w:shd w:val="clear" w:color="auto" w:fill="auto"/>
            <w:noWrap/>
            <w:vAlign w:val="center"/>
            <w:hideMark/>
          </w:tcPr>
          <w:p w14:paraId="723EB596"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27,50</w:t>
            </w:r>
          </w:p>
        </w:tc>
      </w:tr>
      <w:tr w:rsidR="0004367C" w:rsidRPr="006064AB" w14:paraId="2FD6F361" w14:textId="77777777" w:rsidTr="004A67B5">
        <w:trPr>
          <w:trHeight w:val="2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426ECB28" w14:textId="77777777" w:rsidR="0004367C" w:rsidRPr="006064AB" w:rsidRDefault="0004367C" w:rsidP="004A67B5">
            <w:pPr>
              <w:jc w:val="center"/>
              <w:rPr>
                <w:rFonts w:eastAsia="Times New Roman"/>
                <w:color w:val="000000"/>
                <w:sz w:val="20"/>
                <w:szCs w:val="20"/>
                <w:lang w:eastAsia="cs-CZ"/>
              </w:rPr>
            </w:pPr>
            <w:r w:rsidRPr="006064AB">
              <w:rPr>
                <w:rFonts w:eastAsia="Times New Roman"/>
                <w:color w:val="000000"/>
                <w:sz w:val="20"/>
                <w:szCs w:val="20"/>
                <w:lang w:eastAsia="cs-CZ"/>
              </w:rPr>
              <w:t>2020</w:t>
            </w:r>
          </w:p>
        </w:tc>
        <w:tc>
          <w:tcPr>
            <w:tcW w:w="886" w:type="pct"/>
            <w:tcBorders>
              <w:top w:val="nil"/>
              <w:left w:val="nil"/>
              <w:bottom w:val="single" w:sz="4" w:space="0" w:color="auto"/>
              <w:right w:val="single" w:sz="4" w:space="0" w:color="auto"/>
            </w:tcBorders>
            <w:shd w:val="clear" w:color="auto" w:fill="auto"/>
            <w:noWrap/>
            <w:vAlign w:val="center"/>
            <w:hideMark/>
          </w:tcPr>
          <w:p w14:paraId="2F7492BA"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53</w:t>
            </w:r>
          </w:p>
        </w:tc>
        <w:tc>
          <w:tcPr>
            <w:tcW w:w="1197" w:type="pct"/>
            <w:tcBorders>
              <w:top w:val="nil"/>
              <w:left w:val="nil"/>
              <w:bottom w:val="single" w:sz="4" w:space="0" w:color="auto"/>
              <w:right w:val="single" w:sz="4" w:space="0" w:color="auto"/>
            </w:tcBorders>
            <w:shd w:val="clear" w:color="auto" w:fill="auto"/>
            <w:noWrap/>
            <w:vAlign w:val="center"/>
            <w:hideMark/>
          </w:tcPr>
          <w:p w14:paraId="262DB134"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21 (40 %)</w:t>
            </w:r>
          </w:p>
        </w:tc>
        <w:tc>
          <w:tcPr>
            <w:tcW w:w="1147" w:type="pct"/>
            <w:tcBorders>
              <w:top w:val="nil"/>
              <w:left w:val="nil"/>
              <w:bottom w:val="single" w:sz="4" w:space="0" w:color="auto"/>
              <w:right w:val="single" w:sz="4" w:space="0" w:color="auto"/>
            </w:tcBorders>
            <w:shd w:val="clear" w:color="auto" w:fill="auto"/>
            <w:noWrap/>
            <w:vAlign w:val="center"/>
            <w:hideMark/>
          </w:tcPr>
          <w:p w14:paraId="41F3E43E"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4,60</w:t>
            </w:r>
          </w:p>
        </w:tc>
        <w:tc>
          <w:tcPr>
            <w:tcW w:w="884" w:type="pct"/>
            <w:tcBorders>
              <w:top w:val="nil"/>
              <w:left w:val="nil"/>
              <w:bottom w:val="single" w:sz="4" w:space="0" w:color="auto"/>
              <w:right w:val="single" w:sz="4" w:space="0" w:color="auto"/>
            </w:tcBorders>
            <w:shd w:val="clear" w:color="auto" w:fill="auto"/>
            <w:noWrap/>
            <w:vAlign w:val="center"/>
            <w:hideMark/>
          </w:tcPr>
          <w:p w14:paraId="4487FBE2"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19,00</w:t>
            </w:r>
          </w:p>
        </w:tc>
      </w:tr>
      <w:tr w:rsidR="0004367C" w:rsidRPr="006064AB" w14:paraId="4A1FDF4A" w14:textId="77777777" w:rsidTr="004A67B5">
        <w:trPr>
          <w:trHeight w:val="2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6443A7C1" w14:textId="77777777" w:rsidR="0004367C" w:rsidRPr="006064AB" w:rsidRDefault="0004367C" w:rsidP="004A67B5">
            <w:pPr>
              <w:jc w:val="center"/>
              <w:rPr>
                <w:rFonts w:eastAsia="Times New Roman"/>
                <w:color w:val="000000"/>
                <w:sz w:val="20"/>
                <w:szCs w:val="20"/>
                <w:lang w:eastAsia="cs-CZ"/>
              </w:rPr>
            </w:pPr>
            <w:r w:rsidRPr="006064AB">
              <w:rPr>
                <w:rFonts w:eastAsia="Times New Roman"/>
                <w:color w:val="000000"/>
                <w:sz w:val="20"/>
                <w:szCs w:val="20"/>
                <w:lang w:eastAsia="cs-CZ"/>
              </w:rPr>
              <w:t>2021</w:t>
            </w:r>
          </w:p>
        </w:tc>
        <w:tc>
          <w:tcPr>
            <w:tcW w:w="886" w:type="pct"/>
            <w:tcBorders>
              <w:top w:val="nil"/>
              <w:left w:val="nil"/>
              <w:bottom w:val="single" w:sz="4" w:space="0" w:color="auto"/>
              <w:right w:val="single" w:sz="4" w:space="0" w:color="auto"/>
            </w:tcBorders>
            <w:shd w:val="clear" w:color="auto" w:fill="auto"/>
            <w:noWrap/>
            <w:vAlign w:val="center"/>
            <w:hideMark/>
          </w:tcPr>
          <w:p w14:paraId="128776F3"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49</w:t>
            </w:r>
          </w:p>
        </w:tc>
        <w:tc>
          <w:tcPr>
            <w:tcW w:w="1197" w:type="pct"/>
            <w:tcBorders>
              <w:top w:val="nil"/>
              <w:left w:val="nil"/>
              <w:bottom w:val="single" w:sz="4" w:space="0" w:color="auto"/>
              <w:right w:val="single" w:sz="4" w:space="0" w:color="auto"/>
            </w:tcBorders>
            <w:shd w:val="clear" w:color="auto" w:fill="auto"/>
            <w:noWrap/>
            <w:vAlign w:val="center"/>
            <w:hideMark/>
          </w:tcPr>
          <w:p w14:paraId="71EB07F7"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19 (40 %)</w:t>
            </w:r>
          </w:p>
        </w:tc>
        <w:tc>
          <w:tcPr>
            <w:tcW w:w="1147" w:type="pct"/>
            <w:tcBorders>
              <w:top w:val="nil"/>
              <w:left w:val="nil"/>
              <w:bottom w:val="single" w:sz="4" w:space="0" w:color="auto"/>
              <w:right w:val="single" w:sz="4" w:space="0" w:color="auto"/>
            </w:tcBorders>
            <w:shd w:val="clear" w:color="auto" w:fill="auto"/>
            <w:noWrap/>
            <w:vAlign w:val="center"/>
            <w:hideMark/>
          </w:tcPr>
          <w:p w14:paraId="609D77B4"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6,10</w:t>
            </w:r>
          </w:p>
        </w:tc>
        <w:tc>
          <w:tcPr>
            <w:tcW w:w="884" w:type="pct"/>
            <w:tcBorders>
              <w:top w:val="nil"/>
              <w:left w:val="nil"/>
              <w:bottom w:val="single" w:sz="4" w:space="0" w:color="auto"/>
              <w:right w:val="single" w:sz="4" w:space="0" w:color="auto"/>
            </w:tcBorders>
            <w:shd w:val="clear" w:color="auto" w:fill="auto"/>
            <w:noWrap/>
            <w:vAlign w:val="center"/>
            <w:hideMark/>
          </w:tcPr>
          <w:p w14:paraId="140620AA"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20,00</w:t>
            </w:r>
          </w:p>
        </w:tc>
      </w:tr>
      <w:tr w:rsidR="0004367C" w:rsidRPr="006064AB" w14:paraId="0E63B855" w14:textId="77777777" w:rsidTr="004A67B5">
        <w:trPr>
          <w:trHeight w:val="20"/>
        </w:trPr>
        <w:tc>
          <w:tcPr>
            <w:tcW w:w="886" w:type="pct"/>
            <w:tcBorders>
              <w:top w:val="nil"/>
              <w:left w:val="single" w:sz="4" w:space="0" w:color="auto"/>
              <w:bottom w:val="double" w:sz="4" w:space="0" w:color="auto"/>
              <w:right w:val="single" w:sz="4" w:space="0" w:color="auto"/>
            </w:tcBorders>
            <w:shd w:val="clear" w:color="auto" w:fill="auto"/>
            <w:noWrap/>
            <w:vAlign w:val="center"/>
            <w:hideMark/>
          </w:tcPr>
          <w:p w14:paraId="43C6094D" w14:textId="77777777" w:rsidR="0004367C" w:rsidRPr="006064AB" w:rsidRDefault="0004367C" w:rsidP="004A67B5">
            <w:pPr>
              <w:jc w:val="center"/>
              <w:rPr>
                <w:rFonts w:eastAsia="Times New Roman"/>
                <w:color w:val="000000"/>
                <w:sz w:val="20"/>
                <w:szCs w:val="20"/>
                <w:lang w:eastAsia="cs-CZ"/>
              </w:rPr>
            </w:pPr>
            <w:r w:rsidRPr="006064AB">
              <w:rPr>
                <w:rFonts w:eastAsia="Times New Roman"/>
                <w:color w:val="000000"/>
                <w:sz w:val="20"/>
                <w:szCs w:val="20"/>
                <w:lang w:eastAsia="cs-CZ"/>
              </w:rPr>
              <w:t>2022</w:t>
            </w:r>
          </w:p>
        </w:tc>
        <w:tc>
          <w:tcPr>
            <w:tcW w:w="886" w:type="pct"/>
            <w:tcBorders>
              <w:top w:val="nil"/>
              <w:left w:val="nil"/>
              <w:bottom w:val="double" w:sz="4" w:space="0" w:color="auto"/>
              <w:right w:val="single" w:sz="4" w:space="0" w:color="auto"/>
            </w:tcBorders>
            <w:shd w:val="clear" w:color="auto" w:fill="auto"/>
            <w:noWrap/>
            <w:vAlign w:val="center"/>
            <w:hideMark/>
          </w:tcPr>
          <w:p w14:paraId="1F5FACA3"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51</w:t>
            </w:r>
          </w:p>
        </w:tc>
        <w:tc>
          <w:tcPr>
            <w:tcW w:w="1197" w:type="pct"/>
            <w:tcBorders>
              <w:top w:val="nil"/>
              <w:left w:val="nil"/>
              <w:bottom w:val="double" w:sz="4" w:space="0" w:color="auto"/>
              <w:right w:val="single" w:sz="4" w:space="0" w:color="auto"/>
            </w:tcBorders>
            <w:shd w:val="clear" w:color="auto" w:fill="auto"/>
            <w:noWrap/>
            <w:vAlign w:val="center"/>
            <w:hideMark/>
          </w:tcPr>
          <w:p w14:paraId="346E9EA4"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19 (37 %)</w:t>
            </w:r>
          </w:p>
        </w:tc>
        <w:tc>
          <w:tcPr>
            <w:tcW w:w="1147" w:type="pct"/>
            <w:tcBorders>
              <w:top w:val="nil"/>
              <w:left w:val="nil"/>
              <w:bottom w:val="double" w:sz="4" w:space="0" w:color="auto"/>
              <w:right w:val="single" w:sz="4" w:space="0" w:color="auto"/>
            </w:tcBorders>
            <w:shd w:val="clear" w:color="auto" w:fill="auto"/>
            <w:noWrap/>
            <w:vAlign w:val="center"/>
            <w:hideMark/>
          </w:tcPr>
          <w:p w14:paraId="12C8C09D" w14:textId="77777777" w:rsidR="0004367C" w:rsidRPr="006064AB" w:rsidRDefault="0004367C" w:rsidP="004A67B5">
            <w:pPr>
              <w:ind w:right="113"/>
              <w:jc w:val="right"/>
              <w:rPr>
                <w:rFonts w:eastAsia="Times New Roman"/>
                <w:color w:val="000000"/>
                <w:sz w:val="20"/>
                <w:szCs w:val="20"/>
                <w:lang w:eastAsia="cs-CZ"/>
              </w:rPr>
            </w:pPr>
            <w:r>
              <w:rPr>
                <w:rFonts w:eastAsia="Times New Roman"/>
                <w:color w:val="000000"/>
                <w:sz w:val="20"/>
                <w:szCs w:val="20"/>
                <w:lang w:eastAsia="cs-CZ"/>
              </w:rPr>
              <w:t>1,70</w:t>
            </w:r>
            <w:r w:rsidRPr="006064AB">
              <w:rPr>
                <w:rFonts w:eastAsia="Times New Roman"/>
                <w:color w:val="000000"/>
                <w:sz w:val="20"/>
                <w:szCs w:val="20"/>
                <w:lang w:eastAsia="cs-CZ"/>
              </w:rPr>
              <w:t> </w:t>
            </w:r>
          </w:p>
        </w:tc>
        <w:tc>
          <w:tcPr>
            <w:tcW w:w="884" w:type="pct"/>
            <w:tcBorders>
              <w:top w:val="nil"/>
              <w:left w:val="nil"/>
              <w:bottom w:val="single" w:sz="4" w:space="0" w:color="auto"/>
              <w:right w:val="single" w:sz="4" w:space="0" w:color="auto"/>
            </w:tcBorders>
            <w:shd w:val="clear" w:color="auto" w:fill="auto"/>
            <w:noWrap/>
            <w:vAlign w:val="center"/>
            <w:hideMark/>
          </w:tcPr>
          <w:p w14:paraId="3A920201" w14:textId="77777777" w:rsidR="0004367C" w:rsidRPr="006064AB" w:rsidRDefault="0004367C" w:rsidP="004A67B5">
            <w:pPr>
              <w:ind w:right="113"/>
              <w:jc w:val="right"/>
              <w:rPr>
                <w:rFonts w:eastAsia="Times New Roman"/>
                <w:color w:val="000000"/>
                <w:sz w:val="20"/>
                <w:szCs w:val="20"/>
                <w:lang w:eastAsia="cs-CZ"/>
              </w:rPr>
            </w:pPr>
            <w:r>
              <w:rPr>
                <w:rFonts w:eastAsia="Times New Roman"/>
                <w:color w:val="000000"/>
                <w:sz w:val="20"/>
                <w:szCs w:val="20"/>
                <w:lang w:eastAsia="cs-CZ"/>
              </w:rPr>
              <w:t>11,70</w:t>
            </w:r>
          </w:p>
        </w:tc>
      </w:tr>
      <w:tr w:rsidR="0004367C" w:rsidRPr="006064AB" w14:paraId="1A753701" w14:textId="77777777" w:rsidTr="004A67B5">
        <w:trPr>
          <w:trHeight w:val="20"/>
        </w:trPr>
        <w:tc>
          <w:tcPr>
            <w:tcW w:w="2970" w:type="pct"/>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2A351CC" w14:textId="77777777" w:rsidR="0004367C" w:rsidRPr="006064AB" w:rsidRDefault="0004367C" w:rsidP="009F75A3">
            <w:pPr>
              <w:rPr>
                <w:rFonts w:eastAsia="Times New Roman"/>
                <w:color w:val="000000"/>
                <w:sz w:val="20"/>
                <w:szCs w:val="20"/>
                <w:lang w:eastAsia="cs-CZ"/>
              </w:rPr>
            </w:pPr>
            <w:r w:rsidRPr="006064AB">
              <w:rPr>
                <w:rFonts w:eastAsia="Times New Roman"/>
                <w:color w:val="000000"/>
                <w:sz w:val="20"/>
                <w:szCs w:val="20"/>
                <w:lang w:eastAsia="cs-CZ"/>
              </w:rPr>
              <w:t>2013–2017</w:t>
            </w:r>
          </w:p>
        </w:tc>
        <w:tc>
          <w:tcPr>
            <w:tcW w:w="1147" w:type="pct"/>
            <w:tcBorders>
              <w:top w:val="double" w:sz="4" w:space="0" w:color="auto"/>
              <w:left w:val="nil"/>
              <w:bottom w:val="single" w:sz="4" w:space="0" w:color="auto"/>
              <w:right w:val="single" w:sz="4" w:space="0" w:color="auto"/>
            </w:tcBorders>
            <w:shd w:val="clear" w:color="auto" w:fill="auto"/>
            <w:noWrap/>
            <w:vAlign w:val="center"/>
            <w:hideMark/>
          </w:tcPr>
          <w:p w14:paraId="6E85CC6F"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20,06</w:t>
            </w:r>
          </w:p>
        </w:tc>
        <w:tc>
          <w:tcPr>
            <w:tcW w:w="884" w:type="pct"/>
            <w:tcBorders>
              <w:top w:val="double" w:sz="4" w:space="0" w:color="auto"/>
              <w:left w:val="nil"/>
              <w:bottom w:val="single" w:sz="4" w:space="0" w:color="auto"/>
              <w:right w:val="single" w:sz="4" w:space="0" w:color="auto"/>
            </w:tcBorders>
            <w:shd w:val="clear" w:color="auto" w:fill="auto"/>
            <w:noWrap/>
            <w:vAlign w:val="center"/>
            <w:hideMark/>
          </w:tcPr>
          <w:p w14:paraId="1E00A98D"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54,78</w:t>
            </w:r>
          </w:p>
        </w:tc>
      </w:tr>
      <w:tr w:rsidR="0004367C" w:rsidRPr="006064AB" w14:paraId="4D81258D" w14:textId="77777777" w:rsidTr="004A67B5">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BDE5B" w14:textId="77777777" w:rsidR="0004367C" w:rsidRPr="006064AB" w:rsidRDefault="0004367C" w:rsidP="009F75A3">
            <w:pPr>
              <w:rPr>
                <w:rFonts w:eastAsia="Times New Roman"/>
                <w:color w:val="000000"/>
                <w:sz w:val="20"/>
                <w:szCs w:val="20"/>
                <w:lang w:eastAsia="cs-CZ"/>
              </w:rPr>
            </w:pPr>
            <w:r w:rsidRPr="006064AB">
              <w:rPr>
                <w:rFonts w:eastAsia="Times New Roman"/>
                <w:color w:val="000000"/>
                <w:sz w:val="20"/>
                <w:szCs w:val="20"/>
                <w:lang w:eastAsia="cs-CZ"/>
              </w:rPr>
              <w:t>2014–2018</w:t>
            </w:r>
          </w:p>
        </w:tc>
        <w:tc>
          <w:tcPr>
            <w:tcW w:w="1147" w:type="pct"/>
            <w:tcBorders>
              <w:top w:val="nil"/>
              <w:left w:val="nil"/>
              <w:bottom w:val="single" w:sz="4" w:space="0" w:color="auto"/>
              <w:right w:val="single" w:sz="4" w:space="0" w:color="auto"/>
            </w:tcBorders>
            <w:shd w:val="clear" w:color="auto" w:fill="auto"/>
            <w:noWrap/>
            <w:vAlign w:val="center"/>
            <w:hideMark/>
          </w:tcPr>
          <w:p w14:paraId="311E1D5B"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19,10</w:t>
            </w:r>
          </w:p>
        </w:tc>
        <w:tc>
          <w:tcPr>
            <w:tcW w:w="884" w:type="pct"/>
            <w:tcBorders>
              <w:top w:val="nil"/>
              <w:left w:val="nil"/>
              <w:bottom w:val="single" w:sz="4" w:space="0" w:color="auto"/>
              <w:right w:val="single" w:sz="4" w:space="0" w:color="auto"/>
            </w:tcBorders>
            <w:shd w:val="clear" w:color="auto" w:fill="auto"/>
            <w:noWrap/>
            <w:vAlign w:val="center"/>
            <w:hideMark/>
          </w:tcPr>
          <w:p w14:paraId="6B58ECCB"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50,98</w:t>
            </w:r>
          </w:p>
        </w:tc>
      </w:tr>
      <w:tr w:rsidR="0004367C" w:rsidRPr="006064AB" w14:paraId="4CEFD538" w14:textId="77777777" w:rsidTr="004A67B5">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A6B29" w14:textId="77777777" w:rsidR="0004367C" w:rsidRPr="006064AB" w:rsidRDefault="0004367C" w:rsidP="009F75A3">
            <w:pPr>
              <w:rPr>
                <w:rFonts w:eastAsia="Times New Roman"/>
                <w:color w:val="000000"/>
                <w:sz w:val="20"/>
                <w:szCs w:val="20"/>
                <w:lang w:eastAsia="cs-CZ"/>
              </w:rPr>
            </w:pPr>
            <w:r w:rsidRPr="006064AB">
              <w:rPr>
                <w:rFonts w:eastAsia="Times New Roman"/>
                <w:color w:val="000000"/>
                <w:sz w:val="20"/>
                <w:szCs w:val="20"/>
                <w:lang w:eastAsia="cs-CZ"/>
              </w:rPr>
              <w:t>2015–2019</w:t>
            </w:r>
          </w:p>
        </w:tc>
        <w:tc>
          <w:tcPr>
            <w:tcW w:w="1147" w:type="pct"/>
            <w:tcBorders>
              <w:top w:val="nil"/>
              <w:left w:val="nil"/>
              <w:bottom w:val="single" w:sz="4" w:space="0" w:color="auto"/>
              <w:right w:val="single" w:sz="4" w:space="0" w:color="auto"/>
            </w:tcBorders>
            <w:shd w:val="clear" w:color="auto" w:fill="auto"/>
            <w:noWrap/>
            <w:vAlign w:val="center"/>
            <w:hideMark/>
          </w:tcPr>
          <w:p w14:paraId="4F3DF509"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18,65</w:t>
            </w:r>
          </w:p>
        </w:tc>
        <w:tc>
          <w:tcPr>
            <w:tcW w:w="884" w:type="pct"/>
            <w:tcBorders>
              <w:top w:val="nil"/>
              <w:left w:val="nil"/>
              <w:bottom w:val="single" w:sz="4" w:space="0" w:color="auto"/>
              <w:right w:val="single" w:sz="4" w:space="0" w:color="auto"/>
            </w:tcBorders>
            <w:shd w:val="clear" w:color="auto" w:fill="auto"/>
            <w:noWrap/>
            <w:vAlign w:val="center"/>
            <w:hideMark/>
          </w:tcPr>
          <w:p w14:paraId="16EE3EE7"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46,26</w:t>
            </w:r>
          </w:p>
        </w:tc>
      </w:tr>
      <w:tr w:rsidR="0004367C" w:rsidRPr="006064AB" w14:paraId="46B46587" w14:textId="77777777" w:rsidTr="004A67B5">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B31E" w14:textId="77777777" w:rsidR="0004367C" w:rsidRPr="006064AB" w:rsidRDefault="0004367C" w:rsidP="009F75A3">
            <w:pPr>
              <w:rPr>
                <w:rFonts w:eastAsia="Times New Roman"/>
                <w:color w:val="000000"/>
                <w:sz w:val="20"/>
                <w:szCs w:val="20"/>
                <w:lang w:eastAsia="cs-CZ"/>
              </w:rPr>
            </w:pPr>
            <w:r w:rsidRPr="006064AB">
              <w:rPr>
                <w:rFonts w:eastAsia="Times New Roman"/>
                <w:color w:val="000000"/>
                <w:sz w:val="20"/>
                <w:szCs w:val="20"/>
                <w:lang w:eastAsia="cs-CZ"/>
              </w:rPr>
              <w:t>2016–2020</w:t>
            </w:r>
          </w:p>
        </w:tc>
        <w:tc>
          <w:tcPr>
            <w:tcW w:w="1147" w:type="pct"/>
            <w:tcBorders>
              <w:top w:val="nil"/>
              <w:left w:val="nil"/>
              <w:bottom w:val="single" w:sz="4" w:space="0" w:color="auto"/>
              <w:right w:val="single" w:sz="4" w:space="0" w:color="auto"/>
            </w:tcBorders>
            <w:shd w:val="clear" w:color="auto" w:fill="auto"/>
            <w:noWrap/>
            <w:vAlign w:val="center"/>
            <w:hideMark/>
          </w:tcPr>
          <w:p w14:paraId="7F8B3D58"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15,50</w:t>
            </w:r>
          </w:p>
        </w:tc>
        <w:tc>
          <w:tcPr>
            <w:tcW w:w="884" w:type="pct"/>
            <w:tcBorders>
              <w:top w:val="nil"/>
              <w:left w:val="nil"/>
              <w:bottom w:val="single" w:sz="4" w:space="0" w:color="auto"/>
              <w:right w:val="single" w:sz="4" w:space="0" w:color="auto"/>
            </w:tcBorders>
            <w:shd w:val="clear" w:color="auto" w:fill="auto"/>
            <w:noWrap/>
            <w:vAlign w:val="center"/>
            <w:hideMark/>
          </w:tcPr>
          <w:p w14:paraId="1BBD42B2"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39,90</w:t>
            </w:r>
          </w:p>
        </w:tc>
      </w:tr>
      <w:tr w:rsidR="0004367C" w:rsidRPr="006064AB" w14:paraId="0FD6422E" w14:textId="77777777" w:rsidTr="004A67B5">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7D518" w14:textId="77777777" w:rsidR="0004367C" w:rsidRPr="006064AB" w:rsidRDefault="0004367C" w:rsidP="009F75A3">
            <w:pPr>
              <w:rPr>
                <w:rFonts w:eastAsia="Times New Roman"/>
                <w:color w:val="000000"/>
                <w:sz w:val="20"/>
                <w:szCs w:val="20"/>
                <w:lang w:eastAsia="cs-CZ"/>
              </w:rPr>
            </w:pPr>
            <w:r w:rsidRPr="006064AB">
              <w:rPr>
                <w:rFonts w:eastAsia="Times New Roman"/>
                <w:color w:val="000000"/>
                <w:sz w:val="20"/>
                <w:szCs w:val="20"/>
                <w:lang w:eastAsia="cs-CZ"/>
              </w:rPr>
              <w:t>2017–2021</w:t>
            </w:r>
          </w:p>
        </w:tc>
        <w:tc>
          <w:tcPr>
            <w:tcW w:w="1147" w:type="pct"/>
            <w:tcBorders>
              <w:top w:val="nil"/>
              <w:left w:val="nil"/>
              <w:bottom w:val="single" w:sz="4" w:space="0" w:color="auto"/>
              <w:right w:val="single" w:sz="4" w:space="0" w:color="auto"/>
            </w:tcBorders>
            <w:shd w:val="clear" w:color="auto" w:fill="auto"/>
            <w:noWrap/>
            <w:vAlign w:val="center"/>
            <w:hideMark/>
          </w:tcPr>
          <w:p w14:paraId="6EA6C685"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11,54</w:t>
            </w:r>
          </w:p>
        </w:tc>
        <w:tc>
          <w:tcPr>
            <w:tcW w:w="884" w:type="pct"/>
            <w:tcBorders>
              <w:top w:val="nil"/>
              <w:left w:val="nil"/>
              <w:bottom w:val="single" w:sz="4" w:space="0" w:color="auto"/>
              <w:right w:val="single" w:sz="4" w:space="0" w:color="auto"/>
            </w:tcBorders>
            <w:shd w:val="clear" w:color="auto" w:fill="auto"/>
            <w:noWrap/>
            <w:vAlign w:val="center"/>
            <w:hideMark/>
          </w:tcPr>
          <w:p w14:paraId="0F1ABD21" w14:textId="77777777" w:rsidR="0004367C" w:rsidRPr="006064AB" w:rsidRDefault="0004367C" w:rsidP="004A67B5">
            <w:pPr>
              <w:ind w:right="113"/>
              <w:jc w:val="right"/>
              <w:rPr>
                <w:rFonts w:eastAsia="Times New Roman"/>
                <w:color w:val="000000"/>
                <w:sz w:val="20"/>
                <w:szCs w:val="20"/>
                <w:lang w:eastAsia="cs-CZ"/>
              </w:rPr>
            </w:pPr>
            <w:r w:rsidRPr="006064AB">
              <w:rPr>
                <w:rFonts w:eastAsia="Times New Roman"/>
                <w:color w:val="000000"/>
                <w:sz w:val="20"/>
                <w:szCs w:val="20"/>
                <w:lang w:eastAsia="cs-CZ"/>
              </w:rPr>
              <w:t>32,76</w:t>
            </w:r>
          </w:p>
        </w:tc>
      </w:tr>
      <w:tr w:rsidR="0004367C" w:rsidRPr="006064AB" w14:paraId="3B324656" w14:textId="77777777" w:rsidTr="004A67B5">
        <w:trPr>
          <w:trHeight w:val="20"/>
        </w:trPr>
        <w:tc>
          <w:tcPr>
            <w:tcW w:w="297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9B5921D" w14:textId="77777777" w:rsidR="0004367C" w:rsidRPr="006064AB" w:rsidRDefault="0004367C" w:rsidP="009F75A3">
            <w:pPr>
              <w:rPr>
                <w:rFonts w:eastAsia="Times New Roman"/>
                <w:color w:val="000000"/>
                <w:sz w:val="20"/>
                <w:szCs w:val="20"/>
                <w:lang w:eastAsia="cs-CZ"/>
              </w:rPr>
            </w:pPr>
            <w:r>
              <w:rPr>
                <w:rFonts w:eastAsia="Times New Roman"/>
                <w:color w:val="000000"/>
                <w:sz w:val="20"/>
                <w:szCs w:val="20"/>
                <w:lang w:eastAsia="cs-CZ"/>
              </w:rPr>
              <w:t>2018–2022</w:t>
            </w:r>
          </w:p>
        </w:tc>
        <w:tc>
          <w:tcPr>
            <w:tcW w:w="1147" w:type="pct"/>
            <w:tcBorders>
              <w:top w:val="nil"/>
              <w:left w:val="nil"/>
              <w:bottom w:val="single" w:sz="4" w:space="0" w:color="auto"/>
              <w:right w:val="single" w:sz="4" w:space="0" w:color="auto"/>
            </w:tcBorders>
            <w:shd w:val="clear" w:color="auto" w:fill="auto"/>
            <w:noWrap/>
            <w:vAlign w:val="center"/>
          </w:tcPr>
          <w:p w14:paraId="35B32D3D" w14:textId="77777777" w:rsidR="0004367C" w:rsidRPr="006064AB" w:rsidRDefault="0004367C" w:rsidP="004A67B5">
            <w:pPr>
              <w:ind w:right="113"/>
              <w:jc w:val="right"/>
              <w:rPr>
                <w:rFonts w:eastAsia="Times New Roman"/>
                <w:color w:val="000000"/>
                <w:sz w:val="20"/>
                <w:szCs w:val="20"/>
                <w:lang w:eastAsia="cs-CZ"/>
              </w:rPr>
            </w:pPr>
            <w:r>
              <w:rPr>
                <w:rFonts w:eastAsia="Times New Roman"/>
                <w:color w:val="000000"/>
                <w:sz w:val="20"/>
                <w:szCs w:val="20"/>
                <w:lang w:eastAsia="cs-CZ"/>
              </w:rPr>
              <w:t>6,34</w:t>
            </w:r>
          </w:p>
        </w:tc>
        <w:tc>
          <w:tcPr>
            <w:tcW w:w="884" w:type="pct"/>
            <w:tcBorders>
              <w:top w:val="nil"/>
              <w:left w:val="nil"/>
              <w:bottom w:val="single" w:sz="4" w:space="0" w:color="auto"/>
              <w:right w:val="single" w:sz="4" w:space="0" w:color="auto"/>
            </w:tcBorders>
            <w:shd w:val="clear" w:color="auto" w:fill="auto"/>
            <w:noWrap/>
            <w:vAlign w:val="center"/>
          </w:tcPr>
          <w:p w14:paraId="35DB5AAC" w14:textId="77777777" w:rsidR="0004367C" w:rsidRPr="006064AB" w:rsidRDefault="0004367C" w:rsidP="004A67B5">
            <w:pPr>
              <w:ind w:right="113"/>
              <w:jc w:val="right"/>
              <w:rPr>
                <w:rFonts w:eastAsia="Times New Roman"/>
                <w:color w:val="000000"/>
                <w:sz w:val="20"/>
                <w:szCs w:val="20"/>
                <w:lang w:eastAsia="cs-CZ"/>
              </w:rPr>
            </w:pPr>
            <w:r>
              <w:rPr>
                <w:rFonts w:eastAsia="Times New Roman"/>
                <w:color w:val="000000"/>
                <w:sz w:val="20"/>
                <w:szCs w:val="20"/>
                <w:lang w:eastAsia="cs-CZ"/>
              </w:rPr>
              <w:t>22,74</w:t>
            </w:r>
          </w:p>
        </w:tc>
      </w:tr>
    </w:tbl>
    <w:p w14:paraId="12C12085" w14:textId="3739600A" w:rsidR="0004367C" w:rsidRDefault="0004367C" w:rsidP="00955553">
      <w:pPr>
        <w:pStyle w:val="Zdrojeapozn"/>
      </w:pPr>
      <w:r w:rsidRPr="00F13367">
        <w:t>Zdroj:</w:t>
      </w:r>
      <w:r w:rsidR="00F11983">
        <w:t xml:space="preserve"> </w:t>
      </w:r>
      <w:r w:rsidR="00F11983" w:rsidRPr="00296D21">
        <w:rPr>
          <w:b w:val="0"/>
        </w:rPr>
        <w:t>i</w:t>
      </w:r>
      <w:r w:rsidRPr="00296D21">
        <w:rPr>
          <w:b w:val="0"/>
        </w:rPr>
        <w:t>nformace MŽP a ČHMÚ.</w:t>
      </w:r>
      <w:r>
        <w:br w:type="page"/>
      </w:r>
    </w:p>
    <w:p w14:paraId="7D368A47" w14:textId="1649BB6B" w:rsidR="004A67B5" w:rsidRDefault="00E721D0" w:rsidP="004A67B5">
      <w:pPr>
        <w:pStyle w:val="Titulek"/>
        <w:tabs>
          <w:tab w:val="left" w:pos="7938"/>
        </w:tabs>
        <w:spacing w:before="240"/>
        <w:jc w:val="right"/>
        <w:outlineLvl w:val="0"/>
        <w:rPr>
          <w:b/>
        </w:rPr>
      </w:pPr>
      <w:r w:rsidRPr="00303804">
        <w:rPr>
          <w:b/>
        </w:rPr>
        <w:lastRenderedPageBreak/>
        <w:t xml:space="preserve">Příloha č. </w:t>
      </w:r>
      <w:r w:rsidRPr="00303804">
        <w:rPr>
          <w:b/>
        </w:rPr>
        <w:fldChar w:fldCharType="begin"/>
      </w:r>
      <w:r w:rsidRPr="00303804">
        <w:rPr>
          <w:b/>
        </w:rPr>
        <w:instrText xml:space="preserve"> SEQ Příloha_č. \* ARABIC </w:instrText>
      </w:r>
      <w:r w:rsidRPr="00303804">
        <w:rPr>
          <w:b/>
        </w:rPr>
        <w:fldChar w:fldCharType="separate"/>
      </w:r>
      <w:r w:rsidR="000D2E96">
        <w:rPr>
          <w:b/>
          <w:noProof/>
        </w:rPr>
        <w:t>3</w:t>
      </w:r>
      <w:r w:rsidRPr="00303804">
        <w:rPr>
          <w:b/>
        </w:rPr>
        <w:fldChar w:fldCharType="end"/>
      </w:r>
    </w:p>
    <w:p w14:paraId="1835A422" w14:textId="704AB60A" w:rsidR="00E721D0" w:rsidRDefault="00E721D0" w:rsidP="003C6BD8">
      <w:pPr>
        <w:pStyle w:val="Titulek"/>
        <w:tabs>
          <w:tab w:val="left" w:pos="7938"/>
        </w:tabs>
        <w:spacing w:after="240"/>
        <w:outlineLvl w:val="0"/>
        <w:rPr>
          <w:b/>
        </w:rPr>
      </w:pPr>
      <w:r w:rsidRPr="00E721D0">
        <w:rPr>
          <w:b/>
        </w:rPr>
        <w:t>Přehled znečišťujících látek</w:t>
      </w:r>
    </w:p>
    <w:p w14:paraId="3201E4D4" w14:textId="14C4F6F6" w:rsidR="001804E7" w:rsidRPr="001671A5" w:rsidRDefault="00320DB5" w:rsidP="003C6BD8">
      <w:pPr>
        <w:pStyle w:val="TextKP"/>
        <w:spacing w:after="120"/>
        <w:rPr>
          <w:b/>
        </w:rPr>
      </w:pPr>
      <w:r>
        <w:rPr>
          <w:b/>
        </w:rPr>
        <w:t xml:space="preserve">PRACHOVÉ </w:t>
      </w:r>
      <w:r w:rsidR="001804E7" w:rsidRPr="001804E7">
        <w:rPr>
          <w:b/>
        </w:rPr>
        <w:t>ČÁSTICE PM</w:t>
      </w:r>
      <w:r w:rsidR="001804E7" w:rsidRPr="001804E7">
        <w:rPr>
          <w:b/>
          <w:vertAlign w:val="subscript"/>
        </w:rPr>
        <w:t>10</w:t>
      </w:r>
      <w:r w:rsidR="001804E7" w:rsidRPr="001804E7">
        <w:rPr>
          <w:b/>
        </w:rPr>
        <w:t xml:space="preserve"> a PM</w:t>
      </w:r>
      <w:r w:rsidR="001804E7" w:rsidRPr="001804E7">
        <w:rPr>
          <w:b/>
          <w:vertAlign w:val="subscript"/>
        </w:rPr>
        <w:t>2,5</w:t>
      </w:r>
      <w:r w:rsidR="001671A5">
        <w:rPr>
          <w:b/>
          <w:vertAlign w:val="subscript"/>
        </w:rPr>
        <w:t xml:space="preserve"> </w:t>
      </w:r>
      <w:r w:rsidR="001671A5">
        <w:rPr>
          <w:b/>
        </w:rPr>
        <w:t>(nazývané také suspendované či pevné částice)</w:t>
      </w:r>
    </w:p>
    <w:p w14:paraId="0967AB40" w14:textId="68C82501" w:rsidR="001804E7" w:rsidRDefault="00320DB5" w:rsidP="003C6BD8">
      <w:pPr>
        <w:pStyle w:val="TextKP"/>
        <w:spacing w:after="120"/>
      </w:pPr>
      <w:r>
        <w:t xml:space="preserve">Tyto </w:t>
      </w:r>
      <w:r w:rsidR="001804E7" w:rsidRPr="001804E7">
        <w:t>částice</w:t>
      </w:r>
      <w:r w:rsidR="001804E7">
        <w:t xml:space="preserve"> představují různorodou směs organických a anorganických částic kapalného a</w:t>
      </w:r>
      <w:r>
        <w:t> </w:t>
      </w:r>
      <w:r w:rsidR="001804E7">
        <w:t xml:space="preserve">pevného skupenství, různé velikosti, složení a původu. Částice v ovzduší představují významný rizikový faktor s mnohočetným efektem na lidské zdraví. Na rozdíl od plynných látek nemají specifické složení (velikost i složení částic </w:t>
      </w:r>
      <w:r w:rsidR="00F11983">
        <w:t>jsou</w:t>
      </w:r>
      <w:r w:rsidR="001804E7">
        <w:t xml:space="preserve"> ovlivněn</w:t>
      </w:r>
      <w:r w:rsidR="00F11983">
        <w:t>y</w:t>
      </w:r>
      <w:r w:rsidR="001804E7">
        <w:t xml:space="preserve"> zdrojem, ze</w:t>
      </w:r>
      <w:r w:rsidR="0070571B">
        <w:t xml:space="preserve"> </w:t>
      </w:r>
      <w:r w:rsidR="001804E7">
        <w:t>kterého pochází), nýbrž představují směs látek s různými účinky. Současně působí i jako vektor pro plynné škodliviny. Suspendované částice dělíme na primární a sekundární. Primární částice jsou emitované přímo ze zdrojů a můžeme je dále dělit na ty, které pochází z antropogenních zdrojů (spalování fosilních paliv, doprava, technologické procesy, antropogenní aktivity) a</w:t>
      </w:r>
      <w:r>
        <w:t> </w:t>
      </w:r>
      <w:r w:rsidR="001804E7">
        <w:t>z</w:t>
      </w:r>
      <w:r>
        <w:t> </w:t>
      </w:r>
      <w:r w:rsidR="001804E7">
        <w:t>přírodních zdrojů – mořský aerosol, sopečná činnost, kosmický spad…). Sekundární částice jsou ty, které vznikají v ovzduší na základě probíhajících chemických a fyzikálních procesů</w:t>
      </w:r>
      <w:r w:rsidR="00F11983">
        <w:t>,</w:t>
      </w:r>
      <w:r w:rsidR="001804E7">
        <w:t xml:space="preserve"> a</w:t>
      </w:r>
      <w:r>
        <w:t> </w:t>
      </w:r>
      <w:r w:rsidR="001804E7">
        <w:t xml:space="preserve">dále ty, které se do ovzduší dostávají </w:t>
      </w:r>
      <w:proofErr w:type="spellStart"/>
      <w:r w:rsidR="001804E7">
        <w:t>resuspenzí</w:t>
      </w:r>
      <w:proofErr w:type="spellEnd"/>
      <w:r w:rsidR="001804E7">
        <w:t xml:space="preserve"> (zvířením) v důsledku lidské činnosti (doprava…) nebo meteorologických faktorů (vítr).</w:t>
      </w:r>
    </w:p>
    <w:p w14:paraId="418B9A1F" w14:textId="0E7882D6" w:rsidR="001804E7" w:rsidRDefault="001804E7" w:rsidP="003C6BD8">
      <w:pPr>
        <w:pStyle w:val="TextKP"/>
        <w:spacing w:after="120"/>
      </w:pPr>
      <w:r>
        <w:t xml:space="preserve">Účinek suspendovaných částic závisí na velikosti, tvaru a chemickém složení. Velikost částic je rozhodující pro průnik a ukládání v dýchacím traktu. </w:t>
      </w:r>
      <w:r w:rsidR="00320DB5">
        <w:t xml:space="preserve">Jemné </w:t>
      </w:r>
      <w:r>
        <w:t>částice PM</w:t>
      </w:r>
      <w:r w:rsidRPr="00DD2E2A">
        <w:rPr>
          <w:vertAlign w:val="subscript"/>
        </w:rPr>
        <w:t>2,5</w:t>
      </w:r>
      <w:r>
        <w:t xml:space="preserve"> představují, vzhledem ke své schopnosti pronikat hlouběji do lidského organismu (plicních sklípků) a proto, že jsou na ně navázány jak těžké kovy, tak i persistentní organické polutanty, výrazně vyšší zdravotní riziko, než je tomu u části</w:t>
      </w:r>
      <w:r w:rsidR="00320DB5">
        <w:t>c</w:t>
      </w:r>
      <w:r>
        <w:t xml:space="preserve"> PM</w:t>
      </w:r>
      <w:r w:rsidRPr="00DD2E2A">
        <w:rPr>
          <w:vertAlign w:val="subscript"/>
        </w:rPr>
        <w:t>10</w:t>
      </w:r>
      <w:r>
        <w:t>, které mohou vzhledem k vyšší hmotnosti navíc snáze sedimentovat.</w:t>
      </w:r>
      <w:r w:rsidR="00E57EBD">
        <w:t xml:space="preserve"> </w:t>
      </w:r>
      <w:r>
        <w:t>Dlouhodobá expozice suspendovaným částicím vede ke zvýšení úmrtnosti, přičemž nejvíce jsou vždy postiženy citlivé osoby</w:t>
      </w:r>
      <w:r w:rsidRPr="00CA599C">
        <w:t xml:space="preserve"> </w:t>
      </w:r>
      <w:r>
        <w:t>(dlouhodobě nemocní či senioři).</w:t>
      </w:r>
    </w:p>
    <w:p w14:paraId="6C37A033" w14:textId="4C0A0157" w:rsidR="00B74652" w:rsidRPr="00E57EBD" w:rsidRDefault="00B74652" w:rsidP="003C6BD8">
      <w:pPr>
        <w:pStyle w:val="TextKP"/>
        <w:spacing w:after="120"/>
        <w:rPr>
          <w:b/>
        </w:rPr>
      </w:pPr>
      <w:r>
        <w:rPr>
          <w:b/>
        </w:rPr>
        <w:t>BENZO</w:t>
      </w:r>
      <w:r w:rsidR="00A32942">
        <w:rPr>
          <w:b/>
        </w:rPr>
        <w:t>(</w:t>
      </w:r>
      <w:r w:rsidRPr="000E1C27">
        <w:rPr>
          <w:b/>
        </w:rPr>
        <w:t>a</w:t>
      </w:r>
      <w:r w:rsidR="00A32942" w:rsidRPr="000E1C27">
        <w:rPr>
          <w:b/>
        </w:rPr>
        <w:t>)</w:t>
      </w:r>
      <w:r>
        <w:rPr>
          <w:b/>
        </w:rPr>
        <w:t>PYREN</w:t>
      </w:r>
    </w:p>
    <w:p w14:paraId="2D09ADE1" w14:textId="5A176339" w:rsidR="00B74652" w:rsidRDefault="00A32942" w:rsidP="003C6BD8">
      <w:pPr>
        <w:pStyle w:val="TextKP"/>
        <w:spacing w:after="120"/>
      </w:pPr>
      <w:r>
        <w:t>B(a)P</w:t>
      </w:r>
      <w:r w:rsidR="00B74652">
        <w:t xml:space="preserve"> </w:t>
      </w:r>
      <w:r w:rsidR="009D7A77">
        <w:t>v</w:t>
      </w:r>
      <w:r w:rsidR="00B74652">
        <w:t xml:space="preserve">zniká nedokonalým spalováním a v ovzduší je většinou navázán na jemnou frakci </w:t>
      </w:r>
      <w:r w:rsidR="001671A5">
        <w:t>prachových</w:t>
      </w:r>
      <w:r w:rsidR="00B74652">
        <w:t xml:space="preserve"> částic (PM</w:t>
      </w:r>
      <w:r w:rsidR="00B74652" w:rsidRPr="001F552D">
        <w:rPr>
          <w:vertAlign w:val="subscript"/>
        </w:rPr>
        <w:t>2,5</w:t>
      </w:r>
      <w:r w:rsidR="00B74652">
        <w:t xml:space="preserve">). Vysokých koncentrací je dosahováno v průmyslových lokalitách, nadlimitní koncentrace se však dlouhodobě vyskytují především v malých sídlech, kde se vytápí pevnými palivy. Koncentrace </w:t>
      </w:r>
      <w:r>
        <w:t>B(a)P</w:t>
      </w:r>
      <w:r w:rsidR="00B74652">
        <w:t xml:space="preserve"> vykazují výrazný roční chod s maximy v zimním období v důsledku zhoršení rozptylových podmínek a emisí z lokálního vytápění domácností. U </w:t>
      </w:r>
      <w:r>
        <w:t>B(a)P</w:t>
      </w:r>
      <w:r w:rsidR="00B74652">
        <w:t xml:space="preserve"> </w:t>
      </w:r>
      <w:r w:rsidR="00B74652" w:rsidRPr="00E0011E">
        <w:t>jsou prokázány především karcinogenní účinky.</w:t>
      </w:r>
    </w:p>
    <w:p w14:paraId="0481925A" w14:textId="044CB1F9" w:rsidR="00DC5B7A" w:rsidRPr="008419B7" w:rsidRDefault="00DC5B7A" w:rsidP="003C6BD8">
      <w:pPr>
        <w:pStyle w:val="TextKP"/>
        <w:spacing w:after="120"/>
        <w:rPr>
          <w:b/>
        </w:rPr>
      </w:pPr>
      <w:r w:rsidRPr="008419B7">
        <w:rPr>
          <w:b/>
        </w:rPr>
        <w:t>OXIDY DUSÍKU</w:t>
      </w:r>
      <w:r w:rsidR="00780D83">
        <w:rPr>
          <w:b/>
        </w:rPr>
        <w:t xml:space="preserve"> </w:t>
      </w:r>
      <w:r w:rsidRPr="008419B7">
        <w:rPr>
          <w:b/>
        </w:rPr>
        <w:t>(NO</w:t>
      </w:r>
      <w:r w:rsidRPr="008419B7">
        <w:rPr>
          <w:b/>
          <w:vertAlign w:val="subscript"/>
        </w:rPr>
        <w:t>X</w:t>
      </w:r>
      <w:r w:rsidRPr="008419B7">
        <w:rPr>
          <w:b/>
        </w:rPr>
        <w:t>)</w:t>
      </w:r>
    </w:p>
    <w:p w14:paraId="79D84422" w14:textId="7D9D0B3C" w:rsidR="00DC5B7A" w:rsidRPr="008039C3" w:rsidRDefault="00DC5B7A" w:rsidP="003C6BD8">
      <w:pPr>
        <w:pStyle w:val="TextKP"/>
        <w:spacing w:after="120"/>
      </w:pPr>
      <w:r w:rsidRPr="008039C3">
        <w:t>Při sledování a hodnocení kvality venkovního ovzduší se pod termínem oxidy dusíku rozumí směs oxidu dusnatého (NO) a oxidu dusičitého (NO</w:t>
      </w:r>
      <w:r w:rsidRPr="008039C3">
        <w:rPr>
          <w:vertAlign w:val="subscript"/>
        </w:rPr>
        <w:t>2</w:t>
      </w:r>
      <w:r w:rsidRPr="008039C3">
        <w:t xml:space="preserve">). Vysoké koncentrace </w:t>
      </w:r>
      <w:r w:rsidRPr="001804E7">
        <w:t>oxidů dusíku</w:t>
      </w:r>
      <w:r w:rsidRPr="008039C3">
        <w:t xml:space="preserve"> způsobují zejména dýchací obtíže, a to v dopravně zatížených lokalitách. Největší množství emisí oxidu dusíků pochází z</w:t>
      </w:r>
      <w:r>
        <w:t> </w:t>
      </w:r>
      <w:r w:rsidRPr="008039C3">
        <w:t>mobilních zdrojů</w:t>
      </w:r>
      <w:r>
        <w:t>.</w:t>
      </w:r>
    </w:p>
    <w:p w14:paraId="40165433" w14:textId="139F64D8" w:rsidR="00DC5B7A" w:rsidRPr="00DC5B7A" w:rsidRDefault="00DC5B7A" w:rsidP="003C6BD8">
      <w:pPr>
        <w:pStyle w:val="Titulek"/>
        <w:spacing w:after="120"/>
        <w:rPr>
          <w:b/>
        </w:rPr>
      </w:pPr>
      <w:r w:rsidRPr="00DC5B7A">
        <w:rPr>
          <w:b/>
        </w:rPr>
        <w:t>OXID SIŘIČITÝ (SO</w:t>
      </w:r>
      <w:r w:rsidRPr="00DC5B7A">
        <w:rPr>
          <w:b/>
          <w:vertAlign w:val="subscript"/>
        </w:rPr>
        <w:t>2</w:t>
      </w:r>
      <w:r w:rsidRPr="00DC5B7A">
        <w:rPr>
          <w:b/>
        </w:rPr>
        <w:t>)</w:t>
      </w:r>
    </w:p>
    <w:p w14:paraId="032A4566" w14:textId="5DB9F518" w:rsidR="00DC5B7A" w:rsidRPr="00DC5B7A" w:rsidRDefault="00DC5B7A" w:rsidP="003C6BD8">
      <w:pPr>
        <w:pStyle w:val="Titulek"/>
        <w:spacing w:after="120"/>
      </w:pPr>
      <w:r>
        <w:t>SO</w:t>
      </w:r>
      <w:r w:rsidRPr="00203005">
        <w:rPr>
          <w:vertAlign w:val="subscript"/>
        </w:rPr>
        <w:t>2</w:t>
      </w:r>
      <w:r w:rsidRPr="00DC5B7A">
        <w:t xml:space="preserve"> se</w:t>
      </w:r>
      <w:r>
        <w:t xml:space="preserve"> do ovzduší</w:t>
      </w:r>
      <w:r w:rsidRPr="00DC5B7A">
        <w:t xml:space="preserve"> dostává především jako produkt spalování paliv s obsahem síry. Významným přírodním zdrojem je vulkanická činnost. </w:t>
      </w:r>
      <w:r w:rsidR="00114C35">
        <w:t>SO</w:t>
      </w:r>
      <w:r w:rsidR="00114C35" w:rsidRPr="00114C35">
        <w:rPr>
          <w:vertAlign w:val="subscript"/>
        </w:rPr>
        <w:t>2</w:t>
      </w:r>
      <w:r w:rsidRPr="00DC5B7A">
        <w:t xml:space="preserve"> během určité doby v ovzduší přechází na oxid sírový</w:t>
      </w:r>
      <w:r w:rsidR="00203005">
        <w:t xml:space="preserve"> a</w:t>
      </w:r>
      <w:r w:rsidRPr="00DC5B7A">
        <w:t xml:space="preserve"> dále na aerosol kyseliny sírové. Vzniklá kyselina sírová může reagovat s částicemi prašného aerosolu za vzniku síranů, v důsledku čehož se zvyšují koncentrace suspendovaných částic. Sírany se postupně usazují na zemský povrch nebo jsou z</w:t>
      </w:r>
      <w:r w:rsidR="00114C35">
        <w:t> </w:t>
      </w:r>
      <w:r w:rsidRPr="00DC5B7A">
        <w:t xml:space="preserve">ovzduší vymývány srážkami. </w:t>
      </w:r>
      <w:r w:rsidR="00114C35">
        <w:t>SO</w:t>
      </w:r>
      <w:r w:rsidR="00114C35" w:rsidRPr="00114C35">
        <w:rPr>
          <w:vertAlign w:val="subscript"/>
        </w:rPr>
        <w:t>2</w:t>
      </w:r>
      <w:r w:rsidR="00114C35">
        <w:t xml:space="preserve"> a NO</w:t>
      </w:r>
      <w:r w:rsidR="00114C35" w:rsidRPr="00114C35">
        <w:rPr>
          <w:vertAlign w:val="subscript"/>
        </w:rPr>
        <w:t>X</w:t>
      </w:r>
      <w:r w:rsidRPr="00DC5B7A">
        <w:t xml:space="preserve"> </w:t>
      </w:r>
      <w:r w:rsidR="00114C35">
        <w:t>pak</w:t>
      </w:r>
      <w:r w:rsidR="00203005">
        <w:t xml:space="preserve"> mohou tvořit</w:t>
      </w:r>
      <w:r w:rsidRPr="00DC5B7A">
        <w:t xml:space="preserve"> takzvané kyselé deště</w:t>
      </w:r>
      <w:r w:rsidR="00203005">
        <w:t xml:space="preserve">, které </w:t>
      </w:r>
      <w:r w:rsidRPr="00DC5B7A">
        <w:t xml:space="preserve">způsobují značná poškození lesních porostů i průmyslových plodin, poškozují mikroorganismy, znehodnocují kvalitu vody a mohou způsobit úhyn ryb. Bylo rovněž zaznamenáno významné poškození zejména historických </w:t>
      </w:r>
      <w:r w:rsidRPr="00DC5B7A">
        <w:lastRenderedPageBreak/>
        <w:t>staveb a uměleckých děl, neboť kyselé deště rozpouštějí některé druhy zdiva a způsobují větrání kamene.</w:t>
      </w:r>
    </w:p>
    <w:p w14:paraId="4DD9167E" w14:textId="4CB62806" w:rsidR="00B74652" w:rsidRPr="00B74652" w:rsidRDefault="00B74652" w:rsidP="003C6BD8">
      <w:pPr>
        <w:pStyle w:val="Titulek"/>
        <w:spacing w:after="120"/>
        <w:rPr>
          <w:b/>
        </w:rPr>
      </w:pPr>
      <w:r>
        <w:rPr>
          <w:b/>
        </w:rPr>
        <w:t>TĚKAVÉ ORGANICKÉ LÁTKY</w:t>
      </w:r>
      <w:r w:rsidRPr="00B74652">
        <w:rPr>
          <w:b/>
        </w:rPr>
        <w:t xml:space="preserve"> (VOC</w:t>
      </w:r>
      <w:r>
        <w:rPr>
          <w:b/>
        </w:rPr>
        <w:t>/NMVOC</w:t>
      </w:r>
      <w:r w:rsidRPr="00B74652">
        <w:rPr>
          <w:b/>
        </w:rPr>
        <w:t>)</w:t>
      </w:r>
    </w:p>
    <w:p w14:paraId="602791D9" w14:textId="7CE077D0" w:rsidR="00B74652" w:rsidRDefault="00B74652" w:rsidP="003C6BD8">
      <w:pPr>
        <w:pStyle w:val="Titulek"/>
        <w:spacing w:after="120"/>
      </w:pPr>
      <w:r w:rsidRPr="00B74652">
        <w:t>Nemetanové těkavé organické látky označované jako VOC</w:t>
      </w:r>
      <w:r>
        <w:t xml:space="preserve"> či NMVOC</w:t>
      </w:r>
      <w:r w:rsidRPr="00B74652">
        <w:t xml:space="preserve"> představují organické sloučeniny nebo směsi organických sloučenin</w:t>
      </w:r>
      <w:r w:rsidR="00576F7D">
        <w:t xml:space="preserve"> (alkoholy, aldehydy, alkany, aromáty, ketony či halogenované deriváty těchto látek). Často se jedná o různá ředidla, čistidla a rozpouštědla používaná například při výrobě laků a barev. NMVOC znečišťují především atmosféru a podmiňují vznik O</w:t>
      </w:r>
      <w:r w:rsidR="00576F7D" w:rsidRPr="00576F7D">
        <w:rPr>
          <w:vertAlign w:val="subscript"/>
        </w:rPr>
        <w:t>3</w:t>
      </w:r>
      <w:r w:rsidR="00576F7D">
        <w:t xml:space="preserve">. Některé z NMVOC jsou prokázané lidské karcinogeny. </w:t>
      </w:r>
      <w:r w:rsidRPr="00B74652">
        <w:t>Emise NMVOC vznikají také při nedokonalém spalování fosilních paliv. Jedná se o spalování pohonných hmot v</w:t>
      </w:r>
      <w:r w:rsidR="00576F7D">
        <w:t> </w:t>
      </w:r>
      <w:r w:rsidRPr="00B74652">
        <w:t>dopravě</w:t>
      </w:r>
      <w:r w:rsidR="00576F7D">
        <w:t xml:space="preserve">, </w:t>
      </w:r>
      <w:r w:rsidRPr="00B74652">
        <w:t>lokální vytápění domácností a veřejn</w:t>
      </w:r>
      <w:r w:rsidR="00780D83">
        <w:t>ou</w:t>
      </w:r>
      <w:r w:rsidRPr="00B74652">
        <w:t xml:space="preserve"> energetik</w:t>
      </w:r>
      <w:r w:rsidR="00780D83">
        <w:t>u</w:t>
      </w:r>
      <w:r w:rsidRPr="00B74652">
        <w:t xml:space="preserve"> a výrob</w:t>
      </w:r>
      <w:r w:rsidR="00780D83">
        <w:t>u</w:t>
      </w:r>
      <w:r w:rsidRPr="00B74652">
        <w:t xml:space="preserve"> tepla.</w:t>
      </w:r>
    </w:p>
    <w:p w14:paraId="662FAC62" w14:textId="77777777" w:rsidR="00DC5B7A" w:rsidRDefault="00DC5B7A" w:rsidP="003C6BD8">
      <w:pPr>
        <w:pStyle w:val="Titulek"/>
        <w:tabs>
          <w:tab w:val="left" w:pos="7938"/>
        </w:tabs>
        <w:spacing w:after="120"/>
        <w:rPr>
          <w:b/>
        </w:rPr>
      </w:pPr>
      <w:r>
        <w:rPr>
          <w:b/>
        </w:rPr>
        <w:t>PŘÍZEMNÍ OZON (O</w:t>
      </w:r>
      <w:r w:rsidRPr="00E57EBD">
        <w:rPr>
          <w:b/>
          <w:vertAlign w:val="subscript"/>
        </w:rPr>
        <w:t>3</w:t>
      </w:r>
      <w:r>
        <w:rPr>
          <w:b/>
        </w:rPr>
        <w:t>)</w:t>
      </w:r>
    </w:p>
    <w:p w14:paraId="5B65A9CB" w14:textId="0CC4E806" w:rsidR="00DC5B7A" w:rsidRPr="00DC5B7A" w:rsidRDefault="00DC5B7A" w:rsidP="003C6BD8">
      <w:pPr>
        <w:pStyle w:val="TextKP"/>
        <w:spacing w:after="120"/>
      </w:pPr>
      <w:r>
        <w:t>O</w:t>
      </w:r>
      <w:r w:rsidRPr="00E721D0">
        <w:rPr>
          <w:vertAlign w:val="subscript"/>
        </w:rPr>
        <w:t>3</w:t>
      </w:r>
      <w:r>
        <w:t xml:space="preserve"> vzniká chemickými reakcemi z tzv. prekurzorů ozonu (VOC, NO</w:t>
      </w:r>
      <w:r w:rsidRPr="001F552D">
        <w:rPr>
          <w:vertAlign w:val="subscript"/>
        </w:rPr>
        <w:t>X</w:t>
      </w:r>
      <w:r>
        <w:t>, CO a CH</w:t>
      </w:r>
      <w:r w:rsidRPr="001F552D">
        <w:rPr>
          <w:vertAlign w:val="subscript"/>
        </w:rPr>
        <w:t>4</w:t>
      </w:r>
      <w:r>
        <w:t>) a je společně se svými prekurzory významnou znečišťující látkou a silným oxidačním činidlem, čímž negativně ovlivňuje lidské zdraví a ekosystémy. U člověka má silně dráždivé účinky na oční spojivky, poškozuje zejména dýchací soustavu a ve vyšších koncentracích způsobuje ztížené dýchání a zánětlivou reakci sliznic v dýchacích cestách. Jeho koncentrace jsou ovlivňovány především charakterem meteorologických podmínek (intenzitou a délkou slunečního svitu, teplotou vzduchu a výskytem srážek).</w:t>
      </w:r>
    </w:p>
    <w:p w14:paraId="5679C9F7" w14:textId="7D308EC6" w:rsidR="0004367C" w:rsidRDefault="0004367C" w:rsidP="003C6BD8">
      <w:pPr>
        <w:pStyle w:val="Titulek"/>
        <w:spacing w:after="120"/>
        <w:rPr>
          <w:b/>
        </w:rPr>
      </w:pPr>
      <w:r>
        <w:rPr>
          <w:b/>
        </w:rPr>
        <w:br w:type="page"/>
      </w:r>
    </w:p>
    <w:p w14:paraId="58F483F6" w14:textId="26B926E7" w:rsidR="0070571B" w:rsidRDefault="00773F93" w:rsidP="0070571B">
      <w:pPr>
        <w:pStyle w:val="Titulek"/>
        <w:tabs>
          <w:tab w:val="right" w:pos="9072"/>
        </w:tabs>
        <w:spacing w:after="40"/>
        <w:jc w:val="right"/>
        <w:outlineLvl w:val="0"/>
        <w:rPr>
          <w:b/>
        </w:rPr>
      </w:pPr>
      <w:r w:rsidRPr="00303804">
        <w:rPr>
          <w:b/>
        </w:rPr>
        <w:lastRenderedPageBreak/>
        <w:t xml:space="preserve">Příloha č. </w:t>
      </w:r>
      <w:r w:rsidRPr="00303804">
        <w:rPr>
          <w:b/>
        </w:rPr>
        <w:fldChar w:fldCharType="begin"/>
      </w:r>
      <w:r w:rsidRPr="00303804">
        <w:rPr>
          <w:b/>
        </w:rPr>
        <w:instrText xml:space="preserve"> SEQ Příloha_č. \* ARABIC </w:instrText>
      </w:r>
      <w:r w:rsidRPr="00303804">
        <w:rPr>
          <w:b/>
        </w:rPr>
        <w:fldChar w:fldCharType="separate"/>
      </w:r>
      <w:r w:rsidR="000D2E96">
        <w:rPr>
          <w:b/>
          <w:noProof/>
        </w:rPr>
        <w:t>4</w:t>
      </w:r>
      <w:r w:rsidRPr="00303804">
        <w:rPr>
          <w:b/>
        </w:rPr>
        <w:fldChar w:fldCharType="end"/>
      </w:r>
    </w:p>
    <w:p w14:paraId="3A44ECE2" w14:textId="69360897" w:rsidR="00773F93" w:rsidRDefault="00773F93" w:rsidP="00773F93">
      <w:pPr>
        <w:pStyle w:val="Titulek"/>
        <w:tabs>
          <w:tab w:val="right" w:pos="9072"/>
        </w:tabs>
        <w:spacing w:after="40"/>
        <w:outlineLvl w:val="0"/>
        <w:rPr>
          <w:b/>
        </w:rPr>
      </w:pPr>
      <w:r>
        <w:rPr>
          <w:b/>
        </w:rPr>
        <w:t>Kontrolované projekty</w:t>
      </w:r>
    </w:p>
    <w:p w14:paraId="01407931" w14:textId="51D0914D" w:rsidR="00773F93" w:rsidRPr="000352E0" w:rsidRDefault="00773F93" w:rsidP="000352E0">
      <w:pPr>
        <w:spacing w:before="120" w:after="40"/>
        <w:rPr>
          <w:b/>
        </w:rPr>
      </w:pPr>
      <w:r w:rsidRPr="000352E0">
        <w:rPr>
          <w:b/>
        </w:rPr>
        <w:t>Tabulk</w:t>
      </w:r>
      <w:r w:rsidR="00DD242D">
        <w:rPr>
          <w:b/>
        </w:rPr>
        <w:t xml:space="preserve">a č. 1: </w:t>
      </w:r>
      <w:r w:rsidRPr="000352E0">
        <w:rPr>
          <w:b/>
        </w:rPr>
        <w:t>Kontrolované projekty PO</w:t>
      </w:r>
      <w:r w:rsidR="006746F8" w:rsidRPr="000352E0">
        <w:rPr>
          <w:b/>
        </w:rPr>
        <w:t xml:space="preserve"> </w:t>
      </w:r>
      <w:r w:rsidRPr="000352E0">
        <w:rPr>
          <w:b/>
        </w:rPr>
        <w:t>2 OPŽP</w:t>
      </w:r>
      <w:r w:rsidR="00E14921" w:rsidRPr="000352E0">
        <w:rPr>
          <w:b/>
        </w:rPr>
        <w:t xml:space="preserve"> (údaje ke dni 31. 12. 2022)</w:t>
      </w:r>
      <w:r w:rsidR="00B0069E" w:rsidRPr="000352E0">
        <w:rPr>
          <w:b/>
        </w:rPr>
        <w:tab/>
      </w:r>
      <w:r w:rsidRPr="000352E0">
        <w:rPr>
          <w:b/>
        </w:rPr>
        <w:t>(v Kč)</w:t>
      </w:r>
    </w:p>
    <w:tbl>
      <w:tblPr>
        <w:tblW w:w="5000" w:type="pct"/>
        <w:tblCellMar>
          <w:left w:w="70" w:type="dxa"/>
          <w:right w:w="70" w:type="dxa"/>
        </w:tblCellMar>
        <w:tblLook w:val="04A0" w:firstRow="1" w:lastRow="0" w:firstColumn="1" w:lastColumn="0" w:noHBand="0" w:noVBand="1"/>
      </w:tblPr>
      <w:tblGrid>
        <w:gridCol w:w="2533"/>
        <w:gridCol w:w="2933"/>
        <w:gridCol w:w="1247"/>
        <w:gridCol w:w="1167"/>
        <w:gridCol w:w="1182"/>
      </w:tblGrid>
      <w:tr w:rsidR="00773F93" w:rsidRPr="002E6C48" w14:paraId="1C5297D9" w14:textId="77777777" w:rsidTr="00A13E4F">
        <w:trPr>
          <w:trHeight w:val="20"/>
        </w:trPr>
        <w:tc>
          <w:tcPr>
            <w:tcW w:w="13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75ED2C" w14:textId="446EE4B2" w:rsidR="00773F93" w:rsidRPr="00601742" w:rsidRDefault="00773F93" w:rsidP="00B0069E">
            <w:pPr>
              <w:jc w:val="center"/>
              <w:rPr>
                <w:rFonts w:ascii="Calibri" w:eastAsia="Times New Roman" w:hAnsi="Calibri" w:cs="Calibri"/>
                <w:b/>
                <w:bCs/>
                <w:color w:val="000000"/>
                <w:sz w:val="16"/>
                <w:szCs w:val="16"/>
                <w:lang w:eastAsia="cs-CZ"/>
              </w:rPr>
            </w:pPr>
            <w:bookmarkStart w:id="24" w:name="RANGE!A21"/>
            <w:r w:rsidRPr="00601742">
              <w:rPr>
                <w:rFonts w:ascii="Calibri" w:eastAsia="Times New Roman" w:hAnsi="Calibri" w:cs="Calibri"/>
                <w:b/>
                <w:bCs/>
                <w:color w:val="000000"/>
                <w:sz w:val="16"/>
                <w:szCs w:val="16"/>
                <w:lang w:eastAsia="cs-CZ"/>
              </w:rPr>
              <w:t>Reg</w:t>
            </w:r>
            <w:r w:rsidR="006746F8">
              <w:rPr>
                <w:rFonts w:ascii="Calibri" w:eastAsia="Times New Roman" w:hAnsi="Calibri" w:cs="Calibri"/>
                <w:b/>
                <w:bCs/>
                <w:color w:val="000000"/>
                <w:sz w:val="16"/>
                <w:szCs w:val="16"/>
                <w:lang w:eastAsia="cs-CZ"/>
              </w:rPr>
              <w:t>istrační</w:t>
            </w:r>
            <w:r w:rsidRPr="00601742">
              <w:rPr>
                <w:rFonts w:ascii="Calibri" w:eastAsia="Times New Roman" w:hAnsi="Calibri" w:cs="Calibri"/>
                <w:b/>
                <w:bCs/>
                <w:color w:val="000000"/>
                <w:sz w:val="16"/>
                <w:szCs w:val="16"/>
                <w:lang w:eastAsia="cs-CZ"/>
              </w:rPr>
              <w:t xml:space="preserve"> č</w:t>
            </w:r>
            <w:r w:rsidR="006746F8">
              <w:rPr>
                <w:rFonts w:ascii="Calibri" w:eastAsia="Times New Roman" w:hAnsi="Calibri" w:cs="Calibri"/>
                <w:b/>
                <w:bCs/>
                <w:color w:val="000000"/>
                <w:sz w:val="16"/>
                <w:szCs w:val="16"/>
                <w:lang w:eastAsia="cs-CZ"/>
              </w:rPr>
              <w:t>íslo</w:t>
            </w:r>
            <w:r w:rsidRPr="00601742">
              <w:rPr>
                <w:rFonts w:ascii="Calibri" w:eastAsia="Times New Roman" w:hAnsi="Calibri" w:cs="Calibri"/>
                <w:b/>
                <w:bCs/>
                <w:color w:val="000000"/>
                <w:sz w:val="16"/>
                <w:szCs w:val="16"/>
                <w:lang w:eastAsia="cs-CZ"/>
              </w:rPr>
              <w:t xml:space="preserve"> projektu</w:t>
            </w:r>
            <w:bookmarkEnd w:id="24"/>
          </w:p>
        </w:tc>
        <w:tc>
          <w:tcPr>
            <w:tcW w:w="1650" w:type="pct"/>
            <w:tcBorders>
              <w:top w:val="single" w:sz="4" w:space="0" w:color="auto"/>
              <w:left w:val="nil"/>
              <w:bottom w:val="single" w:sz="4" w:space="0" w:color="auto"/>
              <w:right w:val="single" w:sz="4" w:space="0" w:color="auto"/>
            </w:tcBorders>
            <w:shd w:val="clear" w:color="auto" w:fill="F2F2F2"/>
            <w:vAlign w:val="center"/>
            <w:hideMark/>
          </w:tcPr>
          <w:p w14:paraId="44187672" w14:textId="77777777" w:rsidR="00773F93" w:rsidRPr="00601742" w:rsidRDefault="00773F93" w:rsidP="00B0069E">
            <w:pPr>
              <w:jc w:val="center"/>
              <w:rPr>
                <w:rFonts w:ascii="Calibri" w:eastAsia="Times New Roman" w:hAnsi="Calibri" w:cs="Calibri"/>
                <w:b/>
                <w:bCs/>
                <w:color w:val="000000"/>
                <w:sz w:val="16"/>
                <w:szCs w:val="16"/>
                <w:lang w:eastAsia="cs-CZ"/>
              </w:rPr>
            </w:pPr>
            <w:r w:rsidRPr="00601742">
              <w:rPr>
                <w:rFonts w:ascii="Calibri" w:eastAsia="Times New Roman" w:hAnsi="Calibri" w:cs="Calibri"/>
                <w:b/>
                <w:bCs/>
                <w:color w:val="000000"/>
                <w:sz w:val="16"/>
                <w:szCs w:val="16"/>
                <w:lang w:eastAsia="cs-CZ"/>
              </w:rPr>
              <w:t>Název projektu</w:t>
            </w:r>
          </w:p>
        </w:tc>
        <w:tc>
          <w:tcPr>
            <w:tcW w:w="704" w:type="pct"/>
            <w:tcBorders>
              <w:top w:val="single" w:sz="4" w:space="0" w:color="auto"/>
              <w:left w:val="nil"/>
              <w:bottom w:val="single" w:sz="4" w:space="0" w:color="auto"/>
              <w:right w:val="single" w:sz="4" w:space="0" w:color="auto"/>
            </w:tcBorders>
            <w:shd w:val="clear" w:color="auto" w:fill="F2F2F2"/>
            <w:vAlign w:val="center"/>
            <w:hideMark/>
          </w:tcPr>
          <w:p w14:paraId="7984C100" w14:textId="77777777" w:rsidR="00773F93" w:rsidRPr="00601742" w:rsidRDefault="00773F93" w:rsidP="00B0069E">
            <w:pPr>
              <w:jc w:val="center"/>
              <w:rPr>
                <w:rFonts w:ascii="Calibri" w:eastAsia="Times New Roman" w:hAnsi="Calibri" w:cs="Calibri"/>
                <w:b/>
                <w:bCs/>
                <w:color w:val="000000"/>
                <w:sz w:val="16"/>
                <w:szCs w:val="16"/>
                <w:lang w:eastAsia="cs-CZ"/>
              </w:rPr>
            </w:pPr>
            <w:r w:rsidRPr="00601742">
              <w:rPr>
                <w:rFonts w:ascii="Calibri" w:eastAsia="Times New Roman" w:hAnsi="Calibri" w:cs="Calibri"/>
                <w:b/>
                <w:bCs/>
                <w:color w:val="000000"/>
                <w:sz w:val="16"/>
                <w:szCs w:val="16"/>
                <w:lang w:eastAsia="cs-CZ"/>
              </w:rPr>
              <w:t>Celkové způsobilé výdaje</w:t>
            </w:r>
          </w:p>
        </w:tc>
        <w:tc>
          <w:tcPr>
            <w:tcW w:w="660" w:type="pct"/>
            <w:tcBorders>
              <w:top w:val="single" w:sz="4" w:space="0" w:color="auto"/>
              <w:left w:val="nil"/>
              <w:bottom w:val="single" w:sz="4" w:space="0" w:color="auto"/>
              <w:right w:val="single" w:sz="4" w:space="0" w:color="auto"/>
            </w:tcBorders>
            <w:shd w:val="clear" w:color="auto" w:fill="F2F2F2"/>
            <w:vAlign w:val="center"/>
            <w:hideMark/>
          </w:tcPr>
          <w:p w14:paraId="74ED0D64" w14:textId="77777777" w:rsidR="00773F93" w:rsidRPr="00601742" w:rsidRDefault="00773F93" w:rsidP="00B0069E">
            <w:pPr>
              <w:jc w:val="center"/>
              <w:rPr>
                <w:rFonts w:ascii="Calibri" w:eastAsia="Times New Roman" w:hAnsi="Calibri" w:cs="Calibri"/>
                <w:b/>
                <w:bCs/>
                <w:color w:val="000000"/>
                <w:sz w:val="16"/>
                <w:szCs w:val="16"/>
                <w:lang w:eastAsia="cs-CZ"/>
              </w:rPr>
            </w:pPr>
            <w:r w:rsidRPr="00601742">
              <w:rPr>
                <w:rFonts w:ascii="Calibri" w:eastAsia="Times New Roman" w:hAnsi="Calibri" w:cs="Calibri"/>
                <w:b/>
                <w:bCs/>
                <w:color w:val="000000"/>
                <w:sz w:val="16"/>
                <w:szCs w:val="16"/>
                <w:lang w:eastAsia="cs-CZ"/>
              </w:rPr>
              <w:t>Příspěvek Unie</w:t>
            </w:r>
          </w:p>
        </w:tc>
        <w:tc>
          <w:tcPr>
            <w:tcW w:w="588" w:type="pct"/>
            <w:tcBorders>
              <w:top w:val="single" w:sz="4" w:space="0" w:color="auto"/>
              <w:left w:val="nil"/>
              <w:bottom w:val="single" w:sz="4" w:space="0" w:color="auto"/>
              <w:right w:val="single" w:sz="4" w:space="0" w:color="auto"/>
            </w:tcBorders>
            <w:shd w:val="clear" w:color="auto" w:fill="F2F2F2"/>
            <w:vAlign w:val="center"/>
            <w:hideMark/>
          </w:tcPr>
          <w:p w14:paraId="4527A0DA" w14:textId="15BDD4E9" w:rsidR="00773F93" w:rsidRPr="00601742" w:rsidRDefault="00773F93" w:rsidP="00B0069E">
            <w:pPr>
              <w:jc w:val="center"/>
              <w:rPr>
                <w:rFonts w:ascii="Calibri" w:eastAsia="Times New Roman" w:hAnsi="Calibri" w:cs="Calibri"/>
                <w:b/>
                <w:bCs/>
                <w:color w:val="000000"/>
                <w:sz w:val="16"/>
                <w:szCs w:val="16"/>
                <w:lang w:eastAsia="cs-CZ"/>
              </w:rPr>
            </w:pPr>
            <w:r w:rsidRPr="00601742">
              <w:rPr>
                <w:rFonts w:ascii="Calibri" w:eastAsia="Times New Roman" w:hAnsi="Calibri" w:cs="Calibri"/>
                <w:b/>
                <w:bCs/>
                <w:color w:val="000000"/>
                <w:sz w:val="16"/>
                <w:szCs w:val="16"/>
                <w:lang w:eastAsia="cs-CZ"/>
              </w:rPr>
              <w:t>Proplaceno</w:t>
            </w:r>
          </w:p>
        </w:tc>
      </w:tr>
      <w:tr w:rsidR="00773F93" w:rsidRPr="002E6C48" w14:paraId="08645B7F"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279832B4"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CZ.05.2.32/0.0/0.0/17_079/0006450</w:t>
            </w:r>
          </w:p>
        </w:tc>
        <w:tc>
          <w:tcPr>
            <w:tcW w:w="1650" w:type="pct"/>
            <w:tcBorders>
              <w:top w:val="nil"/>
              <w:left w:val="nil"/>
              <w:bottom w:val="single" w:sz="4" w:space="0" w:color="auto"/>
              <w:right w:val="single" w:sz="4" w:space="0" w:color="auto"/>
            </w:tcBorders>
            <w:shd w:val="clear" w:color="auto" w:fill="auto"/>
            <w:vAlign w:val="center"/>
            <w:hideMark/>
          </w:tcPr>
          <w:p w14:paraId="22AD5917" w14:textId="7E356FE8" w:rsidR="00773F93" w:rsidRPr="00601742" w:rsidRDefault="00773F93" w:rsidP="00780D83">
            <w:pPr>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Systém imisního monitoringu – inovace</w:t>
            </w:r>
            <w:r w:rsidR="00780D83">
              <w:rPr>
                <w:rFonts w:ascii="Calibri" w:eastAsia="Times New Roman" w:hAnsi="Calibri" w:cs="Calibri"/>
                <w:color w:val="000000"/>
                <w:sz w:val="16"/>
                <w:szCs w:val="16"/>
                <w:lang w:eastAsia="cs-CZ"/>
              </w:rPr>
              <w:t xml:space="preserve"> </w:t>
            </w:r>
            <w:r w:rsidRPr="00601742">
              <w:rPr>
                <w:rFonts w:ascii="Calibri" w:eastAsia="Times New Roman" w:hAnsi="Calibri" w:cs="Calibri"/>
                <w:color w:val="000000"/>
                <w:sz w:val="16"/>
                <w:szCs w:val="16"/>
                <w:lang w:eastAsia="cs-CZ"/>
              </w:rPr>
              <w:t>a</w:t>
            </w:r>
            <w:r w:rsidR="00780D83">
              <w:rPr>
                <w:rFonts w:ascii="Calibri" w:eastAsia="Times New Roman" w:hAnsi="Calibri" w:cs="Calibri"/>
                <w:color w:val="000000"/>
                <w:sz w:val="16"/>
                <w:szCs w:val="16"/>
                <w:lang w:eastAsia="cs-CZ"/>
              </w:rPr>
              <w:t> </w:t>
            </w:r>
            <w:r w:rsidRPr="00601742">
              <w:rPr>
                <w:rFonts w:ascii="Calibri" w:eastAsia="Times New Roman" w:hAnsi="Calibri" w:cs="Calibri"/>
                <w:color w:val="000000"/>
                <w:sz w:val="16"/>
                <w:szCs w:val="16"/>
                <w:lang w:eastAsia="cs-CZ"/>
              </w:rPr>
              <w:t>rozvoj 2</w:t>
            </w:r>
          </w:p>
        </w:tc>
        <w:tc>
          <w:tcPr>
            <w:tcW w:w="704" w:type="pct"/>
            <w:tcBorders>
              <w:top w:val="nil"/>
              <w:left w:val="nil"/>
              <w:bottom w:val="single" w:sz="4" w:space="0" w:color="auto"/>
              <w:right w:val="single" w:sz="4" w:space="0" w:color="auto"/>
            </w:tcBorders>
            <w:shd w:val="clear" w:color="auto" w:fill="auto"/>
            <w:vAlign w:val="center"/>
            <w:hideMark/>
          </w:tcPr>
          <w:p w14:paraId="6F3F991A"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49 227 270,82</w:t>
            </w:r>
          </w:p>
        </w:tc>
        <w:tc>
          <w:tcPr>
            <w:tcW w:w="660" w:type="pct"/>
            <w:tcBorders>
              <w:top w:val="nil"/>
              <w:left w:val="nil"/>
              <w:bottom w:val="single" w:sz="4" w:space="0" w:color="auto"/>
              <w:right w:val="single" w:sz="4" w:space="0" w:color="auto"/>
            </w:tcBorders>
            <w:shd w:val="clear" w:color="auto" w:fill="auto"/>
            <w:noWrap/>
            <w:vAlign w:val="center"/>
            <w:hideMark/>
          </w:tcPr>
          <w:p w14:paraId="75E15ACD"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41 843 180,19</w:t>
            </w:r>
          </w:p>
        </w:tc>
        <w:tc>
          <w:tcPr>
            <w:tcW w:w="588" w:type="pct"/>
            <w:tcBorders>
              <w:top w:val="nil"/>
              <w:left w:val="nil"/>
              <w:bottom w:val="single" w:sz="4" w:space="0" w:color="auto"/>
              <w:right w:val="single" w:sz="4" w:space="0" w:color="auto"/>
            </w:tcBorders>
            <w:shd w:val="clear" w:color="auto" w:fill="auto"/>
            <w:vAlign w:val="center"/>
            <w:hideMark/>
          </w:tcPr>
          <w:p w14:paraId="61655B17"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41 843 180,19</w:t>
            </w:r>
          </w:p>
        </w:tc>
      </w:tr>
      <w:tr w:rsidR="00773F93" w:rsidRPr="002E6C48" w14:paraId="37D53417"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0D16DE52"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CZ.05.2.32/0.0/0.0/18_098/0008218</w:t>
            </w:r>
          </w:p>
        </w:tc>
        <w:tc>
          <w:tcPr>
            <w:tcW w:w="1650" w:type="pct"/>
            <w:tcBorders>
              <w:top w:val="nil"/>
              <w:left w:val="nil"/>
              <w:bottom w:val="single" w:sz="4" w:space="0" w:color="auto"/>
              <w:right w:val="single" w:sz="4" w:space="0" w:color="auto"/>
            </w:tcBorders>
            <w:shd w:val="clear" w:color="auto" w:fill="auto"/>
            <w:vAlign w:val="center"/>
            <w:hideMark/>
          </w:tcPr>
          <w:p w14:paraId="76C95462" w14:textId="6EF73C1A" w:rsidR="00773F93" w:rsidRPr="00601742" w:rsidRDefault="00773F93" w:rsidP="00780D83">
            <w:pPr>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Modernizace a doplnění automatických měřicích systémů dobrovolnické sítě</w:t>
            </w:r>
            <w:r w:rsidR="00780D83">
              <w:rPr>
                <w:rFonts w:ascii="Calibri" w:eastAsia="Times New Roman" w:hAnsi="Calibri" w:cs="Calibri"/>
                <w:color w:val="000000"/>
                <w:sz w:val="16"/>
                <w:szCs w:val="16"/>
                <w:lang w:eastAsia="cs-CZ"/>
              </w:rPr>
              <w:t xml:space="preserve"> </w:t>
            </w:r>
            <w:r w:rsidRPr="00601742">
              <w:rPr>
                <w:rFonts w:ascii="Calibri" w:eastAsia="Times New Roman" w:hAnsi="Calibri" w:cs="Calibri"/>
                <w:color w:val="000000"/>
                <w:sz w:val="16"/>
                <w:szCs w:val="16"/>
                <w:lang w:eastAsia="cs-CZ"/>
              </w:rPr>
              <w:t>ČHMÚ II.</w:t>
            </w:r>
          </w:p>
        </w:tc>
        <w:tc>
          <w:tcPr>
            <w:tcW w:w="704" w:type="pct"/>
            <w:tcBorders>
              <w:top w:val="nil"/>
              <w:left w:val="nil"/>
              <w:bottom w:val="single" w:sz="4" w:space="0" w:color="auto"/>
              <w:right w:val="single" w:sz="4" w:space="0" w:color="auto"/>
            </w:tcBorders>
            <w:shd w:val="clear" w:color="auto" w:fill="auto"/>
            <w:vAlign w:val="center"/>
            <w:hideMark/>
          </w:tcPr>
          <w:p w14:paraId="24B73DFF"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17 567 675,00</w:t>
            </w:r>
          </w:p>
        </w:tc>
        <w:tc>
          <w:tcPr>
            <w:tcW w:w="660" w:type="pct"/>
            <w:tcBorders>
              <w:top w:val="nil"/>
              <w:left w:val="nil"/>
              <w:bottom w:val="single" w:sz="4" w:space="0" w:color="auto"/>
              <w:right w:val="single" w:sz="4" w:space="0" w:color="auto"/>
            </w:tcBorders>
            <w:shd w:val="clear" w:color="auto" w:fill="auto"/>
            <w:noWrap/>
            <w:vAlign w:val="center"/>
            <w:hideMark/>
          </w:tcPr>
          <w:p w14:paraId="24D225FF"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14 932 523,75</w:t>
            </w:r>
          </w:p>
        </w:tc>
        <w:tc>
          <w:tcPr>
            <w:tcW w:w="588" w:type="pct"/>
            <w:tcBorders>
              <w:top w:val="nil"/>
              <w:left w:val="nil"/>
              <w:bottom w:val="single" w:sz="4" w:space="0" w:color="auto"/>
              <w:right w:val="single" w:sz="4" w:space="0" w:color="auto"/>
            </w:tcBorders>
            <w:shd w:val="clear" w:color="auto" w:fill="auto"/>
            <w:vAlign w:val="center"/>
            <w:hideMark/>
          </w:tcPr>
          <w:p w14:paraId="2D08709E"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14 932 523,75</w:t>
            </w:r>
          </w:p>
        </w:tc>
      </w:tr>
      <w:tr w:rsidR="00773F93" w:rsidRPr="002E6C48" w14:paraId="4D6729A4"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093C3644"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CZ.05.2.32/0.0/0.0/18_098/0008238</w:t>
            </w:r>
          </w:p>
        </w:tc>
        <w:tc>
          <w:tcPr>
            <w:tcW w:w="1650" w:type="pct"/>
            <w:tcBorders>
              <w:top w:val="nil"/>
              <w:left w:val="nil"/>
              <w:bottom w:val="single" w:sz="4" w:space="0" w:color="auto"/>
              <w:right w:val="single" w:sz="4" w:space="0" w:color="auto"/>
            </w:tcBorders>
            <w:shd w:val="clear" w:color="auto" w:fill="auto"/>
            <w:vAlign w:val="center"/>
            <w:hideMark/>
          </w:tcPr>
          <w:p w14:paraId="5940CF46" w14:textId="6250EDD5" w:rsidR="00773F93" w:rsidRPr="00601742" w:rsidRDefault="00773F93" w:rsidP="00780D83">
            <w:pPr>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Systém imisního monitoringu – inovace</w:t>
            </w:r>
            <w:r w:rsidR="00780D83">
              <w:rPr>
                <w:rFonts w:ascii="Calibri" w:eastAsia="Times New Roman" w:hAnsi="Calibri" w:cs="Calibri"/>
                <w:color w:val="000000"/>
                <w:sz w:val="16"/>
                <w:szCs w:val="16"/>
                <w:lang w:eastAsia="cs-CZ"/>
              </w:rPr>
              <w:t xml:space="preserve"> </w:t>
            </w:r>
            <w:r w:rsidRPr="00601742">
              <w:rPr>
                <w:rFonts w:ascii="Calibri" w:eastAsia="Times New Roman" w:hAnsi="Calibri" w:cs="Calibri"/>
                <w:color w:val="000000"/>
                <w:sz w:val="16"/>
                <w:szCs w:val="16"/>
                <w:lang w:eastAsia="cs-CZ"/>
              </w:rPr>
              <w:t>a</w:t>
            </w:r>
            <w:r w:rsidR="00780D83">
              <w:rPr>
                <w:rFonts w:ascii="Calibri" w:eastAsia="Times New Roman" w:hAnsi="Calibri" w:cs="Calibri"/>
                <w:color w:val="000000"/>
                <w:sz w:val="16"/>
                <w:szCs w:val="16"/>
                <w:lang w:eastAsia="cs-CZ"/>
              </w:rPr>
              <w:t> </w:t>
            </w:r>
            <w:r w:rsidRPr="00601742">
              <w:rPr>
                <w:rFonts w:ascii="Calibri" w:eastAsia="Times New Roman" w:hAnsi="Calibri" w:cs="Calibri"/>
                <w:color w:val="000000"/>
                <w:sz w:val="16"/>
                <w:szCs w:val="16"/>
                <w:lang w:eastAsia="cs-CZ"/>
              </w:rPr>
              <w:t>rozvoj 3</w:t>
            </w:r>
          </w:p>
        </w:tc>
        <w:tc>
          <w:tcPr>
            <w:tcW w:w="704" w:type="pct"/>
            <w:tcBorders>
              <w:top w:val="nil"/>
              <w:left w:val="nil"/>
              <w:bottom w:val="single" w:sz="4" w:space="0" w:color="auto"/>
              <w:right w:val="single" w:sz="4" w:space="0" w:color="auto"/>
            </w:tcBorders>
            <w:shd w:val="clear" w:color="auto" w:fill="auto"/>
            <w:vAlign w:val="center"/>
            <w:hideMark/>
          </w:tcPr>
          <w:p w14:paraId="265C9D01"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47 250 756,56</w:t>
            </w:r>
          </w:p>
        </w:tc>
        <w:tc>
          <w:tcPr>
            <w:tcW w:w="660" w:type="pct"/>
            <w:tcBorders>
              <w:top w:val="nil"/>
              <w:left w:val="nil"/>
              <w:bottom w:val="single" w:sz="4" w:space="0" w:color="auto"/>
              <w:right w:val="single" w:sz="4" w:space="0" w:color="auto"/>
            </w:tcBorders>
            <w:shd w:val="clear" w:color="auto" w:fill="auto"/>
            <w:noWrap/>
            <w:vAlign w:val="center"/>
            <w:hideMark/>
          </w:tcPr>
          <w:p w14:paraId="49FFEA68"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40 163 143,07</w:t>
            </w:r>
          </w:p>
        </w:tc>
        <w:tc>
          <w:tcPr>
            <w:tcW w:w="588" w:type="pct"/>
            <w:tcBorders>
              <w:top w:val="nil"/>
              <w:left w:val="nil"/>
              <w:bottom w:val="single" w:sz="4" w:space="0" w:color="auto"/>
              <w:right w:val="single" w:sz="4" w:space="0" w:color="auto"/>
            </w:tcBorders>
            <w:shd w:val="clear" w:color="auto" w:fill="auto"/>
            <w:vAlign w:val="center"/>
            <w:hideMark/>
          </w:tcPr>
          <w:p w14:paraId="79D076B6"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40 163 142,28</w:t>
            </w:r>
          </w:p>
        </w:tc>
      </w:tr>
      <w:tr w:rsidR="00773F93" w:rsidRPr="002E6C48" w14:paraId="1A1DEBFC"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09B5466F"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CZ.05.2.32/0.0/0.0/18_098/0009090</w:t>
            </w:r>
          </w:p>
        </w:tc>
        <w:tc>
          <w:tcPr>
            <w:tcW w:w="1650" w:type="pct"/>
            <w:tcBorders>
              <w:top w:val="nil"/>
              <w:left w:val="nil"/>
              <w:bottom w:val="single" w:sz="4" w:space="0" w:color="auto"/>
              <w:right w:val="single" w:sz="4" w:space="0" w:color="auto"/>
            </w:tcBorders>
            <w:shd w:val="clear" w:color="auto" w:fill="auto"/>
            <w:vAlign w:val="center"/>
            <w:hideMark/>
          </w:tcPr>
          <w:p w14:paraId="7BDE1360" w14:textId="5803F73F" w:rsidR="00773F93" w:rsidRPr="00601742" w:rsidRDefault="00773F93" w:rsidP="00780D83">
            <w:pPr>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Systém imisního monitoringu – inovace</w:t>
            </w:r>
            <w:r w:rsidR="00780D83">
              <w:rPr>
                <w:rFonts w:ascii="Calibri" w:eastAsia="Times New Roman" w:hAnsi="Calibri" w:cs="Calibri"/>
                <w:color w:val="000000"/>
                <w:sz w:val="16"/>
                <w:szCs w:val="16"/>
                <w:lang w:eastAsia="cs-CZ"/>
              </w:rPr>
              <w:t xml:space="preserve"> </w:t>
            </w:r>
            <w:r w:rsidRPr="00601742">
              <w:rPr>
                <w:rFonts w:ascii="Calibri" w:eastAsia="Times New Roman" w:hAnsi="Calibri" w:cs="Calibri"/>
                <w:color w:val="000000"/>
                <w:sz w:val="16"/>
                <w:szCs w:val="16"/>
                <w:lang w:eastAsia="cs-CZ"/>
              </w:rPr>
              <w:t>a</w:t>
            </w:r>
            <w:r w:rsidR="00780D83">
              <w:rPr>
                <w:rFonts w:ascii="Calibri" w:eastAsia="Times New Roman" w:hAnsi="Calibri" w:cs="Calibri"/>
                <w:color w:val="000000"/>
                <w:sz w:val="16"/>
                <w:szCs w:val="16"/>
                <w:lang w:eastAsia="cs-CZ"/>
              </w:rPr>
              <w:t> </w:t>
            </w:r>
            <w:r w:rsidRPr="00601742">
              <w:rPr>
                <w:rFonts w:ascii="Calibri" w:eastAsia="Times New Roman" w:hAnsi="Calibri" w:cs="Calibri"/>
                <w:color w:val="000000"/>
                <w:sz w:val="16"/>
                <w:szCs w:val="16"/>
                <w:lang w:eastAsia="cs-CZ"/>
              </w:rPr>
              <w:t>rozvoj 4</w:t>
            </w:r>
          </w:p>
        </w:tc>
        <w:tc>
          <w:tcPr>
            <w:tcW w:w="704" w:type="pct"/>
            <w:tcBorders>
              <w:top w:val="nil"/>
              <w:left w:val="nil"/>
              <w:bottom w:val="single" w:sz="4" w:space="0" w:color="auto"/>
              <w:right w:val="single" w:sz="4" w:space="0" w:color="auto"/>
            </w:tcBorders>
            <w:shd w:val="clear" w:color="auto" w:fill="auto"/>
            <w:vAlign w:val="center"/>
            <w:hideMark/>
          </w:tcPr>
          <w:p w14:paraId="119A4F40"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64 762 830,00</w:t>
            </w:r>
          </w:p>
        </w:tc>
        <w:tc>
          <w:tcPr>
            <w:tcW w:w="660" w:type="pct"/>
            <w:tcBorders>
              <w:top w:val="nil"/>
              <w:left w:val="nil"/>
              <w:bottom w:val="single" w:sz="4" w:space="0" w:color="auto"/>
              <w:right w:val="single" w:sz="4" w:space="0" w:color="auto"/>
            </w:tcBorders>
            <w:shd w:val="clear" w:color="auto" w:fill="auto"/>
            <w:noWrap/>
            <w:vAlign w:val="center"/>
            <w:hideMark/>
          </w:tcPr>
          <w:p w14:paraId="67DF0A03"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55 048 405,50</w:t>
            </w:r>
          </w:p>
        </w:tc>
        <w:tc>
          <w:tcPr>
            <w:tcW w:w="588" w:type="pct"/>
            <w:tcBorders>
              <w:top w:val="nil"/>
              <w:left w:val="nil"/>
              <w:bottom w:val="single" w:sz="4" w:space="0" w:color="auto"/>
              <w:right w:val="single" w:sz="4" w:space="0" w:color="auto"/>
            </w:tcBorders>
            <w:shd w:val="clear" w:color="auto" w:fill="auto"/>
            <w:vAlign w:val="center"/>
            <w:hideMark/>
          </w:tcPr>
          <w:p w14:paraId="72900508"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55 048 405,50</w:t>
            </w:r>
          </w:p>
        </w:tc>
      </w:tr>
      <w:tr w:rsidR="00773F93" w:rsidRPr="002E6C48" w14:paraId="06F0C028"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08F2E191"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CZ.05.2.28/0.0/0.0/19_136/0009927</w:t>
            </w:r>
          </w:p>
        </w:tc>
        <w:tc>
          <w:tcPr>
            <w:tcW w:w="1650" w:type="pct"/>
            <w:tcBorders>
              <w:top w:val="nil"/>
              <w:left w:val="nil"/>
              <w:bottom w:val="single" w:sz="4" w:space="0" w:color="auto"/>
              <w:right w:val="single" w:sz="4" w:space="0" w:color="auto"/>
            </w:tcBorders>
            <w:shd w:val="clear" w:color="auto" w:fill="auto"/>
            <w:vAlign w:val="center"/>
            <w:hideMark/>
          </w:tcPr>
          <w:p w14:paraId="68C421EF" w14:textId="77777777" w:rsidR="00773F93" w:rsidRPr="00601742" w:rsidRDefault="00773F93" w:rsidP="00B0069E">
            <w:pPr>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 xml:space="preserve">Snížení </w:t>
            </w:r>
            <w:proofErr w:type="spellStart"/>
            <w:r w:rsidRPr="00601742">
              <w:rPr>
                <w:rFonts w:ascii="Calibri" w:eastAsia="Times New Roman" w:hAnsi="Calibri" w:cs="Calibri"/>
                <w:color w:val="000000"/>
                <w:sz w:val="16"/>
                <w:szCs w:val="16"/>
                <w:lang w:eastAsia="cs-CZ"/>
              </w:rPr>
              <w:t>fugitivních</w:t>
            </w:r>
            <w:proofErr w:type="spellEnd"/>
            <w:r w:rsidRPr="00601742">
              <w:rPr>
                <w:rFonts w:ascii="Calibri" w:eastAsia="Times New Roman" w:hAnsi="Calibri" w:cs="Calibri"/>
                <w:color w:val="000000"/>
                <w:sz w:val="16"/>
                <w:szCs w:val="16"/>
                <w:lang w:eastAsia="cs-CZ"/>
              </w:rPr>
              <w:t xml:space="preserve"> emisí TZL na odsunových cestách aglomerátu severní části Aglomerace AMO</w:t>
            </w:r>
          </w:p>
        </w:tc>
        <w:tc>
          <w:tcPr>
            <w:tcW w:w="704" w:type="pct"/>
            <w:tcBorders>
              <w:top w:val="nil"/>
              <w:left w:val="nil"/>
              <w:bottom w:val="single" w:sz="4" w:space="0" w:color="auto"/>
              <w:right w:val="single" w:sz="4" w:space="0" w:color="auto"/>
            </w:tcBorders>
            <w:shd w:val="clear" w:color="auto" w:fill="auto"/>
            <w:vAlign w:val="center"/>
            <w:hideMark/>
          </w:tcPr>
          <w:p w14:paraId="4756B8BF"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51 561 500,00</w:t>
            </w:r>
          </w:p>
        </w:tc>
        <w:tc>
          <w:tcPr>
            <w:tcW w:w="660" w:type="pct"/>
            <w:tcBorders>
              <w:top w:val="nil"/>
              <w:left w:val="nil"/>
              <w:bottom w:val="single" w:sz="4" w:space="0" w:color="auto"/>
              <w:right w:val="single" w:sz="4" w:space="0" w:color="auto"/>
            </w:tcBorders>
            <w:shd w:val="clear" w:color="auto" w:fill="auto"/>
            <w:noWrap/>
            <w:vAlign w:val="center"/>
            <w:hideMark/>
          </w:tcPr>
          <w:p w14:paraId="64FA58F1"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28 358 825,00</w:t>
            </w:r>
          </w:p>
        </w:tc>
        <w:tc>
          <w:tcPr>
            <w:tcW w:w="588" w:type="pct"/>
            <w:tcBorders>
              <w:top w:val="nil"/>
              <w:left w:val="nil"/>
              <w:bottom w:val="single" w:sz="4" w:space="0" w:color="auto"/>
              <w:right w:val="single" w:sz="4" w:space="0" w:color="auto"/>
            </w:tcBorders>
            <w:shd w:val="clear" w:color="auto" w:fill="auto"/>
            <w:vAlign w:val="center"/>
            <w:hideMark/>
          </w:tcPr>
          <w:p w14:paraId="7333026B"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28 358 825,00</w:t>
            </w:r>
          </w:p>
        </w:tc>
      </w:tr>
      <w:tr w:rsidR="00773F93" w:rsidRPr="002E6C48" w14:paraId="348B3F14"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5D08669E"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CZ.05.2.28/0.0/0.0/19_136/0009928</w:t>
            </w:r>
          </w:p>
        </w:tc>
        <w:tc>
          <w:tcPr>
            <w:tcW w:w="1650" w:type="pct"/>
            <w:tcBorders>
              <w:top w:val="nil"/>
              <w:left w:val="nil"/>
              <w:bottom w:val="single" w:sz="4" w:space="0" w:color="auto"/>
              <w:right w:val="single" w:sz="4" w:space="0" w:color="auto"/>
            </w:tcBorders>
            <w:shd w:val="clear" w:color="auto" w:fill="auto"/>
            <w:vAlign w:val="center"/>
            <w:hideMark/>
          </w:tcPr>
          <w:p w14:paraId="26559C0F" w14:textId="77777777" w:rsidR="00773F93" w:rsidRPr="00601742" w:rsidRDefault="00773F93" w:rsidP="00B0069E">
            <w:pPr>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 xml:space="preserve">Snížení </w:t>
            </w:r>
            <w:proofErr w:type="spellStart"/>
            <w:r w:rsidRPr="00601742">
              <w:rPr>
                <w:rFonts w:ascii="Calibri" w:eastAsia="Times New Roman" w:hAnsi="Calibri" w:cs="Calibri"/>
                <w:color w:val="000000"/>
                <w:sz w:val="16"/>
                <w:szCs w:val="16"/>
                <w:lang w:eastAsia="cs-CZ"/>
              </w:rPr>
              <w:t>fugitivních</w:t>
            </w:r>
            <w:proofErr w:type="spellEnd"/>
            <w:r w:rsidRPr="00601742">
              <w:rPr>
                <w:rFonts w:ascii="Calibri" w:eastAsia="Times New Roman" w:hAnsi="Calibri" w:cs="Calibri"/>
                <w:color w:val="000000"/>
                <w:sz w:val="16"/>
                <w:szCs w:val="16"/>
                <w:lang w:eastAsia="cs-CZ"/>
              </w:rPr>
              <w:t xml:space="preserve"> emisí TZL na </w:t>
            </w:r>
            <w:proofErr w:type="spellStart"/>
            <w:r w:rsidRPr="00601742">
              <w:rPr>
                <w:rFonts w:ascii="Calibri" w:eastAsia="Times New Roman" w:hAnsi="Calibri" w:cs="Calibri"/>
                <w:color w:val="000000"/>
                <w:sz w:val="16"/>
                <w:szCs w:val="16"/>
                <w:lang w:eastAsia="cs-CZ"/>
              </w:rPr>
              <w:t>Středojemné</w:t>
            </w:r>
            <w:proofErr w:type="spellEnd"/>
            <w:r w:rsidRPr="00601742">
              <w:rPr>
                <w:rFonts w:ascii="Calibri" w:eastAsia="Times New Roman" w:hAnsi="Calibri" w:cs="Calibri"/>
                <w:color w:val="000000"/>
                <w:sz w:val="16"/>
                <w:szCs w:val="16"/>
                <w:lang w:eastAsia="cs-CZ"/>
              </w:rPr>
              <w:t xml:space="preserve"> válcovně závodu 14 AMO</w:t>
            </w:r>
          </w:p>
        </w:tc>
        <w:tc>
          <w:tcPr>
            <w:tcW w:w="704" w:type="pct"/>
            <w:tcBorders>
              <w:top w:val="nil"/>
              <w:left w:val="nil"/>
              <w:bottom w:val="single" w:sz="4" w:space="0" w:color="auto"/>
              <w:right w:val="single" w:sz="4" w:space="0" w:color="auto"/>
            </w:tcBorders>
            <w:shd w:val="clear" w:color="auto" w:fill="auto"/>
            <w:vAlign w:val="center"/>
            <w:hideMark/>
          </w:tcPr>
          <w:p w14:paraId="3D50AB10"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15 795 308,00</w:t>
            </w:r>
          </w:p>
        </w:tc>
        <w:tc>
          <w:tcPr>
            <w:tcW w:w="660" w:type="pct"/>
            <w:tcBorders>
              <w:top w:val="nil"/>
              <w:left w:val="nil"/>
              <w:bottom w:val="single" w:sz="4" w:space="0" w:color="auto"/>
              <w:right w:val="single" w:sz="4" w:space="0" w:color="auto"/>
            </w:tcBorders>
            <w:shd w:val="clear" w:color="auto" w:fill="auto"/>
            <w:noWrap/>
            <w:vAlign w:val="center"/>
            <w:hideMark/>
          </w:tcPr>
          <w:p w14:paraId="5ABF66D1"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8 687 419,40</w:t>
            </w:r>
          </w:p>
        </w:tc>
        <w:tc>
          <w:tcPr>
            <w:tcW w:w="588" w:type="pct"/>
            <w:tcBorders>
              <w:top w:val="nil"/>
              <w:left w:val="nil"/>
              <w:bottom w:val="single" w:sz="4" w:space="0" w:color="auto"/>
              <w:right w:val="single" w:sz="4" w:space="0" w:color="auto"/>
            </w:tcBorders>
            <w:shd w:val="clear" w:color="auto" w:fill="auto"/>
            <w:vAlign w:val="center"/>
            <w:hideMark/>
          </w:tcPr>
          <w:p w14:paraId="7BD8503D"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8 687 419,39</w:t>
            </w:r>
          </w:p>
        </w:tc>
      </w:tr>
      <w:tr w:rsidR="00773F93" w:rsidRPr="002E6C48" w14:paraId="09AB913B"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5CFFB31D"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CZ.05.2.28/0.0/0.0/19_136/0009935</w:t>
            </w:r>
          </w:p>
        </w:tc>
        <w:tc>
          <w:tcPr>
            <w:tcW w:w="1650" w:type="pct"/>
            <w:tcBorders>
              <w:top w:val="nil"/>
              <w:left w:val="nil"/>
              <w:bottom w:val="single" w:sz="4" w:space="0" w:color="auto"/>
              <w:right w:val="single" w:sz="4" w:space="0" w:color="auto"/>
            </w:tcBorders>
            <w:shd w:val="clear" w:color="auto" w:fill="auto"/>
            <w:vAlign w:val="center"/>
            <w:hideMark/>
          </w:tcPr>
          <w:p w14:paraId="58873900" w14:textId="77777777" w:rsidR="00773F93" w:rsidRPr="00601742" w:rsidRDefault="00773F93" w:rsidP="00B0069E">
            <w:pPr>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MAPECO MOST a.s. – snížení prašnosti</w:t>
            </w:r>
          </w:p>
        </w:tc>
        <w:tc>
          <w:tcPr>
            <w:tcW w:w="704" w:type="pct"/>
            <w:tcBorders>
              <w:top w:val="nil"/>
              <w:left w:val="nil"/>
              <w:bottom w:val="single" w:sz="4" w:space="0" w:color="auto"/>
              <w:right w:val="single" w:sz="4" w:space="0" w:color="auto"/>
            </w:tcBorders>
            <w:shd w:val="clear" w:color="auto" w:fill="auto"/>
            <w:vAlign w:val="center"/>
            <w:hideMark/>
          </w:tcPr>
          <w:p w14:paraId="56A28A31"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5 756 700,00</w:t>
            </w:r>
          </w:p>
        </w:tc>
        <w:tc>
          <w:tcPr>
            <w:tcW w:w="660" w:type="pct"/>
            <w:tcBorders>
              <w:top w:val="nil"/>
              <w:left w:val="nil"/>
              <w:bottom w:val="single" w:sz="4" w:space="0" w:color="auto"/>
              <w:right w:val="single" w:sz="4" w:space="0" w:color="auto"/>
            </w:tcBorders>
            <w:shd w:val="clear" w:color="auto" w:fill="auto"/>
            <w:noWrap/>
            <w:vAlign w:val="center"/>
            <w:hideMark/>
          </w:tcPr>
          <w:p w14:paraId="349C67CC"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4 317 525,00</w:t>
            </w:r>
          </w:p>
        </w:tc>
        <w:tc>
          <w:tcPr>
            <w:tcW w:w="588" w:type="pct"/>
            <w:tcBorders>
              <w:top w:val="nil"/>
              <w:left w:val="nil"/>
              <w:bottom w:val="single" w:sz="4" w:space="0" w:color="auto"/>
              <w:right w:val="single" w:sz="4" w:space="0" w:color="auto"/>
            </w:tcBorders>
            <w:shd w:val="clear" w:color="auto" w:fill="auto"/>
            <w:vAlign w:val="center"/>
            <w:hideMark/>
          </w:tcPr>
          <w:p w14:paraId="6F46C975"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4 317 525,00</w:t>
            </w:r>
          </w:p>
        </w:tc>
      </w:tr>
      <w:tr w:rsidR="00773F93" w:rsidRPr="002E6C48" w14:paraId="055BBBFF"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15EF4480"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CZ.05.2.28/0.0/0.0/19_136/0009951</w:t>
            </w:r>
          </w:p>
        </w:tc>
        <w:tc>
          <w:tcPr>
            <w:tcW w:w="1650" w:type="pct"/>
            <w:tcBorders>
              <w:top w:val="nil"/>
              <w:left w:val="nil"/>
              <w:bottom w:val="single" w:sz="4" w:space="0" w:color="auto"/>
              <w:right w:val="single" w:sz="4" w:space="0" w:color="auto"/>
            </w:tcBorders>
            <w:shd w:val="clear" w:color="auto" w:fill="auto"/>
            <w:vAlign w:val="center"/>
            <w:hideMark/>
          </w:tcPr>
          <w:p w14:paraId="1723A198" w14:textId="77777777" w:rsidR="00773F93" w:rsidRPr="00601742" w:rsidRDefault="00773F93" w:rsidP="00B0069E">
            <w:pPr>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 xml:space="preserve">Snížení </w:t>
            </w:r>
            <w:proofErr w:type="spellStart"/>
            <w:r w:rsidRPr="00601742">
              <w:rPr>
                <w:rFonts w:ascii="Calibri" w:eastAsia="Times New Roman" w:hAnsi="Calibri" w:cs="Calibri"/>
                <w:color w:val="000000"/>
                <w:sz w:val="16"/>
                <w:szCs w:val="16"/>
                <w:lang w:eastAsia="cs-CZ"/>
              </w:rPr>
              <w:t>fugitivních</w:t>
            </w:r>
            <w:proofErr w:type="spellEnd"/>
            <w:r w:rsidRPr="00601742">
              <w:rPr>
                <w:rFonts w:ascii="Calibri" w:eastAsia="Times New Roman" w:hAnsi="Calibri" w:cs="Calibri"/>
                <w:color w:val="000000"/>
                <w:sz w:val="16"/>
                <w:szCs w:val="16"/>
                <w:lang w:eastAsia="cs-CZ"/>
              </w:rPr>
              <w:t xml:space="preserve"> emisí ve slévárně GIFF a.s. ve Frýdlantu n. Ostravicí</w:t>
            </w:r>
          </w:p>
        </w:tc>
        <w:tc>
          <w:tcPr>
            <w:tcW w:w="704" w:type="pct"/>
            <w:tcBorders>
              <w:top w:val="nil"/>
              <w:left w:val="nil"/>
              <w:bottom w:val="single" w:sz="4" w:space="0" w:color="auto"/>
              <w:right w:val="single" w:sz="4" w:space="0" w:color="auto"/>
            </w:tcBorders>
            <w:shd w:val="clear" w:color="auto" w:fill="auto"/>
            <w:vAlign w:val="center"/>
            <w:hideMark/>
          </w:tcPr>
          <w:p w14:paraId="4CFAF572"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78 530 697,00</w:t>
            </w:r>
          </w:p>
        </w:tc>
        <w:tc>
          <w:tcPr>
            <w:tcW w:w="660" w:type="pct"/>
            <w:tcBorders>
              <w:top w:val="nil"/>
              <w:left w:val="nil"/>
              <w:bottom w:val="single" w:sz="4" w:space="0" w:color="auto"/>
              <w:right w:val="single" w:sz="4" w:space="0" w:color="auto"/>
            </w:tcBorders>
            <w:shd w:val="clear" w:color="auto" w:fill="auto"/>
            <w:noWrap/>
            <w:vAlign w:val="center"/>
            <w:hideMark/>
          </w:tcPr>
          <w:p w14:paraId="52A6FD37"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51 044 953,05</w:t>
            </w:r>
          </w:p>
        </w:tc>
        <w:tc>
          <w:tcPr>
            <w:tcW w:w="588" w:type="pct"/>
            <w:tcBorders>
              <w:top w:val="nil"/>
              <w:left w:val="nil"/>
              <w:bottom w:val="single" w:sz="4" w:space="0" w:color="auto"/>
              <w:right w:val="single" w:sz="4" w:space="0" w:color="auto"/>
            </w:tcBorders>
            <w:shd w:val="clear" w:color="auto" w:fill="auto"/>
            <w:vAlign w:val="center"/>
            <w:hideMark/>
          </w:tcPr>
          <w:p w14:paraId="6B4D08E9"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50 893 310,91</w:t>
            </w:r>
          </w:p>
        </w:tc>
      </w:tr>
      <w:tr w:rsidR="00773F93" w:rsidRPr="002E6C48" w14:paraId="75BE6938"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2B47E81A"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CZ.05.2.28/0.0/0.0/19_136/0009958</w:t>
            </w:r>
          </w:p>
        </w:tc>
        <w:tc>
          <w:tcPr>
            <w:tcW w:w="1650" w:type="pct"/>
            <w:tcBorders>
              <w:top w:val="nil"/>
              <w:left w:val="nil"/>
              <w:bottom w:val="single" w:sz="4" w:space="0" w:color="auto"/>
              <w:right w:val="single" w:sz="4" w:space="0" w:color="auto"/>
            </w:tcBorders>
            <w:shd w:val="clear" w:color="auto" w:fill="auto"/>
            <w:vAlign w:val="center"/>
            <w:hideMark/>
          </w:tcPr>
          <w:p w14:paraId="112E27C7" w14:textId="3FDE5CEF" w:rsidR="00773F93" w:rsidRPr="00601742" w:rsidRDefault="00773F93" w:rsidP="00780D83">
            <w:pPr>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Komplexní projekt snížení prašnosti</w:t>
            </w:r>
            <w:r w:rsidR="00780D83">
              <w:rPr>
                <w:rFonts w:ascii="Calibri" w:eastAsia="Times New Roman" w:hAnsi="Calibri" w:cs="Calibri"/>
                <w:color w:val="000000"/>
                <w:sz w:val="16"/>
                <w:szCs w:val="16"/>
                <w:lang w:eastAsia="cs-CZ"/>
              </w:rPr>
              <w:t xml:space="preserve"> </w:t>
            </w:r>
            <w:r w:rsidRPr="00601742">
              <w:rPr>
                <w:rFonts w:ascii="Calibri" w:eastAsia="Times New Roman" w:hAnsi="Calibri" w:cs="Calibri"/>
                <w:color w:val="000000"/>
                <w:sz w:val="16"/>
                <w:szCs w:val="16"/>
                <w:lang w:eastAsia="cs-CZ"/>
              </w:rPr>
              <w:t>v</w:t>
            </w:r>
            <w:r w:rsidR="00780D83">
              <w:rPr>
                <w:rFonts w:ascii="Calibri" w:eastAsia="Times New Roman" w:hAnsi="Calibri" w:cs="Calibri"/>
                <w:color w:val="000000"/>
                <w:sz w:val="16"/>
                <w:szCs w:val="16"/>
                <w:lang w:eastAsia="cs-CZ"/>
              </w:rPr>
              <w:t> </w:t>
            </w:r>
            <w:r w:rsidRPr="00601742">
              <w:rPr>
                <w:rFonts w:ascii="Calibri" w:eastAsia="Times New Roman" w:hAnsi="Calibri" w:cs="Calibri"/>
                <w:color w:val="000000"/>
                <w:sz w:val="16"/>
                <w:szCs w:val="16"/>
                <w:lang w:eastAsia="cs-CZ"/>
              </w:rPr>
              <w:t>jižních svazích Dolu Bílina</w:t>
            </w:r>
          </w:p>
        </w:tc>
        <w:tc>
          <w:tcPr>
            <w:tcW w:w="704" w:type="pct"/>
            <w:tcBorders>
              <w:top w:val="nil"/>
              <w:left w:val="nil"/>
              <w:bottom w:val="single" w:sz="4" w:space="0" w:color="auto"/>
              <w:right w:val="single" w:sz="4" w:space="0" w:color="auto"/>
            </w:tcBorders>
            <w:shd w:val="clear" w:color="auto" w:fill="auto"/>
            <w:vAlign w:val="center"/>
            <w:hideMark/>
          </w:tcPr>
          <w:p w14:paraId="32B8C9B9"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91 103 119,00</w:t>
            </w:r>
          </w:p>
        </w:tc>
        <w:tc>
          <w:tcPr>
            <w:tcW w:w="660" w:type="pct"/>
            <w:tcBorders>
              <w:top w:val="nil"/>
              <w:left w:val="nil"/>
              <w:bottom w:val="single" w:sz="4" w:space="0" w:color="auto"/>
              <w:right w:val="single" w:sz="4" w:space="0" w:color="auto"/>
            </w:tcBorders>
            <w:shd w:val="clear" w:color="auto" w:fill="auto"/>
            <w:noWrap/>
            <w:vAlign w:val="center"/>
            <w:hideMark/>
          </w:tcPr>
          <w:p w14:paraId="761F87AC"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50 106 715,45</w:t>
            </w:r>
          </w:p>
        </w:tc>
        <w:tc>
          <w:tcPr>
            <w:tcW w:w="588" w:type="pct"/>
            <w:tcBorders>
              <w:top w:val="nil"/>
              <w:left w:val="nil"/>
              <w:bottom w:val="single" w:sz="4" w:space="0" w:color="auto"/>
              <w:right w:val="single" w:sz="4" w:space="0" w:color="auto"/>
            </w:tcBorders>
            <w:shd w:val="clear" w:color="auto" w:fill="auto"/>
            <w:vAlign w:val="center"/>
            <w:hideMark/>
          </w:tcPr>
          <w:p w14:paraId="32A4C24A"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5 092 809,70</w:t>
            </w:r>
          </w:p>
        </w:tc>
      </w:tr>
      <w:tr w:rsidR="00773F93" w:rsidRPr="002E6C48" w14:paraId="0C6E43BF"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24D78F78"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CZ.05.2.28/0.0/0.0/19_136/0009968</w:t>
            </w:r>
          </w:p>
        </w:tc>
        <w:tc>
          <w:tcPr>
            <w:tcW w:w="1650" w:type="pct"/>
            <w:tcBorders>
              <w:top w:val="nil"/>
              <w:left w:val="nil"/>
              <w:bottom w:val="single" w:sz="4" w:space="0" w:color="auto"/>
              <w:right w:val="single" w:sz="4" w:space="0" w:color="auto"/>
            </w:tcBorders>
            <w:shd w:val="clear" w:color="auto" w:fill="auto"/>
            <w:vAlign w:val="center"/>
            <w:hideMark/>
          </w:tcPr>
          <w:p w14:paraId="7CA7A776" w14:textId="77777777" w:rsidR="00773F93" w:rsidRPr="00601742" w:rsidRDefault="00773F93" w:rsidP="00B0069E">
            <w:pPr>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Odprášení areálu společnosti ŠTOKY s.r.o.</w:t>
            </w:r>
          </w:p>
        </w:tc>
        <w:tc>
          <w:tcPr>
            <w:tcW w:w="704" w:type="pct"/>
            <w:tcBorders>
              <w:top w:val="nil"/>
              <w:left w:val="nil"/>
              <w:bottom w:val="single" w:sz="4" w:space="0" w:color="auto"/>
              <w:right w:val="single" w:sz="4" w:space="0" w:color="auto"/>
            </w:tcBorders>
            <w:shd w:val="clear" w:color="auto" w:fill="auto"/>
            <w:vAlign w:val="center"/>
            <w:hideMark/>
          </w:tcPr>
          <w:p w14:paraId="46D054E6"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5 092 450,00</w:t>
            </w:r>
          </w:p>
        </w:tc>
        <w:tc>
          <w:tcPr>
            <w:tcW w:w="660" w:type="pct"/>
            <w:tcBorders>
              <w:top w:val="nil"/>
              <w:left w:val="nil"/>
              <w:bottom w:val="single" w:sz="4" w:space="0" w:color="auto"/>
              <w:right w:val="single" w:sz="4" w:space="0" w:color="auto"/>
            </w:tcBorders>
            <w:shd w:val="clear" w:color="auto" w:fill="auto"/>
            <w:noWrap/>
            <w:vAlign w:val="center"/>
            <w:hideMark/>
          </w:tcPr>
          <w:p w14:paraId="4155DF49"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3 819 337,50</w:t>
            </w:r>
          </w:p>
        </w:tc>
        <w:tc>
          <w:tcPr>
            <w:tcW w:w="588" w:type="pct"/>
            <w:tcBorders>
              <w:top w:val="nil"/>
              <w:left w:val="nil"/>
              <w:bottom w:val="single" w:sz="4" w:space="0" w:color="auto"/>
              <w:right w:val="single" w:sz="4" w:space="0" w:color="auto"/>
            </w:tcBorders>
            <w:shd w:val="clear" w:color="auto" w:fill="auto"/>
            <w:vAlign w:val="center"/>
            <w:hideMark/>
          </w:tcPr>
          <w:p w14:paraId="1663C44C"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3 819 337,50</w:t>
            </w:r>
          </w:p>
        </w:tc>
      </w:tr>
      <w:tr w:rsidR="00773F93" w:rsidRPr="002E6C48" w14:paraId="6F62FE75"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7D29A956"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CZ.05.2.28/0.0/0.0/19_136/0009978</w:t>
            </w:r>
          </w:p>
        </w:tc>
        <w:tc>
          <w:tcPr>
            <w:tcW w:w="1650" w:type="pct"/>
            <w:tcBorders>
              <w:top w:val="nil"/>
              <w:left w:val="nil"/>
              <w:bottom w:val="single" w:sz="4" w:space="0" w:color="auto"/>
              <w:right w:val="single" w:sz="4" w:space="0" w:color="auto"/>
            </w:tcBorders>
            <w:shd w:val="clear" w:color="auto" w:fill="auto"/>
            <w:vAlign w:val="center"/>
            <w:hideMark/>
          </w:tcPr>
          <w:p w14:paraId="425235DD" w14:textId="570BE4EB" w:rsidR="00773F93" w:rsidRPr="00601742" w:rsidRDefault="00773F93" w:rsidP="00B0069E">
            <w:pPr>
              <w:rPr>
                <w:rFonts w:ascii="Calibri" w:eastAsia="Times New Roman" w:hAnsi="Calibri" w:cs="Calibri"/>
                <w:color w:val="000000"/>
                <w:sz w:val="16"/>
                <w:szCs w:val="16"/>
                <w:lang w:eastAsia="cs-CZ"/>
              </w:rPr>
            </w:pPr>
            <w:proofErr w:type="spellStart"/>
            <w:r w:rsidRPr="00601742">
              <w:rPr>
                <w:rFonts w:ascii="Calibri" w:eastAsia="Times New Roman" w:hAnsi="Calibri" w:cs="Calibri"/>
                <w:color w:val="000000"/>
                <w:sz w:val="16"/>
                <w:szCs w:val="16"/>
                <w:lang w:eastAsia="cs-CZ"/>
              </w:rPr>
              <w:t>Bergasto</w:t>
            </w:r>
            <w:proofErr w:type="spellEnd"/>
            <w:r w:rsidRPr="00601742">
              <w:rPr>
                <w:rFonts w:ascii="Calibri" w:eastAsia="Times New Roman" w:hAnsi="Calibri" w:cs="Calibri"/>
                <w:color w:val="000000"/>
                <w:sz w:val="16"/>
                <w:szCs w:val="16"/>
                <w:lang w:eastAsia="cs-CZ"/>
              </w:rPr>
              <w:t xml:space="preserve"> a.s. </w:t>
            </w:r>
            <w:r w:rsidR="00D777AB" w:rsidRPr="00601742">
              <w:rPr>
                <w:rFonts w:ascii="Calibri" w:eastAsia="Times New Roman" w:hAnsi="Calibri" w:cs="Calibri"/>
                <w:color w:val="000000"/>
                <w:sz w:val="16"/>
                <w:szCs w:val="16"/>
                <w:lang w:eastAsia="cs-CZ"/>
              </w:rPr>
              <w:t>–</w:t>
            </w:r>
            <w:r w:rsidRPr="00601742">
              <w:rPr>
                <w:rFonts w:ascii="Calibri" w:eastAsia="Times New Roman" w:hAnsi="Calibri" w:cs="Calibri"/>
                <w:color w:val="000000"/>
                <w:sz w:val="16"/>
                <w:szCs w:val="16"/>
                <w:lang w:eastAsia="cs-CZ"/>
              </w:rPr>
              <w:t xml:space="preserve"> technologie pro snížení prašnosti</w:t>
            </w:r>
          </w:p>
        </w:tc>
        <w:tc>
          <w:tcPr>
            <w:tcW w:w="704" w:type="pct"/>
            <w:tcBorders>
              <w:top w:val="nil"/>
              <w:left w:val="nil"/>
              <w:bottom w:val="single" w:sz="4" w:space="0" w:color="auto"/>
              <w:right w:val="single" w:sz="4" w:space="0" w:color="auto"/>
            </w:tcBorders>
            <w:shd w:val="clear" w:color="auto" w:fill="auto"/>
            <w:vAlign w:val="center"/>
            <w:hideMark/>
          </w:tcPr>
          <w:p w14:paraId="66E92F3B"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7 437 000,00</w:t>
            </w:r>
          </w:p>
        </w:tc>
        <w:tc>
          <w:tcPr>
            <w:tcW w:w="660" w:type="pct"/>
            <w:tcBorders>
              <w:top w:val="nil"/>
              <w:left w:val="nil"/>
              <w:bottom w:val="single" w:sz="4" w:space="0" w:color="auto"/>
              <w:right w:val="single" w:sz="4" w:space="0" w:color="auto"/>
            </w:tcBorders>
            <w:shd w:val="clear" w:color="auto" w:fill="auto"/>
            <w:noWrap/>
            <w:vAlign w:val="center"/>
            <w:hideMark/>
          </w:tcPr>
          <w:p w14:paraId="1AC5E35F"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5 577 750,00</w:t>
            </w:r>
          </w:p>
        </w:tc>
        <w:tc>
          <w:tcPr>
            <w:tcW w:w="588" w:type="pct"/>
            <w:tcBorders>
              <w:top w:val="nil"/>
              <w:left w:val="nil"/>
              <w:bottom w:val="single" w:sz="4" w:space="0" w:color="auto"/>
              <w:right w:val="single" w:sz="4" w:space="0" w:color="auto"/>
            </w:tcBorders>
            <w:shd w:val="clear" w:color="auto" w:fill="auto"/>
            <w:vAlign w:val="center"/>
            <w:hideMark/>
          </w:tcPr>
          <w:p w14:paraId="34B06D6F"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5 574 000,00</w:t>
            </w:r>
          </w:p>
        </w:tc>
      </w:tr>
      <w:tr w:rsidR="00773F93" w:rsidRPr="002E6C48" w14:paraId="5D9881C9" w14:textId="77777777" w:rsidTr="00361418">
        <w:trPr>
          <w:trHeight w:val="20"/>
        </w:trPr>
        <w:tc>
          <w:tcPr>
            <w:tcW w:w="1398" w:type="pct"/>
            <w:tcBorders>
              <w:top w:val="nil"/>
              <w:left w:val="single" w:sz="4" w:space="0" w:color="auto"/>
              <w:bottom w:val="single" w:sz="4" w:space="0" w:color="auto"/>
              <w:right w:val="single" w:sz="4" w:space="0" w:color="auto"/>
            </w:tcBorders>
            <w:shd w:val="clear" w:color="auto" w:fill="auto"/>
            <w:noWrap/>
            <w:vAlign w:val="center"/>
            <w:hideMark/>
          </w:tcPr>
          <w:p w14:paraId="43C8C51E" w14:textId="77777777" w:rsidR="00773F93" w:rsidRPr="00601742" w:rsidRDefault="00773F93" w:rsidP="00B0069E">
            <w:pPr>
              <w:jc w:val="both"/>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CZ.05.2.28/0.0/0.0/19_136/0009986</w:t>
            </w:r>
          </w:p>
        </w:tc>
        <w:tc>
          <w:tcPr>
            <w:tcW w:w="1650" w:type="pct"/>
            <w:tcBorders>
              <w:top w:val="nil"/>
              <w:left w:val="nil"/>
              <w:bottom w:val="single" w:sz="4" w:space="0" w:color="auto"/>
              <w:right w:val="single" w:sz="4" w:space="0" w:color="auto"/>
            </w:tcBorders>
            <w:shd w:val="clear" w:color="auto" w:fill="auto"/>
            <w:vAlign w:val="center"/>
            <w:hideMark/>
          </w:tcPr>
          <w:p w14:paraId="083ED80F" w14:textId="7E59F7A4" w:rsidR="00773F93" w:rsidRPr="00601742" w:rsidRDefault="00773F93" w:rsidP="00B0069E">
            <w:pPr>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 xml:space="preserve">HERKUL a.s. </w:t>
            </w:r>
            <w:r w:rsidR="00D777AB" w:rsidRPr="00601742">
              <w:rPr>
                <w:rFonts w:ascii="Calibri" w:eastAsia="Times New Roman" w:hAnsi="Calibri" w:cs="Calibri"/>
                <w:color w:val="000000"/>
                <w:sz w:val="16"/>
                <w:szCs w:val="16"/>
                <w:lang w:eastAsia="cs-CZ"/>
              </w:rPr>
              <w:t>–</w:t>
            </w:r>
            <w:r w:rsidRPr="00601742">
              <w:rPr>
                <w:rFonts w:ascii="Calibri" w:eastAsia="Times New Roman" w:hAnsi="Calibri" w:cs="Calibri"/>
                <w:color w:val="000000"/>
                <w:sz w:val="16"/>
                <w:szCs w:val="16"/>
                <w:lang w:eastAsia="cs-CZ"/>
              </w:rPr>
              <w:t xml:space="preserve"> snížení prašnosti</w:t>
            </w:r>
          </w:p>
        </w:tc>
        <w:tc>
          <w:tcPr>
            <w:tcW w:w="704" w:type="pct"/>
            <w:tcBorders>
              <w:top w:val="nil"/>
              <w:left w:val="nil"/>
              <w:bottom w:val="single" w:sz="4" w:space="0" w:color="auto"/>
              <w:right w:val="single" w:sz="4" w:space="0" w:color="auto"/>
            </w:tcBorders>
            <w:shd w:val="clear" w:color="auto" w:fill="auto"/>
            <w:vAlign w:val="center"/>
            <w:hideMark/>
          </w:tcPr>
          <w:p w14:paraId="6DF367DA"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7 533 000,00</w:t>
            </w:r>
          </w:p>
        </w:tc>
        <w:tc>
          <w:tcPr>
            <w:tcW w:w="660" w:type="pct"/>
            <w:tcBorders>
              <w:top w:val="nil"/>
              <w:left w:val="nil"/>
              <w:bottom w:val="single" w:sz="4" w:space="0" w:color="auto"/>
              <w:right w:val="single" w:sz="4" w:space="0" w:color="auto"/>
            </w:tcBorders>
            <w:shd w:val="clear" w:color="auto" w:fill="auto"/>
            <w:noWrap/>
            <w:vAlign w:val="center"/>
            <w:hideMark/>
          </w:tcPr>
          <w:p w14:paraId="2DE3FD13"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4 896 450,00</w:t>
            </w:r>
          </w:p>
        </w:tc>
        <w:tc>
          <w:tcPr>
            <w:tcW w:w="588" w:type="pct"/>
            <w:tcBorders>
              <w:top w:val="nil"/>
              <w:left w:val="nil"/>
              <w:bottom w:val="single" w:sz="4" w:space="0" w:color="auto"/>
              <w:right w:val="single" w:sz="4" w:space="0" w:color="auto"/>
            </w:tcBorders>
            <w:shd w:val="clear" w:color="auto" w:fill="auto"/>
            <w:vAlign w:val="center"/>
            <w:hideMark/>
          </w:tcPr>
          <w:p w14:paraId="1E708484" w14:textId="77777777" w:rsidR="00773F93" w:rsidRPr="00601742" w:rsidRDefault="00773F93" w:rsidP="00B0069E">
            <w:pPr>
              <w:jc w:val="right"/>
              <w:rPr>
                <w:rFonts w:ascii="Calibri" w:eastAsia="Times New Roman" w:hAnsi="Calibri" w:cs="Calibri"/>
                <w:color w:val="000000"/>
                <w:sz w:val="16"/>
                <w:szCs w:val="16"/>
                <w:lang w:eastAsia="cs-CZ"/>
              </w:rPr>
            </w:pPr>
            <w:r w:rsidRPr="00601742">
              <w:rPr>
                <w:rFonts w:ascii="Calibri" w:eastAsia="Times New Roman" w:hAnsi="Calibri" w:cs="Calibri"/>
                <w:color w:val="000000"/>
                <w:sz w:val="16"/>
                <w:szCs w:val="16"/>
                <w:lang w:eastAsia="cs-CZ"/>
              </w:rPr>
              <w:t>4 896 450,00</w:t>
            </w:r>
          </w:p>
        </w:tc>
      </w:tr>
      <w:tr w:rsidR="00773F93" w:rsidRPr="002E6C48" w14:paraId="69F1EDEB" w14:textId="77777777" w:rsidTr="00361418">
        <w:trPr>
          <w:trHeight w:val="20"/>
        </w:trPr>
        <w:tc>
          <w:tcPr>
            <w:tcW w:w="304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B7E0F3" w14:textId="77777777" w:rsidR="00773F93" w:rsidRPr="00601742" w:rsidRDefault="00773F93" w:rsidP="00B0069E">
            <w:pPr>
              <w:rPr>
                <w:rFonts w:ascii="Calibri" w:eastAsia="Times New Roman" w:hAnsi="Calibri" w:cs="Calibri"/>
                <w:b/>
                <w:bCs/>
                <w:color w:val="000000"/>
                <w:sz w:val="16"/>
                <w:szCs w:val="16"/>
                <w:lang w:eastAsia="cs-CZ"/>
              </w:rPr>
            </w:pPr>
            <w:r w:rsidRPr="00601742">
              <w:rPr>
                <w:rFonts w:ascii="Calibri" w:eastAsia="Times New Roman" w:hAnsi="Calibri" w:cs="Calibri"/>
                <w:b/>
                <w:bCs/>
                <w:color w:val="000000"/>
                <w:sz w:val="16"/>
                <w:szCs w:val="16"/>
                <w:lang w:eastAsia="cs-CZ"/>
              </w:rPr>
              <w:t>Celkem</w:t>
            </w:r>
          </w:p>
        </w:tc>
        <w:tc>
          <w:tcPr>
            <w:tcW w:w="704" w:type="pct"/>
            <w:tcBorders>
              <w:top w:val="nil"/>
              <w:left w:val="nil"/>
              <w:bottom w:val="single" w:sz="4" w:space="0" w:color="auto"/>
              <w:right w:val="single" w:sz="4" w:space="0" w:color="auto"/>
            </w:tcBorders>
            <w:shd w:val="clear" w:color="auto" w:fill="auto"/>
            <w:noWrap/>
            <w:vAlign w:val="center"/>
            <w:hideMark/>
          </w:tcPr>
          <w:p w14:paraId="2F3D9774" w14:textId="77777777" w:rsidR="00773F93" w:rsidRPr="00601742" w:rsidRDefault="00773F93" w:rsidP="00B0069E">
            <w:pPr>
              <w:jc w:val="right"/>
              <w:rPr>
                <w:rFonts w:ascii="Calibri" w:eastAsia="Times New Roman" w:hAnsi="Calibri" w:cs="Calibri"/>
                <w:b/>
                <w:bCs/>
                <w:color w:val="000000"/>
                <w:sz w:val="16"/>
                <w:szCs w:val="16"/>
                <w:lang w:eastAsia="cs-CZ"/>
              </w:rPr>
            </w:pPr>
            <w:r w:rsidRPr="00601742">
              <w:rPr>
                <w:rFonts w:ascii="Calibri" w:eastAsia="Times New Roman" w:hAnsi="Calibri" w:cs="Calibri"/>
                <w:b/>
                <w:bCs/>
                <w:color w:val="000000"/>
                <w:sz w:val="16"/>
                <w:szCs w:val="16"/>
                <w:lang w:eastAsia="cs-CZ"/>
              </w:rPr>
              <w:t>441 618 306,38</w:t>
            </w:r>
          </w:p>
        </w:tc>
        <w:tc>
          <w:tcPr>
            <w:tcW w:w="660" w:type="pct"/>
            <w:tcBorders>
              <w:top w:val="nil"/>
              <w:left w:val="nil"/>
              <w:bottom w:val="single" w:sz="4" w:space="0" w:color="auto"/>
              <w:right w:val="single" w:sz="4" w:space="0" w:color="auto"/>
            </w:tcBorders>
            <w:shd w:val="clear" w:color="auto" w:fill="auto"/>
            <w:noWrap/>
            <w:vAlign w:val="center"/>
            <w:hideMark/>
          </w:tcPr>
          <w:p w14:paraId="68E81A6D" w14:textId="77777777" w:rsidR="00773F93" w:rsidRPr="00601742" w:rsidRDefault="00773F93" w:rsidP="00B0069E">
            <w:pPr>
              <w:jc w:val="right"/>
              <w:rPr>
                <w:rFonts w:ascii="Calibri" w:eastAsia="Times New Roman" w:hAnsi="Calibri" w:cs="Calibri"/>
                <w:b/>
                <w:bCs/>
                <w:color w:val="000000"/>
                <w:sz w:val="16"/>
                <w:szCs w:val="16"/>
                <w:lang w:eastAsia="cs-CZ"/>
              </w:rPr>
            </w:pPr>
            <w:r w:rsidRPr="00601742">
              <w:rPr>
                <w:rFonts w:ascii="Calibri" w:eastAsia="Times New Roman" w:hAnsi="Calibri" w:cs="Calibri"/>
                <w:b/>
                <w:bCs/>
                <w:color w:val="000000"/>
                <w:sz w:val="16"/>
                <w:szCs w:val="16"/>
                <w:lang w:eastAsia="cs-CZ"/>
              </w:rPr>
              <w:t>308 796 227,91</w:t>
            </w:r>
          </w:p>
        </w:tc>
        <w:tc>
          <w:tcPr>
            <w:tcW w:w="588" w:type="pct"/>
            <w:tcBorders>
              <w:top w:val="nil"/>
              <w:left w:val="nil"/>
              <w:bottom w:val="single" w:sz="4" w:space="0" w:color="auto"/>
              <w:right w:val="single" w:sz="4" w:space="0" w:color="auto"/>
            </w:tcBorders>
            <w:shd w:val="clear" w:color="auto" w:fill="auto"/>
            <w:noWrap/>
            <w:vAlign w:val="center"/>
            <w:hideMark/>
          </w:tcPr>
          <w:p w14:paraId="2B4AA6E8" w14:textId="77777777" w:rsidR="00773F93" w:rsidRPr="00601742" w:rsidRDefault="00773F93" w:rsidP="00B0069E">
            <w:pPr>
              <w:rPr>
                <w:rFonts w:ascii="Calibri" w:eastAsia="Times New Roman" w:hAnsi="Calibri" w:cs="Calibri"/>
                <w:b/>
                <w:bCs/>
                <w:color w:val="000000"/>
                <w:sz w:val="16"/>
                <w:szCs w:val="16"/>
                <w:lang w:eastAsia="cs-CZ"/>
              </w:rPr>
            </w:pPr>
            <w:r w:rsidRPr="00601742">
              <w:rPr>
                <w:rFonts w:ascii="Calibri" w:eastAsia="Times New Roman" w:hAnsi="Calibri" w:cs="Calibri"/>
                <w:b/>
                <w:bCs/>
                <w:color w:val="000000"/>
                <w:sz w:val="16"/>
                <w:szCs w:val="16"/>
                <w:lang w:eastAsia="cs-CZ"/>
              </w:rPr>
              <w:t xml:space="preserve"> </w:t>
            </w:r>
            <w:r w:rsidRPr="002E6C48">
              <w:rPr>
                <w:rFonts w:ascii="Calibri" w:eastAsia="Times New Roman" w:hAnsi="Calibri" w:cs="Calibri"/>
                <w:b/>
                <w:bCs/>
                <w:color w:val="000000"/>
                <w:sz w:val="16"/>
                <w:szCs w:val="16"/>
                <w:lang w:eastAsia="cs-CZ"/>
              </w:rPr>
              <w:t>263 626 929,22</w:t>
            </w:r>
          </w:p>
        </w:tc>
      </w:tr>
    </w:tbl>
    <w:p w14:paraId="01412FD5" w14:textId="5C7E3A79" w:rsidR="00773F93" w:rsidRPr="00296D21" w:rsidRDefault="00B0069E" w:rsidP="00955553">
      <w:pPr>
        <w:pStyle w:val="Zdrojeapozn"/>
        <w:rPr>
          <w:b w:val="0"/>
        </w:rPr>
      </w:pPr>
      <w:r w:rsidRPr="00F13367">
        <w:t>Zdroj:</w:t>
      </w:r>
      <w:r w:rsidR="00D777AB">
        <w:t xml:space="preserve"> </w:t>
      </w:r>
      <w:r w:rsidR="00D777AB" w:rsidRPr="00296D21">
        <w:rPr>
          <w:b w:val="0"/>
        </w:rPr>
        <w:t>i</w:t>
      </w:r>
      <w:r w:rsidRPr="00296D21">
        <w:rPr>
          <w:b w:val="0"/>
        </w:rPr>
        <w:t>nformace MŽP, MS2014+.</w:t>
      </w:r>
    </w:p>
    <w:p w14:paraId="1B1AE72E" w14:textId="722385E2" w:rsidR="00B0069E" w:rsidRDefault="00B0069E" w:rsidP="00B0069E"/>
    <w:p w14:paraId="3CD4C197" w14:textId="5A0E4037" w:rsidR="00773F93" w:rsidRPr="000352E0" w:rsidRDefault="00773F93" w:rsidP="000352E0">
      <w:pPr>
        <w:spacing w:before="120" w:after="40"/>
        <w:rPr>
          <w:b/>
        </w:rPr>
      </w:pPr>
      <w:r w:rsidRPr="000352E0">
        <w:rPr>
          <w:b/>
        </w:rPr>
        <w:t>Tabulk</w:t>
      </w:r>
      <w:r w:rsidR="00DD242D">
        <w:rPr>
          <w:b/>
        </w:rPr>
        <w:t xml:space="preserve">a č. 2: </w:t>
      </w:r>
      <w:r w:rsidRPr="000352E0">
        <w:rPr>
          <w:b/>
        </w:rPr>
        <w:t xml:space="preserve">Kontrolované projekty NPŽP z výzvy č. 1/2019 – „kotlíkové půjčky“ </w:t>
      </w:r>
      <w:r w:rsidRPr="000352E0">
        <w:rPr>
          <w:b/>
        </w:rPr>
        <w:tab/>
        <w:t>(v Kč)</w:t>
      </w:r>
    </w:p>
    <w:tbl>
      <w:tblPr>
        <w:tblW w:w="5000" w:type="pct"/>
        <w:jc w:val="center"/>
        <w:tblCellMar>
          <w:left w:w="70" w:type="dxa"/>
          <w:right w:w="70" w:type="dxa"/>
        </w:tblCellMar>
        <w:tblLook w:val="04A0" w:firstRow="1" w:lastRow="0" w:firstColumn="1" w:lastColumn="0" w:noHBand="0" w:noVBand="1"/>
      </w:tblPr>
      <w:tblGrid>
        <w:gridCol w:w="2423"/>
        <w:gridCol w:w="2160"/>
        <w:gridCol w:w="2005"/>
        <w:gridCol w:w="1238"/>
        <w:gridCol w:w="1236"/>
      </w:tblGrid>
      <w:tr w:rsidR="00773F93" w:rsidRPr="003A031C" w14:paraId="4507AE86" w14:textId="77777777" w:rsidTr="000352E0">
        <w:trPr>
          <w:trHeight w:val="20"/>
          <w:jc w:val="center"/>
        </w:trPr>
        <w:tc>
          <w:tcPr>
            <w:tcW w:w="13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139513" w14:textId="77777777" w:rsidR="00773F93" w:rsidRPr="003A031C" w:rsidRDefault="00773F93" w:rsidP="00B0069E">
            <w:pPr>
              <w:jc w:val="center"/>
              <w:rPr>
                <w:rFonts w:ascii="Calibri" w:eastAsia="Times New Roman" w:hAnsi="Calibri" w:cs="Calibri"/>
                <w:b/>
                <w:bCs/>
                <w:color w:val="000000"/>
                <w:sz w:val="18"/>
                <w:szCs w:val="18"/>
                <w:lang w:eastAsia="cs-CZ"/>
              </w:rPr>
            </w:pPr>
            <w:r w:rsidRPr="003A031C">
              <w:rPr>
                <w:rFonts w:ascii="Calibri" w:eastAsia="Times New Roman" w:hAnsi="Calibri" w:cs="Calibri"/>
                <w:b/>
                <w:bCs/>
                <w:color w:val="000000"/>
                <w:sz w:val="18"/>
                <w:szCs w:val="18"/>
                <w:lang w:eastAsia="cs-CZ"/>
              </w:rPr>
              <w:t>Číslo projektu</w:t>
            </w:r>
          </w:p>
        </w:tc>
        <w:tc>
          <w:tcPr>
            <w:tcW w:w="1192" w:type="pct"/>
            <w:tcBorders>
              <w:top w:val="single" w:sz="4" w:space="0" w:color="auto"/>
              <w:left w:val="nil"/>
              <w:bottom w:val="single" w:sz="4" w:space="0" w:color="auto"/>
              <w:right w:val="single" w:sz="4" w:space="0" w:color="auto"/>
            </w:tcBorders>
            <w:shd w:val="clear" w:color="auto" w:fill="F2F2F2"/>
            <w:vAlign w:val="center"/>
            <w:hideMark/>
          </w:tcPr>
          <w:p w14:paraId="0F4AC954" w14:textId="77777777" w:rsidR="00773F93" w:rsidRPr="003A031C" w:rsidRDefault="00773F93" w:rsidP="00B0069E">
            <w:pPr>
              <w:jc w:val="center"/>
              <w:rPr>
                <w:rFonts w:ascii="Calibri" w:eastAsia="Times New Roman" w:hAnsi="Calibri" w:cs="Calibri"/>
                <w:b/>
                <w:bCs/>
                <w:color w:val="000000"/>
                <w:sz w:val="18"/>
                <w:szCs w:val="18"/>
                <w:lang w:eastAsia="cs-CZ"/>
              </w:rPr>
            </w:pPr>
            <w:r w:rsidRPr="003A031C">
              <w:rPr>
                <w:rFonts w:ascii="Calibri" w:eastAsia="Times New Roman" w:hAnsi="Calibri" w:cs="Calibri"/>
                <w:b/>
                <w:bCs/>
                <w:color w:val="000000"/>
                <w:sz w:val="18"/>
                <w:szCs w:val="18"/>
                <w:lang w:eastAsia="cs-CZ"/>
              </w:rPr>
              <w:t>Žadatel</w:t>
            </w:r>
          </w:p>
        </w:tc>
        <w:tc>
          <w:tcPr>
            <w:tcW w:w="1106" w:type="pct"/>
            <w:tcBorders>
              <w:top w:val="single" w:sz="4" w:space="0" w:color="auto"/>
              <w:left w:val="nil"/>
              <w:bottom w:val="single" w:sz="4" w:space="0" w:color="auto"/>
              <w:right w:val="single" w:sz="4" w:space="0" w:color="auto"/>
            </w:tcBorders>
            <w:shd w:val="clear" w:color="auto" w:fill="F2F2F2"/>
            <w:vAlign w:val="center"/>
            <w:hideMark/>
          </w:tcPr>
          <w:p w14:paraId="431A63AC" w14:textId="233EB831" w:rsidR="00773F93" w:rsidRPr="003A031C" w:rsidRDefault="00773F93" w:rsidP="00B0069E">
            <w:pPr>
              <w:jc w:val="center"/>
              <w:rPr>
                <w:rFonts w:ascii="Calibri" w:eastAsia="Times New Roman" w:hAnsi="Calibri" w:cs="Calibri"/>
                <w:b/>
                <w:bCs/>
                <w:color w:val="000000"/>
                <w:sz w:val="18"/>
                <w:szCs w:val="18"/>
                <w:lang w:eastAsia="cs-CZ"/>
              </w:rPr>
            </w:pPr>
            <w:r w:rsidRPr="003A031C">
              <w:rPr>
                <w:rFonts w:ascii="Calibri" w:eastAsia="Times New Roman" w:hAnsi="Calibri" w:cs="Calibri"/>
                <w:b/>
                <w:bCs/>
                <w:color w:val="000000"/>
                <w:sz w:val="18"/>
                <w:szCs w:val="18"/>
                <w:lang w:eastAsia="cs-CZ"/>
              </w:rPr>
              <w:t xml:space="preserve">Dotace celkem </w:t>
            </w:r>
            <w:r w:rsidR="0070571B">
              <w:rPr>
                <w:rFonts w:ascii="Calibri" w:eastAsia="Times New Roman" w:hAnsi="Calibri" w:cs="Calibri"/>
                <w:b/>
                <w:bCs/>
                <w:color w:val="000000"/>
                <w:sz w:val="18"/>
                <w:szCs w:val="18"/>
                <w:lang w:eastAsia="cs-CZ"/>
              </w:rPr>
              <w:br/>
            </w:r>
            <w:r w:rsidRPr="003A031C">
              <w:rPr>
                <w:rFonts w:ascii="Calibri" w:eastAsia="Times New Roman" w:hAnsi="Calibri" w:cs="Calibri"/>
                <w:b/>
                <w:bCs/>
                <w:color w:val="000000"/>
                <w:sz w:val="18"/>
                <w:szCs w:val="18"/>
                <w:lang w:eastAsia="cs-CZ"/>
              </w:rPr>
              <w:t>dle rozhodnutí ministra</w:t>
            </w:r>
          </w:p>
        </w:tc>
        <w:tc>
          <w:tcPr>
            <w:tcW w:w="683" w:type="pct"/>
            <w:tcBorders>
              <w:top w:val="single" w:sz="4" w:space="0" w:color="auto"/>
              <w:left w:val="nil"/>
              <w:bottom w:val="single" w:sz="4" w:space="0" w:color="auto"/>
              <w:right w:val="single" w:sz="4" w:space="0" w:color="auto"/>
            </w:tcBorders>
            <w:shd w:val="clear" w:color="auto" w:fill="F2F2F2"/>
            <w:vAlign w:val="center"/>
            <w:hideMark/>
          </w:tcPr>
          <w:p w14:paraId="666E9440" w14:textId="77777777" w:rsidR="00773F93" w:rsidRPr="003A031C" w:rsidRDefault="00773F93" w:rsidP="00B0069E">
            <w:pPr>
              <w:jc w:val="center"/>
              <w:rPr>
                <w:rFonts w:ascii="Calibri" w:eastAsia="Times New Roman" w:hAnsi="Calibri" w:cs="Calibri"/>
                <w:b/>
                <w:bCs/>
                <w:color w:val="000000"/>
                <w:sz w:val="18"/>
                <w:szCs w:val="18"/>
                <w:lang w:eastAsia="cs-CZ"/>
              </w:rPr>
            </w:pPr>
            <w:r w:rsidRPr="003A031C">
              <w:rPr>
                <w:rFonts w:ascii="Calibri" w:eastAsia="Times New Roman" w:hAnsi="Calibri" w:cs="Calibri"/>
                <w:b/>
                <w:bCs/>
                <w:color w:val="000000"/>
                <w:sz w:val="18"/>
                <w:szCs w:val="18"/>
                <w:lang w:eastAsia="cs-CZ"/>
              </w:rPr>
              <w:t>Vyplacená dotace</w:t>
            </w:r>
          </w:p>
        </w:tc>
        <w:tc>
          <w:tcPr>
            <w:tcW w:w="682" w:type="pct"/>
            <w:tcBorders>
              <w:top w:val="single" w:sz="4" w:space="0" w:color="auto"/>
              <w:left w:val="nil"/>
              <w:bottom w:val="single" w:sz="4" w:space="0" w:color="auto"/>
              <w:right w:val="single" w:sz="4" w:space="0" w:color="auto"/>
            </w:tcBorders>
            <w:shd w:val="clear" w:color="auto" w:fill="F2F2F2"/>
            <w:vAlign w:val="center"/>
            <w:hideMark/>
          </w:tcPr>
          <w:p w14:paraId="3B3A4221" w14:textId="77777777" w:rsidR="00773F93" w:rsidRPr="003A031C" w:rsidRDefault="00773F93" w:rsidP="00B0069E">
            <w:pPr>
              <w:jc w:val="center"/>
              <w:rPr>
                <w:rFonts w:ascii="Calibri" w:eastAsia="Times New Roman" w:hAnsi="Calibri" w:cs="Calibri"/>
                <w:b/>
                <w:bCs/>
                <w:color w:val="000000"/>
                <w:sz w:val="18"/>
                <w:szCs w:val="18"/>
                <w:lang w:eastAsia="cs-CZ"/>
              </w:rPr>
            </w:pPr>
            <w:r w:rsidRPr="003A031C">
              <w:rPr>
                <w:rFonts w:ascii="Calibri" w:eastAsia="Times New Roman" w:hAnsi="Calibri" w:cs="Calibri"/>
                <w:b/>
                <w:bCs/>
                <w:color w:val="000000"/>
                <w:sz w:val="18"/>
                <w:szCs w:val="18"/>
                <w:lang w:eastAsia="cs-CZ"/>
              </w:rPr>
              <w:t>Vráceno celkem</w:t>
            </w:r>
          </w:p>
        </w:tc>
      </w:tr>
      <w:tr w:rsidR="00773F93" w:rsidRPr="003A031C" w14:paraId="6B4029E9" w14:textId="77777777" w:rsidTr="000352E0">
        <w:trPr>
          <w:trHeight w:val="20"/>
          <w:jc w:val="center"/>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52BF2FE8" w14:textId="77777777" w:rsidR="00773F93" w:rsidRPr="003A031C" w:rsidRDefault="00773F93" w:rsidP="00B0069E">
            <w:pPr>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3241962</w:t>
            </w:r>
          </w:p>
        </w:tc>
        <w:tc>
          <w:tcPr>
            <w:tcW w:w="1192" w:type="pct"/>
            <w:tcBorders>
              <w:top w:val="nil"/>
              <w:left w:val="nil"/>
              <w:bottom w:val="single" w:sz="4" w:space="0" w:color="auto"/>
              <w:right w:val="single" w:sz="4" w:space="0" w:color="auto"/>
            </w:tcBorders>
            <w:shd w:val="clear" w:color="auto" w:fill="auto"/>
            <w:vAlign w:val="center"/>
            <w:hideMark/>
          </w:tcPr>
          <w:p w14:paraId="0B9DC056" w14:textId="77777777" w:rsidR="00773F93" w:rsidRPr="003A031C" w:rsidRDefault="00773F93" w:rsidP="00B0069E">
            <w:pPr>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Město Kravaře</w:t>
            </w:r>
          </w:p>
        </w:tc>
        <w:tc>
          <w:tcPr>
            <w:tcW w:w="1106" w:type="pct"/>
            <w:tcBorders>
              <w:top w:val="nil"/>
              <w:left w:val="nil"/>
              <w:bottom w:val="single" w:sz="4" w:space="0" w:color="auto"/>
              <w:right w:val="single" w:sz="4" w:space="0" w:color="auto"/>
            </w:tcBorders>
            <w:shd w:val="clear" w:color="auto" w:fill="auto"/>
            <w:noWrap/>
            <w:vAlign w:val="center"/>
            <w:hideMark/>
          </w:tcPr>
          <w:p w14:paraId="3DE849AE" w14:textId="77777777" w:rsidR="00773F93" w:rsidRPr="003A031C" w:rsidRDefault="00773F93" w:rsidP="00B0069E">
            <w:pPr>
              <w:jc w:val="right"/>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26 340 000</w:t>
            </w:r>
          </w:p>
        </w:tc>
        <w:tc>
          <w:tcPr>
            <w:tcW w:w="683" w:type="pct"/>
            <w:tcBorders>
              <w:top w:val="nil"/>
              <w:left w:val="nil"/>
              <w:bottom w:val="single" w:sz="4" w:space="0" w:color="auto"/>
              <w:right w:val="single" w:sz="4" w:space="0" w:color="auto"/>
            </w:tcBorders>
            <w:shd w:val="clear" w:color="auto" w:fill="auto"/>
            <w:noWrap/>
            <w:vAlign w:val="center"/>
            <w:hideMark/>
          </w:tcPr>
          <w:p w14:paraId="135F7905" w14:textId="77777777" w:rsidR="00773F93" w:rsidRPr="003A031C" w:rsidRDefault="00773F93" w:rsidP="00B0069E">
            <w:pPr>
              <w:jc w:val="right"/>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25 080 000</w:t>
            </w:r>
          </w:p>
        </w:tc>
        <w:tc>
          <w:tcPr>
            <w:tcW w:w="682" w:type="pct"/>
            <w:tcBorders>
              <w:top w:val="nil"/>
              <w:left w:val="nil"/>
              <w:bottom w:val="single" w:sz="4" w:space="0" w:color="auto"/>
              <w:right w:val="single" w:sz="4" w:space="0" w:color="auto"/>
            </w:tcBorders>
            <w:shd w:val="clear" w:color="auto" w:fill="auto"/>
            <w:noWrap/>
            <w:vAlign w:val="center"/>
            <w:hideMark/>
          </w:tcPr>
          <w:p w14:paraId="50B2825E" w14:textId="77777777" w:rsidR="00773F93" w:rsidRPr="003A031C" w:rsidRDefault="00773F93" w:rsidP="00B0069E">
            <w:pPr>
              <w:jc w:val="right"/>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10 140 000</w:t>
            </w:r>
          </w:p>
        </w:tc>
      </w:tr>
      <w:tr w:rsidR="00773F93" w:rsidRPr="003A031C" w14:paraId="3F31C92B" w14:textId="77777777" w:rsidTr="000352E0">
        <w:trPr>
          <w:trHeight w:val="20"/>
          <w:jc w:val="center"/>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1794C0B7" w14:textId="77777777" w:rsidR="00773F93" w:rsidRPr="003A031C" w:rsidRDefault="00773F93" w:rsidP="00B0069E">
            <w:pPr>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2921961</w:t>
            </w:r>
          </w:p>
        </w:tc>
        <w:tc>
          <w:tcPr>
            <w:tcW w:w="1192" w:type="pct"/>
            <w:tcBorders>
              <w:top w:val="nil"/>
              <w:left w:val="nil"/>
              <w:bottom w:val="single" w:sz="4" w:space="0" w:color="auto"/>
              <w:right w:val="single" w:sz="4" w:space="0" w:color="auto"/>
            </w:tcBorders>
            <w:shd w:val="clear" w:color="auto" w:fill="auto"/>
            <w:vAlign w:val="center"/>
            <w:hideMark/>
          </w:tcPr>
          <w:p w14:paraId="40B1E3B4" w14:textId="77777777" w:rsidR="00773F93" w:rsidRPr="003A031C" w:rsidRDefault="00773F93" w:rsidP="00B0069E">
            <w:pPr>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Statutární město Ostrava</w:t>
            </w:r>
          </w:p>
        </w:tc>
        <w:tc>
          <w:tcPr>
            <w:tcW w:w="1106" w:type="pct"/>
            <w:tcBorders>
              <w:top w:val="nil"/>
              <w:left w:val="nil"/>
              <w:bottom w:val="single" w:sz="4" w:space="0" w:color="auto"/>
              <w:right w:val="single" w:sz="4" w:space="0" w:color="auto"/>
            </w:tcBorders>
            <w:shd w:val="clear" w:color="auto" w:fill="auto"/>
            <w:noWrap/>
            <w:vAlign w:val="center"/>
            <w:hideMark/>
          </w:tcPr>
          <w:p w14:paraId="03794537" w14:textId="77777777" w:rsidR="00773F93" w:rsidRPr="003A031C" w:rsidRDefault="00773F93" w:rsidP="00B0069E">
            <w:pPr>
              <w:jc w:val="right"/>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76 170 000</w:t>
            </w:r>
          </w:p>
        </w:tc>
        <w:tc>
          <w:tcPr>
            <w:tcW w:w="683" w:type="pct"/>
            <w:tcBorders>
              <w:top w:val="nil"/>
              <w:left w:val="nil"/>
              <w:bottom w:val="single" w:sz="4" w:space="0" w:color="auto"/>
              <w:right w:val="single" w:sz="4" w:space="0" w:color="auto"/>
            </w:tcBorders>
            <w:shd w:val="clear" w:color="auto" w:fill="auto"/>
            <w:noWrap/>
            <w:vAlign w:val="center"/>
            <w:hideMark/>
          </w:tcPr>
          <w:p w14:paraId="5E60F3C5" w14:textId="77777777" w:rsidR="00773F93" w:rsidRPr="003A031C" w:rsidRDefault="00773F93" w:rsidP="00B0069E">
            <w:pPr>
              <w:jc w:val="right"/>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52 170 000</w:t>
            </w:r>
          </w:p>
        </w:tc>
        <w:tc>
          <w:tcPr>
            <w:tcW w:w="682" w:type="pct"/>
            <w:tcBorders>
              <w:top w:val="nil"/>
              <w:left w:val="nil"/>
              <w:bottom w:val="single" w:sz="4" w:space="0" w:color="auto"/>
              <w:right w:val="single" w:sz="4" w:space="0" w:color="auto"/>
            </w:tcBorders>
            <w:shd w:val="clear" w:color="auto" w:fill="auto"/>
            <w:noWrap/>
            <w:vAlign w:val="center"/>
            <w:hideMark/>
          </w:tcPr>
          <w:p w14:paraId="4874AD86" w14:textId="77777777" w:rsidR="00773F93" w:rsidRPr="003A031C" w:rsidRDefault="00773F93" w:rsidP="00B0069E">
            <w:pPr>
              <w:jc w:val="right"/>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40 350 000</w:t>
            </w:r>
          </w:p>
        </w:tc>
      </w:tr>
      <w:tr w:rsidR="00773F93" w:rsidRPr="003A031C" w14:paraId="04FF27A8" w14:textId="77777777" w:rsidTr="000352E0">
        <w:trPr>
          <w:trHeight w:val="20"/>
          <w:jc w:val="center"/>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14:paraId="73FF4824" w14:textId="77777777" w:rsidR="00773F93" w:rsidRPr="003A031C" w:rsidRDefault="00773F93" w:rsidP="00B0069E">
            <w:pPr>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5281961</w:t>
            </w:r>
          </w:p>
        </w:tc>
        <w:tc>
          <w:tcPr>
            <w:tcW w:w="1192" w:type="pct"/>
            <w:tcBorders>
              <w:top w:val="nil"/>
              <w:left w:val="nil"/>
              <w:bottom w:val="single" w:sz="4" w:space="0" w:color="auto"/>
              <w:right w:val="single" w:sz="4" w:space="0" w:color="auto"/>
            </w:tcBorders>
            <w:shd w:val="clear" w:color="auto" w:fill="auto"/>
            <w:vAlign w:val="center"/>
            <w:hideMark/>
          </w:tcPr>
          <w:p w14:paraId="237F7EE5" w14:textId="27D7F78A" w:rsidR="00773F93" w:rsidRPr="003A031C" w:rsidRDefault="001965B0" w:rsidP="00B0069E">
            <w:pP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w:t>
            </w:r>
            <w:r w:rsidR="00773F93" w:rsidRPr="003A031C">
              <w:rPr>
                <w:rFonts w:ascii="Calibri" w:eastAsia="Times New Roman" w:hAnsi="Calibri" w:cs="Calibri"/>
                <w:color w:val="000000"/>
                <w:sz w:val="18"/>
                <w:szCs w:val="18"/>
                <w:lang w:eastAsia="cs-CZ"/>
              </w:rPr>
              <w:t>ěsto Mikulášovice</w:t>
            </w:r>
          </w:p>
        </w:tc>
        <w:tc>
          <w:tcPr>
            <w:tcW w:w="1106" w:type="pct"/>
            <w:tcBorders>
              <w:top w:val="nil"/>
              <w:left w:val="nil"/>
              <w:bottom w:val="single" w:sz="4" w:space="0" w:color="auto"/>
              <w:right w:val="single" w:sz="4" w:space="0" w:color="auto"/>
            </w:tcBorders>
            <w:shd w:val="clear" w:color="auto" w:fill="auto"/>
            <w:noWrap/>
            <w:vAlign w:val="center"/>
            <w:hideMark/>
          </w:tcPr>
          <w:p w14:paraId="6D33EDBB" w14:textId="77777777" w:rsidR="00773F93" w:rsidRPr="003A031C" w:rsidRDefault="00773F93" w:rsidP="00B0069E">
            <w:pPr>
              <w:jc w:val="right"/>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18 150 000</w:t>
            </w:r>
          </w:p>
        </w:tc>
        <w:tc>
          <w:tcPr>
            <w:tcW w:w="683" w:type="pct"/>
            <w:tcBorders>
              <w:top w:val="nil"/>
              <w:left w:val="nil"/>
              <w:bottom w:val="single" w:sz="4" w:space="0" w:color="auto"/>
              <w:right w:val="single" w:sz="4" w:space="0" w:color="auto"/>
            </w:tcBorders>
            <w:shd w:val="clear" w:color="auto" w:fill="auto"/>
            <w:noWrap/>
            <w:vAlign w:val="center"/>
            <w:hideMark/>
          </w:tcPr>
          <w:p w14:paraId="7C341744" w14:textId="77777777" w:rsidR="00773F93" w:rsidRPr="003A031C" w:rsidRDefault="00773F93" w:rsidP="00B0069E">
            <w:pPr>
              <w:jc w:val="right"/>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9 190 000</w:t>
            </w:r>
          </w:p>
        </w:tc>
        <w:tc>
          <w:tcPr>
            <w:tcW w:w="682" w:type="pct"/>
            <w:tcBorders>
              <w:top w:val="nil"/>
              <w:left w:val="nil"/>
              <w:bottom w:val="single" w:sz="4" w:space="0" w:color="auto"/>
              <w:right w:val="single" w:sz="4" w:space="0" w:color="auto"/>
            </w:tcBorders>
            <w:shd w:val="clear" w:color="auto" w:fill="auto"/>
            <w:noWrap/>
            <w:vAlign w:val="center"/>
            <w:hideMark/>
          </w:tcPr>
          <w:p w14:paraId="756D811D" w14:textId="77777777" w:rsidR="00773F93" w:rsidRPr="003A031C" w:rsidRDefault="00773F93" w:rsidP="00B0069E">
            <w:pPr>
              <w:jc w:val="right"/>
              <w:rPr>
                <w:rFonts w:ascii="Calibri" w:eastAsia="Times New Roman" w:hAnsi="Calibri" w:cs="Calibri"/>
                <w:color w:val="000000"/>
                <w:sz w:val="18"/>
                <w:szCs w:val="18"/>
                <w:lang w:eastAsia="cs-CZ"/>
              </w:rPr>
            </w:pPr>
            <w:r w:rsidRPr="003A031C">
              <w:rPr>
                <w:rFonts w:ascii="Calibri" w:eastAsia="Times New Roman" w:hAnsi="Calibri" w:cs="Calibri"/>
                <w:color w:val="000000"/>
                <w:sz w:val="18"/>
                <w:szCs w:val="18"/>
                <w:lang w:eastAsia="cs-CZ"/>
              </w:rPr>
              <w:t>880 000</w:t>
            </w:r>
          </w:p>
        </w:tc>
      </w:tr>
      <w:tr w:rsidR="00773F93" w:rsidRPr="003A031C" w14:paraId="481815E2" w14:textId="77777777" w:rsidTr="000352E0">
        <w:trPr>
          <w:trHeight w:val="20"/>
          <w:jc w:val="center"/>
        </w:trPr>
        <w:tc>
          <w:tcPr>
            <w:tcW w:w="2529" w:type="pct"/>
            <w:gridSpan w:val="2"/>
            <w:tcBorders>
              <w:top w:val="nil"/>
              <w:left w:val="single" w:sz="4" w:space="0" w:color="auto"/>
              <w:bottom w:val="single" w:sz="4" w:space="0" w:color="auto"/>
              <w:right w:val="single" w:sz="4" w:space="0" w:color="auto"/>
            </w:tcBorders>
            <w:shd w:val="clear" w:color="auto" w:fill="auto"/>
            <w:noWrap/>
            <w:vAlign w:val="center"/>
            <w:hideMark/>
          </w:tcPr>
          <w:p w14:paraId="4BA0FDB8" w14:textId="77777777" w:rsidR="00773F93" w:rsidRPr="003A031C" w:rsidRDefault="00773F93" w:rsidP="00B0069E">
            <w:pPr>
              <w:rPr>
                <w:rFonts w:ascii="Calibri" w:eastAsia="Times New Roman" w:hAnsi="Calibri" w:cs="Calibri"/>
                <w:b/>
                <w:bCs/>
                <w:color w:val="000000"/>
                <w:sz w:val="18"/>
                <w:szCs w:val="18"/>
                <w:lang w:eastAsia="cs-CZ"/>
              </w:rPr>
            </w:pPr>
            <w:r w:rsidRPr="003A031C">
              <w:rPr>
                <w:rFonts w:ascii="Calibri" w:eastAsia="Times New Roman" w:hAnsi="Calibri" w:cs="Calibri"/>
                <w:b/>
                <w:bCs/>
                <w:color w:val="000000"/>
                <w:sz w:val="18"/>
                <w:szCs w:val="18"/>
                <w:lang w:eastAsia="cs-CZ"/>
              </w:rPr>
              <w:t>CELKEM </w:t>
            </w:r>
          </w:p>
        </w:tc>
        <w:tc>
          <w:tcPr>
            <w:tcW w:w="1106" w:type="pct"/>
            <w:tcBorders>
              <w:top w:val="nil"/>
              <w:left w:val="nil"/>
              <w:bottom w:val="single" w:sz="4" w:space="0" w:color="auto"/>
              <w:right w:val="single" w:sz="4" w:space="0" w:color="auto"/>
            </w:tcBorders>
            <w:shd w:val="clear" w:color="auto" w:fill="auto"/>
            <w:noWrap/>
            <w:vAlign w:val="center"/>
            <w:hideMark/>
          </w:tcPr>
          <w:p w14:paraId="7A3263B1" w14:textId="77777777" w:rsidR="00773F93" w:rsidRPr="003A031C" w:rsidRDefault="00773F93" w:rsidP="00B0069E">
            <w:pPr>
              <w:jc w:val="right"/>
              <w:rPr>
                <w:rFonts w:ascii="Calibri" w:eastAsia="Times New Roman" w:hAnsi="Calibri" w:cs="Calibri"/>
                <w:b/>
                <w:bCs/>
                <w:color w:val="000000"/>
                <w:sz w:val="18"/>
                <w:szCs w:val="18"/>
                <w:lang w:eastAsia="cs-CZ"/>
              </w:rPr>
            </w:pPr>
            <w:r w:rsidRPr="003A031C">
              <w:rPr>
                <w:rFonts w:ascii="Calibri" w:eastAsia="Times New Roman" w:hAnsi="Calibri" w:cs="Calibri"/>
                <w:b/>
                <w:bCs/>
                <w:color w:val="000000"/>
                <w:sz w:val="18"/>
                <w:szCs w:val="18"/>
                <w:lang w:eastAsia="cs-CZ"/>
              </w:rPr>
              <w:t>120 660 000</w:t>
            </w:r>
          </w:p>
        </w:tc>
        <w:tc>
          <w:tcPr>
            <w:tcW w:w="683" w:type="pct"/>
            <w:tcBorders>
              <w:top w:val="nil"/>
              <w:left w:val="nil"/>
              <w:bottom w:val="single" w:sz="4" w:space="0" w:color="auto"/>
              <w:right w:val="single" w:sz="4" w:space="0" w:color="auto"/>
            </w:tcBorders>
            <w:shd w:val="clear" w:color="auto" w:fill="auto"/>
            <w:noWrap/>
            <w:vAlign w:val="center"/>
            <w:hideMark/>
          </w:tcPr>
          <w:p w14:paraId="7A27740F" w14:textId="77777777" w:rsidR="00773F93" w:rsidRPr="003A031C" w:rsidRDefault="00773F93" w:rsidP="00B0069E">
            <w:pPr>
              <w:jc w:val="right"/>
              <w:rPr>
                <w:rFonts w:ascii="Calibri" w:eastAsia="Times New Roman" w:hAnsi="Calibri" w:cs="Calibri"/>
                <w:b/>
                <w:bCs/>
                <w:color w:val="000000"/>
                <w:sz w:val="18"/>
                <w:szCs w:val="18"/>
                <w:lang w:eastAsia="cs-CZ"/>
              </w:rPr>
            </w:pPr>
            <w:r w:rsidRPr="003A031C">
              <w:rPr>
                <w:rFonts w:ascii="Calibri" w:eastAsia="Times New Roman" w:hAnsi="Calibri" w:cs="Calibri"/>
                <w:b/>
                <w:bCs/>
                <w:color w:val="000000"/>
                <w:sz w:val="18"/>
                <w:szCs w:val="18"/>
                <w:lang w:eastAsia="cs-CZ"/>
              </w:rPr>
              <w:t>86 440 000</w:t>
            </w:r>
          </w:p>
        </w:tc>
        <w:tc>
          <w:tcPr>
            <w:tcW w:w="682" w:type="pct"/>
            <w:tcBorders>
              <w:top w:val="nil"/>
              <w:left w:val="nil"/>
              <w:bottom w:val="single" w:sz="4" w:space="0" w:color="auto"/>
              <w:right w:val="single" w:sz="4" w:space="0" w:color="auto"/>
            </w:tcBorders>
            <w:shd w:val="clear" w:color="auto" w:fill="auto"/>
            <w:noWrap/>
            <w:vAlign w:val="center"/>
            <w:hideMark/>
          </w:tcPr>
          <w:p w14:paraId="569C5FE7" w14:textId="77777777" w:rsidR="00773F93" w:rsidRPr="003A031C" w:rsidRDefault="00773F93" w:rsidP="00B0069E">
            <w:pPr>
              <w:jc w:val="right"/>
              <w:rPr>
                <w:rFonts w:ascii="Calibri" w:eastAsia="Times New Roman" w:hAnsi="Calibri" w:cs="Calibri"/>
                <w:b/>
                <w:bCs/>
                <w:color w:val="000000"/>
                <w:sz w:val="18"/>
                <w:szCs w:val="18"/>
                <w:lang w:eastAsia="cs-CZ"/>
              </w:rPr>
            </w:pPr>
            <w:r w:rsidRPr="003A031C">
              <w:rPr>
                <w:rFonts w:ascii="Calibri" w:eastAsia="Times New Roman" w:hAnsi="Calibri" w:cs="Calibri"/>
                <w:b/>
                <w:bCs/>
                <w:color w:val="000000"/>
                <w:sz w:val="18"/>
                <w:szCs w:val="18"/>
                <w:lang w:eastAsia="cs-CZ"/>
              </w:rPr>
              <w:t>51 370 000</w:t>
            </w:r>
          </w:p>
        </w:tc>
      </w:tr>
    </w:tbl>
    <w:p w14:paraId="5F0C4755" w14:textId="23401EB5" w:rsidR="00773F93" w:rsidRDefault="00B0069E" w:rsidP="00955553">
      <w:pPr>
        <w:pStyle w:val="Zdrojeapozn"/>
      </w:pPr>
      <w:r w:rsidRPr="00F13367">
        <w:t>Zdroj:</w:t>
      </w:r>
      <w:r>
        <w:t xml:space="preserve"> </w:t>
      </w:r>
      <w:r w:rsidR="00D777AB" w:rsidRPr="00296D21">
        <w:rPr>
          <w:b w:val="0"/>
        </w:rPr>
        <w:t>i</w:t>
      </w:r>
      <w:r w:rsidRPr="00296D21">
        <w:rPr>
          <w:b w:val="0"/>
        </w:rPr>
        <w:t>nformace SFŽP.</w:t>
      </w:r>
      <w:r w:rsidR="00773F93">
        <w:br w:type="page"/>
      </w:r>
    </w:p>
    <w:p w14:paraId="320B936F" w14:textId="05172FA3" w:rsidR="0070571B" w:rsidRDefault="009068FC" w:rsidP="0070571B">
      <w:pPr>
        <w:pStyle w:val="TextKP"/>
        <w:spacing w:before="0"/>
        <w:jc w:val="right"/>
        <w:outlineLvl w:val="0"/>
        <w:rPr>
          <w:b/>
        </w:rPr>
      </w:pPr>
      <w:r w:rsidRPr="00303804">
        <w:rPr>
          <w:b/>
        </w:rPr>
        <w:lastRenderedPageBreak/>
        <w:t xml:space="preserve">Příloha č. </w:t>
      </w:r>
      <w:r w:rsidRPr="00303804">
        <w:rPr>
          <w:b/>
        </w:rPr>
        <w:fldChar w:fldCharType="begin"/>
      </w:r>
      <w:r w:rsidRPr="00303804">
        <w:rPr>
          <w:b/>
        </w:rPr>
        <w:instrText xml:space="preserve"> SEQ Příloha_č. \* ARABIC </w:instrText>
      </w:r>
      <w:r w:rsidRPr="00303804">
        <w:rPr>
          <w:b/>
        </w:rPr>
        <w:fldChar w:fldCharType="separate"/>
      </w:r>
      <w:r w:rsidR="000D2E96">
        <w:rPr>
          <w:b/>
          <w:noProof/>
        </w:rPr>
        <w:t>5</w:t>
      </w:r>
      <w:r w:rsidRPr="00303804">
        <w:rPr>
          <w:b/>
        </w:rPr>
        <w:fldChar w:fldCharType="end"/>
      </w:r>
    </w:p>
    <w:p w14:paraId="5E7CB8CE" w14:textId="382D0452" w:rsidR="009068FC" w:rsidRPr="001F62E7" w:rsidRDefault="009068FC" w:rsidP="009068FC">
      <w:pPr>
        <w:pStyle w:val="TextKP"/>
        <w:spacing w:before="0"/>
        <w:outlineLvl w:val="0"/>
      </w:pPr>
      <w:r>
        <w:rPr>
          <w:b/>
        </w:rPr>
        <w:t>Srovnání imisních limitů</w:t>
      </w:r>
      <w:r w:rsidR="007171DA">
        <w:rPr>
          <w:b/>
        </w:rPr>
        <w:t>, doporučení WHO a návrhu směrnice EU</w:t>
      </w:r>
    </w:p>
    <w:p w14:paraId="4B20B1B4" w14:textId="5DA2B6D5" w:rsidR="009068FC" w:rsidRPr="000352E0" w:rsidRDefault="009068FC" w:rsidP="000352E0">
      <w:pPr>
        <w:spacing w:before="120" w:after="40"/>
        <w:rPr>
          <w:b/>
        </w:rPr>
      </w:pPr>
      <w:r w:rsidRPr="000352E0">
        <w:rPr>
          <w:b/>
        </w:rPr>
        <w:t>Tabulk</w:t>
      </w:r>
      <w:r w:rsidR="00EC6E1B">
        <w:rPr>
          <w:b/>
        </w:rPr>
        <w:t xml:space="preserve">a č. 1: </w:t>
      </w:r>
      <w:r w:rsidRPr="000352E0">
        <w:rPr>
          <w:b/>
        </w:rPr>
        <w:t>Srovnání standardů kvality ovzduší / imisních limitů</w:t>
      </w:r>
    </w:p>
    <w:tbl>
      <w:tblPr>
        <w:tblW w:w="5000" w:type="pct"/>
        <w:jc w:val="center"/>
        <w:tblCellMar>
          <w:left w:w="70" w:type="dxa"/>
          <w:right w:w="70" w:type="dxa"/>
        </w:tblCellMar>
        <w:tblLook w:val="04A0" w:firstRow="1" w:lastRow="0" w:firstColumn="1" w:lastColumn="0" w:noHBand="0" w:noVBand="1"/>
      </w:tblPr>
      <w:tblGrid>
        <w:gridCol w:w="1699"/>
        <w:gridCol w:w="1928"/>
        <w:gridCol w:w="1361"/>
        <w:gridCol w:w="1135"/>
        <w:gridCol w:w="1185"/>
        <w:gridCol w:w="1754"/>
      </w:tblGrid>
      <w:tr w:rsidR="00D777AB" w:rsidRPr="00D777AB" w14:paraId="1C6716BF" w14:textId="77777777" w:rsidTr="00D777AB">
        <w:trPr>
          <w:trHeight w:val="20"/>
          <w:jc w:val="center"/>
        </w:trPr>
        <w:tc>
          <w:tcPr>
            <w:tcW w:w="9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4E1CA2" w14:textId="77777777" w:rsidR="00D51C42" w:rsidRPr="00D777AB" w:rsidRDefault="00D51C42" w:rsidP="00AE37B8">
            <w:pPr>
              <w:jc w:val="center"/>
              <w:rPr>
                <w:rFonts w:ascii="Calibri" w:eastAsia="Times New Roman" w:hAnsi="Calibri" w:cs="Calibri"/>
                <w:b/>
                <w:bCs/>
                <w:color w:val="000000"/>
                <w:sz w:val="20"/>
                <w:szCs w:val="20"/>
                <w:lang w:eastAsia="cs-CZ"/>
              </w:rPr>
            </w:pPr>
            <w:r w:rsidRPr="00D777AB">
              <w:rPr>
                <w:rFonts w:ascii="Calibri" w:eastAsia="Times New Roman" w:hAnsi="Calibri" w:cs="Calibri"/>
                <w:b/>
                <w:bCs/>
                <w:color w:val="000000"/>
                <w:sz w:val="20"/>
                <w:szCs w:val="20"/>
                <w:lang w:eastAsia="cs-CZ"/>
              </w:rPr>
              <w:t>Znečišťující látka</w:t>
            </w:r>
          </w:p>
        </w:tc>
        <w:tc>
          <w:tcPr>
            <w:tcW w:w="1063" w:type="pct"/>
            <w:tcBorders>
              <w:top w:val="single" w:sz="4" w:space="0" w:color="auto"/>
              <w:left w:val="nil"/>
              <w:bottom w:val="single" w:sz="4" w:space="0" w:color="auto"/>
              <w:right w:val="single" w:sz="4" w:space="0" w:color="auto"/>
            </w:tcBorders>
            <w:shd w:val="clear" w:color="auto" w:fill="F2F2F2"/>
            <w:vAlign w:val="center"/>
            <w:hideMark/>
          </w:tcPr>
          <w:p w14:paraId="0FAD4F51" w14:textId="77777777" w:rsidR="00D51C42" w:rsidRPr="00D777AB" w:rsidRDefault="00D51C42" w:rsidP="00AE37B8">
            <w:pPr>
              <w:jc w:val="center"/>
              <w:rPr>
                <w:rFonts w:ascii="Calibri" w:eastAsia="Times New Roman" w:hAnsi="Calibri" w:cs="Calibri"/>
                <w:b/>
                <w:bCs/>
                <w:color w:val="000000"/>
                <w:sz w:val="20"/>
                <w:szCs w:val="20"/>
                <w:lang w:eastAsia="cs-CZ"/>
              </w:rPr>
            </w:pPr>
            <w:r w:rsidRPr="00D777AB">
              <w:rPr>
                <w:rFonts w:ascii="Calibri" w:eastAsia="Times New Roman" w:hAnsi="Calibri" w:cs="Calibri"/>
                <w:b/>
                <w:bCs/>
                <w:color w:val="000000"/>
                <w:sz w:val="20"/>
                <w:szCs w:val="20"/>
                <w:lang w:eastAsia="cs-CZ"/>
              </w:rPr>
              <w:t>Doba průměrování</w:t>
            </w:r>
          </w:p>
        </w:tc>
        <w:tc>
          <w:tcPr>
            <w:tcW w:w="751" w:type="pct"/>
            <w:tcBorders>
              <w:top w:val="single" w:sz="4" w:space="0" w:color="auto"/>
              <w:left w:val="nil"/>
              <w:bottom w:val="single" w:sz="4" w:space="0" w:color="auto"/>
              <w:right w:val="single" w:sz="4" w:space="0" w:color="auto"/>
            </w:tcBorders>
            <w:shd w:val="clear" w:color="auto" w:fill="F2F2F2"/>
            <w:vAlign w:val="center"/>
          </w:tcPr>
          <w:p w14:paraId="44D7097F" w14:textId="1341986B" w:rsidR="00D51C42" w:rsidRPr="00D777AB" w:rsidRDefault="00D51C42" w:rsidP="00AE37B8">
            <w:pPr>
              <w:jc w:val="center"/>
              <w:rPr>
                <w:rFonts w:ascii="Calibri" w:eastAsia="Times New Roman" w:hAnsi="Calibri" w:cs="Calibri"/>
                <w:b/>
                <w:bCs/>
                <w:color w:val="000000"/>
                <w:sz w:val="20"/>
                <w:szCs w:val="20"/>
                <w:lang w:eastAsia="cs-CZ"/>
              </w:rPr>
            </w:pPr>
            <w:r w:rsidRPr="00D777AB">
              <w:rPr>
                <w:rFonts w:ascii="Calibri" w:eastAsia="Times New Roman" w:hAnsi="Calibri" w:cs="Calibri"/>
                <w:b/>
                <w:bCs/>
                <w:color w:val="000000"/>
                <w:sz w:val="20"/>
                <w:szCs w:val="20"/>
                <w:lang w:eastAsia="cs-CZ"/>
              </w:rPr>
              <w:t>Aktuálně platné normy</w:t>
            </w:r>
            <w:r w:rsidRPr="00D777AB">
              <w:rPr>
                <w:rFonts w:ascii="Calibri" w:eastAsia="Times New Roman" w:hAnsi="Calibri" w:cs="Calibri"/>
                <w:b/>
                <w:bCs/>
                <w:color w:val="000000"/>
                <w:sz w:val="20"/>
                <w:szCs w:val="20"/>
                <w:vertAlign w:val="superscript"/>
                <w:lang w:eastAsia="cs-CZ"/>
              </w:rPr>
              <w:t>1</w:t>
            </w:r>
          </w:p>
        </w:tc>
        <w:tc>
          <w:tcPr>
            <w:tcW w:w="6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B75EDA" w14:textId="77777777" w:rsidR="00D51C42" w:rsidRPr="00D777AB" w:rsidRDefault="00D51C42" w:rsidP="00AE37B8">
            <w:pPr>
              <w:jc w:val="center"/>
              <w:rPr>
                <w:rFonts w:ascii="Calibri" w:eastAsia="Times New Roman" w:hAnsi="Calibri" w:cs="Calibri"/>
                <w:b/>
                <w:bCs/>
                <w:color w:val="000000"/>
                <w:sz w:val="20"/>
                <w:szCs w:val="20"/>
                <w:lang w:eastAsia="cs-CZ"/>
              </w:rPr>
            </w:pPr>
            <w:r w:rsidRPr="00D777AB">
              <w:rPr>
                <w:rFonts w:ascii="Calibri" w:eastAsia="Times New Roman" w:hAnsi="Calibri" w:cs="Calibri"/>
                <w:b/>
                <w:bCs/>
                <w:color w:val="000000"/>
                <w:sz w:val="20"/>
                <w:szCs w:val="20"/>
                <w:lang w:eastAsia="cs-CZ"/>
              </w:rPr>
              <w:t>WHO</w:t>
            </w:r>
          </w:p>
          <w:p w14:paraId="06C88F73" w14:textId="4C61C44C" w:rsidR="00D51C42" w:rsidRPr="00D777AB" w:rsidRDefault="00D51C42" w:rsidP="00AE37B8">
            <w:pPr>
              <w:jc w:val="center"/>
              <w:rPr>
                <w:rFonts w:ascii="Calibri" w:eastAsia="Times New Roman" w:hAnsi="Calibri" w:cs="Calibri"/>
                <w:b/>
                <w:bCs/>
                <w:color w:val="000000"/>
                <w:sz w:val="20"/>
                <w:szCs w:val="20"/>
                <w:lang w:eastAsia="cs-CZ"/>
              </w:rPr>
            </w:pPr>
            <w:r w:rsidRPr="00D777AB">
              <w:rPr>
                <w:rFonts w:ascii="Calibri" w:eastAsia="Times New Roman" w:hAnsi="Calibri" w:cs="Calibri"/>
                <w:b/>
                <w:bCs/>
                <w:color w:val="000000"/>
                <w:sz w:val="20"/>
                <w:szCs w:val="20"/>
                <w:lang w:eastAsia="cs-CZ"/>
              </w:rPr>
              <w:t>2005</w:t>
            </w:r>
            <w:r w:rsidRPr="00D777AB">
              <w:rPr>
                <w:rFonts w:ascii="Calibri" w:eastAsia="Times New Roman" w:hAnsi="Calibri" w:cs="Calibri"/>
                <w:b/>
                <w:bCs/>
                <w:color w:val="000000"/>
                <w:sz w:val="20"/>
                <w:szCs w:val="20"/>
                <w:vertAlign w:val="superscript"/>
                <w:lang w:eastAsia="cs-CZ"/>
              </w:rPr>
              <w:t>2</w:t>
            </w:r>
          </w:p>
        </w:tc>
        <w:tc>
          <w:tcPr>
            <w:tcW w:w="654" w:type="pct"/>
            <w:tcBorders>
              <w:top w:val="single" w:sz="4" w:space="0" w:color="auto"/>
              <w:left w:val="nil"/>
              <w:bottom w:val="single" w:sz="4" w:space="0" w:color="auto"/>
              <w:right w:val="single" w:sz="4" w:space="0" w:color="auto"/>
            </w:tcBorders>
            <w:shd w:val="clear" w:color="auto" w:fill="F2F2F2"/>
            <w:vAlign w:val="center"/>
            <w:hideMark/>
          </w:tcPr>
          <w:p w14:paraId="5E8E2535" w14:textId="77777777" w:rsidR="00D51C42" w:rsidRPr="00D777AB" w:rsidRDefault="00D51C42" w:rsidP="00AE37B8">
            <w:pPr>
              <w:jc w:val="center"/>
              <w:rPr>
                <w:rFonts w:ascii="Calibri" w:eastAsia="Times New Roman" w:hAnsi="Calibri" w:cs="Calibri"/>
                <w:b/>
                <w:bCs/>
                <w:color w:val="000000"/>
                <w:sz w:val="20"/>
                <w:szCs w:val="20"/>
                <w:lang w:eastAsia="cs-CZ"/>
              </w:rPr>
            </w:pPr>
            <w:r w:rsidRPr="00D777AB">
              <w:rPr>
                <w:rFonts w:ascii="Calibri" w:eastAsia="Times New Roman" w:hAnsi="Calibri" w:cs="Calibri"/>
                <w:b/>
                <w:bCs/>
                <w:color w:val="000000"/>
                <w:sz w:val="20"/>
                <w:szCs w:val="20"/>
                <w:lang w:eastAsia="cs-CZ"/>
              </w:rPr>
              <w:t>WHO</w:t>
            </w:r>
          </w:p>
          <w:p w14:paraId="5733EB05" w14:textId="5DB47066" w:rsidR="00D51C42" w:rsidRPr="00D777AB" w:rsidRDefault="00D51C42" w:rsidP="00AE37B8">
            <w:pPr>
              <w:jc w:val="center"/>
              <w:rPr>
                <w:rFonts w:ascii="Calibri" w:eastAsia="Times New Roman" w:hAnsi="Calibri" w:cs="Calibri"/>
                <w:b/>
                <w:bCs/>
                <w:color w:val="000000"/>
                <w:sz w:val="20"/>
                <w:szCs w:val="20"/>
                <w:lang w:eastAsia="cs-CZ"/>
              </w:rPr>
            </w:pPr>
            <w:r w:rsidRPr="00D777AB">
              <w:rPr>
                <w:rFonts w:ascii="Calibri" w:eastAsia="Times New Roman" w:hAnsi="Calibri" w:cs="Calibri"/>
                <w:b/>
                <w:bCs/>
                <w:color w:val="000000"/>
                <w:sz w:val="20"/>
                <w:szCs w:val="20"/>
                <w:lang w:eastAsia="cs-CZ"/>
              </w:rPr>
              <w:t>2021</w:t>
            </w:r>
            <w:r w:rsidRPr="00D777AB">
              <w:rPr>
                <w:rFonts w:ascii="Calibri" w:eastAsia="Times New Roman" w:hAnsi="Calibri" w:cs="Calibri"/>
                <w:b/>
                <w:bCs/>
                <w:color w:val="000000"/>
                <w:sz w:val="20"/>
                <w:szCs w:val="20"/>
                <w:vertAlign w:val="superscript"/>
                <w:lang w:eastAsia="cs-CZ"/>
              </w:rPr>
              <w:t>3</w:t>
            </w:r>
          </w:p>
        </w:tc>
        <w:tc>
          <w:tcPr>
            <w:tcW w:w="968" w:type="pct"/>
            <w:tcBorders>
              <w:top w:val="single" w:sz="4" w:space="0" w:color="auto"/>
              <w:left w:val="nil"/>
              <w:bottom w:val="single" w:sz="4" w:space="0" w:color="auto"/>
              <w:right w:val="single" w:sz="4" w:space="0" w:color="auto"/>
            </w:tcBorders>
            <w:shd w:val="clear" w:color="auto" w:fill="F2F2F2"/>
            <w:vAlign w:val="center"/>
            <w:hideMark/>
          </w:tcPr>
          <w:p w14:paraId="1548941F" w14:textId="6E48DC42" w:rsidR="00D51C42" w:rsidRPr="00D777AB" w:rsidRDefault="00D51C42" w:rsidP="00AE37B8">
            <w:pPr>
              <w:jc w:val="center"/>
              <w:rPr>
                <w:rFonts w:ascii="Calibri" w:eastAsia="Times New Roman" w:hAnsi="Calibri" w:cs="Calibri"/>
                <w:b/>
                <w:bCs/>
                <w:color w:val="000000"/>
                <w:sz w:val="20"/>
                <w:szCs w:val="20"/>
                <w:lang w:eastAsia="cs-CZ"/>
              </w:rPr>
            </w:pPr>
            <w:r w:rsidRPr="00D777AB">
              <w:rPr>
                <w:rFonts w:ascii="Calibri" w:eastAsia="Times New Roman" w:hAnsi="Calibri" w:cs="Calibri"/>
                <w:b/>
                <w:bCs/>
                <w:color w:val="000000"/>
                <w:sz w:val="20"/>
                <w:szCs w:val="20"/>
                <w:lang w:eastAsia="cs-CZ"/>
              </w:rPr>
              <w:t>Návrh směrnice EU o</w:t>
            </w:r>
            <w:r w:rsidR="00D777AB" w:rsidRPr="00D777AB">
              <w:rPr>
                <w:rFonts w:ascii="Calibri" w:eastAsia="Times New Roman" w:hAnsi="Calibri" w:cs="Calibri"/>
                <w:b/>
                <w:bCs/>
                <w:color w:val="000000"/>
                <w:sz w:val="20"/>
                <w:szCs w:val="20"/>
                <w:lang w:eastAsia="cs-CZ"/>
              </w:rPr>
              <w:t> </w:t>
            </w:r>
            <w:r w:rsidRPr="00D777AB">
              <w:rPr>
                <w:rFonts w:ascii="Calibri" w:eastAsia="Times New Roman" w:hAnsi="Calibri" w:cs="Calibri"/>
                <w:b/>
                <w:bCs/>
                <w:color w:val="000000"/>
                <w:sz w:val="20"/>
                <w:szCs w:val="20"/>
                <w:lang w:eastAsia="cs-CZ"/>
              </w:rPr>
              <w:t>vnější kvalitě ovzduší</w:t>
            </w:r>
            <w:r w:rsidRPr="00D777AB">
              <w:rPr>
                <w:rFonts w:ascii="Calibri" w:eastAsia="Times New Roman" w:hAnsi="Calibri" w:cs="Calibri"/>
                <w:b/>
                <w:bCs/>
                <w:color w:val="000000"/>
                <w:sz w:val="20"/>
                <w:szCs w:val="20"/>
                <w:vertAlign w:val="superscript"/>
                <w:lang w:eastAsia="cs-CZ"/>
              </w:rPr>
              <w:t>4</w:t>
            </w:r>
          </w:p>
        </w:tc>
      </w:tr>
      <w:tr w:rsidR="00D777AB" w:rsidRPr="00D777AB" w14:paraId="1D243BF4" w14:textId="77777777" w:rsidTr="00D777AB">
        <w:trPr>
          <w:trHeight w:val="20"/>
          <w:jc w:val="center"/>
        </w:trPr>
        <w:tc>
          <w:tcPr>
            <w:tcW w:w="93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E05AAE" w14:textId="1C730D62" w:rsidR="00D51C42" w:rsidRPr="00D777AB" w:rsidRDefault="00D51C42" w:rsidP="00AE37B8">
            <w:pP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PM</w:t>
            </w:r>
            <w:r w:rsidRPr="00D777AB">
              <w:rPr>
                <w:rFonts w:ascii="Calibri" w:eastAsia="Times New Roman" w:hAnsi="Calibri" w:cs="Calibri"/>
                <w:color w:val="000000"/>
                <w:sz w:val="20"/>
                <w:szCs w:val="20"/>
                <w:vertAlign w:val="subscript"/>
                <w:lang w:eastAsia="cs-CZ"/>
              </w:rPr>
              <w:t>2,5</w:t>
            </w:r>
            <w:r w:rsidRPr="00D777AB">
              <w:rPr>
                <w:rFonts w:ascii="Calibri" w:eastAsia="Times New Roman" w:hAnsi="Calibri" w:cs="Calibri"/>
                <w:color w:val="000000"/>
                <w:sz w:val="20"/>
                <w:szCs w:val="20"/>
                <w:lang w:eastAsia="cs-CZ"/>
              </w:rPr>
              <w:t xml:space="preserve"> [µg/m</w:t>
            </w:r>
            <w:r w:rsidRPr="00D777AB">
              <w:rPr>
                <w:rFonts w:ascii="Calibri" w:eastAsia="Times New Roman" w:hAnsi="Calibri" w:cs="Calibri"/>
                <w:color w:val="000000"/>
                <w:sz w:val="20"/>
                <w:szCs w:val="20"/>
                <w:vertAlign w:val="superscript"/>
                <w:lang w:eastAsia="cs-CZ"/>
              </w:rPr>
              <w:t>3</w:t>
            </w:r>
            <w:r w:rsidRPr="00D777AB">
              <w:rPr>
                <w:rFonts w:ascii="Calibri" w:eastAsia="Times New Roman" w:hAnsi="Calibri" w:cs="Calibri"/>
                <w:color w:val="000000"/>
                <w:sz w:val="20"/>
                <w:szCs w:val="20"/>
                <w:lang w:eastAsia="cs-CZ"/>
              </w:rPr>
              <w:t>]</w:t>
            </w:r>
          </w:p>
        </w:tc>
        <w:tc>
          <w:tcPr>
            <w:tcW w:w="1063" w:type="pct"/>
            <w:tcBorders>
              <w:top w:val="nil"/>
              <w:left w:val="nil"/>
              <w:bottom w:val="single" w:sz="4" w:space="0" w:color="auto"/>
              <w:right w:val="single" w:sz="4" w:space="0" w:color="auto"/>
            </w:tcBorders>
            <w:shd w:val="clear" w:color="auto" w:fill="auto"/>
            <w:noWrap/>
            <w:vAlign w:val="center"/>
            <w:hideMark/>
          </w:tcPr>
          <w:p w14:paraId="6F038F03" w14:textId="77777777" w:rsidR="00D51C42" w:rsidRPr="00D777AB" w:rsidRDefault="00D51C42" w:rsidP="00D777AB">
            <w:pPr>
              <w:jc w:val="cente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Kalendářní rok</w:t>
            </w:r>
          </w:p>
        </w:tc>
        <w:tc>
          <w:tcPr>
            <w:tcW w:w="751" w:type="pct"/>
            <w:tcBorders>
              <w:top w:val="single" w:sz="4" w:space="0" w:color="auto"/>
              <w:left w:val="nil"/>
              <w:bottom w:val="single" w:sz="4" w:space="0" w:color="auto"/>
              <w:right w:val="single" w:sz="4" w:space="0" w:color="auto"/>
            </w:tcBorders>
            <w:vAlign w:val="center"/>
          </w:tcPr>
          <w:p w14:paraId="39207A0B" w14:textId="52FE1B39"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20</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76926311" w14:textId="720A3181" w:rsidR="00D51C42" w:rsidRPr="00D777AB" w:rsidRDefault="00D51C42" w:rsidP="00D777AB">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10</w:t>
            </w:r>
          </w:p>
        </w:tc>
        <w:tc>
          <w:tcPr>
            <w:tcW w:w="654" w:type="pct"/>
            <w:tcBorders>
              <w:top w:val="nil"/>
              <w:left w:val="nil"/>
              <w:bottom w:val="single" w:sz="4" w:space="0" w:color="auto"/>
              <w:right w:val="single" w:sz="4" w:space="0" w:color="auto"/>
            </w:tcBorders>
            <w:shd w:val="clear" w:color="auto" w:fill="auto"/>
            <w:noWrap/>
            <w:vAlign w:val="center"/>
            <w:hideMark/>
          </w:tcPr>
          <w:p w14:paraId="68EF827A" w14:textId="77777777" w:rsidR="00D51C42" w:rsidRPr="00D777AB" w:rsidRDefault="00D51C42" w:rsidP="00D777AB">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5</w:t>
            </w:r>
          </w:p>
        </w:tc>
        <w:tc>
          <w:tcPr>
            <w:tcW w:w="968" w:type="pct"/>
            <w:tcBorders>
              <w:top w:val="nil"/>
              <w:left w:val="nil"/>
              <w:bottom w:val="single" w:sz="4" w:space="0" w:color="auto"/>
              <w:right w:val="single" w:sz="4" w:space="0" w:color="auto"/>
            </w:tcBorders>
            <w:shd w:val="clear" w:color="auto" w:fill="auto"/>
            <w:noWrap/>
            <w:vAlign w:val="center"/>
            <w:hideMark/>
          </w:tcPr>
          <w:p w14:paraId="4CF63A37" w14:textId="77777777"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10</w:t>
            </w:r>
          </w:p>
        </w:tc>
      </w:tr>
      <w:tr w:rsidR="00D777AB" w:rsidRPr="00D777AB" w14:paraId="6D39816D" w14:textId="77777777" w:rsidTr="00D777AB">
        <w:trPr>
          <w:trHeight w:val="20"/>
          <w:jc w:val="center"/>
        </w:trPr>
        <w:tc>
          <w:tcPr>
            <w:tcW w:w="937" w:type="pct"/>
            <w:vMerge/>
            <w:tcBorders>
              <w:top w:val="nil"/>
              <w:left w:val="single" w:sz="4" w:space="0" w:color="auto"/>
              <w:bottom w:val="single" w:sz="4" w:space="0" w:color="auto"/>
              <w:right w:val="single" w:sz="4" w:space="0" w:color="auto"/>
            </w:tcBorders>
            <w:vAlign w:val="center"/>
            <w:hideMark/>
          </w:tcPr>
          <w:p w14:paraId="121CCFAB" w14:textId="77777777" w:rsidR="00D51C42" w:rsidRPr="00D777AB" w:rsidRDefault="00D51C42" w:rsidP="00AE37B8">
            <w:pPr>
              <w:rPr>
                <w:rFonts w:ascii="Calibri" w:eastAsia="Times New Roman" w:hAnsi="Calibri" w:cs="Calibri"/>
                <w:color w:val="000000"/>
                <w:sz w:val="20"/>
                <w:szCs w:val="20"/>
                <w:lang w:eastAsia="cs-CZ"/>
              </w:rPr>
            </w:pPr>
          </w:p>
        </w:tc>
        <w:tc>
          <w:tcPr>
            <w:tcW w:w="1063" w:type="pct"/>
            <w:tcBorders>
              <w:top w:val="nil"/>
              <w:left w:val="nil"/>
              <w:bottom w:val="single" w:sz="4" w:space="0" w:color="auto"/>
              <w:right w:val="single" w:sz="4" w:space="0" w:color="auto"/>
            </w:tcBorders>
            <w:shd w:val="clear" w:color="auto" w:fill="auto"/>
            <w:noWrap/>
            <w:vAlign w:val="center"/>
            <w:hideMark/>
          </w:tcPr>
          <w:p w14:paraId="7657864B" w14:textId="77777777" w:rsidR="00D51C42" w:rsidRPr="00D777AB" w:rsidRDefault="00D51C42" w:rsidP="00D777AB">
            <w:pPr>
              <w:jc w:val="cente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 den</w:t>
            </w:r>
          </w:p>
        </w:tc>
        <w:tc>
          <w:tcPr>
            <w:tcW w:w="751" w:type="pct"/>
            <w:tcBorders>
              <w:top w:val="single" w:sz="4" w:space="0" w:color="auto"/>
              <w:left w:val="nil"/>
              <w:bottom w:val="single" w:sz="4" w:space="0" w:color="auto"/>
              <w:right w:val="single" w:sz="4" w:space="0" w:color="auto"/>
            </w:tcBorders>
            <w:vAlign w:val="center"/>
          </w:tcPr>
          <w:p w14:paraId="6D283B17" w14:textId="79674E71"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16C7EDC6" w14:textId="10E40DAA"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25*</w:t>
            </w:r>
          </w:p>
        </w:tc>
        <w:tc>
          <w:tcPr>
            <w:tcW w:w="654" w:type="pct"/>
            <w:tcBorders>
              <w:top w:val="nil"/>
              <w:left w:val="nil"/>
              <w:bottom w:val="single" w:sz="4" w:space="0" w:color="auto"/>
              <w:right w:val="single" w:sz="4" w:space="0" w:color="auto"/>
            </w:tcBorders>
            <w:shd w:val="clear" w:color="auto" w:fill="auto"/>
            <w:noWrap/>
            <w:vAlign w:val="center"/>
            <w:hideMark/>
          </w:tcPr>
          <w:p w14:paraId="0EF98898" w14:textId="77777777"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15*</w:t>
            </w:r>
          </w:p>
        </w:tc>
        <w:tc>
          <w:tcPr>
            <w:tcW w:w="968" w:type="pct"/>
            <w:tcBorders>
              <w:top w:val="nil"/>
              <w:left w:val="nil"/>
              <w:bottom w:val="single" w:sz="4" w:space="0" w:color="auto"/>
              <w:right w:val="single" w:sz="4" w:space="0" w:color="auto"/>
            </w:tcBorders>
            <w:shd w:val="clear" w:color="auto" w:fill="auto"/>
            <w:noWrap/>
            <w:vAlign w:val="center"/>
            <w:hideMark/>
          </w:tcPr>
          <w:p w14:paraId="2E9A36EA" w14:textId="77777777"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25 (18)</w:t>
            </w:r>
          </w:p>
        </w:tc>
      </w:tr>
      <w:tr w:rsidR="00D777AB" w:rsidRPr="00D777AB" w14:paraId="7FB9C1B9" w14:textId="77777777" w:rsidTr="00D777AB">
        <w:trPr>
          <w:trHeight w:val="20"/>
          <w:jc w:val="center"/>
        </w:trPr>
        <w:tc>
          <w:tcPr>
            <w:tcW w:w="93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2272B4E" w14:textId="13EC114D" w:rsidR="00D51C42" w:rsidRPr="00D777AB" w:rsidRDefault="00D51C42" w:rsidP="00AE37B8">
            <w:pP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PM</w:t>
            </w:r>
            <w:r w:rsidRPr="00D777AB">
              <w:rPr>
                <w:rFonts w:ascii="Calibri" w:eastAsia="Times New Roman" w:hAnsi="Calibri" w:cs="Calibri"/>
                <w:color w:val="000000"/>
                <w:sz w:val="20"/>
                <w:szCs w:val="20"/>
                <w:vertAlign w:val="subscript"/>
                <w:lang w:eastAsia="cs-CZ"/>
              </w:rPr>
              <w:t>10</w:t>
            </w:r>
            <w:r w:rsidRPr="00D777AB">
              <w:rPr>
                <w:rFonts w:ascii="Calibri" w:eastAsia="Times New Roman" w:hAnsi="Calibri" w:cs="Calibri"/>
                <w:color w:val="000000"/>
                <w:sz w:val="20"/>
                <w:szCs w:val="20"/>
                <w:lang w:eastAsia="cs-CZ"/>
              </w:rPr>
              <w:t xml:space="preserve"> [µg/m</w:t>
            </w:r>
            <w:r w:rsidRPr="00D777AB">
              <w:rPr>
                <w:rFonts w:ascii="Calibri" w:eastAsia="Times New Roman" w:hAnsi="Calibri" w:cs="Calibri"/>
                <w:color w:val="000000"/>
                <w:sz w:val="20"/>
                <w:szCs w:val="20"/>
                <w:vertAlign w:val="superscript"/>
                <w:lang w:eastAsia="cs-CZ"/>
              </w:rPr>
              <w:t>3</w:t>
            </w:r>
            <w:r w:rsidRPr="00D777AB">
              <w:rPr>
                <w:rFonts w:ascii="Calibri" w:eastAsia="Times New Roman" w:hAnsi="Calibri" w:cs="Calibri"/>
                <w:color w:val="000000"/>
                <w:sz w:val="20"/>
                <w:szCs w:val="20"/>
                <w:lang w:eastAsia="cs-CZ"/>
              </w:rPr>
              <w:t>]</w:t>
            </w:r>
          </w:p>
        </w:tc>
        <w:tc>
          <w:tcPr>
            <w:tcW w:w="1063" w:type="pct"/>
            <w:tcBorders>
              <w:top w:val="nil"/>
              <w:left w:val="nil"/>
              <w:bottom w:val="single" w:sz="4" w:space="0" w:color="auto"/>
              <w:right w:val="single" w:sz="4" w:space="0" w:color="auto"/>
            </w:tcBorders>
            <w:shd w:val="clear" w:color="auto" w:fill="auto"/>
            <w:noWrap/>
            <w:vAlign w:val="center"/>
            <w:hideMark/>
          </w:tcPr>
          <w:p w14:paraId="43B54127" w14:textId="77777777" w:rsidR="00D51C42" w:rsidRPr="00D777AB" w:rsidRDefault="00D51C42" w:rsidP="00D777AB">
            <w:pPr>
              <w:jc w:val="cente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Kalendářní rok</w:t>
            </w:r>
          </w:p>
        </w:tc>
        <w:tc>
          <w:tcPr>
            <w:tcW w:w="751" w:type="pct"/>
            <w:tcBorders>
              <w:top w:val="single" w:sz="4" w:space="0" w:color="auto"/>
              <w:left w:val="nil"/>
              <w:bottom w:val="single" w:sz="4" w:space="0" w:color="auto"/>
              <w:right w:val="single" w:sz="4" w:space="0" w:color="auto"/>
            </w:tcBorders>
            <w:vAlign w:val="center"/>
          </w:tcPr>
          <w:p w14:paraId="4AF121F1" w14:textId="0B39451B" w:rsidR="00D51C42" w:rsidRPr="00D777AB" w:rsidRDefault="00D51C42" w:rsidP="00955553">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40</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1B914BA3" w14:textId="1F8B49E5" w:rsidR="00D51C42" w:rsidRPr="00D777AB" w:rsidRDefault="00D51C42" w:rsidP="00D777AB">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20</w:t>
            </w:r>
          </w:p>
        </w:tc>
        <w:tc>
          <w:tcPr>
            <w:tcW w:w="654" w:type="pct"/>
            <w:tcBorders>
              <w:top w:val="nil"/>
              <w:left w:val="nil"/>
              <w:bottom w:val="single" w:sz="4" w:space="0" w:color="auto"/>
              <w:right w:val="single" w:sz="4" w:space="0" w:color="auto"/>
            </w:tcBorders>
            <w:shd w:val="clear" w:color="auto" w:fill="auto"/>
            <w:noWrap/>
            <w:vAlign w:val="center"/>
            <w:hideMark/>
          </w:tcPr>
          <w:p w14:paraId="300F7738" w14:textId="77777777" w:rsidR="00D51C42" w:rsidRPr="00D777AB" w:rsidRDefault="00D51C42" w:rsidP="00D777AB">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15</w:t>
            </w:r>
          </w:p>
        </w:tc>
        <w:tc>
          <w:tcPr>
            <w:tcW w:w="968" w:type="pct"/>
            <w:tcBorders>
              <w:top w:val="nil"/>
              <w:left w:val="nil"/>
              <w:bottom w:val="single" w:sz="4" w:space="0" w:color="auto"/>
              <w:right w:val="single" w:sz="4" w:space="0" w:color="auto"/>
            </w:tcBorders>
            <w:shd w:val="clear" w:color="auto" w:fill="auto"/>
            <w:noWrap/>
            <w:vAlign w:val="center"/>
            <w:hideMark/>
          </w:tcPr>
          <w:p w14:paraId="07F93D85" w14:textId="77777777"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20</w:t>
            </w:r>
          </w:p>
        </w:tc>
      </w:tr>
      <w:tr w:rsidR="00D777AB" w:rsidRPr="00D777AB" w14:paraId="603FFC44" w14:textId="77777777" w:rsidTr="00D777AB">
        <w:trPr>
          <w:trHeight w:val="20"/>
          <w:jc w:val="center"/>
        </w:trPr>
        <w:tc>
          <w:tcPr>
            <w:tcW w:w="937" w:type="pct"/>
            <w:vMerge/>
            <w:tcBorders>
              <w:top w:val="nil"/>
              <w:left w:val="single" w:sz="4" w:space="0" w:color="auto"/>
              <w:bottom w:val="single" w:sz="4" w:space="0" w:color="auto"/>
              <w:right w:val="single" w:sz="4" w:space="0" w:color="auto"/>
            </w:tcBorders>
            <w:vAlign w:val="center"/>
            <w:hideMark/>
          </w:tcPr>
          <w:p w14:paraId="1449CF12" w14:textId="77777777" w:rsidR="00D51C42" w:rsidRPr="00D777AB" w:rsidRDefault="00D51C42" w:rsidP="00AE37B8">
            <w:pPr>
              <w:rPr>
                <w:rFonts w:ascii="Calibri" w:eastAsia="Times New Roman" w:hAnsi="Calibri" w:cs="Calibri"/>
                <w:color w:val="000000"/>
                <w:sz w:val="20"/>
                <w:szCs w:val="20"/>
                <w:lang w:eastAsia="cs-CZ"/>
              </w:rPr>
            </w:pPr>
          </w:p>
        </w:tc>
        <w:tc>
          <w:tcPr>
            <w:tcW w:w="1063" w:type="pct"/>
            <w:tcBorders>
              <w:top w:val="nil"/>
              <w:left w:val="nil"/>
              <w:bottom w:val="single" w:sz="4" w:space="0" w:color="auto"/>
              <w:right w:val="single" w:sz="4" w:space="0" w:color="auto"/>
            </w:tcBorders>
            <w:shd w:val="clear" w:color="auto" w:fill="auto"/>
            <w:noWrap/>
            <w:vAlign w:val="center"/>
            <w:hideMark/>
          </w:tcPr>
          <w:p w14:paraId="6E999890" w14:textId="77777777" w:rsidR="00D51C42" w:rsidRPr="00D777AB" w:rsidRDefault="00D51C42" w:rsidP="00D777AB">
            <w:pPr>
              <w:jc w:val="cente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 den</w:t>
            </w:r>
          </w:p>
        </w:tc>
        <w:tc>
          <w:tcPr>
            <w:tcW w:w="751" w:type="pct"/>
            <w:tcBorders>
              <w:top w:val="single" w:sz="4" w:space="0" w:color="auto"/>
              <w:left w:val="nil"/>
              <w:bottom w:val="single" w:sz="4" w:space="0" w:color="auto"/>
              <w:right w:val="single" w:sz="4" w:space="0" w:color="auto"/>
            </w:tcBorders>
            <w:vAlign w:val="center"/>
          </w:tcPr>
          <w:p w14:paraId="3CDD8AE3" w14:textId="2F1CE09F"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50 (35)</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157EC0E7" w14:textId="5A27DDC3"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50*</w:t>
            </w:r>
          </w:p>
        </w:tc>
        <w:tc>
          <w:tcPr>
            <w:tcW w:w="654" w:type="pct"/>
            <w:tcBorders>
              <w:top w:val="nil"/>
              <w:left w:val="nil"/>
              <w:bottom w:val="single" w:sz="4" w:space="0" w:color="auto"/>
              <w:right w:val="single" w:sz="4" w:space="0" w:color="auto"/>
            </w:tcBorders>
            <w:shd w:val="clear" w:color="auto" w:fill="auto"/>
            <w:noWrap/>
            <w:vAlign w:val="center"/>
            <w:hideMark/>
          </w:tcPr>
          <w:p w14:paraId="3ABB29AC" w14:textId="77777777"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45*</w:t>
            </w:r>
          </w:p>
        </w:tc>
        <w:tc>
          <w:tcPr>
            <w:tcW w:w="968" w:type="pct"/>
            <w:tcBorders>
              <w:top w:val="nil"/>
              <w:left w:val="nil"/>
              <w:bottom w:val="single" w:sz="4" w:space="0" w:color="auto"/>
              <w:right w:val="single" w:sz="4" w:space="0" w:color="auto"/>
            </w:tcBorders>
            <w:shd w:val="clear" w:color="auto" w:fill="auto"/>
            <w:noWrap/>
            <w:vAlign w:val="center"/>
            <w:hideMark/>
          </w:tcPr>
          <w:p w14:paraId="1305CAC1" w14:textId="77777777"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45 (18)</w:t>
            </w:r>
          </w:p>
        </w:tc>
      </w:tr>
      <w:tr w:rsidR="00D777AB" w:rsidRPr="00D777AB" w14:paraId="28D4F241" w14:textId="77777777" w:rsidTr="00D777AB">
        <w:trPr>
          <w:trHeight w:val="20"/>
          <w:jc w:val="center"/>
        </w:trPr>
        <w:tc>
          <w:tcPr>
            <w:tcW w:w="93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BDB8B6" w14:textId="36F33F04" w:rsidR="00D51C42" w:rsidRPr="00D777AB" w:rsidRDefault="00D51C42" w:rsidP="00AE37B8">
            <w:pP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NO</w:t>
            </w:r>
            <w:r w:rsidRPr="00D777AB">
              <w:rPr>
                <w:rFonts w:ascii="Calibri" w:eastAsia="Times New Roman" w:hAnsi="Calibri" w:cs="Calibri"/>
                <w:color w:val="000000"/>
                <w:sz w:val="20"/>
                <w:szCs w:val="20"/>
                <w:vertAlign w:val="subscript"/>
                <w:lang w:eastAsia="cs-CZ"/>
              </w:rPr>
              <w:t>2</w:t>
            </w:r>
            <w:r w:rsidR="00F72D4A" w:rsidRPr="00D777AB">
              <w:rPr>
                <w:rFonts w:ascii="Calibri" w:eastAsia="Times New Roman" w:hAnsi="Calibri" w:cs="Calibri"/>
                <w:color w:val="000000"/>
                <w:sz w:val="20"/>
                <w:szCs w:val="20"/>
                <w:vertAlign w:val="subscript"/>
                <w:lang w:eastAsia="cs-CZ"/>
              </w:rPr>
              <w:t xml:space="preserve"> </w:t>
            </w:r>
            <w:r w:rsidR="00F72D4A" w:rsidRPr="00D777AB">
              <w:rPr>
                <w:rFonts w:ascii="Calibri" w:eastAsia="Times New Roman" w:hAnsi="Calibri" w:cs="Calibri"/>
                <w:color w:val="000000"/>
                <w:sz w:val="20"/>
                <w:szCs w:val="20"/>
                <w:lang w:eastAsia="cs-CZ"/>
              </w:rPr>
              <w:t>[µg/m</w:t>
            </w:r>
            <w:r w:rsidR="00F72D4A" w:rsidRPr="00D777AB">
              <w:rPr>
                <w:rFonts w:ascii="Calibri" w:eastAsia="Times New Roman" w:hAnsi="Calibri" w:cs="Calibri"/>
                <w:color w:val="000000"/>
                <w:sz w:val="20"/>
                <w:szCs w:val="20"/>
                <w:vertAlign w:val="superscript"/>
                <w:lang w:eastAsia="cs-CZ"/>
              </w:rPr>
              <w:t>3</w:t>
            </w:r>
            <w:r w:rsidR="00F72D4A" w:rsidRPr="00D777AB">
              <w:rPr>
                <w:rFonts w:ascii="Calibri" w:eastAsia="Times New Roman" w:hAnsi="Calibri" w:cs="Calibri"/>
                <w:color w:val="000000"/>
                <w:sz w:val="20"/>
                <w:szCs w:val="20"/>
                <w:lang w:eastAsia="cs-CZ"/>
              </w:rPr>
              <w:t>]</w:t>
            </w:r>
          </w:p>
        </w:tc>
        <w:tc>
          <w:tcPr>
            <w:tcW w:w="1063" w:type="pct"/>
            <w:tcBorders>
              <w:top w:val="nil"/>
              <w:left w:val="nil"/>
              <w:bottom w:val="single" w:sz="4" w:space="0" w:color="auto"/>
              <w:right w:val="single" w:sz="4" w:space="0" w:color="auto"/>
            </w:tcBorders>
            <w:shd w:val="clear" w:color="auto" w:fill="auto"/>
            <w:noWrap/>
            <w:vAlign w:val="center"/>
            <w:hideMark/>
          </w:tcPr>
          <w:p w14:paraId="3663E932" w14:textId="1EFA74A1" w:rsidR="00D51C42" w:rsidRPr="00D777AB" w:rsidRDefault="00D51C42" w:rsidP="00D777AB">
            <w:pPr>
              <w:jc w:val="cente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Kalendářní rok</w:t>
            </w:r>
          </w:p>
        </w:tc>
        <w:tc>
          <w:tcPr>
            <w:tcW w:w="751" w:type="pct"/>
            <w:tcBorders>
              <w:top w:val="single" w:sz="4" w:space="0" w:color="auto"/>
              <w:left w:val="nil"/>
              <w:bottom w:val="single" w:sz="4" w:space="0" w:color="auto"/>
              <w:right w:val="single" w:sz="4" w:space="0" w:color="auto"/>
            </w:tcBorders>
            <w:vAlign w:val="center"/>
          </w:tcPr>
          <w:p w14:paraId="3F5C5CB5" w14:textId="3DBDCA9E"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40</w:t>
            </w:r>
            <w:r w:rsidR="00310643" w:rsidRPr="00D777AB">
              <w:rPr>
                <w:rFonts w:ascii="Calibri" w:eastAsia="Times New Roman" w:hAnsi="Calibri" w:cs="Calibri"/>
                <w:color w:val="000000"/>
                <w:sz w:val="20"/>
                <w:szCs w:val="20"/>
                <w:lang w:eastAsia="cs-CZ"/>
              </w:rPr>
              <w:t xml:space="preserve"> (0)</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31F5FD27" w14:textId="5DAD5275" w:rsidR="00D51C42" w:rsidRPr="00D777AB" w:rsidRDefault="00D51C42" w:rsidP="00955553">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40</w:t>
            </w:r>
          </w:p>
        </w:tc>
        <w:tc>
          <w:tcPr>
            <w:tcW w:w="654" w:type="pct"/>
            <w:tcBorders>
              <w:top w:val="nil"/>
              <w:left w:val="nil"/>
              <w:bottom w:val="single" w:sz="4" w:space="0" w:color="auto"/>
              <w:right w:val="single" w:sz="4" w:space="0" w:color="auto"/>
            </w:tcBorders>
            <w:shd w:val="clear" w:color="auto" w:fill="auto"/>
            <w:noWrap/>
            <w:vAlign w:val="center"/>
            <w:hideMark/>
          </w:tcPr>
          <w:p w14:paraId="44FDA0C7" w14:textId="77777777" w:rsidR="00D51C42" w:rsidRPr="00D777AB" w:rsidRDefault="00D51C42" w:rsidP="00955553">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10</w:t>
            </w:r>
          </w:p>
        </w:tc>
        <w:tc>
          <w:tcPr>
            <w:tcW w:w="968" w:type="pct"/>
            <w:tcBorders>
              <w:top w:val="nil"/>
              <w:left w:val="nil"/>
              <w:bottom w:val="single" w:sz="4" w:space="0" w:color="auto"/>
              <w:right w:val="single" w:sz="4" w:space="0" w:color="auto"/>
            </w:tcBorders>
            <w:shd w:val="clear" w:color="auto" w:fill="auto"/>
            <w:noWrap/>
            <w:vAlign w:val="center"/>
            <w:hideMark/>
          </w:tcPr>
          <w:p w14:paraId="180F9507" w14:textId="77777777"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20</w:t>
            </w:r>
          </w:p>
        </w:tc>
      </w:tr>
      <w:tr w:rsidR="00D777AB" w:rsidRPr="00D777AB" w14:paraId="79B812F0" w14:textId="77777777" w:rsidTr="00D777AB">
        <w:trPr>
          <w:trHeight w:val="20"/>
          <w:jc w:val="center"/>
        </w:trPr>
        <w:tc>
          <w:tcPr>
            <w:tcW w:w="937" w:type="pct"/>
            <w:vMerge/>
            <w:tcBorders>
              <w:top w:val="nil"/>
              <w:left w:val="single" w:sz="4" w:space="0" w:color="auto"/>
              <w:bottom w:val="single" w:sz="4" w:space="0" w:color="auto"/>
              <w:right w:val="single" w:sz="4" w:space="0" w:color="auto"/>
            </w:tcBorders>
            <w:vAlign w:val="center"/>
            <w:hideMark/>
          </w:tcPr>
          <w:p w14:paraId="72FBF611" w14:textId="77777777" w:rsidR="00D51C42" w:rsidRPr="00D777AB" w:rsidRDefault="00D51C42" w:rsidP="00AE37B8">
            <w:pPr>
              <w:rPr>
                <w:rFonts w:ascii="Calibri" w:eastAsia="Times New Roman" w:hAnsi="Calibri" w:cs="Calibri"/>
                <w:color w:val="000000"/>
                <w:sz w:val="20"/>
                <w:szCs w:val="20"/>
                <w:lang w:eastAsia="cs-CZ"/>
              </w:rPr>
            </w:pPr>
          </w:p>
        </w:tc>
        <w:tc>
          <w:tcPr>
            <w:tcW w:w="1063" w:type="pct"/>
            <w:tcBorders>
              <w:top w:val="nil"/>
              <w:left w:val="nil"/>
              <w:bottom w:val="single" w:sz="4" w:space="0" w:color="auto"/>
              <w:right w:val="single" w:sz="4" w:space="0" w:color="auto"/>
            </w:tcBorders>
            <w:shd w:val="clear" w:color="auto" w:fill="auto"/>
            <w:noWrap/>
            <w:vAlign w:val="center"/>
            <w:hideMark/>
          </w:tcPr>
          <w:p w14:paraId="471BE176" w14:textId="02FF3BF5" w:rsidR="00D51C42" w:rsidRPr="00D777AB" w:rsidRDefault="00D51C42" w:rsidP="00D777AB">
            <w:pPr>
              <w:jc w:val="cente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 hodina</w:t>
            </w:r>
          </w:p>
        </w:tc>
        <w:tc>
          <w:tcPr>
            <w:tcW w:w="751" w:type="pct"/>
            <w:tcBorders>
              <w:top w:val="single" w:sz="4" w:space="0" w:color="auto"/>
              <w:left w:val="nil"/>
              <w:bottom w:val="single" w:sz="4" w:space="0" w:color="auto"/>
              <w:right w:val="single" w:sz="4" w:space="0" w:color="auto"/>
            </w:tcBorders>
            <w:vAlign w:val="center"/>
          </w:tcPr>
          <w:p w14:paraId="16283C62" w14:textId="0AF0AD47" w:rsidR="00D51C42" w:rsidRPr="00D777AB" w:rsidRDefault="00B51D57"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200 (18)</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13A54C4E" w14:textId="53134935" w:rsidR="00D51C42" w:rsidRPr="00D777AB" w:rsidRDefault="00D51C42" w:rsidP="00955553">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w:t>
            </w:r>
          </w:p>
        </w:tc>
        <w:tc>
          <w:tcPr>
            <w:tcW w:w="654" w:type="pct"/>
            <w:tcBorders>
              <w:top w:val="nil"/>
              <w:left w:val="nil"/>
              <w:bottom w:val="single" w:sz="4" w:space="0" w:color="auto"/>
              <w:right w:val="single" w:sz="4" w:space="0" w:color="auto"/>
            </w:tcBorders>
            <w:shd w:val="clear" w:color="auto" w:fill="auto"/>
            <w:noWrap/>
            <w:vAlign w:val="center"/>
            <w:hideMark/>
          </w:tcPr>
          <w:p w14:paraId="476CF70C" w14:textId="77777777" w:rsidR="00D51C42" w:rsidRPr="00D777AB" w:rsidRDefault="00D51C42" w:rsidP="00955553">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w:t>
            </w:r>
          </w:p>
        </w:tc>
        <w:tc>
          <w:tcPr>
            <w:tcW w:w="968" w:type="pct"/>
            <w:tcBorders>
              <w:top w:val="nil"/>
              <w:left w:val="nil"/>
              <w:bottom w:val="single" w:sz="4" w:space="0" w:color="auto"/>
              <w:right w:val="single" w:sz="4" w:space="0" w:color="auto"/>
            </w:tcBorders>
            <w:shd w:val="clear" w:color="auto" w:fill="auto"/>
            <w:noWrap/>
            <w:vAlign w:val="center"/>
            <w:hideMark/>
          </w:tcPr>
          <w:p w14:paraId="694791FA" w14:textId="77777777" w:rsidR="00D51C42" w:rsidRPr="00D777AB" w:rsidRDefault="00D51C42"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200 (1)</w:t>
            </w:r>
          </w:p>
        </w:tc>
      </w:tr>
      <w:tr w:rsidR="00D777AB" w:rsidRPr="00D777AB" w14:paraId="58FF7F3E" w14:textId="77777777" w:rsidTr="00D777AB">
        <w:trPr>
          <w:trHeight w:val="20"/>
          <w:jc w:val="center"/>
        </w:trPr>
        <w:tc>
          <w:tcPr>
            <w:tcW w:w="93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BB6957" w14:textId="14105C96" w:rsidR="00F72D4A" w:rsidRPr="00D777AB" w:rsidRDefault="00F72D4A" w:rsidP="00F72D4A">
            <w:pP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SO</w:t>
            </w:r>
            <w:r w:rsidRPr="00D777AB">
              <w:rPr>
                <w:rFonts w:ascii="Calibri" w:eastAsia="Times New Roman" w:hAnsi="Calibri" w:cs="Calibri"/>
                <w:color w:val="000000"/>
                <w:sz w:val="20"/>
                <w:szCs w:val="20"/>
                <w:vertAlign w:val="subscript"/>
                <w:lang w:eastAsia="cs-CZ"/>
              </w:rPr>
              <w:t>2</w:t>
            </w:r>
            <w:r w:rsidRPr="00D777AB">
              <w:rPr>
                <w:rFonts w:ascii="Calibri" w:eastAsia="Times New Roman" w:hAnsi="Calibri" w:cs="Calibri"/>
                <w:color w:val="000000"/>
                <w:sz w:val="20"/>
                <w:szCs w:val="20"/>
                <w:lang w:eastAsia="cs-CZ"/>
              </w:rPr>
              <w:t xml:space="preserve"> [µg/m</w:t>
            </w:r>
            <w:r w:rsidRPr="00D777AB">
              <w:rPr>
                <w:rFonts w:ascii="Calibri" w:eastAsia="Times New Roman" w:hAnsi="Calibri" w:cs="Calibri"/>
                <w:color w:val="000000"/>
                <w:sz w:val="20"/>
                <w:szCs w:val="20"/>
                <w:vertAlign w:val="superscript"/>
                <w:lang w:eastAsia="cs-CZ"/>
              </w:rPr>
              <w:t>3</w:t>
            </w:r>
            <w:r w:rsidRPr="00D777AB">
              <w:rPr>
                <w:rFonts w:ascii="Calibri" w:eastAsia="Times New Roman" w:hAnsi="Calibri" w:cs="Calibri"/>
                <w:color w:val="000000"/>
                <w:sz w:val="20"/>
                <w:szCs w:val="20"/>
                <w:lang w:eastAsia="cs-CZ"/>
              </w:rPr>
              <w:t>]</w:t>
            </w:r>
          </w:p>
        </w:tc>
        <w:tc>
          <w:tcPr>
            <w:tcW w:w="1063" w:type="pct"/>
            <w:tcBorders>
              <w:top w:val="nil"/>
              <w:left w:val="nil"/>
              <w:bottom w:val="single" w:sz="4" w:space="0" w:color="auto"/>
              <w:right w:val="single" w:sz="4" w:space="0" w:color="auto"/>
            </w:tcBorders>
            <w:shd w:val="clear" w:color="auto" w:fill="auto"/>
            <w:noWrap/>
            <w:vAlign w:val="center"/>
          </w:tcPr>
          <w:p w14:paraId="21C4F4AA" w14:textId="1370F620" w:rsidR="00F72D4A" w:rsidRPr="00D777AB" w:rsidRDefault="00F72D4A" w:rsidP="00D777AB">
            <w:pPr>
              <w:jc w:val="cente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 den</w:t>
            </w:r>
          </w:p>
        </w:tc>
        <w:tc>
          <w:tcPr>
            <w:tcW w:w="751" w:type="pct"/>
            <w:tcBorders>
              <w:top w:val="single" w:sz="4" w:space="0" w:color="auto"/>
              <w:left w:val="nil"/>
              <w:bottom w:val="single" w:sz="4" w:space="0" w:color="auto"/>
              <w:right w:val="single" w:sz="4" w:space="0" w:color="auto"/>
            </w:tcBorders>
            <w:vAlign w:val="center"/>
          </w:tcPr>
          <w:p w14:paraId="63A8F7A6" w14:textId="1F3E0AC4" w:rsidR="00F72D4A" w:rsidRPr="00D777AB" w:rsidRDefault="00F72D4A"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125 (3)</w:t>
            </w:r>
          </w:p>
        </w:tc>
        <w:tc>
          <w:tcPr>
            <w:tcW w:w="626" w:type="pct"/>
            <w:tcBorders>
              <w:top w:val="nil"/>
              <w:left w:val="single" w:sz="4" w:space="0" w:color="auto"/>
              <w:bottom w:val="single" w:sz="4" w:space="0" w:color="auto"/>
              <w:right w:val="single" w:sz="4" w:space="0" w:color="auto"/>
            </w:tcBorders>
            <w:shd w:val="clear" w:color="auto" w:fill="auto"/>
            <w:noWrap/>
            <w:vAlign w:val="center"/>
          </w:tcPr>
          <w:p w14:paraId="1BEAF13B" w14:textId="3C7B2148" w:rsidR="00F72D4A" w:rsidRPr="00D777AB" w:rsidRDefault="00F72D4A"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20*</w:t>
            </w:r>
          </w:p>
        </w:tc>
        <w:tc>
          <w:tcPr>
            <w:tcW w:w="654" w:type="pct"/>
            <w:tcBorders>
              <w:top w:val="nil"/>
              <w:left w:val="nil"/>
              <w:bottom w:val="single" w:sz="4" w:space="0" w:color="auto"/>
              <w:right w:val="single" w:sz="4" w:space="0" w:color="auto"/>
            </w:tcBorders>
            <w:shd w:val="clear" w:color="auto" w:fill="auto"/>
            <w:noWrap/>
            <w:vAlign w:val="center"/>
          </w:tcPr>
          <w:p w14:paraId="1F352540" w14:textId="5AB89F58" w:rsidR="00F72D4A" w:rsidRPr="00D777AB" w:rsidRDefault="00F72D4A"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40*</w:t>
            </w:r>
          </w:p>
        </w:tc>
        <w:tc>
          <w:tcPr>
            <w:tcW w:w="968" w:type="pct"/>
            <w:tcBorders>
              <w:top w:val="nil"/>
              <w:left w:val="nil"/>
              <w:bottom w:val="single" w:sz="4" w:space="0" w:color="auto"/>
              <w:right w:val="single" w:sz="4" w:space="0" w:color="auto"/>
            </w:tcBorders>
            <w:shd w:val="clear" w:color="auto" w:fill="auto"/>
            <w:noWrap/>
            <w:vAlign w:val="center"/>
          </w:tcPr>
          <w:p w14:paraId="19F7F85B" w14:textId="77C5EB27" w:rsidR="00F72D4A" w:rsidRPr="00D777AB" w:rsidRDefault="00F72D4A"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50 (18)</w:t>
            </w:r>
          </w:p>
        </w:tc>
      </w:tr>
      <w:tr w:rsidR="00D777AB" w:rsidRPr="00D777AB" w14:paraId="41D256F3" w14:textId="77777777" w:rsidTr="00D777AB">
        <w:trPr>
          <w:trHeight w:val="20"/>
          <w:jc w:val="center"/>
        </w:trPr>
        <w:tc>
          <w:tcPr>
            <w:tcW w:w="937" w:type="pct"/>
            <w:vMerge/>
            <w:tcBorders>
              <w:top w:val="nil"/>
              <w:left w:val="single" w:sz="4" w:space="0" w:color="auto"/>
              <w:bottom w:val="single" w:sz="4" w:space="0" w:color="auto"/>
              <w:right w:val="single" w:sz="4" w:space="0" w:color="auto"/>
            </w:tcBorders>
            <w:vAlign w:val="center"/>
            <w:hideMark/>
          </w:tcPr>
          <w:p w14:paraId="3020E4DF" w14:textId="77777777" w:rsidR="00F72D4A" w:rsidRPr="00D777AB" w:rsidRDefault="00F72D4A" w:rsidP="00F72D4A">
            <w:pPr>
              <w:rPr>
                <w:rFonts w:ascii="Calibri" w:eastAsia="Times New Roman" w:hAnsi="Calibri" w:cs="Calibri"/>
                <w:color w:val="000000"/>
                <w:sz w:val="20"/>
                <w:szCs w:val="20"/>
                <w:lang w:eastAsia="cs-CZ"/>
              </w:rPr>
            </w:pPr>
          </w:p>
        </w:tc>
        <w:tc>
          <w:tcPr>
            <w:tcW w:w="1063" w:type="pct"/>
            <w:tcBorders>
              <w:top w:val="nil"/>
              <w:left w:val="nil"/>
              <w:bottom w:val="single" w:sz="4" w:space="0" w:color="auto"/>
              <w:right w:val="single" w:sz="4" w:space="0" w:color="auto"/>
            </w:tcBorders>
            <w:shd w:val="clear" w:color="auto" w:fill="auto"/>
            <w:noWrap/>
            <w:vAlign w:val="center"/>
            <w:hideMark/>
          </w:tcPr>
          <w:p w14:paraId="78F9067D" w14:textId="6689D548" w:rsidR="00F72D4A" w:rsidRPr="00D777AB" w:rsidRDefault="00F72D4A" w:rsidP="00D777AB">
            <w:pPr>
              <w:jc w:val="cente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 hodina</w:t>
            </w:r>
          </w:p>
        </w:tc>
        <w:tc>
          <w:tcPr>
            <w:tcW w:w="751" w:type="pct"/>
            <w:tcBorders>
              <w:top w:val="single" w:sz="4" w:space="0" w:color="auto"/>
              <w:left w:val="nil"/>
              <w:bottom w:val="single" w:sz="4" w:space="0" w:color="auto"/>
              <w:right w:val="single" w:sz="4" w:space="0" w:color="auto"/>
            </w:tcBorders>
            <w:vAlign w:val="center"/>
          </w:tcPr>
          <w:p w14:paraId="62B20EA1" w14:textId="2A2FB3B5" w:rsidR="00F72D4A" w:rsidRPr="00D777AB" w:rsidRDefault="00F72D4A"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350 (24)</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047AF48E" w14:textId="7C3C9085" w:rsidR="00F72D4A" w:rsidRPr="00D777AB" w:rsidRDefault="00F72D4A" w:rsidP="00955553">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 </w:t>
            </w:r>
          </w:p>
        </w:tc>
        <w:tc>
          <w:tcPr>
            <w:tcW w:w="654" w:type="pct"/>
            <w:tcBorders>
              <w:top w:val="nil"/>
              <w:left w:val="nil"/>
              <w:bottom w:val="single" w:sz="4" w:space="0" w:color="auto"/>
              <w:right w:val="single" w:sz="4" w:space="0" w:color="auto"/>
            </w:tcBorders>
            <w:shd w:val="clear" w:color="auto" w:fill="auto"/>
            <w:noWrap/>
            <w:vAlign w:val="center"/>
            <w:hideMark/>
          </w:tcPr>
          <w:p w14:paraId="7C04AAE6" w14:textId="77777777" w:rsidR="00F72D4A" w:rsidRPr="00D777AB" w:rsidRDefault="00F72D4A" w:rsidP="00955553">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 </w:t>
            </w:r>
          </w:p>
        </w:tc>
        <w:tc>
          <w:tcPr>
            <w:tcW w:w="968" w:type="pct"/>
            <w:tcBorders>
              <w:top w:val="nil"/>
              <w:left w:val="nil"/>
              <w:bottom w:val="single" w:sz="4" w:space="0" w:color="auto"/>
              <w:right w:val="single" w:sz="4" w:space="0" w:color="auto"/>
            </w:tcBorders>
            <w:shd w:val="clear" w:color="auto" w:fill="auto"/>
            <w:noWrap/>
            <w:vAlign w:val="center"/>
            <w:hideMark/>
          </w:tcPr>
          <w:p w14:paraId="2B499B2A" w14:textId="77777777" w:rsidR="00F72D4A" w:rsidRPr="00D777AB" w:rsidRDefault="00F72D4A"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350 (1)</w:t>
            </w:r>
          </w:p>
        </w:tc>
      </w:tr>
      <w:tr w:rsidR="00D777AB" w:rsidRPr="00D777AB" w14:paraId="24DEA29B" w14:textId="77777777" w:rsidTr="00D777AB">
        <w:trPr>
          <w:trHeight w:val="20"/>
          <w:jc w:val="center"/>
        </w:trPr>
        <w:tc>
          <w:tcPr>
            <w:tcW w:w="937" w:type="pct"/>
            <w:tcBorders>
              <w:top w:val="nil"/>
              <w:left w:val="single" w:sz="4" w:space="0" w:color="auto"/>
              <w:bottom w:val="single" w:sz="4" w:space="0" w:color="auto"/>
              <w:right w:val="single" w:sz="4" w:space="0" w:color="auto"/>
            </w:tcBorders>
            <w:shd w:val="clear" w:color="auto" w:fill="auto"/>
            <w:noWrap/>
            <w:vAlign w:val="center"/>
            <w:hideMark/>
          </w:tcPr>
          <w:p w14:paraId="02A6AC6E" w14:textId="3A40B2FA" w:rsidR="00F72D4A" w:rsidRPr="00D777AB" w:rsidRDefault="00F72D4A" w:rsidP="00F72D4A">
            <w:pP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O</w:t>
            </w:r>
            <w:r w:rsidRPr="00D777AB">
              <w:rPr>
                <w:rFonts w:ascii="Calibri" w:eastAsia="Times New Roman" w:hAnsi="Calibri" w:cs="Calibri"/>
                <w:color w:val="000000"/>
                <w:sz w:val="20"/>
                <w:szCs w:val="20"/>
                <w:vertAlign w:val="subscript"/>
                <w:lang w:eastAsia="cs-CZ"/>
              </w:rPr>
              <w:t xml:space="preserve">3 </w:t>
            </w:r>
            <w:r w:rsidRPr="00D777AB">
              <w:rPr>
                <w:rFonts w:ascii="Calibri" w:eastAsia="Times New Roman" w:hAnsi="Calibri" w:cs="Calibri"/>
                <w:color w:val="000000"/>
                <w:sz w:val="20"/>
                <w:szCs w:val="20"/>
                <w:lang w:eastAsia="cs-CZ"/>
              </w:rPr>
              <w:t>[µg/m</w:t>
            </w:r>
            <w:r w:rsidRPr="00D777AB">
              <w:rPr>
                <w:rFonts w:ascii="Calibri" w:eastAsia="Times New Roman" w:hAnsi="Calibri" w:cs="Calibri"/>
                <w:color w:val="000000"/>
                <w:sz w:val="20"/>
                <w:szCs w:val="20"/>
                <w:vertAlign w:val="superscript"/>
                <w:lang w:eastAsia="cs-CZ"/>
              </w:rPr>
              <w:t>3</w:t>
            </w:r>
            <w:r w:rsidRPr="00D777AB">
              <w:rPr>
                <w:rFonts w:ascii="Calibri" w:eastAsia="Times New Roman" w:hAnsi="Calibri" w:cs="Calibri"/>
                <w:color w:val="000000"/>
                <w:sz w:val="20"/>
                <w:szCs w:val="20"/>
                <w:lang w:eastAsia="cs-CZ"/>
              </w:rPr>
              <w:t>]</w:t>
            </w:r>
          </w:p>
        </w:tc>
        <w:tc>
          <w:tcPr>
            <w:tcW w:w="1063" w:type="pct"/>
            <w:tcBorders>
              <w:top w:val="nil"/>
              <w:left w:val="nil"/>
              <w:bottom w:val="single" w:sz="4" w:space="0" w:color="auto"/>
              <w:right w:val="single" w:sz="4" w:space="0" w:color="auto"/>
            </w:tcBorders>
            <w:shd w:val="clear" w:color="auto" w:fill="auto"/>
            <w:noWrap/>
            <w:vAlign w:val="center"/>
          </w:tcPr>
          <w:p w14:paraId="4F31AD4F" w14:textId="29720991" w:rsidR="00F72D4A" w:rsidRPr="00D777AB" w:rsidRDefault="00F72D4A" w:rsidP="00D777AB">
            <w:pPr>
              <w:jc w:val="center"/>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8hodinový průměr</w:t>
            </w:r>
          </w:p>
        </w:tc>
        <w:tc>
          <w:tcPr>
            <w:tcW w:w="751" w:type="pct"/>
            <w:tcBorders>
              <w:top w:val="single" w:sz="4" w:space="0" w:color="auto"/>
              <w:left w:val="nil"/>
              <w:bottom w:val="single" w:sz="4" w:space="0" w:color="auto"/>
              <w:right w:val="single" w:sz="4" w:space="0" w:color="auto"/>
            </w:tcBorders>
            <w:vAlign w:val="center"/>
          </w:tcPr>
          <w:p w14:paraId="5F3371D6" w14:textId="16E5D672" w:rsidR="00F72D4A" w:rsidRPr="00D777AB" w:rsidRDefault="00F72D4A"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120 (25)</w:t>
            </w:r>
          </w:p>
        </w:tc>
        <w:tc>
          <w:tcPr>
            <w:tcW w:w="626" w:type="pct"/>
            <w:tcBorders>
              <w:top w:val="nil"/>
              <w:left w:val="single" w:sz="4" w:space="0" w:color="auto"/>
              <w:bottom w:val="single" w:sz="4" w:space="0" w:color="auto"/>
              <w:right w:val="single" w:sz="4" w:space="0" w:color="auto"/>
            </w:tcBorders>
            <w:shd w:val="clear" w:color="auto" w:fill="auto"/>
            <w:noWrap/>
            <w:vAlign w:val="center"/>
          </w:tcPr>
          <w:p w14:paraId="3FD29621" w14:textId="0A6093EE" w:rsidR="00F72D4A" w:rsidRPr="00D777AB" w:rsidRDefault="00F72D4A" w:rsidP="00955553">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100</w:t>
            </w:r>
          </w:p>
        </w:tc>
        <w:tc>
          <w:tcPr>
            <w:tcW w:w="654" w:type="pct"/>
            <w:tcBorders>
              <w:top w:val="nil"/>
              <w:left w:val="nil"/>
              <w:bottom w:val="single" w:sz="4" w:space="0" w:color="auto"/>
              <w:right w:val="single" w:sz="4" w:space="0" w:color="auto"/>
            </w:tcBorders>
            <w:shd w:val="clear" w:color="auto" w:fill="auto"/>
            <w:noWrap/>
            <w:vAlign w:val="center"/>
          </w:tcPr>
          <w:p w14:paraId="0CD64616" w14:textId="3617D400" w:rsidR="00F72D4A" w:rsidRPr="00D777AB" w:rsidRDefault="00F72D4A" w:rsidP="00955553">
            <w:pPr>
              <w:ind w:right="170"/>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100</w:t>
            </w:r>
          </w:p>
        </w:tc>
        <w:tc>
          <w:tcPr>
            <w:tcW w:w="968" w:type="pct"/>
            <w:tcBorders>
              <w:top w:val="nil"/>
              <w:left w:val="nil"/>
              <w:bottom w:val="single" w:sz="4" w:space="0" w:color="auto"/>
              <w:right w:val="single" w:sz="4" w:space="0" w:color="auto"/>
            </w:tcBorders>
            <w:shd w:val="clear" w:color="auto" w:fill="auto"/>
            <w:noWrap/>
            <w:vAlign w:val="center"/>
          </w:tcPr>
          <w:p w14:paraId="4E0159CB" w14:textId="4B2CC2DD" w:rsidR="00F72D4A" w:rsidRPr="00D777AB" w:rsidRDefault="00F72D4A" w:rsidP="00D777AB">
            <w:pPr>
              <w:ind w:right="57"/>
              <w:jc w:val="right"/>
              <w:rPr>
                <w:rFonts w:ascii="Calibri" w:eastAsia="Times New Roman" w:hAnsi="Calibri" w:cs="Calibri"/>
                <w:color w:val="000000"/>
                <w:sz w:val="20"/>
                <w:szCs w:val="20"/>
                <w:lang w:eastAsia="cs-CZ"/>
              </w:rPr>
            </w:pPr>
            <w:r w:rsidRPr="00D777AB">
              <w:rPr>
                <w:rFonts w:ascii="Calibri" w:eastAsia="Times New Roman" w:hAnsi="Calibri" w:cs="Calibri"/>
                <w:color w:val="000000"/>
                <w:sz w:val="20"/>
                <w:szCs w:val="20"/>
                <w:lang w:eastAsia="cs-CZ"/>
              </w:rPr>
              <w:t>100</w:t>
            </w:r>
          </w:p>
        </w:tc>
      </w:tr>
    </w:tbl>
    <w:p w14:paraId="1C7F0D81" w14:textId="524AECC9" w:rsidR="00955553" w:rsidRPr="00955553" w:rsidRDefault="009068FC" w:rsidP="00955553">
      <w:pPr>
        <w:pStyle w:val="Zdrojeapozn"/>
      </w:pPr>
      <w:r w:rsidRPr="00955553">
        <w:t>Zdroj:</w:t>
      </w:r>
      <w:r w:rsidR="00955553" w:rsidRPr="00955553">
        <w:t xml:space="preserve"> </w:t>
      </w:r>
    </w:p>
    <w:p w14:paraId="1D02A733" w14:textId="6895118A" w:rsidR="00D51C42" w:rsidRPr="00955553" w:rsidRDefault="009068FC" w:rsidP="00955553">
      <w:pPr>
        <w:pStyle w:val="Zdrojeapozn"/>
        <w:rPr>
          <w:b w:val="0"/>
        </w:rPr>
      </w:pPr>
      <w:r w:rsidRPr="00955553">
        <w:rPr>
          <w:b w:val="0"/>
          <w:vertAlign w:val="superscript"/>
        </w:rPr>
        <w:t>1</w:t>
      </w:r>
      <w:r w:rsidRPr="00955553">
        <w:rPr>
          <w:b w:val="0"/>
        </w:rPr>
        <w:t xml:space="preserve"> </w:t>
      </w:r>
      <w:r w:rsidR="00955553" w:rsidRPr="00955553">
        <w:rPr>
          <w:b w:val="0"/>
        </w:rPr>
        <w:tab/>
      </w:r>
      <w:r w:rsidRPr="00955553">
        <w:rPr>
          <w:b w:val="0"/>
        </w:rPr>
        <w:t xml:space="preserve">Příloha č. 1 zákona č. 201/2012 Sb.; </w:t>
      </w:r>
      <w:r w:rsidR="00E43802">
        <w:rPr>
          <w:b w:val="0"/>
        </w:rPr>
        <w:t>p</w:t>
      </w:r>
      <w:r w:rsidRPr="00955553">
        <w:rPr>
          <w:b w:val="0"/>
        </w:rPr>
        <w:t xml:space="preserve">řílohy VII a XI </w:t>
      </w:r>
      <w:r w:rsidR="00E43802">
        <w:rPr>
          <w:b w:val="0"/>
        </w:rPr>
        <w:t>s</w:t>
      </w:r>
      <w:r w:rsidRPr="00955553">
        <w:rPr>
          <w:b w:val="0"/>
        </w:rPr>
        <w:t xml:space="preserve">měrnice 2008/50/ES; </w:t>
      </w:r>
      <w:r w:rsidR="00E43802">
        <w:rPr>
          <w:b w:val="0"/>
        </w:rPr>
        <w:t>p</w:t>
      </w:r>
      <w:r w:rsidRPr="00955553">
        <w:rPr>
          <w:b w:val="0"/>
        </w:rPr>
        <w:t xml:space="preserve">říloha I </w:t>
      </w:r>
      <w:r w:rsidR="00E43802">
        <w:rPr>
          <w:b w:val="0"/>
        </w:rPr>
        <w:t>s</w:t>
      </w:r>
      <w:r w:rsidRPr="00955553">
        <w:rPr>
          <w:b w:val="0"/>
        </w:rPr>
        <w:t>měrnice 2004/107/ES.</w:t>
      </w:r>
    </w:p>
    <w:p w14:paraId="5DD6BD4F" w14:textId="39CEC468" w:rsidR="00D51C42" w:rsidRPr="00955553" w:rsidRDefault="00D51C42" w:rsidP="00955553">
      <w:pPr>
        <w:pStyle w:val="Zdrojeapozn"/>
        <w:rPr>
          <w:b w:val="0"/>
        </w:rPr>
      </w:pPr>
      <w:r w:rsidRPr="00955553">
        <w:rPr>
          <w:b w:val="0"/>
          <w:vertAlign w:val="superscript"/>
        </w:rPr>
        <w:t xml:space="preserve">2 </w:t>
      </w:r>
      <w:r w:rsidR="00955553" w:rsidRPr="00955553">
        <w:rPr>
          <w:b w:val="0"/>
          <w:vertAlign w:val="superscript"/>
        </w:rPr>
        <w:tab/>
      </w:r>
      <w:r w:rsidR="001A3A01" w:rsidRPr="002F3B4E">
        <w:rPr>
          <w:b w:val="0"/>
          <w:i/>
        </w:rPr>
        <w:t>A</w:t>
      </w:r>
      <w:r w:rsidRPr="002F3B4E">
        <w:rPr>
          <w:b w:val="0"/>
          <w:i/>
        </w:rPr>
        <w:t xml:space="preserve">ir </w:t>
      </w:r>
      <w:proofErr w:type="spellStart"/>
      <w:r w:rsidRPr="002F3B4E">
        <w:rPr>
          <w:b w:val="0"/>
          <w:i/>
        </w:rPr>
        <w:t>Quality</w:t>
      </w:r>
      <w:proofErr w:type="spellEnd"/>
      <w:r w:rsidRPr="002F3B4E">
        <w:rPr>
          <w:b w:val="0"/>
          <w:i/>
        </w:rPr>
        <w:t xml:space="preserve"> </w:t>
      </w:r>
      <w:proofErr w:type="spellStart"/>
      <w:r w:rsidRPr="002F3B4E">
        <w:rPr>
          <w:b w:val="0"/>
          <w:i/>
        </w:rPr>
        <w:t>Guidelines</w:t>
      </w:r>
      <w:proofErr w:type="spellEnd"/>
      <w:r w:rsidRPr="002F3B4E">
        <w:rPr>
          <w:b w:val="0"/>
          <w:i/>
        </w:rPr>
        <w:t xml:space="preserve"> </w:t>
      </w:r>
      <w:proofErr w:type="spellStart"/>
      <w:r w:rsidRPr="002F3B4E">
        <w:rPr>
          <w:b w:val="0"/>
          <w:i/>
        </w:rPr>
        <w:t>Global</w:t>
      </w:r>
      <w:proofErr w:type="spellEnd"/>
      <w:r w:rsidRPr="002F3B4E">
        <w:rPr>
          <w:b w:val="0"/>
          <w:i/>
        </w:rPr>
        <w:t xml:space="preserve"> Update</w:t>
      </w:r>
      <w:r w:rsidR="001965B0">
        <w:rPr>
          <w:b w:val="0"/>
        </w:rPr>
        <w:t xml:space="preserve">, </w:t>
      </w:r>
      <w:r w:rsidR="001965B0" w:rsidRPr="00955553">
        <w:rPr>
          <w:b w:val="0"/>
        </w:rPr>
        <w:t>WHO</w:t>
      </w:r>
      <w:r w:rsidRPr="001965B0">
        <w:rPr>
          <w:b w:val="0"/>
        </w:rPr>
        <w:t xml:space="preserve"> 2005</w:t>
      </w:r>
      <w:r w:rsidRPr="00955553">
        <w:rPr>
          <w:b w:val="0"/>
        </w:rPr>
        <w:t>.</w:t>
      </w:r>
    </w:p>
    <w:p w14:paraId="0E137080" w14:textId="2D55E3E1" w:rsidR="009068FC" w:rsidRPr="00955553" w:rsidRDefault="00D51C42" w:rsidP="00955553">
      <w:pPr>
        <w:pStyle w:val="Zdrojeapozn"/>
        <w:rPr>
          <w:b w:val="0"/>
        </w:rPr>
      </w:pPr>
      <w:r w:rsidRPr="00955553">
        <w:rPr>
          <w:b w:val="0"/>
          <w:vertAlign w:val="superscript"/>
        </w:rPr>
        <w:t>3</w:t>
      </w:r>
      <w:r w:rsidRPr="00955553">
        <w:rPr>
          <w:b w:val="0"/>
        </w:rPr>
        <w:t xml:space="preserve"> </w:t>
      </w:r>
      <w:r w:rsidR="00955553" w:rsidRPr="00955553">
        <w:rPr>
          <w:b w:val="0"/>
        </w:rPr>
        <w:tab/>
      </w:r>
      <w:r w:rsidRPr="002F3B4E">
        <w:rPr>
          <w:b w:val="0"/>
          <w:i/>
        </w:rPr>
        <w:t xml:space="preserve">WHO </w:t>
      </w:r>
      <w:proofErr w:type="spellStart"/>
      <w:r w:rsidRPr="002F3B4E">
        <w:rPr>
          <w:b w:val="0"/>
          <w:i/>
        </w:rPr>
        <w:t>global</w:t>
      </w:r>
      <w:proofErr w:type="spellEnd"/>
      <w:r w:rsidRPr="002F3B4E">
        <w:rPr>
          <w:b w:val="0"/>
          <w:i/>
        </w:rPr>
        <w:t xml:space="preserve"> air </w:t>
      </w:r>
      <w:proofErr w:type="spellStart"/>
      <w:r w:rsidRPr="002F3B4E">
        <w:rPr>
          <w:b w:val="0"/>
          <w:i/>
        </w:rPr>
        <w:t>quality</w:t>
      </w:r>
      <w:proofErr w:type="spellEnd"/>
      <w:r w:rsidRPr="002F3B4E">
        <w:rPr>
          <w:b w:val="0"/>
          <w:i/>
        </w:rPr>
        <w:t xml:space="preserve"> </w:t>
      </w:r>
      <w:proofErr w:type="spellStart"/>
      <w:r w:rsidRPr="002F3B4E">
        <w:rPr>
          <w:b w:val="0"/>
          <w:i/>
        </w:rPr>
        <w:t>guidelines</w:t>
      </w:r>
      <w:proofErr w:type="spellEnd"/>
      <w:r w:rsidRPr="002F3B4E">
        <w:rPr>
          <w:b w:val="0"/>
          <w:i/>
        </w:rPr>
        <w:t xml:space="preserve">. </w:t>
      </w:r>
      <w:proofErr w:type="spellStart"/>
      <w:r w:rsidRPr="002F3B4E">
        <w:rPr>
          <w:b w:val="0"/>
          <w:i/>
        </w:rPr>
        <w:t>Particulate</w:t>
      </w:r>
      <w:proofErr w:type="spellEnd"/>
      <w:r w:rsidRPr="002F3B4E">
        <w:rPr>
          <w:b w:val="0"/>
          <w:i/>
        </w:rPr>
        <w:t xml:space="preserve"> </w:t>
      </w:r>
      <w:proofErr w:type="spellStart"/>
      <w:r w:rsidRPr="002F3B4E">
        <w:rPr>
          <w:b w:val="0"/>
          <w:i/>
        </w:rPr>
        <w:t>matter</w:t>
      </w:r>
      <w:proofErr w:type="spellEnd"/>
      <w:r w:rsidRPr="002F3B4E">
        <w:rPr>
          <w:b w:val="0"/>
          <w:i/>
        </w:rPr>
        <w:t xml:space="preserve"> (PM</w:t>
      </w:r>
      <w:r w:rsidRPr="002F3B4E">
        <w:rPr>
          <w:b w:val="0"/>
          <w:i/>
          <w:vertAlign w:val="subscript"/>
        </w:rPr>
        <w:t>2.5</w:t>
      </w:r>
      <w:r w:rsidRPr="002F3B4E">
        <w:rPr>
          <w:b w:val="0"/>
          <w:i/>
        </w:rPr>
        <w:t xml:space="preserve"> and PM</w:t>
      </w:r>
      <w:r w:rsidRPr="002F3B4E">
        <w:rPr>
          <w:b w:val="0"/>
          <w:i/>
          <w:vertAlign w:val="subscript"/>
        </w:rPr>
        <w:t>10</w:t>
      </w:r>
      <w:r w:rsidRPr="002F3B4E">
        <w:rPr>
          <w:b w:val="0"/>
          <w:i/>
        </w:rPr>
        <w:t xml:space="preserve">), ozone, </w:t>
      </w:r>
      <w:proofErr w:type="spellStart"/>
      <w:r w:rsidRPr="002F3B4E">
        <w:rPr>
          <w:b w:val="0"/>
          <w:i/>
        </w:rPr>
        <w:t>nitrogen</w:t>
      </w:r>
      <w:proofErr w:type="spellEnd"/>
      <w:r w:rsidRPr="002F3B4E">
        <w:rPr>
          <w:b w:val="0"/>
          <w:i/>
        </w:rPr>
        <w:t xml:space="preserve"> dioxide, </w:t>
      </w:r>
      <w:proofErr w:type="spellStart"/>
      <w:r w:rsidRPr="002F3B4E">
        <w:rPr>
          <w:b w:val="0"/>
          <w:i/>
        </w:rPr>
        <w:t>sulfur</w:t>
      </w:r>
      <w:proofErr w:type="spellEnd"/>
      <w:r w:rsidRPr="002F3B4E">
        <w:rPr>
          <w:b w:val="0"/>
          <w:i/>
        </w:rPr>
        <w:t xml:space="preserve"> dioxide and </w:t>
      </w:r>
      <w:proofErr w:type="spellStart"/>
      <w:r w:rsidRPr="002F3B4E">
        <w:rPr>
          <w:b w:val="0"/>
          <w:i/>
        </w:rPr>
        <w:t>carbon</w:t>
      </w:r>
      <w:proofErr w:type="spellEnd"/>
      <w:r w:rsidRPr="002F3B4E">
        <w:rPr>
          <w:b w:val="0"/>
          <w:i/>
        </w:rPr>
        <w:t xml:space="preserve"> </w:t>
      </w:r>
      <w:proofErr w:type="spellStart"/>
      <w:r w:rsidRPr="002F3B4E">
        <w:rPr>
          <w:b w:val="0"/>
          <w:i/>
        </w:rPr>
        <w:t>monoxide</w:t>
      </w:r>
      <w:proofErr w:type="spellEnd"/>
      <w:r w:rsidRPr="00955553">
        <w:rPr>
          <w:b w:val="0"/>
        </w:rPr>
        <w:t>, WHO 2021.</w:t>
      </w:r>
    </w:p>
    <w:p w14:paraId="1ACF99B2" w14:textId="5314043B" w:rsidR="009068FC" w:rsidRPr="00955553" w:rsidRDefault="00D51C42" w:rsidP="00955553">
      <w:pPr>
        <w:pStyle w:val="Zdrojeapozn"/>
        <w:rPr>
          <w:b w:val="0"/>
        </w:rPr>
      </w:pPr>
      <w:r w:rsidRPr="00955553">
        <w:rPr>
          <w:b w:val="0"/>
          <w:vertAlign w:val="superscript"/>
        </w:rPr>
        <w:t>4</w:t>
      </w:r>
      <w:r w:rsidR="009068FC" w:rsidRPr="00955553">
        <w:rPr>
          <w:b w:val="0"/>
        </w:rPr>
        <w:t xml:space="preserve"> </w:t>
      </w:r>
      <w:r w:rsidR="00955553" w:rsidRPr="00955553">
        <w:rPr>
          <w:b w:val="0"/>
        </w:rPr>
        <w:tab/>
      </w:r>
      <w:r w:rsidR="009068FC" w:rsidRPr="00955553">
        <w:rPr>
          <w:b w:val="0"/>
        </w:rPr>
        <w:t xml:space="preserve">Příloha I </w:t>
      </w:r>
      <w:bookmarkStart w:id="25" w:name="_Hlk150789364"/>
      <w:r w:rsidR="009068FC" w:rsidRPr="00955553">
        <w:rPr>
          <w:b w:val="0"/>
        </w:rPr>
        <w:t>návrhu směrnice EU o kvalitě vnějšího ovzduší.</w:t>
      </w:r>
      <w:bookmarkEnd w:id="25"/>
    </w:p>
    <w:p w14:paraId="2CDE8D08" w14:textId="11AB686B" w:rsidR="00E14921" w:rsidRPr="00955553" w:rsidRDefault="00E14921" w:rsidP="00955553">
      <w:pPr>
        <w:pStyle w:val="Zdrojeapozn"/>
        <w:rPr>
          <w:b w:val="0"/>
        </w:rPr>
      </w:pPr>
      <w:r w:rsidRPr="00E14921">
        <w:t>Pozn.:</w:t>
      </w:r>
      <w:r w:rsidR="00955553">
        <w:t xml:space="preserve"> </w:t>
      </w:r>
      <w:r w:rsidR="001965B0" w:rsidRPr="00955553">
        <w:rPr>
          <w:b w:val="0"/>
        </w:rPr>
        <w:t>V závorkách je uváděn maximální možný počet překročení mezní hodnoty v kalendářním roce.</w:t>
      </w:r>
    </w:p>
    <w:p w14:paraId="61438D60" w14:textId="3A848AE1" w:rsidR="001965B0" w:rsidRDefault="009068FC" w:rsidP="00955553">
      <w:pPr>
        <w:pStyle w:val="Zdrojeapozn"/>
        <w:rPr>
          <w:b w:val="0"/>
        </w:rPr>
      </w:pPr>
      <w:r w:rsidRPr="00F13367">
        <w:t>Vysvětlivka:</w:t>
      </w:r>
      <w:r w:rsidR="0070571B">
        <w:t xml:space="preserve"> </w:t>
      </w:r>
      <w:r w:rsidR="001965B0" w:rsidRPr="001965B0">
        <w:rPr>
          <w:b w:val="0"/>
        </w:rPr>
        <w:t xml:space="preserve"> </w:t>
      </w:r>
    </w:p>
    <w:p w14:paraId="060BD45F" w14:textId="57EB94DB" w:rsidR="00674BC5" w:rsidRDefault="001965B0" w:rsidP="00955553">
      <w:pPr>
        <w:pStyle w:val="Zdrojeapozn"/>
      </w:pPr>
      <w:r w:rsidRPr="00955553">
        <w:rPr>
          <w:b w:val="0"/>
        </w:rPr>
        <w:t xml:space="preserve">* </w:t>
      </w:r>
      <w:r>
        <w:rPr>
          <w:b w:val="0"/>
        </w:rPr>
        <w:tab/>
        <w:t>M</w:t>
      </w:r>
      <w:r w:rsidRPr="00955553">
        <w:rPr>
          <w:b w:val="0"/>
        </w:rPr>
        <w:t>aximální počet překročení 3 až 4krát.</w:t>
      </w:r>
    </w:p>
    <w:p w14:paraId="1B4E568F" w14:textId="77777777" w:rsidR="00674BC5" w:rsidRDefault="00674BC5" w:rsidP="00955553">
      <w:pPr>
        <w:pStyle w:val="Zdrojeapozn"/>
      </w:pPr>
    </w:p>
    <w:p w14:paraId="17128891" w14:textId="77777777" w:rsidR="00674BC5" w:rsidRPr="002D56FA" w:rsidRDefault="00674BC5" w:rsidP="00674BC5">
      <w:pPr>
        <w:pStyle w:val="TextKP"/>
        <w:spacing w:before="80"/>
        <w:rPr>
          <w:spacing w:val="-3"/>
        </w:rPr>
      </w:pPr>
      <w:r w:rsidRPr="002D56FA">
        <w:rPr>
          <w:spacing w:val="-3"/>
        </w:rPr>
        <w:t>Ze srovnání standardů kvality ovzduší vyplývá:</w:t>
      </w:r>
    </w:p>
    <w:p w14:paraId="3D0DF087" w14:textId="31B9DDE1" w:rsidR="00674BC5" w:rsidRPr="002D56FA" w:rsidRDefault="00EC6E1B" w:rsidP="00EC6E1B">
      <w:pPr>
        <w:pStyle w:val="TextKP"/>
        <w:numPr>
          <w:ilvl w:val="0"/>
          <w:numId w:val="14"/>
        </w:numPr>
        <w:spacing w:before="60"/>
        <w:ind w:left="284" w:hanging="284"/>
        <w:rPr>
          <w:spacing w:val="-3"/>
        </w:rPr>
      </w:pPr>
      <w:r>
        <w:rPr>
          <w:spacing w:val="-3"/>
        </w:rPr>
        <w:t>A</w:t>
      </w:r>
      <w:r w:rsidR="00674BC5" w:rsidRPr="002D56FA">
        <w:rPr>
          <w:spacing w:val="-3"/>
        </w:rPr>
        <w:t>ktuálně platné normy EU pro kvalitu ovzduší uplatňované v zákoně o ochraně ovzduší jsou méně přísné i než doporučení WHO z roku 2005, potažmo aktualizovaná doporučení z roku 2021.</w:t>
      </w:r>
    </w:p>
    <w:p w14:paraId="24D2C4F6" w14:textId="5DD262F8" w:rsidR="00BB638D" w:rsidRPr="00BB638D" w:rsidRDefault="00674BC5" w:rsidP="00EC6E1B">
      <w:pPr>
        <w:pStyle w:val="TextKP"/>
        <w:numPr>
          <w:ilvl w:val="0"/>
          <w:numId w:val="14"/>
        </w:numPr>
        <w:spacing w:before="60"/>
        <w:ind w:left="284" w:hanging="284"/>
        <w:rPr>
          <w:spacing w:val="-3"/>
        </w:rPr>
      </w:pPr>
      <w:r w:rsidRPr="0075728E">
        <w:rPr>
          <w:spacing w:val="-3"/>
        </w:rPr>
        <w:t>Evropskou komisí nově navrhované maximální úrovně koncentrací jsou pro většinu znečišťujících látek mírnější než doporučení WHO z roku 2021</w:t>
      </w:r>
      <w:r w:rsidR="001965B0">
        <w:rPr>
          <w:spacing w:val="-3"/>
        </w:rPr>
        <w:t>,</w:t>
      </w:r>
      <w:r w:rsidR="00BB638D">
        <w:rPr>
          <w:spacing w:val="-3"/>
        </w:rPr>
        <w:t xml:space="preserve"> a </w:t>
      </w:r>
      <w:r w:rsidRPr="0075728E">
        <w:rPr>
          <w:spacing w:val="-3"/>
        </w:rPr>
        <w:t>budou</w:t>
      </w:r>
      <w:r w:rsidR="00BB638D">
        <w:rPr>
          <w:spacing w:val="-3"/>
        </w:rPr>
        <w:t xml:space="preserve"> tak </w:t>
      </w:r>
      <w:r w:rsidRPr="0075728E">
        <w:rPr>
          <w:spacing w:val="-3"/>
        </w:rPr>
        <w:t>umožňovat úrovně znečištění</w:t>
      </w:r>
      <w:r w:rsidR="0075728E">
        <w:rPr>
          <w:spacing w:val="-3"/>
        </w:rPr>
        <w:t xml:space="preserve"> ovzduší</w:t>
      </w:r>
      <w:r w:rsidR="00BB638D">
        <w:rPr>
          <w:spacing w:val="-3"/>
        </w:rPr>
        <w:t xml:space="preserve"> vyšší,</w:t>
      </w:r>
      <w:r w:rsidRPr="0075728E">
        <w:rPr>
          <w:spacing w:val="-3"/>
        </w:rPr>
        <w:t xml:space="preserve"> než doporučuje WHO</w:t>
      </w:r>
      <w:r w:rsidR="0075728E">
        <w:rPr>
          <w:spacing w:val="-3"/>
        </w:rPr>
        <w:t>.</w:t>
      </w:r>
      <w:r w:rsidRPr="002D56FA">
        <w:rPr>
          <w:rStyle w:val="Znakapoznpodarou"/>
          <w:spacing w:val="-3"/>
        </w:rPr>
        <w:footnoteReference w:id="34"/>
      </w:r>
    </w:p>
    <w:p w14:paraId="63281B91" w14:textId="275B5F5A" w:rsidR="00B23639" w:rsidRDefault="00B23639" w:rsidP="00955553">
      <w:pPr>
        <w:pStyle w:val="Zdrojeapozn"/>
      </w:pPr>
      <w:r>
        <w:br w:type="page"/>
      </w:r>
    </w:p>
    <w:p w14:paraId="0710404D" w14:textId="1F50FC56" w:rsidR="00B7688A" w:rsidRDefault="00601742" w:rsidP="00B7688A">
      <w:pPr>
        <w:pStyle w:val="TextKP"/>
        <w:spacing w:before="0"/>
        <w:jc w:val="right"/>
        <w:outlineLvl w:val="0"/>
        <w:rPr>
          <w:b/>
        </w:rPr>
      </w:pPr>
      <w:r w:rsidRPr="00303804">
        <w:rPr>
          <w:b/>
        </w:rPr>
        <w:lastRenderedPageBreak/>
        <w:t xml:space="preserve">Příloha č. </w:t>
      </w:r>
      <w:r w:rsidRPr="00303804">
        <w:rPr>
          <w:b/>
        </w:rPr>
        <w:fldChar w:fldCharType="begin"/>
      </w:r>
      <w:r w:rsidRPr="00303804">
        <w:rPr>
          <w:b/>
        </w:rPr>
        <w:instrText xml:space="preserve"> SEQ Příloha_č. \* ARABIC </w:instrText>
      </w:r>
      <w:r w:rsidRPr="00303804">
        <w:rPr>
          <w:b/>
        </w:rPr>
        <w:fldChar w:fldCharType="separate"/>
      </w:r>
      <w:r w:rsidR="000D2E96">
        <w:rPr>
          <w:b/>
          <w:noProof/>
        </w:rPr>
        <w:t>6</w:t>
      </w:r>
      <w:r w:rsidRPr="00303804">
        <w:rPr>
          <w:b/>
        </w:rPr>
        <w:fldChar w:fldCharType="end"/>
      </w:r>
    </w:p>
    <w:p w14:paraId="7AF40600" w14:textId="09CFE1A6" w:rsidR="00601742" w:rsidRDefault="00601742" w:rsidP="00601742">
      <w:pPr>
        <w:pStyle w:val="TextKP"/>
        <w:spacing w:before="0"/>
        <w:outlineLvl w:val="0"/>
        <w:rPr>
          <w:b/>
        </w:rPr>
      </w:pPr>
      <w:r>
        <w:rPr>
          <w:b/>
        </w:rPr>
        <w:t>Roční emise z lokálního vytápění</w:t>
      </w:r>
      <w:r w:rsidR="00B0069E">
        <w:rPr>
          <w:b/>
        </w:rPr>
        <w:t xml:space="preserve"> domácností a z</w:t>
      </w:r>
      <w:r w:rsidR="00B0069E" w:rsidRPr="00B0069E">
        <w:rPr>
          <w:b/>
        </w:rPr>
        <w:t xml:space="preserve"> </w:t>
      </w:r>
      <w:r w:rsidR="00B0069E">
        <w:rPr>
          <w:b/>
        </w:rPr>
        <w:t>průmyslu</w:t>
      </w:r>
    </w:p>
    <w:p w14:paraId="192CC397" w14:textId="464CEE9B" w:rsidR="001E6F02" w:rsidRPr="000352E0" w:rsidRDefault="001E6F02" w:rsidP="00ED6F6A">
      <w:pPr>
        <w:spacing w:before="120" w:after="40"/>
        <w:ind w:left="1418" w:hanging="1418"/>
        <w:rPr>
          <w:b/>
        </w:rPr>
      </w:pPr>
      <w:r w:rsidRPr="000352E0">
        <w:rPr>
          <w:b/>
        </w:rPr>
        <w:t>Tabul</w:t>
      </w:r>
      <w:r w:rsidR="00ED6F6A">
        <w:rPr>
          <w:b/>
        </w:rPr>
        <w:t xml:space="preserve">ka č. 1: </w:t>
      </w:r>
      <w:r w:rsidR="00B531E6" w:rsidRPr="000352E0">
        <w:rPr>
          <w:b/>
        </w:rPr>
        <w:t>Dosažené snížení ročních emisí v sektoru lokálního vytápění domácností</w:t>
      </w:r>
    </w:p>
    <w:tbl>
      <w:tblPr>
        <w:tblW w:w="5009" w:type="pct"/>
        <w:jc w:val="center"/>
        <w:tblCellMar>
          <w:left w:w="70" w:type="dxa"/>
          <w:right w:w="70" w:type="dxa"/>
        </w:tblCellMar>
        <w:tblLook w:val="04A0" w:firstRow="1" w:lastRow="0" w:firstColumn="1" w:lastColumn="0" w:noHBand="0" w:noVBand="1"/>
      </w:tblPr>
      <w:tblGrid>
        <w:gridCol w:w="2833"/>
        <w:gridCol w:w="1104"/>
        <w:gridCol w:w="1135"/>
        <w:gridCol w:w="1077"/>
        <w:gridCol w:w="1019"/>
        <w:gridCol w:w="1019"/>
        <w:gridCol w:w="891"/>
      </w:tblGrid>
      <w:tr w:rsidR="00B7688A" w:rsidRPr="00B531E6" w14:paraId="24118414" w14:textId="77777777" w:rsidTr="00B7688A">
        <w:trPr>
          <w:trHeight w:val="20"/>
          <w:jc w:val="center"/>
        </w:trPr>
        <w:tc>
          <w:tcPr>
            <w:tcW w:w="15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7184B31" w14:textId="77777777" w:rsidR="001E6F02" w:rsidRPr="00B531E6" w:rsidRDefault="001E6F02" w:rsidP="001E6F02">
            <w:pPr>
              <w:jc w:val="center"/>
              <w:rPr>
                <w:rFonts w:ascii="Calibri" w:eastAsia="Times New Roman" w:hAnsi="Calibri" w:cs="Calibri"/>
                <w:b/>
                <w:bCs/>
                <w:sz w:val="20"/>
                <w:szCs w:val="20"/>
                <w:lang w:eastAsia="cs-CZ"/>
              </w:rPr>
            </w:pPr>
            <w:r w:rsidRPr="00B531E6">
              <w:rPr>
                <w:rFonts w:ascii="Calibri" w:eastAsia="Times New Roman" w:hAnsi="Calibri" w:cs="Calibri"/>
                <w:b/>
                <w:bCs/>
                <w:sz w:val="20"/>
                <w:szCs w:val="20"/>
                <w:lang w:eastAsia="cs-CZ"/>
              </w:rPr>
              <w:t>Sektor lokálního vytápění domácností</w:t>
            </w:r>
            <w:r w:rsidRPr="00B531E6">
              <w:rPr>
                <w:rFonts w:ascii="Calibri" w:eastAsia="Times New Roman" w:hAnsi="Calibri" w:cs="Calibri"/>
                <w:b/>
                <w:bCs/>
                <w:sz w:val="20"/>
                <w:szCs w:val="20"/>
                <w:lang w:eastAsia="cs-CZ"/>
              </w:rPr>
              <w:br w:type="page"/>
              <w:t>(1A4bi)</w:t>
            </w:r>
          </w:p>
        </w:tc>
        <w:tc>
          <w:tcPr>
            <w:tcW w:w="608" w:type="pct"/>
            <w:tcBorders>
              <w:top w:val="single" w:sz="4" w:space="0" w:color="auto"/>
              <w:left w:val="nil"/>
              <w:bottom w:val="single" w:sz="4" w:space="0" w:color="auto"/>
              <w:right w:val="single" w:sz="4" w:space="0" w:color="auto"/>
            </w:tcBorders>
            <w:shd w:val="clear" w:color="auto" w:fill="F2F2F2"/>
            <w:vAlign w:val="center"/>
            <w:hideMark/>
          </w:tcPr>
          <w:p w14:paraId="7A076871" w14:textId="5AD81EBE" w:rsidR="001E6F02" w:rsidRPr="00B7688A" w:rsidRDefault="001E6F02" w:rsidP="00B7688A">
            <w:pPr>
              <w:jc w:val="center"/>
              <w:rPr>
                <w:rFonts w:ascii="Calibri" w:eastAsia="Times New Roman" w:hAnsi="Calibri" w:cs="Calibri"/>
                <w:b/>
                <w:bCs/>
                <w:sz w:val="20"/>
                <w:szCs w:val="20"/>
                <w:vertAlign w:val="subscript"/>
                <w:lang w:eastAsia="cs-CZ"/>
              </w:rPr>
            </w:pPr>
            <w:r w:rsidRPr="00B531E6">
              <w:rPr>
                <w:rFonts w:ascii="Calibri" w:eastAsia="Times New Roman" w:hAnsi="Calibri" w:cs="Calibri"/>
                <w:b/>
                <w:bCs/>
                <w:sz w:val="20"/>
                <w:szCs w:val="20"/>
                <w:lang w:eastAsia="cs-CZ"/>
              </w:rPr>
              <w:t>N</w:t>
            </w:r>
            <w:r w:rsidR="00E84FA2">
              <w:rPr>
                <w:rFonts w:ascii="Calibri" w:eastAsia="Times New Roman" w:hAnsi="Calibri" w:cs="Calibri"/>
                <w:b/>
                <w:bCs/>
                <w:sz w:val="20"/>
                <w:szCs w:val="20"/>
                <w:lang w:eastAsia="cs-CZ"/>
              </w:rPr>
              <w:t>O</w:t>
            </w:r>
            <w:r w:rsidR="00E84FA2" w:rsidRPr="00E84FA2">
              <w:rPr>
                <w:rFonts w:ascii="Calibri" w:eastAsia="Times New Roman" w:hAnsi="Calibri" w:cs="Calibri"/>
                <w:b/>
                <w:bCs/>
                <w:sz w:val="20"/>
                <w:szCs w:val="20"/>
                <w:vertAlign w:val="subscript"/>
                <w:lang w:eastAsia="cs-CZ"/>
              </w:rPr>
              <w:t>X</w:t>
            </w:r>
            <w:r w:rsidR="00B7688A">
              <w:rPr>
                <w:rFonts w:ascii="Calibri" w:eastAsia="Times New Roman" w:hAnsi="Calibri" w:cs="Calibri"/>
                <w:b/>
                <w:bCs/>
                <w:sz w:val="20"/>
                <w:szCs w:val="20"/>
                <w:lang w:eastAsia="cs-CZ"/>
              </w:rPr>
              <w:t xml:space="preserve"> </w:t>
            </w:r>
            <w:r w:rsidRPr="00B531E6">
              <w:rPr>
                <w:rFonts w:ascii="Calibri" w:eastAsia="Times New Roman" w:hAnsi="Calibri" w:cs="Calibri"/>
                <w:b/>
                <w:bCs/>
                <w:sz w:val="20"/>
                <w:szCs w:val="20"/>
                <w:lang w:eastAsia="cs-CZ"/>
              </w:rPr>
              <w:br w:type="page"/>
              <w:t>(NO</w:t>
            </w:r>
            <w:r w:rsidRPr="00B531E6">
              <w:rPr>
                <w:rFonts w:ascii="Calibri" w:eastAsia="Times New Roman" w:hAnsi="Calibri" w:cs="Calibri"/>
                <w:b/>
                <w:bCs/>
                <w:sz w:val="20"/>
                <w:szCs w:val="20"/>
                <w:vertAlign w:val="subscript"/>
                <w:lang w:eastAsia="cs-CZ"/>
              </w:rPr>
              <w:t>2</w:t>
            </w:r>
            <w:r w:rsidRPr="00B531E6">
              <w:rPr>
                <w:rFonts w:ascii="Calibri" w:eastAsia="Times New Roman" w:hAnsi="Calibri" w:cs="Calibri"/>
                <w:b/>
                <w:bCs/>
                <w:sz w:val="20"/>
                <w:szCs w:val="20"/>
                <w:lang w:eastAsia="cs-CZ"/>
              </w:rPr>
              <w:t>)</w:t>
            </w:r>
          </w:p>
          <w:p w14:paraId="1A0966C0" w14:textId="44E3D78D" w:rsidR="00E84FA2" w:rsidRPr="00B531E6" w:rsidRDefault="00E84FA2" w:rsidP="001E6F02">
            <w:pPr>
              <w:jc w:val="center"/>
              <w:rPr>
                <w:rFonts w:ascii="Calibri" w:eastAsia="Times New Roman" w:hAnsi="Calibri" w:cs="Calibri"/>
                <w:b/>
                <w:bCs/>
                <w:sz w:val="20"/>
                <w:szCs w:val="20"/>
                <w:lang w:eastAsia="cs-CZ"/>
              </w:rPr>
            </w:pPr>
            <w:r w:rsidRPr="00B531E6">
              <w:rPr>
                <w:rFonts w:ascii="Calibri" w:eastAsia="Times New Roman" w:hAnsi="Calibri" w:cs="Calibri"/>
                <w:b/>
                <w:bCs/>
                <w:sz w:val="20"/>
                <w:szCs w:val="20"/>
                <w:lang w:eastAsia="cs-CZ"/>
              </w:rPr>
              <w:t>[</w:t>
            </w:r>
            <w:proofErr w:type="spellStart"/>
            <w:r>
              <w:rPr>
                <w:rFonts w:ascii="Calibri" w:eastAsia="Times New Roman" w:hAnsi="Calibri" w:cs="Calibri"/>
                <w:b/>
                <w:bCs/>
                <w:sz w:val="20"/>
                <w:szCs w:val="20"/>
                <w:lang w:eastAsia="cs-CZ"/>
              </w:rPr>
              <w:t>k</w:t>
            </w:r>
            <w:r w:rsidRPr="00B531E6">
              <w:rPr>
                <w:rFonts w:ascii="Calibri" w:eastAsia="Times New Roman" w:hAnsi="Calibri" w:cs="Calibri"/>
                <w:b/>
                <w:bCs/>
                <w:sz w:val="20"/>
                <w:szCs w:val="20"/>
                <w:lang w:eastAsia="cs-CZ"/>
              </w:rPr>
              <w:t>t</w:t>
            </w:r>
            <w:proofErr w:type="spellEnd"/>
            <w:r w:rsidRPr="00B531E6">
              <w:rPr>
                <w:rFonts w:ascii="Calibri" w:eastAsia="Times New Roman" w:hAnsi="Calibri" w:cs="Calibri"/>
                <w:b/>
                <w:bCs/>
                <w:sz w:val="20"/>
                <w:szCs w:val="20"/>
                <w:lang w:eastAsia="cs-CZ"/>
              </w:rPr>
              <w:t>/rok]</w:t>
            </w:r>
          </w:p>
        </w:tc>
        <w:tc>
          <w:tcPr>
            <w:tcW w:w="625" w:type="pct"/>
            <w:tcBorders>
              <w:top w:val="single" w:sz="4" w:space="0" w:color="auto"/>
              <w:left w:val="nil"/>
              <w:bottom w:val="single" w:sz="4" w:space="0" w:color="auto"/>
              <w:right w:val="single" w:sz="4" w:space="0" w:color="auto"/>
            </w:tcBorders>
            <w:shd w:val="clear" w:color="auto" w:fill="F2F2F2"/>
            <w:vAlign w:val="center"/>
            <w:hideMark/>
          </w:tcPr>
          <w:p w14:paraId="381266F7" w14:textId="760D6A42" w:rsidR="001E6F02" w:rsidRDefault="00E84FA2" w:rsidP="001E6F02">
            <w:pPr>
              <w:jc w:val="center"/>
              <w:rPr>
                <w:rFonts w:ascii="Calibri" w:eastAsia="Times New Roman" w:hAnsi="Calibri" w:cs="Calibri"/>
                <w:b/>
                <w:bCs/>
                <w:sz w:val="20"/>
                <w:szCs w:val="20"/>
                <w:lang w:eastAsia="cs-CZ"/>
              </w:rPr>
            </w:pPr>
            <w:r>
              <w:rPr>
                <w:rFonts w:ascii="Calibri" w:eastAsia="Times New Roman" w:hAnsi="Calibri" w:cs="Calibri"/>
                <w:b/>
                <w:bCs/>
                <w:sz w:val="20"/>
                <w:szCs w:val="20"/>
                <w:lang w:eastAsia="cs-CZ"/>
              </w:rPr>
              <w:t>NM</w:t>
            </w:r>
            <w:r w:rsidR="001E6F02" w:rsidRPr="00B531E6">
              <w:rPr>
                <w:rFonts w:ascii="Calibri" w:eastAsia="Times New Roman" w:hAnsi="Calibri" w:cs="Calibri"/>
                <w:b/>
                <w:bCs/>
                <w:sz w:val="20"/>
                <w:szCs w:val="20"/>
                <w:lang w:eastAsia="cs-CZ"/>
              </w:rPr>
              <w:t>VOC</w:t>
            </w:r>
          </w:p>
          <w:p w14:paraId="75B7A651" w14:textId="3504DAA3" w:rsidR="00E84FA2" w:rsidRPr="00B531E6" w:rsidRDefault="00E84FA2" w:rsidP="001E6F02">
            <w:pPr>
              <w:jc w:val="center"/>
              <w:rPr>
                <w:rFonts w:ascii="Calibri" w:eastAsia="Times New Roman" w:hAnsi="Calibri" w:cs="Calibri"/>
                <w:b/>
                <w:bCs/>
                <w:sz w:val="20"/>
                <w:szCs w:val="20"/>
                <w:lang w:eastAsia="cs-CZ"/>
              </w:rPr>
            </w:pPr>
            <w:r w:rsidRPr="00B531E6">
              <w:rPr>
                <w:rFonts w:ascii="Calibri" w:eastAsia="Times New Roman" w:hAnsi="Calibri" w:cs="Calibri"/>
                <w:b/>
                <w:bCs/>
                <w:sz w:val="20"/>
                <w:szCs w:val="20"/>
                <w:lang w:eastAsia="cs-CZ"/>
              </w:rPr>
              <w:t>[</w:t>
            </w:r>
            <w:proofErr w:type="spellStart"/>
            <w:r>
              <w:rPr>
                <w:rFonts w:ascii="Calibri" w:eastAsia="Times New Roman" w:hAnsi="Calibri" w:cs="Calibri"/>
                <w:b/>
                <w:bCs/>
                <w:sz w:val="20"/>
                <w:szCs w:val="20"/>
                <w:lang w:eastAsia="cs-CZ"/>
              </w:rPr>
              <w:t>k</w:t>
            </w:r>
            <w:r w:rsidRPr="00B531E6">
              <w:rPr>
                <w:rFonts w:ascii="Calibri" w:eastAsia="Times New Roman" w:hAnsi="Calibri" w:cs="Calibri"/>
                <w:b/>
                <w:bCs/>
                <w:sz w:val="20"/>
                <w:szCs w:val="20"/>
                <w:lang w:eastAsia="cs-CZ"/>
              </w:rPr>
              <w:t>t</w:t>
            </w:r>
            <w:proofErr w:type="spellEnd"/>
            <w:r w:rsidRPr="00B531E6">
              <w:rPr>
                <w:rFonts w:ascii="Calibri" w:eastAsia="Times New Roman" w:hAnsi="Calibri" w:cs="Calibri"/>
                <w:b/>
                <w:bCs/>
                <w:sz w:val="20"/>
                <w:szCs w:val="20"/>
                <w:lang w:eastAsia="cs-CZ"/>
              </w:rPr>
              <w:t>/rok]</w:t>
            </w:r>
          </w:p>
        </w:tc>
        <w:tc>
          <w:tcPr>
            <w:tcW w:w="593" w:type="pct"/>
            <w:tcBorders>
              <w:top w:val="single" w:sz="4" w:space="0" w:color="auto"/>
              <w:left w:val="nil"/>
              <w:bottom w:val="single" w:sz="4" w:space="0" w:color="auto"/>
              <w:right w:val="single" w:sz="4" w:space="0" w:color="auto"/>
            </w:tcBorders>
            <w:shd w:val="clear" w:color="auto" w:fill="F2F2F2"/>
            <w:vAlign w:val="center"/>
            <w:hideMark/>
          </w:tcPr>
          <w:p w14:paraId="5A60D137" w14:textId="57DE22E6" w:rsidR="001E6F02" w:rsidRDefault="001E6F02" w:rsidP="001E6F02">
            <w:pPr>
              <w:jc w:val="center"/>
              <w:rPr>
                <w:rFonts w:ascii="Calibri" w:eastAsia="Times New Roman" w:hAnsi="Calibri" w:cs="Calibri"/>
                <w:b/>
                <w:bCs/>
                <w:sz w:val="20"/>
                <w:szCs w:val="20"/>
                <w:lang w:eastAsia="cs-CZ"/>
              </w:rPr>
            </w:pPr>
            <w:r w:rsidRPr="00B531E6">
              <w:rPr>
                <w:rFonts w:ascii="Calibri" w:eastAsia="Times New Roman" w:hAnsi="Calibri" w:cs="Calibri"/>
                <w:b/>
                <w:bCs/>
                <w:sz w:val="20"/>
                <w:szCs w:val="20"/>
                <w:lang w:eastAsia="cs-CZ"/>
              </w:rPr>
              <w:t>SO</w:t>
            </w:r>
            <w:r w:rsidR="00E84FA2" w:rsidRPr="00E84FA2">
              <w:rPr>
                <w:rFonts w:ascii="Calibri" w:eastAsia="Times New Roman" w:hAnsi="Calibri" w:cs="Calibri"/>
                <w:b/>
                <w:bCs/>
                <w:sz w:val="20"/>
                <w:szCs w:val="20"/>
                <w:vertAlign w:val="subscript"/>
                <w:lang w:eastAsia="cs-CZ"/>
              </w:rPr>
              <w:t>X</w:t>
            </w:r>
            <w:r w:rsidRPr="00B531E6">
              <w:rPr>
                <w:rFonts w:ascii="Calibri" w:eastAsia="Times New Roman" w:hAnsi="Calibri" w:cs="Calibri"/>
                <w:b/>
                <w:bCs/>
                <w:sz w:val="20"/>
                <w:szCs w:val="20"/>
                <w:lang w:eastAsia="cs-CZ"/>
              </w:rPr>
              <w:t xml:space="preserve"> </w:t>
            </w:r>
            <w:r w:rsidRPr="00B531E6">
              <w:rPr>
                <w:rFonts w:ascii="Calibri" w:eastAsia="Times New Roman" w:hAnsi="Calibri" w:cs="Calibri"/>
                <w:b/>
                <w:bCs/>
                <w:sz w:val="20"/>
                <w:szCs w:val="20"/>
                <w:lang w:eastAsia="cs-CZ"/>
              </w:rPr>
              <w:br w:type="page"/>
              <w:t>(SO</w:t>
            </w:r>
            <w:r w:rsidRPr="00B531E6">
              <w:rPr>
                <w:rFonts w:ascii="Calibri" w:eastAsia="Times New Roman" w:hAnsi="Calibri" w:cs="Calibri"/>
                <w:b/>
                <w:bCs/>
                <w:sz w:val="20"/>
                <w:szCs w:val="20"/>
                <w:vertAlign w:val="subscript"/>
                <w:lang w:eastAsia="cs-CZ"/>
              </w:rPr>
              <w:t>2</w:t>
            </w:r>
            <w:r w:rsidRPr="00B531E6">
              <w:rPr>
                <w:rFonts w:ascii="Calibri" w:eastAsia="Times New Roman" w:hAnsi="Calibri" w:cs="Calibri"/>
                <w:b/>
                <w:bCs/>
                <w:sz w:val="20"/>
                <w:szCs w:val="20"/>
                <w:lang w:eastAsia="cs-CZ"/>
              </w:rPr>
              <w:t>)</w:t>
            </w:r>
          </w:p>
          <w:p w14:paraId="21747813" w14:textId="4F4717A0" w:rsidR="00E84FA2" w:rsidRPr="00B531E6" w:rsidRDefault="00E84FA2" w:rsidP="001E6F02">
            <w:pPr>
              <w:jc w:val="center"/>
              <w:rPr>
                <w:rFonts w:ascii="Calibri" w:eastAsia="Times New Roman" w:hAnsi="Calibri" w:cs="Calibri"/>
                <w:b/>
                <w:bCs/>
                <w:sz w:val="20"/>
                <w:szCs w:val="20"/>
                <w:lang w:eastAsia="cs-CZ"/>
              </w:rPr>
            </w:pPr>
            <w:r w:rsidRPr="00B531E6">
              <w:rPr>
                <w:rFonts w:ascii="Calibri" w:eastAsia="Times New Roman" w:hAnsi="Calibri" w:cs="Calibri"/>
                <w:b/>
                <w:bCs/>
                <w:sz w:val="20"/>
                <w:szCs w:val="20"/>
                <w:lang w:eastAsia="cs-CZ"/>
              </w:rPr>
              <w:t>[</w:t>
            </w:r>
            <w:proofErr w:type="spellStart"/>
            <w:r>
              <w:rPr>
                <w:rFonts w:ascii="Calibri" w:eastAsia="Times New Roman" w:hAnsi="Calibri" w:cs="Calibri"/>
                <w:b/>
                <w:bCs/>
                <w:sz w:val="20"/>
                <w:szCs w:val="20"/>
                <w:lang w:eastAsia="cs-CZ"/>
              </w:rPr>
              <w:t>k</w:t>
            </w:r>
            <w:r w:rsidRPr="00B531E6">
              <w:rPr>
                <w:rFonts w:ascii="Calibri" w:eastAsia="Times New Roman" w:hAnsi="Calibri" w:cs="Calibri"/>
                <w:b/>
                <w:bCs/>
                <w:sz w:val="20"/>
                <w:szCs w:val="20"/>
                <w:lang w:eastAsia="cs-CZ"/>
              </w:rPr>
              <w:t>t</w:t>
            </w:r>
            <w:proofErr w:type="spellEnd"/>
            <w:r w:rsidRPr="00B531E6">
              <w:rPr>
                <w:rFonts w:ascii="Calibri" w:eastAsia="Times New Roman" w:hAnsi="Calibri" w:cs="Calibri"/>
                <w:b/>
                <w:bCs/>
                <w:sz w:val="20"/>
                <w:szCs w:val="20"/>
                <w:lang w:eastAsia="cs-CZ"/>
              </w:rPr>
              <w:t>/rok]</w:t>
            </w:r>
          </w:p>
        </w:tc>
        <w:tc>
          <w:tcPr>
            <w:tcW w:w="561" w:type="pct"/>
            <w:tcBorders>
              <w:top w:val="single" w:sz="4" w:space="0" w:color="auto"/>
              <w:left w:val="nil"/>
              <w:bottom w:val="single" w:sz="4" w:space="0" w:color="auto"/>
              <w:right w:val="single" w:sz="4" w:space="0" w:color="auto"/>
            </w:tcBorders>
            <w:shd w:val="clear" w:color="auto" w:fill="F2F2F2"/>
            <w:vAlign w:val="center"/>
            <w:hideMark/>
          </w:tcPr>
          <w:p w14:paraId="54DE3250" w14:textId="77777777" w:rsidR="001E6F02" w:rsidRDefault="001E6F02" w:rsidP="001E6F02">
            <w:pPr>
              <w:jc w:val="center"/>
              <w:rPr>
                <w:rFonts w:ascii="Calibri" w:eastAsia="Times New Roman" w:hAnsi="Calibri" w:cs="Calibri"/>
                <w:b/>
                <w:bCs/>
                <w:sz w:val="20"/>
                <w:szCs w:val="20"/>
                <w:vertAlign w:val="subscript"/>
                <w:lang w:eastAsia="cs-CZ"/>
              </w:rPr>
            </w:pPr>
            <w:r w:rsidRPr="00B531E6">
              <w:rPr>
                <w:rFonts w:ascii="Calibri" w:eastAsia="Times New Roman" w:hAnsi="Calibri" w:cs="Calibri"/>
                <w:b/>
                <w:bCs/>
                <w:sz w:val="20"/>
                <w:szCs w:val="20"/>
                <w:lang w:eastAsia="cs-CZ"/>
              </w:rPr>
              <w:t>PM</w:t>
            </w:r>
            <w:r w:rsidRPr="00B531E6">
              <w:rPr>
                <w:rFonts w:ascii="Calibri" w:eastAsia="Times New Roman" w:hAnsi="Calibri" w:cs="Calibri"/>
                <w:b/>
                <w:bCs/>
                <w:sz w:val="20"/>
                <w:szCs w:val="20"/>
                <w:vertAlign w:val="subscript"/>
                <w:lang w:eastAsia="cs-CZ"/>
              </w:rPr>
              <w:t>2.5</w:t>
            </w:r>
          </w:p>
          <w:p w14:paraId="0C2F341E" w14:textId="6B3D0698" w:rsidR="00E84FA2" w:rsidRPr="00B531E6" w:rsidRDefault="00E84FA2" w:rsidP="001E6F02">
            <w:pPr>
              <w:jc w:val="center"/>
              <w:rPr>
                <w:rFonts w:ascii="Calibri" w:eastAsia="Times New Roman" w:hAnsi="Calibri" w:cs="Calibri"/>
                <w:b/>
                <w:bCs/>
                <w:sz w:val="20"/>
                <w:szCs w:val="20"/>
                <w:lang w:eastAsia="cs-CZ"/>
              </w:rPr>
            </w:pPr>
            <w:r w:rsidRPr="00B531E6">
              <w:rPr>
                <w:rFonts w:ascii="Calibri" w:eastAsia="Times New Roman" w:hAnsi="Calibri" w:cs="Calibri"/>
                <w:b/>
                <w:bCs/>
                <w:sz w:val="20"/>
                <w:szCs w:val="20"/>
                <w:lang w:eastAsia="cs-CZ"/>
              </w:rPr>
              <w:t>[</w:t>
            </w:r>
            <w:proofErr w:type="spellStart"/>
            <w:r>
              <w:rPr>
                <w:rFonts w:ascii="Calibri" w:eastAsia="Times New Roman" w:hAnsi="Calibri" w:cs="Calibri"/>
                <w:b/>
                <w:bCs/>
                <w:sz w:val="20"/>
                <w:szCs w:val="20"/>
                <w:lang w:eastAsia="cs-CZ"/>
              </w:rPr>
              <w:t>k</w:t>
            </w:r>
            <w:r w:rsidRPr="00B531E6">
              <w:rPr>
                <w:rFonts w:ascii="Calibri" w:eastAsia="Times New Roman" w:hAnsi="Calibri" w:cs="Calibri"/>
                <w:b/>
                <w:bCs/>
                <w:sz w:val="20"/>
                <w:szCs w:val="20"/>
                <w:lang w:eastAsia="cs-CZ"/>
              </w:rPr>
              <w:t>t</w:t>
            </w:r>
            <w:proofErr w:type="spellEnd"/>
            <w:r w:rsidRPr="00B531E6">
              <w:rPr>
                <w:rFonts w:ascii="Calibri" w:eastAsia="Times New Roman" w:hAnsi="Calibri" w:cs="Calibri"/>
                <w:b/>
                <w:bCs/>
                <w:sz w:val="20"/>
                <w:szCs w:val="20"/>
                <w:lang w:eastAsia="cs-CZ"/>
              </w:rPr>
              <w:t>/rok]</w:t>
            </w:r>
          </w:p>
        </w:tc>
        <w:tc>
          <w:tcPr>
            <w:tcW w:w="561" w:type="pct"/>
            <w:tcBorders>
              <w:top w:val="single" w:sz="4" w:space="0" w:color="auto"/>
              <w:left w:val="nil"/>
              <w:bottom w:val="single" w:sz="4" w:space="0" w:color="auto"/>
              <w:right w:val="single" w:sz="4" w:space="0" w:color="auto"/>
            </w:tcBorders>
            <w:shd w:val="clear" w:color="auto" w:fill="F2F2F2"/>
            <w:noWrap/>
            <w:vAlign w:val="center"/>
            <w:hideMark/>
          </w:tcPr>
          <w:p w14:paraId="7EA53D15" w14:textId="77777777" w:rsidR="001E6F02" w:rsidRDefault="001E6F02" w:rsidP="001E6F02">
            <w:pPr>
              <w:jc w:val="center"/>
              <w:rPr>
                <w:rFonts w:ascii="Calibri" w:eastAsia="Times New Roman" w:hAnsi="Calibri" w:cs="Calibri"/>
                <w:b/>
                <w:bCs/>
                <w:sz w:val="20"/>
                <w:szCs w:val="20"/>
                <w:vertAlign w:val="subscript"/>
                <w:lang w:eastAsia="cs-CZ"/>
              </w:rPr>
            </w:pPr>
            <w:r w:rsidRPr="00B531E6">
              <w:rPr>
                <w:rFonts w:ascii="Calibri" w:eastAsia="Times New Roman" w:hAnsi="Calibri" w:cs="Calibri"/>
                <w:b/>
                <w:bCs/>
                <w:sz w:val="20"/>
                <w:szCs w:val="20"/>
                <w:lang w:eastAsia="cs-CZ"/>
              </w:rPr>
              <w:t>PM</w:t>
            </w:r>
            <w:r w:rsidRPr="00B531E6">
              <w:rPr>
                <w:rFonts w:ascii="Calibri" w:eastAsia="Times New Roman" w:hAnsi="Calibri" w:cs="Calibri"/>
                <w:b/>
                <w:bCs/>
                <w:sz w:val="20"/>
                <w:szCs w:val="20"/>
                <w:vertAlign w:val="subscript"/>
                <w:lang w:eastAsia="cs-CZ"/>
              </w:rPr>
              <w:t>10</w:t>
            </w:r>
          </w:p>
          <w:p w14:paraId="09EF13C1" w14:textId="24254744" w:rsidR="00E84FA2" w:rsidRPr="00B531E6" w:rsidRDefault="00E84FA2" w:rsidP="001E6F02">
            <w:pPr>
              <w:jc w:val="center"/>
              <w:rPr>
                <w:rFonts w:ascii="Calibri" w:eastAsia="Times New Roman" w:hAnsi="Calibri" w:cs="Calibri"/>
                <w:b/>
                <w:bCs/>
                <w:sz w:val="20"/>
                <w:szCs w:val="20"/>
                <w:lang w:eastAsia="cs-CZ"/>
              </w:rPr>
            </w:pPr>
            <w:r w:rsidRPr="00B531E6">
              <w:rPr>
                <w:rFonts w:ascii="Calibri" w:eastAsia="Times New Roman" w:hAnsi="Calibri" w:cs="Calibri"/>
                <w:b/>
                <w:bCs/>
                <w:sz w:val="20"/>
                <w:szCs w:val="20"/>
                <w:lang w:eastAsia="cs-CZ"/>
              </w:rPr>
              <w:t>[</w:t>
            </w:r>
            <w:proofErr w:type="spellStart"/>
            <w:r>
              <w:rPr>
                <w:rFonts w:ascii="Calibri" w:eastAsia="Times New Roman" w:hAnsi="Calibri" w:cs="Calibri"/>
                <w:b/>
                <w:bCs/>
                <w:sz w:val="20"/>
                <w:szCs w:val="20"/>
                <w:lang w:eastAsia="cs-CZ"/>
              </w:rPr>
              <w:t>k</w:t>
            </w:r>
            <w:r w:rsidRPr="00B531E6">
              <w:rPr>
                <w:rFonts w:ascii="Calibri" w:eastAsia="Times New Roman" w:hAnsi="Calibri" w:cs="Calibri"/>
                <w:b/>
                <w:bCs/>
                <w:sz w:val="20"/>
                <w:szCs w:val="20"/>
                <w:lang w:eastAsia="cs-CZ"/>
              </w:rPr>
              <w:t>t</w:t>
            </w:r>
            <w:proofErr w:type="spellEnd"/>
            <w:r w:rsidRPr="00B531E6">
              <w:rPr>
                <w:rFonts w:ascii="Calibri" w:eastAsia="Times New Roman" w:hAnsi="Calibri" w:cs="Calibri"/>
                <w:b/>
                <w:bCs/>
                <w:sz w:val="20"/>
                <w:szCs w:val="20"/>
                <w:lang w:eastAsia="cs-CZ"/>
              </w:rPr>
              <w:t>/rok]</w:t>
            </w:r>
          </w:p>
        </w:tc>
        <w:tc>
          <w:tcPr>
            <w:tcW w:w="493" w:type="pct"/>
            <w:tcBorders>
              <w:top w:val="single" w:sz="4" w:space="0" w:color="auto"/>
              <w:left w:val="nil"/>
              <w:bottom w:val="single" w:sz="4" w:space="0" w:color="auto"/>
              <w:right w:val="single" w:sz="4" w:space="0" w:color="auto"/>
            </w:tcBorders>
            <w:shd w:val="clear" w:color="auto" w:fill="F2F2F2"/>
            <w:vAlign w:val="center"/>
            <w:hideMark/>
          </w:tcPr>
          <w:p w14:paraId="193F74FA" w14:textId="0C340964" w:rsidR="006956E3" w:rsidRDefault="00A32942" w:rsidP="001E6F02">
            <w:pPr>
              <w:jc w:val="center"/>
              <w:rPr>
                <w:rFonts w:ascii="Calibri" w:eastAsia="Times New Roman" w:hAnsi="Calibri" w:cs="Calibri"/>
                <w:b/>
                <w:bCs/>
                <w:sz w:val="20"/>
                <w:szCs w:val="20"/>
                <w:lang w:eastAsia="cs-CZ"/>
              </w:rPr>
            </w:pPr>
            <w:r>
              <w:rPr>
                <w:rFonts w:ascii="Calibri" w:eastAsia="Times New Roman" w:hAnsi="Calibri" w:cs="Calibri"/>
                <w:b/>
                <w:bCs/>
                <w:sz w:val="20"/>
                <w:szCs w:val="20"/>
                <w:lang w:eastAsia="cs-CZ"/>
              </w:rPr>
              <w:t>B(a)P</w:t>
            </w:r>
          </w:p>
          <w:p w14:paraId="33D59713" w14:textId="687CDD37" w:rsidR="001E6F02" w:rsidRPr="00B531E6" w:rsidRDefault="001E6F02" w:rsidP="001E6F02">
            <w:pPr>
              <w:jc w:val="center"/>
              <w:rPr>
                <w:rFonts w:ascii="Calibri" w:eastAsia="Times New Roman" w:hAnsi="Calibri" w:cs="Calibri"/>
                <w:b/>
                <w:bCs/>
                <w:sz w:val="20"/>
                <w:szCs w:val="20"/>
                <w:lang w:eastAsia="cs-CZ"/>
              </w:rPr>
            </w:pPr>
            <w:r w:rsidRPr="00B531E6">
              <w:rPr>
                <w:rFonts w:ascii="Calibri" w:eastAsia="Times New Roman" w:hAnsi="Calibri" w:cs="Calibri"/>
                <w:b/>
                <w:bCs/>
                <w:sz w:val="20"/>
                <w:szCs w:val="20"/>
                <w:lang w:eastAsia="cs-CZ"/>
              </w:rPr>
              <w:br w:type="page"/>
              <w:t>[t/rok]</w:t>
            </w:r>
          </w:p>
        </w:tc>
      </w:tr>
      <w:tr w:rsidR="00B7688A" w:rsidRPr="00B531E6" w14:paraId="636F9B65" w14:textId="77777777" w:rsidTr="00B7688A">
        <w:trPr>
          <w:trHeight w:val="20"/>
          <w:jc w:val="center"/>
        </w:trPr>
        <w:tc>
          <w:tcPr>
            <w:tcW w:w="1561" w:type="pct"/>
            <w:tcBorders>
              <w:top w:val="nil"/>
              <w:left w:val="single" w:sz="4" w:space="0" w:color="auto"/>
              <w:bottom w:val="single" w:sz="4" w:space="0" w:color="auto"/>
              <w:right w:val="single" w:sz="4" w:space="0" w:color="auto"/>
            </w:tcBorders>
            <w:shd w:val="clear" w:color="auto" w:fill="auto"/>
            <w:vAlign w:val="center"/>
            <w:hideMark/>
          </w:tcPr>
          <w:p w14:paraId="4F04B461" w14:textId="50C27A76" w:rsidR="001E6F02" w:rsidRPr="00B531E6" w:rsidRDefault="001E6F02" w:rsidP="001E6F02">
            <w:pPr>
              <w:rPr>
                <w:rFonts w:ascii="Calibri" w:eastAsia="Times New Roman" w:hAnsi="Calibri" w:cs="Calibri"/>
                <w:sz w:val="20"/>
                <w:szCs w:val="20"/>
                <w:lang w:eastAsia="cs-CZ"/>
              </w:rPr>
            </w:pPr>
            <w:r w:rsidRPr="00B531E6">
              <w:rPr>
                <w:rFonts w:ascii="Calibri" w:eastAsia="Times New Roman" w:hAnsi="Calibri" w:cs="Calibri"/>
                <w:sz w:val="20"/>
                <w:szCs w:val="20"/>
                <w:lang w:eastAsia="cs-CZ"/>
              </w:rPr>
              <w:t xml:space="preserve">Projekty </w:t>
            </w:r>
            <w:r w:rsidR="00B531E6">
              <w:rPr>
                <w:rFonts w:ascii="Calibri" w:eastAsia="Times New Roman" w:hAnsi="Calibri" w:cs="Calibri"/>
                <w:sz w:val="20"/>
                <w:szCs w:val="20"/>
                <w:lang w:eastAsia="cs-CZ"/>
              </w:rPr>
              <w:t>–</w:t>
            </w:r>
            <w:r w:rsidRPr="00B531E6">
              <w:rPr>
                <w:rFonts w:ascii="Calibri" w:eastAsia="Times New Roman" w:hAnsi="Calibri" w:cs="Calibri"/>
                <w:sz w:val="20"/>
                <w:szCs w:val="20"/>
                <w:lang w:eastAsia="cs-CZ"/>
              </w:rPr>
              <w:t xml:space="preserve"> </w:t>
            </w:r>
            <w:r w:rsidR="002E6234">
              <w:rPr>
                <w:rFonts w:ascii="Calibri" w:eastAsia="Times New Roman" w:hAnsi="Calibri" w:cs="Calibri"/>
                <w:sz w:val="20"/>
                <w:szCs w:val="20"/>
                <w:lang w:eastAsia="cs-CZ"/>
              </w:rPr>
              <w:t>d</w:t>
            </w:r>
            <w:r w:rsidRPr="00B531E6">
              <w:rPr>
                <w:rFonts w:ascii="Calibri" w:eastAsia="Times New Roman" w:hAnsi="Calibri" w:cs="Calibri"/>
                <w:sz w:val="20"/>
                <w:szCs w:val="20"/>
                <w:lang w:eastAsia="cs-CZ"/>
              </w:rPr>
              <w:t>osažené roční snížení emisí znečišťujících látek</w:t>
            </w:r>
            <w:r w:rsidR="007171DA" w:rsidRPr="005F5DE1">
              <w:rPr>
                <w:rFonts w:ascii="Calibri" w:eastAsia="Times New Roman" w:hAnsi="Calibri" w:cs="Calibri"/>
                <w:b/>
                <w:sz w:val="20"/>
                <w:szCs w:val="20"/>
                <w:vertAlign w:val="superscript"/>
                <w:lang w:eastAsia="cs-CZ"/>
              </w:rPr>
              <w:t>1</w:t>
            </w:r>
          </w:p>
        </w:tc>
        <w:tc>
          <w:tcPr>
            <w:tcW w:w="608" w:type="pct"/>
            <w:tcBorders>
              <w:top w:val="nil"/>
              <w:left w:val="nil"/>
              <w:bottom w:val="single" w:sz="4" w:space="0" w:color="auto"/>
              <w:right w:val="single" w:sz="4" w:space="0" w:color="auto"/>
            </w:tcBorders>
            <w:shd w:val="clear" w:color="auto" w:fill="auto"/>
            <w:noWrap/>
            <w:vAlign w:val="center"/>
            <w:hideMark/>
          </w:tcPr>
          <w:p w14:paraId="0288C129" w14:textId="4FE0D682" w:rsidR="001E6F02" w:rsidRPr="000A388A" w:rsidRDefault="002E6234" w:rsidP="00B7688A">
            <w:pPr>
              <w:ind w:right="57"/>
              <w:jc w:val="right"/>
              <w:rPr>
                <w:rFonts w:ascii="Calibri" w:eastAsia="Times New Roman" w:hAnsi="Calibri" w:cs="Calibri"/>
                <w:sz w:val="20"/>
                <w:szCs w:val="20"/>
                <w:lang w:eastAsia="cs-CZ"/>
              </w:rPr>
            </w:pPr>
            <w:r>
              <w:rPr>
                <w:rFonts w:ascii="Calibri" w:eastAsia="Times New Roman" w:hAnsi="Calibri" w:cs="Calibri"/>
                <w:sz w:val="20"/>
                <w:szCs w:val="20"/>
                <w:lang w:eastAsia="cs-CZ"/>
              </w:rPr>
              <w:t>−</w:t>
            </w:r>
            <w:r w:rsidR="001E6F02" w:rsidRPr="000A388A">
              <w:rPr>
                <w:rFonts w:ascii="Calibri" w:eastAsia="Times New Roman" w:hAnsi="Calibri" w:cs="Calibri"/>
                <w:sz w:val="20"/>
                <w:szCs w:val="20"/>
                <w:lang w:eastAsia="cs-CZ"/>
              </w:rPr>
              <w:t>68,50</w:t>
            </w:r>
          </w:p>
        </w:tc>
        <w:tc>
          <w:tcPr>
            <w:tcW w:w="625" w:type="pct"/>
            <w:tcBorders>
              <w:top w:val="nil"/>
              <w:left w:val="nil"/>
              <w:bottom w:val="single" w:sz="4" w:space="0" w:color="auto"/>
              <w:right w:val="single" w:sz="4" w:space="0" w:color="auto"/>
            </w:tcBorders>
            <w:shd w:val="clear" w:color="auto" w:fill="auto"/>
            <w:noWrap/>
            <w:vAlign w:val="center"/>
            <w:hideMark/>
          </w:tcPr>
          <w:p w14:paraId="53670627" w14:textId="77777777"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8 225,00</w:t>
            </w:r>
          </w:p>
        </w:tc>
        <w:tc>
          <w:tcPr>
            <w:tcW w:w="593" w:type="pct"/>
            <w:tcBorders>
              <w:top w:val="nil"/>
              <w:left w:val="nil"/>
              <w:bottom w:val="single" w:sz="4" w:space="0" w:color="auto"/>
              <w:right w:val="single" w:sz="4" w:space="0" w:color="auto"/>
            </w:tcBorders>
            <w:shd w:val="clear" w:color="auto" w:fill="auto"/>
            <w:noWrap/>
            <w:vAlign w:val="center"/>
            <w:hideMark/>
          </w:tcPr>
          <w:p w14:paraId="3263F238" w14:textId="77777777"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2 104,30</w:t>
            </w:r>
          </w:p>
        </w:tc>
        <w:tc>
          <w:tcPr>
            <w:tcW w:w="561" w:type="pct"/>
            <w:tcBorders>
              <w:top w:val="nil"/>
              <w:left w:val="nil"/>
              <w:bottom w:val="single" w:sz="4" w:space="0" w:color="auto"/>
              <w:right w:val="single" w:sz="4" w:space="0" w:color="auto"/>
            </w:tcBorders>
            <w:shd w:val="clear" w:color="auto" w:fill="auto"/>
            <w:noWrap/>
            <w:vAlign w:val="center"/>
            <w:hideMark/>
          </w:tcPr>
          <w:p w14:paraId="3F5015FA" w14:textId="77777777"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3 802,97</w:t>
            </w:r>
          </w:p>
        </w:tc>
        <w:tc>
          <w:tcPr>
            <w:tcW w:w="561" w:type="pct"/>
            <w:tcBorders>
              <w:top w:val="nil"/>
              <w:left w:val="nil"/>
              <w:bottom w:val="single" w:sz="4" w:space="0" w:color="auto"/>
              <w:right w:val="single" w:sz="4" w:space="0" w:color="auto"/>
            </w:tcBorders>
            <w:shd w:val="clear" w:color="auto" w:fill="auto"/>
            <w:noWrap/>
            <w:vAlign w:val="center"/>
            <w:hideMark/>
          </w:tcPr>
          <w:p w14:paraId="7E67E42B" w14:textId="77777777"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3 921,04</w:t>
            </w:r>
          </w:p>
        </w:tc>
        <w:tc>
          <w:tcPr>
            <w:tcW w:w="493" w:type="pct"/>
            <w:tcBorders>
              <w:top w:val="nil"/>
              <w:left w:val="nil"/>
              <w:bottom w:val="single" w:sz="4" w:space="0" w:color="auto"/>
              <w:right w:val="single" w:sz="4" w:space="0" w:color="auto"/>
            </w:tcBorders>
            <w:shd w:val="clear" w:color="auto" w:fill="auto"/>
            <w:noWrap/>
            <w:vAlign w:val="center"/>
            <w:hideMark/>
          </w:tcPr>
          <w:p w14:paraId="72A94958" w14:textId="77777777"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2,30</w:t>
            </w:r>
          </w:p>
        </w:tc>
      </w:tr>
      <w:tr w:rsidR="00B7688A" w:rsidRPr="00B531E6" w14:paraId="16AFCE92" w14:textId="77777777" w:rsidTr="00B7688A">
        <w:trPr>
          <w:trHeight w:val="20"/>
          <w:jc w:val="center"/>
        </w:trPr>
        <w:tc>
          <w:tcPr>
            <w:tcW w:w="1561" w:type="pct"/>
            <w:tcBorders>
              <w:top w:val="nil"/>
              <w:left w:val="single" w:sz="4" w:space="0" w:color="auto"/>
              <w:bottom w:val="single" w:sz="4" w:space="0" w:color="auto"/>
              <w:right w:val="single" w:sz="4" w:space="0" w:color="auto"/>
            </w:tcBorders>
            <w:shd w:val="clear" w:color="auto" w:fill="auto"/>
            <w:noWrap/>
            <w:vAlign w:val="center"/>
            <w:hideMark/>
          </w:tcPr>
          <w:p w14:paraId="4BA95738" w14:textId="6333FAB1" w:rsidR="001E6F02" w:rsidRPr="00B531E6" w:rsidRDefault="001E6F02" w:rsidP="001E6F02">
            <w:pPr>
              <w:rPr>
                <w:rFonts w:ascii="Calibri" w:eastAsia="Times New Roman" w:hAnsi="Calibri" w:cs="Calibri"/>
                <w:sz w:val="20"/>
                <w:szCs w:val="20"/>
                <w:lang w:eastAsia="cs-CZ"/>
              </w:rPr>
            </w:pPr>
            <w:r w:rsidRPr="00B531E6">
              <w:rPr>
                <w:rFonts w:ascii="Calibri" w:eastAsia="Times New Roman" w:hAnsi="Calibri" w:cs="Calibri"/>
                <w:sz w:val="20"/>
                <w:szCs w:val="20"/>
                <w:lang w:eastAsia="cs-CZ"/>
              </w:rPr>
              <w:t>Roční emise 2014</w:t>
            </w:r>
            <w:r w:rsidR="005F5DE1" w:rsidRPr="005F5DE1">
              <w:rPr>
                <w:rFonts w:ascii="Calibri" w:eastAsia="Times New Roman" w:hAnsi="Calibri" w:cs="Calibri"/>
                <w:b/>
                <w:sz w:val="20"/>
                <w:szCs w:val="20"/>
                <w:vertAlign w:val="superscript"/>
                <w:lang w:eastAsia="cs-CZ"/>
              </w:rPr>
              <w:t>2</w:t>
            </w:r>
          </w:p>
        </w:tc>
        <w:tc>
          <w:tcPr>
            <w:tcW w:w="608" w:type="pct"/>
            <w:tcBorders>
              <w:top w:val="nil"/>
              <w:left w:val="nil"/>
              <w:bottom w:val="single" w:sz="4" w:space="0" w:color="auto"/>
              <w:right w:val="single" w:sz="4" w:space="0" w:color="auto"/>
            </w:tcBorders>
            <w:shd w:val="clear" w:color="auto" w:fill="auto"/>
            <w:noWrap/>
            <w:vAlign w:val="center"/>
            <w:hideMark/>
          </w:tcPr>
          <w:p w14:paraId="3A83DDE7" w14:textId="77777777"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10 162,77</w:t>
            </w:r>
          </w:p>
        </w:tc>
        <w:tc>
          <w:tcPr>
            <w:tcW w:w="625" w:type="pct"/>
            <w:tcBorders>
              <w:top w:val="nil"/>
              <w:left w:val="nil"/>
              <w:bottom w:val="single" w:sz="4" w:space="0" w:color="auto"/>
              <w:right w:val="single" w:sz="4" w:space="0" w:color="auto"/>
            </w:tcBorders>
            <w:shd w:val="clear" w:color="auto" w:fill="auto"/>
            <w:noWrap/>
            <w:vAlign w:val="center"/>
            <w:hideMark/>
          </w:tcPr>
          <w:p w14:paraId="6FE4C999" w14:textId="77777777"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196 596,87</w:t>
            </w:r>
          </w:p>
        </w:tc>
        <w:tc>
          <w:tcPr>
            <w:tcW w:w="593" w:type="pct"/>
            <w:tcBorders>
              <w:top w:val="nil"/>
              <w:left w:val="nil"/>
              <w:bottom w:val="single" w:sz="4" w:space="0" w:color="auto"/>
              <w:right w:val="single" w:sz="4" w:space="0" w:color="auto"/>
            </w:tcBorders>
            <w:shd w:val="clear" w:color="auto" w:fill="auto"/>
            <w:noWrap/>
            <w:vAlign w:val="center"/>
            <w:hideMark/>
          </w:tcPr>
          <w:p w14:paraId="3716D4E4" w14:textId="77777777"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19 311,57</w:t>
            </w:r>
          </w:p>
        </w:tc>
        <w:tc>
          <w:tcPr>
            <w:tcW w:w="561" w:type="pct"/>
            <w:tcBorders>
              <w:top w:val="nil"/>
              <w:left w:val="nil"/>
              <w:bottom w:val="single" w:sz="4" w:space="0" w:color="auto"/>
              <w:right w:val="single" w:sz="4" w:space="0" w:color="auto"/>
            </w:tcBorders>
            <w:shd w:val="clear" w:color="auto" w:fill="auto"/>
            <w:noWrap/>
            <w:vAlign w:val="center"/>
            <w:hideMark/>
          </w:tcPr>
          <w:p w14:paraId="01F1EE4C" w14:textId="77777777"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66 722,64</w:t>
            </w:r>
          </w:p>
        </w:tc>
        <w:tc>
          <w:tcPr>
            <w:tcW w:w="561" w:type="pct"/>
            <w:tcBorders>
              <w:top w:val="nil"/>
              <w:left w:val="nil"/>
              <w:bottom w:val="single" w:sz="4" w:space="0" w:color="auto"/>
              <w:right w:val="single" w:sz="4" w:space="0" w:color="auto"/>
            </w:tcBorders>
            <w:shd w:val="clear" w:color="auto" w:fill="auto"/>
            <w:noWrap/>
            <w:vAlign w:val="center"/>
            <w:hideMark/>
          </w:tcPr>
          <w:p w14:paraId="394F8751" w14:textId="77777777"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68 085,59</w:t>
            </w:r>
          </w:p>
        </w:tc>
        <w:tc>
          <w:tcPr>
            <w:tcW w:w="493" w:type="pct"/>
            <w:tcBorders>
              <w:top w:val="nil"/>
              <w:left w:val="nil"/>
              <w:bottom w:val="single" w:sz="4" w:space="0" w:color="auto"/>
              <w:right w:val="single" w:sz="4" w:space="0" w:color="auto"/>
            </w:tcBorders>
            <w:shd w:val="clear" w:color="auto" w:fill="auto"/>
            <w:noWrap/>
            <w:vAlign w:val="center"/>
            <w:hideMark/>
          </w:tcPr>
          <w:p w14:paraId="3B0700A0" w14:textId="77777777"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19,61</w:t>
            </w:r>
          </w:p>
        </w:tc>
      </w:tr>
      <w:tr w:rsidR="00B7688A" w:rsidRPr="00B531E6" w14:paraId="4A6B873C" w14:textId="77777777" w:rsidTr="00B7688A">
        <w:trPr>
          <w:trHeight w:val="20"/>
          <w:jc w:val="center"/>
        </w:trPr>
        <w:tc>
          <w:tcPr>
            <w:tcW w:w="1561" w:type="pct"/>
            <w:tcBorders>
              <w:top w:val="nil"/>
              <w:left w:val="single" w:sz="4" w:space="0" w:color="auto"/>
              <w:bottom w:val="single" w:sz="4" w:space="0" w:color="auto"/>
              <w:right w:val="single" w:sz="4" w:space="0" w:color="auto"/>
            </w:tcBorders>
            <w:shd w:val="clear" w:color="auto" w:fill="auto"/>
            <w:noWrap/>
            <w:vAlign w:val="center"/>
            <w:hideMark/>
          </w:tcPr>
          <w:p w14:paraId="719485B6" w14:textId="2D8353C9" w:rsidR="001E6F02" w:rsidRPr="00B531E6" w:rsidRDefault="001E6F02" w:rsidP="001E6F02">
            <w:pPr>
              <w:rPr>
                <w:rFonts w:ascii="Calibri" w:eastAsia="Times New Roman" w:hAnsi="Calibri" w:cs="Calibri"/>
                <w:sz w:val="20"/>
                <w:szCs w:val="20"/>
                <w:lang w:eastAsia="cs-CZ"/>
              </w:rPr>
            </w:pPr>
            <w:r w:rsidRPr="00B531E6">
              <w:rPr>
                <w:rFonts w:ascii="Calibri" w:eastAsia="Times New Roman" w:hAnsi="Calibri" w:cs="Calibri"/>
                <w:sz w:val="20"/>
                <w:szCs w:val="20"/>
                <w:lang w:eastAsia="cs-CZ"/>
              </w:rPr>
              <w:t>Roční emise 202</w:t>
            </w:r>
            <w:r w:rsidR="00B1613D">
              <w:rPr>
                <w:rFonts w:ascii="Calibri" w:eastAsia="Times New Roman" w:hAnsi="Calibri" w:cs="Calibri"/>
                <w:sz w:val="20"/>
                <w:szCs w:val="20"/>
                <w:lang w:eastAsia="cs-CZ"/>
              </w:rPr>
              <w:t>2</w:t>
            </w:r>
            <w:r w:rsidR="005F5DE1" w:rsidRPr="005F5DE1">
              <w:rPr>
                <w:rFonts w:ascii="Calibri" w:eastAsia="Times New Roman" w:hAnsi="Calibri" w:cs="Calibri"/>
                <w:b/>
                <w:sz w:val="20"/>
                <w:szCs w:val="20"/>
                <w:vertAlign w:val="superscript"/>
                <w:lang w:eastAsia="cs-CZ"/>
              </w:rPr>
              <w:t>2</w:t>
            </w:r>
          </w:p>
        </w:tc>
        <w:tc>
          <w:tcPr>
            <w:tcW w:w="608" w:type="pct"/>
            <w:tcBorders>
              <w:top w:val="nil"/>
              <w:left w:val="nil"/>
              <w:bottom w:val="single" w:sz="4" w:space="0" w:color="auto"/>
              <w:right w:val="single" w:sz="4" w:space="0" w:color="auto"/>
            </w:tcBorders>
            <w:shd w:val="clear" w:color="auto" w:fill="auto"/>
            <w:noWrap/>
            <w:vAlign w:val="center"/>
          </w:tcPr>
          <w:p w14:paraId="69DA8CAD" w14:textId="59A021DB" w:rsidR="001E6F02" w:rsidRPr="000A388A" w:rsidRDefault="00B1613D" w:rsidP="00B7688A">
            <w:pPr>
              <w:ind w:right="57"/>
              <w:jc w:val="right"/>
              <w:rPr>
                <w:rFonts w:ascii="Calibri" w:eastAsia="Times New Roman" w:hAnsi="Calibri" w:cs="Calibri"/>
                <w:sz w:val="20"/>
                <w:szCs w:val="20"/>
              </w:rPr>
            </w:pPr>
            <w:r w:rsidRPr="000A388A">
              <w:rPr>
                <w:rFonts w:ascii="Calibri" w:hAnsi="Calibri" w:cs="Calibri"/>
                <w:sz w:val="20"/>
                <w:szCs w:val="20"/>
              </w:rPr>
              <w:t>10 722,39</w:t>
            </w:r>
          </w:p>
        </w:tc>
        <w:tc>
          <w:tcPr>
            <w:tcW w:w="625" w:type="pct"/>
            <w:tcBorders>
              <w:top w:val="nil"/>
              <w:left w:val="nil"/>
              <w:bottom w:val="single" w:sz="4" w:space="0" w:color="auto"/>
              <w:right w:val="single" w:sz="4" w:space="0" w:color="auto"/>
            </w:tcBorders>
            <w:shd w:val="clear" w:color="auto" w:fill="auto"/>
            <w:noWrap/>
            <w:vAlign w:val="center"/>
          </w:tcPr>
          <w:p w14:paraId="0053C8E8" w14:textId="00FEEA7E" w:rsidR="001E6F02" w:rsidRPr="000A388A" w:rsidRDefault="00B1613D" w:rsidP="00B7688A">
            <w:pPr>
              <w:ind w:right="57"/>
              <w:jc w:val="right"/>
              <w:rPr>
                <w:rFonts w:ascii="Calibri" w:eastAsia="Times New Roman" w:hAnsi="Calibri" w:cs="Calibri"/>
                <w:sz w:val="20"/>
                <w:szCs w:val="20"/>
              </w:rPr>
            </w:pPr>
            <w:r w:rsidRPr="000A388A">
              <w:rPr>
                <w:rFonts w:ascii="Calibri" w:hAnsi="Calibri" w:cs="Calibri"/>
                <w:sz w:val="20"/>
                <w:szCs w:val="20"/>
              </w:rPr>
              <w:t>157 766,92</w:t>
            </w:r>
          </w:p>
        </w:tc>
        <w:tc>
          <w:tcPr>
            <w:tcW w:w="593" w:type="pct"/>
            <w:tcBorders>
              <w:top w:val="nil"/>
              <w:left w:val="nil"/>
              <w:bottom w:val="single" w:sz="4" w:space="0" w:color="auto"/>
              <w:right w:val="single" w:sz="4" w:space="0" w:color="auto"/>
            </w:tcBorders>
            <w:shd w:val="clear" w:color="auto" w:fill="auto"/>
            <w:noWrap/>
            <w:vAlign w:val="center"/>
          </w:tcPr>
          <w:p w14:paraId="294F09A8" w14:textId="5A16D293" w:rsidR="001E6F02" w:rsidRPr="000A388A" w:rsidRDefault="00B1613D"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174 24,16</w:t>
            </w:r>
          </w:p>
        </w:tc>
        <w:tc>
          <w:tcPr>
            <w:tcW w:w="561" w:type="pct"/>
            <w:tcBorders>
              <w:top w:val="nil"/>
              <w:left w:val="nil"/>
              <w:bottom w:val="single" w:sz="4" w:space="0" w:color="auto"/>
              <w:right w:val="single" w:sz="4" w:space="0" w:color="auto"/>
            </w:tcBorders>
            <w:shd w:val="clear" w:color="auto" w:fill="auto"/>
            <w:noWrap/>
            <w:vAlign w:val="center"/>
          </w:tcPr>
          <w:p w14:paraId="58322D4D" w14:textId="3DFA3168" w:rsidR="001E6F02" w:rsidRPr="000A388A" w:rsidRDefault="00B1613D"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45 751,1</w:t>
            </w:r>
            <w:r w:rsidR="006E2225" w:rsidRPr="000A388A">
              <w:rPr>
                <w:rFonts w:ascii="Calibri" w:eastAsia="Times New Roman" w:hAnsi="Calibri" w:cs="Calibri"/>
                <w:sz w:val="20"/>
                <w:szCs w:val="20"/>
                <w:lang w:eastAsia="cs-CZ"/>
              </w:rPr>
              <w:t>0</w:t>
            </w:r>
          </w:p>
        </w:tc>
        <w:tc>
          <w:tcPr>
            <w:tcW w:w="561" w:type="pct"/>
            <w:tcBorders>
              <w:top w:val="nil"/>
              <w:left w:val="nil"/>
              <w:bottom w:val="single" w:sz="4" w:space="0" w:color="auto"/>
              <w:right w:val="single" w:sz="4" w:space="0" w:color="auto"/>
            </w:tcBorders>
            <w:shd w:val="clear" w:color="auto" w:fill="auto"/>
            <w:noWrap/>
            <w:vAlign w:val="center"/>
          </w:tcPr>
          <w:p w14:paraId="1800BED6" w14:textId="2196BF3E" w:rsidR="001E6F02" w:rsidRPr="000A388A" w:rsidRDefault="00B1613D"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46 782,66</w:t>
            </w:r>
          </w:p>
        </w:tc>
        <w:tc>
          <w:tcPr>
            <w:tcW w:w="493" w:type="pct"/>
            <w:tcBorders>
              <w:top w:val="nil"/>
              <w:left w:val="nil"/>
              <w:bottom w:val="single" w:sz="4" w:space="0" w:color="auto"/>
              <w:right w:val="single" w:sz="4" w:space="0" w:color="auto"/>
            </w:tcBorders>
            <w:shd w:val="clear" w:color="auto" w:fill="auto"/>
            <w:noWrap/>
            <w:vAlign w:val="center"/>
          </w:tcPr>
          <w:p w14:paraId="6FA5E5BD" w14:textId="4839FE52" w:rsidR="001E6F02" w:rsidRPr="000A388A" w:rsidRDefault="00E84FA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17,35</w:t>
            </w:r>
          </w:p>
        </w:tc>
      </w:tr>
      <w:tr w:rsidR="00B7688A" w:rsidRPr="00B531E6" w14:paraId="445AF935" w14:textId="77777777" w:rsidTr="00B7688A">
        <w:trPr>
          <w:trHeight w:val="20"/>
          <w:jc w:val="center"/>
        </w:trPr>
        <w:tc>
          <w:tcPr>
            <w:tcW w:w="1561" w:type="pct"/>
            <w:tcBorders>
              <w:top w:val="nil"/>
              <w:left w:val="single" w:sz="4" w:space="0" w:color="auto"/>
              <w:bottom w:val="single" w:sz="4" w:space="0" w:color="auto"/>
              <w:right w:val="single" w:sz="4" w:space="0" w:color="auto"/>
            </w:tcBorders>
            <w:shd w:val="clear" w:color="auto" w:fill="auto"/>
            <w:vAlign w:val="center"/>
            <w:hideMark/>
          </w:tcPr>
          <w:p w14:paraId="1A2FE124" w14:textId="074CD062" w:rsidR="001E6F02" w:rsidRPr="00B531E6" w:rsidRDefault="001E6F02" w:rsidP="001E6F02">
            <w:pPr>
              <w:rPr>
                <w:rFonts w:ascii="Calibri" w:eastAsia="Times New Roman" w:hAnsi="Calibri" w:cs="Calibri"/>
                <w:sz w:val="20"/>
                <w:szCs w:val="20"/>
                <w:lang w:eastAsia="cs-CZ"/>
              </w:rPr>
            </w:pPr>
            <w:r w:rsidRPr="00B531E6">
              <w:rPr>
                <w:rFonts w:ascii="Calibri" w:eastAsia="Times New Roman" w:hAnsi="Calibri" w:cs="Calibri"/>
                <w:sz w:val="20"/>
                <w:szCs w:val="20"/>
                <w:lang w:eastAsia="cs-CZ"/>
              </w:rPr>
              <w:t>Podíl projektů na změně v</w:t>
            </w:r>
            <w:r w:rsidR="002E6234">
              <w:rPr>
                <w:rFonts w:ascii="Calibri" w:eastAsia="Times New Roman" w:hAnsi="Calibri" w:cs="Calibri"/>
                <w:sz w:val="20"/>
                <w:szCs w:val="20"/>
                <w:lang w:eastAsia="cs-CZ"/>
              </w:rPr>
              <w:t> </w:t>
            </w:r>
            <w:r w:rsidRPr="00B531E6">
              <w:rPr>
                <w:rFonts w:ascii="Calibri" w:eastAsia="Times New Roman" w:hAnsi="Calibri" w:cs="Calibri"/>
                <w:sz w:val="20"/>
                <w:szCs w:val="20"/>
                <w:lang w:eastAsia="cs-CZ"/>
              </w:rPr>
              <w:t>ročních emisích [%]</w:t>
            </w:r>
          </w:p>
        </w:tc>
        <w:tc>
          <w:tcPr>
            <w:tcW w:w="608" w:type="pct"/>
            <w:tcBorders>
              <w:top w:val="nil"/>
              <w:left w:val="nil"/>
              <w:bottom w:val="single" w:sz="4" w:space="0" w:color="auto"/>
              <w:right w:val="single" w:sz="4" w:space="0" w:color="auto"/>
            </w:tcBorders>
            <w:shd w:val="clear" w:color="auto" w:fill="auto"/>
            <w:noWrap/>
            <w:vAlign w:val="center"/>
            <w:hideMark/>
          </w:tcPr>
          <w:p w14:paraId="39DCDB79" w14:textId="3E6C5C5A" w:rsidR="001E6F02" w:rsidRPr="000A388A" w:rsidRDefault="001E6F0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1</w:t>
            </w:r>
            <w:r w:rsidR="00E84FA2" w:rsidRPr="000A388A">
              <w:rPr>
                <w:rFonts w:ascii="Calibri" w:eastAsia="Times New Roman" w:hAnsi="Calibri" w:cs="Calibri"/>
                <w:sz w:val="20"/>
                <w:szCs w:val="20"/>
                <w:lang w:eastAsia="cs-CZ"/>
              </w:rPr>
              <w:t>2</w:t>
            </w:r>
            <w:r w:rsidRPr="000A388A">
              <w:rPr>
                <w:rFonts w:ascii="Calibri" w:eastAsia="Times New Roman" w:hAnsi="Calibri" w:cs="Calibri"/>
                <w:sz w:val="20"/>
                <w:szCs w:val="20"/>
                <w:lang w:eastAsia="cs-CZ"/>
              </w:rPr>
              <w:t>,</w:t>
            </w:r>
            <w:r w:rsidR="00E84FA2" w:rsidRPr="000A388A">
              <w:rPr>
                <w:rFonts w:ascii="Calibri" w:eastAsia="Times New Roman" w:hAnsi="Calibri" w:cs="Calibri"/>
                <w:sz w:val="20"/>
                <w:szCs w:val="20"/>
                <w:lang w:eastAsia="cs-CZ"/>
              </w:rPr>
              <w:t>24</w:t>
            </w:r>
          </w:p>
        </w:tc>
        <w:tc>
          <w:tcPr>
            <w:tcW w:w="625" w:type="pct"/>
            <w:tcBorders>
              <w:top w:val="nil"/>
              <w:left w:val="nil"/>
              <w:bottom w:val="single" w:sz="4" w:space="0" w:color="auto"/>
              <w:right w:val="single" w:sz="4" w:space="0" w:color="auto"/>
            </w:tcBorders>
            <w:shd w:val="clear" w:color="auto" w:fill="auto"/>
            <w:noWrap/>
            <w:vAlign w:val="center"/>
            <w:hideMark/>
          </w:tcPr>
          <w:p w14:paraId="68DC900A" w14:textId="77AADFAD" w:rsidR="001E6F02" w:rsidRPr="000A388A" w:rsidRDefault="00E84FA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21,18</w:t>
            </w:r>
          </w:p>
        </w:tc>
        <w:tc>
          <w:tcPr>
            <w:tcW w:w="593" w:type="pct"/>
            <w:tcBorders>
              <w:top w:val="nil"/>
              <w:left w:val="nil"/>
              <w:bottom w:val="single" w:sz="4" w:space="0" w:color="auto"/>
              <w:right w:val="single" w:sz="4" w:space="0" w:color="auto"/>
            </w:tcBorders>
            <w:shd w:val="clear" w:color="auto" w:fill="auto"/>
            <w:noWrap/>
            <w:vAlign w:val="center"/>
            <w:hideMark/>
          </w:tcPr>
          <w:p w14:paraId="708EBCBA" w14:textId="20BFDA54" w:rsidR="001E6F02" w:rsidRPr="000A388A" w:rsidRDefault="00E84FA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111,49</w:t>
            </w:r>
          </w:p>
        </w:tc>
        <w:tc>
          <w:tcPr>
            <w:tcW w:w="561" w:type="pct"/>
            <w:tcBorders>
              <w:top w:val="nil"/>
              <w:left w:val="nil"/>
              <w:bottom w:val="single" w:sz="4" w:space="0" w:color="auto"/>
              <w:right w:val="single" w:sz="4" w:space="0" w:color="auto"/>
            </w:tcBorders>
            <w:shd w:val="clear" w:color="auto" w:fill="auto"/>
            <w:noWrap/>
            <w:vAlign w:val="center"/>
            <w:hideMark/>
          </w:tcPr>
          <w:p w14:paraId="2EEB1765" w14:textId="69ADA6C2" w:rsidR="001E6F02" w:rsidRPr="000A388A" w:rsidRDefault="00E84FA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18,13</w:t>
            </w:r>
          </w:p>
        </w:tc>
        <w:tc>
          <w:tcPr>
            <w:tcW w:w="561" w:type="pct"/>
            <w:tcBorders>
              <w:top w:val="nil"/>
              <w:left w:val="nil"/>
              <w:bottom w:val="single" w:sz="4" w:space="0" w:color="auto"/>
              <w:right w:val="single" w:sz="4" w:space="0" w:color="auto"/>
            </w:tcBorders>
            <w:shd w:val="clear" w:color="auto" w:fill="auto"/>
            <w:noWrap/>
            <w:vAlign w:val="center"/>
            <w:hideMark/>
          </w:tcPr>
          <w:p w14:paraId="0BED3FDB" w14:textId="0402816C" w:rsidR="001E6F02" w:rsidRPr="000A388A" w:rsidRDefault="00E84FA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18,41</w:t>
            </w:r>
          </w:p>
        </w:tc>
        <w:tc>
          <w:tcPr>
            <w:tcW w:w="493" w:type="pct"/>
            <w:tcBorders>
              <w:top w:val="nil"/>
              <w:left w:val="nil"/>
              <w:bottom w:val="single" w:sz="4" w:space="0" w:color="auto"/>
              <w:right w:val="single" w:sz="4" w:space="0" w:color="auto"/>
            </w:tcBorders>
            <w:shd w:val="clear" w:color="auto" w:fill="auto"/>
            <w:noWrap/>
            <w:vAlign w:val="center"/>
            <w:hideMark/>
          </w:tcPr>
          <w:p w14:paraId="27B776F2" w14:textId="39A74209" w:rsidR="001E6F02" w:rsidRPr="000A388A" w:rsidRDefault="00E84FA2" w:rsidP="00B7688A">
            <w:pPr>
              <w:ind w:right="57"/>
              <w:jc w:val="right"/>
              <w:rPr>
                <w:rFonts w:ascii="Calibri" w:eastAsia="Times New Roman" w:hAnsi="Calibri" w:cs="Calibri"/>
                <w:sz w:val="20"/>
                <w:szCs w:val="20"/>
                <w:lang w:eastAsia="cs-CZ"/>
              </w:rPr>
            </w:pPr>
            <w:r w:rsidRPr="000A388A">
              <w:rPr>
                <w:rFonts w:ascii="Calibri" w:eastAsia="Times New Roman" w:hAnsi="Calibri" w:cs="Calibri"/>
                <w:sz w:val="20"/>
                <w:szCs w:val="20"/>
                <w:lang w:eastAsia="cs-CZ"/>
              </w:rPr>
              <w:t>101,67</w:t>
            </w:r>
          </w:p>
        </w:tc>
      </w:tr>
    </w:tbl>
    <w:p w14:paraId="3FF36F99" w14:textId="7F922AAA" w:rsidR="005F5DE1" w:rsidRPr="002E6234" w:rsidRDefault="007171DA" w:rsidP="00955553">
      <w:pPr>
        <w:pStyle w:val="Zdrojeapozn"/>
        <w:rPr>
          <w:b w:val="0"/>
        </w:rPr>
      </w:pPr>
      <w:r w:rsidRPr="00933DC7">
        <w:t>Zdroj:</w:t>
      </w:r>
      <w:r w:rsidR="001965B0">
        <w:t xml:space="preserve"> </w:t>
      </w:r>
      <w:r w:rsidR="002E6234">
        <w:rPr>
          <w:b w:val="0"/>
        </w:rPr>
        <w:t>i</w:t>
      </w:r>
      <w:r w:rsidR="005F5DE1" w:rsidRPr="002E6234">
        <w:rPr>
          <w:b w:val="0"/>
        </w:rPr>
        <w:t xml:space="preserve">nformace od </w:t>
      </w:r>
      <w:r w:rsidR="008B4925" w:rsidRPr="002E6234">
        <w:rPr>
          <w:b w:val="0"/>
        </w:rPr>
        <w:t>SFŽP</w:t>
      </w:r>
      <w:r w:rsidR="005F5DE1" w:rsidRPr="002E6234">
        <w:rPr>
          <w:b w:val="0"/>
        </w:rPr>
        <w:t xml:space="preserve"> a emisní bilance ohl</w:t>
      </w:r>
      <w:r w:rsidR="003173E4" w:rsidRPr="002E6234">
        <w:rPr>
          <w:b w:val="0"/>
        </w:rPr>
        <w:t>á</w:t>
      </w:r>
      <w:r w:rsidR="005F5DE1" w:rsidRPr="002E6234">
        <w:rPr>
          <w:b w:val="0"/>
        </w:rPr>
        <w:t>š</w:t>
      </w:r>
      <w:r w:rsidR="003173E4" w:rsidRPr="002E6234">
        <w:rPr>
          <w:b w:val="0"/>
        </w:rPr>
        <w:t>ená</w:t>
      </w:r>
      <w:r w:rsidR="005F5DE1" w:rsidRPr="002E6234">
        <w:rPr>
          <w:b w:val="0"/>
        </w:rPr>
        <w:t xml:space="preserve"> ČHMÚ.</w:t>
      </w:r>
    </w:p>
    <w:p w14:paraId="2EA6EC31" w14:textId="77777777" w:rsidR="002E6234" w:rsidRDefault="005F5DE1" w:rsidP="00955553">
      <w:pPr>
        <w:pStyle w:val="Zdrojeapozn"/>
      </w:pPr>
      <w:r w:rsidRPr="00586409">
        <w:t>Pozn.:</w:t>
      </w:r>
    </w:p>
    <w:p w14:paraId="46E145CC" w14:textId="251121B4" w:rsidR="00586409" w:rsidRPr="002E6234" w:rsidRDefault="005F5DE1" w:rsidP="00955553">
      <w:pPr>
        <w:pStyle w:val="Zdrojeapozn"/>
        <w:rPr>
          <w:b w:val="0"/>
        </w:rPr>
      </w:pPr>
      <w:r w:rsidRPr="002E6234">
        <w:rPr>
          <w:b w:val="0"/>
          <w:vertAlign w:val="superscript"/>
        </w:rPr>
        <w:t>1</w:t>
      </w:r>
      <w:r w:rsidRPr="002E6234">
        <w:rPr>
          <w:b w:val="0"/>
        </w:rPr>
        <w:t xml:space="preserve"> </w:t>
      </w:r>
      <w:r w:rsidR="002E6234">
        <w:rPr>
          <w:b w:val="0"/>
        </w:rPr>
        <w:tab/>
      </w:r>
      <w:r w:rsidRPr="002E6234">
        <w:rPr>
          <w:b w:val="0"/>
        </w:rPr>
        <w:t xml:space="preserve">Model vyhodnocení PO 2 SC 2.1; </w:t>
      </w:r>
      <w:r w:rsidR="002E6234">
        <w:rPr>
          <w:b w:val="0"/>
        </w:rPr>
        <w:t>v</w:t>
      </w:r>
      <w:r w:rsidRPr="002E6234">
        <w:rPr>
          <w:b w:val="0"/>
        </w:rPr>
        <w:t xml:space="preserve">yhodnocení 1., 2. a 3. výzvy </w:t>
      </w:r>
      <w:r w:rsidR="002E6234">
        <w:rPr>
          <w:b w:val="0"/>
        </w:rPr>
        <w:t>s</w:t>
      </w:r>
      <w:r w:rsidRPr="002E6234">
        <w:rPr>
          <w:b w:val="0"/>
        </w:rPr>
        <w:t xml:space="preserve">pecifického cíle 2.1 </w:t>
      </w:r>
      <w:r w:rsidRPr="002F3B4E">
        <w:rPr>
          <w:b w:val="0"/>
          <w:i/>
        </w:rPr>
        <w:t>Sníž</w:t>
      </w:r>
      <w:r w:rsidR="002E6234" w:rsidRPr="002F3B4E">
        <w:rPr>
          <w:b w:val="0"/>
          <w:i/>
        </w:rPr>
        <w:t>it</w:t>
      </w:r>
      <w:r w:rsidRPr="002F3B4E">
        <w:rPr>
          <w:b w:val="0"/>
          <w:i/>
        </w:rPr>
        <w:t xml:space="preserve"> emis</w:t>
      </w:r>
      <w:r w:rsidR="002E6234" w:rsidRPr="002F3B4E">
        <w:rPr>
          <w:b w:val="0"/>
          <w:i/>
        </w:rPr>
        <w:t>e</w:t>
      </w:r>
      <w:r w:rsidRPr="002F3B4E">
        <w:rPr>
          <w:b w:val="0"/>
          <w:i/>
        </w:rPr>
        <w:t xml:space="preserve"> z</w:t>
      </w:r>
      <w:r w:rsidR="00E14921" w:rsidRPr="002F3B4E">
        <w:rPr>
          <w:b w:val="0"/>
          <w:i/>
        </w:rPr>
        <w:t> </w:t>
      </w:r>
      <w:r w:rsidRPr="002F3B4E">
        <w:rPr>
          <w:b w:val="0"/>
          <w:i/>
        </w:rPr>
        <w:t>lokálního vytápění domácností podílející se na expozici obyvatelstva koncentracím znečišťujících látek</w:t>
      </w:r>
      <w:r w:rsidRPr="002E6234">
        <w:rPr>
          <w:b w:val="0"/>
        </w:rPr>
        <w:t xml:space="preserve"> OPŽP (k</w:t>
      </w:r>
      <w:r w:rsidR="00E14921" w:rsidRPr="002E6234">
        <w:rPr>
          <w:b w:val="0"/>
        </w:rPr>
        <w:t> </w:t>
      </w:r>
      <w:r w:rsidRPr="002E6234">
        <w:rPr>
          <w:b w:val="0"/>
        </w:rPr>
        <w:t>červnu 2023, včetně NZÚ-AMO).</w:t>
      </w:r>
    </w:p>
    <w:p w14:paraId="5CE9BC74" w14:textId="6DCFA07C" w:rsidR="00586409" w:rsidRPr="002E6234" w:rsidRDefault="00586409" w:rsidP="002E6234">
      <w:pPr>
        <w:pStyle w:val="Zdrojeapozn"/>
        <w:ind w:firstLine="0"/>
        <w:rPr>
          <w:b w:val="0"/>
        </w:rPr>
      </w:pPr>
      <w:r w:rsidRPr="002E6234">
        <w:rPr>
          <w:b w:val="0"/>
        </w:rPr>
        <w:t xml:space="preserve">Podíl přínosů kotlíkových dotací je nadhodnocen o podíl projektů zahrnutých do vyhodnocení přínosů za období od 1. 1. 2023 do 30. 6. 2023 a o podíl projektů ze zásobníků OPŽP dofinancovaných z podprogramu </w:t>
      </w:r>
      <w:r w:rsidRPr="002E6234">
        <w:rPr>
          <w:b w:val="0"/>
          <w:i/>
        </w:rPr>
        <w:t>Adaptační a</w:t>
      </w:r>
      <w:r w:rsidR="00E14921" w:rsidRPr="002E6234">
        <w:rPr>
          <w:b w:val="0"/>
          <w:i/>
        </w:rPr>
        <w:t> </w:t>
      </w:r>
      <w:proofErr w:type="spellStart"/>
      <w:r w:rsidRPr="002E6234">
        <w:rPr>
          <w:b w:val="0"/>
          <w:i/>
        </w:rPr>
        <w:t>mitigační</w:t>
      </w:r>
      <w:proofErr w:type="spellEnd"/>
      <w:r w:rsidRPr="002E6234">
        <w:rPr>
          <w:b w:val="0"/>
          <w:i/>
        </w:rPr>
        <w:t xml:space="preserve"> opatření</w:t>
      </w:r>
      <w:r w:rsidRPr="002E6234">
        <w:rPr>
          <w:b w:val="0"/>
        </w:rPr>
        <w:t xml:space="preserve"> programu </w:t>
      </w:r>
      <w:r w:rsidRPr="002E6234">
        <w:rPr>
          <w:b w:val="0"/>
          <w:i/>
        </w:rPr>
        <w:t>Nová zelená úsporám</w:t>
      </w:r>
      <w:r w:rsidRPr="002E6234">
        <w:rPr>
          <w:b w:val="0"/>
        </w:rPr>
        <w:t>.</w:t>
      </w:r>
    </w:p>
    <w:p w14:paraId="2995C595" w14:textId="1D46BB7A" w:rsidR="002F366D" w:rsidRPr="002E6234" w:rsidRDefault="005F5DE1" w:rsidP="00955553">
      <w:pPr>
        <w:pStyle w:val="Zdrojeapozn"/>
        <w:rPr>
          <w:b w:val="0"/>
        </w:rPr>
      </w:pPr>
      <w:r w:rsidRPr="002E6234">
        <w:rPr>
          <w:b w:val="0"/>
          <w:vertAlign w:val="superscript"/>
        </w:rPr>
        <w:t xml:space="preserve">2 </w:t>
      </w:r>
      <w:r w:rsidR="002E6234">
        <w:rPr>
          <w:b w:val="0"/>
          <w:vertAlign w:val="superscript"/>
        </w:rPr>
        <w:tab/>
      </w:r>
      <w:r w:rsidR="007171DA" w:rsidRPr="002E6234">
        <w:rPr>
          <w:b w:val="0"/>
        </w:rPr>
        <w:t>Emise byly převzaty z emisní bilance ČR ohl</w:t>
      </w:r>
      <w:r w:rsidR="00B1613D" w:rsidRPr="002E6234">
        <w:rPr>
          <w:b w:val="0"/>
        </w:rPr>
        <w:t xml:space="preserve">ášené ČHMÚ </w:t>
      </w:r>
      <w:r w:rsidR="007171DA" w:rsidRPr="002E6234">
        <w:rPr>
          <w:b w:val="0"/>
        </w:rPr>
        <w:t>podle mezinárodních sektorů (NFR)</w:t>
      </w:r>
      <w:r w:rsidR="00B1613D" w:rsidRPr="002E6234">
        <w:rPr>
          <w:b w:val="0"/>
        </w:rPr>
        <w:t xml:space="preserve"> v březnu 2024</w:t>
      </w:r>
      <w:r w:rsidR="002E44EC" w:rsidRPr="002E6234">
        <w:rPr>
          <w:b w:val="0"/>
        </w:rPr>
        <w:t xml:space="preserve"> (NFR </w:t>
      </w:r>
      <w:proofErr w:type="spellStart"/>
      <w:r w:rsidR="002E44EC" w:rsidRPr="002E6234">
        <w:rPr>
          <w:b w:val="0"/>
        </w:rPr>
        <w:t>Code</w:t>
      </w:r>
      <w:proofErr w:type="spellEnd"/>
      <w:r w:rsidR="002E44EC" w:rsidRPr="002E6234">
        <w:rPr>
          <w:b w:val="0"/>
        </w:rPr>
        <w:t xml:space="preserve"> 1A4bi </w:t>
      </w:r>
      <w:r w:rsidR="002E6234">
        <w:rPr>
          <w:b w:val="0"/>
        </w:rPr>
        <w:t>–</w:t>
      </w:r>
      <w:r w:rsidR="002E44EC" w:rsidRPr="002E6234">
        <w:rPr>
          <w:b w:val="0"/>
        </w:rPr>
        <w:t xml:space="preserve"> </w:t>
      </w:r>
      <w:proofErr w:type="spellStart"/>
      <w:r w:rsidR="002E44EC" w:rsidRPr="002E6234">
        <w:rPr>
          <w:b w:val="0"/>
        </w:rPr>
        <w:t>Residential</w:t>
      </w:r>
      <w:proofErr w:type="spellEnd"/>
      <w:r w:rsidR="002E44EC" w:rsidRPr="002E6234">
        <w:rPr>
          <w:b w:val="0"/>
        </w:rPr>
        <w:t xml:space="preserve">: </w:t>
      </w:r>
      <w:proofErr w:type="spellStart"/>
      <w:r w:rsidR="002E44EC" w:rsidRPr="002E6234">
        <w:rPr>
          <w:b w:val="0"/>
        </w:rPr>
        <w:t>Stationary</w:t>
      </w:r>
      <w:proofErr w:type="spellEnd"/>
      <w:r w:rsidR="002E44EC" w:rsidRPr="002E6234">
        <w:rPr>
          <w:b w:val="0"/>
        </w:rPr>
        <w:t>)</w:t>
      </w:r>
      <w:r w:rsidR="002F366D" w:rsidRPr="002E6234">
        <w:rPr>
          <w:b w:val="0"/>
        </w:rPr>
        <w:t>:</w:t>
      </w:r>
      <w:r w:rsidR="00B7688A" w:rsidRPr="002E6234">
        <w:rPr>
          <w:b w:val="0"/>
        </w:rPr>
        <w:t xml:space="preserve"> </w:t>
      </w:r>
    </w:p>
    <w:p w14:paraId="3F85E97F" w14:textId="2EAB9257" w:rsidR="00801E09" w:rsidRPr="002E6234" w:rsidRDefault="000D2E96" w:rsidP="002E6234">
      <w:pPr>
        <w:pStyle w:val="Zdrojeapozn"/>
        <w:ind w:firstLine="0"/>
        <w:rPr>
          <w:b w:val="0"/>
        </w:rPr>
      </w:pPr>
      <w:hyperlink r:id="rId22" w:history="1">
        <w:r w:rsidR="002E6234" w:rsidRPr="009F1AB7">
          <w:rPr>
            <w:rStyle w:val="Hypertextovodkaz"/>
            <w:b w:val="0"/>
          </w:rPr>
          <w:t>https://cdr.eionet.europa.eu/cz/un/clrtap/inventories/envzflmhq/CZ_Annex_I_rev18-11_1990-2022_v2.0.xlsx/manage_document</w:t>
        </w:r>
      </w:hyperlink>
      <w:r w:rsidR="002F366D" w:rsidRPr="002E6234">
        <w:rPr>
          <w:b w:val="0"/>
        </w:rPr>
        <w:t>.</w:t>
      </w:r>
    </w:p>
    <w:p w14:paraId="1FD7D287" w14:textId="106A995C" w:rsidR="00B531E6" w:rsidRPr="000352E0" w:rsidRDefault="00B531E6" w:rsidP="00ED6F6A">
      <w:pPr>
        <w:tabs>
          <w:tab w:val="right" w:pos="9072"/>
        </w:tabs>
        <w:spacing w:before="120" w:after="40"/>
        <w:ind w:left="1418" w:hanging="1418"/>
        <w:rPr>
          <w:b/>
        </w:rPr>
      </w:pPr>
      <w:r w:rsidRPr="000352E0">
        <w:rPr>
          <w:b/>
        </w:rPr>
        <w:t>Tabul</w:t>
      </w:r>
      <w:r w:rsidR="00165274">
        <w:rPr>
          <w:b/>
        </w:rPr>
        <w:t xml:space="preserve">ka č. 2: </w:t>
      </w:r>
      <w:r w:rsidRPr="000352E0">
        <w:rPr>
          <w:b/>
        </w:rPr>
        <w:t>Dosažené snížení ročních emisí v sektoru průmyslu</w:t>
      </w:r>
      <w:r w:rsidR="008B4925" w:rsidRPr="000352E0">
        <w:rPr>
          <w:b/>
        </w:rPr>
        <w:tab/>
        <w:t xml:space="preserve">(v </w:t>
      </w:r>
      <w:proofErr w:type="spellStart"/>
      <w:r w:rsidR="008B4925" w:rsidRPr="000352E0">
        <w:rPr>
          <w:b/>
        </w:rPr>
        <w:t>kt</w:t>
      </w:r>
      <w:proofErr w:type="spellEnd"/>
      <w:r w:rsidR="008B4925" w:rsidRPr="000352E0">
        <w:rPr>
          <w:b/>
        </w:rPr>
        <w:t>/rok)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4"/>
        <w:gridCol w:w="2269"/>
        <w:gridCol w:w="1519"/>
        <w:gridCol w:w="945"/>
        <w:gridCol w:w="945"/>
        <w:gridCol w:w="845"/>
        <w:gridCol w:w="845"/>
      </w:tblGrid>
      <w:tr w:rsidR="008B4925" w:rsidRPr="002E44EC" w14:paraId="3EB26334" w14:textId="77777777" w:rsidTr="000A388A">
        <w:trPr>
          <w:trHeight w:val="20"/>
        </w:trPr>
        <w:tc>
          <w:tcPr>
            <w:tcW w:w="2187" w:type="pct"/>
            <w:gridSpan w:val="2"/>
            <w:shd w:val="clear" w:color="auto" w:fill="F2F2F2"/>
            <w:noWrap/>
            <w:vAlign w:val="center"/>
            <w:hideMark/>
          </w:tcPr>
          <w:p w14:paraId="6C723A32" w14:textId="77777777" w:rsidR="002E44EC" w:rsidRPr="002E44EC" w:rsidRDefault="002E44EC" w:rsidP="002E44EC">
            <w:pPr>
              <w:jc w:val="center"/>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Sektor průmyslu</w:t>
            </w:r>
          </w:p>
        </w:tc>
        <w:tc>
          <w:tcPr>
            <w:tcW w:w="838" w:type="pct"/>
            <w:shd w:val="clear" w:color="auto" w:fill="F2F2F2"/>
            <w:noWrap/>
            <w:vAlign w:val="center"/>
            <w:hideMark/>
          </w:tcPr>
          <w:p w14:paraId="6A4D15C3" w14:textId="77777777" w:rsidR="008B4925" w:rsidRDefault="008B4925" w:rsidP="008B4925">
            <w:pPr>
              <w:jc w:val="center"/>
              <w:rPr>
                <w:rFonts w:ascii="Calibri" w:eastAsia="Times New Roman" w:hAnsi="Calibri" w:cs="Calibri"/>
                <w:b/>
                <w:bCs/>
                <w:sz w:val="20"/>
                <w:szCs w:val="20"/>
                <w:lang w:eastAsia="cs-CZ"/>
              </w:rPr>
            </w:pPr>
            <w:r w:rsidRPr="00B531E6">
              <w:rPr>
                <w:rFonts w:ascii="Calibri" w:eastAsia="Times New Roman" w:hAnsi="Calibri" w:cs="Calibri"/>
                <w:b/>
                <w:bCs/>
                <w:sz w:val="20"/>
                <w:szCs w:val="20"/>
                <w:lang w:eastAsia="cs-CZ"/>
              </w:rPr>
              <w:t>SO</w:t>
            </w:r>
            <w:r w:rsidRPr="00E84FA2">
              <w:rPr>
                <w:rFonts w:ascii="Calibri" w:eastAsia="Times New Roman" w:hAnsi="Calibri" w:cs="Calibri"/>
                <w:b/>
                <w:bCs/>
                <w:sz w:val="20"/>
                <w:szCs w:val="20"/>
                <w:vertAlign w:val="subscript"/>
                <w:lang w:eastAsia="cs-CZ"/>
              </w:rPr>
              <w:t>X</w:t>
            </w:r>
          </w:p>
          <w:p w14:paraId="752F8713" w14:textId="43723CC0" w:rsidR="002E44EC" w:rsidRPr="002E44EC" w:rsidRDefault="008B4925" w:rsidP="008B4925">
            <w:pPr>
              <w:jc w:val="center"/>
              <w:rPr>
                <w:rFonts w:ascii="Calibri" w:eastAsia="Times New Roman" w:hAnsi="Calibri" w:cs="Calibri"/>
                <w:b/>
                <w:bCs/>
                <w:sz w:val="20"/>
                <w:szCs w:val="20"/>
                <w:lang w:eastAsia="cs-CZ"/>
              </w:rPr>
            </w:pPr>
            <w:r w:rsidRPr="00B531E6">
              <w:rPr>
                <w:rFonts w:ascii="Calibri" w:eastAsia="Times New Roman" w:hAnsi="Calibri" w:cs="Calibri"/>
                <w:b/>
                <w:bCs/>
                <w:sz w:val="20"/>
                <w:szCs w:val="20"/>
                <w:lang w:eastAsia="cs-CZ"/>
              </w:rPr>
              <w:t xml:space="preserve"> </w:t>
            </w:r>
            <w:r w:rsidRPr="00B531E6">
              <w:rPr>
                <w:rFonts w:ascii="Calibri" w:eastAsia="Times New Roman" w:hAnsi="Calibri" w:cs="Calibri"/>
                <w:b/>
                <w:bCs/>
                <w:sz w:val="20"/>
                <w:szCs w:val="20"/>
                <w:lang w:eastAsia="cs-CZ"/>
              </w:rPr>
              <w:br w:type="page"/>
              <w:t>(</w:t>
            </w:r>
            <w:r>
              <w:rPr>
                <w:rFonts w:ascii="Calibri" w:eastAsia="Times New Roman" w:hAnsi="Calibri" w:cs="Calibri"/>
                <w:b/>
                <w:bCs/>
                <w:sz w:val="20"/>
                <w:szCs w:val="20"/>
                <w:lang w:eastAsia="cs-CZ"/>
              </w:rPr>
              <w:t xml:space="preserve">as </w:t>
            </w:r>
            <w:r w:rsidRPr="00B531E6">
              <w:rPr>
                <w:rFonts w:ascii="Calibri" w:eastAsia="Times New Roman" w:hAnsi="Calibri" w:cs="Calibri"/>
                <w:b/>
                <w:bCs/>
                <w:sz w:val="20"/>
                <w:szCs w:val="20"/>
                <w:lang w:eastAsia="cs-CZ"/>
              </w:rPr>
              <w:t>SO</w:t>
            </w:r>
            <w:r w:rsidRPr="00B531E6">
              <w:rPr>
                <w:rFonts w:ascii="Calibri" w:eastAsia="Times New Roman" w:hAnsi="Calibri" w:cs="Calibri"/>
                <w:b/>
                <w:bCs/>
                <w:sz w:val="20"/>
                <w:szCs w:val="20"/>
                <w:vertAlign w:val="subscript"/>
                <w:lang w:eastAsia="cs-CZ"/>
              </w:rPr>
              <w:t>2</w:t>
            </w:r>
            <w:r w:rsidRPr="00B531E6">
              <w:rPr>
                <w:rFonts w:ascii="Calibri" w:eastAsia="Times New Roman" w:hAnsi="Calibri" w:cs="Calibri"/>
                <w:b/>
                <w:bCs/>
                <w:sz w:val="20"/>
                <w:szCs w:val="20"/>
                <w:lang w:eastAsia="cs-CZ"/>
              </w:rPr>
              <w:t>)</w:t>
            </w:r>
          </w:p>
        </w:tc>
        <w:tc>
          <w:tcPr>
            <w:tcW w:w="521" w:type="pct"/>
            <w:shd w:val="clear" w:color="auto" w:fill="F2F2F2"/>
            <w:noWrap/>
            <w:vAlign w:val="center"/>
            <w:hideMark/>
          </w:tcPr>
          <w:p w14:paraId="6B5D622E" w14:textId="77777777" w:rsidR="008B4925" w:rsidRDefault="008B4925" w:rsidP="008B4925">
            <w:pPr>
              <w:jc w:val="center"/>
              <w:rPr>
                <w:rFonts w:ascii="Calibri" w:eastAsia="Times New Roman" w:hAnsi="Calibri" w:cs="Calibri"/>
                <w:b/>
                <w:bCs/>
                <w:sz w:val="20"/>
                <w:szCs w:val="20"/>
                <w:vertAlign w:val="subscript"/>
                <w:lang w:eastAsia="cs-CZ"/>
              </w:rPr>
            </w:pPr>
            <w:r w:rsidRPr="00B531E6">
              <w:rPr>
                <w:rFonts w:ascii="Calibri" w:eastAsia="Times New Roman" w:hAnsi="Calibri" w:cs="Calibri"/>
                <w:b/>
                <w:bCs/>
                <w:sz w:val="20"/>
                <w:szCs w:val="20"/>
                <w:lang w:eastAsia="cs-CZ"/>
              </w:rPr>
              <w:t>N</w:t>
            </w:r>
            <w:r>
              <w:rPr>
                <w:rFonts w:ascii="Calibri" w:eastAsia="Times New Roman" w:hAnsi="Calibri" w:cs="Calibri"/>
                <w:b/>
                <w:bCs/>
                <w:sz w:val="20"/>
                <w:szCs w:val="20"/>
                <w:lang w:eastAsia="cs-CZ"/>
              </w:rPr>
              <w:t>O</w:t>
            </w:r>
            <w:r w:rsidRPr="00E84FA2">
              <w:rPr>
                <w:rFonts w:ascii="Calibri" w:eastAsia="Times New Roman" w:hAnsi="Calibri" w:cs="Calibri"/>
                <w:b/>
                <w:bCs/>
                <w:sz w:val="20"/>
                <w:szCs w:val="20"/>
                <w:vertAlign w:val="subscript"/>
                <w:lang w:eastAsia="cs-CZ"/>
              </w:rPr>
              <w:t>X</w:t>
            </w:r>
          </w:p>
          <w:p w14:paraId="3B5DC7EF" w14:textId="751B6DE9" w:rsidR="002E44EC" w:rsidRPr="002E44EC" w:rsidRDefault="008B4925" w:rsidP="008B4925">
            <w:pPr>
              <w:jc w:val="center"/>
              <w:rPr>
                <w:rFonts w:ascii="Calibri" w:eastAsia="Times New Roman" w:hAnsi="Calibri" w:cs="Calibri"/>
                <w:b/>
                <w:bCs/>
                <w:sz w:val="20"/>
                <w:szCs w:val="20"/>
                <w:lang w:eastAsia="cs-CZ"/>
              </w:rPr>
            </w:pPr>
            <w:r w:rsidRPr="00B531E6">
              <w:rPr>
                <w:rFonts w:ascii="Calibri" w:eastAsia="Times New Roman" w:hAnsi="Calibri" w:cs="Calibri"/>
                <w:b/>
                <w:bCs/>
                <w:sz w:val="20"/>
                <w:szCs w:val="20"/>
                <w:lang w:eastAsia="cs-CZ"/>
              </w:rPr>
              <w:br w:type="page"/>
              <w:t>(</w:t>
            </w:r>
            <w:r>
              <w:rPr>
                <w:rFonts w:ascii="Calibri" w:eastAsia="Times New Roman" w:hAnsi="Calibri" w:cs="Calibri"/>
                <w:b/>
                <w:bCs/>
                <w:sz w:val="20"/>
                <w:szCs w:val="20"/>
                <w:lang w:eastAsia="cs-CZ"/>
              </w:rPr>
              <w:t xml:space="preserve">as </w:t>
            </w:r>
            <w:r w:rsidRPr="00B531E6">
              <w:rPr>
                <w:rFonts w:ascii="Calibri" w:eastAsia="Times New Roman" w:hAnsi="Calibri" w:cs="Calibri"/>
                <w:b/>
                <w:bCs/>
                <w:sz w:val="20"/>
                <w:szCs w:val="20"/>
                <w:lang w:eastAsia="cs-CZ"/>
              </w:rPr>
              <w:t>NO</w:t>
            </w:r>
            <w:r w:rsidRPr="00B531E6">
              <w:rPr>
                <w:rFonts w:ascii="Calibri" w:eastAsia="Times New Roman" w:hAnsi="Calibri" w:cs="Calibri"/>
                <w:b/>
                <w:bCs/>
                <w:sz w:val="20"/>
                <w:szCs w:val="20"/>
                <w:vertAlign w:val="subscript"/>
                <w:lang w:eastAsia="cs-CZ"/>
              </w:rPr>
              <w:t>2</w:t>
            </w:r>
            <w:r w:rsidRPr="00B531E6">
              <w:rPr>
                <w:rFonts w:ascii="Calibri" w:eastAsia="Times New Roman" w:hAnsi="Calibri" w:cs="Calibri"/>
                <w:b/>
                <w:bCs/>
                <w:sz w:val="20"/>
                <w:szCs w:val="20"/>
                <w:lang w:eastAsia="cs-CZ"/>
              </w:rPr>
              <w:t>)</w:t>
            </w:r>
          </w:p>
        </w:tc>
        <w:tc>
          <w:tcPr>
            <w:tcW w:w="521" w:type="pct"/>
            <w:shd w:val="clear" w:color="auto" w:fill="F2F2F2"/>
            <w:noWrap/>
            <w:vAlign w:val="center"/>
            <w:hideMark/>
          </w:tcPr>
          <w:p w14:paraId="17CBE22F" w14:textId="77777777" w:rsidR="002E44EC" w:rsidRPr="002E44EC" w:rsidRDefault="002E44EC" w:rsidP="002E44EC">
            <w:pPr>
              <w:jc w:val="center"/>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NMVOC</w:t>
            </w:r>
          </w:p>
        </w:tc>
        <w:tc>
          <w:tcPr>
            <w:tcW w:w="466" w:type="pct"/>
            <w:shd w:val="clear" w:color="auto" w:fill="F2F2F2"/>
            <w:noWrap/>
            <w:vAlign w:val="center"/>
            <w:hideMark/>
          </w:tcPr>
          <w:p w14:paraId="03B0EE0F" w14:textId="77777777" w:rsidR="002E44EC" w:rsidRPr="002E44EC" w:rsidRDefault="002E44EC" w:rsidP="002E44EC">
            <w:pPr>
              <w:jc w:val="center"/>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PM</w:t>
            </w:r>
            <w:r w:rsidRPr="002E44EC">
              <w:rPr>
                <w:rFonts w:ascii="Calibri" w:eastAsia="Times New Roman" w:hAnsi="Calibri" w:cs="Calibri"/>
                <w:b/>
                <w:bCs/>
                <w:color w:val="000000"/>
                <w:sz w:val="20"/>
                <w:szCs w:val="20"/>
                <w:vertAlign w:val="subscript"/>
                <w:lang w:eastAsia="cs-CZ"/>
              </w:rPr>
              <w:t>10</w:t>
            </w:r>
          </w:p>
        </w:tc>
        <w:tc>
          <w:tcPr>
            <w:tcW w:w="466" w:type="pct"/>
            <w:shd w:val="clear" w:color="auto" w:fill="F2F2F2"/>
            <w:noWrap/>
            <w:vAlign w:val="center"/>
            <w:hideMark/>
          </w:tcPr>
          <w:p w14:paraId="35A965C7" w14:textId="77777777" w:rsidR="002E44EC" w:rsidRPr="002E44EC" w:rsidRDefault="002E44EC" w:rsidP="002E44EC">
            <w:pPr>
              <w:jc w:val="center"/>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PM</w:t>
            </w:r>
            <w:r w:rsidRPr="002E44EC">
              <w:rPr>
                <w:rFonts w:ascii="Calibri" w:eastAsia="Times New Roman" w:hAnsi="Calibri" w:cs="Calibri"/>
                <w:b/>
                <w:bCs/>
                <w:color w:val="000000"/>
                <w:sz w:val="20"/>
                <w:szCs w:val="20"/>
                <w:vertAlign w:val="subscript"/>
                <w:lang w:eastAsia="cs-CZ"/>
              </w:rPr>
              <w:t>2,5</w:t>
            </w:r>
          </w:p>
        </w:tc>
      </w:tr>
      <w:tr w:rsidR="002E44EC" w:rsidRPr="002E44EC" w14:paraId="4C4505F7" w14:textId="77777777" w:rsidTr="002E6234">
        <w:trPr>
          <w:trHeight w:val="20"/>
        </w:trPr>
        <w:tc>
          <w:tcPr>
            <w:tcW w:w="2187" w:type="pct"/>
            <w:gridSpan w:val="2"/>
            <w:shd w:val="clear" w:color="auto" w:fill="auto"/>
            <w:vAlign w:val="center"/>
            <w:hideMark/>
          </w:tcPr>
          <w:p w14:paraId="5C94888C" w14:textId="4AFE067C" w:rsidR="002E44EC" w:rsidRPr="002E44EC" w:rsidRDefault="002E44EC" w:rsidP="002E44EC">
            <w:pPr>
              <w:rPr>
                <w:rFonts w:ascii="Calibri" w:eastAsia="Times New Roman" w:hAnsi="Calibri" w:cs="Calibri"/>
                <w:sz w:val="20"/>
                <w:szCs w:val="20"/>
                <w:lang w:eastAsia="cs-CZ"/>
              </w:rPr>
            </w:pPr>
            <w:r w:rsidRPr="002E44EC">
              <w:rPr>
                <w:rFonts w:ascii="Calibri" w:eastAsia="Times New Roman" w:hAnsi="Calibri" w:cs="Calibri"/>
                <w:sz w:val="20"/>
                <w:szCs w:val="20"/>
                <w:lang w:eastAsia="cs-CZ"/>
              </w:rPr>
              <w:t>Projekty</w:t>
            </w:r>
            <w:r w:rsidR="00F10A3C">
              <w:rPr>
                <w:rFonts w:ascii="Calibri" w:eastAsia="Times New Roman" w:hAnsi="Calibri" w:cs="Calibri"/>
                <w:sz w:val="20"/>
                <w:szCs w:val="20"/>
                <w:lang w:eastAsia="cs-CZ"/>
              </w:rPr>
              <w:t xml:space="preserve"> ukončené k 31. 12. 2022</w:t>
            </w:r>
            <w:r w:rsidRPr="002E44EC">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w:t>
            </w:r>
            <w:r w:rsidRPr="002E44EC">
              <w:rPr>
                <w:rFonts w:ascii="Calibri" w:eastAsia="Times New Roman" w:hAnsi="Calibri" w:cs="Calibri"/>
                <w:sz w:val="20"/>
                <w:szCs w:val="20"/>
                <w:lang w:eastAsia="cs-CZ"/>
              </w:rPr>
              <w:t xml:space="preserve"> </w:t>
            </w:r>
            <w:r w:rsidR="002E6234">
              <w:rPr>
                <w:rFonts w:ascii="Calibri" w:eastAsia="Times New Roman" w:hAnsi="Calibri" w:cs="Calibri"/>
                <w:sz w:val="20"/>
                <w:szCs w:val="20"/>
                <w:lang w:eastAsia="cs-CZ"/>
              </w:rPr>
              <w:t>d</w:t>
            </w:r>
            <w:r w:rsidRPr="002E44EC">
              <w:rPr>
                <w:rFonts w:ascii="Calibri" w:eastAsia="Times New Roman" w:hAnsi="Calibri" w:cs="Calibri"/>
                <w:sz w:val="20"/>
                <w:szCs w:val="20"/>
                <w:lang w:eastAsia="cs-CZ"/>
              </w:rPr>
              <w:t xml:space="preserve">osažené roční snížení emisí znečišťujících látek </w:t>
            </w:r>
          </w:p>
        </w:tc>
        <w:tc>
          <w:tcPr>
            <w:tcW w:w="838" w:type="pct"/>
            <w:shd w:val="clear" w:color="auto" w:fill="auto"/>
            <w:noWrap/>
            <w:vAlign w:val="center"/>
            <w:hideMark/>
          </w:tcPr>
          <w:p w14:paraId="494747B6"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631,31</w:t>
            </w:r>
          </w:p>
        </w:tc>
        <w:tc>
          <w:tcPr>
            <w:tcW w:w="521" w:type="pct"/>
            <w:shd w:val="clear" w:color="auto" w:fill="auto"/>
            <w:noWrap/>
            <w:vAlign w:val="center"/>
            <w:hideMark/>
          </w:tcPr>
          <w:p w14:paraId="4E96FDB0"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80,81</w:t>
            </w:r>
          </w:p>
        </w:tc>
        <w:tc>
          <w:tcPr>
            <w:tcW w:w="521" w:type="pct"/>
            <w:shd w:val="clear" w:color="auto" w:fill="auto"/>
            <w:noWrap/>
            <w:vAlign w:val="center"/>
            <w:hideMark/>
          </w:tcPr>
          <w:p w14:paraId="118F2A59"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36,67</w:t>
            </w:r>
          </w:p>
        </w:tc>
        <w:tc>
          <w:tcPr>
            <w:tcW w:w="466" w:type="pct"/>
            <w:shd w:val="clear" w:color="auto" w:fill="auto"/>
            <w:noWrap/>
            <w:vAlign w:val="center"/>
            <w:hideMark/>
          </w:tcPr>
          <w:p w14:paraId="3C5850E7"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737,98</w:t>
            </w:r>
          </w:p>
        </w:tc>
        <w:tc>
          <w:tcPr>
            <w:tcW w:w="466" w:type="pct"/>
            <w:shd w:val="clear" w:color="auto" w:fill="auto"/>
            <w:noWrap/>
            <w:vAlign w:val="center"/>
            <w:hideMark/>
          </w:tcPr>
          <w:p w14:paraId="23248D14"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295,29</w:t>
            </w:r>
          </w:p>
        </w:tc>
      </w:tr>
      <w:tr w:rsidR="008B4925" w:rsidRPr="002E44EC" w14:paraId="5F9D32E5" w14:textId="77777777" w:rsidTr="002E6234">
        <w:trPr>
          <w:trHeight w:val="20"/>
        </w:trPr>
        <w:tc>
          <w:tcPr>
            <w:tcW w:w="935" w:type="pct"/>
            <w:vMerge w:val="restart"/>
            <w:shd w:val="clear" w:color="auto" w:fill="auto"/>
            <w:vAlign w:val="center"/>
            <w:hideMark/>
          </w:tcPr>
          <w:p w14:paraId="0F02BC6F" w14:textId="3C9C71C9" w:rsidR="002E44EC" w:rsidRPr="002E44EC" w:rsidRDefault="002E44EC" w:rsidP="000A388A">
            <w:pPr>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Emisní bilance</w:t>
            </w:r>
            <w:r w:rsidRPr="002E44EC">
              <w:rPr>
                <w:rFonts w:ascii="Calibri" w:eastAsia="Times New Roman" w:hAnsi="Calibri" w:cs="Calibri"/>
                <w:color w:val="000000"/>
                <w:sz w:val="20"/>
                <w:szCs w:val="20"/>
                <w:lang w:eastAsia="cs-CZ"/>
              </w:rPr>
              <w:br/>
              <w:t xml:space="preserve"> REZZO</w:t>
            </w:r>
            <w:r w:rsidRPr="002E44EC">
              <w:rPr>
                <w:rFonts w:ascii="Calibri" w:eastAsia="Times New Roman" w:hAnsi="Calibri" w:cs="Calibri"/>
                <w:b/>
                <w:color w:val="000000"/>
                <w:sz w:val="20"/>
                <w:szCs w:val="20"/>
                <w:vertAlign w:val="superscript"/>
                <w:lang w:eastAsia="cs-CZ"/>
              </w:rPr>
              <w:t>1</w:t>
            </w:r>
          </w:p>
        </w:tc>
        <w:tc>
          <w:tcPr>
            <w:tcW w:w="1252" w:type="pct"/>
            <w:shd w:val="clear" w:color="auto" w:fill="auto"/>
            <w:noWrap/>
            <w:vAlign w:val="center"/>
            <w:hideMark/>
          </w:tcPr>
          <w:p w14:paraId="7703B0C8" w14:textId="77777777" w:rsidR="002E44EC" w:rsidRPr="002E44EC" w:rsidRDefault="002E44EC" w:rsidP="002E44EC">
            <w:pPr>
              <w:rPr>
                <w:rFonts w:ascii="Calibri" w:eastAsia="Times New Roman" w:hAnsi="Calibri" w:cs="Calibri"/>
                <w:sz w:val="20"/>
                <w:szCs w:val="20"/>
                <w:lang w:eastAsia="cs-CZ"/>
              </w:rPr>
            </w:pPr>
            <w:r w:rsidRPr="002E44EC">
              <w:rPr>
                <w:rFonts w:ascii="Calibri" w:eastAsia="Times New Roman" w:hAnsi="Calibri" w:cs="Calibri"/>
                <w:sz w:val="20"/>
                <w:szCs w:val="20"/>
                <w:lang w:eastAsia="cs-CZ"/>
              </w:rPr>
              <w:t>Roční emise 2014</w:t>
            </w:r>
          </w:p>
        </w:tc>
        <w:tc>
          <w:tcPr>
            <w:tcW w:w="838" w:type="pct"/>
            <w:shd w:val="clear" w:color="auto" w:fill="auto"/>
            <w:noWrap/>
            <w:vAlign w:val="center"/>
            <w:hideMark/>
          </w:tcPr>
          <w:p w14:paraId="63A1ED47"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114 885,60</w:t>
            </w:r>
          </w:p>
        </w:tc>
        <w:tc>
          <w:tcPr>
            <w:tcW w:w="521" w:type="pct"/>
            <w:shd w:val="clear" w:color="auto" w:fill="auto"/>
            <w:noWrap/>
            <w:vAlign w:val="center"/>
            <w:hideMark/>
          </w:tcPr>
          <w:p w14:paraId="5618AA1D"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91 760,04</w:t>
            </w:r>
          </w:p>
        </w:tc>
        <w:tc>
          <w:tcPr>
            <w:tcW w:w="521" w:type="pct"/>
            <w:shd w:val="clear" w:color="auto" w:fill="auto"/>
            <w:noWrap/>
            <w:vAlign w:val="center"/>
            <w:hideMark/>
          </w:tcPr>
          <w:p w14:paraId="0B42F4E7"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22 407,51</w:t>
            </w:r>
          </w:p>
        </w:tc>
        <w:tc>
          <w:tcPr>
            <w:tcW w:w="466" w:type="pct"/>
            <w:shd w:val="clear" w:color="auto" w:fill="auto"/>
            <w:noWrap/>
            <w:vAlign w:val="center"/>
            <w:hideMark/>
          </w:tcPr>
          <w:p w14:paraId="22B9F7A5"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7 295,10</w:t>
            </w:r>
          </w:p>
        </w:tc>
        <w:tc>
          <w:tcPr>
            <w:tcW w:w="466" w:type="pct"/>
            <w:shd w:val="clear" w:color="auto" w:fill="auto"/>
            <w:noWrap/>
            <w:vAlign w:val="center"/>
            <w:hideMark/>
          </w:tcPr>
          <w:p w14:paraId="535E317C"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4 854,33</w:t>
            </w:r>
          </w:p>
        </w:tc>
      </w:tr>
      <w:tr w:rsidR="008B4925" w:rsidRPr="002E44EC" w14:paraId="21208EA7" w14:textId="77777777" w:rsidTr="002E6234">
        <w:trPr>
          <w:trHeight w:val="20"/>
        </w:trPr>
        <w:tc>
          <w:tcPr>
            <w:tcW w:w="935" w:type="pct"/>
            <w:vMerge/>
            <w:vAlign w:val="center"/>
            <w:hideMark/>
          </w:tcPr>
          <w:p w14:paraId="2CB654A8" w14:textId="77777777" w:rsidR="002E44EC" w:rsidRPr="002E44EC" w:rsidRDefault="002E44EC" w:rsidP="000A388A">
            <w:pPr>
              <w:rPr>
                <w:rFonts w:ascii="Calibri" w:eastAsia="Times New Roman" w:hAnsi="Calibri" w:cs="Calibri"/>
                <w:color w:val="000000"/>
                <w:sz w:val="20"/>
                <w:szCs w:val="20"/>
                <w:lang w:eastAsia="cs-CZ"/>
              </w:rPr>
            </w:pPr>
          </w:p>
        </w:tc>
        <w:tc>
          <w:tcPr>
            <w:tcW w:w="1252" w:type="pct"/>
            <w:shd w:val="clear" w:color="auto" w:fill="auto"/>
            <w:vAlign w:val="center"/>
            <w:hideMark/>
          </w:tcPr>
          <w:p w14:paraId="69DA8639" w14:textId="7EB48623" w:rsidR="002E44EC" w:rsidRPr="002E44EC" w:rsidRDefault="002E44EC" w:rsidP="002E44EC">
            <w:pPr>
              <w:rPr>
                <w:rFonts w:ascii="Calibri" w:eastAsia="Times New Roman" w:hAnsi="Calibri" w:cs="Calibri"/>
                <w:sz w:val="20"/>
                <w:szCs w:val="20"/>
                <w:lang w:eastAsia="cs-CZ"/>
              </w:rPr>
            </w:pPr>
            <w:r w:rsidRPr="002E44EC">
              <w:rPr>
                <w:rFonts w:ascii="Calibri" w:eastAsia="Times New Roman" w:hAnsi="Calibri" w:cs="Calibri"/>
                <w:sz w:val="20"/>
                <w:szCs w:val="20"/>
                <w:lang w:eastAsia="cs-CZ"/>
              </w:rPr>
              <w:t>Roční emise 2022</w:t>
            </w:r>
            <w:r w:rsidRPr="002E44EC">
              <w:rPr>
                <w:rFonts w:ascii="Calibri" w:eastAsia="Times New Roman" w:hAnsi="Calibri" w:cs="Calibri"/>
                <w:sz w:val="20"/>
                <w:szCs w:val="20"/>
                <w:lang w:eastAsia="cs-CZ"/>
              </w:rPr>
              <w:br/>
              <w:t>(předběžn</w:t>
            </w:r>
            <w:r>
              <w:rPr>
                <w:rFonts w:ascii="Calibri" w:eastAsia="Times New Roman" w:hAnsi="Calibri" w:cs="Calibri"/>
                <w:sz w:val="20"/>
                <w:szCs w:val="20"/>
                <w:lang w:eastAsia="cs-CZ"/>
              </w:rPr>
              <w:t>á</w:t>
            </w:r>
            <w:r w:rsidRPr="002E44EC">
              <w:rPr>
                <w:rFonts w:ascii="Calibri" w:eastAsia="Times New Roman" w:hAnsi="Calibri" w:cs="Calibri"/>
                <w:sz w:val="20"/>
                <w:szCs w:val="20"/>
                <w:lang w:eastAsia="cs-CZ"/>
              </w:rPr>
              <w:t xml:space="preserve"> data)</w:t>
            </w:r>
          </w:p>
        </w:tc>
        <w:tc>
          <w:tcPr>
            <w:tcW w:w="838" w:type="pct"/>
            <w:shd w:val="clear" w:color="auto" w:fill="auto"/>
            <w:noWrap/>
            <w:vAlign w:val="center"/>
            <w:hideMark/>
          </w:tcPr>
          <w:p w14:paraId="7F5C26B3"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46 960,35</w:t>
            </w:r>
          </w:p>
        </w:tc>
        <w:tc>
          <w:tcPr>
            <w:tcW w:w="521" w:type="pct"/>
            <w:shd w:val="clear" w:color="auto" w:fill="auto"/>
            <w:noWrap/>
            <w:vAlign w:val="center"/>
            <w:hideMark/>
          </w:tcPr>
          <w:p w14:paraId="0D4593BF"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60 159,34</w:t>
            </w:r>
          </w:p>
        </w:tc>
        <w:tc>
          <w:tcPr>
            <w:tcW w:w="521" w:type="pct"/>
            <w:shd w:val="clear" w:color="auto" w:fill="auto"/>
            <w:noWrap/>
            <w:vAlign w:val="center"/>
            <w:hideMark/>
          </w:tcPr>
          <w:p w14:paraId="4141BD76"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17 168,36</w:t>
            </w:r>
          </w:p>
        </w:tc>
        <w:tc>
          <w:tcPr>
            <w:tcW w:w="466" w:type="pct"/>
            <w:shd w:val="clear" w:color="auto" w:fill="auto"/>
            <w:noWrap/>
            <w:vAlign w:val="center"/>
            <w:hideMark/>
          </w:tcPr>
          <w:p w14:paraId="120E1EC1"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4 027,47</w:t>
            </w:r>
          </w:p>
        </w:tc>
        <w:tc>
          <w:tcPr>
            <w:tcW w:w="466" w:type="pct"/>
            <w:shd w:val="clear" w:color="auto" w:fill="auto"/>
            <w:noWrap/>
            <w:vAlign w:val="center"/>
            <w:hideMark/>
          </w:tcPr>
          <w:p w14:paraId="42BE7F25"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2 587,92</w:t>
            </w:r>
          </w:p>
        </w:tc>
      </w:tr>
      <w:tr w:rsidR="008B4925" w:rsidRPr="002E44EC" w14:paraId="772A0C55" w14:textId="77777777" w:rsidTr="002E6234">
        <w:trPr>
          <w:trHeight w:val="20"/>
        </w:trPr>
        <w:tc>
          <w:tcPr>
            <w:tcW w:w="935" w:type="pct"/>
            <w:vMerge/>
            <w:vAlign w:val="center"/>
            <w:hideMark/>
          </w:tcPr>
          <w:p w14:paraId="790D58D5" w14:textId="77777777" w:rsidR="002E44EC" w:rsidRPr="002E44EC" w:rsidRDefault="002E44EC" w:rsidP="000A388A">
            <w:pPr>
              <w:rPr>
                <w:rFonts w:ascii="Calibri" w:eastAsia="Times New Roman" w:hAnsi="Calibri" w:cs="Calibri"/>
                <w:color w:val="000000"/>
                <w:sz w:val="20"/>
                <w:szCs w:val="20"/>
                <w:lang w:eastAsia="cs-CZ"/>
              </w:rPr>
            </w:pPr>
          </w:p>
        </w:tc>
        <w:tc>
          <w:tcPr>
            <w:tcW w:w="1252" w:type="pct"/>
            <w:shd w:val="clear" w:color="auto" w:fill="auto"/>
            <w:vAlign w:val="center"/>
            <w:hideMark/>
          </w:tcPr>
          <w:p w14:paraId="1015DE1D" w14:textId="77777777" w:rsidR="002E44EC" w:rsidRPr="002E44EC" w:rsidRDefault="002E44EC" w:rsidP="002E44EC">
            <w:pPr>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Podíl projektů na změně v ročních emisích [%]</w:t>
            </w:r>
          </w:p>
        </w:tc>
        <w:tc>
          <w:tcPr>
            <w:tcW w:w="838" w:type="pct"/>
            <w:shd w:val="clear" w:color="auto" w:fill="auto"/>
            <w:noWrap/>
            <w:vAlign w:val="center"/>
            <w:hideMark/>
          </w:tcPr>
          <w:p w14:paraId="31F6C664" w14:textId="77777777" w:rsidR="002E44EC" w:rsidRPr="002E44EC" w:rsidRDefault="002E44EC" w:rsidP="002E6234">
            <w:pPr>
              <w:jc w:val="right"/>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0,93</w:t>
            </w:r>
          </w:p>
        </w:tc>
        <w:tc>
          <w:tcPr>
            <w:tcW w:w="521" w:type="pct"/>
            <w:shd w:val="clear" w:color="auto" w:fill="auto"/>
            <w:noWrap/>
            <w:vAlign w:val="center"/>
            <w:hideMark/>
          </w:tcPr>
          <w:p w14:paraId="6325CB95" w14:textId="77777777" w:rsidR="002E44EC" w:rsidRPr="002E44EC" w:rsidRDefault="002E44EC" w:rsidP="002E6234">
            <w:pPr>
              <w:jc w:val="right"/>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0,26</w:t>
            </w:r>
          </w:p>
        </w:tc>
        <w:tc>
          <w:tcPr>
            <w:tcW w:w="521" w:type="pct"/>
            <w:shd w:val="clear" w:color="auto" w:fill="auto"/>
            <w:noWrap/>
            <w:vAlign w:val="center"/>
            <w:hideMark/>
          </w:tcPr>
          <w:p w14:paraId="3C000A7E" w14:textId="77777777" w:rsidR="002E44EC" w:rsidRPr="002E44EC" w:rsidRDefault="002E44EC" w:rsidP="002E6234">
            <w:pPr>
              <w:jc w:val="right"/>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0,70</w:t>
            </w:r>
          </w:p>
        </w:tc>
        <w:tc>
          <w:tcPr>
            <w:tcW w:w="466" w:type="pct"/>
            <w:shd w:val="clear" w:color="auto" w:fill="auto"/>
            <w:noWrap/>
            <w:vAlign w:val="center"/>
            <w:hideMark/>
          </w:tcPr>
          <w:p w14:paraId="689F44CF" w14:textId="77777777" w:rsidR="002E44EC" w:rsidRPr="002E44EC" w:rsidRDefault="002E44EC" w:rsidP="002E6234">
            <w:pPr>
              <w:jc w:val="right"/>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22,58</w:t>
            </w:r>
          </w:p>
        </w:tc>
        <w:tc>
          <w:tcPr>
            <w:tcW w:w="466" w:type="pct"/>
            <w:shd w:val="clear" w:color="auto" w:fill="auto"/>
            <w:noWrap/>
            <w:vAlign w:val="center"/>
            <w:hideMark/>
          </w:tcPr>
          <w:p w14:paraId="411FAC84" w14:textId="77777777" w:rsidR="002E44EC" w:rsidRPr="002E44EC" w:rsidRDefault="002E44EC" w:rsidP="002E6234">
            <w:pPr>
              <w:jc w:val="right"/>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13,03</w:t>
            </w:r>
          </w:p>
        </w:tc>
      </w:tr>
      <w:tr w:rsidR="008B4925" w:rsidRPr="002E44EC" w14:paraId="27C5625B" w14:textId="77777777" w:rsidTr="002E6234">
        <w:trPr>
          <w:trHeight w:val="20"/>
        </w:trPr>
        <w:tc>
          <w:tcPr>
            <w:tcW w:w="935" w:type="pct"/>
            <w:vMerge w:val="restart"/>
            <w:shd w:val="clear" w:color="auto" w:fill="auto"/>
            <w:vAlign w:val="center"/>
            <w:hideMark/>
          </w:tcPr>
          <w:p w14:paraId="2328048E" w14:textId="78BE62EE" w:rsidR="002E44EC" w:rsidRPr="002E44EC" w:rsidRDefault="002E44EC" w:rsidP="000A388A">
            <w:pPr>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Emisní bilance ČR</w:t>
            </w:r>
            <w:r w:rsidRPr="002E44EC">
              <w:rPr>
                <w:rFonts w:ascii="Calibri" w:eastAsia="Times New Roman" w:hAnsi="Calibri" w:cs="Calibri"/>
                <w:color w:val="000000"/>
                <w:sz w:val="20"/>
                <w:szCs w:val="20"/>
                <w:lang w:eastAsia="cs-CZ"/>
              </w:rPr>
              <w:br/>
              <w:t>v členění podle mezinárodních sektorů (NFR)</w:t>
            </w:r>
            <w:r w:rsidRPr="002E44EC">
              <w:rPr>
                <w:rFonts w:ascii="Calibri" w:eastAsia="Times New Roman" w:hAnsi="Calibri" w:cs="Calibri"/>
                <w:b/>
                <w:color w:val="000000"/>
                <w:sz w:val="20"/>
                <w:szCs w:val="20"/>
                <w:vertAlign w:val="superscript"/>
                <w:lang w:eastAsia="cs-CZ"/>
              </w:rPr>
              <w:t>2</w:t>
            </w:r>
          </w:p>
        </w:tc>
        <w:tc>
          <w:tcPr>
            <w:tcW w:w="1252" w:type="pct"/>
            <w:shd w:val="clear" w:color="auto" w:fill="auto"/>
            <w:noWrap/>
            <w:vAlign w:val="center"/>
            <w:hideMark/>
          </w:tcPr>
          <w:p w14:paraId="51436FCF" w14:textId="77777777" w:rsidR="002E44EC" w:rsidRPr="002E44EC" w:rsidRDefault="002E44EC" w:rsidP="002E44EC">
            <w:pPr>
              <w:rPr>
                <w:rFonts w:ascii="Calibri" w:eastAsia="Times New Roman" w:hAnsi="Calibri" w:cs="Calibri"/>
                <w:sz w:val="20"/>
                <w:szCs w:val="20"/>
                <w:lang w:eastAsia="cs-CZ"/>
              </w:rPr>
            </w:pPr>
            <w:r w:rsidRPr="002E44EC">
              <w:rPr>
                <w:rFonts w:ascii="Calibri" w:eastAsia="Times New Roman" w:hAnsi="Calibri" w:cs="Calibri"/>
                <w:sz w:val="20"/>
                <w:szCs w:val="20"/>
                <w:lang w:eastAsia="cs-CZ"/>
              </w:rPr>
              <w:t>Roční emise 2014</w:t>
            </w:r>
          </w:p>
        </w:tc>
        <w:tc>
          <w:tcPr>
            <w:tcW w:w="838" w:type="pct"/>
            <w:shd w:val="clear" w:color="auto" w:fill="auto"/>
            <w:noWrap/>
            <w:vAlign w:val="center"/>
            <w:hideMark/>
          </w:tcPr>
          <w:p w14:paraId="23254931"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110 486,12</w:t>
            </w:r>
          </w:p>
        </w:tc>
        <w:tc>
          <w:tcPr>
            <w:tcW w:w="521" w:type="pct"/>
            <w:shd w:val="clear" w:color="auto" w:fill="auto"/>
            <w:noWrap/>
            <w:vAlign w:val="center"/>
            <w:hideMark/>
          </w:tcPr>
          <w:p w14:paraId="6875B357"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83 823,77</w:t>
            </w:r>
          </w:p>
        </w:tc>
        <w:tc>
          <w:tcPr>
            <w:tcW w:w="521" w:type="pct"/>
            <w:shd w:val="clear" w:color="auto" w:fill="auto"/>
            <w:noWrap/>
            <w:vAlign w:val="center"/>
            <w:hideMark/>
          </w:tcPr>
          <w:p w14:paraId="066E08F2"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23 526,00</w:t>
            </w:r>
          </w:p>
        </w:tc>
        <w:tc>
          <w:tcPr>
            <w:tcW w:w="466" w:type="pct"/>
            <w:shd w:val="clear" w:color="auto" w:fill="auto"/>
            <w:noWrap/>
            <w:vAlign w:val="center"/>
            <w:hideMark/>
          </w:tcPr>
          <w:p w14:paraId="4659D473"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9 860,61</w:t>
            </w:r>
          </w:p>
        </w:tc>
        <w:tc>
          <w:tcPr>
            <w:tcW w:w="466" w:type="pct"/>
            <w:shd w:val="clear" w:color="auto" w:fill="auto"/>
            <w:noWrap/>
            <w:vAlign w:val="center"/>
            <w:hideMark/>
          </w:tcPr>
          <w:p w14:paraId="7F3823E1"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4 954,39</w:t>
            </w:r>
          </w:p>
        </w:tc>
      </w:tr>
      <w:tr w:rsidR="008B4925" w:rsidRPr="002E44EC" w14:paraId="1C539840" w14:textId="77777777" w:rsidTr="002E6234">
        <w:trPr>
          <w:trHeight w:val="20"/>
        </w:trPr>
        <w:tc>
          <w:tcPr>
            <w:tcW w:w="935" w:type="pct"/>
            <w:vMerge/>
            <w:vAlign w:val="center"/>
            <w:hideMark/>
          </w:tcPr>
          <w:p w14:paraId="5A5AFB06" w14:textId="77777777" w:rsidR="002E44EC" w:rsidRPr="002E44EC" w:rsidRDefault="002E44EC" w:rsidP="002E44EC">
            <w:pPr>
              <w:rPr>
                <w:rFonts w:ascii="Calibri" w:eastAsia="Times New Roman" w:hAnsi="Calibri" w:cs="Calibri"/>
                <w:color w:val="000000"/>
                <w:sz w:val="20"/>
                <w:szCs w:val="20"/>
                <w:lang w:eastAsia="cs-CZ"/>
              </w:rPr>
            </w:pPr>
          </w:p>
        </w:tc>
        <w:tc>
          <w:tcPr>
            <w:tcW w:w="1252" w:type="pct"/>
            <w:shd w:val="clear" w:color="auto" w:fill="auto"/>
            <w:vAlign w:val="center"/>
            <w:hideMark/>
          </w:tcPr>
          <w:p w14:paraId="6F5CF755" w14:textId="77777777" w:rsidR="002E44EC" w:rsidRPr="002E44EC" w:rsidRDefault="002E44EC" w:rsidP="002E44EC">
            <w:pPr>
              <w:rPr>
                <w:rFonts w:ascii="Calibri" w:eastAsia="Times New Roman" w:hAnsi="Calibri" w:cs="Calibri"/>
                <w:sz w:val="20"/>
                <w:szCs w:val="20"/>
                <w:lang w:eastAsia="cs-CZ"/>
              </w:rPr>
            </w:pPr>
            <w:r w:rsidRPr="002E44EC">
              <w:rPr>
                <w:rFonts w:ascii="Calibri" w:eastAsia="Times New Roman" w:hAnsi="Calibri" w:cs="Calibri"/>
                <w:sz w:val="20"/>
                <w:szCs w:val="20"/>
                <w:lang w:eastAsia="cs-CZ"/>
              </w:rPr>
              <w:t>Roční emise 2022</w:t>
            </w:r>
          </w:p>
        </w:tc>
        <w:tc>
          <w:tcPr>
            <w:tcW w:w="838" w:type="pct"/>
            <w:shd w:val="clear" w:color="auto" w:fill="auto"/>
            <w:noWrap/>
            <w:vAlign w:val="center"/>
            <w:hideMark/>
          </w:tcPr>
          <w:p w14:paraId="5C897622"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44 447,52</w:t>
            </w:r>
          </w:p>
        </w:tc>
        <w:tc>
          <w:tcPr>
            <w:tcW w:w="521" w:type="pct"/>
            <w:shd w:val="clear" w:color="auto" w:fill="auto"/>
            <w:noWrap/>
            <w:vAlign w:val="center"/>
            <w:hideMark/>
          </w:tcPr>
          <w:p w14:paraId="2085D2BE"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53 882,08</w:t>
            </w:r>
          </w:p>
        </w:tc>
        <w:tc>
          <w:tcPr>
            <w:tcW w:w="521" w:type="pct"/>
            <w:shd w:val="clear" w:color="auto" w:fill="auto"/>
            <w:noWrap/>
            <w:vAlign w:val="center"/>
            <w:hideMark/>
          </w:tcPr>
          <w:p w14:paraId="48F27513"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18 448,34</w:t>
            </w:r>
          </w:p>
        </w:tc>
        <w:tc>
          <w:tcPr>
            <w:tcW w:w="466" w:type="pct"/>
            <w:shd w:val="clear" w:color="auto" w:fill="auto"/>
            <w:noWrap/>
            <w:vAlign w:val="center"/>
            <w:hideMark/>
          </w:tcPr>
          <w:p w14:paraId="188240A2"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6 998,60</w:t>
            </w:r>
          </w:p>
        </w:tc>
        <w:tc>
          <w:tcPr>
            <w:tcW w:w="466" w:type="pct"/>
            <w:shd w:val="clear" w:color="auto" w:fill="auto"/>
            <w:noWrap/>
            <w:vAlign w:val="center"/>
            <w:hideMark/>
          </w:tcPr>
          <w:p w14:paraId="57F63B73" w14:textId="77777777" w:rsidR="002E44EC" w:rsidRPr="002E44EC" w:rsidRDefault="002E44EC" w:rsidP="002E6234">
            <w:pPr>
              <w:jc w:val="right"/>
              <w:rPr>
                <w:rFonts w:ascii="Calibri" w:eastAsia="Times New Roman" w:hAnsi="Calibri" w:cs="Calibri"/>
                <w:color w:val="000000"/>
                <w:sz w:val="20"/>
                <w:szCs w:val="20"/>
                <w:lang w:eastAsia="cs-CZ"/>
              </w:rPr>
            </w:pPr>
            <w:r w:rsidRPr="002E44EC">
              <w:rPr>
                <w:rFonts w:ascii="Calibri" w:eastAsia="Times New Roman" w:hAnsi="Calibri" w:cs="Calibri"/>
                <w:color w:val="000000"/>
                <w:sz w:val="20"/>
                <w:szCs w:val="20"/>
                <w:lang w:eastAsia="cs-CZ"/>
              </w:rPr>
              <w:t>2 938,67</w:t>
            </w:r>
          </w:p>
        </w:tc>
      </w:tr>
      <w:tr w:rsidR="008B4925" w:rsidRPr="002E44EC" w14:paraId="6277AAD2" w14:textId="77777777" w:rsidTr="002E6234">
        <w:trPr>
          <w:trHeight w:val="20"/>
        </w:trPr>
        <w:tc>
          <w:tcPr>
            <w:tcW w:w="935" w:type="pct"/>
            <w:vMerge/>
            <w:vAlign w:val="center"/>
            <w:hideMark/>
          </w:tcPr>
          <w:p w14:paraId="4E049130" w14:textId="77777777" w:rsidR="002E44EC" w:rsidRPr="002E44EC" w:rsidRDefault="002E44EC" w:rsidP="002E44EC">
            <w:pPr>
              <w:rPr>
                <w:rFonts w:ascii="Calibri" w:eastAsia="Times New Roman" w:hAnsi="Calibri" w:cs="Calibri"/>
                <w:color w:val="000000"/>
                <w:sz w:val="20"/>
                <w:szCs w:val="20"/>
                <w:lang w:eastAsia="cs-CZ"/>
              </w:rPr>
            </w:pPr>
          </w:p>
        </w:tc>
        <w:tc>
          <w:tcPr>
            <w:tcW w:w="1252" w:type="pct"/>
            <w:shd w:val="clear" w:color="auto" w:fill="auto"/>
            <w:vAlign w:val="center"/>
            <w:hideMark/>
          </w:tcPr>
          <w:p w14:paraId="2042B249" w14:textId="77777777" w:rsidR="002E44EC" w:rsidRPr="002E44EC" w:rsidRDefault="002E44EC" w:rsidP="002E44EC">
            <w:pPr>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Podíl projektů na změně v ročních emisích [%]</w:t>
            </w:r>
          </w:p>
        </w:tc>
        <w:tc>
          <w:tcPr>
            <w:tcW w:w="838" w:type="pct"/>
            <w:shd w:val="clear" w:color="auto" w:fill="auto"/>
            <w:noWrap/>
            <w:vAlign w:val="center"/>
            <w:hideMark/>
          </w:tcPr>
          <w:p w14:paraId="39BE57D0" w14:textId="77777777" w:rsidR="002E44EC" w:rsidRPr="002E44EC" w:rsidRDefault="002E44EC" w:rsidP="002E6234">
            <w:pPr>
              <w:jc w:val="right"/>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0,96</w:t>
            </w:r>
          </w:p>
        </w:tc>
        <w:tc>
          <w:tcPr>
            <w:tcW w:w="521" w:type="pct"/>
            <w:shd w:val="clear" w:color="auto" w:fill="auto"/>
            <w:noWrap/>
            <w:vAlign w:val="center"/>
            <w:hideMark/>
          </w:tcPr>
          <w:p w14:paraId="563B905E" w14:textId="77777777" w:rsidR="002E44EC" w:rsidRPr="002E44EC" w:rsidRDefault="002E44EC" w:rsidP="002E6234">
            <w:pPr>
              <w:jc w:val="right"/>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0,27</w:t>
            </w:r>
          </w:p>
        </w:tc>
        <w:tc>
          <w:tcPr>
            <w:tcW w:w="521" w:type="pct"/>
            <w:shd w:val="clear" w:color="auto" w:fill="auto"/>
            <w:noWrap/>
            <w:vAlign w:val="center"/>
            <w:hideMark/>
          </w:tcPr>
          <w:p w14:paraId="461E3CC4" w14:textId="77777777" w:rsidR="002E44EC" w:rsidRPr="002E44EC" w:rsidRDefault="002E44EC" w:rsidP="002E6234">
            <w:pPr>
              <w:jc w:val="right"/>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0,72</w:t>
            </w:r>
          </w:p>
        </w:tc>
        <w:tc>
          <w:tcPr>
            <w:tcW w:w="466" w:type="pct"/>
            <w:shd w:val="clear" w:color="auto" w:fill="auto"/>
            <w:noWrap/>
            <w:vAlign w:val="center"/>
            <w:hideMark/>
          </w:tcPr>
          <w:p w14:paraId="110E0425" w14:textId="77777777" w:rsidR="002E44EC" w:rsidRPr="002E44EC" w:rsidRDefault="002E44EC" w:rsidP="002E6234">
            <w:pPr>
              <w:jc w:val="right"/>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25,79</w:t>
            </w:r>
          </w:p>
        </w:tc>
        <w:tc>
          <w:tcPr>
            <w:tcW w:w="466" w:type="pct"/>
            <w:shd w:val="clear" w:color="auto" w:fill="auto"/>
            <w:noWrap/>
            <w:vAlign w:val="center"/>
            <w:hideMark/>
          </w:tcPr>
          <w:p w14:paraId="61C1CA38" w14:textId="77777777" w:rsidR="002E44EC" w:rsidRPr="002E44EC" w:rsidRDefault="002E44EC" w:rsidP="002E6234">
            <w:pPr>
              <w:jc w:val="right"/>
              <w:rPr>
                <w:rFonts w:ascii="Calibri" w:eastAsia="Times New Roman" w:hAnsi="Calibri" w:cs="Calibri"/>
                <w:b/>
                <w:bCs/>
                <w:color w:val="000000"/>
                <w:sz w:val="20"/>
                <w:szCs w:val="20"/>
                <w:lang w:eastAsia="cs-CZ"/>
              </w:rPr>
            </w:pPr>
            <w:r w:rsidRPr="002E44EC">
              <w:rPr>
                <w:rFonts w:ascii="Calibri" w:eastAsia="Times New Roman" w:hAnsi="Calibri" w:cs="Calibri"/>
                <w:b/>
                <w:bCs/>
                <w:color w:val="000000"/>
                <w:sz w:val="20"/>
                <w:szCs w:val="20"/>
                <w:lang w:eastAsia="cs-CZ"/>
              </w:rPr>
              <w:t>14,65</w:t>
            </w:r>
          </w:p>
        </w:tc>
      </w:tr>
    </w:tbl>
    <w:p w14:paraId="10AFA011" w14:textId="0E4B9C97" w:rsidR="002E44EC" w:rsidRPr="002E6234" w:rsidRDefault="002E44EC" w:rsidP="00955553">
      <w:pPr>
        <w:pStyle w:val="Zdrojeapozn"/>
        <w:rPr>
          <w:b w:val="0"/>
        </w:rPr>
      </w:pPr>
      <w:r w:rsidRPr="00933DC7">
        <w:t>Zdroj:</w:t>
      </w:r>
      <w:r w:rsidR="002E6234">
        <w:t xml:space="preserve"> </w:t>
      </w:r>
      <w:r w:rsidR="002E6234">
        <w:rPr>
          <w:b w:val="0"/>
        </w:rPr>
        <w:t>i</w:t>
      </w:r>
      <w:r w:rsidRPr="002E6234">
        <w:rPr>
          <w:b w:val="0"/>
        </w:rPr>
        <w:t xml:space="preserve">nformace od </w:t>
      </w:r>
      <w:r w:rsidR="008B4925" w:rsidRPr="002E6234">
        <w:rPr>
          <w:b w:val="0"/>
        </w:rPr>
        <w:t>SFŽP</w:t>
      </w:r>
      <w:r w:rsidRPr="002E6234">
        <w:rPr>
          <w:b w:val="0"/>
        </w:rPr>
        <w:t xml:space="preserve"> a emisní bilance ohlašované ČHMÚ.</w:t>
      </w:r>
    </w:p>
    <w:p w14:paraId="018F8632" w14:textId="77777777" w:rsidR="002E6234" w:rsidRDefault="00586409" w:rsidP="00955553">
      <w:pPr>
        <w:pStyle w:val="Zdrojeapozn"/>
      </w:pPr>
      <w:r>
        <w:t>Pozn.:</w:t>
      </w:r>
    </w:p>
    <w:p w14:paraId="60A4474B" w14:textId="7A1BE6D4" w:rsidR="008B4925" w:rsidRPr="002E6234" w:rsidRDefault="002E44EC" w:rsidP="00955553">
      <w:pPr>
        <w:pStyle w:val="Zdrojeapozn"/>
        <w:rPr>
          <w:b w:val="0"/>
        </w:rPr>
      </w:pPr>
      <w:r w:rsidRPr="002E6234">
        <w:rPr>
          <w:b w:val="0"/>
          <w:vertAlign w:val="superscript"/>
        </w:rPr>
        <w:t>1</w:t>
      </w:r>
      <w:r w:rsidRPr="002E6234">
        <w:rPr>
          <w:b w:val="0"/>
        </w:rPr>
        <w:t xml:space="preserve"> </w:t>
      </w:r>
      <w:r w:rsidR="002E6234">
        <w:rPr>
          <w:b w:val="0"/>
        </w:rPr>
        <w:tab/>
      </w:r>
      <w:r w:rsidR="00B23639" w:rsidRPr="002E6234">
        <w:rPr>
          <w:b w:val="0"/>
        </w:rPr>
        <w:t xml:space="preserve">Emise ze sektoru průmyslu byly převzaty z emisní </w:t>
      </w:r>
      <w:r w:rsidR="00586409" w:rsidRPr="002E6234">
        <w:rPr>
          <w:b w:val="0"/>
        </w:rPr>
        <w:t>bilance REZZO</w:t>
      </w:r>
      <w:r w:rsidR="00B23639" w:rsidRPr="002E6234">
        <w:rPr>
          <w:b w:val="0"/>
        </w:rPr>
        <w:t xml:space="preserve"> sestavované na základě klasifikace </w:t>
      </w:r>
      <w:r w:rsidR="008B4925" w:rsidRPr="002E6234">
        <w:rPr>
          <w:b w:val="0"/>
        </w:rPr>
        <w:t>po</w:t>
      </w:r>
      <w:r w:rsidR="00B23639" w:rsidRPr="002E6234">
        <w:rPr>
          <w:b w:val="0"/>
        </w:rPr>
        <w:t>dle registru emisí a stacionárních zdrojů (REZZO). Převzaty byly údaje o individuálně sledovaných zdrojích REZZO 1 a REZZO 2</w:t>
      </w:r>
      <w:r w:rsidR="008B4925" w:rsidRPr="002E6234">
        <w:rPr>
          <w:b w:val="0"/>
        </w:rPr>
        <w:t xml:space="preserve">. </w:t>
      </w:r>
      <w:r w:rsidR="00F10A3C" w:rsidRPr="002E6234">
        <w:rPr>
          <w:b w:val="0"/>
        </w:rPr>
        <w:t xml:space="preserve">Nejsou zde zahrnuty menší zařízení nespadající do kategorie velkých a středních zdrojů a </w:t>
      </w:r>
      <w:r w:rsidR="008B4925" w:rsidRPr="002E6234">
        <w:rPr>
          <w:b w:val="0"/>
        </w:rPr>
        <w:t xml:space="preserve">emise </w:t>
      </w:r>
      <w:r w:rsidR="00F10A3C" w:rsidRPr="002E6234">
        <w:rPr>
          <w:b w:val="0"/>
        </w:rPr>
        <w:t>z</w:t>
      </w:r>
      <w:r w:rsidR="008B4925" w:rsidRPr="002E6234">
        <w:rPr>
          <w:b w:val="0"/>
        </w:rPr>
        <w:t> plošných zdrojů, které jsou sledovány hromadně a jsou vykazovány společně s emisemi z lokálního vytápění z domácností v rámci REZZO 3.</w:t>
      </w:r>
      <w:r w:rsidR="00B23639" w:rsidRPr="002E6234">
        <w:rPr>
          <w:b w:val="0"/>
        </w:rPr>
        <w:t xml:space="preserve"> Za rok 2022 ČHMÚ poskytl NKÚ předběžné údaje.</w:t>
      </w:r>
    </w:p>
    <w:p w14:paraId="2B8C660C" w14:textId="1B735BD7" w:rsidR="002E44EC" w:rsidRPr="002E6234" w:rsidRDefault="002E44EC" w:rsidP="00955553">
      <w:pPr>
        <w:pStyle w:val="Zdrojeapozn"/>
        <w:rPr>
          <w:b w:val="0"/>
        </w:rPr>
      </w:pPr>
      <w:r w:rsidRPr="002E6234">
        <w:rPr>
          <w:b w:val="0"/>
          <w:vertAlign w:val="superscript"/>
        </w:rPr>
        <w:t xml:space="preserve">2 </w:t>
      </w:r>
      <w:r w:rsidR="002E6234">
        <w:rPr>
          <w:b w:val="0"/>
          <w:vertAlign w:val="superscript"/>
        </w:rPr>
        <w:tab/>
      </w:r>
      <w:r w:rsidRPr="002E6234">
        <w:rPr>
          <w:b w:val="0"/>
        </w:rPr>
        <w:t xml:space="preserve">Emise byly převzaty z emisní bilance ČR ohlášené ČHMÚ podle mezinárodních sektorů (NFR) v březnu 2024 (položky spadající pod seskupení: </w:t>
      </w:r>
      <w:proofErr w:type="spellStart"/>
      <w:r w:rsidR="00586409" w:rsidRPr="002E6234">
        <w:rPr>
          <w:b w:val="0"/>
        </w:rPr>
        <w:t>A_PublicPower</w:t>
      </w:r>
      <w:proofErr w:type="spellEnd"/>
      <w:r w:rsidR="00586409" w:rsidRPr="002E6234">
        <w:rPr>
          <w:b w:val="0"/>
        </w:rPr>
        <w:t xml:space="preserve">; </w:t>
      </w:r>
      <w:proofErr w:type="spellStart"/>
      <w:r w:rsidR="00586409" w:rsidRPr="002E6234">
        <w:rPr>
          <w:b w:val="0"/>
        </w:rPr>
        <w:t>B_Industry</w:t>
      </w:r>
      <w:proofErr w:type="spellEnd"/>
      <w:r w:rsidR="00586409" w:rsidRPr="002E6234">
        <w:rPr>
          <w:b w:val="0"/>
        </w:rPr>
        <w:t xml:space="preserve">; </w:t>
      </w:r>
      <w:proofErr w:type="spellStart"/>
      <w:r w:rsidR="00586409" w:rsidRPr="002E6234">
        <w:rPr>
          <w:b w:val="0"/>
        </w:rPr>
        <w:t>D_Fugitive</w:t>
      </w:r>
      <w:proofErr w:type="spellEnd"/>
      <w:r w:rsidR="00586409" w:rsidRPr="002E6234">
        <w:rPr>
          <w:b w:val="0"/>
        </w:rPr>
        <w:t>)</w:t>
      </w:r>
      <w:r w:rsidR="002F366D" w:rsidRPr="002E6234">
        <w:rPr>
          <w:b w:val="0"/>
        </w:rPr>
        <w:t>:</w:t>
      </w:r>
    </w:p>
    <w:p w14:paraId="0361C2B2" w14:textId="696E1F60" w:rsidR="00F10A3C" w:rsidRDefault="000D2E96" w:rsidP="002E6234">
      <w:pPr>
        <w:pStyle w:val="Zdrojeapozn"/>
        <w:ind w:firstLine="0"/>
      </w:pPr>
      <w:hyperlink r:id="rId23" w:history="1">
        <w:r w:rsidR="002F366D" w:rsidRPr="002E6234">
          <w:rPr>
            <w:rStyle w:val="Hypertextovodkaz"/>
            <w:b w:val="0"/>
          </w:rPr>
          <w:t>https://cdr.eionet.europa.eu/cz/un/clrtap/inventories/envzflmhq/CZ_Annex_I_rev18-11_1990-2022_v2.0.xlsx/manage_document</w:t>
        </w:r>
      </w:hyperlink>
      <w:r w:rsidR="002F366D" w:rsidRPr="002E6234">
        <w:rPr>
          <w:b w:val="0"/>
        </w:rPr>
        <w:t>.</w:t>
      </w:r>
      <w:r w:rsidR="00F10A3C">
        <w:br w:type="page"/>
      </w:r>
    </w:p>
    <w:p w14:paraId="33FAEB44" w14:textId="3C5101BB" w:rsidR="00894E40" w:rsidRDefault="00A164D2" w:rsidP="00894E40">
      <w:pPr>
        <w:tabs>
          <w:tab w:val="right" w:pos="9072"/>
        </w:tabs>
        <w:spacing w:before="120" w:after="40"/>
        <w:jc w:val="right"/>
        <w:outlineLvl w:val="0"/>
        <w:rPr>
          <w:b/>
          <w:iCs/>
          <w:szCs w:val="18"/>
        </w:rPr>
      </w:pPr>
      <w:bookmarkStart w:id="26" w:name="_Hlk161831531"/>
      <w:r w:rsidRPr="00DB745D">
        <w:rPr>
          <w:b/>
          <w:iCs/>
          <w:szCs w:val="18"/>
        </w:rPr>
        <w:lastRenderedPageBreak/>
        <w:t xml:space="preserve">Příloha č. </w:t>
      </w:r>
      <w:r w:rsidRPr="00DB745D">
        <w:rPr>
          <w:b/>
          <w:iCs/>
          <w:szCs w:val="18"/>
        </w:rPr>
        <w:fldChar w:fldCharType="begin"/>
      </w:r>
      <w:r w:rsidRPr="00DB745D">
        <w:rPr>
          <w:b/>
          <w:iCs/>
          <w:szCs w:val="18"/>
        </w:rPr>
        <w:instrText xml:space="preserve"> SEQ Příloha_č. \* ARABIC </w:instrText>
      </w:r>
      <w:r w:rsidRPr="00DB745D">
        <w:rPr>
          <w:b/>
          <w:iCs/>
          <w:szCs w:val="18"/>
        </w:rPr>
        <w:fldChar w:fldCharType="separate"/>
      </w:r>
      <w:r w:rsidR="000D2E96">
        <w:rPr>
          <w:b/>
          <w:iCs/>
          <w:noProof/>
          <w:szCs w:val="18"/>
        </w:rPr>
        <w:t>7</w:t>
      </w:r>
      <w:r w:rsidRPr="00DB745D">
        <w:rPr>
          <w:b/>
          <w:iCs/>
          <w:szCs w:val="18"/>
        </w:rPr>
        <w:fldChar w:fldCharType="end"/>
      </w:r>
    </w:p>
    <w:p w14:paraId="13FFD595" w14:textId="3486D735" w:rsidR="00A164D2" w:rsidRPr="00DB745D" w:rsidRDefault="00A164D2" w:rsidP="00A164D2">
      <w:pPr>
        <w:tabs>
          <w:tab w:val="right" w:pos="9072"/>
        </w:tabs>
        <w:spacing w:before="120" w:after="40"/>
        <w:jc w:val="both"/>
        <w:outlineLvl w:val="0"/>
        <w:rPr>
          <w:b/>
          <w:iCs/>
          <w:szCs w:val="18"/>
        </w:rPr>
      </w:pPr>
      <w:r w:rsidRPr="00DB745D">
        <w:rPr>
          <w:b/>
          <w:iCs/>
          <w:szCs w:val="18"/>
        </w:rPr>
        <w:t>Kotlíkové dotace</w:t>
      </w:r>
    </w:p>
    <w:p w14:paraId="58B179B0" w14:textId="7A16DCDF" w:rsidR="00A164D2" w:rsidRPr="00894E40" w:rsidRDefault="00A164D2" w:rsidP="00EC6E1B">
      <w:pPr>
        <w:spacing w:before="120" w:after="40"/>
        <w:ind w:left="1304" w:hanging="1304"/>
        <w:jc w:val="both"/>
        <w:rPr>
          <w:rFonts w:cstheme="minorHAnsi"/>
          <w:b/>
          <w:iCs/>
          <w:szCs w:val="18"/>
        </w:rPr>
      </w:pPr>
      <w:r w:rsidRPr="00894E40">
        <w:rPr>
          <w:b/>
          <w:iCs/>
          <w:szCs w:val="18"/>
        </w:rPr>
        <w:t>Tabulk</w:t>
      </w:r>
      <w:r w:rsidR="006F5A65">
        <w:rPr>
          <w:b/>
          <w:iCs/>
          <w:szCs w:val="18"/>
        </w:rPr>
        <w:t>a č. 1:</w:t>
      </w:r>
      <w:r w:rsidR="006F5A65" w:rsidRPr="00894E40">
        <w:rPr>
          <w:rFonts w:cstheme="minorHAnsi"/>
          <w:b/>
          <w:iCs/>
          <w:szCs w:val="18"/>
        </w:rPr>
        <w:t xml:space="preserve"> </w:t>
      </w:r>
      <w:r w:rsidR="006F5A65">
        <w:rPr>
          <w:rFonts w:cstheme="minorHAnsi"/>
          <w:b/>
          <w:iCs/>
          <w:szCs w:val="18"/>
        </w:rPr>
        <w:tab/>
      </w:r>
      <w:r w:rsidRPr="00894E40">
        <w:rPr>
          <w:rFonts w:cstheme="minorHAnsi"/>
          <w:b/>
          <w:iCs/>
          <w:szCs w:val="18"/>
        </w:rPr>
        <w:t>Počty projektů podle typů nově instalovaného zdroje souhrnně za 1., 2.</w:t>
      </w:r>
      <w:r w:rsidR="00894E40">
        <w:rPr>
          <w:rFonts w:cstheme="minorHAnsi"/>
          <w:b/>
          <w:iCs/>
          <w:szCs w:val="18"/>
        </w:rPr>
        <w:t> </w:t>
      </w:r>
      <w:r w:rsidRPr="00894E40">
        <w:rPr>
          <w:rFonts w:cstheme="minorHAnsi"/>
          <w:b/>
          <w:iCs/>
          <w:szCs w:val="18"/>
        </w:rPr>
        <w:t>a</w:t>
      </w:r>
      <w:r w:rsidR="00894E40">
        <w:rPr>
          <w:rFonts w:cstheme="minorHAnsi"/>
          <w:b/>
          <w:iCs/>
          <w:szCs w:val="18"/>
        </w:rPr>
        <w:t> </w:t>
      </w:r>
      <w:r w:rsidRPr="00894E40">
        <w:rPr>
          <w:rFonts w:cstheme="minorHAnsi"/>
          <w:b/>
          <w:iCs/>
          <w:szCs w:val="18"/>
        </w:rPr>
        <w:t>3.</w:t>
      </w:r>
      <w:r w:rsidR="00894E40">
        <w:rPr>
          <w:rFonts w:cstheme="minorHAnsi"/>
          <w:b/>
          <w:iCs/>
          <w:szCs w:val="18"/>
        </w:rPr>
        <w:t> </w:t>
      </w:r>
      <w:r w:rsidRPr="00894E40">
        <w:rPr>
          <w:rFonts w:cstheme="minorHAnsi"/>
          <w:b/>
          <w:iCs/>
          <w:szCs w:val="18"/>
        </w:rPr>
        <w:t>výzvu SC 2.1 OPŽP (data 6/2023 včetně NZÚ 14+ – AMO)</w:t>
      </w:r>
    </w:p>
    <w:tbl>
      <w:tblPr>
        <w:tblW w:w="9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798"/>
        <w:gridCol w:w="570"/>
        <w:gridCol w:w="563"/>
        <w:gridCol w:w="656"/>
        <w:gridCol w:w="730"/>
        <w:gridCol w:w="665"/>
        <w:gridCol w:w="665"/>
        <w:gridCol w:w="797"/>
        <w:gridCol w:w="666"/>
        <w:gridCol w:w="798"/>
        <w:gridCol w:w="670"/>
      </w:tblGrid>
      <w:tr w:rsidR="00A164D2" w:rsidRPr="00DB745D" w14:paraId="3A60E25F" w14:textId="77777777" w:rsidTr="005614C4">
        <w:trPr>
          <w:trHeight w:val="277"/>
        </w:trPr>
        <w:tc>
          <w:tcPr>
            <w:tcW w:w="1488" w:type="dxa"/>
            <w:vMerge w:val="restart"/>
            <w:shd w:val="clear" w:color="auto" w:fill="F2F2F2"/>
            <w:tcMar>
              <w:top w:w="0" w:type="dxa"/>
              <w:left w:w="70" w:type="dxa"/>
              <w:bottom w:w="0" w:type="dxa"/>
              <w:right w:w="70" w:type="dxa"/>
            </w:tcMar>
            <w:vAlign w:val="center"/>
            <w:hideMark/>
          </w:tcPr>
          <w:p w14:paraId="2B96367F"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Kraj</w:t>
            </w:r>
          </w:p>
        </w:tc>
        <w:tc>
          <w:tcPr>
            <w:tcW w:w="798" w:type="dxa"/>
            <w:vMerge w:val="restart"/>
            <w:shd w:val="clear" w:color="auto" w:fill="F2F2F2"/>
            <w:tcMar>
              <w:top w:w="0" w:type="dxa"/>
              <w:left w:w="70" w:type="dxa"/>
              <w:bottom w:w="0" w:type="dxa"/>
              <w:right w:w="70" w:type="dxa"/>
            </w:tcMar>
            <w:vAlign w:val="center"/>
            <w:hideMark/>
          </w:tcPr>
          <w:p w14:paraId="3CB56CA5"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Počet projektů</w:t>
            </w:r>
          </w:p>
        </w:tc>
        <w:tc>
          <w:tcPr>
            <w:tcW w:w="6780" w:type="dxa"/>
            <w:gridSpan w:val="10"/>
            <w:shd w:val="clear" w:color="auto" w:fill="F2F2F2"/>
            <w:noWrap/>
            <w:tcMar>
              <w:top w:w="0" w:type="dxa"/>
              <w:left w:w="70" w:type="dxa"/>
              <w:bottom w:w="0" w:type="dxa"/>
              <w:right w:w="70" w:type="dxa"/>
            </w:tcMar>
            <w:vAlign w:val="center"/>
            <w:hideMark/>
          </w:tcPr>
          <w:p w14:paraId="1715CCDC"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Počet nově pořízených zdrojů vytápění a podíl zdroje dle krajů</w:t>
            </w:r>
          </w:p>
        </w:tc>
      </w:tr>
      <w:tr w:rsidR="00A164D2" w:rsidRPr="00DB745D" w14:paraId="3C3F62CB" w14:textId="77777777" w:rsidTr="005614C4">
        <w:trPr>
          <w:trHeight w:val="206"/>
        </w:trPr>
        <w:tc>
          <w:tcPr>
            <w:tcW w:w="1488" w:type="dxa"/>
            <w:vMerge/>
            <w:shd w:val="clear" w:color="auto" w:fill="F2F2F2"/>
            <w:vAlign w:val="center"/>
            <w:hideMark/>
          </w:tcPr>
          <w:p w14:paraId="31D9372C" w14:textId="77777777" w:rsidR="00A164D2" w:rsidRPr="00DB745D" w:rsidRDefault="00A164D2" w:rsidP="005614C4">
            <w:pPr>
              <w:jc w:val="center"/>
              <w:rPr>
                <w:rFonts w:cstheme="minorHAnsi"/>
                <w:b/>
                <w:bCs/>
                <w:color w:val="000000"/>
                <w:sz w:val="18"/>
                <w:szCs w:val="18"/>
                <w:lang w:eastAsia="cs-CZ"/>
              </w:rPr>
            </w:pPr>
          </w:p>
        </w:tc>
        <w:tc>
          <w:tcPr>
            <w:tcW w:w="0" w:type="auto"/>
            <w:vMerge/>
            <w:shd w:val="clear" w:color="auto" w:fill="F2F2F2"/>
            <w:vAlign w:val="center"/>
            <w:hideMark/>
          </w:tcPr>
          <w:p w14:paraId="75265298" w14:textId="77777777" w:rsidR="00A164D2" w:rsidRPr="00DB745D" w:rsidRDefault="00A164D2" w:rsidP="005614C4">
            <w:pPr>
              <w:jc w:val="center"/>
              <w:rPr>
                <w:rFonts w:cstheme="minorHAnsi"/>
                <w:b/>
                <w:bCs/>
                <w:color w:val="000000"/>
                <w:sz w:val="18"/>
                <w:szCs w:val="18"/>
                <w:lang w:eastAsia="cs-CZ"/>
              </w:rPr>
            </w:pPr>
          </w:p>
        </w:tc>
        <w:tc>
          <w:tcPr>
            <w:tcW w:w="1133" w:type="dxa"/>
            <w:gridSpan w:val="2"/>
            <w:shd w:val="clear" w:color="auto" w:fill="F2F2F2"/>
            <w:tcMar>
              <w:top w:w="0" w:type="dxa"/>
              <w:left w:w="70" w:type="dxa"/>
              <w:bottom w:w="0" w:type="dxa"/>
              <w:right w:w="70" w:type="dxa"/>
            </w:tcMar>
            <w:vAlign w:val="center"/>
            <w:hideMark/>
          </w:tcPr>
          <w:p w14:paraId="5A3B9996"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A1 – uhlí</w:t>
            </w:r>
          </w:p>
        </w:tc>
        <w:tc>
          <w:tcPr>
            <w:tcW w:w="1386" w:type="dxa"/>
            <w:gridSpan w:val="2"/>
            <w:shd w:val="clear" w:color="auto" w:fill="F2F2F2"/>
            <w:tcMar>
              <w:top w:w="0" w:type="dxa"/>
              <w:left w:w="70" w:type="dxa"/>
              <w:bottom w:w="0" w:type="dxa"/>
              <w:right w:w="70" w:type="dxa"/>
            </w:tcMar>
            <w:vAlign w:val="center"/>
            <w:hideMark/>
          </w:tcPr>
          <w:p w14:paraId="3B7FFFCF"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A2 – uhlí/biomasa</w:t>
            </w:r>
          </w:p>
        </w:tc>
        <w:tc>
          <w:tcPr>
            <w:tcW w:w="1330" w:type="dxa"/>
            <w:gridSpan w:val="2"/>
            <w:shd w:val="clear" w:color="auto" w:fill="F2F2F2"/>
            <w:tcMar>
              <w:top w:w="0" w:type="dxa"/>
              <w:left w:w="70" w:type="dxa"/>
              <w:bottom w:w="0" w:type="dxa"/>
              <w:right w:w="70" w:type="dxa"/>
            </w:tcMar>
            <w:vAlign w:val="center"/>
            <w:hideMark/>
          </w:tcPr>
          <w:p w14:paraId="38858CC1"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A3 – biomasa</w:t>
            </w:r>
          </w:p>
        </w:tc>
        <w:tc>
          <w:tcPr>
            <w:tcW w:w="1463" w:type="dxa"/>
            <w:gridSpan w:val="2"/>
            <w:shd w:val="clear" w:color="auto" w:fill="F2F2F2"/>
            <w:tcMar>
              <w:top w:w="0" w:type="dxa"/>
              <w:left w:w="70" w:type="dxa"/>
              <w:bottom w:w="0" w:type="dxa"/>
              <w:right w:w="70" w:type="dxa"/>
            </w:tcMar>
            <w:vAlign w:val="center"/>
            <w:hideMark/>
          </w:tcPr>
          <w:p w14:paraId="767598CF"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B – tepelné čerpadlo</w:t>
            </w:r>
          </w:p>
        </w:tc>
        <w:tc>
          <w:tcPr>
            <w:tcW w:w="1466" w:type="dxa"/>
            <w:gridSpan w:val="2"/>
            <w:shd w:val="clear" w:color="auto" w:fill="F2F2F2"/>
            <w:tcMar>
              <w:top w:w="0" w:type="dxa"/>
              <w:left w:w="70" w:type="dxa"/>
              <w:bottom w:w="0" w:type="dxa"/>
              <w:right w:w="70" w:type="dxa"/>
            </w:tcMar>
            <w:vAlign w:val="center"/>
            <w:hideMark/>
          </w:tcPr>
          <w:p w14:paraId="18742F18"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C – plynový kotel</w:t>
            </w:r>
          </w:p>
        </w:tc>
      </w:tr>
      <w:tr w:rsidR="00A164D2" w:rsidRPr="00DB745D" w14:paraId="22FE3848" w14:textId="77777777" w:rsidTr="005614C4">
        <w:trPr>
          <w:trHeight w:val="207"/>
        </w:trPr>
        <w:tc>
          <w:tcPr>
            <w:tcW w:w="1488" w:type="dxa"/>
            <w:vMerge/>
            <w:shd w:val="clear" w:color="auto" w:fill="F2F2F2"/>
            <w:vAlign w:val="center"/>
            <w:hideMark/>
          </w:tcPr>
          <w:p w14:paraId="66BDCCA0" w14:textId="77777777" w:rsidR="00A164D2" w:rsidRPr="00DB745D" w:rsidRDefault="00A164D2" w:rsidP="005614C4">
            <w:pPr>
              <w:jc w:val="center"/>
              <w:rPr>
                <w:rFonts w:cstheme="minorHAnsi"/>
                <w:b/>
                <w:bCs/>
                <w:color w:val="000000"/>
                <w:sz w:val="18"/>
                <w:szCs w:val="18"/>
                <w:lang w:eastAsia="cs-CZ"/>
              </w:rPr>
            </w:pPr>
          </w:p>
        </w:tc>
        <w:tc>
          <w:tcPr>
            <w:tcW w:w="0" w:type="auto"/>
            <w:vMerge/>
            <w:shd w:val="clear" w:color="auto" w:fill="F2F2F2"/>
            <w:vAlign w:val="center"/>
            <w:hideMark/>
          </w:tcPr>
          <w:p w14:paraId="1A600FE3" w14:textId="77777777" w:rsidR="00A164D2" w:rsidRPr="00DB745D" w:rsidRDefault="00A164D2" w:rsidP="005614C4">
            <w:pPr>
              <w:jc w:val="center"/>
              <w:rPr>
                <w:rFonts w:cstheme="minorHAnsi"/>
                <w:b/>
                <w:bCs/>
                <w:color w:val="000000"/>
                <w:sz w:val="18"/>
                <w:szCs w:val="18"/>
                <w:lang w:eastAsia="cs-CZ"/>
              </w:rPr>
            </w:pPr>
          </w:p>
        </w:tc>
        <w:tc>
          <w:tcPr>
            <w:tcW w:w="570" w:type="dxa"/>
            <w:shd w:val="clear" w:color="auto" w:fill="F2F2F2"/>
            <w:tcMar>
              <w:top w:w="0" w:type="dxa"/>
              <w:left w:w="70" w:type="dxa"/>
              <w:bottom w:w="0" w:type="dxa"/>
              <w:right w:w="70" w:type="dxa"/>
            </w:tcMar>
            <w:vAlign w:val="center"/>
            <w:hideMark/>
          </w:tcPr>
          <w:p w14:paraId="724E314F"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Počet</w:t>
            </w:r>
          </w:p>
        </w:tc>
        <w:tc>
          <w:tcPr>
            <w:tcW w:w="563" w:type="dxa"/>
            <w:shd w:val="clear" w:color="auto" w:fill="F2F2F2"/>
            <w:tcMar>
              <w:top w:w="0" w:type="dxa"/>
              <w:left w:w="70" w:type="dxa"/>
              <w:bottom w:w="0" w:type="dxa"/>
              <w:right w:w="70" w:type="dxa"/>
            </w:tcMar>
            <w:vAlign w:val="center"/>
            <w:hideMark/>
          </w:tcPr>
          <w:p w14:paraId="3CC6863B"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w:t>
            </w:r>
          </w:p>
        </w:tc>
        <w:tc>
          <w:tcPr>
            <w:tcW w:w="656" w:type="dxa"/>
            <w:shd w:val="clear" w:color="auto" w:fill="F2F2F2"/>
            <w:tcMar>
              <w:top w:w="0" w:type="dxa"/>
              <w:left w:w="70" w:type="dxa"/>
              <w:bottom w:w="0" w:type="dxa"/>
              <w:right w:w="70" w:type="dxa"/>
            </w:tcMar>
            <w:vAlign w:val="center"/>
            <w:hideMark/>
          </w:tcPr>
          <w:p w14:paraId="271859E1"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Počet</w:t>
            </w:r>
          </w:p>
        </w:tc>
        <w:tc>
          <w:tcPr>
            <w:tcW w:w="730" w:type="dxa"/>
            <w:shd w:val="clear" w:color="auto" w:fill="F2F2F2"/>
            <w:tcMar>
              <w:top w:w="0" w:type="dxa"/>
              <w:left w:w="70" w:type="dxa"/>
              <w:bottom w:w="0" w:type="dxa"/>
              <w:right w:w="70" w:type="dxa"/>
            </w:tcMar>
            <w:vAlign w:val="center"/>
            <w:hideMark/>
          </w:tcPr>
          <w:p w14:paraId="6C3CDB69"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w:t>
            </w:r>
          </w:p>
        </w:tc>
        <w:tc>
          <w:tcPr>
            <w:tcW w:w="665" w:type="dxa"/>
            <w:shd w:val="clear" w:color="auto" w:fill="F2F2F2"/>
            <w:tcMar>
              <w:top w:w="0" w:type="dxa"/>
              <w:left w:w="70" w:type="dxa"/>
              <w:bottom w:w="0" w:type="dxa"/>
              <w:right w:w="70" w:type="dxa"/>
            </w:tcMar>
            <w:vAlign w:val="center"/>
            <w:hideMark/>
          </w:tcPr>
          <w:p w14:paraId="75BA40B4"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Počet</w:t>
            </w:r>
          </w:p>
        </w:tc>
        <w:tc>
          <w:tcPr>
            <w:tcW w:w="665" w:type="dxa"/>
            <w:shd w:val="clear" w:color="auto" w:fill="F2F2F2"/>
            <w:tcMar>
              <w:top w:w="0" w:type="dxa"/>
              <w:left w:w="70" w:type="dxa"/>
              <w:bottom w:w="0" w:type="dxa"/>
              <w:right w:w="70" w:type="dxa"/>
            </w:tcMar>
            <w:vAlign w:val="center"/>
            <w:hideMark/>
          </w:tcPr>
          <w:p w14:paraId="05513972"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w:t>
            </w:r>
          </w:p>
        </w:tc>
        <w:tc>
          <w:tcPr>
            <w:tcW w:w="797" w:type="dxa"/>
            <w:shd w:val="clear" w:color="auto" w:fill="F2F2F2"/>
            <w:tcMar>
              <w:top w:w="0" w:type="dxa"/>
              <w:left w:w="70" w:type="dxa"/>
              <w:bottom w:w="0" w:type="dxa"/>
              <w:right w:w="70" w:type="dxa"/>
            </w:tcMar>
            <w:vAlign w:val="center"/>
            <w:hideMark/>
          </w:tcPr>
          <w:p w14:paraId="18158E3A"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Počet</w:t>
            </w:r>
          </w:p>
        </w:tc>
        <w:tc>
          <w:tcPr>
            <w:tcW w:w="665" w:type="dxa"/>
            <w:shd w:val="clear" w:color="auto" w:fill="F2F2F2"/>
            <w:tcMar>
              <w:top w:w="0" w:type="dxa"/>
              <w:left w:w="70" w:type="dxa"/>
              <w:bottom w:w="0" w:type="dxa"/>
              <w:right w:w="70" w:type="dxa"/>
            </w:tcMar>
            <w:vAlign w:val="center"/>
            <w:hideMark/>
          </w:tcPr>
          <w:p w14:paraId="0DFE094F"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w:t>
            </w:r>
          </w:p>
        </w:tc>
        <w:tc>
          <w:tcPr>
            <w:tcW w:w="798" w:type="dxa"/>
            <w:shd w:val="clear" w:color="auto" w:fill="F2F2F2"/>
            <w:tcMar>
              <w:top w:w="0" w:type="dxa"/>
              <w:left w:w="70" w:type="dxa"/>
              <w:bottom w:w="0" w:type="dxa"/>
              <w:right w:w="70" w:type="dxa"/>
            </w:tcMar>
            <w:vAlign w:val="center"/>
            <w:hideMark/>
          </w:tcPr>
          <w:p w14:paraId="65B7E50D"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Počet</w:t>
            </w:r>
          </w:p>
        </w:tc>
        <w:tc>
          <w:tcPr>
            <w:tcW w:w="667" w:type="dxa"/>
            <w:shd w:val="clear" w:color="auto" w:fill="F2F2F2"/>
            <w:tcMar>
              <w:top w:w="0" w:type="dxa"/>
              <w:left w:w="70" w:type="dxa"/>
              <w:bottom w:w="0" w:type="dxa"/>
              <w:right w:w="70" w:type="dxa"/>
            </w:tcMar>
            <w:vAlign w:val="center"/>
            <w:hideMark/>
          </w:tcPr>
          <w:p w14:paraId="5ADB1D41" w14:textId="77777777" w:rsidR="00A164D2" w:rsidRPr="00DB745D" w:rsidRDefault="00A164D2" w:rsidP="005614C4">
            <w:pPr>
              <w:jc w:val="center"/>
              <w:rPr>
                <w:rFonts w:cstheme="minorHAnsi"/>
                <w:b/>
                <w:bCs/>
                <w:color w:val="000000"/>
                <w:sz w:val="18"/>
                <w:szCs w:val="18"/>
                <w:lang w:eastAsia="cs-CZ"/>
              </w:rPr>
            </w:pPr>
            <w:r w:rsidRPr="00DB745D">
              <w:rPr>
                <w:rFonts w:cstheme="minorHAnsi"/>
                <w:b/>
                <w:bCs/>
                <w:color w:val="000000"/>
                <w:sz w:val="18"/>
                <w:szCs w:val="18"/>
                <w:lang w:eastAsia="cs-CZ"/>
              </w:rPr>
              <w:t>%</w:t>
            </w:r>
          </w:p>
        </w:tc>
      </w:tr>
      <w:tr w:rsidR="00A164D2" w:rsidRPr="00DB745D" w14:paraId="48B3D831"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0DC1EAB1"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Jihočeský</w:t>
            </w:r>
          </w:p>
        </w:tc>
        <w:tc>
          <w:tcPr>
            <w:tcW w:w="798" w:type="dxa"/>
            <w:shd w:val="clear" w:color="auto" w:fill="auto"/>
            <w:noWrap/>
            <w:tcMar>
              <w:top w:w="0" w:type="dxa"/>
              <w:left w:w="70" w:type="dxa"/>
              <w:bottom w:w="0" w:type="dxa"/>
              <w:right w:w="70" w:type="dxa"/>
            </w:tcMar>
            <w:vAlign w:val="center"/>
            <w:hideMark/>
          </w:tcPr>
          <w:p w14:paraId="6355352E" w14:textId="77777777" w:rsidR="00A164D2" w:rsidRPr="00DB745D" w:rsidRDefault="00A164D2" w:rsidP="00894E40">
            <w:pPr>
              <w:jc w:val="right"/>
              <w:rPr>
                <w:rFonts w:cstheme="minorHAnsi"/>
                <w:sz w:val="18"/>
                <w:szCs w:val="18"/>
              </w:rPr>
            </w:pPr>
            <w:r w:rsidRPr="00DB745D">
              <w:rPr>
                <w:rFonts w:cstheme="minorHAnsi"/>
                <w:sz w:val="18"/>
                <w:szCs w:val="18"/>
              </w:rPr>
              <w:t>10 339</w:t>
            </w:r>
          </w:p>
        </w:tc>
        <w:tc>
          <w:tcPr>
            <w:tcW w:w="570" w:type="dxa"/>
            <w:shd w:val="clear" w:color="auto" w:fill="auto"/>
            <w:noWrap/>
            <w:tcMar>
              <w:top w:w="0" w:type="dxa"/>
              <w:left w:w="70" w:type="dxa"/>
              <w:bottom w:w="0" w:type="dxa"/>
              <w:right w:w="70" w:type="dxa"/>
            </w:tcMar>
            <w:vAlign w:val="center"/>
            <w:hideMark/>
          </w:tcPr>
          <w:p w14:paraId="56E61E58" w14:textId="77777777" w:rsidR="00A164D2" w:rsidRPr="00DB745D" w:rsidRDefault="00A164D2" w:rsidP="00894E40">
            <w:pPr>
              <w:jc w:val="right"/>
              <w:rPr>
                <w:rFonts w:cstheme="minorHAnsi"/>
                <w:sz w:val="18"/>
                <w:szCs w:val="18"/>
              </w:rPr>
            </w:pPr>
            <w:r w:rsidRPr="00DB745D">
              <w:rPr>
                <w:rFonts w:cstheme="minorHAnsi"/>
                <w:sz w:val="18"/>
                <w:szCs w:val="18"/>
              </w:rPr>
              <w:t>314</w:t>
            </w:r>
          </w:p>
        </w:tc>
        <w:tc>
          <w:tcPr>
            <w:tcW w:w="563" w:type="dxa"/>
            <w:shd w:val="clear" w:color="auto" w:fill="auto"/>
            <w:noWrap/>
            <w:tcMar>
              <w:top w:w="0" w:type="dxa"/>
              <w:left w:w="70" w:type="dxa"/>
              <w:bottom w:w="0" w:type="dxa"/>
              <w:right w:w="70" w:type="dxa"/>
            </w:tcMar>
            <w:vAlign w:val="center"/>
            <w:hideMark/>
          </w:tcPr>
          <w:p w14:paraId="552700BE" w14:textId="77777777" w:rsidR="00A164D2" w:rsidRPr="00DB745D" w:rsidRDefault="00A164D2" w:rsidP="00894E40">
            <w:pPr>
              <w:jc w:val="right"/>
              <w:rPr>
                <w:rFonts w:cstheme="minorHAnsi"/>
                <w:sz w:val="18"/>
                <w:szCs w:val="18"/>
              </w:rPr>
            </w:pPr>
            <w:r w:rsidRPr="00DB745D">
              <w:rPr>
                <w:rFonts w:cstheme="minorHAnsi"/>
                <w:sz w:val="18"/>
                <w:szCs w:val="18"/>
              </w:rPr>
              <w:t>3,0</w:t>
            </w:r>
          </w:p>
        </w:tc>
        <w:tc>
          <w:tcPr>
            <w:tcW w:w="656" w:type="dxa"/>
            <w:shd w:val="clear" w:color="auto" w:fill="auto"/>
            <w:noWrap/>
            <w:tcMar>
              <w:top w:w="0" w:type="dxa"/>
              <w:left w:w="70" w:type="dxa"/>
              <w:bottom w:w="0" w:type="dxa"/>
              <w:right w:w="70" w:type="dxa"/>
            </w:tcMar>
            <w:vAlign w:val="center"/>
            <w:hideMark/>
          </w:tcPr>
          <w:p w14:paraId="54544CA4" w14:textId="77777777" w:rsidR="00A164D2" w:rsidRPr="00DB745D" w:rsidRDefault="00A164D2" w:rsidP="00894E40">
            <w:pPr>
              <w:jc w:val="right"/>
              <w:rPr>
                <w:rFonts w:cstheme="minorHAnsi"/>
                <w:sz w:val="18"/>
                <w:szCs w:val="18"/>
              </w:rPr>
            </w:pPr>
            <w:r w:rsidRPr="00DB745D">
              <w:rPr>
                <w:rFonts w:cstheme="minorHAnsi"/>
                <w:sz w:val="18"/>
                <w:szCs w:val="18"/>
              </w:rPr>
              <w:t>1 346</w:t>
            </w:r>
          </w:p>
        </w:tc>
        <w:tc>
          <w:tcPr>
            <w:tcW w:w="730" w:type="dxa"/>
            <w:shd w:val="clear" w:color="auto" w:fill="auto"/>
            <w:noWrap/>
            <w:tcMar>
              <w:top w:w="0" w:type="dxa"/>
              <w:left w:w="70" w:type="dxa"/>
              <w:bottom w:w="0" w:type="dxa"/>
              <w:right w:w="70" w:type="dxa"/>
            </w:tcMar>
            <w:vAlign w:val="center"/>
            <w:hideMark/>
          </w:tcPr>
          <w:p w14:paraId="410D24B1" w14:textId="77777777" w:rsidR="00A164D2" w:rsidRPr="00DB745D" w:rsidRDefault="00A164D2" w:rsidP="00894E40">
            <w:pPr>
              <w:jc w:val="right"/>
              <w:rPr>
                <w:rFonts w:cstheme="minorHAnsi"/>
                <w:sz w:val="18"/>
                <w:szCs w:val="18"/>
              </w:rPr>
            </w:pPr>
            <w:r w:rsidRPr="00DB745D">
              <w:rPr>
                <w:rFonts w:cstheme="minorHAnsi"/>
                <w:sz w:val="18"/>
                <w:szCs w:val="18"/>
              </w:rPr>
              <w:t>13,0</w:t>
            </w:r>
          </w:p>
        </w:tc>
        <w:tc>
          <w:tcPr>
            <w:tcW w:w="665" w:type="dxa"/>
            <w:shd w:val="clear" w:color="auto" w:fill="auto"/>
            <w:noWrap/>
            <w:tcMar>
              <w:top w:w="0" w:type="dxa"/>
              <w:left w:w="70" w:type="dxa"/>
              <w:bottom w:w="0" w:type="dxa"/>
              <w:right w:w="70" w:type="dxa"/>
            </w:tcMar>
            <w:vAlign w:val="center"/>
            <w:hideMark/>
          </w:tcPr>
          <w:p w14:paraId="30457078" w14:textId="77777777" w:rsidR="00A164D2" w:rsidRPr="00DB745D" w:rsidRDefault="00A164D2" w:rsidP="00894E40">
            <w:pPr>
              <w:jc w:val="right"/>
              <w:rPr>
                <w:rFonts w:cstheme="minorHAnsi"/>
                <w:sz w:val="18"/>
                <w:szCs w:val="18"/>
              </w:rPr>
            </w:pPr>
            <w:r w:rsidRPr="00DB745D">
              <w:rPr>
                <w:rFonts w:cstheme="minorHAnsi"/>
                <w:sz w:val="18"/>
                <w:szCs w:val="18"/>
              </w:rPr>
              <w:t>1 820</w:t>
            </w:r>
          </w:p>
        </w:tc>
        <w:tc>
          <w:tcPr>
            <w:tcW w:w="665" w:type="dxa"/>
            <w:shd w:val="clear" w:color="auto" w:fill="auto"/>
            <w:noWrap/>
            <w:tcMar>
              <w:top w:w="0" w:type="dxa"/>
              <w:left w:w="70" w:type="dxa"/>
              <w:bottom w:w="0" w:type="dxa"/>
              <w:right w:w="70" w:type="dxa"/>
            </w:tcMar>
            <w:vAlign w:val="center"/>
            <w:hideMark/>
          </w:tcPr>
          <w:p w14:paraId="72F88116" w14:textId="77777777" w:rsidR="00A164D2" w:rsidRPr="00DB745D" w:rsidRDefault="00A164D2" w:rsidP="00894E40">
            <w:pPr>
              <w:jc w:val="right"/>
              <w:rPr>
                <w:rFonts w:cstheme="minorHAnsi"/>
                <w:sz w:val="18"/>
                <w:szCs w:val="18"/>
              </w:rPr>
            </w:pPr>
            <w:r w:rsidRPr="00DB745D">
              <w:rPr>
                <w:rFonts w:cstheme="minorHAnsi"/>
                <w:sz w:val="18"/>
                <w:szCs w:val="18"/>
              </w:rPr>
              <w:t>17,6</w:t>
            </w:r>
          </w:p>
        </w:tc>
        <w:tc>
          <w:tcPr>
            <w:tcW w:w="797" w:type="dxa"/>
            <w:shd w:val="clear" w:color="auto" w:fill="auto"/>
            <w:noWrap/>
            <w:tcMar>
              <w:top w:w="0" w:type="dxa"/>
              <w:left w:w="70" w:type="dxa"/>
              <w:bottom w:w="0" w:type="dxa"/>
              <w:right w:w="70" w:type="dxa"/>
            </w:tcMar>
            <w:vAlign w:val="center"/>
            <w:hideMark/>
          </w:tcPr>
          <w:p w14:paraId="427D0C7F" w14:textId="77777777" w:rsidR="00A164D2" w:rsidRPr="00DB745D" w:rsidRDefault="00A164D2" w:rsidP="00894E40">
            <w:pPr>
              <w:jc w:val="right"/>
              <w:rPr>
                <w:rFonts w:cstheme="minorHAnsi"/>
                <w:sz w:val="18"/>
                <w:szCs w:val="18"/>
              </w:rPr>
            </w:pPr>
            <w:r w:rsidRPr="00DB745D">
              <w:rPr>
                <w:rFonts w:cstheme="minorHAnsi"/>
                <w:sz w:val="18"/>
                <w:szCs w:val="18"/>
              </w:rPr>
              <w:t>5 073</w:t>
            </w:r>
          </w:p>
        </w:tc>
        <w:tc>
          <w:tcPr>
            <w:tcW w:w="665" w:type="dxa"/>
            <w:shd w:val="clear" w:color="auto" w:fill="auto"/>
            <w:noWrap/>
            <w:tcMar>
              <w:top w:w="0" w:type="dxa"/>
              <w:left w:w="70" w:type="dxa"/>
              <w:bottom w:w="0" w:type="dxa"/>
              <w:right w:w="70" w:type="dxa"/>
            </w:tcMar>
            <w:vAlign w:val="center"/>
            <w:hideMark/>
          </w:tcPr>
          <w:p w14:paraId="5255465E" w14:textId="77777777" w:rsidR="00A164D2" w:rsidRPr="00DB745D" w:rsidRDefault="00A164D2" w:rsidP="00894E40">
            <w:pPr>
              <w:jc w:val="right"/>
              <w:rPr>
                <w:rFonts w:cstheme="minorHAnsi"/>
                <w:sz w:val="18"/>
                <w:szCs w:val="18"/>
              </w:rPr>
            </w:pPr>
            <w:r w:rsidRPr="00DB745D">
              <w:rPr>
                <w:rFonts w:cstheme="minorHAnsi"/>
                <w:sz w:val="18"/>
                <w:szCs w:val="18"/>
              </w:rPr>
              <w:t>49,1</w:t>
            </w:r>
          </w:p>
        </w:tc>
        <w:tc>
          <w:tcPr>
            <w:tcW w:w="798" w:type="dxa"/>
            <w:shd w:val="clear" w:color="auto" w:fill="auto"/>
            <w:noWrap/>
            <w:tcMar>
              <w:top w:w="0" w:type="dxa"/>
              <w:left w:w="70" w:type="dxa"/>
              <w:bottom w:w="0" w:type="dxa"/>
              <w:right w:w="70" w:type="dxa"/>
            </w:tcMar>
            <w:vAlign w:val="center"/>
            <w:hideMark/>
          </w:tcPr>
          <w:p w14:paraId="2C796302" w14:textId="77777777" w:rsidR="00A164D2" w:rsidRPr="00DB745D" w:rsidRDefault="00A164D2" w:rsidP="00894E40">
            <w:pPr>
              <w:jc w:val="right"/>
              <w:rPr>
                <w:rFonts w:cstheme="minorHAnsi"/>
                <w:sz w:val="18"/>
                <w:szCs w:val="18"/>
              </w:rPr>
            </w:pPr>
            <w:r w:rsidRPr="00DB745D">
              <w:rPr>
                <w:rFonts w:cstheme="minorHAnsi"/>
                <w:sz w:val="18"/>
                <w:szCs w:val="18"/>
              </w:rPr>
              <w:t>1 786</w:t>
            </w:r>
          </w:p>
        </w:tc>
        <w:tc>
          <w:tcPr>
            <w:tcW w:w="667" w:type="dxa"/>
            <w:shd w:val="clear" w:color="auto" w:fill="auto"/>
            <w:noWrap/>
            <w:tcMar>
              <w:top w:w="0" w:type="dxa"/>
              <w:left w:w="70" w:type="dxa"/>
              <w:bottom w:w="0" w:type="dxa"/>
              <w:right w:w="70" w:type="dxa"/>
            </w:tcMar>
            <w:vAlign w:val="center"/>
            <w:hideMark/>
          </w:tcPr>
          <w:p w14:paraId="47D81BEB" w14:textId="77777777" w:rsidR="00A164D2" w:rsidRPr="00DB745D" w:rsidRDefault="00A164D2" w:rsidP="00894E40">
            <w:pPr>
              <w:jc w:val="right"/>
              <w:rPr>
                <w:rFonts w:cstheme="minorHAnsi"/>
                <w:sz w:val="18"/>
                <w:szCs w:val="18"/>
              </w:rPr>
            </w:pPr>
            <w:r w:rsidRPr="00DB745D">
              <w:rPr>
                <w:rFonts w:cstheme="minorHAnsi"/>
                <w:sz w:val="18"/>
                <w:szCs w:val="18"/>
              </w:rPr>
              <w:t>17,3</w:t>
            </w:r>
          </w:p>
        </w:tc>
      </w:tr>
      <w:tr w:rsidR="00A164D2" w:rsidRPr="00DB745D" w14:paraId="42AD7134"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3679B721"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Jihomoravský</w:t>
            </w:r>
          </w:p>
        </w:tc>
        <w:tc>
          <w:tcPr>
            <w:tcW w:w="798" w:type="dxa"/>
            <w:shd w:val="clear" w:color="auto" w:fill="auto"/>
            <w:noWrap/>
            <w:tcMar>
              <w:top w:w="0" w:type="dxa"/>
              <w:left w:w="70" w:type="dxa"/>
              <w:bottom w:w="0" w:type="dxa"/>
              <w:right w:w="70" w:type="dxa"/>
            </w:tcMar>
            <w:vAlign w:val="center"/>
            <w:hideMark/>
          </w:tcPr>
          <w:p w14:paraId="767332F8" w14:textId="77777777" w:rsidR="00A164D2" w:rsidRPr="00DB745D" w:rsidRDefault="00A164D2" w:rsidP="00894E40">
            <w:pPr>
              <w:jc w:val="right"/>
              <w:rPr>
                <w:rFonts w:cstheme="minorHAnsi"/>
                <w:sz w:val="18"/>
                <w:szCs w:val="18"/>
              </w:rPr>
            </w:pPr>
            <w:r w:rsidRPr="00DB745D">
              <w:rPr>
                <w:rFonts w:cstheme="minorHAnsi"/>
                <w:sz w:val="18"/>
                <w:szCs w:val="18"/>
              </w:rPr>
              <w:t>4 089</w:t>
            </w:r>
          </w:p>
        </w:tc>
        <w:tc>
          <w:tcPr>
            <w:tcW w:w="570" w:type="dxa"/>
            <w:shd w:val="clear" w:color="auto" w:fill="auto"/>
            <w:noWrap/>
            <w:tcMar>
              <w:top w:w="0" w:type="dxa"/>
              <w:left w:w="70" w:type="dxa"/>
              <w:bottom w:w="0" w:type="dxa"/>
              <w:right w:w="70" w:type="dxa"/>
            </w:tcMar>
            <w:vAlign w:val="center"/>
            <w:hideMark/>
          </w:tcPr>
          <w:p w14:paraId="3C7746F6" w14:textId="77777777" w:rsidR="00A164D2" w:rsidRPr="00DB745D" w:rsidRDefault="00A164D2" w:rsidP="00894E40">
            <w:pPr>
              <w:jc w:val="right"/>
              <w:rPr>
                <w:rFonts w:cstheme="minorHAnsi"/>
                <w:sz w:val="18"/>
                <w:szCs w:val="18"/>
              </w:rPr>
            </w:pPr>
            <w:r w:rsidRPr="00DB745D">
              <w:rPr>
                <w:rFonts w:cstheme="minorHAnsi"/>
                <w:sz w:val="18"/>
                <w:szCs w:val="18"/>
              </w:rPr>
              <w:t>57</w:t>
            </w:r>
          </w:p>
        </w:tc>
        <w:tc>
          <w:tcPr>
            <w:tcW w:w="563" w:type="dxa"/>
            <w:shd w:val="clear" w:color="auto" w:fill="auto"/>
            <w:noWrap/>
            <w:tcMar>
              <w:top w:w="0" w:type="dxa"/>
              <w:left w:w="70" w:type="dxa"/>
              <w:bottom w:w="0" w:type="dxa"/>
              <w:right w:w="70" w:type="dxa"/>
            </w:tcMar>
            <w:vAlign w:val="center"/>
            <w:hideMark/>
          </w:tcPr>
          <w:p w14:paraId="46EA1060" w14:textId="77777777" w:rsidR="00A164D2" w:rsidRPr="00DB745D" w:rsidRDefault="00A164D2" w:rsidP="00894E40">
            <w:pPr>
              <w:jc w:val="right"/>
              <w:rPr>
                <w:rFonts w:cstheme="minorHAnsi"/>
                <w:sz w:val="18"/>
                <w:szCs w:val="18"/>
              </w:rPr>
            </w:pPr>
            <w:r w:rsidRPr="00DB745D">
              <w:rPr>
                <w:rFonts w:cstheme="minorHAnsi"/>
                <w:sz w:val="18"/>
                <w:szCs w:val="18"/>
              </w:rPr>
              <w:t>1,4</w:t>
            </w:r>
          </w:p>
        </w:tc>
        <w:tc>
          <w:tcPr>
            <w:tcW w:w="656" w:type="dxa"/>
            <w:shd w:val="clear" w:color="auto" w:fill="auto"/>
            <w:noWrap/>
            <w:tcMar>
              <w:top w:w="0" w:type="dxa"/>
              <w:left w:w="70" w:type="dxa"/>
              <w:bottom w:w="0" w:type="dxa"/>
              <w:right w:w="70" w:type="dxa"/>
            </w:tcMar>
            <w:vAlign w:val="center"/>
            <w:hideMark/>
          </w:tcPr>
          <w:p w14:paraId="1C8317E1" w14:textId="77777777" w:rsidR="00A164D2" w:rsidRPr="00DB745D" w:rsidRDefault="00A164D2" w:rsidP="00894E40">
            <w:pPr>
              <w:jc w:val="right"/>
              <w:rPr>
                <w:rFonts w:cstheme="minorHAnsi"/>
                <w:sz w:val="18"/>
                <w:szCs w:val="18"/>
              </w:rPr>
            </w:pPr>
            <w:r w:rsidRPr="00DB745D">
              <w:rPr>
                <w:rFonts w:cstheme="minorHAnsi"/>
                <w:sz w:val="18"/>
                <w:szCs w:val="18"/>
              </w:rPr>
              <w:t>245</w:t>
            </w:r>
          </w:p>
        </w:tc>
        <w:tc>
          <w:tcPr>
            <w:tcW w:w="730" w:type="dxa"/>
            <w:shd w:val="clear" w:color="auto" w:fill="auto"/>
            <w:noWrap/>
            <w:tcMar>
              <w:top w:w="0" w:type="dxa"/>
              <w:left w:w="70" w:type="dxa"/>
              <w:bottom w:w="0" w:type="dxa"/>
              <w:right w:w="70" w:type="dxa"/>
            </w:tcMar>
            <w:vAlign w:val="center"/>
            <w:hideMark/>
          </w:tcPr>
          <w:p w14:paraId="6C37E6E1" w14:textId="77777777" w:rsidR="00A164D2" w:rsidRPr="00DB745D" w:rsidRDefault="00A164D2" w:rsidP="00894E40">
            <w:pPr>
              <w:jc w:val="right"/>
              <w:rPr>
                <w:rFonts w:cstheme="minorHAnsi"/>
                <w:sz w:val="18"/>
                <w:szCs w:val="18"/>
              </w:rPr>
            </w:pPr>
            <w:r w:rsidRPr="00DB745D">
              <w:rPr>
                <w:rFonts w:cstheme="minorHAnsi"/>
                <w:sz w:val="18"/>
                <w:szCs w:val="18"/>
              </w:rPr>
              <w:t>6,0</w:t>
            </w:r>
          </w:p>
        </w:tc>
        <w:tc>
          <w:tcPr>
            <w:tcW w:w="665" w:type="dxa"/>
            <w:shd w:val="clear" w:color="auto" w:fill="auto"/>
            <w:noWrap/>
            <w:tcMar>
              <w:top w:w="0" w:type="dxa"/>
              <w:left w:w="70" w:type="dxa"/>
              <w:bottom w:w="0" w:type="dxa"/>
              <w:right w:w="70" w:type="dxa"/>
            </w:tcMar>
            <w:vAlign w:val="center"/>
            <w:hideMark/>
          </w:tcPr>
          <w:p w14:paraId="37A14544" w14:textId="77777777" w:rsidR="00A164D2" w:rsidRPr="00DB745D" w:rsidRDefault="00A164D2" w:rsidP="00894E40">
            <w:pPr>
              <w:jc w:val="right"/>
              <w:rPr>
                <w:rFonts w:cstheme="minorHAnsi"/>
                <w:sz w:val="18"/>
                <w:szCs w:val="18"/>
              </w:rPr>
            </w:pPr>
            <w:r w:rsidRPr="00DB745D">
              <w:rPr>
                <w:rFonts w:cstheme="minorHAnsi"/>
                <w:sz w:val="18"/>
                <w:szCs w:val="18"/>
              </w:rPr>
              <w:t>1 415</w:t>
            </w:r>
          </w:p>
        </w:tc>
        <w:tc>
          <w:tcPr>
            <w:tcW w:w="665" w:type="dxa"/>
            <w:shd w:val="clear" w:color="auto" w:fill="auto"/>
            <w:noWrap/>
            <w:tcMar>
              <w:top w:w="0" w:type="dxa"/>
              <w:left w:w="70" w:type="dxa"/>
              <w:bottom w:w="0" w:type="dxa"/>
              <w:right w:w="70" w:type="dxa"/>
            </w:tcMar>
            <w:vAlign w:val="center"/>
            <w:hideMark/>
          </w:tcPr>
          <w:p w14:paraId="40EB2189" w14:textId="77777777" w:rsidR="00A164D2" w:rsidRPr="00DB745D" w:rsidRDefault="00A164D2" w:rsidP="00894E40">
            <w:pPr>
              <w:jc w:val="right"/>
              <w:rPr>
                <w:rFonts w:cstheme="minorHAnsi"/>
                <w:sz w:val="18"/>
                <w:szCs w:val="18"/>
              </w:rPr>
            </w:pPr>
            <w:r w:rsidRPr="00DB745D">
              <w:rPr>
                <w:rFonts w:cstheme="minorHAnsi"/>
                <w:sz w:val="18"/>
                <w:szCs w:val="18"/>
              </w:rPr>
              <w:t>34,6</w:t>
            </w:r>
          </w:p>
        </w:tc>
        <w:tc>
          <w:tcPr>
            <w:tcW w:w="797" w:type="dxa"/>
            <w:shd w:val="clear" w:color="auto" w:fill="auto"/>
            <w:noWrap/>
            <w:tcMar>
              <w:top w:w="0" w:type="dxa"/>
              <w:left w:w="70" w:type="dxa"/>
              <w:bottom w:w="0" w:type="dxa"/>
              <w:right w:w="70" w:type="dxa"/>
            </w:tcMar>
            <w:vAlign w:val="center"/>
            <w:hideMark/>
          </w:tcPr>
          <w:p w14:paraId="17726AD3" w14:textId="77777777" w:rsidR="00A164D2" w:rsidRPr="00DB745D" w:rsidRDefault="00A164D2" w:rsidP="00894E40">
            <w:pPr>
              <w:jc w:val="right"/>
              <w:rPr>
                <w:rFonts w:cstheme="minorHAnsi"/>
                <w:sz w:val="18"/>
                <w:szCs w:val="18"/>
              </w:rPr>
            </w:pPr>
            <w:r w:rsidRPr="00DB745D">
              <w:rPr>
                <w:rFonts w:cstheme="minorHAnsi"/>
                <w:sz w:val="18"/>
                <w:szCs w:val="18"/>
              </w:rPr>
              <w:t>813</w:t>
            </w:r>
          </w:p>
        </w:tc>
        <w:tc>
          <w:tcPr>
            <w:tcW w:w="665" w:type="dxa"/>
            <w:shd w:val="clear" w:color="auto" w:fill="auto"/>
            <w:noWrap/>
            <w:tcMar>
              <w:top w:w="0" w:type="dxa"/>
              <w:left w:w="70" w:type="dxa"/>
              <w:bottom w:w="0" w:type="dxa"/>
              <w:right w:w="70" w:type="dxa"/>
            </w:tcMar>
            <w:vAlign w:val="center"/>
            <w:hideMark/>
          </w:tcPr>
          <w:p w14:paraId="1B78E344" w14:textId="77777777" w:rsidR="00A164D2" w:rsidRPr="00DB745D" w:rsidRDefault="00A164D2" w:rsidP="00894E40">
            <w:pPr>
              <w:jc w:val="right"/>
              <w:rPr>
                <w:rFonts w:cstheme="minorHAnsi"/>
                <w:sz w:val="18"/>
                <w:szCs w:val="18"/>
              </w:rPr>
            </w:pPr>
            <w:r w:rsidRPr="00DB745D">
              <w:rPr>
                <w:rFonts w:cstheme="minorHAnsi"/>
                <w:sz w:val="18"/>
                <w:szCs w:val="18"/>
              </w:rPr>
              <w:t>19,9</w:t>
            </w:r>
          </w:p>
        </w:tc>
        <w:tc>
          <w:tcPr>
            <w:tcW w:w="798" w:type="dxa"/>
            <w:shd w:val="clear" w:color="auto" w:fill="auto"/>
            <w:noWrap/>
            <w:tcMar>
              <w:top w:w="0" w:type="dxa"/>
              <w:left w:w="70" w:type="dxa"/>
              <w:bottom w:w="0" w:type="dxa"/>
              <w:right w:w="70" w:type="dxa"/>
            </w:tcMar>
            <w:vAlign w:val="center"/>
            <w:hideMark/>
          </w:tcPr>
          <w:p w14:paraId="07B36D8A" w14:textId="77777777" w:rsidR="00A164D2" w:rsidRPr="00DB745D" w:rsidRDefault="00A164D2" w:rsidP="00894E40">
            <w:pPr>
              <w:jc w:val="right"/>
              <w:rPr>
                <w:rFonts w:cstheme="minorHAnsi"/>
                <w:sz w:val="18"/>
                <w:szCs w:val="18"/>
              </w:rPr>
            </w:pPr>
            <w:r w:rsidRPr="00DB745D">
              <w:rPr>
                <w:rFonts w:cstheme="minorHAnsi"/>
                <w:sz w:val="18"/>
                <w:szCs w:val="18"/>
              </w:rPr>
              <w:t>1 559</w:t>
            </w:r>
          </w:p>
        </w:tc>
        <w:tc>
          <w:tcPr>
            <w:tcW w:w="667" w:type="dxa"/>
            <w:shd w:val="clear" w:color="auto" w:fill="auto"/>
            <w:noWrap/>
            <w:tcMar>
              <w:top w:w="0" w:type="dxa"/>
              <w:left w:w="70" w:type="dxa"/>
              <w:bottom w:w="0" w:type="dxa"/>
              <w:right w:w="70" w:type="dxa"/>
            </w:tcMar>
            <w:vAlign w:val="center"/>
            <w:hideMark/>
          </w:tcPr>
          <w:p w14:paraId="097E05B4" w14:textId="77777777" w:rsidR="00A164D2" w:rsidRPr="00DB745D" w:rsidRDefault="00A164D2" w:rsidP="00894E40">
            <w:pPr>
              <w:jc w:val="right"/>
              <w:rPr>
                <w:rFonts w:cstheme="minorHAnsi"/>
                <w:sz w:val="18"/>
                <w:szCs w:val="18"/>
              </w:rPr>
            </w:pPr>
            <w:r w:rsidRPr="00DB745D">
              <w:rPr>
                <w:rFonts w:cstheme="minorHAnsi"/>
                <w:sz w:val="18"/>
                <w:szCs w:val="18"/>
              </w:rPr>
              <w:t>38,1</w:t>
            </w:r>
          </w:p>
        </w:tc>
      </w:tr>
      <w:tr w:rsidR="00A164D2" w:rsidRPr="00DB745D" w14:paraId="63AC645F"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12DCB52E"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Karlovarský</w:t>
            </w:r>
          </w:p>
        </w:tc>
        <w:tc>
          <w:tcPr>
            <w:tcW w:w="798" w:type="dxa"/>
            <w:shd w:val="clear" w:color="auto" w:fill="auto"/>
            <w:noWrap/>
            <w:tcMar>
              <w:top w:w="0" w:type="dxa"/>
              <w:left w:w="70" w:type="dxa"/>
              <w:bottom w:w="0" w:type="dxa"/>
              <w:right w:w="70" w:type="dxa"/>
            </w:tcMar>
            <w:vAlign w:val="center"/>
            <w:hideMark/>
          </w:tcPr>
          <w:p w14:paraId="381F5EA8" w14:textId="77777777" w:rsidR="00A164D2" w:rsidRPr="00DB745D" w:rsidRDefault="00A164D2" w:rsidP="00894E40">
            <w:pPr>
              <w:jc w:val="right"/>
              <w:rPr>
                <w:rFonts w:cstheme="minorHAnsi"/>
                <w:sz w:val="18"/>
                <w:szCs w:val="18"/>
              </w:rPr>
            </w:pPr>
            <w:r w:rsidRPr="00DB745D">
              <w:rPr>
                <w:rFonts w:cstheme="minorHAnsi"/>
                <w:sz w:val="18"/>
                <w:szCs w:val="18"/>
              </w:rPr>
              <w:t>2 489</w:t>
            </w:r>
          </w:p>
        </w:tc>
        <w:tc>
          <w:tcPr>
            <w:tcW w:w="570" w:type="dxa"/>
            <w:shd w:val="clear" w:color="auto" w:fill="auto"/>
            <w:noWrap/>
            <w:tcMar>
              <w:top w:w="0" w:type="dxa"/>
              <w:left w:w="70" w:type="dxa"/>
              <w:bottom w:w="0" w:type="dxa"/>
              <w:right w:w="70" w:type="dxa"/>
            </w:tcMar>
            <w:vAlign w:val="center"/>
            <w:hideMark/>
          </w:tcPr>
          <w:p w14:paraId="267F2EAC" w14:textId="77777777" w:rsidR="00A164D2" w:rsidRPr="00DB745D" w:rsidRDefault="00A164D2" w:rsidP="00894E40">
            <w:pPr>
              <w:jc w:val="right"/>
              <w:rPr>
                <w:rFonts w:cstheme="minorHAnsi"/>
                <w:sz w:val="18"/>
                <w:szCs w:val="18"/>
              </w:rPr>
            </w:pPr>
            <w:r w:rsidRPr="00DB745D">
              <w:rPr>
                <w:rFonts w:cstheme="minorHAnsi"/>
                <w:sz w:val="18"/>
                <w:szCs w:val="18"/>
              </w:rPr>
              <w:t>35</w:t>
            </w:r>
          </w:p>
        </w:tc>
        <w:tc>
          <w:tcPr>
            <w:tcW w:w="563" w:type="dxa"/>
            <w:shd w:val="clear" w:color="auto" w:fill="auto"/>
            <w:noWrap/>
            <w:tcMar>
              <w:top w:w="0" w:type="dxa"/>
              <w:left w:w="70" w:type="dxa"/>
              <w:bottom w:w="0" w:type="dxa"/>
              <w:right w:w="70" w:type="dxa"/>
            </w:tcMar>
            <w:vAlign w:val="center"/>
            <w:hideMark/>
          </w:tcPr>
          <w:p w14:paraId="782E3594" w14:textId="77777777" w:rsidR="00A164D2" w:rsidRPr="00DB745D" w:rsidRDefault="00A164D2" w:rsidP="00894E40">
            <w:pPr>
              <w:jc w:val="right"/>
              <w:rPr>
                <w:rFonts w:cstheme="minorHAnsi"/>
                <w:sz w:val="18"/>
                <w:szCs w:val="18"/>
              </w:rPr>
            </w:pPr>
            <w:r w:rsidRPr="00DB745D">
              <w:rPr>
                <w:rFonts w:cstheme="minorHAnsi"/>
                <w:sz w:val="18"/>
                <w:szCs w:val="18"/>
              </w:rPr>
              <w:t>1,4</w:t>
            </w:r>
          </w:p>
        </w:tc>
        <w:tc>
          <w:tcPr>
            <w:tcW w:w="656" w:type="dxa"/>
            <w:shd w:val="clear" w:color="auto" w:fill="auto"/>
            <w:noWrap/>
            <w:tcMar>
              <w:top w:w="0" w:type="dxa"/>
              <w:left w:w="70" w:type="dxa"/>
              <w:bottom w:w="0" w:type="dxa"/>
              <w:right w:w="70" w:type="dxa"/>
            </w:tcMar>
            <w:vAlign w:val="center"/>
            <w:hideMark/>
          </w:tcPr>
          <w:p w14:paraId="1FCA5858" w14:textId="77777777" w:rsidR="00A164D2" w:rsidRPr="00DB745D" w:rsidRDefault="00A164D2" w:rsidP="00894E40">
            <w:pPr>
              <w:jc w:val="right"/>
              <w:rPr>
                <w:rFonts w:cstheme="minorHAnsi"/>
                <w:sz w:val="18"/>
                <w:szCs w:val="18"/>
              </w:rPr>
            </w:pPr>
            <w:r w:rsidRPr="00DB745D">
              <w:rPr>
                <w:rFonts w:cstheme="minorHAnsi"/>
                <w:sz w:val="18"/>
                <w:szCs w:val="18"/>
              </w:rPr>
              <w:t>340</w:t>
            </w:r>
          </w:p>
        </w:tc>
        <w:tc>
          <w:tcPr>
            <w:tcW w:w="730" w:type="dxa"/>
            <w:shd w:val="clear" w:color="auto" w:fill="auto"/>
            <w:noWrap/>
            <w:tcMar>
              <w:top w:w="0" w:type="dxa"/>
              <w:left w:w="70" w:type="dxa"/>
              <w:bottom w:w="0" w:type="dxa"/>
              <w:right w:w="70" w:type="dxa"/>
            </w:tcMar>
            <w:vAlign w:val="center"/>
            <w:hideMark/>
          </w:tcPr>
          <w:p w14:paraId="30ABD8E6" w14:textId="77777777" w:rsidR="00A164D2" w:rsidRPr="00DB745D" w:rsidRDefault="00A164D2" w:rsidP="00894E40">
            <w:pPr>
              <w:jc w:val="right"/>
              <w:rPr>
                <w:rFonts w:cstheme="minorHAnsi"/>
                <w:sz w:val="18"/>
                <w:szCs w:val="18"/>
              </w:rPr>
            </w:pPr>
            <w:r w:rsidRPr="00DB745D">
              <w:rPr>
                <w:rFonts w:cstheme="minorHAnsi"/>
                <w:sz w:val="18"/>
                <w:szCs w:val="18"/>
              </w:rPr>
              <w:t>13,7</w:t>
            </w:r>
          </w:p>
        </w:tc>
        <w:tc>
          <w:tcPr>
            <w:tcW w:w="665" w:type="dxa"/>
            <w:shd w:val="clear" w:color="auto" w:fill="auto"/>
            <w:noWrap/>
            <w:tcMar>
              <w:top w:w="0" w:type="dxa"/>
              <w:left w:w="70" w:type="dxa"/>
              <w:bottom w:w="0" w:type="dxa"/>
              <w:right w:w="70" w:type="dxa"/>
            </w:tcMar>
            <w:vAlign w:val="center"/>
            <w:hideMark/>
          </w:tcPr>
          <w:p w14:paraId="4BACBA7C" w14:textId="77777777" w:rsidR="00A164D2" w:rsidRPr="00DB745D" w:rsidRDefault="00A164D2" w:rsidP="00894E40">
            <w:pPr>
              <w:jc w:val="right"/>
              <w:rPr>
                <w:rFonts w:cstheme="minorHAnsi"/>
                <w:sz w:val="18"/>
                <w:szCs w:val="18"/>
              </w:rPr>
            </w:pPr>
            <w:r w:rsidRPr="00DB745D">
              <w:rPr>
                <w:rFonts w:cstheme="minorHAnsi"/>
                <w:sz w:val="18"/>
                <w:szCs w:val="18"/>
              </w:rPr>
              <w:t>327</w:t>
            </w:r>
          </w:p>
        </w:tc>
        <w:tc>
          <w:tcPr>
            <w:tcW w:w="665" w:type="dxa"/>
            <w:shd w:val="clear" w:color="auto" w:fill="auto"/>
            <w:noWrap/>
            <w:tcMar>
              <w:top w:w="0" w:type="dxa"/>
              <w:left w:w="70" w:type="dxa"/>
              <w:bottom w:w="0" w:type="dxa"/>
              <w:right w:w="70" w:type="dxa"/>
            </w:tcMar>
            <w:vAlign w:val="center"/>
            <w:hideMark/>
          </w:tcPr>
          <w:p w14:paraId="3C7AF31A" w14:textId="77777777" w:rsidR="00A164D2" w:rsidRPr="00DB745D" w:rsidRDefault="00A164D2" w:rsidP="00894E40">
            <w:pPr>
              <w:jc w:val="right"/>
              <w:rPr>
                <w:rFonts w:cstheme="minorHAnsi"/>
                <w:sz w:val="18"/>
                <w:szCs w:val="18"/>
              </w:rPr>
            </w:pPr>
            <w:r w:rsidRPr="00DB745D">
              <w:rPr>
                <w:rFonts w:cstheme="minorHAnsi"/>
                <w:sz w:val="18"/>
                <w:szCs w:val="18"/>
              </w:rPr>
              <w:t>13,1</w:t>
            </w:r>
          </w:p>
        </w:tc>
        <w:tc>
          <w:tcPr>
            <w:tcW w:w="797" w:type="dxa"/>
            <w:shd w:val="clear" w:color="auto" w:fill="auto"/>
            <w:noWrap/>
            <w:tcMar>
              <w:top w:w="0" w:type="dxa"/>
              <w:left w:w="70" w:type="dxa"/>
              <w:bottom w:w="0" w:type="dxa"/>
              <w:right w:w="70" w:type="dxa"/>
            </w:tcMar>
            <w:vAlign w:val="center"/>
            <w:hideMark/>
          </w:tcPr>
          <w:p w14:paraId="53CCEDEF" w14:textId="77777777" w:rsidR="00A164D2" w:rsidRPr="00DB745D" w:rsidRDefault="00A164D2" w:rsidP="00894E40">
            <w:pPr>
              <w:jc w:val="right"/>
              <w:rPr>
                <w:rFonts w:cstheme="minorHAnsi"/>
                <w:sz w:val="18"/>
                <w:szCs w:val="18"/>
              </w:rPr>
            </w:pPr>
            <w:r w:rsidRPr="00DB745D">
              <w:rPr>
                <w:rFonts w:cstheme="minorHAnsi"/>
                <w:sz w:val="18"/>
                <w:szCs w:val="18"/>
              </w:rPr>
              <w:t>1 185</w:t>
            </w:r>
          </w:p>
        </w:tc>
        <w:tc>
          <w:tcPr>
            <w:tcW w:w="665" w:type="dxa"/>
            <w:shd w:val="clear" w:color="auto" w:fill="auto"/>
            <w:noWrap/>
            <w:tcMar>
              <w:top w:w="0" w:type="dxa"/>
              <w:left w:w="70" w:type="dxa"/>
              <w:bottom w:w="0" w:type="dxa"/>
              <w:right w:w="70" w:type="dxa"/>
            </w:tcMar>
            <w:vAlign w:val="center"/>
            <w:hideMark/>
          </w:tcPr>
          <w:p w14:paraId="77D0BA38" w14:textId="77777777" w:rsidR="00A164D2" w:rsidRPr="00DB745D" w:rsidRDefault="00A164D2" w:rsidP="00894E40">
            <w:pPr>
              <w:jc w:val="right"/>
              <w:rPr>
                <w:rFonts w:cstheme="minorHAnsi"/>
                <w:sz w:val="18"/>
                <w:szCs w:val="18"/>
              </w:rPr>
            </w:pPr>
            <w:r w:rsidRPr="00DB745D">
              <w:rPr>
                <w:rFonts w:cstheme="minorHAnsi"/>
                <w:sz w:val="18"/>
                <w:szCs w:val="18"/>
              </w:rPr>
              <w:t>47,6</w:t>
            </w:r>
          </w:p>
        </w:tc>
        <w:tc>
          <w:tcPr>
            <w:tcW w:w="798" w:type="dxa"/>
            <w:shd w:val="clear" w:color="auto" w:fill="auto"/>
            <w:noWrap/>
            <w:tcMar>
              <w:top w:w="0" w:type="dxa"/>
              <w:left w:w="70" w:type="dxa"/>
              <w:bottom w:w="0" w:type="dxa"/>
              <w:right w:w="70" w:type="dxa"/>
            </w:tcMar>
            <w:vAlign w:val="center"/>
            <w:hideMark/>
          </w:tcPr>
          <w:p w14:paraId="1D84F2BA" w14:textId="77777777" w:rsidR="00A164D2" w:rsidRPr="00DB745D" w:rsidRDefault="00A164D2" w:rsidP="00894E40">
            <w:pPr>
              <w:jc w:val="right"/>
              <w:rPr>
                <w:rFonts w:cstheme="minorHAnsi"/>
                <w:sz w:val="18"/>
                <w:szCs w:val="18"/>
              </w:rPr>
            </w:pPr>
            <w:r w:rsidRPr="00DB745D">
              <w:rPr>
                <w:rFonts w:cstheme="minorHAnsi"/>
                <w:sz w:val="18"/>
                <w:szCs w:val="18"/>
              </w:rPr>
              <w:t>602</w:t>
            </w:r>
          </w:p>
        </w:tc>
        <w:tc>
          <w:tcPr>
            <w:tcW w:w="667" w:type="dxa"/>
            <w:shd w:val="clear" w:color="auto" w:fill="auto"/>
            <w:noWrap/>
            <w:tcMar>
              <w:top w:w="0" w:type="dxa"/>
              <w:left w:w="70" w:type="dxa"/>
              <w:bottom w:w="0" w:type="dxa"/>
              <w:right w:w="70" w:type="dxa"/>
            </w:tcMar>
            <w:vAlign w:val="center"/>
            <w:hideMark/>
          </w:tcPr>
          <w:p w14:paraId="10609121" w14:textId="77777777" w:rsidR="00A164D2" w:rsidRPr="00DB745D" w:rsidRDefault="00A164D2" w:rsidP="00894E40">
            <w:pPr>
              <w:jc w:val="right"/>
              <w:rPr>
                <w:rFonts w:cstheme="minorHAnsi"/>
                <w:sz w:val="18"/>
                <w:szCs w:val="18"/>
              </w:rPr>
            </w:pPr>
            <w:r w:rsidRPr="00DB745D">
              <w:rPr>
                <w:rFonts w:cstheme="minorHAnsi"/>
                <w:sz w:val="18"/>
                <w:szCs w:val="18"/>
              </w:rPr>
              <w:t>24,2</w:t>
            </w:r>
          </w:p>
        </w:tc>
      </w:tr>
      <w:tr w:rsidR="00A164D2" w:rsidRPr="00DB745D" w14:paraId="14148888"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679371FE"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Královéhradecký</w:t>
            </w:r>
          </w:p>
        </w:tc>
        <w:tc>
          <w:tcPr>
            <w:tcW w:w="798" w:type="dxa"/>
            <w:shd w:val="clear" w:color="auto" w:fill="auto"/>
            <w:noWrap/>
            <w:tcMar>
              <w:top w:w="0" w:type="dxa"/>
              <w:left w:w="70" w:type="dxa"/>
              <w:bottom w:w="0" w:type="dxa"/>
              <w:right w:w="70" w:type="dxa"/>
            </w:tcMar>
            <w:vAlign w:val="center"/>
            <w:hideMark/>
          </w:tcPr>
          <w:p w14:paraId="1E89032E" w14:textId="77777777" w:rsidR="00A164D2" w:rsidRPr="00DB745D" w:rsidRDefault="00A164D2" w:rsidP="00894E40">
            <w:pPr>
              <w:jc w:val="right"/>
              <w:rPr>
                <w:rFonts w:cstheme="minorHAnsi"/>
                <w:sz w:val="18"/>
                <w:szCs w:val="18"/>
              </w:rPr>
            </w:pPr>
            <w:r w:rsidRPr="00DB745D">
              <w:rPr>
                <w:rFonts w:cstheme="minorHAnsi"/>
                <w:sz w:val="18"/>
                <w:szCs w:val="18"/>
              </w:rPr>
              <w:t>4 701</w:t>
            </w:r>
          </w:p>
        </w:tc>
        <w:tc>
          <w:tcPr>
            <w:tcW w:w="570" w:type="dxa"/>
            <w:shd w:val="clear" w:color="auto" w:fill="auto"/>
            <w:noWrap/>
            <w:tcMar>
              <w:top w:w="0" w:type="dxa"/>
              <w:left w:w="70" w:type="dxa"/>
              <w:bottom w:w="0" w:type="dxa"/>
              <w:right w:w="70" w:type="dxa"/>
            </w:tcMar>
            <w:vAlign w:val="center"/>
            <w:hideMark/>
          </w:tcPr>
          <w:p w14:paraId="094BB064" w14:textId="77777777" w:rsidR="00A164D2" w:rsidRPr="00DB745D" w:rsidRDefault="00A164D2" w:rsidP="00894E40">
            <w:pPr>
              <w:jc w:val="right"/>
              <w:rPr>
                <w:rFonts w:cstheme="minorHAnsi"/>
                <w:sz w:val="18"/>
                <w:szCs w:val="18"/>
              </w:rPr>
            </w:pPr>
            <w:r w:rsidRPr="00DB745D">
              <w:rPr>
                <w:rFonts w:cstheme="minorHAnsi"/>
                <w:sz w:val="18"/>
                <w:szCs w:val="18"/>
              </w:rPr>
              <w:t>132</w:t>
            </w:r>
          </w:p>
        </w:tc>
        <w:tc>
          <w:tcPr>
            <w:tcW w:w="563" w:type="dxa"/>
            <w:shd w:val="clear" w:color="auto" w:fill="auto"/>
            <w:noWrap/>
            <w:tcMar>
              <w:top w:w="0" w:type="dxa"/>
              <w:left w:w="70" w:type="dxa"/>
              <w:bottom w:w="0" w:type="dxa"/>
              <w:right w:w="70" w:type="dxa"/>
            </w:tcMar>
            <w:vAlign w:val="center"/>
            <w:hideMark/>
          </w:tcPr>
          <w:p w14:paraId="37BA940A" w14:textId="77777777" w:rsidR="00A164D2" w:rsidRPr="00DB745D" w:rsidRDefault="00A164D2" w:rsidP="00894E40">
            <w:pPr>
              <w:jc w:val="right"/>
              <w:rPr>
                <w:rFonts w:cstheme="minorHAnsi"/>
                <w:sz w:val="18"/>
                <w:szCs w:val="18"/>
              </w:rPr>
            </w:pPr>
            <w:r w:rsidRPr="00DB745D">
              <w:rPr>
                <w:rFonts w:cstheme="minorHAnsi"/>
                <w:sz w:val="18"/>
                <w:szCs w:val="18"/>
              </w:rPr>
              <w:t>2,8</w:t>
            </w:r>
          </w:p>
        </w:tc>
        <w:tc>
          <w:tcPr>
            <w:tcW w:w="656" w:type="dxa"/>
            <w:shd w:val="clear" w:color="auto" w:fill="auto"/>
            <w:noWrap/>
            <w:tcMar>
              <w:top w:w="0" w:type="dxa"/>
              <w:left w:w="70" w:type="dxa"/>
              <w:bottom w:w="0" w:type="dxa"/>
              <w:right w:w="70" w:type="dxa"/>
            </w:tcMar>
            <w:vAlign w:val="center"/>
            <w:hideMark/>
          </w:tcPr>
          <w:p w14:paraId="0BCE27D1" w14:textId="77777777" w:rsidR="00A164D2" w:rsidRPr="00DB745D" w:rsidRDefault="00A164D2" w:rsidP="00894E40">
            <w:pPr>
              <w:jc w:val="right"/>
              <w:rPr>
                <w:rFonts w:cstheme="minorHAnsi"/>
                <w:sz w:val="18"/>
                <w:szCs w:val="18"/>
              </w:rPr>
            </w:pPr>
            <w:r w:rsidRPr="00DB745D">
              <w:rPr>
                <w:rFonts w:cstheme="minorHAnsi"/>
                <w:sz w:val="18"/>
                <w:szCs w:val="18"/>
              </w:rPr>
              <w:t>871</w:t>
            </w:r>
          </w:p>
        </w:tc>
        <w:tc>
          <w:tcPr>
            <w:tcW w:w="730" w:type="dxa"/>
            <w:shd w:val="clear" w:color="auto" w:fill="auto"/>
            <w:noWrap/>
            <w:tcMar>
              <w:top w:w="0" w:type="dxa"/>
              <w:left w:w="70" w:type="dxa"/>
              <w:bottom w:w="0" w:type="dxa"/>
              <w:right w:w="70" w:type="dxa"/>
            </w:tcMar>
            <w:vAlign w:val="center"/>
            <w:hideMark/>
          </w:tcPr>
          <w:p w14:paraId="7EDA2AC7" w14:textId="77777777" w:rsidR="00A164D2" w:rsidRPr="00DB745D" w:rsidRDefault="00A164D2" w:rsidP="00894E40">
            <w:pPr>
              <w:jc w:val="right"/>
              <w:rPr>
                <w:rFonts w:cstheme="minorHAnsi"/>
                <w:sz w:val="18"/>
                <w:szCs w:val="18"/>
              </w:rPr>
            </w:pPr>
            <w:r w:rsidRPr="00DB745D">
              <w:rPr>
                <w:rFonts w:cstheme="minorHAnsi"/>
                <w:sz w:val="18"/>
                <w:szCs w:val="18"/>
              </w:rPr>
              <w:t>18,5</w:t>
            </w:r>
          </w:p>
        </w:tc>
        <w:tc>
          <w:tcPr>
            <w:tcW w:w="665" w:type="dxa"/>
            <w:shd w:val="clear" w:color="auto" w:fill="auto"/>
            <w:noWrap/>
            <w:tcMar>
              <w:top w:w="0" w:type="dxa"/>
              <w:left w:w="70" w:type="dxa"/>
              <w:bottom w:w="0" w:type="dxa"/>
              <w:right w:w="70" w:type="dxa"/>
            </w:tcMar>
            <w:vAlign w:val="center"/>
            <w:hideMark/>
          </w:tcPr>
          <w:p w14:paraId="12A81ACB" w14:textId="77777777" w:rsidR="00A164D2" w:rsidRPr="00DB745D" w:rsidRDefault="00A164D2" w:rsidP="00894E40">
            <w:pPr>
              <w:jc w:val="right"/>
              <w:rPr>
                <w:rFonts w:cstheme="minorHAnsi"/>
                <w:sz w:val="18"/>
                <w:szCs w:val="18"/>
              </w:rPr>
            </w:pPr>
            <w:r w:rsidRPr="00DB745D">
              <w:rPr>
                <w:rFonts w:cstheme="minorHAnsi"/>
                <w:sz w:val="18"/>
                <w:szCs w:val="18"/>
              </w:rPr>
              <w:t>573</w:t>
            </w:r>
          </w:p>
        </w:tc>
        <w:tc>
          <w:tcPr>
            <w:tcW w:w="665" w:type="dxa"/>
            <w:shd w:val="clear" w:color="auto" w:fill="auto"/>
            <w:noWrap/>
            <w:tcMar>
              <w:top w:w="0" w:type="dxa"/>
              <w:left w:w="70" w:type="dxa"/>
              <w:bottom w:w="0" w:type="dxa"/>
              <w:right w:w="70" w:type="dxa"/>
            </w:tcMar>
            <w:vAlign w:val="center"/>
            <w:hideMark/>
          </w:tcPr>
          <w:p w14:paraId="56189305" w14:textId="77777777" w:rsidR="00A164D2" w:rsidRPr="00DB745D" w:rsidRDefault="00A164D2" w:rsidP="00894E40">
            <w:pPr>
              <w:jc w:val="right"/>
              <w:rPr>
                <w:rFonts w:cstheme="minorHAnsi"/>
                <w:sz w:val="18"/>
                <w:szCs w:val="18"/>
              </w:rPr>
            </w:pPr>
            <w:r w:rsidRPr="00DB745D">
              <w:rPr>
                <w:rFonts w:cstheme="minorHAnsi"/>
                <w:sz w:val="18"/>
                <w:szCs w:val="18"/>
              </w:rPr>
              <w:t>12,2</w:t>
            </w:r>
          </w:p>
        </w:tc>
        <w:tc>
          <w:tcPr>
            <w:tcW w:w="797" w:type="dxa"/>
            <w:shd w:val="clear" w:color="auto" w:fill="auto"/>
            <w:noWrap/>
            <w:tcMar>
              <w:top w:w="0" w:type="dxa"/>
              <w:left w:w="70" w:type="dxa"/>
              <w:bottom w:w="0" w:type="dxa"/>
              <w:right w:w="70" w:type="dxa"/>
            </w:tcMar>
            <w:vAlign w:val="center"/>
            <w:hideMark/>
          </w:tcPr>
          <w:p w14:paraId="07CD0647" w14:textId="77777777" w:rsidR="00A164D2" w:rsidRPr="00DB745D" w:rsidRDefault="00A164D2" w:rsidP="00894E40">
            <w:pPr>
              <w:jc w:val="right"/>
              <w:rPr>
                <w:rFonts w:cstheme="minorHAnsi"/>
                <w:sz w:val="18"/>
                <w:szCs w:val="18"/>
              </w:rPr>
            </w:pPr>
            <w:r w:rsidRPr="00DB745D">
              <w:rPr>
                <w:rFonts w:cstheme="minorHAnsi"/>
                <w:sz w:val="18"/>
                <w:szCs w:val="18"/>
              </w:rPr>
              <w:t>2 212</w:t>
            </w:r>
          </w:p>
        </w:tc>
        <w:tc>
          <w:tcPr>
            <w:tcW w:w="665" w:type="dxa"/>
            <w:shd w:val="clear" w:color="auto" w:fill="auto"/>
            <w:noWrap/>
            <w:tcMar>
              <w:top w:w="0" w:type="dxa"/>
              <w:left w:w="70" w:type="dxa"/>
              <w:bottom w:w="0" w:type="dxa"/>
              <w:right w:w="70" w:type="dxa"/>
            </w:tcMar>
            <w:vAlign w:val="center"/>
            <w:hideMark/>
          </w:tcPr>
          <w:p w14:paraId="5F769501" w14:textId="77777777" w:rsidR="00A164D2" w:rsidRPr="00DB745D" w:rsidRDefault="00A164D2" w:rsidP="00894E40">
            <w:pPr>
              <w:jc w:val="right"/>
              <w:rPr>
                <w:rFonts w:cstheme="minorHAnsi"/>
                <w:sz w:val="18"/>
                <w:szCs w:val="18"/>
              </w:rPr>
            </w:pPr>
            <w:r w:rsidRPr="00DB745D">
              <w:rPr>
                <w:rFonts w:cstheme="minorHAnsi"/>
                <w:sz w:val="18"/>
                <w:szCs w:val="18"/>
              </w:rPr>
              <w:t>47,1</w:t>
            </w:r>
          </w:p>
        </w:tc>
        <w:tc>
          <w:tcPr>
            <w:tcW w:w="798" w:type="dxa"/>
            <w:shd w:val="clear" w:color="auto" w:fill="auto"/>
            <w:noWrap/>
            <w:tcMar>
              <w:top w:w="0" w:type="dxa"/>
              <w:left w:w="70" w:type="dxa"/>
              <w:bottom w:w="0" w:type="dxa"/>
              <w:right w:w="70" w:type="dxa"/>
            </w:tcMar>
            <w:vAlign w:val="center"/>
            <w:hideMark/>
          </w:tcPr>
          <w:p w14:paraId="633F1E94" w14:textId="77777777" w:rsidR="00A164D2" w:rsidRPr="00DB745D" w:rsidRDefault="00A164D2" w:rsidP="00894E40">
            <w:pPr>
              <w:jc w:val="right"/>
              <w:rPr>
                <w:rFonts w:cstheme="minorHAnsi"/>
                <w:sz w:val="18"/>
                <w:szCs w:val="18"/>
              </w:rPr>
            </w:pPr>
            <w:r w:rsidRPr="00DB745D">
              <w:rPr>
                <w:rFonts w:cstheme="minorHAnsi"/>
                <w:sz w:val="18"/>
                <w:szCs w:val="18"/>
              </w:rPr>
              <w:t>913</w:t>
            </w:r>
          </w:p>
        </w:tc>
        <w:tc>
          <w:tcPr>
            <w:tcW w:w="667" w:type="dxa"/>
            <w:shd w:val="clear" w:color="auto" w:fill="auto"/>
            <w:noWrap/>
            <w:tcMar>
              <w:top w:w="0" w:type="dxa"/>
              <w:left w:w="70" w:type="dxa"/>
              <w:bottom w:w="0" w:type="dxa"/>
              <w:right w:w="70" w:type="dxa"/>
            </w:tcMar>
            <w:vAlign w:val="center"/>
            <w:hideMark/>
          </w:tcPr>
          <w:p w14:paraId="0784FE18" w14:textId="77777777" w:rsidR="00A164D2" w:rsidRPr="00DB745D" w:rsidRDefault="00A164D2" w:rsidP="00894E40">
            <w:pPr>
              <w:jc w:val="right"/>
              <w:rPr>
                <w:rFonts w:cstheme="minorHAnsi"/>
                <w:sz w:val="18"/>
                <w:szCs w:val="18"/>
              </w:rPr>
            </w:pPr>
            <w:r w:rsidRPr="00DB745D">
              <w:rPr>
                <w:rFonts w:cstheme="minorHAnsi"/>
                <w:sz w:val="18"/>
                <w:szCs w:val="18"/>
              </w:rPr>
              <w:t>19,4</w:t>
            </w:r>
          </w:p>
        </w:tc>
      </w:tr>
      <w:tr w:rsidR="00A164D2" w:rsidRPr="00DB745D" w14:paraId="12B3F68A"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72C68A84"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Liberecký</w:t>
            </w:r>
          </w:p>
        </w:tc>
        <w:tc>
          <w:tcPr>
            <w:tcW w:w="798" w:type="dxa"/>
            <w:shd w:val="clear" w:color="auto" w:fill="auto"/>
            <w:noWrap/>
            <w:tcMar>
              <w:top w:w="0" w:type="dxa"/>
              <w:left w:w="70" w:type="dxa"/>
              <w:bottom w:w="0" w:type="dxa"/>
              <w:right w:w="70" w:type="dxa"/>
            </w:tcMar>
            <w:vAlign w:val="center"/>
            <w:hideMark/>
          </w:tcPr>
          <w:p w14:paraId="45BCE43C" w14:textId="77777777" w:rsidR="00A164D2" w:rsidRPr="00DB745D" w:rsidRDefault="00A164D2" w:rsidP="00894E40">
            <w:pPr>
              <w:jc w:val="right"/>
              <w:rPr>
                <w:rFonts w:cstheme="minorHAnsi"/>
                <w:sz w:val="18"/>
                <w:szCs w:val="18"/>
              </w:rPr>
            </w:pPr>
            <w:r w:rsidRPr="00DB745D">
              <w:rPr>
                <w:rFonts w:cstheme="minorHAnsi"/>
                <w:sz w:val="18"/>
                <w:szCs w:val="18"/>
              </w:rPr>
              <w:t>4 401</w:t>
            </w:r>
          </w:p>
        </w:tc>
        <w:tc>
          <w:tcPr>
            <w:tcW w:w="570" w:type="dxa"/>
            <w:shd w:val="clear" w:color="auto" w:fill="auto"/>
            <w:noWrap/>
            <w:tcMar>
              <w:top w:w="0" w:type="dxa"/>
              <w:left w:w="70" w:type="dxa"/>
              <w:bottom w:w="0" w:type="dxa"/>
              <w:right w:w="70" w:type="dxa"/>
            </w:tcMar>
            <w:vAlign w:val="center"/>
            <w:hideMark/>
          </w:tcPr>
          <w:p w14:paraId="7A8CBC6B" w14:textId="77777777" w:rsidR="00A164D2" w:rsidRPr="00DB745D" w:rsidRDefault="00A164D2" w:rsidP="00894E40">
            <w:pPr>
              <w:jc w:val="right"/>
              <w:rPr>
                <w:rFonts w:cstheme="minorHAnsi"/>
                <w:sz w:val="18"/>
                <w:szCs w:val="18"/>
              </w:rPr>
            </w:pPr>
            <w:r w:rsidRPr="00DB745D">
              <w:rPr>
                <w:rFonts w:cstheme="minorHAnsi"/>
                <w:sz w:val="18"/>
                <w:szCs w:val="18"/>
              </w:rPr>
              <w:t>158</w:t>
            </w:r>
          </w:p>
        </w:tc>
        <w:tc>
          <w:tcPr>
            <w:tcW w:w="563" w:type="dxa"/>
            <w:shd w:val="clear" w:color="auto" w:fill="auto"/>
            <w:noWrap/>
            <w:tcMar>
              <w:top w:w="0" w:type="dxa"/>
              <w:left w:w="70" w:type="dxa"/>
              <w:bottom w:w="0" w:type="dxa"/>
              <w:right w:w="70" w:type="dxa"/>
            </w:tcMar>
            <w:vAlign w:val="center"/>
            <w:hideMark/>
          </w:tcPr>
          <w:p w14:paraId="042540EC" w14:textId="77777777" w:rsidR="00A164D2" w:rsidRPr="00DB745D" w:rsidRDefault="00A164D2" w:rsidP="00894E40">
            <w:pPr>
              <w:jc w:val="right"/>
              <w:rPr>
                <w:rFonts w:cstheme="minorHAnsi"/>
                <w:sz w:val="18"/>
                <w:szCs w:val="18"/>
              </w:rPr>
            </w:pPr>
            <w:r w:rsidRPr="00DB745D">
              <w:rPr>
                <w:rFonts w:cstheme="minorHAnsi"/>
                <w:sz w:val="18"/>
                <w:szCs w:val="18"/>
              </w:rPr>
              <w:t>3,6</w:t>
            </w:r>
          </w:p>
        </w:tc>
        <w:tc>
          <w:tcPr>
            <w:tcW w:w="656" w:type="dxa"/>
            <w:shd w:val="clear" w:color="auto" w:fill="auto"/>
            <w:noWrap/>
            <w:tcMar>
              <w:top w:w="0" w:type="dxa"/>
              <w:left w:w="70" w:type="dxa"/>
              <w:bottom w:w="0" w:type="dxa"/>
              <w:right w:w="70" w:type="dxa"/>
            </w:tcMar>
            <w:vAlign w:val="center"/>
            <w:hideMark/>
          </w:tcPr>
          <w:p w14:paraId="24384E84" w14:textId="77777777" w:rsidR="00A164D2" w:rsidRPr="00DB745D" w:rsidRDefault="00A164D2" w:rsidP="00894E40">
            <w:pPr>
              <w:jc w:val="right"/>
              <w:rPr>
                <w:rFonts w:cstheme="minorHAnsi"/>
                <w:sz w:val="18"/>
                <w:szCs w:val="18"/>
              </w:rPr>
            </w:pPr>
            <w:r w:rsidRPr="00DB745D">
              <w:rPr>
                <w:rFonts w:cstheme="minorHAnsi"/>
                <w:sz w:val="18"/>
                <w:szCs w:val="18"/>
              </w:rPr>
              <w:t>914</w:t>
            </w:r>
          </w:p>
        </w:tc>
        <w:tc>
          <w:tcPr>
            <w:tcW w:w="730" w:type="dxa"/>
            <w:shd w:val="clear" w:color="auto" w:fill="auto"/>
            <w:noWrap/>
            <w:tcMar>
              <w:top w:w="0" w:type="dxa"/>
              <w:left w:w="70" w:type="dxa"/>
              <w:bottom w:w="0" w:type="dxa"/>
              <w:right w:w="70" w:type="dxa"/>
            </w:tcMar>
            <w:vAlign w:val="center"/>
            <w:hideMark/>
          </w:tcPr>
          <w:p w14:paraId="1F28DAF2" w14:textId="77777777" w:rsidR="00A164D2" w:rsidRPr="00DB745D" w:rsidRDefault="00A164D2" w:rsidP="00894E40">
            <w:pPr>
              <w:jc w:val="right"/>
              <w:rPr>
                <w:rFonts w:cstheme="minorHAnsi"/>
                <w:sz w:val="18"/>
                <w:szCs w:val="18"/>
              </w:rPr>
            </w:pPr>
            <w:r w:rsidRPr="00DB745D">
              <w:rPr>
                <w:rFonts w:cstheme="minorHAnsi"/>
                <w:sz w:val="18"/>
                <w:szCs w:val="18"/>
              </w:rPr>
              <w:t>20,8</w:t>
            </w:r>
          </w:p>
        </w:tc>
        <w:tc>
          <w:tcPr>
            <w:tcW w:w="665" w:type="dxa"/>
            <w:shd w:val="clear" w:color="auto" w:fill="auto"/>
            <w:noWrap/>
            <w:tcMar>
              <w:top w:w="0" w:type="dxa"/>
              <w:left w:w="70" w:type="dxa"/>
              <w:bottom w:w="0" w:type="dxa"/>
              <w:right w:w="70" w:type="dxa"/>
            </w:tcMar>
            <w:vAlign w:val="center"/>
            <w:hideMark/>
          </w:tcPr>
          <w:p w14:paraId="7D644A34" w14:textId="77777777" w:rsidR="00A164D2" w:rsidRPr="00DB745D" w:rsidRDefault="00A164D2" w:rsidP="00894E40">
            <w:pPr>
              <w:jc w:val="right"/>
              <w:rPr>
                <w:rFonts w:cstheme="minorHAnsi"/>
                <w:sz w:val="18"/>
                <w:szCs w:val="18"/>
              </w:rPr>
            </w:pPr>
            <w:r w:rsidRPr="00DB745D">
              <w:rPr>
                <w:rFonts w:cstheme="minorHAnsi"/>
                <w:sz w:val="18"/>
                <w:szCs w:val="18"/>
              </w:rPr>
              <w:t>770</w:t>
            </w:r>
          </w:p>
        </w:tc>
        <w:tc>
          <w:tcPr>
            <w:tcW w:w="665" w:type="dxa"/>
            <w:shd w:val="clear" w:color="auto" w:fill="auto"/>
            <w:noWrap/>
            <w:tcMar>
              <w:top w:w="0" w:type="dxa"/>
              <w:left w:w="70" w:type="dxa"/>
              <w:bottom w:w="0" w:type="dxa"/>
              <w:right w:w="70" w:type="dxa"/>
            </w:tcMar>
            <w:vAlign w:val="center"/>
            <w:hideMark/>
          </w:tcPr>
          <w:p w14:paraId="0B7FBA5C" w14:textId="77777777" w:rsidR="00A164D2" w:rsidRPr="00DB745D" w:rsidRDefault="00A164D2" w:rsidP="00894E40">
            <w:pPr>
              <w:jc w:val="right"/>
              <w:rPr>
                <w:rFonts w:cstheme="minorHAnsi"/>
                <w:sz w:val="18"/>
                <w:szCs w:val="18"/>
              </w:rPr>
            </w:pPr>
            <w:r w:rsidRPr="00DB745D">
              <w:rPr>
                <w:rFonts w:cstheme="minorHAnsi"/>
                <w:sz w:val="18"/>
                <w:szCs w:val="18"/>
              </w:rPr>
              <w:t>17,6</w:t>
            </w:r>
          </w:p>
        </w:tc>
        <w:tc>
          <w:tcPr>
            <w:tcW w:w="797" w:type="dxa"/>
            <w:shd w:val="clear" w:color="auto" w:fill="auto"/>
            <w:noWrap/>
            <w:tcMar>
              <w:top w:w="0" w:type="dxa"/>
              <w:left w:w="70" w:type="dxa"/>
              <w:bottom w:w="0" w:type="dxa"/>
              <w:right w:w="70" w:type="dxa"/>
            </w:tcMar>
            <w:vAlign w:val="center"/>
            <w:hideMark/>
          </w:tcPr>
          <w:p w14:paraId="3E1D0C80" w14:textId="77777777" w:rsidR="00A164D2" w:rsidRPr="00DB745D" w:rsidRDefault="00A164D2" w:rsidP="00894E40">
            <w:pPr>
              <w:jc w:val="right"/>
              <w:rPr>
                <w:rFonts w:cstheme="minorHAnsi"/>
                <w:sz w:val="18"/>
                <w:szCs w:val="18"/>
              </w:rPr>
            </w:pPr>
            <w:r w:rsidRPr="00DB745D">
              <w:rPr>
                <w:rFonts w:cstheme="minorHAnsi"/>
                <w:sz w:val="18"/>
                <w:szCs w:val="18"/>
              </w:rPr>
              <w:t>1 941</w:t>
            </w:r>
          </w:p>
        </w:tc>
        <w:tc>
          <w:tcPr>
            <w:tcW w:w="665" w:type="dxa"/>
            <w:shd w:val="clear" w:color="auto" w:fill="auto"/>
            <w:noWrap/>
            <w:tcMar>
              <w:top w:w="0" w:type="dxa"/>
              <w:left w:w="70" w:type="dxa"/>
              <w:bottom w:w="0" w:type="dxa"/>
              <w:right w:w="70" w:type="dxa"/>
            </w:tcMar>
            <w:vAlign w:val="center"/>
            <w:hideMark/>
          </w:tcPr>
          <w:p w14:paraId="7B75635D" w14:textId="77777777" w:rsidR="00A164D2" w:rsidRPr="00DB745D" w:rsidRDefault="00A164D2" w:rsidP="00894E40">
            <w:pPr>
              <w:jc w:val="right"/>
              <w:rPr>
                <w:rFonts w:cstheme="minorHAnsi"/>
                <w:sz w:val="18"/>
                <w:szCs w:val="18"/>
              </w:rPr>
            </w:pPr>
            <w:r w:rsidRPr="00DB745D">
              <w:rPr>
                <w:rFonts w:cstheme="minorHAnsi"/>
                <w:sz w:val="18"/>
                <w:szCs w:val="18"/>
              </w:rPr>
              <w:t>43,9</w:t>
            </w:r>
          </w:p>
        </w:tc>
        <w:tc>
          <w:tcPr>
            <w:tcW w:w="798" w:type="dxa"/>
            <w:shd w:val="clear" w:color="auto" w:fill="auto"/>
            <w:noWrap/>
            <w:tcMar>
              <w:top w:w="0" w:type="dxa"/>
              <w:left w:w="70" w:type="dxa"/>
              <w:bottom w:w="0" w:type="dxa"/>
              <w:right w:w="70" w:type="dxa"/>
            </w:tcMar>
            <w:vAlign w:val="center"/>
            <w:hideMark/>
          </w:tcPr>
          <w:p w14:paraId="6171D0F5" w14:textId="77777777" w:rsidR="00A164D2" w:rsidRPr="00DB745D" w:rsidRDefault="00A164D2" w:rsidP="00894E40">
            <w:pPr>
              <w:jc w:val="right"/>
              <w:rPr>
                <w:rFonts w:cstheme="minorHAnsi"/>
                <w:sz w:val="18"/>
                <w:szCs w:val="18"/>
              </w:rPr>
            </w:pPr>
            <w:r w:rsidRPr="00DB745D">
              <w:rPr>
                <w:rFonts w:cstheme="minorHAnsi"/>
                <w:sz w:val="18"/>
                <w:szCs w:val="18"/>
              </w:rPr>
              <w:t>618</w:t>
            </w:r>
          </w:p>
        </w:tc>
        <w:tc>
          <w:tcPr>
            <w:tcW w:w="667" w:type="dxa"/>
            <w:shd w:val="clear" w:color="auto" w:fill="auto"/>
            <w:noWrap/>
            <w:tcMar>
              <w:top w:w="0" w:type="dxa"/>
              <w:left w:w="70" w:type="dxa"/>
              <w:bottom w:w="0" w:type="dxa"/>
              <w:right w:w="70" w:type="dxa"/>
            </w:tcMar>
            <w:vAlign w:val="center"/>
            <w:hideMark/>
          </w:tcPr>
          <w:p w14:paraId="666A2FAD" w14:textId="77777777" w:rsidR="00A164D2" w:rsidRPr="00DB745D" w:rsidRDefault="00A164D2" w:rsidP="00894E40">
            <w:pPr>
              <w:jc w:val="right"/>
              <w:rPr>
                <w:rFonts w:cstheme="minorHAnsi"/>
                <w:sz w:val="18"/>
                <w:szCs w:val="18"/>
              </w:rPr>
            </w:pPr>
            <w:r w:rsidRPr="00DB745D">
              <w:rPr>
                <w:rFonts w:cstheme="minorHAnsi"/>
                <w:sz w:val="18"/>
                <w:szCs w:val="18"/>
              </w:rPr>
              <w:t>14,1</w:t>
            </w:r>
          </w:p>
        </w:tc>
      </w:tr>
      <w:tr w:rsidR="00A164D2" w:rsidRPr="00DB745D" w14:paraId="109FC417"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1D05B4D2"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Moravskoslezský</w:t>
            </w:r>
          </w:p>
        </w:tc>
        <w:tc>
          <w:tcPr>
            <w:tcW w:w="798" w:type="dxa"/>
            <w:shd w:val="clear" w:color="auto" w:fill="auto"/>
            <w:noWrap/>
            <w:tcMar>
              <w:top w:w="0" w:type="dxa"/>
              <w:left w:w="70" w:type="dxa"/>
              <w:bottom w:w="0" w:type="dxa"/>
              <w:right w:w="70" w:type="dxa"/>
            </w:tcMar>
            <w:vAlign w:val="center"/>
            <w:hideMark/>
          </w:tcPr>
          <w:p w14:paraId="7EF6A7F7" w14:textId="77777777" w:rsidR="00A164D2" w:rsidRPr="00DB745D" w:rsidRDefault="00A164D2" w:rsidP="00894E40">
            <w:pPr>
              <w:jc w:val="right"/>
              <w:rPr>
                <w:rFonts w:cstheme="minorHAnsi"/>
                <w:sz w:val="18"/>
                <w:szCs w:val="18"/>
              </w:rPr>
            </w:pPr>
            <w:r w:rsidRPr="00DB745D">
              <w:rPr>
                <w:rFonts w:cstheme="minorHAnsi"/>
                <w:sz w:val="18"/>
                <w:szCs w:val="18"/>
              </w:rPr>
              <w:t>23 677</w:t>
            </w:r>
          </w:p>
        </w:tc>
        <w:tc>
          <w:tcPr>
            <w:tcW w:w="570" w:type="dxa"/>
            <w:shd w:val="clear" w:color="auto" w:fill="auto"/>
            <w:noWrap/>
            <w:tcMar>
              <w:top w:w="0" w:type="dxa"/>
              <w:left w:w="70" w:type="dxa"/>
              <w:bottom w:w="0" w:type="dxa"/>
              <w:right w:w="70" w:type="dxa"/>
            </w:tcMar>
            <w:vAlign w:val="center"/>
            <w:hideMark/>
          </w:tcPr>
          <w:p w14:paraId="57969A1A" w14:textId="77777777" w:rsidR="00A164D2" w:rsidRPr="00DB745D" w:rsidRDefault="00A164D2" w:rsidP="00894E40">
            <w:pPr>
              <w:jc w:val="right"/>
              <w:rPr>
                <w:rFonts w:cstheme="minorHAnsi"/>
                <w:sz w:val="18"/>
                <w:szCs w:val="18"/>
              </w:rPr>
            </w:pPr>
            <w:r w:rsidRPr="00DB745D">
              <w:rPr>
                <w:rFonts w:cstheme="minorHAnsi"/>
                <w:sz w:val="18"/>
                <w:szCs w:val="18"/>
              </w:rPr>
              <w:t>340</w:t>
            </w:r>
          </w:p>
        </w:tc>
        <w:tc>
          <w:tcPr>
            <w:tcW w:w="563" w:type="dxa"/>
            <w:shd w:val="clear" w:color="auto" w:fill="auto"/>
            <w:noWrap/>
            <w:tcMar>
              <w:top w:w="0" w:type="dxa"/>
              <w:left w:w="70" w:type="dxa"/>
              <w:bottom w:w="0" w:type="dxa"/>
              <w:right w:w="70" w:type="dxa"/>
            </w:tcMar>
            <w:vAlign w:val="center"/>
            <w:hideMark/>
          </w:tcPr>
          <w:p w14:paraId="47A2BC86" w14:textId="77777777" w:rsidR="00A164D2" w:rsidRPr="00DB745D" w:rsidRDefault="00A164D2" w:rsidP="00894E40">
            <w:pPr>
              <w:jc w:val="right"/>
              <w:rPr>
                <w:rFonts w:cstheme="minorHAnsi"/>
                <w:sz w:val="18"/>
                <w:szCs w:val="18"/>
              </w:rPr>
            </w:pPr>
            <w:r w:rsidRPr="00DB745D">
              <w:rPr>
                <w:rFonts w:cstheme="minorHAnsi"/>
                <w:sz w:val="18"/>
                <w:szCs w:val="18"/>
              </w:rPr>
              <w:t>1,4</w:t>
            </w:r>
          </w:p>
        </w:tc>
        <w:tc>
          <w:tcPr>
            <w:tcW w:w="656" w:type="dxa"/>
            <w:shd w:val="clear" w:color="auto" w:fill="auto"/>
            <w:noWrap/>
            <w:tcMar>
              <w:top w:w="0" w:type="dxa"/>
              <w:left w:w="70" w:type="dxa"/>
              <w:bottom w:w="0" w:type="dxa"/>
              <w:right w:w="70" w:type="dxa"/>
            </w:tcMar>
            <w:vAlign w:val="center"/>
            <w:hideMark/>
          </w:tcPr>
          <w:p w14:paraId="49273BCB" w14:textId="77777777" w:rsidR="00A164D2" w:rsidRPr="00DB745D" w:rsidRDefault="00A164D2" w:rsidP="00894E40">
            <w:pPr>
              <w:jc w:val="right"/>
              <w:rPr>
                <w:rFonts w:cstheme="minorHAnsi"/>
                <w:sz w:val="18"/>
                <w:szCs w:val="18"/>
              </w:rPr>
            </w:pPr>
            <w:r w:rsidRPr="00DB745D">
              <w:rPr>
                <w:rFonts w:cstheme="minorHAnsi"/>
                <w:sz w:val="18"/>
                <w:szCs w:val="18"/>
              </w:rPr>
              <w:t>3 397</w:t>
            </w:r>
          </w:p>
        </w:tc>
        <w:tc>
          <w:tcPr>
            <w:tcW w:w="730" w:type="dxa"/>
            <w:shd w:val="clear" w:color="auto" w:fill="auto"/>
            <w:noWrap/>
            <w:tcMar>
              <w:top w:w="0" w:type="dxa"/>
              <w:left w:w="70" w:type="dxa"/>
              <w:bottom w:w="0" w:type="dxa"/>
              <w:right w:w="70" w:type="dxa"/>
            </w:tcMar>
            <w:vAlign w:val="center"/>
            <w:hideMark/>
          </w:tcPr>
          <w:p w14:paraId="012DAFCB" w14:textId="77777777" w:rsidR="00A164D2" w:rsidRPr="00DB745D" w:rsidRDefault="00A164D2" w:rsidP="00894E40">
            <w:pPr>
              <w:jc w:val="right"/>
              <w:rPr>
                <w:rFonts w:cstheme="minorHAnsi"/>
                <w:sz w:val="18"/>
                <w:szCs w:val="18"/>
              </w:rPr>
            </w:pPr>
            <w:r w:rsidRPr="00DB745D">
              <w:rPr>
                <w:rFonts w:cstheme="minorHAnsi"/>
                <w:sz w:val="18"/>
                <w:szCs w:val="18"/>
              </w:rPr>
              <w:t>14,3</w:t>
            </w:r>
          </w:p>
        </w:tc>
        <w:tc>
          <w:tcPr>
            <w:tcW w:w="665" w:type="dxa"/>
            <w:shd w:val="clear" w:color="auto" w:fill="auto"/>
            <w:noWrap/>
            <w:tcMar>
              <w:top w:w="0" w:type="dxa"/>
              <w:left w:w="70" w:type="dxa"/>
              <w:bottom w:w="0" w:type="dxa"/>
              <w:right w:w="70" w:type="dxa"/>
            </w:tcMar>
            <w:vAlign w:val="center"/>
            <w:hideMark/>
          </w:tcPr>
          <w:p w14:paraId="50BDB871" w14:textId="77777777" w:rsidR="00A164D2" w:rsidRPr="00DB745D" w:rsidRDefault="00A164D2" w:rsidP="00894E40">
            <w:pPr>
              <w:jc w:val="right"/>
              <w:rPr>
                <w:rFonts w:cstheme="minorHAnsi"/>
                <w:sz w:val="18"/>
                <w:szCs w:val="18"/>
              </w:rPr>
            </w:pPr>
            <w:r w:rsidRPr="00DB745D">
              <w:rPr>
                <w:rFonts w:cstheme="minorHAnsi"/>
                <w:sz w:val="18"/>
                <w:szCs w:val="18"/>
              </w:rPr>
              <w:t>3 779</w:t>
            </w:r>
          </w:p>
        </w:tc>
        <w:tc>
          <w:tcPr>
            <w:tcW w:w="665" w:type="dxa"/>
            <w:shd w:val="clear" w:color="auto" w:fill="auto"/>
            <w:noWrap/>
            <w:tcMar>
              <w:top w:w="0" w:type="dxa"/>
              <w:left w:w="70" w:type="dxa"/>
              <w:bottom w:w="0" w:type="dxa"/>
              <w:right w:w="70" w:type="dxa"/>
            </w:tcMar>
            <w:vAlign w:val="center"/>
            <w:hideMark/>
          </w:tcPr>
          <w:p w14:paraId="19599BA6" w14:textId="77777777" w:rsidR="00A164D2" w:rsidRPr="00DB745D" w:rsidRDefault="00A164D2" w:rsidP="00894E40">
            <w:pPr>
              <w:jc w:val="right"/>
              <w:rPr>
                <w:rFonts w:cstheme="minorHAnsi"/>
                <w:sz w:val="18"/>
                <w:szCs w:val="18"/>
              </w:rPr>
            </w:pPr>
            <w:r w:rsidRPr="00DB745D">
              <w:rPr>
                <w:rFonts w:cstheme="minorHAnsi"/>
                <w:sz w:val="18"/>
                <w:szCs w:val="18"/>
              </w:rPr>
              <w:t>16,0</w:t>
            </w:r>
          </w:p>
        </w:tc>
        <w:tc>
          <w:tcPr>
            <w:tcW w:w="797" w:type="dxa"/>
            <w:shd w:val="clear" w:color="auto" w:fill="auto"/>
            <w:noWrap/>
            <w:tcMar>
              <w:top w:w="0" w:type="dxa"/>
              <w:left w:w="70" w:type="dxa"/>
              <w:bottom w:w="0" w:type="dxa"/>
              <w:right w:w="70" w:type="dxa"/>
            </w:tcMar>
            <w:vAlign w:val="center"/>
            <w:hideMark/>
          </w:tcPr>
          <w:p w14:paraId="1DB4F105" w14:textId="77777777" w:rsidR="00A164D2" w:rsidRPr="00DB745D" w:rsidRDefault="00A164D2" w:rsidP="00894E40">
            <w:pPr>
              <w:jc w:val="right"/>
              <w:rPr>
                <w:rFonts w:cstheme="minorHAnsi"/>
                <w:sz w:val="18"/>
                <w:szCs w:val="18"/>
              </w:rPr>
            </w:pPr>
            <w:r w:rsidRPr="00DB745D">
              <w:rPr>
                <w:rFonts w:cstheme="minorHAnsi"/>
                <w:sz w:val="18"/>
                <w:szCs w:val="18"/>
              </w:rPr>
              <w:t>6 138</w:t>
            </w:r>
          </w:p>
        </w:tc>
        <w:tc>
          <w:tcPr>
            <w:tcW w:w="665" w:type="dxa"/>
            <w:shd w:val="clear" w:color="auto" w:fill="auto"/>
            <w:noWrap/>
            <w:tcMar>
              <w:top w:w="0" w:type="dxa"/>
              <w:left w:w="70" w:type="dxa"/>
              <w:bottom w:w="0" w:type="dxa"/>
              <w:right w:w="70" w:type="dxa"/>
            </w:tcMar>
            <w:vAlign w:val="center"/>
            <w:hideMark/>
          </w:tcPr>
          <w:p w14:paraId="418F0BC2" w14:textId="77777777" w:rsidR="00A164D2" w:rsidRPr="00DB745D" w:rsidRDefault="00A164D2" w:rsidP="00894E40">
            <w:pPr>
              <w:jc w:val="right"/>
              <w:rPr>
                <w:rFonts w:cstheme="minorHAnsi"/>
                <w:sz w:val="18"/>
                <w:szCs w:val="18"/>
              </w:rPr>
            </w:pPr>
            <w:r w:rsidRPr="00DB745D">
              <w:rPr>
                <w:rFonts w:cstheme="minorHAnsi"/>
                <w:sz w:val="18"/>
                <w:szCs w:val="18"/>
              </w:rPr>
              <w:t>25,9</w:t>
            </w:r>
          </w:p>
        </w:tc>
        <w:tc>
          <w:tcPr>
            <w:tcW w:w="798" w:type="dxa"/>
            <w:shd w:val="clear" w:color="auto" w:fill="auto"/>
            <w:noWrap/>
            <w:tcMar>
              <w:top w:w="0" w:type="dxa"/>
              <w:left w:w="70" w:type="dxa"/>
              <w:bottom w:w="0" w:type="dxa"/>
              <w:right w:w="70" w:type="dxa"/>
            </w:tcMar>
            <w:vAlign w:val="center"/>
            <w:hideMark/>
          </w:tcPr>
          <w:p w14:paraId="27C2DB22" w14:textId="77777777" w:rsidR="00A164D2" w:rsidRPr="00DB745D" w:rsidRDefault="00A164D2" w:rsidP="00894E40">
            <w:pPr>
              <w:jc w:val="right"/>
              <w:rPr>
                <w:rFonts w:cstheme="minorHAnsi"/>
                <w:sz w:val="18"/>
                <w:szCs w:val="18"/>
              </w:rPr>
            </w:pPr>
            <w:r w:rsidRPr="00DB745D">
              <w:rPr>
                <w:rFonts w:cstheme="minorHAnsi"/>
                <w:sz w:val="18"/>
                <w:szCs w:val="18"/>
              </w:rPr>
              <w:t>10 023</w:t>
            </w:r>
          </w:p>
        </w:tc>
        <w:tc>
          <w:tcPr>
            <w:tcW w:w="667" w:type="dxa"/>
            <w:shd w:val="clear" w:color="auto" w:fill="auto"/>
            <w:noWrap/>
            <w:tcMar>
              <w:top w:w="0" w:type="dxa"/>
              <w:left w:w="70" w:type="dxa"/>
              <w:bottom w:w="0" w:type="dxa"/>
              <w:right w:w="70" w:type="dxa"/>
            </w:tcMar>
            <w:vAlign w:val="center"/>
            <w:hideMark/>
          </w:tcPr>
          <w:p w14:paraId="795D7007" w14:textId="77777777" w:rsidR="00A164D2" w:rsidRPr="00DB745D" w:rsidRDefault="00A164D2" w:rsidP="00894E40">
            <w:pPr>
              <w:jc w:val="right"/>
              <w:rPr>
                <w:rFonts w:cstheme="minorHAnsi"/>
                <w:sz w:val="18"/>
                <w:szCs w:val="18"/>
              </w:rPr>
            </w:pPr>
            <w:r w:rsidRPr="00DB745D">
              <w:rPr>
                <w:rFonts w:cstheme="minorHAnsi"/>
                <w:sz w:val="18"/>
                <w:szCs w:val="18"/>
              </w:rPr>
              <w:t>42,3</w:t>
            </w:r>
          </w:p>
        </w:tc>
      </w:tr>
      <w:tr w:rsidR="00A164D2" w:rsidRPr="00DB745D" w14:paraId="0D194374"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5C327075"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Olomoucký</w:t>
            </w:r>
          </w:p>
        </w:tc>
        <w:tc>
          <w:tcPr>
            <w:tcW w:w="798" w:type="dxa"/>
            <w:shd w:val="clear" w:color="auto" w:fill="auto"/>
            <w:noWrap/>
            <w:tcMar>
              <w:top w:w="0" w:type="dxa"/>
              <w:left w:w="70" w:type="dxa"/>
              <w:bottom w:w="0" w:type="dxa"/>
              <w:right w:w="70" w:type="dxa"/>
            </w:tcMar>
            <w:vAlign w:val="center"/>
            <w:hideMark/>
          </w:tcPr>
          <w:p w14:paraId="16112AFF" w14:textId="77777777" w:rsidR="00A164D2" w:rsidRPr="00DB745D" w:rsidRDefault="00A164D2" w:rsidP="00894E40">
            <w:pPr>
              <w:jc w:val="right"/>
              <w:rPr>
                <w:rFonts w:cstheme="minorHAnsi"/>
                <w:sz w:val="18"/>
                <w:szCs w:val="18"/>
              </w:rPr>
            </w:pPr>
            <w:r w:rsidRPr="00DB745D">
              <w:rPr>
                <w:rFonts w:cstheme="minorHAnsi"/>
                <w:sz w:val="18"/>
                <w:szCs w:val="18"/>
              </w:rPr>
              <w:t>5 871</w:t>
            </w:r>
          </w:p>
        </w:tc>
        <w:tc>
          <w:tcPr>
            <w:tcW w:w="570" w:type="dxa"/>
            <w:shd w:val="clear" w:color="auto" w:fill="auto"/>
            <w:noWrap/>
            <w:tcMar>
              <w:top w:w="0" w:type="dxa"/>
              <w:left w:w="70" w:type="dxa"/>
              <w:bottom w:w="0" w:type="dxa"/>
              <w:right w:w="70" w:type="dxa"/>
            </w:tcMar>
            <w:vAlign w:val="center"/>
            <w:hideMark/>
          </w:tcPr>
          <w:p w14:paraId="2BAB4118" w14:textId="77777777" w:rsidR="00A164D2" w:rsidRPr="00DB745D" w:rsidRDefault="00A164D2" w:rsidP="00894E40">
            <w:pPr>
              <w:jc w:val="right"/>
              <w:rPr>
                <w:rFonts w:cstheme="minorHAnsi"/>
                <w:sz w:val="18"/>
                <w:szCs w:val="18"/>
              </w:rPr>
            </w:pPr>
            <w:r w:rsidRPr="00DB745D">
              <w:rPr>
                <w:rFonts w:cstheme="minorHAnsi"/>
                <w:sz w:val="18"/>
                <w:szCs w:val="18"/>
              </w:rPr>
              <w:t>94</w:t>
            </w:r>
          </w:p>
        </w:tc>
        <w:tc>
          <w:tcPr>
            <w:tcW w:w="563" w:type="dxa"/>
            <w:shd w:val="clear" w:color="auto" w:fill="auto"/>
            <w:noWrap/>
            <w:tcMar>
              <w:top w:w="0" w:type="dxa"/>
              <w:left w:w="70" w:type="dxa"/>
              <w:bottom w:w="0" w:type="dxa"/>
              <w:right w:w="70" w:type="dxa"/>
            </w:tcMar>
            <w:vAlign w:val="center"/>
            <w:hideMark/>
          </w:tcPr>
          <w:p w14:paraId="63ED01FE" w14:textId="77777777" w:rsidR="00A164D2" w:rsidRPr="00DB745D" w:rsidRDefault="00A164D2" w:rsidP="00894E40">
            <w:pPr>
              <w:jc w:val="right"/>
              <w:rPr>
                <w:rFonts w:cstheme="minorHAnsi"/>
                <w:sz w:val="18"/>
                <w:szCs w:val="18"/>
              </w:rPr>
            </w:pPr>
            <w:r w:rsidRPr="00DB745D">
              <w:rPr>
                <w:rFonts w:cstheme="minorHAnsi"/>
                <w:sz w:val="18"/>
                <w:szCs w:val="18"/>
              </w:rPr>
              <w:t>1,6</w:t>
            </w:r>
          </w:p>
        </w:tc>
        <w:tc>
          <w:tcPr>
            <w:tcW w:w="656" w:type="dxa"/>
            <w:shd w:val="clear" w:color="auto" w:fill="auto"/>
            <w:noWrap/>
            <w:tcMar>
              <w:top w:w="0" w:type="dxa"/>
              <w:left w:w="70" w:type="dxa"/>
              <w:bottom w:w="0" w:type="dxa"/>
              <w:right w:w="70" w:type="dxa"/>
            </w:tcMar>
            <w:vAlign w:val="center"/>
            <w:hideMark/>
          </w:tcPr>
          <w:p w14:paraId="16726A08" w14:textId="77777777" w:rsidR="00A164D2" w:rsidRPr="00DB745D" w:rsidRDefault="00A164D2" w:rsidP="00894E40">
            <w:pPr>
              <w:jc w:val="right"/>
              <w:rPr>
                <w:rFonts w:cstheme="minorHAnsi"/>
                <w:sz w:val="18"/>
                <w:szCs w:val="18"/>
              </w:rPr>
            </w:pPr>
            <w:r w:rsidRPr="00DB745D">
              <w:rPr>
                <w:rFonts w:cstheme="minorHAnsi"/>
                <w:sz w:val="18"/>
                <w:szCs w:val="18"/>
              </w:rPr>
              <w:t>876</w:t>
            </w:r>
          </w:p>
        </w:tc>
        <w:tc>
          <w:tcPr>
            <w:tcW w:w="730" w:type="dxa"/>
            <w:shd w:val="clear" w:color="auto" w:fill="auto"/>
            <w:noWrap/>
            <w:tcMar>
              <w:top w:w="0" w:type="dxa"/>
              <w:left w:w="70" w:type="dxa"/>
              <w:bottom w:w="0" w:type="dxa"/>
              <w:right w:w="70" w:type="dxa"/>
            </w:tcMar>
            <w:vAlign w:val="center"/>
            <w:hideMark/>
          </w:tcPr>
          <w:p w14:paraId="3E5A78F1" w14:textId="77777777" w:rsidR="00A164D2" w:rsidRPr="00DB745D" w:rsidRDefault="00A164D2" w:rsidP="00894E40">
            <w:pPr>
              <w:jc w:val="right"/>
              <w:rPr>
                <w:rFonts w:cstheme="minorHAnsi"/>
                <w:sz w:val="18"/>
                <w:szCs w:val="18"/>
              </w:rPr>
            </w:pPr>
            <w:r w:rsidRPr="00DB745D">
              <w:rPr>
                <w:rFonts w:cstheme="minorHAnsi"/>
                <w:sz w:val="18"/>
                <w:szCs w:val="18"/>
              </w:rPr>
              <w:t>14,9</w:t>
            </w:r>
          </w:p>
        </w:tc>
        <w:tc>
          <w:tcPr>
            <w:tcW w:w="665" w:type="dxa"/>
            <w:shd w:val="clear" w:color="auto" w:fill="auto"/>
            <w:noWrap/>
            <w:tcMar>
              <w:top w:w="0" w:type="dxa"/>
              <w:left w:w="70" w:type="dxa"/>
              <w:bottom w:w="0" w:type="dxa"/>
              <w:right w:w="70" w:type="dxa"/>
            </w:tcMar>
            <w:vAlign w:val="center"/>
            <w:hideMark/>
          </w:tcPr>
          <w:p w14:paraId="2FDE8CB2" w14:textId="77777777" w:rsidR="00A164D2" w:rsidRPr="00DB745D" w:rsidRDefault="00A164D2" w:rsidP="00894E40">
            <w:pPr>
              <w:jc w:val="right"/>
              <w:rPr>
                <w:rFonts w:cstheme="minorHAnsi"/>
                <w:sz w:val="18"/>
                <w:szCs w:val="18"/>
              </w:rPr>
            </w:pPr>
            <w:r w:rsidRPr="00DB745D">
              <w:rPr>
                <w:rFonts w:cstheme="minorHAnsi"/>
                <w:sz w:val="18"/>
                <w:szCs w:val="18"/>
              </w:rPr>
              <w:t>1 456</w:t>
            </w:r>
          </w:p>
        </w:tc>
        <w:tc>
          <w:tcPr>
            <w:tcW w:w="665" w:type="dxa"/>
            <w:shd w:val="clear" w:color="auto" w:fill="auto"/>
            <w:noWrap/>
            <w:tcMar>
              <w:top w:w="0" w:type="dxa"/>
              <w:left w:w="70" w:type="dxa"/>
              <w:bottom w:w="0" w:type="dxa"/>
              <w:right w:w="70" w:type="dxa"/>
            </w:tcMar>
            <w:vAlign w:val="center"/>
            <w:hideMark/>
          </w:tcPr>
          <w:p w14:paraId="07C845A9" w14:textId="77777777" w:rsidR="00A164D2" w:rsidRPr="00DB745D" w:rsidRDefault="00A164D2" w:rsidP="00894E40">
            <w:pPr>
              <w:jc w:val="right"/>
              <w:rPr>
                <w:rFonts w:cstheme="minorHAnsi"/>
                <w:sz w:val="18"/>
                <w:szCs w:val="18"/>
              </w:rPr>
            </w:pPr>
            <w:r w:rsidRPr="00DB745D">
              <w:rPr>
                <w:rFonts w:cstheme="minorHAnsi"/>
                <w:sz w:val="18"/>
                <w:szCs w:val="18"/>
              </w:rPr>
              <w:t>24,8</w:t>
            </w:r>
          </w:p>
        </w:tc>
        <w:tc>
          <w:tcPr>
            <w:tcW w:w="797" w:type="dxa"/>
            <w:shd w:val="clear" w:color="auto" w:fill="auto"/>
            <w:noWrap/>
            <w:tcMar>
              <w:top w:w="0" w:type="dxa"/>
              <w:left w:w="70" w:type="dxa"/>
              <w:bottom w:w="0" w:type="dxa"/>
              <w:right w:w="70" w:type="dxa"/>
            </w:tcMar>
            <w:vAlign w:val="center"/>
            <w:hideMark/>
          </w:tcPr>
          <w:p w14:paraId="29251254" w14:textId="77777777" w:rsidR="00A164D2" w:rsidRPr="00DB745D" w:rsidRDefault="00A164D2" w:rsidP="00894E40">
            <w:pPr>
              <w:jc w:val="right"/>
              <w:rPr>
                <w:rFonts w:cstheme="minorHAnsi"/>
                <w:sz w:val="18"/>
                <w:szCs w:val="18"/>
              </w:rPr>
            </w:pPr>
            <w:r w:rsidRPr="00DB745D">
              <w:rPr>
                <w:rFonts w:cstheme="minorHAnsi"/>
                <w:sz w:val="18"/>
                <w:szCs w:val="18"/>
              </w:rPr>
              <w:t>1 601</w:t>
            </w:r>
          </w:p>
        </w:tc>
        <w:tc>
          <w:tcPr>
            <w:tcW w:w="665" w:type="dxa"/>
            <w:shd w:val="clear" w:color="auto" w:fill="auto"/>
            <w:noWrap/>
            <w:tcMar>
              <w:top w:w="0" w:type="dxa"/>
              <w:left w:w="70" w:type="dxa"/>
              <w:bottom w:w="0" w:type="dxa"/>
              <w:right w:w="70" w:type="dxa"/>
            </w:tcMar>
            <w:vAlign w:val="center"/>
            <w:hideMark/>
          </w:tcPr>
          <w:p w14:paraId="0E3CE142" w14:textId="77777777" w:rsidR="00A164D2" w:rsidRPr="00DB745D" w:rsidRDefault="00A164D2" w:rsidP="00894E40">
            <w:pPr>
              <w:jc w:val="right"/>
              <w:rPr>
                <w:rFonts w:cstheme="minorHAnsi"/>
                <w:sz w:val="18"/>
                <w:szCs w:val="18"/>
              </w:rPr>
            </w:pPr>
            <w:r w:rsidRPr="00DB745D">
              <w:rPr>
                <w:rFonts w:cstheme="minorHAnsi"/>
                <w:sz w:val="18"/>
                <w:szCs w:val="18"/>
              </w:rPr>
              <w:t>27,3</w:t>
            </w:r>
          </w:p>
        </w:tc>
        <w:tc>
          <w:tcPr>
            <w:tcW w:w="798" w:type="dxa"/>
            <w:shd w:val="clear" w:color="auto" w:fill="auto"/>
            <w:noWrap/>
            <w:tcMar>
              <w:top w:w="0" w:type="dxa"/>
              <w:left w:w="70" w:type="dxa"/>
              <w:bottom w:w="0" w:type="dxa"/>
              <w:right w:w="70" w:type="dxa"/>
            </w:tcMar>
            <w:vAlign w:val="center"/>
            <w:hideMark/>
          </w:tcPr>
          <w:p w14:paraId="509A520E" w14:textId="77777777" w:rsidR="00A164D2" w:rsidRPr="00DB745D" w:rsidRDefault="00A164D2" w:rsidP="00894E40">
            <w:pPr>
              <w:jc w:val="right"/>
              <w:rPr>
                <w:rFonts w:cstheme="minorHAnsi"/>
                <w:sz w:val="18"/>
                <w:szCs w:val="18"/>
              </w:rPr>
            </w:pPr>
            <w:r w:rsidRPr="00DB745D">
              <w:rPr>
                <w:rFonts w:cstheme="minorHAnsi"/>
                <w:sz w:val="18"/>
                <w:szCs w:val="18"/>
              </w:rPr>
              <w:t>1 844</w:t>
            </w:r>
          </w:p>
        </w:tc>
        <w:tc>
          <w:tcPr>
            <w:tcW w:w="667" w:type="dxa"/>
            <w:shd w:val="clear" w:color="auto" w:fill="auto"/>
            <w:noWrap/>
            <w:tcMar>
              <w:top w:w="0" w:type="dxa"/>
              <w:left w:w="70" w:type="dxa"/>
              <w:bottom w:w="0" w:type="dxa"/>
              <w:right w:w="70" w:type="dxa"/>
            </w:tcMar>
            <w:vAlign w:val="center"/>
            <w:hideMark/>
          </w:tcPr>
          <w:p w14:paraId="4B4ABBF3" w14:textId="77777777" w:rsidR="00A164D2" w:rsidRPr="00DB745D" w:rsidRDefault="00A164D2" w:rsidP="00894E40">
            <w:pPr>
              <w:jc w:val="right"/>
              <w:rPr>
                <w:rFonts w:cstheme="minorHAnsi"/>
                <w:sz w:val="18"/>
                <w:szCs w:val="18"/>
              </w:rPr>
            </w:pPr>
            <w:r w:rsidRPr="00DB745D">
              <w:rPr>
                <w:rFonts w:cstheme="minorHAnsi"/>
                <w:sz w:val="18"/>
                <w:szCs w:val="18"/>
              </w:rPr>
              <w:t>31,4</w:t>
            </w:r>
          </w:p>
        </w:tc>
      </w:tr>
      <w:tr w:rsidR="00A164D2" w:rsidRPr="00DB745D" w14:paraId="42B406B8"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1D3D7B61"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Pardubický</w:t>
            </w:r>
          </w:p>
        </w:tc>
        <w:tc>
          <w:tcPr>
            <w:tcW w:w="798" w:type="dxa"/>
            <w:shd w:val="clear" w:color="auto" w:fill="auto"/>
            <w:noWrap/>
            <w:tcMar>
              <w:top w:w="0" w:type="dxa"/>
              <w:left w:w="70" w:type="dxa"/>
              <w:bottom w:w="0" w:type="dxa"/>
              <w:right w:w="70" w:type="dxa"/>
            </w:tcMar>
            <w:vAlign w:val="center"/>
            <w:hideMark/>
          </w:tcPr>
          <w:p w14:paraId="5AB30197" w14:textId="77777777" w:rsidR="00A164D2" w:rsidRPr="00DB745D" w:rsidRDefault="00A164D2" w:rsidP="00894E40">
            <w:pPr>
              <w:jc w:val="right"/>
              <w:rPr>
                <w:rFonts w:cstheme="minorHAnsi"/>
                <w:sz w:val="18"/>
                <w:szCs w:val="18"/>
              </w:rPr>
            </w:pPr>
            <w:r w:rsidRPr="00DB745D">
              <w:rPr>
                <w:rFonts w:cstheme="minorHAnsi"/>
                <w:sz w:val="18"/>
                <w:szCs w:val="18"/>
              </w:rPr>
              <w:t>5 814</w:t>
            </w:r>
          </w:p>
        </w:tc>
        <w:tc>
          <w:tcPr>
            <w:tcW w:w="570" w:type="dxa"/>
            <w:shd w:val="clear" w:color="auto" w:fill="auto"/>
            <w:noWrap/>
            <w:tcMar>
              <w:top w:w="0" w:type="dxa"/>
              <w:left w:w="70" w:type="dxa"/>
              <w:bottom w:w="0" w:type="dxa"/>
              <w:right w:w="70" w:type="dxa"/>
            </w:tcMar>
            <w:vAlign w:val="center"/>
            <w:hideMark/>
          </w:tcPr>
          <w:p w14:paraId="2050F764" w14:textId="77777777" w:rsidR="00A164D2" w:rsidRPr="00DB745D" w:rsidRDefault="00A164D2" w:rsidP="00894E40">
            <w:pPr>
              <w:jc w:val="right"/>
              <w:rPr>
                <w:rFonts w:cstheme="minorHAnsi"/>
                <w:sz w:val="18"/>
                <w:szCs w:val="18"/>
              </w:rPr>
            </w:pPr>
            <w:r w:rsidRPr="00DB745D">
              <w:rPr>
                <w:rFonts w:cstheme="minorHAnsi"/>
                <w:sz w:val="18"/>
                <w:szCs w:val="18"/>
              </w:rPr>
              <w:t>186</w:t>
            </w:r>
          </w:p>
        </w:tc>
        <w:tc>
          <w:tcPr>
            <w:tcW w:w="563" w:type="dxa"/>
            <w:shd w:val="clear" w:color="auto" w:fill="auto"/>
            <w:noWrap/>
            <w:tcMar>
              <w:top w:w="0" w:type="dxa"/>
              <w:left w:w="70" w:type="dxa"/>
              <w:bottom w:w="0" w:type="dxa"/>
              <w:right w:w="70" w:type="dxa"/>
            </w:tcMar>
            <w:vAlign w:val="center"/>
            <w:hideMark/>
          </w:tcPr>
          <w:p w14:paraId="5D2F82A1" w14:textId="77777777" w:rsidR="00A164D2" w:rsidRPr="00DB745D" w:rsidRDefault="00A164D2" w:rsidP="00894E40">
            <w:pPr>
              <w:jc w:val="right"/>
              <w:rPr>
                <w:rFonts w:cstheme="minorHAnsi"/>
                <w:sz w:val="18"/>
                <w:szCs w:val="18"/>
              </w:rPr>
            </w:pPr>
            <w:r w:rsidRPr="00DB745D">
              <w:rPr>
                <w:rFonts w:cstheme="minorHAnsi"/>
                <w:sz w:val="18"/>
                <w:szCs w:val="18"/>
              </w:rPr>
              <w:t>3,2</w:t>
            </w:r>
          </w:p>
        </w:tc>
        <w:tc>
          <w:tcPr>
            <w:tcW w:w="656" w:type="dxa"/>
            <w:shd w:val="clear" w:color="auto" w:fill="auto"/>
            <w:noWrap/>
            <w:tcMar>
              <w:top w:w="0" w:type="dxa"/>
              <w:left w:w="70" w:type="dxa"/>
              <w:bottom w:w="0" w:type="dxa"/>
              <w:right w:w="70" w:type="dxa"/>
            </w:tcMar>
            <w:vAlign w:val="center"/>
            <w:hideMark/>
          </w:tcPr>
          <w:p w14:paraId="02B34963" w14:textId="77777777" w:rsidR="00A164D2" w:rsidRPr="00DB745D" w:rsidRDefault="00A164D2" w:rsidP="00894E40">
            <w:pPr>
              <w:jc w:val="right"/>
              <w:rPr>
                <w:rFonts w:cstheme="minorHAnsi"/>
                <w:sz w:val="18"/>
                <w:szCs w:val="18"/>
              </w:rPr>
            </w:pPr>
            <w:r w:rsidRPr="00DB745D">
              <w:rPr>
                <w:rFonts w:cstheme="minorHAnsi"/>
                <w:sz w:val="18"/>
                <w:szCs w:val="18"/>
              </w:rPr>
              <w:t>895</w:t>
            </w:r>
          </w:p>
        </w:tc>
        <w:tc>
          <w:tcPr>
            <w:tcW w:w="730" w:type="dxa"/>
            <w:shd w:val="clear" w:color="auto" w:fill="auto"/>
            <w:noWrap/>
            <w:tcMar>
              <w:top w:w="0" w:type="dxa"/>
              <w:left w:w="70" w:type="dxa"/>
              <w:bottom w:w="0" w:type="dxa"/>
              <w:right w:w="70" w:type="dxa"/>
            </w:tcMar>
            <w:vAlign w:val="center"/>
            <w:hideMark/>
          </w:tcPr>
          <w:p w14:paraId="331307D9" w14:textId="77777777" w:rsidR="00A164D2" w:rsidRPr="00DB745D" w:rsidRDefault="00A164D2" w:rsidP="00894E40">
            <w:pPr>
              <w:jc w:val="right"/>
              <w:rPr>
                <w:rFonts w:cstheme="minorHAnsi"/>
                <w:sz w:val="18"/>
                <w:szCs w:val="18"/>
              </w:rPr>
            </w:pPr>
            <w:r w:rsidRPr="00DB745D">
              <w:rPr>
                <w:rFonts w:cstheme="minorHAnsi"/>
                <w:sz w:val="18"/>
                <w:szCs w:val="18"/>
              </w:rPr>
              <w:t>15,4</w:t>
            </w:r>
          </w:p>
        </w:tc>
        <w:tc>
          <w:tcPr>
            <w:tcW w:w="665" w:type="dxa"/>
            <w:shd w:val="clear" w:color="auto" w:fill="auto"/>
            <w:noWrap/>
            <w:tcMar>
              <w:top w:w="0" w:type="dxa"/>
              <w:left w:w="70" w:type="dxa"/>
              <w:bottom w:w="0" w:type="dxa"/>
              <w:right w:w="70" w:type="dxa"/>
            </w:tcMar>
            <w:vAlign w:val="center"/>
            <w:hideMark/>
          </w:tcPr>
          <w:p w14:paraId="7C20E21A" w14:textId="77777777" w:rsidR="00A164D2" w:rsidRPr="00DB745D" w:rsidRDefault="00A164D2" w:rsidP="00894E40">
            <w:pPr>
              <w:jc w:val="right"/>
              <w:rPr>
                <w:rFonts w:cstheme="minorHAnsi"/>
                <w:sz w:val="18"/>
                <w:szCs w:val="18"/>
              </w:rPr>
            </w:pPr>
            <w:r w:rsidRPr="00DB745D">
              <w:rPr>
                <w:rFonts w:cstheme="minorHAnsi"/>
                <w:sz w:val="18"/>
                <w:szCs w:val="18"/>
              </w:rPr>
              <w:t>1 329</w:t>
            </w:r>
          </w:p>
        </w:tc>
        <w:tc>
          <w:tcPr>
            <w:tcW w:w="665" w:type="dxa"/>
            <w:shd w:val="clear" w:color="auto" w:fill="auto"/>
            <w:noWrap/>
            <w:tcMar>
              <w:top w:w="0" w:type="dxa"/>
              <w:left w:w="70" w:type="dxa"/>
              <w:bottom w:w="0" w:type="dxa"/>
              <w:right w:w="70" w:type="dxa"/>
            </w:tcMar>
            <w:vAlign w:val="center"/>
            <w:hideMark/>
          </w:tcPr>
          <w:p w14:paraId="148F0139" w14:textId="77777777" w:rsidR="00A164D2" w:rsidRPr="00DB745D" w:rsidRDefault="00A164D2" w:rsidP="00894E40">
            <w:pPr>
              <w:jc w:val="right"/>
              <w:rPr>
                <w:rFonts w:cstheme="minorHAnsi"/>
                <w:sz w:val="18"/>
                <w:szCs w:val="18"/>
              </w:rPr>
            </w:pPr>
            <w:r w:rsidRPr="00DB745D">
              <w:rPr>
                <w:rFonts w:cstheme="minorHAnsi"/>
                <w:sz w:val="18"/>
                <w:szCs w:val="18"/>
              </w:rPr>
              <w:t>22,9</w:t>
            </w:r>
          </w:p>
        </w:tc>
        <w:tc>
          <w:tcPr>
            <w:tcW w:w="797" w:type="dxa"/>
            <w:shd w:val="clear" w:color="auto" w:fill="auto"/>
            <w:noWrap/>
            <w:tcMar>
              <w:top w:w="0" w:type="dxa"/>
              <w:left w:w="70" w:type="dxa"/>
              <w:bottom w:w="0" w:type="dxa"/>
              <w:right w:w="70" w:type="dxa"/>
            </w:tcMar>
            <w:vAlign w:val="center"/>
            <w:hideMark/>
          </w:tcPr>
          <w:p w14:paraId="4D2EB243" w14:textId="77777777" w:rsidR="00A164D2" w:rsidRPr="00DB745D" w:rsidRDefault="00A164D2" w:rsidP="00894E40">
            <w:pPr>
              <w:jc w:val="right"/>
              <w:rPr>
                <w:rFonts w:cstheme="minorHAnsi"/>
                <w:sz w:val="18"/>
                <w:szCs w:val="18"/>
              </w:rPr>
            </w:pPr>
            <w:r w:rsidRPr="00DB745D">
              <w:rPr>
                <w:rFonts w:cstheme="minorHAnsi"/>
                <w:sz w:val="18"/>
                <w:szCs w:val="18"/>
              </w:rPr>
              <w:t>1 877</w:t>
            </w:r>
          </w:p>
        </w:tc>
        <w:tc>
          <w:tcPr>
            <w:tcW w:w="665" w:type="dxa"/>
            <w:shd w:val="clear" w:color="auto" w:fill="auto"/>
            <w:noWrap/>
            <w:tcMar>
              <w:top w:w="0" w:type="dxa"/>
              <w:left w:w="70" w:type="dxa"/>
              <w:bottom w:w="0" w:type="dxa"/>
              <w:right w:w="70" w:type="dxa"/>
            </w:tcMar>
            <w:vAlign w:val="center"/>
            <w:hideMark/>
          </w:tcPr>
          <w:p w14:paraId="137983EB" w14:textId="77777777" w:rsidR="00A164D2" w:rsidRPr="00DB745D" w:rsidRDefault="00A164D2" w:rsidP="00894E40">
            <w:pPr>
              <w:jc w:val="right"/>
              <w:rPr>
                <w:rFonts w:cstheme="minorHAnsi"/>
                <w:sz w:val="18"/>
                <w:szCs w:val="18"/>
              </w:rPr>
            </w:pPr>
            <w:r w:rsidRPr="00DB745D">
              <w:rPr>
                <w:rFonts w:cstheme="minorHAnsi"/>
                <w:sz w:val="18"/>
                <w:szCs w:val="18"/>
              </w:rPr>
              <w:t>32,3</w:t>
            </w:r>
          </w:p>
        </w:tc>
        <w:tc>
          <w:tcPr>
            <w:tcW w:w="798" w:type="dxa"/>
            <w:shd w:val="clear" w:color="auto" w:fill="auto"/>
            <w:noWrap/>
            <w:tcMar>
              <w:top w:w="0" w:type="dxa"/>
              <w:left w:w="70" w:type="dxa"/>
              <w:bottom w:w="0" w:type="dxa"/>
              <w:right w:w="70" w:type="dxa"/>
            </w:tcMar>
            <w:vAlign w:val="center"/>
            <w:hideMark/>
          </w:tcPr>
          <w:p w14:paraId="37C67E1A" w14:textId="77777777" w:rsidR="00A164D2" w:rsidRPr="00DB745D" w:rsidRDefault="00A164D2" w:rsidP="00894E40">
            <w:pPr>
              <w:jc w:val="right"/>
              <w:rPr>
                <w:rFonts w:cstheme="minorHAnsi"/>
                <w:sz w:val="18"/>
                <w:szCs w:val="18"/>
              </w:rPr>
            </w:pPr>
            <w:r w:rsidRPr="00DB745D">
              <w:rPr>
                <w:rFonts w:cstheme="minorHAnsi"/>
                <w:sz w:val="18"/>
                <w:szCs w:val="18"/>
              </w:rPr>
              <w:t>1 527</w:t>
            </w:r>
          </w:p>
        </w:tc>
        <w:tc>
          <w:tcPr>
            <w:tcW w:w="667" w:type="dxa"/>
            <w:shd w:val="clear" w:color="auto" w:fill="auto"/>
            <w:noWrap/>
            <w:tcMar>
              <w:top w:w="0" w:type="dxa"/>
              <w:left w:w="70" w:type="dxa"/>
              <w:bottom w:w="0" w:type="dxa"/>
              <w:right w:w="70" w:type="dxa"/>
            </w:tcMar>
            <w:vAlign w:val="center"/>
            <w:hideMark/>
          </w:tcPr>
          <w:p w14:paraId="54E079F8" w14:textId="77777777" w:rsidR="00A164D2" w:rsidRPr="00DB745D" w:rsidRDefault="00A164D2" w:rsidP="00894E40">
            <w:pPr>
              <w:jc w:val="right"/>
              <w:rPr>
                <w:rFonts w:cstheme="minorHAnsi"/>
                <w:sz w:val="18"/>
                <w:szCs w:val="18"/>
              </w:rPr>
            </w:pPr>
            <w:r w:rsidRPr="00DB745D">
              <w:rPr>
                <w:rFonts w:cstheme="minorHAnsi"/>
                <w:sz w:val="18"/>
                <w:szCs w:val="18"/>
              </w:rPr>
              <w:t>26,3</w:t>
            </w:r>
          </w:p>
        </w:tc>
      </w:tr>
      <w:tr w:rsidR="00A164D2" w:rsidRPr="00DB745D" w14:paraId="5CBE8767"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0F72A2B4"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Plzeňský</w:t>
            </w:r>
          </w:p>
        </w:tc>
        <w:tc>
          <w:tcPr>
            <w:tcW w:w="798" w:type="dxa"/>
            <w:shd w:val="clear" w:color="auto" w:fill="auto"/>
            <w:noWrap/>
            <w:tcMar>
              <w:top w:w="0" w:type="dxa"/>
              <w:left w:w="70" w:type="dxa"/>
              <w:bottom w:w="0" w:type="dxa"/>
              <w:right w:w="70" w:type="dxa"/>
            </w:tcMar>
            <w:vAlign w:val="center"/>
            <w:hideMark/>
          </w:tcPr>
          <w:p w14:paraId="3BD88F69" w14:textId="77777777" w:rsidR="00A164D2" w:rsidRPr="00DB745D" w:rsidRDefault="00A164D2" w:rsidP="00894E40">
            <w:pPr>
              <w:jc w:val="right"/>
              <w:rPr>
                <w:rFonts w:cstheme="minorHAnsi"/>
                <w:sz w:val="18"/>
                <w:szCs w:val="18"/>
              </w:rPr>
            </w:pPr>
            <w:r w:rsidRPr="00DB745D">
              <w:rPr>
                <w:rFonts w:cstheme="minorHAnsi"/>
                <w:sz w:val="18"/>
                <w:szCs w:val="18"/>
              </w:rPr>
              <w:t>7 026</w:t>
            </w:r>
          </w:p>
        </w:tc>
        <w:tc>
          <w:tcPr>
            <w:tcW w:w="570" w:type="dxa"/>
            <w:shd w:val="clear" w:color="auto" w:fill="auto"/>
            <w:noWrap/>
            <w:tcMar>
              <w:top w:w="0" w:type="dxa"/>
              <w:left w:w="70" w:type="dxa"/>
              <w:bottom w:w="0" w:type="dxa"/>
              <w:right w:w="70" w:type="dxa"/>
            </w:tcMar>
            <w:vAlign w:val="center"/>
            <w:hideMark/>
          </w:tcPr>
          <w:p w14:paraId="7E027593" w14:textId="77777777" w:rsidR="00A164D2" w:rsidRPr="00DB745D" w:rsidRDefault="00A164D2" w:rsidP="00894E40">
            <w:pPr>
              <w:jc w:val="right"/>
              <w:rPr>
                <w:rFonts w:cstheme="minorHAnsi"/>
                <w:sz w:val="18"/>
                <w:szCs w:val="18"/>
              </w:rPr>
            </w:pPr>
            <w:r w:rsidRPr="00DB745D">
              <w:rPr>
                <w:rFonts w:cstheme="minorHAnsi"/>
                <w:sz w:val="18"/>
                <w:szCs w:val="18"/>
              </w:rPr>
              <w:t>262</w:t>
            </w:r>
          </w:p>
        </w:tc>
        <w:tc>
          <w:tcPr>
            <w:tcW w:w="563" w:type="dxa"/>
            <w:shd w:val="clear" w:color="auto" w:fill="auto"/>
            <w:noWrap/>
            <w:tcMar>
              <w:top w:w="0" w:type="dxa"/>
              <w:left w:w="70" w:type="dxa"/>
              <w:bottom w:w="0" w:type="dxa"/>
              <w:right w:w="70" w:type="dxa"/>
            </w:tcMar>
            <w:vAlign w:val="center"/>
            <w:hideMark/>
          </w:tcPr>
          <w:p w14:paraId="3F657EB7" w14:textId="77777777" w:rsidR="00A164D2" w:rsidRPr="00DB745D" w:rsidRDefault="00A164D2" w:rsidP="00894E40">
            <w:pPr>
              <w:jc w:val="right"/>
              <w:rPr>
                <w:rFonts w:cstheme="minorHAnsi"/>
                <w:sz w:val="18"/>
                <w:szCs w:val="18"/>
              </w:rPr>
            </w:pPr>
            <w:r w:rsidRPr="00DB745D">
              <w:rPr>
                <w:rFonts w:cstheme="minorHAnsi"/>
                <w:sz w:val="18"/>
                <w:szCs w:val="18"/>
              </w:rPr>
              <w:t>3,7</w:t>
            </w:r>
          </w:p>
        </w:tc>
        <w:tc>
          <w:tcPr>
            <w:tcW w:w="656" w:type="dxa"/>
            <w:shd w:val="clear" w:color="auto" w:fill="auto"/>
            <w:noWrap/>
            <w:tcMar>
              <w:top w:w="0" w:type="dxa"/>
              <w:left w:w="70" w:type="dxa"/>
              <w:bottom w:w="0" w:type="dxa"/>
              <w:right w:w="70" w:type="dxa"/>
            </w:tcMar>
            <w:vAlign w:val="center"/>
            <w:hideMark/>
          </w:tcPr>
          <w:p w14:paraId="33BB0521" w14:textId="77777777" w:rsidR="00A164D2" w:rsidRPr="00DB745D" w:rsidRDefault="00A164D2" w:rsidP="00894E40">
            <w:pPr>
              <w:jc w:val="right"/>
              <w:rPr>
                <w:rFonts w:cstheme="minorHAnsi"/>
                <w:sz w:val="18"/>
                <w:szCs w:val="18"/>
              </w:rPr>
            </w:pPr>
            <w:r w:rsidRPr="00DB745D">
              <w:rPr>
                <w:rFonts w:cstheme="minorHAnsi"/>
                <w:sz w:val="18"/>
                <w:szCs w:val="18"/>
              </w:rPr>
              <w:t>905</w:t>
            </w:r>
          </w:p>
        </w:tc>
        <w:tc>
          <w:tcPr>
            <w:tcW w:w="730" w:type="dxa"/>
            <w:shd w:val="clear" w:color="auto" w:fill="auto"/>
            <w:noWrap/>
            <w:tcMar>
              <w:top w:w="0" w:type="dxa"/>
              <w:left w:w="70" w:type="dxa"/>
              <w:bottom w:w="0" w:type="dxa"/>
              <w:right w:w="70" w:type="dxa"/>
            </w:tcMar>
            <w:vAlign w:val="center"/>
            <w:hideMark/>
          </w:tcPr>
          <w:p w14:paraId="28C083E1" w14:textId="77777777" w:rsidR="00A164D2" w:rsidRPr="00DB745D" w:rsidRDefault="00A164D2" w:rsidP="00894E40">
            <w:pPr>
              <w:jc w:val="right"/>
              <w:rPr>
                <w:rFonts w:cstheme="minorHAnsi"/>
                <w:sz w:val="18"/>
                <w:szCs w:val="18"/>
              </w:rPr>
            </w:pPr>
            <w:r w:rsidRPr="00DB745D">
              <w:rPr>
                <w:rFonts w:cstheme="minorHAnsi"/>
                <w:sz w:val="18"/>
                <w:szCs w:val="18"/>
              </w:rPr>
              <w:t>12,9</w:t>
            </w:r>
          </w:p>
        </w:tc>
        <w:tc>
          <w:tcPr>
            <w:tcW w:w="665" w:type="dxa"/>
            <w:shd w:val="clear" w:color="auto" w:fill="auto"/>
            <w:noWrap/>
            <w:tcMar>
              <w:top w:w="0" w:type="dxa"/>
              <w:left w:w="70" w:type="dxa"/>
              <w:bottom w:w="0" w:type="dxa"/>
              <w:right w:w="70" w:type="dxa"/>
            </w:tcMar>
            <w:vAlign w:val="center"/>
            <w:hideMark/>
          </w:tcPr>
          <w:p w14:paraId="7C900DC0" w14:textId="77777777" w:rsidR="00A164D2" w:rsidRPr="00DB745D" w:rsidRDefault="00A164D2" w:rsidP="00894E40">
            <w:pPr>
              <w:jc w:val="right"/>
              <w:rPr>
                <w:rFonts w:cstheme="minorHAnsi"/>
                <w:sz w:val="18"/>
                <w:szCs w:val="18"/>
              </w:rPr>
            </w:pPr>
            <w:r w:rsidRPr="00DB745D">
              <w:rPr>
                <w:rFonts w:cstheme="minorHAnsi"/>
                <w:sz w:val="18"/>
                <w:szCs w:val="18"/>
              </w:rPr>
              <w:t>944</w:t>
            </w:r>
          </w:p>
        </w:tc>
        <w:tc>
          <w:tcPr>
            <w:tcW w:w="665" w:type="dxa"/>
            <w:shd w:val="clear" w:color="auto" w:fill="auto"/>
            <w:noWrap/>
            <w:tcMar>
              <w:top w:w="0" w:type="dxa"/>
              <w:left w:w="70" w:type="dxa"/>
              <w:bottom w:w="0" w:type="dxa"/>
              <w:right w:w="70" w:type="dxa"/>
            </w:tcMar>
            <w:vAlign w:val="center"/>
            <w:hideMark/>
          </w:tcPr>
          <w:p w14:paraId="3D6C75BD" w14:textId="77777777" w:rsidR="00A164D2" w:rsidRPr="00DB745D" w:rsidRDefault="00A164D2" w:rsidP="00894E40">
            <w:pPr>
              <w:jc w:val="right"/>
              <w:rPr>
                <w:rFonts w:cstheme="minorHAnsi"/>
                <w:sz w:val="18"/>
                <w:szCs w:val="18"/>
              </w:rPr>
            </w:pPr>
            <w:r w:rsidRPr="00DB745D">
              <w:rPr>
                <w:rFonts w:cstheme="minorHAnsi"/>
                <w:sz w:val="18"/>
                <w:szCs w:val="18"/>
              </w:rPr>
              <w:t>13,4</w:t>
            </w:r>
          </w:p>
        </w:tc>
        <w:tc>
          <w:tcPr>
            <w:tcW w:w="797" w:type="dxa"/>
            <w:shd w:val="clear" w:color="auto" w:fill="auto"/>
            <w:noWrap/>
            <w:tcMar>
              <w:top w:w="0" w:type="dxa"/>
              <w:left w:w="70" w:type="dxa"/>
              <w:bottom w:w="0" w:type="dxa"/>
              <w:right w:w="70" w:type="dxa"/>
            </w:tcMar>
            <w:vAlign w:val="center"/>
            <w:hideMark/>
          </w:tcPr>
          <w:p w14:paraId="04ED9839" w14:textId="77777777" w:rsidR="00A164D2" w:rsidRPr="00DB745D" w:rsidRDefault="00A164D2" w:rsidP="00894E40">
            <w:pPr>
              <w:jc w:val="right"/>
              <w:rPr>
                <w:rFonts w:cstheme="minorHAnsi"/>
                <w:sz w:val="18"/>
                <w:szCs w:val="18"/>
              </w:rPr>
            </w:pPr>
            <w:r w:rsidRPr="00DB745D">
              <w:rPr>
                <w:rFonts w:cstheme="minorHAnsi"/>
                <w:sz w:val="18"/>
                <w:szCs w:val="18"/>
              </w:rPr>
              <w:t>3 666</w:t>
            </w:r>
          </w:p>
        </w:tc>
        <w:tc>
          <w:tcPr>
            <w:tcW w:w="665" w:type="dxa"/>
            <w:shd w:val="clear" w:color="auto" w:fill="auto"/>
            <w:noWrap/>
            <w:tcMar>
              <w:top w:w="0" w:type="dxa"/>
              <w:left w:w="70" w:type="dxa"/>
              <w:bottom w:w="0" w:type="dxa"/>
              <w:right w:w="70" w:type="dxa"/>
            </w:tcMar>
            <w:vAlign w:val="center"/>
            <w:hideMark/>
          </w:tcPr>
          <w:p w14:paraId="29F57DE7" w14:textId="77777777" w:rsidR="00A164D2" w:rsidRPr="00DB745D" w:rsidRDefault="00A164D2" w:rsidP="00894E40">
            <w:pPr>
              <w:jc w:val="right"/>
              <w:rPr>
                <w:rFonts w:cstheme="minorHAnsi"/>
                <w:sz w:val="18"/>
                <w:szCs w:val="18"/>
              </w:rPr>
            </w:pPr>
            <w:r w:rsidRPr="00DB745D">
              <w:rPr>
                <w:rFonts w:cstheme="minorHAnsi"/>
                <w:sz w:val="18"/>
                <w:szCs w:val="18"/>
              </w:rPr>
              <w:t>52,2</w:t>
            </w:r>
          </w:p>
        </w:tc>
        <w:tc>
          <w:tcPr>
            <w:tcW w:w="798" w:type="dxa"/>
            <w:shd w:val="clear" w:color="auto" w:fill="auto"/>
            <w:noWrap/>
            <w:tcMar>
              <w:top w:w="0" w:type="dxa"/>
              <w:left w:w="70" w:type="dxa"/>
              <w:bottom w:w="0" w:type="dxa"/>
              <w:right w:w="70" w:type="dxa"/>
            </w:tcMar>
            <w:vAlign w:val="center"/>
            <w:hideMark/>
          </w:tcPr>
          <w:p w14:paraId="49EBCD6D" w14:textId="77777777" w:rsidR="00A164D2" w:rsidRPr="00DB745D" w:rsidRDefault="00A164D2" w:rsidP="00894E40">
            <w:pPr>
              <w:jc w:val="right"/>
              <w:rPr>
                <w:rFonts w:cstheme="minorHAnsi"/>
                <w:sz w:val="18"/>
                <w:szCs w:val="18"/>
              </w:rPr>
            </w:pPr>
            <w:r w:rsidRPr="00DB745D">
              <w:rPr>
                <w:rFonts w:cstheme="minorHAnsi"/>
                <w:sz w:val="18"/>
                <w:szCs w:val="18"/>
              </w:rPr>
              <w:t>1 249</w:t>
            </w:r>
          </w:p>
        </w:tc>
        <w:tc>
          <w:tcPr>
            <w:tcW w:w="667" w:type="dxa"/>
            <w:shd w:val="clear" w:color="auto" w:fill="auto"/>
            <w:noWrap/>
            <w:tcMar>
              <w:top w:w="0" w:type="dxa"/>
              <w:left w:w="70" w:type="dxa"/>
              <w:bottom w:w="0" w:type="dxa"/>
              <w:right w:w="70" w:type="dxa"/>
            </w:tcMar>
            <w:vAlign w:val="center"/>
            <w:hideMark/>
          </w:tcPr>
          <w:p w14:paraId="7634A583" w14:textId="77777777" w:rsidR="00A164D2" w:rsidRPr="00DB745D" w:rsidRDefault="00A164D2" w:rsidP="00894E40">
            <w:pPr>
              <w:jc w:val="right"/>
              <w:rPr>
                <w:rFonts w:cstheme="minorHAnsi"/>
                <w:sz w:val="18"/>
                <w:szCs w:val="18"/>
              </w:rPr>
            </w:pPr>
            <w:r w:rsidRPr="00DB745D">
              <w:rPr>
                <w:rFonts w:cstheme="minorHAnsi"/>
                <w:sz w:val="18"/>
                <w:szCs w:val="18"/>
              </w:rPr>
              <w:t>17,8</w:t>
            </w:r>
          </w:p>
        </w:tc>
      </w:tr>
      <w:tr w:rsidR="00A164D2" w:rsidRPr="00DB745D" w14:paraId="1117A563"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145D5B27"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Praha</w:t>
            </w:r>
          </w:p>
        </w:tc>
        <w:tc>
          <w:tcPr>
            <w:tcW w:w="798" w:type="dxa"/>
            <w:shd w:val="clear" w:color="auto" w:fill="auto"/>
            <w:noWrap/>
            <w:tcMar>
              <w:top w:w="0" w:type="dxa"/>
              <w:left w:w="70" w:type="dxa"/>
              <w:bottom w:w="0" w:type="dxa"/>
              <w:right w:w="70" w:type="dxa"/>
            </w:tcMar>
            <w:vAlign w:val="center"/>
            <w:hideMark/>
          </w:tcPr>
          <w:p w14:paraId="5C7EADC0" w14:textId="77777777" w:rsidR="00A164D2" w:rsidRPr="00DB745D" w:rsidRDefault="00A164D2" w:rsidP="00894E40">
            <w:pPr>
              <w:jc w:val="right"/>
              <w:rPr>
                <w:rFonts w:cstheme="minorHAnsi"/>
                <w:sz w:val="18"/>
                <w:szCs w:val="18"/>
              </w:rPr>
            </w:pPr>
            <w:r w:rsidRPr="00DB745D">
              <w:rPr>
                <w:rFonts w:cstheme="minorHAnsi"/>
                <w:sz w:val="18"/>
                <w:szCs w:val="18"/>
              </w:rPr>
              <w:t>709</w:t>
            </w:r>
          </w:p>
        </w:tc>
        <w:tc>
          <w:tcPr>
            <w:tcW w:w="570" w:type="dxa"/>
            <w:shd w:val="clear" w:color="auto" w:fill="auto"/>
            <w:noWrap/>
            <w:tcMar>
              <w:top w:w="0" w:type="dxa"/>
              <w:left w:w="70" w:type="dxa"/>
              <w:bottom w:w="0" w:type="dxa"/>
              <w:right w:w="70" w:type="dxa"/>
            </w:tcMar>
            <w:vAlign w:val="center"/>
            <w:hideMark/>
          </w:tcPr>
          <w:p w14:paraId="02DC7CA4" w14:textId="77777777" w:rsidR="00A164D2" w:rsidRPr="00DB745D" w:rsidRDefault="00A164D2" w:rsidP="00894E40">
            <w:pPr>
              <w:jc w:val="right"/>
              <w:rPr>
                <w:rFonts w:cstheme="minorHAnsi"/>
                <w:sz w:val="18"/>
                <w:szCs w:val="18"/>
              </w:rPr>
            </w:pPr>
            <w:r w:rsidRPr="00DB745D">
              <w:rPr>
                <w:rFonts w:cstheme="minorHAnsi"/>
                <w:sz w:val="18"/>
                <w:szCs w:val="18"/>
              </w:rPr>
              <w:t>0</w:t>
            </w:r>
          </w:p>
        </w:tc>
        <w:tc>
          <w:tcPr>
            <w:tcW w:w="563" w:type="dxa"/>
            <w:shd w:val="clear" w:color="auto" w:fill="auto"/>
            <w:noWrap/>
            <w:tcMar>
              <w:top w:w="0" w:type="dxa"/>
              <w:left w:w="70" w:type="dxa"/>
              <w:bottom w:w="0" w:type="dxa"/>
              <w:right w:w="70" w:type="dxa"/>
            </w:tcMar>
            <w:vAlign w:val="center"/>
            <w:hideMark/>
          </w:tcPr>
          <w:p w14:paraId="5FA6438B" w14:textId="77777777" w:rsidR="00A164D2" w:rsidRPr="00DB745D" w:rsidRDefault="00A164D2" w:rsidP="00894E40">
            <w:pPr>
              <w:jc w:val="right"/>
              <w:rPr>
                <w:rFonts w:cstheme="minorHAnsi"/>
                <w:sz w:val="18"/>
                <w:szCs w:val="18"/>
              </w:rPr>
            </w:pPr>
            <w:r w:rsidRPr="00DB745D">
              <w:rPr>
                <w:rFonts w:cstheme="minorHAnsi"/>
                <w:sz w:val="18"/>
                <w:szCs w:val="18"/>
              </w:rPr>
              <w:t>0,0</w:t>
            </w:r>
          </w:p>
        </w:tc>
        <w:tc>
          <w:tcPr>
            <w:tcW w:w="656" w:type="dxa"/>
            <w:shd w:val="clear" w:color="auto" w:fill="auto"/>
            <w:noWrap/>
            <w:tcMar>
              <w:top w:w="0" w:type="dxa"/>
              <w:left w:w="70" w:type="dxa"/>
              <w:bottom w:w="0" w:type="dxa"/>
              <w:right w:w="70" w:type="dxa"/>
            </w:tcMar>
            <w:vAlign w:val="center"/>
            <w:hideMark/>
          </w:tcPr>
          <w:p w14:paraId="087A0C89" w14:textId="77777777" w:rsidR="00A164D2" w:rsidRPr="00DB745D" w:rsidRDefault="00A164D2" w:rsidP="00894E40">
            <w:pPr>
              <w:jc w:val="right"/>
              <w:rPr>
                <w:rFonts w:cstheme="minorHAnsi"/>
                <w:sz w:val="18"/>
                <w:szCs w:val="18"/>
              </w:rPr>
            </w:pPr>
            <w:r w:rsidRPr="00DB745D">
              <w:rPr>
                <w:rFonts w:cstheme="minorHAnsi"/>
                <w:sz w:val="18"/>
                <w:szCs w:val="18"/>
              </w:rPr>
              <w:t>13</w:t>
            </w:r>
          </w:p>
        </w:tc>
        <w:tc>
          <w:tcPr>
            <w:tcW w:w="730" w:type="dxa"/>
            <w:shd w:val="clear" w:color="auto" w:fill="auto"/>
            <w:noWrap/>
            <w:tcMar>
              <w:top w:w="0" w:type="dxa"/>
              <w:left w:w="70" w:type="dxa"/>
              <w:bottom w:w="0" w:type="dxa"/>
              <w:right w:w="70" w:type="dxa"/>
            </w:tcMar>
            <w:vAlign w:val="center"/>
            <w:hideMark/>
          </w:tcPr>
          <w:p w14:paraId="4D3F9080" w14:textId="77777777" w:rsidR="00A164D2" w:rsidRPr="00DB745D" w:rsidRDefault="00A164D2" w:rsidP="00894E40">
            <w:pPr>
              <w:jc w:val="right"/>
              <w:rPr>
                <w:rFonts w:cstheme="minorHAnsi"/>
                <w:sz w:val="18"/>
                <w:szCs w:val="18"/>
              </w:rPr>
            </w:pPr>
            <w:r w:rsidRPr="00DB745D">
              <w:rPr>
                <w:rFonts w:cstheme="minorHAnsi"/>
                <w:sz w:val="18"/>
                <w:szCs w:val="18"/>
              </w:rPr>
              <w:t>1,8</w:t>
            </w:r>
          </w:p>
        </w:tc>
        <w:tc>
          <w:tcPr>
            <w:tcW w:w="665" w:type="dxa"/>
            <w:shd w:val="clear" w:color="auto" w:fill="auto"/>
            <w:noWrap/>
            <w:tcMar>
              <w:top w:w="0" w:type="dxa"/>
              <w:left w:w="70" w:type="dxa"/>
              <w:bottom w:w="0" w:type="dxa"/>
              <w:right w:w="70" w:type="dxa"/>
            </w:tcMar>
            <w:vAlign w:val="center"/>
            <w:hideMark/>
          </w:tcPr>
          <w:p w14:paraId="1A976933" w14:textId="77777777" w:rsidR="00A164D2" w:rsidRPr="00DB745D" w:rsidRDefault="00A164D2" w:rsidP="00894E40">
            <w:pPr>
              <w:jc w:val="right"/>
              <w:rPr>
                <w:rFonts w:cstheme="minorHAnsi"/>
                <w:sz w:val="18"/>
                <w:szCs w:val="18"/>
              </w:rPr>
            </w:pPr>
            <w:r w:rsidRPr="00DB745D">
              <w:rPr>
                <w:rFonts w:cstheme="minorHAnsi"/>
                <w:sz w:val="18"/>
                <w:szCs w:val="18"/>
              </w:rPr>
              <w:t>37</w:t>
            </w:r>
          </w:p>
        </w:tc>
        <w:tc>
          <w:tcPr>
            <w:tcW w:w="665" w:type="dxa"/>
            <w:shd w:val="clear" w:color="auto" w:fill="auto"/>
            <w:noWrap/>
            <w:tcMar>
              <w:top w:w="0" w:type="dxa"/>
              <w:left w:w="70" w:type="dxa"/>
              <w:bottom w:w="0" w:type="dxa"/>
              <w:right w:w="70" w:type="dxa"/>
            </w:tcMar>
            <w:vAlign w:val="center"/>
            <w:hideMark/>
          </w:tcPr>
          <w:p w14:paraId="3DAB962E" w14:textId="77777777" w:rsidR="00A164D2" w:rsidRPr="00DB745D" w:rsidRDefault="00A164D2" w:rsidP="00894E40">
            <w:pPr>
              <w:jc w:val="right"/>
              <w:rPr>
                <w:rFonts w:cstheme="minorHAnsi"/>
                <w:sz w:val="18"/>
                <w:szCs w:val="18"/>
              </w:rPr>
            </w:pPr>
            <w:r w:rsidRPr="00DB745D">
              <w:rPr>
                <w:rFonts w:cstheme="minorHAnsi"/>
                <w:sz w:val="18"/>
                <w:szCs w:val="18"/>
              </w:rPr>
              <w:t>5,2</w:t>
            </w:r>
          </w:p>
        </w:tc>
        <w:tc>
          <w:tcPr>
            <w:tcW w:w="797" w:type="dxa"/>
            <w:shd w:val="clear" w:color="auto" w:fill="auto"/>
            <w:noWrap/>
            <w:tcMar>
              <w:top w:w="0" w:type="dxa"/>
              <w:left w:w="70" w:type="dxa"/>
              <w:bottom w:w="0" w:type="dxa"/>
              <w:right w:w="70" w:type="dxa"/>
            </w:tcMar>
            <w:vAlign w:val="center"/>
            <w:hideMark/>
          </w:tcPr>
          <w:p w14:paraId="7AAD3594" w14:textId="77777777" w:rsidR="00A164D2" w:rsidRPr="00DB745D" w:rsidRDefault="00A164D2" w:rsidP="00894E40">
            <w:pPr>
              <w:jc w:val="right"/>
              <w:rPr>
                <w:rFonts w:cstheme="minorHAnsi"/>
                <w:sz w:val="18"/>
                <w:szCs w:val="18"/>
              </w:rPr>
            </w:pPr>
            <w:r w:rsidRPr="00DB745D">
              <w:rPr>
                <w:rFonts w:cstheme="minorHAnsi"/>
                <w:sz w:val="18"/>
                <w:szCs w:val="18"/>
              </w:rPr>
              <w:t>310</w:t>
            </w:r>
          </w:p>
        </w:tc>
        <w:tc>
          <w:tcPr>
            <w:tcW w:w="665" w:type="dxa"/>
            <w:shd w:val="clear" w:color="auto" w:fill="auto"/>
            <w:noWrap/>
            <w:tcMar>
              <w:top w:w="0" w:type="dxa"/>
              <w:left w:w="70" w:type="dxa"/>
              <w:bottom w:w="0" w:type="dxa"/>
              <w:right w:w="70" w:type="dxa"/>
            </w:tcMar>
            <w:vAlign w:val="center"/>
            <w:hideMark/>
          </w:tcPr>
          <w:p w14:paraId="61ED6AEC" w14:textId="77777777" w:rsidR="00A164D2" w:rsidRPr="00DB745D" w:rsidRDefault="00A164D2" w:rsidP="00894E40">
            <w:pPr>
              <w:jc w:val="right"/>
              <w:rPr>
                <w:rFonts w:cstheme="minorHAnsi"/>
                <w:sz w:val="18"/>
                <w:szCs w:val="18"/>
              </w:rPr>
            </w:pPr>
            <w:r w:rsidRPr="00DB745D">
              <w:rPr>
                <w:rFonts w:cstheme="minorHAnsi"/>
                <w:sz w:val="18"/>
                <w:szCs w:val="18"/>
              </w:rPr>
              <w:t>43,7</w:t>
            </w:r>
          </w:p>
        </w:tc>
        <w:tc>
          <w:tcPr>
            <w:tcW w:w="798" w:type="dxa"/>
            <w:shd w:val="clear" w:color="auto" w:fill="auto"/>
            <w:noWrap/>
            <w:tcMar>
              <w:top w:w="0" w:type="dxa"/>
              <w:left w:w="70" w:type="dxa"/>
              <w:bottom w:w="0" w:type="dxa"/>
              <w:right w:w="70" w:type="dxa"/>
            </w:tcMar>
            <w:vAlign w:val="center"/>
            <w:hideMark/>
          </w:tcPr>
          <w:p w14:paraId="6C2BB8D2" w14:textId="77777777" w:rsidR="00A164D2" w:rsidRPr="00DB745D" w:rsidRDefault="00A164D2" w:rsidP="00894E40">
            <w:pPr>
              <w:jc w:val="right"/>
              <w:rPr>
                <w:rFonts w:cstheme="minorHAnsi"/>
                <w:sz w:val="18"/>
                <w:szCs w:val="18"/>
              </w:rPr>
            </w:pPr>
            <w:r w:rsidRPr="00DB745D">
              <w:rPr>
                <w:rFonts w:cstheme="minorHAnsi"/>
                <w:sz w:val="18"/>
                <w:szCs w:val="18"/>
              </w:rPr>
              <w:t>349</w:t>
            </w:r>
          </w:p>
        </w:tc>
        <w:tc>
          <w:tcPr>
            <w:tcW w:w="667" w:type="dxa"/>
            <w:shd w:val="clear" w:color="auto" w:fill="auto"/>
            <w:noWrap/>
            <w:tcMar>
              <w:top w:w="0" w:type="dxa"/>
              <w:left w:w="70" w:type="dxa"/>
              <w:bottom w:w="0" w:type="dxa"/>
              <w:right w:w="70" w:type="dxa"/>
            </w:tcMar>
            <w:vAlign w:val="center"/>
            <w:hideMark/>
          </w:tcPr>
          <w:p w14:paraId="645E4F5E" w14:textId="77777777" w:rsidR="00A164D2" w:rsidRPr="00DB745D" w:rsidRDefault="00A164D2" w:rsidP="00894E40">
            <w:pPr>
              <w:jc w:val="right"/>
              <w:rPr>
                <w:rFonts w:cstheme="minorHAnsi"/>
                <w:sz w:val="18"/>
                <w:szCs w:val="18"/>
              </w:rPr>
            </w:pPr>
            <w:r w:rsidRPr="00DB745D">
              <w:rPr>
                <w:rFonts w:cstheme="minorHAnsi"/>
                <w:sz w:val="18"/>
                <w:szCs w:val="18"/>
              </w:rPr>
              <w:t>49,2</w:t>
            </w:r>
          </w:p>
        </w:tc>
      </w:tr>
      <w:tr w:rsidR="00A164D2" w:rsidRPr="00DB745D" w14:paraId="063BB1F9"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53309171"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Středočeský</w:t>
            </w:r>
          </w:p>
        </w:tc>
        <w:tc>
          <w:tcPr>
            <w:tcW w:w="798" w:type="dxa"/>
            <w:shd w:val="clear" w:color="auto" w:fill="auto"/>
            <w:noWrap/>
            <w:tcMar>
              <w:top w:w="0" w:type="dxa"/>
              <w:left w:w="70" w:type="dxa"/>
              <w:bottom w:w="0" w:type="dxa"/>
              <w:right w:w="70" w:type="dxa"/>
            </w:tcMar>
            <w:vAlign w:val="center"/>
            <w:hideMark/>
          </w:tcPr>
          <w:p w14:paraId="09488B06" w14:textId="77777777" w:rsidR="00A164D2" w:rsidRPr="00DB745D" w:rsidRDefault="00A164D2" w:rsidP="00894E40">
            <w:pPr>
              <w:jc w:val="right"/>
              <w:rPr>
                <w:rFonts w:cstheme="minorHAnsi"/>
                <w:sz w:val="18"/>
                <w:szCs w:val="18"/>
              </w:rPr>
            </w:pPr>
            <w:r w:rsidRPr="00DB745D">
              <w:rPr>
                <w:rFonts w:cstheme="minorHAnsi"/>
                <w:sz w:val="18"/>
                <w:szCs w:val="18"/>
              </w:rPr>
              <w:t>16 806</w:t>
            </w:r>
          </w:p>
        </w:tc>
        <w:tc>
          <w:tcPr>
            <w:tcW w:w="570" w:type="dxa"/>
            <w:shd w:val="clear" w:color="auto" w:fill="auto"/>
            <w:noWrap/>
            <w:tcMar>
              <w:top w:w="0" w:type="dxa"/>
              <w:left w:w="70" w:type="dxa"/>
              <w:bottom w:w="0" w:type="dxa"/>
              <w:right w:w="70" w:type="dxa"/>
            </w:tcMar>
            <w:vAlign w:val="center"/>
            <w:hideMark/>
          </w:tcPr>
          <w:p w14:paraId="3F0A1908" w14:textId="77777777" w:rsidR="00A164D2" w:rsidRPr="00DB745D" w:rsidRDefault="00A164D2" w:rsidP="00894E40">
            <w:pPr>
              <w:jc w:val="right"/>
              <w:rPr>
                <w:rFonts w:cstheme="minorHAnsi"/>
                <w:sz w:val="18"/>
                <w:szCs w:val="18"/>
              </w:rPr>
            </w:pPr>
            <w:r w:rsidRPr="00DB745D">
              <w:rPr>
                <w:rFonts w:cstheme="minorHAnsi"/>
                <w:sz w:val="18"/>
                <w:szCs w:val="18"/>
              </w:rPr>
              <w:t>538</w:t>
            </w:r>
          </w:p>
        </w:tc>
        <w:tc>
          <w:tcPr>
            <w:tcW w:w="563" w:type="dxa"/>
            <w:shd w:val="clear" w:color="auto" w:fill="auto"/>
            <w:noWrap/>
            <w:tcMar>
              <w:top w:w="0" w:type="dxa"/>
              <w:left w:w="70" w:type="dxa"/>
              <w:bottom w:w="0" w:type="dxa"/>
              <w:right w:w="70" w:type="dxa"/>
            </w:tcMar>
            <w:vAlign w:val="center"/>
            <w:hideMark/>
          </w:tcPr>
          <w:p w14:paraId="016F1610" w14:textId="77777777" w:rsidR="00A164D2" w:rsidRPr="00DB745D" w:rsidRDefault="00A164D2" w:rsidP="00894E40">
            <w:pPr>
              <w:jc w:val="right"/>
              <w:rPr>
                <w:rFonts w:cstheme="minorHAnsi"/>
                <w:sz w:val="18"/>
                <w:szCs w:val="18"/>
              </w:rPr>
            </w:pPr>
            <w:r w:rsidRPr="00DB745D">
              <w:rPr>
                <w:rFonts w:cstheme="minorHAnsi"/>
                <w:sz w:val="18"/>
                <w:szCs w:val="18"/>
              </w:rPr>
              <w:t>3,2</w:t>
            </w:r>
          </w:p>
        </w:tc>
        <w:tc>
          <w:tcPr>
            <w:tcW w:w="656" w:type="dxa"/>
            <w:shd w:val="clear" w:color="auto" w:fill="auto"/>
            <w:noWrap/>
            <w:tcMar>
              <w:top w:w="0" w:type="dxa"/>
              <w:left w:w="70" w:type="dxa"/>
              <w:bottom w:w="0" w:type="dxa"/>
              <w:right w:w="70" w:type="dxa"/>
            </w:tcMar>
            <w:vAlign w:val="center"/>
            <w:hideMark/>
          </w:tcPr>
          <w:p w14:paraId="1DAE023C" w14:textId="77777777" w:rsidR="00A164D2" w:rsidRPr="00DB745D" w:rsidRDefault="00A164D2" w:rsidP="00894E40">
            <w:pPr>
              <w:jc w:val="right"/>
              <w:rPr>
                <w:rFonts w:cstheme="minorHAnsi"/>
                <w:sz w:val="18"/>
                <w:szCs w:val="18"/>
              </w:rPr>
            </w:pPr>
            <w:r w:rsidRPr="00DB745D">
              <w:rPr>
                <w:rFonts w:cstheme="minorHAnsi"/>
                <w:sz w:val="18"/>
                <w:szCs w:val="18"/>
              </w:rPr>
              <w:t>2 595</w:t>
            </w:r>
          </w:p>
        </w:tc>
        <w:tc>
          <w:tcPr>
            <w:tcW w:w="730" w:type="dxa"/>
            <w:shd w:val="clear" w:color="auto" w:fill="auto"/>
            <w:noWrap/>
            <w:tcMar>
              <w:top w:w="0" w:type="dxa"/>
              <w:left w:w="70" w:type="dxa"/>
              <w:bottom w:w="0" w:type="dxa"/>
              <w:right w:w="70" w:type="dxa"/>
            </w:tcMar>
            <w:vAlign w:val="center"/>
            <w:hideMark/>
          </w:tcPr>
          <w:p w14:paraId="379887E6" w14:textId="77777777" w:rsidR="00A164D2" w:rsidRPr="00DB745D" w:rsidRDefault="00A164D2" w:rsidP="00894E40">
            <w:pPr>
              <w:jc w:val="right"/>
              <w:rPr>
                <w:rFonts w:cstheme="minorHAnsi"/>
                <w:sz w:val="18"/>
                <w:szCs w:val="18"/>
              </w:rPr>
            </w:pPr>
            <w:r w:rsidRPr="00DB745D">
              <w:rPr>
                <w:rFonts w:cstheme="minorHAnsi"/>
                <w:sz w:val="18"/>
                <w:szCs w:val="18"/>
              </w:rPr>
              <w:t>15,4</w:t>
            </w:r>
          </w:p>
        </w:tc>
        <w:tc>
          <w:tcPr>
            <w:tcW w:w="665" w:type="dxa"/>
            <w:shd w:val="clear" w:color="auto" w:fill="auto"/>
            <w:noWrap/>
            <w:tcMar>
              <w:top w:w="0" w:type="dxa"/>
              <w:left w:w="70" w:type="dxa"/>
              <w:bottom w:w="0" w:type="dxa"/>
              <w:right w:w="70" w:type="dxa"/>
            </w:tcMar>
            <w:vAlign w:val="center"/>
            <w:hideMark/>
          </w:tcPr>
          <w:p w14:paraId="71A24833" w14:textId="77777777" w:rsidR="00A164D2" w:rsidRPr="00DB745D" w:rsidRDefault="00A164D2" w:rsidP="00894E40">
            <w:pPr>
              <w:jc w:val="right"/>
              <w:rPr>
                <w:rFonts w:cstheme="minorHAnsi"/>
                <w:sz w:val="18"/>
                <w:szCs w:val="18"/>
              </w:rPr>
            </w:pPr>
            <w:r w:rsidRPr="00DB745D">
              <w:rPr>
                <w:rFonts w:cstheme="minorHAnsi"/>
                <w:sz w:val="18"/>
                <w:szCs w:val="18"/>
              </w:rPr>
              <w:t>2 317</w:t>
            </w:r>
          </w:p>
        </w:tc>
        <w:tc>
          <w:tcPr>
            <w:tcW w:w="665" w:type="dxa"/>
            <w:shd w:val="clear" w:color="auto" w:fill="auto"/>
            <w:noWrap/>
            <w:tcMar>
              <w:top w:w="0" w:type="dxa"/>
              <w:left w:w="70" w:type="dxa"/>
              <w:bottom w:w="0" w:type="dxa"/>
              <w:right w:w="70" w:type="dxa"/>
            </w:tcMar>
            <w:vAlign w:val="center"/>
            <w:hideMark/>
          </w:tcPr>
          <w:p w14:paraId="79B8B32D" w14:textId="77777777" w:rsidR="00A164D2" w:rsidRPr="00DB745D" w:rsidRDefault="00A164D2" w:rsidP="00894E40">
            <w:pPr>
              <w:jc w:val="right"/>
              <w:rPr>
                <w:rFonts w:cstheme="minorHAnsi"/>
                <w:sz w:val="18"/>
                <w:szCs w:val="18"/>
              </w:rPr>
            </w:pPr>
            <w:r w:rsidRPr="00DB745D">
              <w:rPr>
                <w:rFonts w:cstheme="minorHAnsi"/>
                <w:sz w:val="18"/>
                <w:szCs w:val="18"/>
              </w:rPr>
              <w:t>13,8</w:t>
            </w:r>
          </w:p>
        </w:tc>
        <w:tc>
          <w:tcPr>
            <w:tcW w:w="797" w:type="dxa"/>
            <w:shd w:val="clear" w:color="auto" w:fill="auto"/>
            <w:noWrap/>
            <w:tcMar>
              <w:top w:w="0" w:type="dxa"/>
              <w:left w:w="70" w:type="dxa"/>
              <w:bottom w:w="0" w:type="dxa"/>
              <w:right w:w="70" w:type="dxa"/>
            </w:tcMar>
            <w:vAlign w:val="center"/>
            <w:hideMark/>
          </w:tcPr>
          <w:p w14:paraId="3DBEBFDB" w14:textId="77777777" w:rsidR="00A164D2" w:rsidRPr="00DB745D" w:rsidRDefault="00A164D2" w:rsidP="00894E40">
            <w:pPr>
              <w:jc w:val="right"/>
              <w:rPr>
                <w:rFonts w:cstheme="minorHAnsi"/>
                <w:sz w:val="18"/>
                <w:szCs w:val="18"/>
              </w:rPr>
            </w:pPr>
            <w:r w:rsidRPr="00DB745D">
              <w:rPr>
                <w:rFonts w:cstheme="minorHAnsi"/>
                <w:sz w:val="18"/>
                <w:szCs w:val="18"/>
              </w:rPr>
              <w:t>8 993</w:t>
            </w:r>
          </w:p>
        </w:tc>
        <w:tc>
          <w:tcPr>
            <w:tcW w:w="665" w:type="dxa"/>
            <w:shd w:val="clear" w:color="auto" w:fill="auto"/>
            <w:noWrap/>
            <w:tcMar>
              <w:top w:w="0" w:type="dxa"/>
              <w:left w:w="70" w:type="dxa"/>
              <w:bottom w:w="0" w:type="dxa"/>
              <w:right w:w="70" w:type="dxa"/>
            </w:tcMar>
            <w:vAlign w:val="center"/>
            <w:hideMark/>
          </w:tcPr>
          <w:p w14:paraId="59D30DCC" w14:textId="77777777" w:rsidR="00A164D2" w:rsidRPr="00DB745D" w:rsidRDefault="00A164D2" w:rsidP="00894E40">
            <w:pPr>
              <w:jc w:val="right"/>
              <w:rPr>
                <w:rFonts w:cstheme="minorHAnsi"/>
                <w:sz w:val="18"/>
                <w:szCs w:val="18"/>
              </w:rPr>
            </w:pPr>
            <w:r w:rsidRPr="00DB745D">
              <w:rPr>
                <w:rFonts w:cstheme="minorHAnsi"/>
                <w:sz w:val="18"/>
                <w:szCs w:val="18"/>
              </w:rPr>
              <w:t>53,5</w:t>
            </w:r>
          </w:p>
        </w:tc>
        <w:tc>
          <w:tcPr>
            <w:tcW w:w="798" w:type="dxa"/>
            <w:shd w:val="clear" w:color="auto" w:fill="auto"/>
            <w:noWrap/>
            <w:tcMar>
              <w:top w:w="0" w:type="dxa"/>
              <w:left w:w="70" w:type="dxa"/>
              <w:bottom w:w="0" w:type="dxa"/>
              <w:right w:w="70" w:type="dxa"/>
            </w:tcMar>
            <w:vAlign w:val="center"/>
            <w:hideMark/>
          </w:tcPr>
          <w:p w14:paraId="10C531C4" w14:textId="77777777" w:rsidR="00A164D2" w:rsidRPr="00DB745D" w:rsidRDefault="00A164D2" w:rsidP="00894E40">
            <w:pPr>
              <w:jc w:val="right"/>
              <w:rPr>
                <w:rFonts w:cstheme="minorHAnsi"/>
                <w:sz w:val="18"/>
                <w:szCs w:val="18"/>
              </w:rPr>
            </w:pPr>
            <w:r w:rsidRPr="00DB745D">
              <w:rPr>
                <w:rFonts w:cstheme="minorHAnsi"/>
                <w:sz w:val="18"/>
                <w:szCs w:val="18"/>
              </w:rPr>
              <w:t>2 363</w:t>
            </w:r>
          </w:p>
        </w:tc>
        <w:tc>
          <w:tcPr>
            <w:tcW w:w="667" w:type="dxa"/>
            <w:shd w:val="clear" w:color="auto" w:fill="auto"/>
            <w:noWrap/>
            <w:tcMar>
              <w:top w:w="0" w:type="dxa"/>
              <w:left w:w="70" w:type="dxa"/>
              <w:bottom w:w="0" w:type="dxa"/>
              <w:right w:w="70" w:type="dxa"/>
            </w:tcMar>
            <w:vAlign w:val="center"/>
            <w:hideMark/>
          </w:tcPr>
          <w:p w14:paraId="7812D9D5" w14:textId="77777777" w:rsidR="00A164D2" w:rsidRPr="00DB745D" w:rsidRDefault="00A164D2" w:rsidP="00894E40">
            <w:pPr>
              <w:jc w:val="right"/>
              <w:rPr>
                <w:rFonts w:cstheme="minorHAnsi"/>
                <w:sz w:val="18"/>
                <w:szCs w:val="18"/>
              </w:rPr>
            </w:pPr>
            <w:r w:rsidRPr="00DB745D">
              <w:rPr>
                <w:rFonts w:cstheme="minorHAnsi"/>
                <w:sz w:val="18"/>
                <w:szCs w:val="18"/>
              </w:rPr>
              <w:t>14,1</w:t>
            </w:r>
          </w:p>
        </w:tc>
      </w:tr>
      <w:tr w:rsidR="00A164D2" w:rsidRPr="00DB745D" w14:paraId="27DA00B7"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3B275F05"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Ústecký</w:t>
            </w:r>
          </w:p>
        </w:tc>
        <w:tc>
          <w:tcPr>
            <w:tcW w:w="798" w:type="dxa"/>
            <w:shd w:val="clear" w:color="auto" w:fill="auto"/>
            <w:noWrap/>
            <w:tcMar>
              <w:top w:w="0" w:type="dxa"/>
              <w:left w:w="70" w:type="dxa"/>
              <w:bottom w:w="0" w:type="dxa"/>
              <w:right w:w="70" w:type="dxa"/>
            </w:tcMar>
            <w:vAlign w:val="center"/>
            <w:hideMark/>
          </w:tcPr>
          <w:p w14:paraId="70751A2E" w14:textId="77777777" w:rsidR="00A164D2" w:rsidRPr="00DB745D" w:rsidRDefault="00A164D2" w:rsidP="00894E40">
            <w:pPr>
              <w:jc w:val="right"/>
              <w:rPr>
                <w:rFonts w:cstheme="minorHAnsi"/>
                <w:sz w:val="18"/>
                <w:szCs w:val="18"/>
              </w:rPr>
            </w:pPr>
            <w:r w:rsidRPr="00DB745D">
              <w:rPr>
                <w:rFonts w:cstheme="minorHAnsi"/>
                <w:sz w:val="18"/>
                <w:szCs w:val="18"/>
              </w:rPr>
              <w:t>5 678</w:t>
            </w:r>
          </w:p>
        </w:tc>
        <w:tc>
          <w:tcPr>
            <w:tcW w:w="570" w:type="dxa"/>
            <w:shd w:val="clear" w:color="auto" w:fill="auto"/>
            <w:noWrap/>
            <w:tcMar>
              <w:top w:w="0" w:type="dxa"/>
              <w:left w:w="70" w:type="dxa"/>
              <w:bottom w:w="0" w:type="dxa"/>
              <w:right w:w="70" w:type="dxa"/>
            </w:tcMar>
            <w:vAlign w:val="center"/>
            <w:hideMark/>
          </w:tcPr>
          <w:p w14:paraId="577A4EF8" w14:textId="77777777" w:rsidR="00A164D2" w:rsidRPr="00DB745D" w:rsidRDefault="00A164D2" w:rsidP="00894E40">
            <w:pPr>
              <w:jc w:val="right"/>
              <w:rPr>
                <w:rFonts w:cstheme="minorHAnsi"/>
                <w:sz w:val="18"/>
                <w:szCs w:val="18"/>
              </w:rPr>
            </w:pPr>
            <w:r w:rsidRPr="00DB745D">
              <w:rPr>
                <w:rFonts w:cstheme="minorHAnsi"/>
                <w:sz w:val="18"/>
                <w:szCs w:val="18"/>
              </w:rPr>
              <w:t>176</w:t>
            </w:r>
          </w:p>
        </w:tc>
        <w:tc>
          <w:tcPr>
            <w:tcW w:w="563" w:type="dxa"/>
            <w:shd w:val="clear" w:color="auto" w:fill="auto"/>
            <w:noWrap/>
            <w:tcMar>
              <w:top w:w="0" w:type="dxa"/>
              <w:left w:w="70" w:type="dxa"/>
              <w:bottom w:w="0" w:type="dxa"/>
              <w:right w:w="70" w:type="dxa"/>
            </w:tcMar>
            <w:vAlign w:val="center"/>
            <w:hideMark/>
          </w:tcPr>
          <w:p w14:paraId="0A346E77" w14:textId="77777777" w:rsidR="00A164D2" w:rsidRPr="00DB745D" w:rsidRDefault="00A164D2" w:rsidP="00894E40">
            <w:pPr>
              <w:jc w:val="right"/>
              <w:rPr>
                <w:rFonts w:cstheme="minorHAnsi"/>
                <w:sz w:val="18"/>
                <w:szCs w:val="18"/>
              </w:rPr>
            </w:pPr>
            <w:r w:rsidRPr="00DB745D">
              <w:rPr>
                <w:rFonts w:cstheme="minorHAnsi"/>
                <w:sz w:val="18"/>
                <w:szCs w:val="18"/>
              </w:rPr>
              <w:t>3,1</w:t>
            </w:r>
          </w:p>
        </w:tc>
        <w:tc>
          <w:tcPr>
            <w:tcW w:w="656" w:type="dxa"/>
            <w:shd w:val="clear" w:color="auto" w:fill="auto"/>
            <w:noWrap/>
            <w:tcMar>
              <w:top w:w="0" w:type="dxa"/>
              <w:left w:w="70" w:type="dxa"/>
              <w:bottom w:w="0" w:type="dxa"/>
              <w:right w:w="70" w:type="dxa"/>
            </w:tcMar>
            <w:vAlign w:val="center"/>
            <w:hideMark/>
          </w:tcPr>
          <w:p w14:paraId="187E9410" w14:textId="77777777" w:rsidR="00A164D2" w:rsidRPr="00DB745D" w:rsidRDefault="00A164D2" w:rsidP="00894E40">
            <w:pPr>
              <w:jc w:val="right"/>
              <w:rPr>
                <w:rFonts w:cstheme="minorHAnsi"/>
                <w:sz w:val="18"/>
                <w:szCs w:val="18"/>
              </w:rPr>
            </w:pPr>
            <w:r w:rsidRPr="00DB745D">
              <w:rPr>
                <w:rFonts w:cstheme="minorHAnsi"/>
                <w:sz w:val="18"/>
                <w:szCs w:val="18"/>
              </w:rPr>
              <w:t>1 176</w:t>
            </w:r>
          </w:p>
        </w:tc>
        <w:tc>
          <w:tcPr>
            <w:tcW w:w="730" w:type="dxa"/>
            <w:shd w:val="clear" w:color="auto" w:fill="auto"/>
            <w:noWrap/>
            <w:tcMar>
              <w:top w:w="0" w:type="dxa"/>
              <w:left w:w="70" w:type="dxa"/>
              <w:bottom w:w="0" w:type="dxa"/>
              <w:right w:w="70" w:type="dxa"/>
            </w:tcMar>
            <w:vAlign w:val="center"/>
            <w:hideMark/>
          </w:tcPr>
          <w:p w14:paraId="4B02F291" w14:textId="77777777" w:rsidR="00A164D2" w:rsidRPr="00DB745D" w:rsidRDefault="00A164D2" w:rsidP="00894E40">
            <w:pPr>
              <w:jc w:val="right"/>
              <w:rPr>
                <w:rFonts w:cstheme="minorHAnsi"/>
                <w:sz w:val="18"/>
                <w:szCs w:val="18"/>
              </w:rPr>
            </w:pPr>
            <w:r w:rsidRPr="00DB745D">
              <w:rPr>
                <w:rFonts w:cstheme="minorHAnsi"/>
                <w:sz w:val="18"/>
                <w:szCs w:val="18"/>
              </w:rPr>
              <w:t>20,7</w:t>
            </w:r>
          </w:p>
        </w:tc>
        <w:tc>
          <w:tcPr>
            <w:tcW w:w="665" w:type="dxa"/>
            <w:shd w:val="clear" w:color="auto" w:fill="auto"/>
            <w:noWrap/>
            <w:tcMar>
              <w:top w:w="0" w:type="dxa"/>
              <w:left w:w="70" w:type="dxa"/>
              <w:bottom w:w="0" w:type="dxa"/>
              <w:right w:w="70" w:type="dxa"/>
            </w:tcMar>
            <w:vAlign w:val="center"/>
            <w:hideMark/>
          </w:tcPr>
          <w:p w14:paraId="4B208CD3" w14:textId="77777777" w:rsidR="00A164D2" w:rsidRPr="00DB745D" w:rsidRDefault="00A164D2" w:rsidP="00894E40">
            <w:pPr>
              <w:jc w:val="right"/>
              <w:rPr>
                <w:rFonts w:cstheme="minorHAnsi"/>
                <w:sz w:val="18"/>
                <w:szCs w:val="18"/>
              </w:rPr>
            </w:pPr>
            <w:r w:rsidRPr="00DB745D">
              <w:rPr>
                <w:rFonts w:cstheme="minorHAnsi"/>
                <w:sz w:val="18"/>
                <w:szCs w:val="18"/>
              </w:rPr>
              <w:t>804</w:t>
            </w:r>
          </w:p>
        </w:tc>
        <w:tc>
          <w:tcPr>
            <w:tcW w:w="665" w:type="dxa"/>
            <w:shd w:val="clear" w:color="auto" w:fill="auto"/>
            <w:noWrap/>
            <w:tcMar>
              <w:top w:w="0" w:type="dxa"/>
              <w:left w:w="70" w:type="dxa"/>
              <w:bottom w:w="0" w:type="dxa"/>
              <w:right w:w="70" w:type="dxa"/>
            </w:tcMar>
            <w:vAlign w:val="center"/>
            <w:hideMark/>
          </w:tcPr>
          <w:p w14:paraId="3AC766ED" w14:textId="77777777" w:rsidR="00A164D2" w:rsidRPr="00DB745D" w:rsidRDefault="00A164D2" w:rsidP="00894E40">
            <w:pPr>
              <w:jc w:val="right"/>
              <w:rPr>
                <w:rFonts w:cstheme="minorHAnsi"/>
                <w:sz w:val="18"/>
                <w:szCs w:val="18"/>
              </w:rPr>
            </w:pPr>
            <w:r w:rsidRPr="00DB745D">
              <w:rPr>
                <w:rFonts w:cstheme="minorHAnsi"/>
                <w:sz w:val="18"/>
                <w:szCs w:val="18"/>
              </w:rPr>
              <w:t>14,2</w:t>
            </w:r>
          </w:p>
        </w:tc>
        <w:tc>
          <w:tcPr>
            <w:tcW w:w="797" w:type="dxa"/>
            <w:shd w:val="clear" w:color="auto" w:fill="auto"/>
            <w:noWrap/>
            <w:tcMar>
              <w:top w:w="0" w:type="dxa"/>
              <w:left w:w="70" w:type="dxa"/>
              <w:bottom w:w="0" w:type="dxa"/>
              <w:right w:w="70" w:type="dxa"/>
            </w:tcMar>
            <w:vAlign w:val="center"/>
            <w:hideMark/>
          </w:tcPr>
          <w:p w14:paraId="0EC457A2" w14:textId="77777777" w:rsidR="00A164D2" w:rsidRPr="00DB745D" w:rsidRDefault="00A164D2" w:rsidP="00894E40">
            <w:pPr>
              <w:jc w:val="right"/>
              <w:rPr>
                <w:rFonts w:cstheme="minorHAnsi"/>
                <w:sz w:val="18"/>
                <w:szCs w:val="18"/>
              </w:rPr>
            </w:pPr>
            <w:r w:rsidRPr="00DB745D">
              <w:rPr>
                <w:rFonts w:cstheme="minorHAnsi"/>
                <w:sz w:val="18"/>
                <w:szCs w:val="18"/>
              </w:rPr>
              <w:t>2 699</w:t>
            </w:r>
          </w:p>
        </w:tc>
        <w:tc>
          <w:tcPr>
            <w:tcW w:w="665" w:type="dxa"/>
            <w:shd w:val="clear" w:color="auto" w:fill="auto"/>
            <w:noWrap/>
            <w:tcMar>
              <w:top w:w="0" w:type="dxa"/>
              <w:left w:w="70" w:type="dxa"/>
              <w:bottom w:w="0" w:type="dxa"/>
              <w:right w:w="70" w:type="dxa"/>
            </w:tcMar>
            <w:vAlign w:val="center"/>
            <w:hideMark/>
          </w:tcPr>
          <w:p w14:paraId="1D62AAE9" w14:textId="77777777" w:rsidR="00A164D2" w:rsidRPr="00DB745D" w:rsidRDefault="00A164D2" w:rsidP="00894E40">
            <w:pPr>
              <w:jc w:val="right"/>
              <w:rPr>
                <w:rFonts w:cstheme="minorHAnsi"/>
                <w:sz w:val="18"/>
                <w:szCs w:val="18"/>
              </w:rPr>
            </w:pPr>
            <w:r w:rsidRPr="00DB745D">
              <w:rPr>
                <w:rFonts w:cstheme="minorHAnsi"/>
                <w:sz w:val="18"/>
                <w:szCs w:val="18"/>
              </w:rPr>
              <w:t>47,5</w:t>
            </w:r>
          </w:p>
        </w:tc>
        <w:tc>
          <w:tcPr>
            <w:tcW w:w="798" w:type="dxa"/>
            <w:shd w:val="clear" w:color="auto" w:fill="auto"/>
            <w:noWrap/>
            <w:tcMar>
              <w:top w:w="0" w:type="dxa"/>
              <w:left w:w="70" w:type="dxa"/>
              <w:bottom w:w="0" w:type="dxa"/>
              <w:right w:w="70" w:type="dxa"/>
            </w:tcMar>
            <w:vAlign w:val="center"/>
            <w:hideMark/>
          </w:tcPr>
          <w:p w14:paraId="6D4363F0" w14:textId="77777777" w:rsidR="00A164D2" w:rsidRPr="00DB745D" w:rsidRDefault="00A164D2" w:rsidP="00894E40">
            <w:pPr>
              <w:jc w:val="right"/>
              <w:rPr>
                <w:rFonts w:cstheme="minorHAnsi"/>
                <w:sz w:val="18"/>
                <w:szCs w:val="18"/>
              </w:rPr>
            </w:pPr>
            <w:r w:rsidRPr="00DB745D">
              <w:rPr>
                <w:rFonts w:cstheme="minorHAnsi"/>
                <w:sz w:val="18"/>
                <w:szCs w:val="18"/>
              </w:rPr>
              <w:t>823</w:t>
            </w:r>
          </w:p>
        </w:tc>
        <w:tc>
          <w:tcPr>
            <w:tcW w:w="667" w:type="dxa"/>
            <w:shd w:val="clear" w:color="auto" w:fill="auto"/>
            <w:noWrap/>
            <w:tcMar>
              <w:top w:w="0" w:type="dxa"/>
              <w:left w:w="70" w:type="dxa"/>
              <w:bottom w:w="0" w:type="dxa"/>
              <w:right w:w="70" w:type="dxa"/>
            </w:tcMar>
            <w:vAlign w:val="center"/>
            <w:hideMark/>
          </w:tcPr>
          <w:p w14:paraId="4D5DF056" w14:textId="77777777" w:rsidR="00A164D2" w:rsidRPr="00DB745D" w:rsidRDefault="00A164D2" w:rsidP="00894E40">
            <w:pPr>
              <w:jc w:val="right"/>
              <w:rPr>
                <w:rFonts w:cstheme="minorHAnsi"/>
                <w:sz w:val="18"/>
                <w:szCs w:val="18"/>
              </w:rPr>
            </w:pPr>
            <w:r w:rsidRPr="00DB745D">
              <w:rPr>
                <w:rFonts w:cstheme="minorHAnsi"/>
                <w:sz w:val="18"/>
                <w:szCs w:val="18"/>
              </w:rPr>
              <w:t>14,5</w:t>
            </w:r>
          </w:p>
        </w:tc>
      </w:tr>
      <w:tr w:rsidR="00A164D2" w:rsidRPr="00DB745D" w14:paraId="329E3D90"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715A2E6A" w14:textId="0CD6C07B" w:rsidR="00A164D2" w:rsidRPr="00DB745D" w:rsidRDefault="00EB32B8" w:rsidP="005614C4">
            <w:pPr>
              <w:rPr>
                <w:rFonts w:cstheme="minorHAnsi"/>
                <w:color w:val="000000"/>
                <w:sz w:val="18"/>
                <w:szCs w:val="18"/>
                <w:lang w:eastAsia="cs-CZ"/>
              </w:rPr>
            </w:pPr>
            <w:r>
              <w:rPr>
                <w:rFonts w:cstheme="minorHAnsi"/>
                <w:color w:val="000000"/>
                <w:sz w:val="18"/>
                <w:szCs w:val="18"/>
                <w:lang w:eastAsia="cs-CZ"/>
              </w:rPr>
              <w:t xml:space="preserve">Kraj </w:t>
            </w:r>
            <w:r w:rsidR="00A164D2" w:rsidRPr="00DB745D">
              <w:rPr>
                <w:rFonts w:cstheme="minorHAnsi"/>
                <w:color w:val="000000"/>
                <w:sz w:val="18"/>
                <w:szCs w:val="18"/>
                <w:lang w:eastAsia="cs-CZ"/>
              </w:rPr>
              <w:t>Vysočina</w:t>
            </w:r>
          </w:p>
        </w:tc>
        <w:tc>
          <w:tcPr>
            <w:tcW w:w="798" w:type="dxa"/>
            <w:shd w:val="clear" w:color="auto" w:fill="auto"/>
            <w:noWrap/>
            <w:tcMar>
              <w:top w:w="0" w:type="dxa"/>
              <w:left w:w="70" w:type="dxa"/>
              <w:bottom w:w="0" w:type="dxa"/>
              <w:right w:w="70" w:type="dxa"/>
            </w:tcMar>
            <w:vAlign w:val="center"/>
            <w:hideMark/>
          </w:tcPr>
          <w:p w14:paraId="2BB392B8" w14:textId="77777777" w:rsidR="00A164D2" w:rsidRPr="00DB745D" w:rsidRDefault="00A164D2" w:rsidP="00894E40">
            <w:pPr>
              <w:jc w:val="right"/>
              <w:rPr>
                <w:rFonts w:cstheme="minorHAnsi"/>
                <w:sz w:val="18"/>
                <w:szCs w:val="18"/>
              </w:rPr>
            </w:pPr>
            <w:r w:rsidRPr="00DB745D">
              <w:rPr>
                <w:rFonts w:cstheme="minorHAnsi"/>
                <w:sz w:val="18"/>
                <w:szCs w:val="18"/>
              </w:rPr>
              <w:t>7 632</w:t>
            </w:r>
          </w:p>
        </w:tc>
        <w:tc>
          <w:tcPr>
            <w:tcW w:w="570" w:type="dxa"/>
            <w:shd w:val="clear" w:color="auto" w:fill="auto"/>
            <w:noWrap/>
            <w:tcMar>
              <w:top w:w="0" w:type="dxa"/>
              <w:left w:w="70" w:type="dxa"/>
              <w:bottom w:w="0" w:type="dxa"/>
              <w:right w:w="70" w:type="dxa"/>
            </w:tcMar>
            <w:vAlign w:val="center"/>
            <w:hideMark/>
          </w:tcPr>
          <w:p w14:paraId="23105A36" w14:textId="77777777" w:rsidR="00A164D2" w:rsidRPr="00DB745D" w:rsidRDefault="00A164D2" w:rsidP="00894E40">
            <w:pPr>
              <w:jc w:val="right"/>
              <w:rPr>
                <w:rFonts w:cstheme="minorHAnsi"/>
                <w:sz w:val="18"/>
                <w:szCs w:val="18"/>
              </w:rPr>
            </w:pPr>
            <w:r w:rsidRPr="00DB745D">
              <w:rPr>
                <w:rFonts w:cstheme="minorHAnsi"/>
                <w:sz w:val="18"/>
                <w:szCs w:val="18"/>
              </w:rPr>
              <w:t>229</w:t>
            </w:r>
          </w:p>
        </w:tc>
        <w:tc>
          <w:tcPr>
            <w:tcW w:w="563" w:type="dxa"/>
            <w:shd w:val="clear" w:color="auto" w:fill="auto"/>
            <w:noWrap/>
            <w:tcMar>
              <w:top w:w="0" w:type="dxa"/>
              <w:left w:w="70" w:type="dxa"/>
              <w:bottom w:w="0" w:type="dxa"/>
              <w:right w:w="70" w:type="dxa"/>
            </w:tcMar>
            <w:vAlign w:val="center"/>
            <w:hideMark/>
          </w:tcPr>
          <w:p w14:paraId="45619A64" w14:textId="77777777" w:rsidR="00A164D2" w:rsidRPr="00DB745D" w:rsidRDefault="00A164D2" w:rsidP="00894E40">
            <w:pPr>
              <w:jc w:val="right"/>
              <w:rPr>
                <w:rFonts w:cstheme="minorHAnsi"/>
                <w:sz w:val="18"/>
                <w:szCs w:val="18"/>
              </w:rPr>
            </w:pPr>
            <w:r w:rsidRPr="00DB745D">
              <w:rPr>
                <w:rFonts w:cstheme="minorHAnsi"/>
                <w:sz w:val="18"/>
                <w:szCs w:val="18"/>
              </w:rPr>
              <w:t>3,0</w:t>
            </w:r>
          </w:p>
        </w:tc>
        <w:tc>
          <w:tcPr>
            <w:tcW w:w="656" w:type="dxa"/>
            <w:shd w:val="clear" w:color="auto" w:fill="auto"/>
            <w:noWrap/>
            <w:tcMar>
              <w:top w:w="0" w:type="dxa"/>
              <w:left w:w="70" w:type="dxa"/>
              <w:bottom w:w="0" w:type="dxa"/>
              <w:right w:w="70" w:type="dxa"/>
            </w:tcMar>
            <w:vAlign w:val="center"/>
            <w:hideMark/>
          </w:tcPr>
          <w:p w14:paraId="4C6CC0D3" w14:textId="77777777" w:rsidR="00A164D2" w:rsidRPr="00DB745D" w:rsidRDefault="00A164D2" w:rsidP="00894E40">
            <w:pPr>
              <w:jc w:val="right"/>
              <w:rPr>
                <w:rFonts w:cstheme="minorHAnsi"/>
                <w:sz w:val="18"/>
                <w:szCs w:val="18"/>
              </w:rPr>
            </w:pPr>
            <w:r w:rsidRPr="00DB745D">
              <w:rPr>
                <w:rFonts w:cstheme="minorHAnsi"/>
                <w:sz w:val="18"/>
                <w:szCs w:val="18"/>
              </w:rPr>
              <w:t>1 204</w:t>
            </w:r>
          </w:p>
        </w:tc>
        <w:tc>
          <w:tcPr>
            <w:tcW w:w="730" w:type="dxa"/>
            <w:shd w:val="clear" w:color="auto" w:fill="auto"/>
            <w:noWrap/>
            <w:tcMar>
              <w:top w:w="0" w:type="dxa"/>
              <w:left w:w="70" w:type="dxa"/>
              <w:bottom w:w="0" w:type="dxa"/>
              <w:right w:w="70" w:type="dxa"/>
            </w:tcMar>
            <w:vAlign w:val="center"/>
            <w:hideMark/>
          </w:tcPr>
          <w:p w14:paraId="032E37F9" w14:textId="77777777" w:rsidR="00A164D2" w:rsidRPr="00DB745D" w:rsidRDefault="00A164D2" w:rsidP="00894E40">
            <w:pPr>
              <w:jc w:val="right"/>
              <w:rPr>
                <w:rFonts w:cstheme="minorHAnsi"/>
                <w:sz w:val="18"/>
                <w:szCs w:val="18"/>
              </w:rPr>
            </w:pPr>
            <w:r w:rsidRPr="00DB745D">
              <w:rPr>
                <w:rFonts w:cstheme="minorHAnsi"/>
                <w:sz w:val="18"/>
                <w:szCs w:val="18"/>
              </w:rPr>
              <w:t>15,8</w:t>
            </w:r>
          </w:p>
        </w:tc>
        <w:tc>
          <w:tcPr>
            <w:tcW w:w="665" w:type="dxa"/>
            <w:shd w:val="clear" w:color="auto" w:fill="auto"/>
            <w:noWrap/>
            <w:tcMar>
              <w:top w:w="0" w:type="dxa"/>
              <w:left w:w="70" w:type="dxa"/>
              <w:bottom w:w="0" w:type="dxa"/>
              <w:right w:w="70" w:type="dxa"/>
            </w:tcMar>
            <w:vAlign w:val="center"/>
            <w:hideMark/>
          </w:tcPr>
          <w:p w14:paraId="1F25EC5A" w14:textId="77777777" w:rsidR="00A164D2" w:rsidRPr="00DB745D" w:rsidRDefault="00A164D2" w:rsidP="00894E40">
            <w:pPr>
              <w:jc w:val="right"/>
              <w:rPr>
                <w:rFonts w:cstheme="minorHAnsi"/>
                <w:sz w:val="18"/>
                <w:szCs w:val="18"/>
              </w:rPr>
            </w:pPr>
            <w:r w:rsidRPr="00DB745D">
              <w:rPr>
                <w:rFonts w:cstheme="minorHAnsi"/>
                <w:sz w:val="18"/>
                <w:szCs w:val="18"/>
              </w:rPr>
              <w:t>2 226</w:t>
            </w:r>
          </w:p>
        </w:tc>
        <w:tc>
          <w:tcPr>
            <w:tcW w:w="665" w:type="dxa"/>
            <w:shd w:val="clear" w:color="auto" w:fill="auto"/>
            <w:noWrap/>
            <w:tcMar>
              <w:top w:w="0" w:type="dxa"/>
              <w:left w:w="70" w:type="dxa"/>
              <w:bottom w:w="0" w:type="dxa"/>
              <w:right w:w="70" w:type="dxa"/>
            </w:tcMar>
            <w:vAlign w:val="center"/>
            <w:hideMark/>
          </w:tcPr>
          <w:p w14:paraId="0CE90893" w14:textId="77777777" w:rsidR="00A164D2" w:rsidRPr="00DB745D" w:rsidRDefault="00A164D2" w:rsidP="00894E40">
            <w:pPr>
              <w:jc w:val="right"/>
              <w:rPr>
                <w:rFonts w:cstheme="minorHAnsi"/>
                <w:sz w:val="18"/>
                <w:szCs w:val="18"/>
              </w:rPr>
            </w:pPr>
            <w:r w:rsidRPr="00DB745D">
              <w:rPr>
                <w:rFonts w:cstheme="minorHAnsi"/>
                <w:sz w:val="18"/>
                <w:szCs w:val="18"/>
              </w:rPr>
              <w:t>29,2</w:t>
            </w:r>
          </w:p>
        </w:tc>
        <w:tc>
          <w:tcPr>
            <w:tcW w:w="797" w:type="dxa"/>
            <w:shd w:val="clear" w:color="auto" w:fill="auto"/>
            <w:noWrap/>
            <w:tcMar>
              <w:top w:w="0" w:type="dxa"/>
              <w:left w:w="70" w:type="dxa"/>
              <w:bottom w:w="0" w:type="dxa"/>
              <w:right w:w="70" w:type="dxa"/>
            </w:tcMar>
            <w:vAlign w:val="center"/>
            <w:hideMark/>
          </w:tcPr>
          <w:p w14:paraId="62FAABA5" w14:textId="77777777" w:rsidR="00A164D2" w:rsidRPr="00DB745D" w:rsidRDefault="00A164D2" w:rsidP="00894E40">
            <w:pPr>
              <w:jc w:val="right"/>
              <w:rPr>
                <w:rFonts w:cstheme="minorHAnsi"/>
                <w:sz w:val="18"/>
                <w:szCs w:val="18"/>
              </w:rPr>
            </w:pPr>
            <w:r w:rsidRPr="00DB745D">
              <w:rPr>
                <w:rFonts w:cstheme="minorHAnsi"/>
                <w:sz w:val="18"/>
                <w:szCs w:val="18"/>
              </w:rPr>
              <w:t>2 056</w:t>
            </w:r>
          </w:p>
        </w:tc>
        <w:tc>
          <w:tcPr>
            <w:tcW w:w="665" w:type="dxa"/>
            <w:shd w:val="clear" w:color="auto" w:fill="auto"/>
            <w:noWrap/>
            <w:tcMar>
              <w:top w:w="0" w:type="dxa"/>
              <w:left w:w="70" w:type="dxa"/>
              <w:bottom w:w="0" w:type="dxa"/>
              <w:right w:w="70" w:type="dxa"/>
            </w:tcMar>
            <w:vAlign w:val="center"/>
            <w:hideMark/>
          </w:tcPr>
          <w:p w14:paraId="4597B447" w14:textId="77777777" w:rsidR="00A164D2" w:rsidRPr="00DB745D" w:rsidRDefault="00A164D2" w:rsidP="00894E40">
            <w:pPr>
              <w:jc w:val="right"/>
              <w:rPr>
                <w:rFonts w:cstheme="minorHAnsi"/>
                <w:sz w:val="18"/>
                <w:szCs w:val="18"/>
              </w:rPr>
            </w:pPr>
            <w:r w:rsidRPr="00DB745D">
              <w:rPr>
                <w:rFonts w:cstheme="minorHAnsi"/>
                <w:sz w:val="18"/>
                <w:szCs w:val="18"/>
              </w:rPr>
              <w:t>26,9</w:t>
            </w:r>
          </w:p>
        </w:tc>
        <w:tc>
          <w:tcPr>
            <w:tcW w:w="798" w:type="dxa"/>
            <w:shd w:val="clear" w:color="auto" w:fill="auto"/>
            <w:noWrap/>
            <w:tcMar>
              <w:top w:w="0" w:type="dxa"/>
              <w:left w:w="70" w:type="dxa"/>
              <w:bottom w:w="0" w:type="dxa"/>
              <w:right w:w="70" w:type="dxa"/>
            </w:tcMar>
            <w:vAlign w:val="center"/>
            <w:hideMark/>
          </w:tcPr>
          <w:p w14:paraId="67EBF1BD" w14:textId="77777777" w:rsidR="00A164D2" w:rsidRPr="00DB745D" w:rsidRDefault="00A164D2" w:rsidP="00894E40">
            <w:pPr>
              <w:jc w:val="right"/>
              <w:rPr>
                <w:rFonts w:cstheme="minorHAnsi"/>
                <w:sz w:val="18"/>
                <w:szCs w:val="18"/>
              </w:rPr>
            </w:pPr>
            <w:r w:rsidRPr="00DB745D">
              <w:rPr>
                <w:rFonts w:cstheme="minorHAnsi"/>
                <w:sz w:val="18"/>
                <w:szCs w:val="18"/>
              </w:rPr>
              <w:t>1 917</w:t>
            </w:r>
          </w:p>
        </w:tc>
        <w:tc>
          <w:tcPr>
            <w:tcW w:w="667" w:type="dxa"/>
            <w:shd w:val="clear" w:color="auto" w:fill="auto"/>
            <w:noWrap/>
            <w:tcMar>
              <w:top w:w="0" w:type="dxa"/>
              <w:left w:w="70" w:type="dxa"/>
              <w:bottom w:w="0" w:type="dxa"/>
              <w:right w:w="70" w:type="dxa"/>
            </w:tcMar>
            <w:vAlign w:val="center"/>
            <w:hideMark/>
          </w:tcPr>
          <w:p w14:paraId="61A5D9B7" w14:textId="77777777" w:rsidR="00A164D2" w:rsidRPr="00DB745D" w:rsidRDefault="00A164D2" w:rsidP="00894E40">
            <w:pPr>
              <w:jc w:val="right"/>
              <w:rPr>
                <w:rFonts w:cstheme="minorHAnsi"/>
                <w:sz w:val="18"/>
                <w:szCs w:val="18"/>
              </w:rPr>
            </w:pPr>
            <w:r w:rsidRPr="00DB745D">
              <w:rPr>
                <w:rFonts w:cstheme="minorHAnsi"/>
                <w:sz w:val="18"/>
                <w:szCs w:val="18"/>
              </w:rPr>
              <w:t>25,1</w:t>
            </w:r>
          </w:p>
        </w:tc>
      </w:tr>
      <w:tr w:rsidR="00A164D2" w:rsidRPr="00DB745D" w14:paraId="4D04F03B" w14:textId="77777777" w:rsidTr="005614C4">
        <w:trPr>
          <w:trHeight w:hRule="exact" w:val="209"/>
        </w:trPr>
        <w:tc>
          <w:tcPr>
            <w:tcW w:w="1488" w:type="dxa"/>
            <w:shd w:val="clear" w:color="auto" w:fill="auto"/>
            <w:tcMar>
              <w:top w:w="0" w:type="dxa"/>
              <w:left w:w="70" w:type="dxa"/>
              <w:bottom w:w="0" w:type="dxa"/>
              <w:right w:w="70" w:type="dxa"/>
            </w:tcMar>
            <w:vAlign w:val="center"/>
            <w:hideMark/>
          </w:tcPr>
          <w:p w14:paraId="7BAC8F5B" w14:textId="77777777" w:rsidR="00A164D2" w:rsidRPr="00DB745D" w:rsidRDefault="00A164D2" w:rsidP="005614C4">
            <w:pPr>
              <w:rPr>
                <w:rFonts w:cstheme="minorHAnsi"/>
                <w:color w:val="000000"/>
                <w:sz w:val="18"/>
                <w:szCs w:val="18"/>
                <w:lang w:eastAsia="cs-CZ"/>
              </w:rPr>
            </w:pPr>
            <w:r w:rsidRPr="00DB745D">
              <w:rPr>
                <w:rFonts w:cstheme="minorHAnsi"/>
                <w:color w:val="000000"/>
                <w:sz w:val="18"/>
                <w:szCs w:val="18"/>
                <w:lang w:eastAsia="cs-CZ"/>
              </w:rPr>
              <w:t>Zlínský</w:t>
            </w:r>
          </w:p>
        </w:tc>
        <w:tc>
          <w:tcPr>
            <w:tcW w:w="798" w:type="dxa"/>
            <w:shd w:val="clear" w:color="auto" w:fill="auto"/>
            <w:noWrap/>
            <w:tcMar>
              <w:top w:w="0" w:type="dxa"/>
              <w:left w:w="70" w:type="dxa"/>
              <w:bottom w:w="0" w:type="dxa"/>
              <w:right w:w="70" w:type="dxa"/>
            </w:tcMar>
            <w:vAlign w:val="center"/>
            <w:hideMark/>
          </w:tcPr>
          <w:p w14:paraId="2604924B" w14:textId="77777777" w:rsidR="00A164D2" w:rsidRPr="00DB745D" w:rsidRDefault="00A164D2" w:rsidP="00894E40">
            <w:pPr>
              <w:jc w:val="right"/>
              <w:rPr>
                <w:rFonts w:cstheme="minorHAnsi"/>
                <w:sz w:val="18"/>
                <w:szCs w:val="18"/>
              </w:rPr>
            </w:pPr>
            <w:r w:rsidRPr="00DB745D">
              <w:rPr>
                <w:rFonts w:cstheme="minorHAnsi"/>
                <w:sz w:val="18"/>
                <w:szCs w:val="18"/>
              </w:rPr>
              <w:t>5 794</w:t>
            </w:r>
          </w:p>
        </w:tc>
        <w:tc>
          <w:tcPr>
            <w:tcW w:w="570" w:type="dxa"/>
            <w:shd w:val="clear" w:color="auto" w:fill="auto"/>
            <w:noWrap/>
            <w:tcMar>
              <w:top w:w="0" w:type="dxa"/>
              <w:left w:w="70" w:type="dxa"/>
              <w:bottom w:w="0" w:type="dxa"/>
              <w:right w:w="70" w:type="dxa"/>
            </w:tcMar>
            <w:vAlign w:val="center"/>
            <w:hideMark/>
          </w:tcPr>
          <w:p w14:paraId="186D0105" w14:textId="77777777" w:rsidR="00A164D2" w:rsidRPr="00DB745D" w:rsidRDefault="00A164D2" w:rsidP="00894E40">
            <w:pPr>
              <w:jc w:val="right"/>
              <w:rPr>
                <w:rFonts w:cstheme="minorHAnsi"/>
                <w:sz w:val="18"/>
                <w:szCs w:val="18"/>
              </w:rPr>
            </w:pPr>
            <w:r w:rsidRPr="00DB745D">
              <w:rPr>
                <w:rFonts w:cstheme="minorHAnsi"/>
                <w:sz w:val="18"/>
                <w:szCs w:val="18"/>
              </w:rPr>
              <w:t>66</w:t>
            </w:r>
          </w:p>
        </w:tc>
        <w:tc>
          <w:tcPr>
            <w:tcW w:w="563" w:type="dxa"/>
            <w:shd w:val="clear" w:color="auto" w:fill="auto"/>
            <w:noWrap/>
            <w:tcMar>
              <w:top w:w="0" w:type="dxa"/>
              <w:left w:w="70" w:type="dxa"/>
              <w:bottom w:w="0" w:type="dxa"/>
              <w:right w:w="70" w:type="dxa"/>
            </w:tcMar>
            <w:vAlign w:val="center"/>
            <w:hideMark/>
          </w:tcPr>
          <w:p w14:paraId="28CCD204" w14:textId="77777777" w:rsidR="00A164D2" w:rsidRPr="00DB745D" w:rsidRDefault="00A164D2" w:rsidP="00894E40">
            <w:pPr>
              <w:jc w:val="right"/>
              <w:rPr>
                <w:rFonts w:cstheme="minorHAnsi"/>
                <w:sz w:val="18"/>
                <w:szCs w:val="18"/>
              </w:rPr>
            </w:pPr>
            <w:r w:rsidRPr="00DB745D">
              <w:rPr>
                <w:rFonts w:cstheme="minorHAnsi"/>
                <w:sz w:val="18"/>
                <w:szCs w:val="18"/>
              </w:rPr>
              <w:t>1,1</w:t>
            </w:r>
          </w:p>
        </w:tc>
        <w:tc>
          <w:tcPr>
            <w:tcW w:w="656" w:type="dxa"/>
            <w:shd w:val="clear" w:color="auto" w:fill="auto"/>
            <w:noWrap/>
            <w:tcMar>
              <w:top w:w="0" w:type="dxa"/>
              <w:left w:w="70" w:type="dxa"/>
              <w:bottom w:w="0" w:type="dxa"/>
              <w:right w:w="70" w:type="dxa"/>
            </w:tcMar>
            <w:vAlign w:val="center"/>
            <w:hideMark/>
          </w:tcPr>
          <w:p w14:paraId="54A1BBF1" w14:textId="77777777" w:rsidR="00A164D2" w:rsidRPr="00DB745D" w:rsidRDefault="00A164D2" w:rsidP="00894E40">
            <w:pPr>
              <w:jc w:val="right"/>
              <w:rPr>
                <w:rFonts w:cstheme="minorHAnsi"/>
                <w:sz w:val="18"/>
                <w:szCs w:val="18"/>
              </w:rPr>
            </w:pPr>
            <w:r w:rsidRPr="00DB745D">
              <w:rPr>
                <w:rFonts w:cstheme="minorHAnsi"/>
                <w:sz w:val="18"/>
                <w:szCs w:val="18"/>
              </w:rPr>
              <w:t>212</w:t>
            </w:r>
          </w:p>
        </w:tc>
        <w:tc>
          <w:tcPr>
            <w:tcW w:w="730" w:type="dxa"/>
            <w:shd w:val="clear" w:color="auto" w:fill="auto"/>
            <w:noWrap/>
            <w:tcMar>
              <w:top w:w="0" w:type="dxa"/>
              <w:left w:w="70" w:type="dxa"/>
              <w:bottom w:w="0" w:type="dxa"/>
              <w:right w:w="70" w:type="dxa"/>
            </w:tcMar>
            <w:vAlign w:val="center"/>
            <w:hideMark/>
          </w:tcPr>
          <w:p w14:paraId="5BB3FA3F" w14:textId="77777777" w:rsidR="00A164D2" w:rsidRPr="00DB745D" w:rsidRDefault="00A164D2" w:rsidP="00894E40">
            <w:pPr>
              <w:jc w:val="right"/>
              <w:rPr>
                <w:rFonts w:cstheme="minorHAnsi"/>
                <w:sz w:val="18"/>
                <w:szCs w:val="18"/>
              </w:rPr>
            </w:pPr>
            <w:r w:rsidRPr="00DB745D">
              <w:rPr>
                <w:rFonts w:cstheme="minorHAnsi"/>
                <w:sz w:val="18"/>
                <w:szCs w:val="18"/>
              </w:rPr>
              <w:t>3,7</w:t>
            </w:r>
          </w:p>
        </w:tc>
        <w:tc>
          <w:tcPr>
            <w:tcW w:w="665" w:type="dxa"/>
            <w:shd w:val="clear" w:color="auto" w:fill="auto"/>
            <w:noWrap/>
            <w:tcMar>
              <w:top w:w="0" w:type="dxa"/>
              <w:left w:w="70" w:type="dxa"/>
              <w:bottom w:w="0" w:type="dxa"/>
              <w:right w:w="70" w:type="dxa"/>
            </w:tcMar>
            <w:vAlign w:val="center"/>
            <w:hideMark/>
          </w:tcPr>
          <w:p w14:paraId="229419BB" w14:textId="77777777" w:rsidR="00A164D2" w:rsidRPr="00DB745D" w:rsidRDefault="00A164D2" w:rsidP="00894E40">
            <w:pPr>
              <w:jc w:val="right"/>
              <w:rPr>
                <w:rFonts w:cstheme="minorHAnsi"/>
                <w:sz w:val="18"/>
                <w:szCs w:val="18"/>
              </w:rPr>
            </w:pPr>
            <w:r w:rsidRPr="00DB745D">
              <w:rPr>
                <w:rFonts w:cstheme="minorHAnsi"/>
                <w:sz w:val="18"/>
                <w:szCs w:val="18"/>
              </w:rPr>
              <w:t>2 070</w:t>
            </w:r>
          </w:p>
        </w:tc>
        <w:tc>
          <w:tcPr>
            <w:tcW w:w="665" w:type="dxa"/>
            <w:shd w:val="clear" w:color="auto" w:fill="auto"/>
            <w:noWrap/>
            <w:tcMar>
              <w:top w:w="0" w:type="dxa"/>
              <w:left w:w="70" w:type="dxa"/>
              <w:bottom w:w="0" w:type="dxa"/>
              <w:right w:w="70" w:type="dxa"/>
            </w:tcMar>
            <w:vAlign w:val="center"/>
            <w:hideMark/>
          </w:tcPr>
          <w:p w14:paraId="26ABE26B" w14:textId="77777777" w:rsidR="00A164D2" w:rsidRPr="00DB745D" w:rsidRDefault="00A164D2" w:rsidP="00894E40">
            <w:pPr>
              <w:jc w:val="right"/>
              <w:rPr>
                <w:rFonts w:cstheme="minorHAnsi"/>
                <w:sz w:val="18"/>
                <w:szCs w:val="18"/>
              </w:rPr>
            </w:pPr>
            <w:r w:rsidRPr="00DB745D">
              <w:rPr>
                <w:rFonts w:cstheme="minorHAnsi"/>
                <w:sz w:val="18"/>
                <w:szCs w:val="18"/>
              </w:rPr>
              <w:t>35,7</w:t>
            </w:r>
          </w:p>
        </w:tc>
        <w:tc>
          <w:tcPr>
            <w:tcW w:w="797" w:type="dxa"/>
            <w:shd w:val="clear" w:color="auto" w:fill="auto"/>
            <w:noWrap/>
            <w:tcMar>
              <w:top w:w="0" w:type="dxa"/>
              <w:left w:w="70" w:type="dxa"/>
              <w:bottom w:w="0" w:type="dxa"/>
              <w:right w:w="70" w:type="dxa"/>
            </w:tcMar>
            <w:vAlign w:val="center"/>
            <w:hideMark/>
          </w:tcPr>
          <w:p w14:paraId="2B19E14A" w14:textId="77777777" w:rsidR="00A164D2" w:rsidRPr="00DB745D" w:rsidRDefault="00A164D2" w:rsidP="00894E40">
            <w:pPr>
              <w:jc w:val="right"/>
              <w:rPr>
                <w:rFonts w:cstheme="minorHAnsi"/>
                <w:sz w:val="18"/>
                <w:szCs w:val="18"/>
              </w:rPr>
            </w:pPr>
            <w:r w:rsidRPr="00DB745D">
              <w:rPr>
                <w:rFonts w:cstheme="minorHAnsi"/>
                <w:sz w:val="18"/>
                <w:szCs w:val="18"/>
              </w:rPr>
              <w:t>1 534</w:t>
            </w:r>
          </w:p>
        </w:tc>
        <w:tc>
          <w:tcPr>
            <w:tcW w:w="665" w:type="dxa"/>
            <w:shd w:val="clear" w:color="auto" w:fill="auto"/>
            <w:noWrap/>
            <w:tcMar>
              <w:top w:w="0" w:type="dxa"/>
              <w:left w:w="70" w:type="dxa"/>
              <w:bottom w:w="0" w:type="dxa"/>
              <w:right w:w="70" w:type="dxa"/>
            </w:tcMar>
            <w:vAlign w:val="center"/>
            <w:hideMark/>
          </w:tcPr>
          <w:p w14:paraId="1AE49320" w14:textId="77777777" w:rsidR="00A164D2" w:rsidRPr="00DB745D" w:rsidRDefault="00A164D2" w:rsidP="00894E40">
            <w:pPr>
              <w:jc w:val="right"/>
              <w:rPr>
                <w:rFonts w:cstheme="minorHAnsi"/>
                <w:sz w:val="18"/>
                <w:szCs w:val="18"/>
              </w:rPr>
            </w:pPr>
            <w:r w:rsidRPr="00DB745D">
              <w:rPr>
                <w:rFonts w:cstheme="minorHAnsi"/>
                <w:sz w:val="18"/>
                <w:szCs w:val="18"/>
              </w:rPr>
              <w:t>26,5</w:t>
            </w:r>
          </w:p>
        </w:tc>
        <w:tc>
          <w:tcPr>
            <w:tcW w:w="798" w:type="dxa"/>
            <w:shd w:val="clear" w:color="auto" w:fill="auto"/>
            <w:noWrap/>
            <w:tcMar>
              <w:top w:w="0" w:type="dxa"/>
              <w:left w:w="70" w:type="dxa"/>
              <w:bottom w:w="0" w:type="dxa"/>
              <w:right w:w="70" w:type="dxa"/>
            </w:tcMar>
            <w:vAlign w:val="center"/>
            <w:hideMark/>
          </w:tcPr>
          <w:p w14:paraId="4DECF1CA" w14:textId="77777777" w:rsidR="00A164D2" w:rsidRPr="00DB745D" w:rsidRDefault="00A164D2" w:rsidP="00894E40">
            <w:pPr>
              <w:jc w:val="right"/>
              <w:rPr>
                <w:rFonts w:cstheme="minorHAnsi"/>
                <w:sz w:val="18"/>
                <w:szCs w:val="18"/>
              </w:rPr>
            </w:pPr>
            <w:r w:rsidRPr="00DB745D">
              <w:rPr>
                <w:rFonts w:cstheme="minorHAnsi"/>
                <w:sz w:val="18"/>
                <w:szCs w:val="18"/>
              </w:rPr>
              <w:t>1 912</w:t>
            </w:r>
          </w:p>
        </w:tc>
        <w:tc>
          <w:tcPr>
            <w:tcW w:w="667" w:type="dxa"/>
            <w:shd w:val="clear" w:color="auto" w:fill="auto"/>
            <w:noWrap/>
            <w:tcMar>
              <w:top w:w="0" w:type="dxa"/>
              <w:left w:w="70" w:type="dxa"/>
              <w:bottom w:w="0" w:type="dxa"/>
              <w:right w:w="70" w:type="dxa"/>
            </w:tcMar>
            <w:vAlign w:val="center"/>
            <w:hideMark/>
          </w:tcPr>
          <w:p w14:paraId="1604B0F2" w14:textId="77777777" w:rsidR="00A164D2" w:rsidRPr="00DB745D" w:rsidRDefault="00A164D2" w:rsidP="00894E40">
            <w:pPr>
              <w:jc w:val="right"/>
              <w:rPr>
                <w:rFonts w:cstheme="minorHAnsi"/>
                <w:sz w:val="18"/>
                <w:szCs w:val="18"/>
              </w:rPr>
            </w:pPr>
            <w:r w:rsidRPr="00DB745D">
              <w:rPr>
                <w:rFonts w:cstheme="minorHAnsi"/>
                <w:sz w:val="18"/>
                <w:szCs w:val="18"/>
              </w:rPr>
              <w:t>33,0</w:t>
            </w:r>
          </w:p>
        </w:tc>
      </w:tr>
      <w:tr w:rsidR="00A164D2" w:rsidRPr="00DB745D" w14:paraId="696844FB" w14:textId="77777777" w:rsidTr="005614C4">
        <w:trPr>
          <w:trHeight w:val="221"/>
        </w:trPr>
        <w:tc>
          <w:tcPr>
            <w:tcW w:w="1488" w:type="dxa"/>
            <w:shd w:val="clear" w:color="auto" w:fill="auto"/>
            <w:tcMar>
              <w:top w:w="0" w:type="dxa"/>
              <w:left w:w="70" w:type="dxa"/>
              <w:bottom w:w="0" w:type="dxa"/>
              <w:right w:w="70" w:type="dxa"/>
            </w:tcMar>
            <w:vAlign w:val="center"/>
            <w:hideMark/>
          </w:tcPr>
          <w:p w14:paraId="5180E9BD" w14:textId="77777777" w:rsidR="00A164D2" w:rsidRPr="00DB745D" w:rsidRDefault="00A164D2" w:rsidP="005614C4">
            <w:pPr>
              <w:rPr>
                <w:rFonts w:cstheme="minorHAnsi"/>
                <w:b/>
                <w:bCs/>
                <w:color w:val="000000"/>
                <w:sz w:val="18"/>
                <w:szCs w:val="18"/>
                <w:lang w:eastAsia="cs-CZ"/>
              </w:rPr>
            </w:pPr>
            <w:r w:rsidRPr="00DB745D">
              <w:rPr>
                <w:rFonts w:cstheme="minorHAnsi"/>
                <w:b/>
                <w:bCs/>
                <w:color w:val="000000"/>
                <w:sz w:val="18"/>
                <w:szCs w:val="18"/>
                <w:lang w:eastAsia="cs-CZ"/>
              </w:rPr>
              <w:t>Celkem</w:t>
            </w:r>
          </w:p>
        </w:tc>
        <w:tc>
          <w:tcPr>
            <w:tcW w:w="798" w:type="dxa"/>
            <w:shd w:val="clear" w:color="auto" w:fill="auto"/>
            <w:noWrap/>
            <w:tcMar>
              <w:top w:w="0" w:type="dxa"/>
              <w:left w:w="70" w:type="dxa"/>
              <w:bottom w:w="0" w:type="dxa"/>
              <w:right w:w="70" w:type="dxa"/>
            </w:tcMar>
            <w:vAlign w:val="center"/>
            <w:hideMark/>
          </w:tcPr>
          <w:p w14:paraId="5993DD7D" w14:textId="77777777" w:rsidR="00A164D2" w:rsidRPr="00DB745D" w:rsidRDefault="00A164D2" w:rsidP="00894E40">
            <w:pPr>
              <w:jc w:val="right"/>
              <w:rPr>
                <w:rFonts w:cstheme="minorHAnsi"/>
                <w:b/>
                <w:bCs/>
                <w:sz w:val="18"/>
                <w:szCs w:val="18"/>
              </w:rPr>
            </w:pPr>
            <w:r w:rsidRPr="00DB745D">
              <w:rPr>
                <w:rFonts w:cstheme="minorHAnsi"/>
                <w:b/>
                <w:bCs/>
                <w:sz w:val="18"/>
                <w:szCs w:val="18"/>
              </w:rPr>
              <w:t>105 026</w:t>
            </w:r>
          </w:p>
        </w:tc>
        <w:tc>
          <w:tcPr>
            <w:tcW w:w="570" w:type="dxa"/>
            <w:shd w:val="clear" w:color="auto" w:fill="auto"/>
            <w:noWrap/>
            <w:tcMar>
              <w:top w:w="0" w:type="dxa"/>
              <w:left w:w="70" w:type="dxa"/>
              <w:bottom w:w="0" w:type="dxa"/>
              <w:right w:w="70" w:type="dxa"/>
            </w:tcMar>
            <w:vAlign w:val="center"/>
            <w:hideMark/>
          </w:tcPr>
          <w:p w14:paraId="18A4D87C" w14:textId="77777777" w:rsidR="00A164D2" w:rsidRPr="00DB745D" w:rsidRDefault="00A164D2" w:rsidP="00894E40">
            <w:pPr>
              <w:jc w:val="right"/>
              <w:rPr>
                <w:rFonts w:cstheme="minorHAnsi"/>
                <w:b/>
                <w:bCs/>
                <w:sz w:val="18"/>
                <w:szCs w:val="18"/>
              </w:rPr>
            </w:pPr>
            <w:r w:rsidRPr="00DB745D">
              <w:rPr>
                <w:rFonts w:cstheme="minorHAnsi"/>
                <w:b/>
                <w:bCs/>
                <w:sz w:val="18"/>
                <w:szCs w:val="18"/>
              </w:rPr>
              <w:t>2 587</w:t>
            </w:r>
          </w:p>
        </w:tc>
        <w:tc>
          <w:tcPr>
            <w:tcW w:w="563" w:type="dxa"/>
            <w:shd w:val="clear" w:color="auto" w:fill="auto"/>
            <w:noWrap/>
            <w:tcMar>
              <w:top w:w="0" w:type="dxa"/>
              <w:left w:w="70" w:type="dxa"/>
              <w:bottom w:w="0" w:type="dxa"/>
              <w:right w:w="70" w:type="dxa"/>
            </w:tcMar>
            <w:vAlign w:val="center"/>
            <w:hideMark/>
          </w:tcPr>
          <w:p w14:paraId="0711B8E2" w14:textId="77777777" w:rsidR="00A164D2" w:rsidRPr="00DB745D" w:rsidRDefault="00A164D2" w:rsidP="00894E40">
            <w:pPr>
              <w:jc w:val="right"/>
              <w:rPr>
                <w:rFonts w:cstheme="minorHAnsi"/>
                <w:b/>
                <w:bCs/>
                <w:sz w:val="18"/>
                <w:szCs w:val="18"/>
              </w:rPr>
            </w:pPr>
            <w:r w:rsidRPr="00DB745D">
              <w:rPr>
                <w:rFonts w:cstheme="minorHAnsi"/>
                <w:b/>
                <w:bCs/>
                <w:sz w:val="18"/>
                <w:szCs w:val="18"/>
              </w:rPr>
              <w:t>2,5</w:t>
            </w:r>
          </w:p>
        </w:tc>
        <w:tc>
          <w:tcPr>
            <w:tcW w:w="656" w:type="dxa"/>
            <w:shd w:val="clear" w:color="auto" w:fill="auto"/>
            <w:noWrap/>
            <w:tcMar>
              <w:top w:w="0" w:type="dxa"/>
              <w:left w:w="70" w:type="dxa"/>
              <w:bottom w:w="0" w:type="dxa"/>
              <w:right w:w="70" w:type="dxa"/>
            </w:tcMar>
            <w:vAlign w:val="center"/>
            <w:hideMark/>
          </w:tcPr>
          <w:p w14:paraId="4DEE738B" w14:textId="77777777" w:rsidR="00A164D2" w:rsidRPr="00DB745D" w:rsidRDefault="00A164D2" w:rsidP="00894E40">
            <w:pPr>
              <w:jc w:val="right"/>
              <w:rPr>
                <w:rFonts w:cstheme="minorHAnsi"/>
                <w:b/>
                <w:bCs/>
                <w:sz w:val="18"/>
                <w:szCs w:val="18"/>
              </w:rPr>
            </w:pPr>
            <w:r w:rsidRPr="00DB745D">
              <w:rPr>
                <w:rFonts w:cstheme="minorHAnsi"/>
                <w:b/>
                <w:bCs/>
                <w:sz w:val="18"/>
                <w:szCs w:val="18"/>
              </w:rPr>
              <w:t>14 989</w:t>
            </w:r>
          </w:p>
        </w:tc>
        <w:tc>
          <w:tcPr>
            <w:tcW w:w="730" w:type="dxa"/>
            <w:shd w:val="clear" w:color="auto" w:fill="auto"/>
            <w:noWrap/>
            <w:tcMar>
              <w:top w:w="0" w:type="dxa"/>
              <w:left w:w="70" w:type="dxa"/>
              <w:bottom w:w="0" w:type="dxa"/>
              <w:right w:w="70" w:type="dxa"/>
            </w:tcMar>
            <w:vAlign w:val="center"/>
            <w:hideMark/>
          </w:tcPr>
          <w:p w14:paraId="4FD3733D" w14:textId="77777777" w:rsidR="00A164D2" w:rsidRPr="00DB745D" w:rsidRDefault="00A164D2" w:rsidP="00894E40">
            <w:pPr>
              <w:jc w:val="right"/>
              <w:rPr>
                <w:rFonts w:cstheme="minorHAnsi"/>
                <w:b/>
                <w:bCs/>
                <w:sz w:val="18"/>
                <w:szCs w:val="18"/>
              </w:rPr>
            </w:pPr>
            <w:r w:rsidRPr="00DB745D">
              <w:rPr>
                <w:rFonts w:cstheme="minorHAnsi"/>
                <w:b/>
                <w:bCs/>
                <w:sz w:val="18"/>
                <w:szCs w:val="18"/>
              </w:rPr>
              <w:t>14,3</w:t>
            </w:r>
          </w:p>
        </w:tc>
        <w:tc>
          <w:tcPr>
            <w:tcW w:w="665" w:type="dxa"/>
            <w:shd w:val="clear" w:color="auto" w:fill="auto"/>
            <w:noWrap/>
            <w:tcMar>
              <w:top w:w="0" w:type="dxa"/>
              <w:left w:w="70" w:type="dxa"/>
              <w:bottom w:w="0" w:type="dxa"/>
              <w:right w:w="70" w:type="dxa"/>
            </w:tcMar>
            <w:vAlign w:val="center"/>
            <w:hideMark/>
          </w:tcPr>
          <w:p w14:paraId="7DF8B988" w14:textId="77777777" w:rsidR="00A164D2" w:rsidRPr="00DB745D" w:rsidRDefault="00A164D2" w:rsidP="00894E40">
            <w:pPr>
              <w:jc w:val="right"/>
              <w:rPr>
                <w:rFonts w:cstheme="minorHAnsi"/>
                <w:b/>
                <w:bCs/>
                <w:sz w:val="18"/>
                <w:szCs w:val="18"/>
              </w:rPr>
            </w:pPr>
            <w:r w:rsidRPr="00DB745D">
              <w:rPr>
                <w:rFonts w:cstheme="minorHAnsi"/>
                <w:b/>
                <w:bCs/>
                <w:sz w:val="18"/>
                <w:szCs w:val="18"/>
              </w:rPr>
              <w:t>19 867</w:t>
            </w:r>
          </w:p>
        </w:tc>
        <w:tc>
          <w:tcPr>
            <w:tcW w:w="665" w:type="dxa"/>
            <w:shd w:val="clear" w:color="auto" w:fill="auto"/>
            <w:noWrap/>
            <w:tcMar>
              <w:top w:w="0" w:type="dxa"/>
              <w:left w:w="70" w:type="dxa"/>
              <w:bottom w:w="0" w:type="dxa"/>
              <w:right w:w="70" w:type="dxa"/>
            </w:tcMar>
            <w:vAlign w:val="center"/>
            <w:hideMark/>
          </w:tcPr>
          <w:p w14:paraId="49F29675" w14:textId="77777777" w:rsidR="00A164D2" w:rsidRPr="00DB745D" w:rsidRDefault="00A164D2" w:rsidP="00894E40">
            <w:pPr>
              <w:jc w:val="right"/>
              <w:rPr>
                <w:rFonts w:cstheme="minorHAnsi"/>
                <w:b/>
                <w:bCs/>
                <w:sz w:val="18"/>
                <w:szCs w:val="18"/>
              </w:rPr>
            </w:pPr>
            <w:r w:rsidRPr="00DB745D">
              <w:rPr>
                <w:rFonts w:cstheme="minorHAnsi"/>
                <w:b/>
                <w:bCs/>
                <w:sz w:val="18"/>
                <w:szCs w:val="18"/>
              </w:rPr>
              <w:t>18,9</w:t>
            </w:r>
          </w:p>
        </w:tc>
        <w:tc>
          <w:tcPr>
            <w:tcW w:w="797" w:type="dxa"/>
            <w:shd w:val="clear" w:color="auto" w:fill="auto"/>
            <w:noWrap/>
            <w:tcMar>
              <w:top w:w="0" w:type="dxa"/>
              <w:left w:w="70" w:type="dxa"/>
              <w:bottom w:w="0" w:type="dxa"/>
              <w:right w:w="70" w:type="dxa"/>
            </w:tcMar>
            <w:vAlign w:val="center"/>
            <w:hideMark/>
          </w:tcPr>
          <w:p w14:paraId="7A82F0AD" w14:textId="77777777" w:rsidR="00A164D2" w:rsidRPr="00DB745D" w:rsidRDefault="00A164D2" w:rsidP="00894E40">
            <w:pPr>
              <w:jc w:val="right"/>
              <w:rPr>
                <w:rFonts w:cstheme="minorHAnsi"/>
                <w:b/>
                <w:bCs/>
                <w:sz w:val="18"/>
                <w:szCs w:val="18"/>
              </w:rPr>
            </w:pPr>
            <w:r w:rsidRPr="00DB745D">
              <w:rPr>
                <w:rFonts w:cstheme="minorHAnsi"/>
                <w:b/>
                <w:bCs/>
                <w:sz w:val="18"/>
                <w:szCs w:val="18"/>
              </w:rPr>
              <w:t>40 098</w:t>
            </w:r>
          </w:p>
        </w:tc>
        <w:tc>
          <w:tcPr>
            <w:tcW w:w="665" w:type="dxa"/>
            <w:shd w:val="clear" w:color="auto" w:fill="auto"/>
            <w:noWrap/>
            <w:tcMar>
              <w:top w:w="0" w:type="dxa"/>
              <w:left w:w="70" w:type="dxa"/>
              <w:bottom w:w="0" w:type="dxa"/>
              <w:right w:w="70" w:type="dxa"/>
            </w:tcMar>
            <w:vAlign w:val="center"/>
            <w:hideMark/>
          </w:tcPr>
          <w:p w14:paraId="0C580573" w14:textId="77777777" w:rsidR="00A164D2" w:rsidRPr="00DB745D" w:rsidRDefault="00A164D2" w:rsidP="00894E40">
            <w:pPr>
              <w:jc w:val="right"/>
              <w:rPr>
                <w:rFonts w:cstheme="minorHAnsi"/>
                <w:b/>
                <w:bCs/>
                <w:sz w:val="18"/>
                <w:szCs w:val="18"/>
              </w:rPr>
            </w:pPr>
            <w:r w:rsidRPr="00DB745D">
              <w:rPr>
                <w:rFonts w:cstheme="minorHAnsi"/>
                <w:b/>
                <w:bCs/>
                <w:sz w:val="18"/>
                <w:szCs w:val="18"/>
              </w:rPr>
              <w:t>38,2</w:t>
            </w:r>
          </w:p>
        </w:tc>
        <w:tc>
          <w:tcPr>
            <w:tcW w:w="798" w:type="dxa"/>
            <w:shd w:val="clear" w:color="auto" w:fill="auto"/>
            <w:noWrap/>
            <w:tcMar>
              <w:top w:w="0" w:type="dxa"/>
              <w:left w:w="70" w:type="dxa"/>
              <w:bottom w:w="0" w:type="dxa"/>
              <w:right w:w="70" w:type="dxa"/>
            </w:tcMar>
            <w:vAlign w:val="center"/>
            <w:hideMark/>
          </w:tcPr>
          <w:p w14:paraId="27D5D622" w14:textId="77777777" w:rsidR="00A164D2" w:rsidRPr="00DB745D" w:rsidRDefault="00A164D2" w:rsidP="00894E40">
            <w:pPr>
              <w:jc w:val="right"/>
              <w:rPr>
                <w:rFonts w:cstheme="minorHAnsi"/>
                <w:b/>
                <w:bCs/>
                <w:sz w:val="18"/>
                <w:szCs w:val="18"/>
              </w:rPr>
            </w:pPr>
            <w:r w:rsidRPr="00DB745D">
              <w:rPr>
                <w:rFonts w:cstheme="minorHAnsi"/>
                <w:b/>
                <w:bCs/>
                <w:sz w:val="18"/>
                <w:szCs w:val="18"/>
              </w:rPr>
              <w:t>27 485</w:t>
            </w:r>
          </w:p>
        </w:tc>
        <w:tc>
          <w:tcPr>
            <w:tcW w:w="667" w:type="dxa"/>
            <w:shd w:val="clear" w:color="auto" w:fill="auto"/>
            <w:noWrap/>
            <w:tcMar>
              <w:top w:w="0" w:type="dxa"/>
              <w:left w:w="70" w:type="dxa"/>
              <w:bottom w:w="0" w:type="dxa"/>
              <w:right w:w="70" w:type="dxa"/>
            </w:tcMar>
            <w:vAlign w:val="center"/>
            <w:hideMark/>
          </w:tcPr>
          <w:p w14:paraId="5184A985" w14:textId="77777777" w:rsidR="00A164D2" w:rsidRPr="00DB745D" w:rsidRDefault="00A164D2" w:rsidP="00894E40">
            <w:pPr>
              <w:jc w:val="right"/>
              <w:rPr>
                <w:rFonts w:cstheme="minorHAnsi"/>
                <w:b/>
                <w:bCs/>
                <w:sz w:val="18"/>
                <w:szCs w:val="18"/>
              </w:rPr>
            </w:pPr>
            <w:r w:rsidRPr="00DB745D">
              <w:rPr>
                <w:rFonts w:cstheme="minorHAnsi"/>
                <w:b/>
                <w:bCs/>
                <w:sz w:val="18"/>
                <w:szCs w:val="18"/>
              </w:rPr>
              <w:t>26,2</w:t>
            </w:r>
          </w:p>
        </w:tc>
      </w:tr>
    </w:tbl>
    <w:p w14:paraId="602B4013" w14:textId="24169D96" w:rsidR="00A164D2" w:rsidRPr="00DB745D" w:rsidRDefault="00A164D2" w:rsidP="00894E40">
      <w:pPr>
        <w:tabs>
          <w:tab w:val="left" w:pos="567"/>
        </w:tabs>
        <w:spacing w:before="40"/>
        <w:ind w:left="567" w:hanging="567"/>
        <w:jc w:val="both"/>
        <w:rPr>
          <w:sz w:val="20"/>
        </w:rPr>
      </w:pPr>
      <w:r w:rsidRPr="00DB745D">
        <w:rPr>
          <w:b/>
          <w:sz w:val="20"/>
        </w:rPr>
        <w:t>Zdroj:</w:t>
      </w:r>
      <w:r w:rsidR="00EB32B8">
        <w:rPr>
          <w:b/>
          <w:sz w:val="20"/>
        </w:rPr>
        <w:t xml:space="preserve"> </w:t>
      </w:r>
      <w:r w:rsidR="003C6BD8">
        <w:rPr>
          <w:b/>
          <w:sz w:val="20"/>
        </w:rPr>
        <w:tab/>
      </w:r>
      <w:r w:rsidR="00EB32B8">
        <w:rPr>
          <w:sz w:val="20"/>
        </w:rPr>
        <w:t>v</w:t>
      </w:r>
      <w:r w:rsidRPr="00DB745D">
        <w:rPr>
          <w:sz w:val="20"/>
        </w:rPr>
        <w:t xml:space="preserve">yhodnocení 1., 2. a 3. výzvy </w:t>
      </w:r>
      <w:r w:rsidR="00EB32B8">
        <w:rPr>
          <w:sz w:val="20"/>
        </w:rPr>
        <w:t>s</w:t>
      </w:r>
      <w:r w:rsidRPr="00DB745D">
        <w:rPr>
          <w:sz w:val="20"/>
        </w:rPr>
        <w:t xml:space="preserve">pecifického cíle 2.1 </w:t>
      </w:r>
      <w:r w:rsidRPr="002F3B4E">
        <w:rPr>
          <w:i/>
          <w:sz w:val="20"/>
        </w:rPr>
        <w:t>Sníž</w:t>
      </w:r>
      <w:r w:rsidR="00EB32B8" w:rsidRPr="002F3B4E">
        <w:rPr>
          <w:i/>
          <w:sz w:val="20"/>
        </w:rPr>
        <w:t>it</w:t>
      </w:r>
      <w:r w:rsidRPr="002F3B4E">
        <w:rPr>
          <w:i/>
          <w:sz w:val="20"/>
        </w:rPr>
        <w:t xml:space="preserve"> emis</w:t>
      </w:r>
      <w:r w:rsidR="00EB32B8" w:rsidRPr="002F3B4E">
        <w:rPr>
          <w:i/>
          <w:sz w:val="20"/>
        </w:rPr>
        <w:t>e</w:t>
      </w:r>
      <w:r w:rsidRPr="002F3B4E">
        <w:rPr>
          <w:i/>
          <w:sz w:val="20"/>
        </w:rPr>
        <w:t xml:space="preserve"> z lokálního vytápění domácností podílejících se na expozici obyvatelstva koncentracím znečišťujících látek</w:t>
      </w:r>
      <w:r w:rsidRPr="00DB745D">
        <w:rPr>
          <w:sz w:val="20"/>
        </w:rPr>
        <w:t xml:space="preserve"> OPŽP (k červnu 2023, včetně NZÚ 14+ – AMO).</w:t>
      </w:r>
    </w:p>
    <w:p w14:paraId="76461282" w14:textId="5A84046C" w:rsidR="00A164D2" w:rsidRPr="00894E40" w:rsidRDefault="00A164D2" w:rsidP="00EC6E1B">
      <w:pPr>
        <w:tabs>
          <w:tab w:val="right" w:pos="9072"/>
        </w:tabs>
        <w:spacing w:before="120" w:after="40"/>
        <w:ind w:left="1304" w:hanging="1304"/>
        <w:jc w:val="both"/>
        <w:rPr>
          <w:b/>
          <w:iCs/>
          <w:szCs w:val="18"/>
        </w:rPr>
      </w:pPr>
      <w:r w:rsidRPr="00894E40">
        <w:rPr>
          <w:b/>
          <w:iCs/>
          <w:szCs w:val="18"/>
        </w:rPr>
        <w:t>Tabulk</w:t>
      </w:r>
      <w:r w:rsidR="006F5A65">
        <w:rPr>
          <w:b/>
          <w:iCs/>
          <w:szCs w:val="18"/>
        </w:rPr>
        <w:t>a č. 2:</w:t>
      </w:r>
      <w:r w:rsidR="00894E40">
        <w:rPr>
          <w:b/>
          <w:iCs/>
          <w:szCs w:val="18"/>
        </w:rPr>
        <w:tab/>
      </w:r>
      <w:r w:rsidRPr="00894E40">
        <w:rPr>
          <w:b/>
          <w:iCs/>
          <w:szCs w:val="18"/>
        </w:rPr>
        <w:t>Přehled peněžních prostředků v členění na jednotlivé kraje ČR v rámci SC 2.1 PO 2 OPŽP (kotlíkové dotace) ke dni 31. 12. 2022 – část 1</w:t>
      </w:r>
      <w:r w:rsidRPr="00894E40">
        <w:rPr>
          <w:b/>
          <w:iCs/>
          <w:szCs w:val="18"/>
        </w:rPr>
        <w:tab/>
        <w:t>(v tis. Kč)</w:t>
      </w:r>
    </w:p>
    <w:tbl>
      <w:tblPr>
        <w:tblW w:w="5000" w:type="pct"/>
        <w:tblCellMar>
          <w:left w:w="70" w:type="dxa"/>
          <w:right w:w="70" w:type="dxa"/>
        </w:tblCellMar>
        <w:tblLook w:val="04A0" w:firstRow="1" w:lastRow="0" w:firstColumn="1" w:lastColumn="0" w:noHBand="0" w:noVBand="1"/>
      </w:tblPr>
      <w:tblGrid>
        <w:gridCol w:w="1471"/>
        <w:gridCol w:w="868"/>
        <w:gridCol w:w="786"/>
        <w:gridCol w:w="984"/>
        <w:gridCol w:w="1049"/>
        <w:gridCol w:w="917"/>
        <w:gridCol w:w="867"/>
        <w:gridCol w:w="1253"/>
        <w:gridCol w:w="867"/>
      </w:tblGrid>
      <w:tr w:rsidR="00A164D2" w:rsidRPr="00DB745D" w14:paraId="0EA981C8" w14:textId="77777777" w:rsidTr="005614C4">
        <w:trPr>
          <w:trHeight w:val="450"/>
        </w:trPr>
        <w:tc>
          <w:tcPr>
            <w:tcW w:w="10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940FDDC"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Příjemce podpory</w:t>
            </w:r>
          </w:p>
        </w:tc>
        <w:tc>
          <w:tcPr>
            <w:tcW w:w="127" w:type="pct"/>
            <w:tcBorders>
              <w:top w:val="single" w:sz="4" w:space="0" w:color="auto"/>
              <w:left w:val="nil"/>
              <w:bottom w:val="single" w:sz="4" w:space="0" w:color="auto"/>
              <w:right w:val="single" w:sz="4" w:space="0" w:color="auto"/>
            </w:tcBorders>
            <w:shd w:val="clear" w:color="auto" w:fill="F2F2F2"/>
            <w:vAlign w:val="center"/>
            <w:hideMark/>
          </w:tcPr>
          <w:p w14:paraId="4D57CBD8"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Výzva č.</w:t>
            </w:r>
          </w:p>
        </w:tc>
        <w:tc>
          <w:tcPr>
            <w:tcW w:w="504" w:type="pct"/>
            <w:tcBorders>
              <w:top w:val="single" w:sz="4" w:space="0" w:color="auto"/>
              <w:left w:val="nil"/>
              <w:bottom w:val="single" w:sz="4" w:space="0" w:color="auto"/>
              <w:right w:val="single" w:sz="4" w:space="0" w:color="auto"/>
            </w:tcBorders>
            <w:shd w:val="clear" w:color="auto" w:fill="F2F2F2"/>
            <w:vAlign w:val="center"/>
            <w:hideMark/>
          </w:tcPr>
          <w:p w14:paraId="3C33FF1A"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Hl. město Praha</w:t>
            </w:r>
          </w:p>
        </w:tc>
        <w:tc>
          <w:tcPr>
            <w:tcW w:w="543" w:type="pct"/>
            <w:tcBorders>
              <w:top w:val="single" w:sz="4" w:space="0" w:color="auto"/>
              <w:left w:val="nil"/>
              <w:bottom w:val="single" w:sz="4" w:space="0" w:color="auto"/>
              <w:right w:val="single" w:sz="4" w:space="0" w:color="auto"/>
            </w:tcBorders>
            <w:shd w:val="clear" w:color="auto" w:fill="F2F2F2"/>
            <w:vAlign w:val="center"/>
            <w:hideMark/>
          </w:tcPr>
          <w:p w14:paraId="31CE55EC"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Jihočeský kraj</w:t>
            </w:r>
          </w:p>
        </w:tc>
        <w:tc>
          <w:tcPr>
            <w:tcW w:w="579" w:type="pct"/>
            <w:tcBorders>
              <w:top w:val="single" w:sz="4" w:space="0" w:color="auto"/>
              <w:left w:val="nil"/>
              <w:bottom w:val="single" w:sz="4" w:space="0" w:color="auto"/>
              <w:right w:val="single" w:sz="4" w:space="0" w:color="auto"/>
            </w:tcBorders>
            <w:shd w:val="clear" w:color="auto" w:fill="F2F2F2"/>
            <w:vAlign w:val="center"/>
            <w:hideMark/>
          </w:tcPr>
          <w:p w14:paraId="53C31187"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Jihomoravský kraj</w:t>
            </w:r>
          </w:p>
        </w:tc>
        <w:tc>
          <w:tcPr>
            <w:tcW w:w="506" w:type="pct"/>
            <w:tcBorders>
              <w:top w:val="single" w:sz="4" w:space="0" w:color="auto"/>
              <w:left w:val="nil"/>
              <w:bottom w:val="single" w:sz="4" w:space="0" w:color="auto"/>
              <w:right w:val="single" w:sz="4" w:space="0" w:color="auto"/>
            </w:tcBorders>
            <w:shd w:val="clear" w:color="auto" w:fill="F2F2F2"/>
            <w:vAlign w:val="center"/>
            <w:hideMark/>
          </w:tcPr>
          <w:p w14:paraId="7D845D3A"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Karlovarský kraj</w:t>
            </w:r>
          </w:p>
        </w:tc>
        <w:tc>
          <w:tcPr>
            <w:tcW w:w="478" w:type="pct"/>
            <w:tcBorders>
              <w:top w:val="single" w:sz="4" w:space="0" w:color="auto"/>
              <w:left w:val="nil"/>
              <w:bottom w:val="single" w:sz="4" w:space="0" w:color="auto"/>
              <w:right w:val="single" w:sz="4" w:space="0" w:color="auto"/>
            </w:tcBorders>
            <w:shd w:val="clear" w:color="auto" w:fill="F2F2F2"/>
            <w:vAlign w:val="center"/>
            <w:hideMark/>
          </w:tcPr>
          <w:p w14:paraId="59F97D91"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Kraj Vysočina</w:t>
            </w:r>
          </w:p>
        </w:tc>
        <w:tc>
          <w:tcPr>
            <w:tcW w:w="691" w:type="pct"/>
            <w:tcBorders>
              <w:top w:val="single" w:sz="4" w:space="0" w:color="auto"/>
              <w:left w:val="nil"/>
              <w:bottom w:val="single" w:sz="4" w:space="0" w:color="auto"/>
              <w:right w:val="single" w:sz="4" w:space="0" w:color="auto"/>
            </w:tcBorders>
            <w:shd w:val="clear" w:color="auto" w:fill="F2F2F2"/>
            <w:vAlign w:val="center"/>
            <w:hideMark/>
          </w:tcPr>
          <w:p w14:paraId="53531B7C"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Královéhradecký kraj</w:t>
            </w:r>
          </w:p>
        </w:tc>
        <w:tc>
          <w:tcPr>
            <w:tcW w:w="478" w:type="pct"/>
            <w:tcBorders>
              <w:top w:val="single" w:sz="4" w:space="0" w:color="auto"/>
              <w:left w:val="nil"/>
              <w:bottom w:val="single" w:sz="4" w:space="0" w:color="auto"/>
              <w:right w:val="single" w:sz="4" w:space="0" w:color="auto"/>
            </w:tcBorders>
            <w:shd w:val="clear" w:color="auto" w:fill="F2F2F2"/>
            <w:vAlign w:val="center"/>
            <w:hideMark/>
          </w:tcPr>
          <w:p w14:paraId="36524EE5"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Liberecký kraj</w:t>
            </w:r>
          </w:p>
        </w:tc>
      </w:tr>
      <w:tr w:rsidR="00A164D2" w:rsidRPr="00DB745D" w14:paraId="2958F5EC" w14:textId="77777777" w:rsidTr="005614C4">
        <w:trPr>
          <w:trHeight w:val="255"/>
        </w:trPr>
        <w:tc>
          <w:tcPr>
            <w:tcW w:w="1092" w:type="pct"/>
            <w:vMerge w:val="restart"/>
            <w:tcBorders>
              <w:top w:val="nil"/>
              <w:left w:val="single" w:sz="4" w:space="0" w:color="auto"/>
              <w:bottom w:val="single" w:sz="4" w:space="0" w:color="auto"/>
              <w:right w:val="single" w:sz="4" w:space="0" w:color="auto"/>
            </w:tcBorders>
            <w:shd w:val="clear" w:color="auto" w:fill="auto"/>
            <w:vAlign w:val="center"/>
            <w:hideMark/>
          </w:tcPr>
          <w:p w14:paraId="38E5E710" w14:textId="1A30A2E3" w:rsidR="00A164D2" w:rsidRPr="00DB745D" w:rsidRDefault="00A164D2" w:rsidP="00EB32B8">
            <w:pPr>
              <w:rPr>
                <w:rFonts w:ascii="Calibri" w:eastAsia="Times New Roman" w:hAnsi="Calibri" w:cs="Calibri"/>
                <w:b/>
                <w:bCs/>
                <w:color w:val="000000"/>
                <w:sz w:val="16"/>
                <w:szCs w:val="16"/>
                <w:lang w:eastAsia="cs-CZ"/>
              </w:rPr>
            </w:pPr>
            <w:r w:rsidRPr="00DB745D">
              <w:rPr>
                <w:rFonts w:ascii="Calibri" w:eastAsia="Times New Roman" w:hAnsi="Calibri" w:cs="Calibri"/>
                <w:bCs/>
                <w:color w:val="000000"/>
                <w:sz w:val="16"/>
                <w:szCs w:val="16"/>
                <w:lang w:eastAsia="cs-CZ"/>
              </w:rPr>
              <w:t>Částky proplacené příjemcům</w:t>
            </w:r>
            <w:r w:rsidR="00EB32B8">
              <w:rPr>
                <w:rFonts w:ascii="Calibri" w:eastAsia="Times New Roman" w:hAnsi="Calibri" w:cs="Calibri"/>
                <w:bCs/>
                <w:color w:val="000000"/>
                <w:sz w:val="16"/>
                <w:szCs w:val="16"/>
                <w:lang w:eastAsia="cs-CZ"/>
              </w:rPr>
              <w:t xml:space="preserve"> </w:t>
            </w:r>
            <w:r w:rsidRPr="00DB745D">
              <w:rPr>
                <w:rFonts w:ascii="Calibri" w:eastAsia="Times New Roman" w:hAnsi="Calibri" w:cs="Calibri"/>
                <w:bCs/>
                <w:color w:val="000000"/>
                <w:sz w:val="16"/>
                <w:szCs w:val="16"/>
                <w:lang w:eastAsia="cs-CZ"/>
              </w:rPr>
              <w:t>podpory</w:t>
            </w:r>
          </w:p>
        </w:tc>
        <w:tc>
          <w:tcPr>
            <w:tcW w:w="127" w:type="pct"/>
            <w:tcBorders>
              <w:top w:val="nil"/>
              <w:left w:val="nil"/>
              <w:bottom w:val="single" w:sz="4" w:space="0" w:color="auto"/>
              <w:right w:val="single" w:sz="4" w:space="0" w:color="auto"/>
            </w:tcBorders>
            <w:shd w:val="clear" w:color="auto" w:fill="auto"/>
            <w:vAlign w:val="center"/>
            <w:hideMark/>
          </w:tcPr>
          <w:p w14:paraId="66DE22C8" w14:textId="77777777" w:rsidR="00A164D2" w:rsidRPr="00DB745D" w:rsidRDefault="00A164D2" w:rsidP="005614C4">
            <w:pPr>
              <w:jc w:val="center"/>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05_15_016</w:t>
            </w:r>
          </w:p>
        </w:tc>
        <w:tc>
          <w:tcPr>
            <w:tcW w:w="504" w:type="pct"/>
            <w:tcBorders>
              <w:top w:val="nil"/>
              <w:left w:val="nil"/>
              <w:bottom w:val="single" w:sz="4" w:space="0" w:color="auto"/>
              <w:right w:val="single" w:sz="4" w:space="0" w:color="auto"/>
            </w:tcBorders>
            <w:shd w:val="clear" w:color="auto" w:fill="auto"/>
            <w:noWrap/>
            <w:vAlign w:val="center"/>
            <w:hideMark/>
          </w:tcPr>
          <w:p w14:paraId="72E947EB"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22 198,08</w:t>
            </w:r>
          </w:p>
        </w:tc>
        <w:tc>
          <w:tcPr>
            <w:tcW w:w="543" w:type="pct"/>
            <w:tcBorders>
              <w:top w:val="nil"/>
              <w:left w:val="nil"/>
              <w:bottom w:val="single" w:sz="4" w:space="0" w:color="auto"/>
              <w:right w:val="single" w:sz="4" w:space="0" w:color="auto"/>
            </w:tcBorders>
            <w:shd w:val="clear" w:color="auto" w:fill="auto"/>
            <w:noWrap/>
            <w:vAlign w:val="center"/>
            <w:hideMark/>
          </w:tcPr>
          <w:p w14:paraId="7A78E679"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309 887,85</w:t>
            </w:r>
          </w:p>
        </w:tc>
        <w:tc>
          <w:tcPr>
            <w:tcW w:w="579" w:type="pct"/>
            <w:tcBorders>
              <w:top w:val="nil"/>
              <w:left w:val="nil"/>
              <w:bottom w:val="single" w:sz="4" w:space="0" w:color="auto"/>
              <w:right w:val="single" w:sz="4" w:space="0" w:color="auto"/>
            </w:tcBorders>
            <w:shd w:val="clear" w:color="auto" w:fill="auto"/>
            <w:noWrap/>
            <w:vAlign w:val="center"/>
            <w:hideMark/>
          </w:tcPr>
          <w:p w14:paraId="0B2EA393"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142 713,11</w:t>
            </w:r>
          </w:p>
        </w:tc>
        <w:tc>
          <w:tcPr>
            <w:tcW w:w="506" w:type="pct"/>
            <w:tcBorders>
              <w:top w:val="nil"/>
              <w:left w:val="nil"/>
              <w:bottom w:val="single" w:sz="4" w:space="0" w:color="auto"/>
              <w:right w:val="single" w:sz="4" w:space="0" w:color="auto"/>
            </w:tcBorders>
            <w:shd w:val="clear" w:color="auto" w:fill="auto"/>
            <w:noWrap/>
            <w:vAlign w:val="center"/>
            <w:hideMark/>
          </w:tcPr>
          <w:p w14:paraId="1745FC5F"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73 274,60</w:t>
            </w:r>
          </w:p>
        </w:tc>
        <w:tc>
          <w:tcPr>
            <w:tcW w:w="478" w:type="pct"/>
            <w:tcBorders>
              <w:top w:val="nil"/>
              <w:left w:val="nil"/>
              <w:bottom w:val="single" w:sz="4" w:space="0" w:color="auto"/>
              <w:right w:val="single" w:sz="4" w:space="0" w:color="auto"/>
            </w:tcBorders>
            <w:shd w:val="clear" w:color="auto" w:fill="auto"/>
            <w:noWrap/>
            <w:vAlign w:val="center"/>
            <w:hideMark/>
          </w:tcPr>
          <w:p w14:paraId="72EF844D"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254 391,78</w:t>
            </w:r>
          </w:p>
        </w:tc>
        <w:tc>
          <w:tcPr>
            <w:tcW w:w="691" w:type="pct"/>
            <w:tcBorders>
              <w:top w:val="nil"/>
              <w:left w:val="nil"/>
              <w:bottom w:val="single" w:sz="4" w:space="0" w:color="auto"/>
              <w:right w:val="single" w:sz="4" w:space="0" w:color="auto"/>
            </w:tcBorders>
            <w:shd w:val="clear" w:color="auto" w:fill="auto"/>
            <w:noWrap/>
            <w:vAlign w:val="center"/>
            <w:hideMark/>
          </w:tcPr>
          <w:p w14:paraId="69B37C3A"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214 521,68</w:t>
            </w:r>
          </w:p>
        </w:tc>
        <w:tc>
          <w:tcPr>
            <w:tcW w:w="478" w:type="pct"/>
            <w:tcBorders>
              <w:top w:val="nil"/>
              <w:left w:val="nil"/>
              <w:bottom w:val="single" w:sz="4" w:space="0" w:color="auto"/>
              <w:right w:val="single" w:sz="4" w:space="0" w:color="auto"/>
            </w:tcBorders>
            <w:shd w:val="clear" w:color="auto" w:fill="auto"/>
            <w:noWrap/>
            <w:vAlign w:val="center"/>
            <w:hideMark/>
          </w:tcPr>
          <w:p w14:paraId="25B19975"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153 577,89</w:t>
            </w:r>
          </w:p>
        </w:tc>
      </w:tr>
      <w:tr w:rsidR="00A164D2" w:rsidRPr="00DB745D" w14:paraId="0EA014B5" w14:textId="77777777" w:rsidTr="005614C4">
        <w:trPr>
          <w:trHeight w:val="255"/>
        </w:trPr>
        <w:tc>
          <w:tcPr>
            <w:tcW w:w="1092" w:type="pct"/>
            <w:vMerge/>
            <w:tcBorders>
              <w:top w:val="nil"/>
              <w:left w:val="single" w:sz="4" w:space="0" w:color="auto"/>
              <w:bottom w:val="single" w:sz="4" w:space="0" w:color="auto"/>
              <w:right w:val="single" w:sz="4" w:space="0" w:color="auto"/>
            </w:tcBorders>
            <w:vAlign w:val="center"/>
            <w:hideMark/>
          </w:tcPr>
          <w:p w14:paraId="54DF1F19" w14:textId="77777777" w:rsidR="00A164D2" w:rsidRPr="00DB745D" w:rsidRDefault="00A164D2" w:rsidP="005614C4">
            <w:pPr>
              <w:rPr>
                <w:rFonts w:ascii="Calibri" w:eastAsia="Times New Roman" w:hAnsi="Calibri" w:cs="Calibri"/>
                <w:b/>
                <w:bCs/>
                <w:color w:val="000000"/>
                <w:sz w:val="16"/>
                <w:szCs w:val="16"/>
                <w:lang w:eastAsia="cs-CZ"/>
              </w:rPr>
            </w:pPr>
          </w:p>
        </w:tc>
        <w:tc>
          <w:tcPr>
            <w:tcW w:w="127" w:type="pct"/>
            <w:tcBorders>
              <w:top w:val="nil"/>
              <w:left w:val="nil"/>
              <w:bottom w:val="single" w:sz="4" w:space="0" w:color="auto"/>
              <w:right w:val="single" w:sz="4" w:space="0" w:color="auto"/>
            </w:tcBorders>
            <w:shd w:val="clear" w:color="auto" w:fill="auto"/>
            <w:noWrap/>
            <w:vAlign w:val="center"/>
            <w:hideMark/>
          </w:tcPr>
          <w:p w14:paraId="0EB8DD0C" w14:textId="77777777" w:rsidR="00A164D2" w:rsidRPr="00DB745D" w:rsidRDefault="00A164D2" w:rsidP="005614C4">
            <w:pPr>
              <w:jc w:val="center"/>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05_17_067</w:t>
            </w:r>
          </w:p>
        </w:tc>
        <w:tc>
          <w:tcPr>
            <w:tcW w:w="504" w:type="pct"/>
            <w:tcBorders>
              <w:top w:val="nil"/>
              <w:left w:val="nil"/>
              <w:bottom w:val="single" w:sz="4" w:space="0" w:color="auto"/>
              <w:right w:val="single" w:sz="4" w:space="0" w:color="auto"/>
            </w:tcBorders>
            <w:shd w:val="clear" w:color="auto" w:fill="auto"/>
            <w:noWrap/>
            <w:vAlign w:val="center"/>
            <w:hideMark/>
          </w:tcPr>
          <w:p w14:paraId="6504DC77"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22 597,40</w:t>
            </w:r>
          </w:p>
        </w:tc>
        <w:tc>
          <w:tcPr>
            <w:tcW w:w="543" w:type="pct"/>
            <w:tcBorders>
              <w:top w:val="nil"/>
              <w:left w:val="nil"/>
              <w:bottom w:val="single" w:sz="4" w:space="0" w:color="auto"/>
              <w:right w:val="single" w:sz="4" w:space="0" w:color="auto"/>
            </w:tcBorders>
            <w:shd w:val="clear" w:color="auto" w:fill="auto"/>
            <w:noWrap/>
            <w:vAlign w:val="center"/>
            <w:hideMark/>
          </w:tcPr>
          <w:p w14:paraId="068AA989"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302 953,33</w:t>
            </w:r>
          </w:p>
        </w:tc>
        <w:tc>
          <w:tcPr>
            <w:tcW w:w="579" w:type="pct"/>
            <w:tcBorders>
              <w:top w:val="nil"/>
              <w:left w:val="nil"/>
              <w:bottom w:val="single" w:sz="4" w:space="0" w:color="auto"/>
              <w:right w:val="single" w:sz="4" w:space="0" w:color="auto"/>
            </w:tcBorders>
            <w:shd w:val="clear" w:color="auto" w:fill="auto"/>
            <w:noWrap/>
            <w:vAlign w:val="center"/>
            <w:hideMark/>
          </w:tcPr>
          <w:p w14:paraId="10969A41"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133 710,49</w:t>
            </w:r>
          </w:p>
        </w:tc>
        <w:tc>
          <w:tcPr>
            <w:tcW w:w="506" w:type="pct"/>
            <w:tcBorders>
              <w:top w:val="nil"/>
              <w:left w:val="nil"/>
              <w:bottom w:val="single" w:sz="4" w:space="0" w:color="auto"/>
              <w:right w:val="single" w:sz="4" w:space="0" w:color="auto"/>
            </w:tcBorders>
            <w:shd w:val="clear" w:color="auto" w:fill="auto"/>
            <w:noWrap/>
            <w:vAlign w:val="center"/>
            <w:hideMark/>
          </w:tcPr>
          <w:p w14:paraId="7CA86CE7"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65 339,97</w:t>
            </w:r>
          </w:p>
        </w:tc>
        <w:tc>
          <w:tcPr>
            <w:tcW w:w="478" w:type="pct"/>
            <w:tcBorders>
              <w:top w:val="nil"/>
              <w:left w:val="nil"/>
              <w:bottom w:val="single" w:sz="4" w:space="0" w:color="auto"/>
              <w:right w:val="single" w:sz="4" w:space="0" w:color="auto"/>
            </w:tcBorders>
            <w:shd w:val="clear" w:color="auto" w:fill="auto"/>
            <w:noWrap/>
            <w:vAlign w:val="center"/>
            <w:hideMark/>
          </w:tcPr>
          <w:p w14:paraId="6466CA15"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229 497,89</w:t>
            </w:r>
          </w:p>
        </w:tc>
        <w:tc>
          <w:tcPr>
            <w:tcW w:w="691" w:type="pct"/>
            <w:tcBorders>
              <w:top w:val="nil"/>
              <w:left w:val="nil"/>
              <w:bottom w:val="single" w:sz="4" w:space="0" w:color="auto"/>
              <w:right w:val="single" w:sz="4" w:space="0" w:color="auto"/>
            </w:tcBorders>
            <w:shd w:val="clear" w:color="auto" w:fill="auto"/>
            <w:noWrap/>
            <w:vAlign w:val="center"/>
            <w:hideMark/>
          </w:tcPr>
          <w:p w14:paraId="566384AF"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196 483,89</w:t>
            </w:r>
          </w:p>
        </w:tc>
        <w:tc>
          <w:tcPr>
            <w:tcW w:w="478" w:type="pct"/>
            <w:tcBorders>
              <w:top w:val="nil"/>
              <w:left w:val="nil"/>
              <w:bottom w:val="single" w:sz="4" w:space="0" w:color="auto"/>
              <w:right w:val="single" w:sz="4" w:space="0" w:color="auto"/>
            </w:tcBorders>
            <w:shd w:val="clear" w:color="auto" w:fill="auto"/>
            <w:noWrap/>
            <w:vAlign w:val="center"/>
            <w:hideMark/>
          </w:tcPr>
          <w:p w14:paraId="42E60D7C"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140 093,79</w:t>
            </w:r>
          </w:p>
        </w:tc>
      </w:tr>
      <w:tr w:rsidR="00A164D2" w:rsidRPr="00DB745D" w14:paraId="6B056146" w14:textId="77777777" w:rsidTr="005614C4">
        <w:trPr>
          <w:trHeight w:val="255"/>
        </w:trPr>
        <w:tc>
          <w:tcPr>
            <w:tcW w:w="1092" w:type="pct"/>
            <w:vMerge/>
            <w:tcBorders>
              <w:top w:val="nil"/>
              <w:left w:val="single" w:sz="4" w:space="0" w:color="auto"/>
              <w:bottom w:val="single" w:sz="4" w:space="0" w:color="auto"/>
              <w:right w:val="single" w:sz="4" w:space="0" w:color="auto"/>
            </w:tcBorders>
            <w:vAlign w:val="center"/>
            <w:hideMark/>
          </w:tcPr>
          <w:p w14:paraId="2E47223F" w14:textId="77777777" w:rsidR="00A164D2" w:rsidRPr="00DB745D" w:rsidRDefault="00A164D2" w:rsidP="005614C4">
            <w:pPr>
              <w:rPr>
                <w:rFonts w:ascii="Calibri" w:eastAsia="Times New Roman" w:hAnsi="Calibri" w:cs="Calibri"/>
                <w:b/>
                <w:bCs/>
                <w:color w:val="000000"/>
                <w:sz w:val="16"/>
                <w:szCs w:val="16"/>
                <w:lang w:eastAsia="cs-CZ"/>
              </w:rPr>
            </w:pPr>
          </w:p>
        </w:tc>
        <w:tc>
          <w:tcPr>
            <w:tcW w:w="127" w:type="pct"/>
            <w:tcBorders>
              <w:top w:val="nil"/>
              <w:left w:val="nil"/>
              <w:bottom w:val="single" w:sz="4" w:space="0" w:color="auto"/>
              <w:right w:val="single" w:sz="4" w:space="0" w:color="auto"/>
            </w:tcBorders>
            <w:shd w:val="clear" w:color="auto" w:fill="auto"/>
            <w:noWrap/>
            <w:vAlign w:val="center"/>
            <w:hideMark/>
          </w:tcPr>
          <w:p w14:paraId="79F99117" w14:textId="77777777" w:rsidR="00A164D2" w:rsidRPr="00DB745D" w:rsidRDefault="00A164D2" w:rsidP="005614C4">
            <w:pPr>
              <w:jc w:val="center"/>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05_19_117</w:t>
            </w:r>
          </w:p>
        </w:tc>
        <w:tc>
          <w:tcPr>
            <w:tcW w:w="504" w:type="pct"/>
            <w:tcBorders>
              <w:top w:val="nil"/>
              <w:left w:val="nil"/>
              <w:bottom w:val="single" w:sz="4" w:space="0" w:color="auto"/>
              <w:right w:val="single" w:sz="4" w:space="0" w:color="auto"/>
            </w:tcBorders>
            <w:shd w:val="clear" w:color="auto" w:fill="auto"/>
            <w:noWrap/>
            <w:vAlign w:val="center"/>
            <w:hideMark/>
          </w:tcPr>
          <w:p w14:paraId="7640271F"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28 597,09</w:t>
            </w:r>
          </w:p>
        </w:tc>
        <w:tc>
          <w:tcPr>
            <w:tcW w:w="543" w:type="pct"/>
            <w:tcBorders>
              <w:top w:val="nil"/>
              <w:left w:val="nil"/>
              <w:bottom w:val="single" w:sz="4" w:space="0" w:color="auto"/>
              <w:right w:val="single" w:sz="4" w:space="0" w:color="auto"/>
            </w:tcBorders>
            <w:shd w:val="clear" w:color="auto" w:fill="auto"/>
            <w:noWrap/>
            <w:vAlign w:val="center"/>
            <w:hideMark/>
          </w:tcPr>
          <w:p w14:paraId="1629D590"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405 524,70</w:t>
            </w:r>
          </w:p>
        </w:tc>
        <w:tc>
          <w:tcPr>
            <w:tcW w:w="579" w:type="pct"/>
            <w:tcBorders>
              <w:top w:val="nil"/>
              <w:left w:val="nil"/>
              <w:bottom w:val="single" w:sz="4" w:space="0" w:color="auto"/>
              <w:right w:val="single" w:sz="4" w:space="0" w:color="auto"/>
            </w:tcBorders>
            <w:shd w:val="clear" w:color="auto" w:fill="auto"/>
            <w:noWrap/>
            <w:vAlign w:val="center"/>
            <w:hideMark/>
          </w:tcPr>
          <w:p w14:paraId="5DF2AE2E"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147 110,79</w:t>
            </w:r>
          </w:p>
        </w:tc>
        <w:tc>
          <w:tcPr>
            <w:tcW w:w="506" w:type="pct"/>
            <w:tcBorders>
              <w:top w:val="nil"/>
              <w:left w:val="nil"/>
              <w:bottom w:val="single" w:sz="4" w:space="0" w:color="auto"/>
              <w:right w:val="single" w:sz="4" w:space="0" w:color="auto"/>
            </w:tcBorders>
            <w:shd w:val="clear" w:color="auto" w:fill="auto"/>
            <w:noWrap/>
            <w:vAlign w:val="center"/>
            <w:hideMark/>
          </w:tcPr>
          <w:p w14:paraId="421115BE"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104 035,19</w:t>
            </w:r>
          </w:p>
        </w:tc>
        <w:tc>
          <w:tcPr>
            <w:tcW w:w="478" w:type="pct"/>
            <w:tcBorders>
              <w:top w:val="nil"/>
              <w:left w:val="nil"/>
              <w:bottom w:val="single" w:sz="4" w:space="0" w:color="auto"/>
              <w:right w:val="single" w:sz="4" w:space="0" w:color="auto"/>
            </w:tcBorders>
            <w:shd w:val="clear" w:color="auto" w:fill="auto"/>
            <w:noWrap/>
            <w:vAlign w:val="center"/>
            <w:hideMark/>
          </w:tcPr>
          <w:p w14:paraId="247BFD9B"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296 831,06</w:t>
            </w:r>
          </w:p>
        </w:tc>
        <w:tc>
          <w:tcPr>
            <w:tcW w:w="691" w:type="pct"/>
            <w:tcBorders>
              <w:top w:val="nil"/>
              <w:left w:val="nil"/>
              <w:bottom w:val="single" w:sz="4" w:space="0" w:color="auto"/>
              <w:right w:val="single" w:sz="4" w:space="0" w:color="auto"/>
            </w:tcBorders>
            <w:shd w:val="clear" w:color="auto" w:fill="auto"/>
            <w:noWrap/>
            <w:vAlign w:val="center"/>
            <w:hideMark/>
          </w:tcPr>
          <w:p w14:paraId="43BCE625"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216 667,05</w:t>
            </w:r>
          </w:p>
        </w:tc>
        <w:tc>
          <w:tcPr>
            <w:tcW w:w="478" w:type="pct"/>
            <w:tcBorders>
              <w:top w:val="nil"/>
              <w:left w:val="nil"/>
              <w:bottom w:val="single" w:sz="4" w:space="0" w:color="auto"/>
              <w:right w:val="single" w:sz="4" w:space="0" w:color="auto"/>
            </w:tcBorders>
            <w:shd w:val="clear" w:color="auto" w:fill="auto"/>
            <w:noWrap/>
            <w:vAlign w:val="center"/>
            <w:hideMark/>
          </w:tcPr>
          <w:p w14:paraId="40D5F42E"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160 939,89</w:t>
            </w:r>
          </w:p>
        </w:tc>
      </w:tr>
      <w:tr w:rsidR="00A164D2" w:rsidRPr="00DB745D" w14:paraId="1D21E4D9" w14:textId="77777777" w:rsidTr="005614C4">
        <w:trPr>
          <w:trHeight w:val="255"/>
        </w:trPr>
        <w:tc>
          <w:tcPr>
            <w:tcW w:w="1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1AF18" w14:textId="77777777" w:rsidR="00A164D2" w:rsidRPr="00DB745D" w:rsidRDefault="00A164D2" w:rsidP="005614C4">
            <w:pP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Celkem</w:t>
            </w:r>
          </w:p>
        </w:tc>
        <w:tc>
          <w:tcPr>
            <w:tcW w:w="504" w:type="pct"/>
            <w:tcBorders>
              <w:top w:val="nil"/>
              <w:left w:val="nil"/>
              <w:bottom w:val="single" w:sz="4" w:space="0" w:color="auto"/>
              <w:right w:val="single" w:sz="4" w:space="0" w:color="auto"/>
            </w:tcBorders>
            <w:shd w:val="clear" w:color="auto" w:fill="auto"/>
            <w:noWrap/>
            <w:vAlign w:val="center"/>
            <w:hideMark/>
          </w:tcPr>
          <w:p w14:paraId="4C56FE84"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73 392,57</w:t>
            </w:r>
          </w:p>
        </w:tc>
        <w:tc>
          <w:tcPr>
            <w:tcW w:w="543" w:type="pct"/>
            <w:tcBorders>
              <w:top w:val="nil"/>
              <w:left w:val="nil"/>
              <w:bottom w:val="single" w:sz="4" w:space="0" w:color="auto"/>
              <w:right w:val="single" w:sz="4" w:space="0" w:color="auto"/>
            </w:tcBorders>
            <w:shd w:val="clear" w:color="auto" w:fill="auto"/>
            <w:noWrap/>
            <w:vAlign w:val="center"/>
            <w:hideMark/>
          </w:tcPr>
          <w:p w14:paraId="406EDCC7"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1 018 365,88</w:t>
            </w:r>
          </w:p>
        </w:tc>
        <w:tc>
          <w:tcPr>
            <w:tcW w:w="579" w:type="pct"/>
            <w:tcBorders>
              <w:top w:val="nil"/>
              <w:left w:val="nil"/>
              <w:bottom w:val="single" w:sz="4" w:space="0" w:color="auto"/>
              <w:right w:val="single" w:sz="4" w:space="0" w:color="auto"/>
            </w:tcBorders>
            <w:shd w:val="clear" w:color="auto" w:fill="auto"/>
            <w:noWrap/>
            <w:vAlign w:val="center"/>
            <w:hideMark/>
          </w:tcPr>
          <w:p w14:paraId="78189B6D"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423 534,39</w:t>
            </w:r>
          </w:p>
        </w:tc>
        <w:tc>
          <w:tcPr>
            <w:tcW w:w="506" w:type="pct"/>
            <w:tcBorders>
              <w:top w:val="nil"/>
              <w:left w:val="nil"/>
              <w:bottom w:val="single" w:sz="4" w:space="0" w:color="auto"/>
              <w:right w:val="single" w:sz="4" w:space="0" w:color="auto"/>
            </w:tcBorders>
            <w:shd w:val="clear" w:color="auto" w:fill="auto"/>
            <w:noWrap/>
            <w:vAlign w:val="center"/>
            <w:hideMark/>
          </w:tcPr>
          <w:p w14:paraId="630F9C55"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242 649,76</w:t>
            </w:r>
          </w:p>
        </w:tc>
        <w:tc>
          <w:tcPr>
            <w:tcW w:w="478" w:type="pct"/>
            <w:tcBorders>
              <w:top w:val="nil"/>
              <w:left w:val="nil"/>
              <w:bottom w:val="single" w:sz="4" w:space="0" w:color="auto"/>
              <w:right w:val="single" w:sz="4" w:space="0" w:color="auto"/>
            </w:tcBorders>
            <w:shd w:val="clear" w:color="auto" w:fill="auto"/>
            <w:noWrap/>
            <w:vAlign w:val="center"/>
            <w:hideMark/>
          </w:tcPr>
          <w:p w14:paraId="68ED4CE8"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780 720,73</w:t>
            </w:r>
          </w:p>
        </w:tc>
        <w:tc>
          <w:tcPr>
            <w:tcW w:w="691" w:type="pct"/>
            <w:tcBorders>
              <w:top w:val="nil"/>
              <w:left w:val="nil"/>
              <w:bottom w:val="single" w:sz="4" w:space="0" w:color="auto"/>
              <w:right w:val="single" w:sz="4" w:space="0" w:color="auto"/>
            </w:tcBorders>
            <w:shd w:val="clear" w:color="auto" w:fill="auto"/>
            <w:noWrap/>
            <w:vAlign w:val="center"/>
            <w:hideMark/>
          </w:tcPr>
          <w:p w14:paraId="72AC4CED"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627 672,62</w:t>
            </w:r>
          </w:p>
        </w:tc>
        <w:tc>
          <w:tcPr>
            <w:tcW w:w="478" w:type="pct"/>
            <w:tcBorders>
              <w:top w:val="nil"/>
              <w:left w:val="nil"/>
              <w:bottom w:val="single" w:sz="4" w:space="0" w:color="auto"/>
              <w:right w:val="single" w:sz="4" w:space="0" w:color="auto"/>
            </w:tcBorders>
            <w:shd w:val="clear" w:color="auto" w:fill="auto"/>
            <w:noWrap/>
            <w:vAlign w:val="center"/>
            <w:hideMark/>
          </w:tcPr>
          <w:p w14:paraId="57100879"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454 611,57</w:t>
            </w:r>
          </w:p>
        </w:tc>
      </w:tr>
    </w:tbl>
    <w:p w14:paraId="385518F9" w14:textId="7BD52513" w:rsidR="00A164D2" w:rsidRPr="00DB745D" w:rsidRDefault="00A164D2" w:rsidP="00894E40">
      <w:pPr>
        <w:tabs>
          <w:tab w:val="left" w:pos="567"/>
          <w:tab w:val="left" w:pos="1134"/>
        </w:tabs>
        <w:spacing w:before="40"/>
        <w:jc w:val="both"/>
        <w:rPr>
          <w:sz w:val="20"/>
        </w:rPr>
      </w:pPr>
      <w:r w:rsidRPr="00DB745D">
        <w:rPr>
          <w:b/>
          <w:sz w:val="20"/>
        </w:rPr>
        <w:t>Zdroj:</w:t>
      </w:r>
      <w:r w:rsidR="00EB32B8">
        <w:rPr>
          <w:sz w:val="20"/>
        </w:rPr>
        <w:t xml:space="preserve"> i</w:t>
      </w:r>
      <w:r w:rsidRPr="00DB745D">
        <w:rPr>
          <w:sz w:val="20"/>
        </w:rPr>
        <w:t>nformace MŽP.</w:t>
      </w:r>
    </w:p>
    <w:p w14:paraId="33ABCE84" w14:textId="78AB3102" w:rsidR="00A164D2" w:rsidRPr="00894E40" w:rsidRDefault="00A164D2" w:rsidP="00EC6E1B">
      <w:pPr>
        <w:tabs>
          <w:tab w:val="right" w:pos="9072"/>
        </w:tabs>
        <w:spacing w:before="120" w:after="40"/>
        <w:ind w:left="1304" w:hanging="1304"/>
        <w:jc w:val="both"/>
        <w:rPr>
          <w:rFonts w:cstheme="minorHAnsi"/>
          <w:b/>
          <w:iCs/>
          <w:szCs w:val="18"/>
        </w:rPr>
      </w:pPr>
      <w:r w:rsidRPr="00894E40">
        <w:rPr>
          <w:b/>
          <w:iCs/>
          <w:szCs w:val="18"/>
        </w:rPr>
        <w:t>Tabulk</w:t>
      </w:r>
      <w:r w:rsidR="006F5A65">
        <w:rPr>
          <w:b/>
          <w:iCs/>
          <w:szCs w:val="18"/>
        </w:rPr>
        <w:t>a č. 3:</w:t>
      </w:r>
      <w:r w:rsidR="006F2D4F">
        <w:rPr>
          <w:b/>
          <w:iCs/>
          <w:szCs w:val="18"/>
        </w:rPr>
        <w:t xml:space="preserve"> </w:t>
      </w:r>
      <w:r w:rsidR="006F2D4F">
        <w:rPr>
          <w:b/>
          <w:iCs/>
          <w:szCs w:val="18"/>
        </w:rPr>
        <w:tab/>
      </w:r>
      <w:r w:rsidRPr="00894E40">
        <w:rPr>
          <w:rFonts w:cstheme="minorHAnsi"/>
          <w:b/>
          <w:iCs/>
          <w:szCs w:val="18"/>
        </w:rPr>
        <w:t>Přehled peněžních prostředků v členění na jednotlivé kraje ČR v rámci SC 2.1 PO 2 OPŽP (kotlíkové dotace) ke dni 31. 12. 2022 – část 2</w:t>
      </w:r>
      <w:r w:rsidRPr="00894E40">
        <w:rPr>
          <w:rFonts w:cstheme="minorHAnsi"/>
          <w:b/>
          <w:iCs/>
          <w:szCs w:val="18"/>
        </w:rPr>
        <w:tab/>
        <w:t>(v tis. Kč)</w:t>
      </w:r>
    </w:p>
    <w:tbl>
      <w:tblPr>
        <w:tblW w:w="5000" w:type="pct"/>
        <w:tblCellMar>
          <w:left w:w="70" w:type="dxa"/>
          <w:right w:w="70" w:type="dxa"/>
        </w:tblCellMar>
        <w:tblLook w:val="04A0" w:firstRow="1" w:lastRow="0" w:firstColumn="1" w:lastColumn="0" w:noHBand="0" w:noVBand="1"/>
      </w:tblPr>
      <w:tblGrid>
        <w:gridCol w:w="1413"/>
        <w:gridCol w:w="1021"/>
        <w:gridCol w:w="1269"/>
        <w:gridCol w:w="896"/>
        <w:gridCol w:w="878"/>
        <w:gridCol w:w="867"/>
        <w:gridCol w:w="984"/>
        <w:gridCol w:w="867"/>
        <w:gridCol w:w="867"/>
      </w:tblGrid>
      <w:tr w:rsidR="00A164D2" w:rsidRPr="00DB745D" w14:paraId="7A1D7662" w14:textId="77777777" w:rsidTr="005614C4">
        <w:trPr>
          <w:trHeight w:val="255"/>
        </w:trPr>
        <w:tc>
          <w:tcPr>
            <w:tcW w:w="78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11E716C"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Příjemce podpory</w:t>
            </w:r>
          </w:p>
        </w:tc>
        <w:tc>
          <w:tcPr>
            <w:tcW w:w="564" w:type="pct"/>
            <w:tcBorders>
              <w:top w:val="single" w:sz="4" w:space="0" w:color="auto"/>
              <w:left w:val="nil"/>
              <w:bottom w:val="single" w:sz="4" w:space="0" w:color="auto"/>
              <w:right w:val="single" w:sz="4" w:space="0" w:color="auto"/>
            </w:tcBorders>
            <w:shd w:val="clear" w:color="auto" w:fill="F2F2F2"/>
            <w:vAlign w:val="center"/>
            <w:hideMark/>
          </w:tcPr>
          <w:p w14:paraId="67F22369"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Výzva č.</w:t>
            </w:r>
          </w:p>
        </w:tc>
        <w:tc>
          <w:tcPr>
            <w:tcW w:w="700" w:type="pct"/>
            <w:tcBorders>
              <w:top w:val="single" w:sz="4" w:space="0" w:color="auto"/>
              <w:left w:val="nil"/>
              <w:bottom w:val="single" w:sz="4" w:space="0" w:color="auto"/>
              <w:right w:val="single" w:sz="4" w:space="0" w:color="auto"/>
            </w:tcBorders>
            <w:shd w:val="clear" w:color="auto" w:fill="F2F2F2"/>
            <w:vAlign w:val="center"/>
            <w:hideMark/>
          </w:tcPr>
          <w:p w14:paraId="4F45518E"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Moravskoslezský kraj</w:t>
            </w:r>
          </w:p>
        </w:tc>
        <w:tc>
          <w:tcPr>
            <w:tcW w:w="494" w:type="pct"/>
            <w:tcBorders>
              <w:top w:val="single" w:sz="4" w:space="0" w:color="auto"/>
              <w:left w:val="nil"/>
              <w:bottom w:val="single" w:sz="4" w:space="0" w:color="auto"/>
              <w:right w:val="single" w:sz="4" w:space="0" w:color="auto"/>
            </w:tcBorders>
            <w:shd w:val="clear" w:color="auto" w:fill="F2F2F2"/>
            <w:vAlign w:val="center"/>
            <w:hideMark/>
          </w:tcPr>
          <w:p w14:paraId="31568955"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Olomoucký kraj</w:t>
            </w:r>
          </w:p>
        </w:tc>
        <w:tc>
          <w:tcPr>
            <w:tcW w:w="484" w:type="pct"/>
            <w:tcBorders>
              <w:top w:val="single" w:sz="4" w:space="0" w:color="auto"/>
              <w:left w:val="nil"/>
              <w:bottom w:val="single" w:sz="4" w:space="0" w:color="auto"/>
              <w:right w:val="single" w:sz="4" w:space="0" w:color="auto"/>
            </w:tcBorders>
            <w:shd w:val="clear" w:color="auto" w:fill="F2F2F2"/>
            <w:vAlign w:val="center"/>
            <w:hideMark/>
          </w:tcPr>
          <w:p w14:paraId="5FDF4610"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Pardubický kraj</w:t>
            </w:r>
          </w:p>
        </w:tc>
        <w:tc>
          <w:tcPr>
            <w:tcW w:w="478" w:type="pct"/>
            <w:tcBorders>
              <w:top w:val="single" w:sz="4" w:space="0" w:color="auto"/>
              <w:left w:val="nil"/>
              <w:bottom w:val="single" w:sz="4" w:space="0" w:color="auto"/>
              <w:right w:val="single" w:sz="4" w:space="0" w:color="auto"/>
            </w:tcBorders>
            <w:shd w:val="clear" w:color="auto" w:fill="F2F2F2"/>
            <w:vAlign w:val="center"/>
            <w:hideMark/>
          </w:tcPr>
          <w:p w14:paraId="138FB8E5"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Plzeňský kraj</w:t>
            </w:r>
          </w:p>
        </w:tc>
        <w:tc>
          <w:tcPr>
            <w:tcW w:w="543" w:type="pct"/>
            <w:tcBorders>
              <w:top w:val="single" w:sz="4" w:space="0" w:color="auto"/>
              <w:left w:val="nil"/>
              <w:bottom w:val="single" w:sz="4" w:space="0" w:color="auto"/>
              <w:right w:val="single" w:sz="4" w:space="0" w:color="auto"/>
            </w:tcBorders>
            <w:shd w:val="clear" w:color="auto" w:fill="F2F2F2"/>
            <w:vAlign w:val="center"/>
            <w:hideMark/>
          </w:tcPr>
          <w:p w14:paraId="0BB4DDF2"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Středočeský kraj</w:t>
            </w:r>
          </w:p>
        </w:tc>
        <w:tc>
          <w:tcPr>
            <w:tcW w:w="478" w:type="pct"/>
            <w:tcBorders>
              <w:top w:val="single" w:sz="4" w:space="0" w:color="auto"/>
              <w:left w:val="nil"/>
              <w:bottom w:val="single" w:sz="4" w:space="0" w:color="auto"/>
              <w:right w:val="single" w:sz="4" w:space="0" w:color="auto"/>
            </w:tcBorders>
            <w:shd w:val="clear" w:color="auto" w:fill="F2F2F2"/>
            <w:vAlign w:val="center"/>
            <w:hideMark/>
          </w:tcPr>
          <w:p w14:paraId="34B33B98"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Ústecký kraj</w:t>
            </w:r>
          </w:p>
        </w:tc>
        <w:tc>
          <w:tcPr>
            <w:tcW w:w="478" w:type="pct"/>
            <w:tcBorders>
              <w:top w:val="single" w:sz="4" w:space="0" w:color="auto"/>
              <w:left w:val="nil"/>
              <w:bottom w:val="single" w:sz="4" w:space="0" w:color="auto"/>
              <w:right w:val="single" w:sz="4" w:space="0" w:color="auto"/>
            </w:tcBorders>
            <w:shd w:val="clear" w:color="auto" w:fill="F2F2F2"/>
            <w:vAlign w:val="center"/>
            <w:hideMark/>
          </w:tcPr>
          <w:p w14:paraId="5B021647" w14:textId="77777777" w:rsidR="00A164D2" w:rsidRPr="00DB745D" w:rsidRDefault="00A164D2" w:rsidP="005614C4">
            <w:pPr>
              <w:jc w:val="cente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Zlínský kraj</w:t>
            </w:r>
          </w:p>
        </w:tc>
      </w:tr>
      <w:tr w:rsidR="00A164D2" w:rsidRPr="00DB745D" w14:paraId="7087C00D" w14:textId="77777777" w:rsidTr="005614C4">
        <w:trPr>
          <w:trHeight w:val="255"/>
        </w:trPr>
        <w:tc>
          <w:tcPr>
            <w:tcW w:w="780" w:type="pct"/>
            <w:vMerge w:val="restart"/>
            <w:tcBorders>
              <w:top w:val="nil"/>
              <w:left w:val="single" w:sz="4" w:space="0" w:color="auto"/>
              <w:bottom w:val="single" w:sz="4" w:space="0" w:color="auto"/>
              <w:right w:val="single" w:sz="4" w:space="0" w:color="auto"/>
            </w:tcBorders>
            <w:shd w:val="clear" w:color="auto" w:fill="auto"/>
            <w:vAlign w:val="center"/>
            <w:hideMark/>
          </w:tcPr>
          <w:p w14:paraId="57539093" w14:textId="77777777" w:rsidR="00A164D2" w:rsidRPr="00DB745D" w:rsidRDefault="00A164D2" w:rsidP="005614C4">
            <w:pPr>
              <w:rPr>
                <w:rFonts w:ascii="Calibri" w:eastAsia="Times New Roman" w:hAnsi="Calibri" w:cs="Calibri"/>
                <w:bCs/>
                <w:color w:val="000000"/>
                <w:sz w:val="16"/>
                <w:szCs w:val="16"/>
                <w:lang w:eastAsia="cs-CZ"/>
              </w:rPr>
            </w:pPr>
            <w:r w:rsidRPr="00DB745D">
              <w:rPr>
                <w:rFonts w:ascii="Calibri" w:eastAsia="Times New Roman" w:hAnsi="Calibri" w:cs="Calibri"/>
                <w:bCs/>
                <w:color w:val="000000"/>
                <w:sz w:val="16"/>
                <w:szCs w:val="16"/>
                <w:lang w:eastAsia="cs-CZ"/>
              </w:rPr>
              <w:t>Částky proplacené příjemcům podpory</w:t>
            </w:r>
          </w:p>
        </w:tc>
        <w:tc>
          <w:tcPr>
            <w:tcW w:w="564" w:type="pct"/>
            <w:tcBorders>
              <w:top w:val="nil"/>
              <w:left w:val="nil"/>
              <w:bottom w:val="single" w:sz="4" w:space="0" w:color="auto"/>
              <w:right w:val="single" w:sz="4" w:space="0" w:color="auto"/>
            </w:tcBorders>
            <w:shd w:val="clear" w:color="auto" w:fill="auto"/>
            <w:vAlign w:val="center"/>
            <w:hideMark/>
          </w:tcPr>
          <w:p w14:paraId="3BDE44B9" w14:textId="77777777" w:rsidR="00A164D2" w:rsidRPr="00DB745D" w:rsidRDefault="00A164D2" w:rsidP="005614C4">
            <w:pPr>
              <w:jc w:val="center"/>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05_15_016</w:t>
            </w:r>
          </w:p>
        </w:tc>
        <w:tc>
          <w:tcPr>
            <w:tcW w:w="700" w:type="pct"/>
            <w:tcBorders>
              <w:top w:val="nil"/>
              <w:left w:val="nil"/>
              <w:bottom w:val="single" w:sz="4" w:space="0" w:color="auto"/>
              <w:right w:val="single" w:sz="4" w:space="0" w:color="auto"/>
            </w:tcBorders>
            <w:shd w:val="clear" w:color="auto" w:fill="auto"/>
            <w:noWrap/>
            <w:vAlign w:val="center"/>
            <w:hideMark/>
          </w:tcPr>
          <w:p w14:paraId="58FF4792"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507 309,03</w:t>
            </w:r>
          </w:p>
        </w:tc>
        <w:tc>
          <w:tcPr>
            <w:tcW w:w="494" w:type="pct"/>
            <w:tcBorders>
              <w:top w:val="nil"/>
              <w:left w:val="nil"/>
              <w:bottom w:val="single" w:sz="4" w:space="0" w:color="auto"/>
              <w:right w:val="single" w:sz="4" w:space="0" w:color="auto"/>
            </w:tcBorders>
            <w:shd w:val="clear" w:color="auto" w:fill="auto"/>
            <w:noWrap/>
            <w:vAlign w:val="center"/>
            <w:hideMark/>
          </w:tcPr>
          <w:p w14:paraId="54698820"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185 005,26</w:t>
            </w:r>
          </w:p>
        </w:tc>
        <w:tc>
          <w:tcPr>
            <w:tcW w:w="484" w:type="pct"/>
            <w:tcBorders>
              <w:top w:val="nil"/>
              <w:left w:val="nil"/>
              <w:bottom w:val="single" w:sz="4" w:space="0" w:color="auto"/>
              <w:right w:val="single" w:sz="4" w:space="0" w:color="auto"/>
            </w:tcBorders>
            <w:shd w:val="clear" w:color="auto" w:fill="auto"/>
            <w:noWrap/>
            <w:vAlign w:val="center"/>
            <w:hideMark/>
          </w:tcPr>
          <w:p w14:paraId="6F981687"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195 412,95</w:t>
            </w:r>
          </w:p>
        </w:tc>
        <w:tc>
          <w:tcPr>
            <w:tcW w:w="478" w:type="pct"/>
            <w:tcBorders>
              <w:top w:val="nil"/>
              <w:left w:val="nil"/>
              <w:bottom w:val="single" w:sz="4" w:space="0" w:color="auto"/>
              <w:right w:val="single" w:sz="4" w:space="0" w:color="auto"/>
            </w:tcBorders>
            <w:shd w:val="clear" w:color="auto" w:fill="auto"/>
            <w:noWrap/>
            <w:vAlign w:val="center"/>
            <w:hideMark/>
          </w:tcPr>
          <w:p w14:paraId="38A53041"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253 141,18</w:t>
            </w:r>
          </w:p>
        </w:tc>
        <w:tc>
          <w:tcPr>
            <w:tcW w:w="543" w:type="pct"/>
            <w:tcBorders>
              <w:top w:val="nil"/>
              <w:left w:val="nil"/>
              <w:bottom w:val="single" w:sz="4" w:space="0" w:color="auto"/>
              <w:right w:val="single" w:sz="4" w:space="0" w:color="auto"/>
            </w:tcBorders>
            <w:shd w:val="clear" w:color="auto" w:fill="auto"/>
            <w:noWrap/>
            <w:vAlign w:val="center"/>
            <w:hideMark/>
          </w:tcPr>
          <w:p w14:paraId="34390727"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512 501,66</w:t>
            </w:r>
          </w:p>
        </w:tc>
        <w:tc>
          <w:tcPr>
            <w:tcW w:w="478" w:type="pct"/>
            <w:tcBorders>
              <w:top w:val="nil"/>
              <w:left w:val="nil"/>
              <w:bottom w:val="single" w:sz="4" w:space="0" w:color="auto"/>
              <w:right w:val="single" w:sz="4" w:space="0" w:color="auto"/>
            </w:tcBorders>
            <w:shd w:val="clear" w:color="auto" w:fill="auto"/>
            <w:noWrap/>
            <w:vAlign w:val="center"/>
            <w:hideMark/>
          </w:tcPr>
          <w:p w14:paraId="0AD43F55"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177 425,35</w:t>
            </w:r>
          </w:p>
        </w:tc>
        <w:tc>
          <w:tcPr>
            <w:tcW w:w="478" w:type="pct"/>
            <w:tcBorders>
              <w:top w:val="nil"/>
              <w:left w:val="nil"/>
              <w:bottom w:val="single" w:sz="4" w:space="0" w:color="auto"/>
              <w:right w:val="single" w:sz="4" w:space="0" w:color="auto"/>
            </w:tcBorders>
            <w:shd w:val="clear" w:color="auto" w:fill="auto"/>
            <w:noWrap/>
            <w:vAlign w:val="center"/>
            <w:hideMark/>
          </w:tcPr>
          <w:p w14:paraId="0B8E6365"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176 283,13</w:t>
            </w:r>
          </w:p>
        </w:tc>
      </w:tr>
      <w:tr w:rsidR="00A164D2" w:rsidRPr="00DB745D" w14:paraId="0571136A" w14:textId="77777777" w:rsidTr="005614C4">
        <w:trPr>
          <w:trHeight w:val="255"/>
        </w:trPr>
        <w:tc>
          <w:tcPr>
            <w:tcW w:w="780" w:type="pct"/>
            <w:vMerge/>
            <w:tcBorders>
              <w:top w:val="nil"/>
              <w:left w:val="single" w:sz="4" w:space="0" w:color="auto"/>
              <w:bottom w:val="single" w:sz="4" w:space="0" w:color="auto"/>
              <w:right w:val="single" w:sz="4" w:space="0" w:color="auto"/>
            </w:tcBorders>
            <w:vAlign w:val="center"/>
            <w:hideMark/>
          </w:tcPr>
          <w:p w14:paraId="22DFB2ED" w14:textId="77777777" w:rsidR="00A164D2" w:rsidRPr="00DB745D" w:rsidRDefault="00A164D2" w:rsidP="005614C4">
            <w:pPr>
              <w:rPr>
                <w:rFonts w:ascii="Calibri" w:eastAsia="Times New Roman" w:hAnsi="Calibri" w:cs="Calibri"/>
                <w:b/>
                <w:bCs/>
                <w:color w:val="000000"/>
                <w:sz w:val="16"/>
                <w:szCs w:val="16"/>
                <w:lang w:eastAsia="cs-CZ"/>
              </w:rPr>
            </w:pPr>
          </w:p>
        </w:tc>
        <w:tc>
          <w:tcPr>
            <w:tcW w:w="564" w:type="pct"/>
            <w:tcBorders>
              <w:top w:val="nil"/>
              <w:left w:val="nil"/>
              <w:bottom w:val="single" w:sz="4" w:space="0" w:color="auto"/>
              <w:right w:val="single" w:sz="4" w:space="0" w:color="auto"/>
            </w:tcBorders>
            <w:shd w:val="clear" w:color="auto" w:fill="auto"/>
            <w:noWrap/>
            <w:vAlign w:val="center"/>
            <w:hideMark/>
          </w:tcPr>
          <w:p w14:paraId="7ADFFFD7" w14:textId="77777777" w:rsidR="00A164D2" w:rsidRPr="00DB745D" w:rsidRDefault="00A164D2" w:rsidP="005614C4">
            <w:pPr>
              <w:jc w:val="center"/>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05_17_067</w:t>
            </w:r>
          </w:p>
        </w:tc>
        <w:tc>
          <w:tcPr>
            <w:tcW w:w="700" w:type="pct"/>
            <w:tcBorders>
              <w:top w:val="nil"/>
              <w:left w:val="nil"/>
              <w:bottom w:val="single" w:sz="4" w:space="0" w:color="auto"/>
              <w:right w:val="single" w:sz="4" w:space="0" w:color="auto"/>
            </w:tcBorders>
            <w:shd w:val="clear" w:color="auto" w:fill="auto"/>
            <w:noWrap/>
            <w:vAlign w:val="center"/>
            <w:hideMark/>
          </w:tcPr>
          <w:p w14:paraId="7E66E1D3"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851 896,82</w:t>
            </w:r>
          </w:p>
        </w:tc>
        <w:tc>
          <w:tcPr>
            <w:tcW w:w="494" w:type="pct"/>
            <w:tcBorders>
              <w:top w:val="nil"/>
              <w:left w:val="nil"/>
              <w:bottom w:val="single" w:sz="4" w:space="0" w:color="auto"/>
              <w:right w:val="single" w:sz="4" w:space="0" w:color="auto"/>
            </w:tcBorders>
            <w:shd w:val="clear" w:color="auto" w:fill="auto"/>
            <w:noWrap/>
            <w:vAlign w:val="center"/>
            <w:hideMark/>
          </w:tcPr>
          <w:p w14:paraId="4BF24C45"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168 881,23</w:t>
            </w:r>
          </w:p>
        </w:tc>
        <w:tc>
          <w:tcPr>
            <w:tcW w:w="484" w:type="pct"/>
            <w:tcBorders>
              <w:top w:val="nil"/>
              <w:left w:val="nil"/>
              <w:bottom w:val="single" w:sz="4" w:space="0" w:color="auto"/>
              <w:right w:val="single" w:sz="4" w:space="0" w:color="auto"/>
            </w:tcBorders>
            <w:shd w:val="clear" w:color="auto" w:fill="auto"/>
            <w:noWrap/>
            <w:vAlign w:val="center"/>
            <w:hideMark/>
          </w:tcPr>
          <w:p w14:paraId="2964CD35"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177 663,69</w:t>
            </w:r>
          </w:p>
        </w:tc>
        <w:tc>
          <w:tcPr>
            <w:tcW w:w="478" w:type="pct"/>
            <w:tcBorders>
              <w:top w:val="nil"/>
              <w:left w:val="nil"/>
              <w:bottom w:val="single" w:sz="4" w:space="0" w:color="auto"/>
              <w:right w:val="single" w:sz="4" w:space="0" w:color="auto"/>
            </w:tcBorders>
            <w:shd w:val="clear" w:color="auto" w:fill="auto"/>
            <w:noWrap/>
            <w:vAlign w:val="center"/>
            <w:hideMark/>
          </w:tcPr>
          <w:p w14:paraId="1B213170"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224 075,82</w:t>
            </w:r>
          </w:p>
        </w:tc>
        <w:tc>
          <w:tcPr>
            <w:tcW w:w="543" w:type="pct"/>
            <w:tcBorders>
              <w:top w:val="nil"/>
              <w:left w:val="nil"/>
              <w:bottom w:val="single" w:sz="4" w:space="0" w:color="auto"/>
              <w:right w:val="single" w:sz="4" w:space="0" w:color="auto"/>
            </w:tcBorders>
            <w:shd w:val="clear" w:color="auto" w:fill="auto"/>
            <w:noWrap/>
            <w:vAlign w:val="center"/>
            <w:hideMark/>
          </w:tcPr>
          <w:p w14:paraId="63725E97"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492 950,99</w:t>
            </w:r>
          </w:p>
        </w:tc>
        <w:tc>
          <w:tcPr>
            <w:tcW w:w="478" w:type="pct"/>
            <w:tcBorders>
              <w:top w:val="nil"/>
              <w:left w:val="nil"/>
              <w:bottom w:val="single" w:sz="4" w:space="0" w:color="auto"/>
              <w:right w:val="single" w:sz="4" w:space="0" w:color="auto"/>
            </w:tcBorders>
            <w:shd w:val="clear" w:color="auto" w:fill="auto"/>
            <w:noWrap/>
            <w:vAlign w:val="center"/>
            <w:hideMark/>
          </w:tcPr>
          <w:p w14:paraId="35A3BCF2"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160 657,05</w:t>
            </w:r>
          </w:p>
        </w:tc>
        <w:tc>
          <w:tcPr>
            <w:tcW w:w="478" w:type="pct"/>
            <w:tcBorders>
              <w:top w:val="nil"/>
              <w:left w:val="nil"/>
              <w:bottom w:val="single" w:sz="4" w:space="0" w:color="auto"/>
              <w:right w:val="single" w:sz="4" w:space="0" w:color="auto"/>
            </w:tcBorders>
            <w:shd w:val="clear" w:color="auto" w:fill="auto"/>
            <w:noWrap/>
            <w:vAlign w:val="center"/>
            <w:hideMark/>
          </w:tcPr>
          <w:p w14:paraId="65944D94"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159 337,37</w:t>
            </w:r>
          </w:p>
        </w:tc>
      </w:tr>
      <w:tr w:rsidR="00A164D2" w:rsidRPr="00DB745D" w14:paraId="7A90C778" w14:textId="77777777" w:rsidTr="005614C4">
        <w:trPr>
          <w:trHeight w:val="255"/>
        </w:trPr>
        <w:tc>
          <w:tcPr>
            <w:tcW w:w="780" w:type="pct"/>
            <w:vMerge/>
            <w:tcBorders>
              <w:top w:val="nil"/>
              <w:left w:val="single" w:sz="4" w:space="0" w:color="auto"/>
              <w:bottom w:val="single" w:sz="4" w:space="0" w:color="auto"/>
              <w:right w:val="single" w:sz="4" w:space="0" w:color="auto"/>
            </w:tcBorders>
            <w:vAlign w:val="center"/>
            <w:hideMark/>
          </w:tcPr>
          <w:p w14:paraId="5E028B85" w14:textId="77777777" w:rsidR="00A164D2" w:rsidRPr="00DB745D" w:rsidRDefault="00A164D2" w:rsidP="005614C4">
            <w:pPr>
              <w:rPr>
                <w:rFonts w:ascii="Calibri" w:eastAsia="Times New Roman" w:hAnsi="Calibri" w:cs="Calibri"/>
                <w:b/>
                <w:bCs/>
                <w:color w:val="000000"/>
                <w:sz w:val="16"/>
                <w:szCs w:val="16"/>
                <w:lang w:eastAsia="cs-CZ"/>
              </w:rPr>
            </w:pPr>
          </w:p>
        </w:tc>
        <w:tc>
          <w:tcPr>
            <w:tcW w:w="564" w:type="pct"/>
            <w:tcBorders>
              <w:top w:val="nil"/>
              <w:left w:val="nil"/>
              <w:bottom w:val="single" w:sz="4" w:space="0" w:color="auto"/>
              <w:right w:val="single" w:sz="4" w:space="0" w:color="auto"/>
            </w:tcBorders>
            <w:shd w:val="clear" w:color="auto" w:fill="auto"/>
            <w:noWrap/>
            <w:vAlign w:val="center"/>
            <w:hideMark/>
          </w:tcPr>
          <w:p w14:paraId="22AF4822" w14:textId="77777777" w:rsidR="00A164D2" w:rsidRPr="00DB745D" w:rsidRDefault="00A164D2" w:rsidP="005614C4">
            <w:pPr>
              <w:jc w:val="center"/>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05_19_117</w:t>
            </w:r>
          </w:p>
        </w:tc>
        <w:tc>
          <w:tcPr>
            <w:tcW w:w="700" w:type="pct"/>
            <w:tcBorders>
              <w:top w:val="nil"/>
              <w:left w:val="nil"/>
              <w:bottom w:val="single" w:sz="4" w:space="0" w:color="auto"/>
              <w:right w:val="single" w:sz="4" w:space="0" w:color="auto"/>
            </w:tcBorders>
            <w:shd w:val="clear" w:color="auto" w:fill="auto"/>
            <w:noWrap/>
            <w:vAlign w:val="center"/>
            <w:hideMark/>
          </w:tcPr>
          <w:p w14:paraId="396EF986"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680 479,90</w:t>
            </w:r>
          </w:p>
        </w:tc>
        <w:tc>
          <w:tcPr>
            <w:tcW w:w="494" w:type="pct"/>
            <w:tcBorders>
              <w:top w:val="nil"/>
              <w:left w:val="nil"/>
              <w:bottom w:val="single" w:sz="4" w:space="0" w:color="auto"/>
              <w:right w:val="single" w:sz="4" w:space="0" w:color="auto"/>
            </w:tcBorders>
            <w:shd w:val="clear" w:color="auto" w:fill="auto"/>
            <w:noWrap/>
            <w:vAlign w:val="center"/>
            <w:hideMark/>
          </w:tcPr>
          <w:p w14:paraId="716753DB"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224 334,58</w:t>
            </w:r>
          </w:p>
        </w:tc>
        <w:tc>
          <w:tcPr>
            <w:tcW w:w="484" w:type="pct"/>
            <w:tcBorders>
              <w:top w:val="nil"/>
              <w:left w:val="nil"/>
              <w:bottom w:val="single" w:sz="4" w:space="0" w:color="auto"/>
              <w:right w:val="single" w:sz="4" w:space="0" w:color="auto"/>
            </w:tcBorders>
            <w:shd w:val="clear" w:color="auto" w:fill="auto"/>
            <w:noWrap/>
            <w:vAlign w:val="center"/>
            <w:hideMark/>
          </w:tcPr>
          <w:p w14:paraId="2408F205"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203 068,97</w:t>
            </w:r>
          </w:p>
        </w:tc>
        <w:tc>
          <w:tcPr>
            <w:tcW w:w="478" w:type="pct"/>
            <w:tcBorders>
              <w:top w:val="nil"/>
              <w:left w:val="nil"/>
              <w:bottom w:val="single" w:sz="4" w:space="0" w:color="auto"/>
              <w:right w:val="single" w:sz="4" w:space="0" w:color="auto"/>
            </w:tcBorders>
            <w:shd w:val="clear" w:color="auto" w:fill="auto"/>
            <w:noWrap/>
            <w:vAlign w:val="center"/>
            <w:hideMark/>
          </w:tcPr>
          <w:p w14:paraId="06396E3B"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272 037,81</w:t>
            </w:r>
          </w:p>
        </w:tc>
        <w:tc>
          <w:tcPr>
            <w:tcW w:w="543" w:type="pct"/>
            <w:tcBorders>
              <w:top w:val="nil"/>
              <w:left w:val="nil"/>
              <w:bottom w:val="single" w:sz="4" w:space="0" w:color="auto"/>
              <w:right w:val="single" w:sz="4" w:space="0" w:color="auto"/>
            </w:tcBorders>
            <w:shd w:val="clear" w:color="auto" w:fill="auto"/>
            <w:noWrap/>
            <w:vAlign w:val="center"/>
            <w:hideMark/>
          </w:tcPr>
          <w:p w14:paraId="64467AB0"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743 359,84</w:t>
            </w:r>
          </w:p>
        </w:tc>
        <w:tc>
          <w:tcPr>
            <w:tcW w:w="478" w:type="pct"/>
            <w:tcBorders>
              <w:top w:val="nil"/>
              <w:left w:val="nil"/>
              <w:bottom w:val="single" w:sz="4" w:space="0" w:color="auto"/>
              <w:right w:val="single" w:sz="4" w:space="0" w:color="auto"/>
            </w:tcBorders>
            <w:shd w:val="clear" w:color="auto" w:fill="auto"/>
            <w:noWrap/>
            <w:vAlign w:val="center"/>
            <w:hideMark/>
          </w:tcPr>
          <w:p w14:paraId="7EDDA70C"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256 618,75</w:t>
            </w:r>
          </w:p>
        </w:tc>
        <w:tc>
          <w:tcPr>
            <w:tcW w:w="478" w:type="pct"/>
            <w:tcBorders>
              <w:top w:val="nil"/>
              <w:left w:val="nil"/>
              <w:bottom w:val="single" w:sz="4" w:space="0" w:color="auto"/>
              <w:right w:val="single" w:sz="4" w:space="0" w:color="auto"/>
            </w:tcBorders>
            <w:shd w:val="clear" w:color="auto" w:fill="auto"/>
            <w:noWrap/>
            <w:vAlign w:val="center"/>
            <w:hideMark/>
          </w:tcPr>
          <w:p w14:paraId="185E73E5" w14:textId="77777777" w:rsidR="00A164D2" w:rsidRPr="00DB745D" w:rsidRDefault="00A164D2" w:rsidP="005614C4">
            <w:pPr>
              <w:jc w:val="right"/>
              <w:rPr>
                <w:rFonts w:ascii="Calibri" w:eastAsia="Times New Roman" w:hAnsi="Calibri" w:cs="Calibri"/>
                <w:color w:val="000000"/>
                <w:sz w:val="16"/>
                <w:szCs w:val="16"/>
                <w:lang w:eastAsia="cs-CZ"/>
              </w:rPr>
            </w:pPr>
            <w:r w:rsidRPr="00DB745D">
              <w:rPr>
                <w:rFonts w:ascii="Calibri" w:eastAsia="Times New Roman" w:hAnsi="Calibri" w:cs="Calibri"/>
                <w:color w:val="000000"/>
                <w:sz w:val="16"/>
                <w:szCs w:val="16"/>
                <w:lang w:eastAsia="cs-CZ"/>
              </w:rPr>
              <w:t>184 074,35</w:t>
            </w:r>
          </w:p>
        </w:tc>
      </w:tr>
      <w:tr w:rsidR="00A164D2" w:rsidRPr="00DB745D" w14:paraId="5168AE36" w14:textId="77777777" w:rsidTr="005614C4">
        <w:trPr>
          <w:trHeight w:val="255"/>
        </w:trPr>
        <w:tc>
          <w:tcPr>
            <w:tcW w:w="134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1380A" w14:textId="77777777" w:rsidR="00A164D2" w:rsidRPr="00DB745D" w:rsidRDefault="00A164D2" w:rsidP="005614C4">
            <w:pPr>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Celkem</w:t>
            </w:r>
          </w:p>
        </w:tc>
        <w:tc>
          <w:tcPr>
            <w:tcW w:w="700" w:type="pct"/>
            <w:tcBorders>
              <w:top w:val="nil"/>
              <w:left w:val="nil"/>
              <w:bottom w:val="single" w:sz="4" w:space="0" w:color="auto"/>
              <w:right w:val="single" w:sz="4" w:space="0" w:color="auto"/>
            </w:tcBorders>
            <w:shd w:val="clear" w:color="auto" w:fill="auto"/>
            <w:noWrap/>
            <w:vAlign w:val="center"/>
            <w:hideMark/>
          </w:tcPr>
          <w:p w14:paraId="240F8B69"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2 039 685,75</w:t>
            </w:r>
          </w:p>
        </w:tc>
        <w:tc>
          <w:tcPr>
            <w:tcW w:w="494" w:type="pct"/>
            <w:tcBorders>
              <w:top w:val="nil"/>
              <w:left w:val="nil"/>
              <w:bottom w:val="single" w:sz="4" w:space="0" w:color="auto"/>
              <w:right w:val="single" w:sz="4" w:space="0" w:color="auto"/>
            </w:tcBorders>
            <w:shd w:val="clear" w:color="auto" w:fill="auto"/>
            <w:noWrap/>
            <w:vAlign w:val="center"/>
            <w:hideMark/>
          </w:tcPr>
          <w:p w14:paraId="03640255"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578 221,07</w:t>
            </w:r>
          </w:p>
        </w:tc>
        <w:tc>
          <w:tcPr>
            <w:tcW w:w="484" w:type="pct"/>
            <w:tcBorders>
              <w:top w:val="nil"/>
              <w:left w:val="nil"/>
              <w:bottom w:val="single" w:sz="4" w:space="0" w:color="auto"/>
              <w:right w:val="single" w:sz="4" w:space="0" w:color="auto"/>
            </w:tcBorders>
            <w:shd w:val="clear" w:color="auto" w:fill="auto"/>
            <w:noWrap/>
            <w:vAlign w:val="center"/>
            <w:hideMark/>
          </w:tcPr>
          <w:p w14:paraId="2EBA196C"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576 145,61</w:t>
            </w:r>
          </w:p>
        </w:tc>
        <w:tc>
          <w:tcPr>
            <w:tcW w:w="478" w:type="pct"/>
            <w:tcBorders>
              <w:top w:val="nil"/>
              <w:left w:val="nil"/>
              <w:bottom w:val="single" w:sz="4" w:space="0" w:color="auto"/>
              <w:right w:val="single" w:sz="4" w:space="0" w:color="auto"/>
            </w:tcBorders>
            <w:shd w:val="clear" w:color="auto" w:fill="auto"/>
            <w:noWrap/>
            <w:vAlign w:val="center"/>
            <w:hideMark/>
          </w:tcPr>
          <w:p w14:paraId="346E13F6"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749 254,81</w:t>
            </w:r>
          </w:p>
        </w:tc>
        <w:tc>
          <w:tcPr>
            <w:tcW w:w="543" w:type="pct"/>
            <w:tcBorders>
              <w:top w:val="nil"/>
              <w:left w:val="nil"/>
              <w:bottom w:val="single" w:sz="4" w:space="0" w:color="auto"/>
              <w:right w:val="single" w:sz="4" w:space="0" w:color="auto"/>
            </w:tcBorders>
            <w:shd w:val="clear" w:color="auto" w:fill="auto"/>
            <w:noWrap/>
            <w:vAlign w:val="center"/>
            <w:hideMark/>
          </w:tcPr>
          <w:p w14:paraId="7E008208"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1 748 812,49</w:t>
            </w:r>
          </w:p>
        </w:tc>
        <w:tc>
          <w:tcPr>
            <w:tcW w:w="478" w:type="pct"/>
            <w:tcBorders>
              <w:top w:val="nil"/>
              <w:left w:val="nil"/>
              <w:bottom w:val="single" w:sz="4" w:space="0" w:color="auto"/>
              <w:right w:val="single" w:sz="4" w:space="0" w:color="auto"/>
            </w:tcBorders>
            <w:shd w:val="clear" w:color="auto" w:fill="auto"/>
            <w:noWrap/>
            <w:vAlign w:val="center"/>
            <w:hideMark/>
          </w:tcPr>
          <w:p w14:paraId="7489598D"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594 701,15</w:t>
            </w:r>
          </w:p>
        </w:tc>
        <w:tc>
          <w:tcPr>
            <w:tcW w:w="478" w:type="pct"/>
            <w:tcBorders>
              <w:top w:val="nil"/>
              <w:left w:val="nil"/>
              <w:bottom w:val="single" w:sz="4" w:space="0" w:color="auto"/>
              <w:right w:val="single" w:sz="4" w:space="0" w:color="auto"/>
            </w:tcBorders>
            <w:shd w:val="clear" w:color="auto" w:fill="auto"/>
            <w:noWrap/>
            <w:vAlign w:val="center"/>
            <w:hideMark/>
          </w:tcPr>
          <w:p w14:paraId="543D5EBF" w14:textId="77777777" w:rsidR="00A164D2" w:rsidRPr="00DB745D" w:rsidRDefault="00A164D2" w:rsidP="005614C4">
            <w:pPr>
              <w:jc w:val="right"/>
              <w:rPr>
                <w:rFonts w:ascii="Calibri" w:eastAsia="Times New Roman" w:hAnsi="Calibri" w:cs="Calibri"/>
                <w:b/>
                <w:bCs/>
                <w:color w:val="000000"/>
                <w:sz w:val="16"/>
                <w:szCs w:val="16"/>
                <w:lang w:eastAsia="cs-CZ"/>
              </w:rPr>
            </w:pPr>
            <w:r w:rsidRPr="00DB745D">
              <w:rPr>
                <w:rFonts w:ascii="Calibri" w:eastAsia="Times New Roman" w:hAnsi="Calibri" w:cs="Calibri"/>
                <w:b/>
                <w:bCs/>
                <w:color w:val="000000"/>
                <w:sz w:val="16"/>
                <w:szCs w:val="16"/>
                <w:lang w:eastAsia="cs-CZ"/>
              </w:rPr>
              <w:t>519 694,85</w:t>
            </w:r>
          </w:p>
        </w:tc>
      </w:tr>
    </w:tbl>
    <w:p w14:paraId="37F02BE1" w14:textId="385E1B4F" w:rsidR="001807A0" w:rsidRDefault="00A164D2" w:rsidP="00894E40">
      <w:pPr>
        <w:tabs>
          <w:tab w:val="left" w:pos="567"/>
          <w:tab w:val="left" w:pos="1134"/>
        </w:tabs>
        <w:spacing w:before="40"/>
        <w:jc w:val="both"/>
        <w:rPr>
          <w:sz w:val="20"/>
        </w:rPr>
      </w:pPr>
      <w:r w:rsidRPr="00DB745D">
        <w:rPr>
          <w:b/>
          <w:sz w:val="20"/>
        </w:rPr>
        <w:t>Zdroj:</w:t>
      </w:r>
      <w:r w:rsidR="00EB32B8">
        <w:rPr>
          <w:b/>
          <w:sz w:val="20"/>
        </w:rPr>
        <w:t xml:space="preserve"> </w:t>
      </w:r>
      <w:r w:rsidR="00EB32B8">
        <w:rPr>
          <w:sz w:val="20"/>
        </w:rPr>
        <w:t>i</w:t>
      </w:r>
      <w:r w:rsidRPr="00DB745D">
        <w:rPr>
          <w:sz w:val="20"/>
        </w:rPr>
        <w:t>nformace MŽP.</w:t>
      </w:r>
      <w:r w:rsidR="001807A0">
        <w:rPr>
          <w:sz w:val="20"/>
        </w:rPr>
        <w:br w:type="page"/>
      </w:r>
    </w:p>
    <w:p w14:paraId="499948F5" w14:textId="6BA06BBE" w:rsidR="0066538F" w:rsidRDefault="00A35747" w:rsidP="0066538F">
      <w:pPr>
        <w:pStyle w:val="Titulek"/>
        <w:tabs>
          <w:tab w:val="right" w:pos="9072"/>
        </w:tabs>
        <w:spacing w:after="40"/>
        <w:jc w:val="right"/>
        <w:outlineLvl w:val="0"/>
        <w:rPr>
          <w:b/>
        </w:rPr>
      </w:pPr>
      <w:r w:rsidRPr="00303804">
        <w:rPr>
          <w:b/>
        </w:rPr>
        <w:lastRenderedPageBreak/>
        <w:t xml:space="preserve">Příloha č. </w:t>
      </w:r>
      <w:r w:rsidRPr="00303804">
        <w:rPr>
          <w:b/>
        </w:rPr>
        <w:fldChar w:fldCharType="begin"/>
      </w:r>
      <w:r w:rsidRPr="00303804">
        <w:rPr>
          <w:b/>
        </w:rPr>
        <w:instrText xml:space="preserve"> SEQ Příloha_č. \* ARABIC </w:instrText>
      </w:r>
      <w:r w:rsidRPr="00303804">
        <w:rPr>
          <w:b/>
        </w:rPr>
        <w:fldChar w:fldCharType="separate"/>
      </w:r>
      <w:r w:rsidR="000D2E96">
        <w:rPr>
          <w:b/>
          <w:noProof/>
        </w:rPr>
        <w:t>8</w:t>
      </w:r>
      <w:r w:rsidRPr="00303804">
        <w:rPr>
          <w:b/>
        </w:rPr>
        <w:fldChar w:fldCharType="end"/>
      </w:r>
    </w:p>
    <w:p w14:paraId="6E2F5CED" w14:textId="4EAC788B" w:rsidR="00A35747" w:rsidRDefault="00A35747" w:rsidP="00A35747">
      <w:pPr>
        <w:pStyle w:val="Titulek"/>
        <w:tabs>
          <w:tab w:val="right" w:pos="9072"/>
        </w:tabs>
        <w:spacing w:after="40"/>
        <w:outlineLvl w:val="0"/>
        <w:rPr>
          <w:b/>
        </w:rPr>
      </w:pPr>
      <w:r>
        <w:rPr>
          <w:b/>
        </w:rPr>
        <w:t>Dotazníkové šetření</w:t>
      </w:r>
    </w:p>
    <w:p w14:paraId="09E9A9EB" w14:textId="1C4C1BAA" w:rsidR="00DC3373" w:rsidRDefault="00A1585A" w:rsidP="0066538F">
      <w:pPr>
        <w:spacing w:before="120" w:after="120"/>
        <w:jc w:val="both"/>
      </w:pPr>
      <w:r>
        <w:t>NKÚ provedl v rámci kontrolní akce č. 23/07 kvantitativní výzkum metodou standardizovaného dotazníku</w:t>
      </w:r>
      <w:r w:rsidR="007910CD">
        <w:t>, a to ve dvou verzích</w:t>
      </w:r>
      <w:r w:rsidR="00DC3373">
        <w:t xml:space="preserve"> pro příjemce dotací na výměnu nevyhovujících zdrojů vytápění z OPŽP </w:t>
      </w:r>
      <w:r w:rsidR="007910CD">
        <w:t>a</w:t>
      </w:r>
      <w:r w:rsidR="00DC3373">
        <w:t xml:space="preserve"> NZÚ. </w:t>
      </w:r>
      <w:r w:rsidR="0088097B" w:rsidRPr="0088097B">
        <w:t xml:space="preserve">Účelem dotazníkového šetření </w:t>
      </w:r>
      <w:r w:rsidR="0088097B">
        <w:t>bylo</w:t>
      </w:r>
      <w:r w:rsidR="0088097B" w:rsidRPr="0088097B">
        <w:t xml:space="preserve"> získat doplňkové informace k poskytnuté podpoře od samotných příjemců dotace určené na výměnu zdrojů vytápění v domácnostech.</w:t>
      </w:r>
      <w:r w:rsidR="0088097B">
        <w:t xml:space="preserve"> </w:t>
      </w:r>
      <w:r w:rsidR="00DC3373">
        <w:t xml:space="preserve">NKÚ prostřednictvím elektronického zaslání dotazníku oslovil </w:t>
      </w:r>
      <w:r w:rsidR="00DC3373" w:rsidRPr="00DC3373">
        <w:t>71</w:t>
      </w:r>
      <w:r w:rsidR="00DC3373">
        <w:t> </w:t>
      </w:r>
      <w:r w:rsidR="00DC3373" w:rsidRPr="00DC3373">
        <w:t>142</w:t>
      </w:r>
      <w:r w:rsidR="00DC3373">
        <w:t xml:space="preserve"> příjemců kotlíkových dotací z OPŽP a </w:t>
      </w:r>
      <w:r w:rsidR="00DC3373" w:rsidRPr="00DC3373">
        <w:t>87</w:t>
      </w:r>
      <w:r w:rsidR="00DC3373">
        <w:t> </w:t>
      </w:r>
      <w:r w:rsidR="00DC3373" w:rsidRPr="00DC3373">
        <w:t>102</w:t>
      </w:r>
      <w:r w:rsidR="00DC3373">
        <w:t xml:space="preserve"> příjemců dotací z programu NZÚ (podle dat předložených SFŽP). Na tento dotazník odpovědělo celkem </w:t>
      </w:r>
      <w:r w:rsidR="00DC3373" w:rsidRPr="00DC3373">
        <w:t>5</w:t>
      </w:r>
      <w:r w:rsidR="00DC3373">
        <w:t> </w:t>
      </w:r>
      <w:r w:rsidR="00DC3373" w:rsidRPr="00DC3373">
        <w:t>637</w:t>
      </w:r>
      <w:r w:rsidR="00DC3373">
        <w:t xml:space="preserve"> </w:t>
      </w:r>
      <w:r w:rsidR="00E837CC">
        <w:t>respondentů</w:t>
      </w:r>
      <w:r w:rsidR="00DC3373">
        <w:t xml:space="preserve"> z OPŽP a</w:t>
      </w:r>
      <w:r w:rsidR="00E837CC">
        <w:t> </w:t>
      </w:r>
      <w:r w:rsidR="00DC3373" w:rsidRPr="00DC3373">
        <w:t>16</w:t>
      </w:r>
      <w:r w:rsidR="00DC3373">
        <w:t> </w:t>
      </w:r>
      <w:r w:rsidR="00DC3373" w:rsidRPr="00DC3373">
        <w:t>395</w:t>
      </w:r>
      <w:r w:rsidR="00DC3373">
        <w:t xml:space="preserve"> </w:t>
      </w:r>
      <w:r w:rsidR="00E837CC">
        <w:t>respondentů</w:t>
      </w:r>
      <w:r w:rsidR="00DC3373">
        <w:t xml:space="preserve"> z</w:t>
      </w:r>
      <w:r w:rsidR="00E837CC">
        <w:t> </w:t>
      </w:r>
      <w:r w:rsidR="00DC3373">
        <w:t>NZÚ</w:t>
      </w:r>
      <w:r w:rsidR="00E837CC">
        <w:t>.</w:t>
      </w:r>
      <w:r w:rsidR="00FE0215">
        <w:t xml:space="preserve"> Dotazníkové šetření bylo dobrovolné a anonymní.</w:t>
      </w:r>
    </w:p>
    <w:p w14:paraId="101B8BF0" w14:textId="59207C95" w:rsidR="009068FC" w:rsidRDefault="002A79EA" w:rsidP="0066538F">
      <w:pPr>
        <w:spacing w:before="120" w:after="120"/>
        <w:jc w:val="both"/>
      </w:pPr>
      <w:r>
        <w:t>Dotazník</w:t>
      </w:r>
      <w:r w:rsidR="00E837CC">
        <w:t xml:space="preserve"> obsahoval </w:t>
      </w:r>
      <w:r w:rsidR="007910CD">
        <w:t>maximálně 12 otázek (v závislosti na filtrování odpovědí). Poslední otázka u obou variant dotazníků sloužila k doplnění či vyjádření postoje respondenta. Některé otázky v dotazníku nabízely doplnění v podobě otevřené odpovědi.</w:t>
      </w:r>
    </w:p>
    <w:p w14:paraId="2DE4E087" w14:textId="40B68D6D" w:rsidR="007910CD" w:rsidRDefault="007910CD" w:rsidP="0066538F">
      <w:pPr>
        <w:spacing w:before="120" w:after="120"/>
      </w:pPr>
      <w:r>
        <w:t>Dotazníkové šetření probíhal</w:t>
      </w:r>
      <w:r w:rsidR="00FE0215">
        <w:t>o</w:t>
      </w:r>
      <w:r>
        <w:t xml:space="preserve"> v období od 13. </w:t>
      </w:r>
      <w:r w:rsidR="00FE0215">
        <w:t>9.</w:t>
      </w:r>
      <w:r>
        <w:t xml:space="preserve"> 2023 do 27. </w:t>
      </w:r>
      <w:r w:rsidR="00FE0215">
        <w:t>9.</w:t>
      </w:r>
      <w:r>
        <w:t xml:space="preserve"> 2023</w:t>
      </w:r>
      <w:r w:rsidR="00E14921">
        <w:t>.</w:t>
      </w:r>
    </w:p>
    <w:p w14:paraId="31C439CE" w14:textId="0B26AFDE" w:rsidR="00A1585A" w:rsidRDefault="005933B8" w:rsidP="0066538F">
      <w:pPr>
        <w:spacing w:before="120" w:after="120"/>
      </w:pPr>
      <w:r>
        <w:t xml:space="preserve">Výstupy dotazníkového šetření viz </w:t>
      </w:r>
      <w:hyperlink r:id="rId24" w:history="1">
        <w:r w:rsidR="00AA3F76" w:rsidRPr="00744134">
          <w:rPr>
            <w:rStyle w:val="Hypertextovodkaz"/>
          </w:rPr>
          <w:t>https://www.nku.cz/scripts/detail.php?id=13866</w:t>
        </w:r>
      </w:hyperlink>
      <w:r>
        <w:t xml:space="preserve">. </w:t>
      </w:r>
      <w:bookmarkStart w:id="27" w:name="_GoBack"/>
      <w:bookmarkEnd w:id="27"/>
    </w:p>
    <w:p w14:paraId="26BA6720" w14:textId="5812F257" w:rsidR="00AC7556" w:rsidRDefault="00AC7556" w:rsidP="00A1585A"/>
    <w:p w14:paraId="69E7EAE4" w14:textId="012B0D44" w:rsidR="00AC7556" w:rsidRDefault="00AC7556" w:rsidP="00A1585A"/>
    <w:p w14:paraId="4159CAB8" w14:textId="2D830F1F" w:rsidR="0088097B" w:rsidRDefault="00AC7556" w:rsidP="00AC7556">
      <w:pPr>
        <w:jc w:val="center"/>
      </w:pPr>
      <w:r>
        <w:rPr>
          <w:noProof/>
        </w:rPr>
        <w:drawing>
          <wp:inline distT="0" distB="0" distL="0" distR="0" wp14:anchorId="0654F50D" wp14:editId="0449AB2C">
            <wp:extent cx="1140073" cy="1140073"/>
            <wp:effectExtent l="0" t="0" r="3175"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 23-07.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8131" cy="1148131"/>
                    </a:xfrm>
                    <a:prstGeom prst="rect">
                      <a:avLst/>
                    </a:prstGeom>
                  </pic:spPr>
                </pic:pic>
              </a:graphicData>
            </a:graphic>
          </wp:inline>
        </w:drawing>
      </w:r>
      <w:bookmarkEnd w:id="26"/>
    </w:p>
    <w:sectPr w:rsidR="0088097B" w:rsidSect="001B0A18">
      <w:headerReference w:type="first" r:id="rId26"/>
      <w:footnotePr>
        <w:numStart w:val="3"/>
      </w:footnotePr>
      <w:type w:val="continuous"/>
      <w:pgSz w:w="11906" w:h="16838"/>
      <w:pgMar w:top="1417" w:right="1417" w:bottom="1417" w:left="1417" w:header="709" w:footer="6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60BBF" w14:textId="77777777" w:rsidR="00165274" w:rsidRDefault="00165274">
      <w:r>
        <w:separator/>
      </w:r>
    </w:p>
  </w:endnote>
  <w:endnote w:type="continuationSeparator" w:id="0">
    <w:p w14:paraId="5112A58C" w14:textId="77777777" w:rsidR="00165274" w:rsidRDefault="00165274">
      <w:r>
        <w:continuationSeparator/>
      </w:r>
    </w:p>
  </w:endnote>
  <w:endnote w:type="continuationNotice" w:id="1">
    <w:p w14:paraId="54EC94CA" w14:textId="77777777" w:rsidR="00165274" w:rsidRDefault="0016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508844"/>
      <w:docPartObj>
        <w:docPartGallery w:val="Page Numbers (Bottom of Page)"/>
        <w:docPartUnique/>
      </w:docPartObj>
    </w:sdtPr>
    <w:sdtEndPr/>
    <w:sdtContent>
      <w:p w14:paraId="3AFFEE90" w14:textId="40226DA8" w:rsidR="00165274" w:rsidRDefault="00165274" w:rsidP="00FE7FAA">
        <w:pPr>
          <w:pStyle w:val="Zpat"/>
          <w:jc w:val="center"/>
        </w:pPr>
        <w:r>
          <w:fldChar w:fldCharType="begin"/>
        </w:r>
        <w:r>
          <w:instrText>PAGE   \* MERGEFORMAT</w:instrText>
        </w:r>
        <w:r>
          <w:fldChar w:fldCharType="separate"/>
        </w:r>
        <w:r>
          <w:t>25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EEDF" w14:textId="77777777" w:rsidR="00165274" w:rsidRDefault="00165274" w:rsidP="001B0A18">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176018"/>
      <w:docPartObj>
        <w:docPartGallery w:val="Page Numbers (Bottom of Page)"/>
        <w:docPartUnique/>
      </w:docPartObj>
    </w:sdtPr>
    <w:sdtEndPr/>
    <w:sdtContent>
      <w:p w14:paraId="3E5BA41D" w14:textId="1852133E" w:rsidR="00165274" w:rsidRDefault="00165274" w:rsidP="005C154B">
        <w:pPr>
          <w:pStyle w:val="Zpat"/>
          <w:jc w:val="center"/>
        </w:pPr>
        <w:r>
          <w:fldChar w:fldCharType="begin"/>
        </w:r>
        <w:r>
          <w:instrText>PAGE   \* MERGEFORMAT</w:instrText>
        </w:r>
        <w:r>
          <w:fldChar w:fldCharType="separate"/>
        </w:r>
        <w: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1E842" w14:textId="77777777" w:rsidR="00165274" w:rsidRDefault="00165274" w:rsidP="00CA2C1A">
      <w:r>
        <w:separator/>
      </w:r>
    </w:p>
  </w:footnote>
  <w:footnote w:type="continuationSeparator" w:id="0">
    <w:p w14:paraId="7135592E" w14:textId="77777777" w:rsidR="00165274" w:rsidRDefault="00165274" w:rsidP="00CA2C1A">
      <w:r>
        <w:continuationSeparator/>
      </w:r>
    </w:p>
  </w:footnote>
  <w:footnote w:type="continuationNotice" w:id="1">
    <w:p w14:paraId="745D383E" w14:textId="77777777" w:rsidR="00165274" w:rsidRDefault="00165274"/>
  </w:footnote>
  <w:footnote w:id="2">
    <w:p w14:paraId="24684E4F" w14:textId="5F2885DB" w:rsidR="00165274" w:rsidRDefault="00165274" w:rsidP="00CE564D">
      <w:pPr>
        <w:pStyle w:val="Textpoznpodarou"/>
        <w:ind w:left="284" w:hanging="284"/>
        <w:jc w:val="both"/>
      </w:pPr>
      <w:r>
        <w:rPr>
          <w:rStyle w:val="Znakapoznpodarou"/>
        </w:rPr>
        <w:footnoteRef/>
      </w:r>
      <w:r>
        <w:t xml:space="preserve"> </w:t>
      </w:r>
      <w:r>
        <w:tab/>
      </w:r>
      <w:r w:rsidRPr="00EF67D4">
        <w:t xml:space="preserve">Jedná se o celoevropský problém. </w:t>
      </w:r>
      <w:r>
        <w:t>Podle</w:t>
      </w:r>
      <w:r w:rsidRPr="00EF67D4">
        <w:t xml:space="preserve"> Evropské komise byla v roce 2020 většina lidí žijících v městských oblastech v EU vystavena znečištění ovzduší na úrovni, která poškozuje jejich zdraví.</w:t>
      </w:r>
    </w:p>
    <w:p w14:paraId="5090E38C" w14:textId="4A0D9049" w:rsidR="00165274" w:rsidRDefault="00165274" w:rsidP="00CE564D">
      <w:pPr>
        <w:pStyle w:val="Textpoznpodarou"/>
        <w:ind w:left="284"/>
        <w:jc w:val="both"/>
      </w:pPr>
      <w:r>
        <w:t>M</w:t>
      </w:r>
      <w:r w:rsidRPr="004246D0">
        <w:t>ezi nejvýznamnější znečišťující látky ovzduší v Č</w:t>
      </w:r>
      <w:r>
        <w:t>R</w:t>
      </w:r>
      <w:r w:rsidRPr="004246D0">
        <w:t xml:space="preserve"> patří prachové částice </w:t>
      </w:r>
      <w:r>
        <w:t>(</w:t>
      </w:r>
      <w:r w:rsidRPr="004246D0">
        <w:t>PM</w:t>
      </w:r>
      <w:r w:rsidRPr="004246D0">
        <w:rPr>
          <w:vertAlign w:val="subscript"/>
        </w:rPr>
        <w:t>2,5</w:t>
      </w:r>
      <w:r w:rsidRPr="004246D0">
        <w:t xml:space="preserve"> a PM</w:t>
      </w:r>
      <w:r w:rsidRPr="004246D0">
        <w:rPr>
          <w:vertAlign w:val="subscript"/>
        </w:rPr>
        <w:t>10</w:t>
      </w:r>
      <w:r>
        <w:t>),</w:t>
      </w:r>
      <w:r w:rsidRPr="004246D0">
        <w:t xml:space="preserve"> benzo</w:t>
      </w:r>
      <w:r>
        <w:t>(</w:t>
      </w:r>
      <w:r w:rsidRPr="004246D0">
        <w:t>a</w:t>
      </w:r>
      <w:r>
        <w:t>)</w:t>
      </w:r>
      <w:r w:rsidRPr="004246D0">
        <w:t>pyren</w:t>
      </w:r>
      <w:r>
        <w:t xml:space="preserve"> (B(a)P)</w:t>
      </w:r>
      <w:r w:rsidRPr="004246D0">
        <w:t>, oxidy dusíku</w:t>
      </w:r>
      <w:r>
        <w:t xml:space="preserve"> (NO</w:t>
      </w:r>
      <w:r w:rsidRPr="00302D9A">
        <w:rPr>
          <w:vertAlign w:val="subscript"/>
        </w:rPr>
        <w:t>X</w:t>
      </w:r>
      <w:r>
        <w:t>)</w:t>
      </w:r>
      <w:r w:rsidRPr="004246D0">
        <w:t xml:space="preserve"> a přízemní ozon (O</w:t>
      </w:r>
      <w:r w:rsidRPr="004246D0">
        <w:rPr>
          <w:vertAlign w:val="subscript"/>
        </w:rPr>
        <w:t>3</w:t>
      </w:r>
      <w:r w:rsidRPr="004246D0">
        <w:t>), což se projevuje jednak v malých sídlech, kde domácnosti topí tuhými palivy, jednak v průmyslových a</w:t>
      </w:r>
      <w:r>
        <w:t> </w:t>
      </w:r>
      <w:r w:rsidRPr="004246D0">
        <w:t>dopravně zatížených oblastech.</w:t>
      </w:r>
    </w:p>
  </w:footnote>
  <w:footnote w:id="3">
    <w:p w14:paraId="617655B3" w14:textId="375C7014" w:rsidR="00165274" w:rsidRDefault="00165274" w:rsidP="00CE564D">
      <w:pPr>
        <w:pStyle w:val="Textpoznpodarou"/>
        <w:ind w:left="284" w:hanging="284"/>
        <w:jc w:val="both"/>
      </w:pPr>
      <w:r>
        <w:rPr>
          <w:rStyle w:val="Znakapoznpodarou"/>
        </w:rPr>
        <w:footnoteRef/>
      </w:r>
      <w:r>
        <w:t xml:space="preserve"> </w:t>
      </w:r>
      <w:r>
        <w:tab/>
      </w:r>
      <w:r w:rsidRPr="00023F3B">
        <w:t>Imisní limit je</w:t>
      </w:r>
      <w:r>
        <w:t xml:space="preserve"> zákonem stanovená</w:t>
      </w:r>
      <w:r w:rsidRPr="00023F3B">
        <w:t xml:space="preserve"> nejvyšší přípustná </w:t>
      </w:r>
      <w:r w:rsidRPr="002D56FA">
        <w:t xml:space="preserve">úroveň znečištění ovzduší, vyjádřená v jednotkách hmotnostní koncentrace. Vybrané platné imisní limity jsou uvedeny v příloze č. 1 </w:t>
      </w:r>
      <w:r>
        <w:t xml:space="preserve">tohoto </w:t>
      </w:r>
      <w:r w:rsidRPr="002D56FA">
        <w:t>kontrolního závěru. V příloze č.</w:t>
      </w:r>
      <w:r>
        <w:t> </w:t>
      </w:r>
      <w:r w:rsidRPr="002D56FA">
        <w:t xml:space="preserve">2 </w:t>
      </w:r>
      <w:r>
        <w:t xml:space="preserve">jsou uvedeny informace o </w:t>
      </w:r>
      <w:r w:rsidRPr="002D56FA">
        <w:t>nedodržov</w:t>
      </w:r>
      <w:r>
        <w:t>ání</w:t>
      </w:r>
      <w:r w:rsidRPr="002D56FA">
        <w:t xml:space="preserve"> imisních limitů v ČR v období let 2013 až 2022.</w:t>
      </w:r>
      <w:r>
        <w:t xml:space="preserve"> V příloze č. 3</w:t>
      </w:r>
      <w:r w:rsidRPr="00BC175F">
        <w:t xml:space="preserve"> </w:t>
      </w:r>
      <w:r w:rsidRPr="002D56FA">
        <w:t>je uvede</w:t>
      </w:r>
      <w:r>
        <w:t>n</w:t>
      </w:r>
      <w:r w:rsidRPr="002D56FA">
        <w:t xml:space="preserve"> přehled znečišťujících látek ovzduší</w:t>
      </w:r>
      <w:r>
        <w:t>.</w:t>
      </w:r>
    </w:p>
  </w:footnote>
  <w:footnote w:id="4">
    <w:p w14:paraId="13C2A27A" w14:textId="70446DE7" w:rsidR="00165274" w:rsidRDefault="00165274" w:rsidP="00CE564D">
      <w:pPr>
        <w:pStyle w:val="Textpoznpodarou"/>
        <w:ind w:left="284" w:hanging="284"/>
        <w:jc w:val="both"/>
      </w:pPr>
      <w:r>
        <w:rPr>
          <w:rStyle w:val="Znakapoznpodarou"/>
        </w:rPr>
        <w:footnoteRef/>
      </w:r>
      <w:r>
        <w:t xml:space="preserve"> </w:t>
      </w:r>
      <w:r>
        <w:tab/>
        <w:t xml:space="preserve">Usnesení vlády ČR ze dne 2. prosince 2015 č. 979, </w:t>
      </w:r>
      <w:r w:rsidRPr="002F3B4E">
        <w:rPr>
          <w:i/>
        </w:rPr>
        <w:t>o Střednědobé strategii (do roku 2020) zlepšení kvality ovzduší v České republice</w:t>
      </w:r>
      <w:r>
        <w:t>.</w:t>
      </w:r>
    </w:p>
  </w:footnote>
  <w:footnote w:id="5">
    <w:p w14:paraId="2CDFCBC2" w14:textId="309C0A6B" w:rsidR="00165274" w:rsidRDefault="00165274" w:rsidP="00CE564D">
      <w:pPr>
        <w:pStyle w:val="Textpoznpodarou"/>
        <w:ind w:left="284" w:hanging="284"/>
        <w:jc w:val="both"/>
      </w:pPr>
      <w:r>
        <w:rPr>
          <w:rStyle w:val="Znakapoznpodarou"/>
        </w:rPr>
        <w:footnoteRef/>
      </w:r>
      <w:r>
        <w:t xml:space="preserve"> </w:t>
      </w:r>
      <w:r>
        <w:tab/>
      </w:r>
      <w:r w:rsidRPr="00023F3B">
        <w:t>Emisí se rozumí vnášení látek do ovzduší vyjádřené v hmotnostních jednotkách.</w:t>
      </w:r>
    </w:p>
  </w:footnote>
  <w:footnote w:id="6">
    <w:p w14:paraId="2098961D" w14:textId="685738E8" w:rsidR="00165274" w:rsidRDefault="00165274" w:rsidP="00CE564D">
      <w:pPr>
        <w:pStyle w:val="Textpoznpodarou"/>
        <w:ind w:left="284" w:hanging="284"/>
        <w:jc w:val="both"/>
      </w:pPr>
      <w:r>
        <w:rPr>
          <w:rStyle w:val="Znakapoznpodarou"/>
        </w:rPr>
        <w:footnoteRef/>
      </w:r>
      <w:r>
        <w:t xml:space="preserve"> </w:t>
      </w:r>
      <w:r>
        <w:tab/>
        <w:t xml:space="preserve">Zpravidla </w:t>
      </w:r>
      <w:r w:rsidRPr="00FC24A3">
        <w:t>kolový nakladač</w:t>
      </w:r>
      <w:r>
        <w:t xml:space="preserve"> nebo </w:t>
      </w:r>
      <w:r w:rsidRPr="00FC24A3">
        <w:t>smykem řízený nakladač, traktor či teleskopický manipulátor</w:t>
      </w:r>
      <w:r>
        <w:t>.</w:t>
      </w:r>
    </w:p>
  </w:footnote>
  <w:footnote w:id="7">
    <w:p w14:paraId="10FC5713" w14:textId="689F5B75" w:rsidR="00165274" w:rsidRDefault="00165274" w:rsidP="00CE564D">
      <w:pPr>
        <w:pStyle w:val="Textpoznpodarou"/>
        <w:ind w:left="284" w:hanging="284"/>
        <w:jc w:val="both"/>
      </w:pPr>
      <w:r>
        <w:rPr>
          <w:rStyle w:val="Znakapoznpodarou"/>
        </w:rPr>
        <w:footnoteRef/>
      </w:r>
      <w:r>
        <w:t xml:space="preserve"> </w:t>
      </w:r>
      <w:r>
        <w:tab/>
      </w:r>
      <w:r w:rsidRPr="00B422A4">
        <w:t>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w:t>
      </w:r>
      <w:r>
        <w:t> </w:t>
      </w:r>
      <w:r w:rsidRPr="00B422A4">
        <w:t>Evropském fondu pro regionální rozvoj, Evropském sociálním fondu, Fondu soudržnosti a</w:t>
      </w:r>
      <w:r>
        <w:t> </w:t>
      </w:r>
      <w:r w:rsidRPr="00B422A4">
        <w:t>Evropském námořním a rybářském fondu a o zrušení nařízení Rady (ES) č. 1083/2006</w:t>
      </w:r>
      <w:r>
        <w:t>.</w:t>
      </w:r>
    </w:p>
  </w:footnote>
  <w:footnote w:id="8">
    <w:p w14:paraId="22C5CD6A" w14:textId="632B2947" w:rsidR="00165274" w:rsidRPr="00302D9A" w:rsidRDefault="00165274" w:rsidP="00CE564D">
      <w:pPr>
        <w:pStyle w:val="Textpoznpodarou"/>
        <w:ind w:left="284" w:hanging="284"/>
        <w:jc w:val="both"/>
      </w:pPr>
      <w:r>
        <w:rPr>
          <w:rStyle w:val="Znakapoznpodarou"/>
        </w:rPr>
        <w:footnoteRef/>
      </w:r>
      <w:r>
        <w:t xml:space="preserve"> </w:t>
      </w:r>
      <w:r>
        <w:tab/>
        <w:t>Informace o nedodržovaných imisních limitech v období let 2013 až 2022 jsou uvedeny v příloze č. 2 tohoto kontrolního závěru.</w:t>
      </w:r>
    </w:p>
  </w:footnote>
  <w:footnote w:id="9">
    <w:p w14:paraId="04CE01E4" w14:textId="2EFC4D9A" w:rsidR="00165274" w:rsidRPr="00426C1C" w:rsidRDefault="00165274" w:rsidP="00CE564D">
      <w:pPr>
        <w:pStyle w:val="Textpoznpodarou"/>
        <w:ind w:left="284" w:hanging="284"/>
      </w:pPr>
      <w:r>
        <w:rPr>
          <w:rStyle w:val="Znakapoznpodarou"/>
        </w:rPr>
        <w:footnoteRef/>
      </w:r>
      <w:r>
        <w:t xml:space="preserve"> </w:t>
      </w:r>
      <w:r>
        <w:tab/>
        <w:t>Bez zahrnutí O</w:t>
      </w:r>
      <w:r w:rsidRPr="00426C1C">
        <w:rPr>
          <w:vertAlign w:val="subscript"/>
        </w:rPr>
        <w:t>3</w:t>
      </w:r>
      <w:r>
        <w:t>.</w:t>
      </w:r>
    </w:p>
  </w:footnote>
  <w:footnote w:id="10">
    <w:p w14:paraId="02966DA5" w14:textId="0758A642" w:rsidR="00165274" w:rsidRDefault="00165274" w:rsidP="00CE564D">
      <w:pPr>
        <w:pStyle w:val="Textpoznpodarou"/>
        <w:ind w:left="284" w:hanging="284"/>
        <w:jc w:val="both"/>
      </w:pPr>
      <w:r w:rsidRPr="00DD11A5">
        <w:rPr>
          <w:rStyle w:val="Znakapoznpodarou"/>
        </w:rPr>
        <w:footnoteRef/>
      </w:r>
      <w:r w:rsidRPr="00DD11A5">
        <w:t xml:space="preserve"> </w:t>
      </w:r>
      <w:r>
        <w:tab/>
        <w:t>ČR</w:t>
      </w:r>
      <w:r w:rsidRPr="00DD11A5">
        <w:t xml:space="preserve"> má nastavené imisní limity v</w:t>
      </w:r>
      <w:r>
        <w:t xml:space="preserve"> zákoně č. 201/2012 Sb. v </w:t>
      </w:r>
      <w:r w:rsidRPr="00DD11A5">
        <w:t>souladu s</w:t>
      </w:r>
      <w:r>
        <w:t> </w:t>
      </w:r>
      <w:r w:rsidRPr="00DD11A5">
        <w:t>platn</w:t>
      </w:r>
      <w:r>
        <w:t xml:space="preserve">ými právními předpisy </w:t>
      </w:r>
      <w:r w:rsidRPr="00DD11A5">
        <w:t>EU.</w:t>
      </w:r>
    </w:p>
  </w:footnote>
  <w:footnote w:id="11">
    <w:p w14:paraId="00B7AD68" w14:textId="6EEEDC3C" w:rsidR="00165274" w:rsidRDefault="00165274" w:rsidP="00CE564D">
      <w:pPr>
        <w:pStyle w:val="Textpoznpodarou"/>
        <w:ind w:left="284" w:hanging="284"/>
        <w:jc w:val="both"/>
      </w:pPr>
      <w:r>
        <w:rPr>
          <w:rStyle w:val="Znakapoznpodarou"/>
        </w:rPr>
        <w:footnoteRef/>
      </w:r>
      <w:r>
        <w:t xml:space="preserve"> </w:t>
      </w:r>
      <w:r>
        <w:tab/>
      </w:r>
      <w:r w:rsidRPr="00BA1011">
        <w:t>Zákon č. 201/2012 Sb., o ochraně ovzduší.</w:t>
      </w:r>
    </w:p>
  </w:footnote>
  <w:footnote w:id="12">
    <w:p w14:paraId="21841479" w14:textId="5C83D4B8" w:rsidR="00165274" w:rsidRDefault="00165274" w:rsidP="00CE564D">
      <w:pPr>
        <w:pStyle w:val="Textpoznpodarou"/>
        <w:ind w:left="284" w:hanging="284"/>
        <w:jc w:val="both"/>
      </w:pPr>
      <w:r>
        <w:rPr>
          <w:rStyle w:val="Znakapoznpodarou"/>
        </w:rPr>
        <w:footnoteRef/>
      </w:r>
      <w:r>
        <w:t xml:space="preserve"> </w:t>
      </w:r>
      <w:r>
        <w:tab/>
      </w:r>
      <w:r w:rsidRPr="00AD47D5">
        <w:t>Zákon č. 383/2012 Sb., o podmínkách obchodování s povolenkami na emise skleníkových plynů.</w:t>
      </w:r>
    </w:p>
  </w:footnote>
  <w:footnote w:id="13">
    <w:p w14:paraId="63122772" w14:textId="4884787A" w:rsidR="00165274" w:rsidRDefault="00165274" w:rsidP="00CE564D">
      <w:pPr>
        <w:pStyle w:val="Textpoznpodarou"/>
        <w:ind w:left="284" w:hanging="284"/>
        <w:jc w:val="both"/>
      </w:pPr>
      <w:r>
        <w:rPr>
          <w:rStyle w:val="Znakapoznpodarou"/>
        </w:rPr>
        <w:footnoteRef/>
      </w:r>
      <w:r>
        <w:t xml:space="preserve"> </w:t>
      </w:r>
      <w:r>
        <w:tab/>
      </w:r>
      <w:r w:rsidRPr="00AD47D5">
        <w:t>Zákon č. 218/2000 Sb., o rozpočtových pravidlech a o změně některých souvisejících zákonů (rozpočtová pravidla).</w:t>
      </w:r>
    </w:p>
  </w:footnote>
  <w:footnote w:id="14">
    <w:p w14:paraId="5472F5E8" w14:textId="1D0EADCC" w:rsidR="00165274" w:rsidRDefault="00165274" w:rsidP="00CE564D">
      <w:pPr>
        <w:pStyle w:val="Textpoznpodarou"/>
        <w:ind w:left="284" w:hanging="284"/>
        <w:jc w:val="both"/>
      </w:pPr>
      <w:r>
        <w:rPr>
          <w:rStyle w:val="Znakapoznpodarou"/>
        </w:rPr>
        <w:footnoteRef/>
      </w:r>
      <w:r>
        <w:t xml:space="preserve"> </w:t>
      </w:r>
      <w:r>
        <w:tab/>
      </w:r>
      <w:r w:rsidRPr="00BA1011">
        <w:t>Směrnice Evropského parlamentu a Rady 2008/50/ES ze dne 21. května 2008 o kvalitě vnějšího ovzduší a</w:t>
      </w:r>
      <w:r>
        <w:t> </w:t>
      </w:r>
      <w:r w:rsidRPr="00BA1011">
        <w:t>čistším ovzduší pro Evropu.</w:t>
      </w:r>
    </w:p>
  </w:footnote>
  <w:footnote w:id="15">
    <w:p w14:paraId="5CBEA628" w14:textId="572E3DE7" w:rsidR="00165274" w:rsidRDefault="00165274" w:rsidP="00CE564D">
      <w:pPr>
        <w:pStyle w:val="Textpoznpodarou"/>
        <w:ind w:left="284" w:hanging="284"/>
        <w:jc w:val="both"/>
      </w:pPr>
      <w:r>
        <w:rPr>
          <w:rStyle w:val="Znakapoznpodarou"/>
        </w:rPr>
        <w:footnoteRef/>
      </w:r>
      <w:r>
        <w:t xml:space="preserve"> </w:t>
      </w:r>
      <w:r>
        <w:tab/>
      </w:r>
      <w:r w:rsidRPr="001A3A01">
        <w:t>Směrnice Evropského parlamentu a Rady 2004/107/ES ze dne 15. prosince 2004 o obsahu arsenu, kadmia, rtuti, niklu a polycyklických aromatických uhlovodíků ve vnějším ovzduší.</w:t>
      </w:r>
    </w:p>
  </w:footnote>
  <w:footnote w:id="16">
    <w:p w14:paraId="7E1FE955" w14:textId="42BA64C9" w:rsidR="00165274" w:rsidRDefault="00165274" w:rsidP="00CE564D">
      <w:pPr>
        <w:pStyle w:val="Textpoznpodarou"/>
        <w:ind w:left="284" w:hanging="284"/>
        <w:jc w:val="both"/>
      </w:pPr>
      <w:r>
        <w:rPr>
          <w:rStyle w:val="Znakapoznpodarou"/>
        </w:rPr>
        <w:footnoteRef/>
      </w:r>
      <w:r>
        <w:t xml:space="preserve"> </w:t>
      </w:r>
      <w:r>
        <w:tab/>
      </w:r>
      <w:r w:rsidRPr="00BA1011">
        <w:t>Směrnice Evropského parlamentu a Rady (EU) 2016/2284 ze dne 14. prosince 2016 o snížení národních emisí některých látek znečišťujících ovzduší, o změně směrnice 2003/35/ES a o zrušení směrnice 2001/81/ES (</w:t>
      </w:r>
      <w:r>
        <w:t>t</w:t>
      </w:r>
      <w:r w:rsidRPr="00BA1011">
        <w:t>ext s</w:t>
      </w:r>
      <w:r>
        <w:t> </w:t>
      </w:r>
      <w:r w:rsidRPr="00BA1011">
        <w:t>významem pro EHP).</w:t>
      </w:r>
    </w:p>
  </w:footnote>
  <w:footnote w:id="17">
    <w:p w14:paraId="69F9A3F0" w14:textId="3BDB926B" w:rsidR="00165274" w:rsidRPr="0016093A" w:rsidRDefault="00165274" w:rsidP="0016093A">
      <w:pPr>
        <w:pStyle w:val="Textpoznpodarou"/>
        <w:ind w:left="284" w:hanging="284"/>
        <w:jc w:val="both"/>
        <w:rPr>
          <w:rFonts w:ascii="Calibri" w:hAnsi="Calibri" w:cs="Calibri"/>
        </w:rPr>
      </w:pPr>
      <w:r w:rsidRPr="0016093A">
        <w:rPr>
          <w:rStyle w:val="Znakapoznpodarou"/>
          <w:rFonts w:ascii="Calibri" w:hAnsi="Calibri" w:cs="Calibri"/>
        </w:rPr>
        <w:footnoteRef/>
      </w:r>
      <w:r w:rsidRPr="0016093A">
        <w:rPr>
          <w:rFonts w:ascii="Calibri" w:hAnsi="Calibri" w:cs="Calibri"/>
        </w:rPr>
        <w:t xml:space="preserve"> </w:t>
      </w:r>
      <w:r>
        <w:rPr>
          <w:rFonts w:ascii="Calibri" w:hAnsi="Calibri" w:cs="Calibri"/>
        </w:rPr>
        <w:tab/>
      </w:r>
      <w:r w:rsidRPr="0016093A">
        <w:rPr>
          <w:rFonts w:ascii="Calibri" w:hAnsi="Calibri" w:cs="Calibri"/>
        </w:rPr>
        <w:t>Zpráva o životním prostředí České republiky 2020 schválená usnesením vlády ČR č. 959 dne 5.11.2021.</w:t>
      </w:r>
    </w:p>
  </w:footnote>
  <w:footnote w:id="18">
    <w:p w14:paraId="29131631" w14:textId="718CE956" w:rsidR="00165274" w:rsidRPr="0016093A" w:rsidRDefault="00165274" w:rsidP="0016093A">
      <w:pPr>
        <w:pStyle w:val="Textpoznpodarou"/>
        <w:ind w:left="284" w:hanging="284"/>
        <w:jc w:val="both"/>
        <w:rPr>
          <w:rFonts w:ascii="Calibri" w:hAnsi="Calibri" w:cs="Calibri"/>
        </w:rPr>
      </w:pPr>
      <w:r w:rsidRPr="0016093A">
        <w:rPr>
          <w:rStyle w:val="Znakapoznpodarou"/>
          <w:rFonts w:ascii="Calibri" w:hAnsi="Calibri" w:cs="Calibri"/>
        </w:rPr>
        <w:footnoteRef/>
      </w:r>
      <w:r w:rsidRPr="0016093A">
        <w:rPr>
          <w:rFonts w:ascii="Calibri" w:hAnsi="Calibri" w:cs="Calibri"/>
        </w:rPr>
        <w:t xml:space="preserve"> </w:t>
      </w:r>
      <w:r>
        <w:rPr>
          <w:rFonts w:ascii="Calibri" w:hAnsi="Calibri" w:cs="Calibri"/>
        </w:rPr>
        <w:tab/>
      </w:r>
      <w:r w:rsidRPr="0016093A">
        <w:rPr>
          <w:rFonts w:ascii="Calibri" w:hAnsi="Calibri" w:cs="Calibri"/>
        </w:rPr>
        <w:t>Zpráva o životním prostředí České republiky 2021 schválená usnesením vlády ČR č. 1085 dne 21.12.2022.</w:t>
      </w:r>
    </w:p>
  </w:footnote>
  <w:footnote w:id="19">
    <w:p w14:paraId="5C470DC5" w14:textId="45E0799C" w:rsidR="00165274" w:rsidRPr="0016093A" w:rsidRDefault="00165274" w:rsidP="0016093A">
      <w:pPr>
        <w:ind w:left="284" w:hanging="284"/>
        <w:jc w:val="both"/>
        <w:rPr>
          <w:rFonts w:ascii="Calibri" w:eastAsia="Times New Roman" w:hAnsi="Calibri" w:cs="Calibri"/>
          <w:sz w:val="20"/>
          <w:szCs w:val="20"/>
        </w:rPr>
      </w:pPr>
      <w:r w:rsidRPr="0016093A">
        <w:rPr>
          <w:rStyle w:val="Znakapoznpodarou"/>
          <w:rFonts w:ascii="Calibri" w:hAnsi="Calibri" w:cs="Calibri"/>
          <w:sz w:val="20"/>
          <w:szCs w:val="20"/>
        </w:rPr>
        <w:footnoteRef/>
      </w:r>
      <w:r w:rsidRPr="0016093A">
        <w:rPr>
          <w:rFonts w:ascii="Calibri" w:hAnsi="Calibri" w:cs="Calibri"/>
          <w:sz w:val="20"/>
          <w:szCs w:val="20"/>
        </w:rPr>
        <w:t xml:space="preserve"> </w:t>
      </w:r>
      <w:r>
        <w:rPr>
          <w:rFonts w:ascii="Calibri" w:hAnsi="Calibri" w:cs="Calibri"/>
          <w:sz w:val="20"/>
          <w:szCs w:val="20"/>
        </w:rPr>
        <w:tab/>
      </w:r>
      <w:r w:rsidRPr="0016093A">
        <w:rPr>
          <w:rFonts w:ascii="Calibri" w:eastAsia="Times New Roman" w:hAnsi="Calibri" w:cs="Calibri"/>
          <w:sz w:val="20"/>
          <w:szCs w:val="20"/>
        </w:rPr>
        <w:t>Zákon č. 142/2022 Sb., kterým se mění zákon č. 586/1992 Sb., o daních z příjmů, ve znění pozdějších předpisů, zákon č. 16/1993 Sb., o dani silniční, ve znění pozdějších předpisů, a zákon č. 201/2012 Sb., o ochraně ovzduší, ve znění pozdějších předpisů.</w:t>
      </w:r>
    </w:p>
  </w:footnote>
  <w:footnote w:id="20">
    <w:p w14:paraId="2CE832B5" w14:textId="068A5B19" w:rsidR="00165274" w:rsidRPr="00926182" w:rsidRDefault="00165274" w:rsidP="001829F9">
      <w:pPr>
        <w:pStyle w:val="Textpoznpodarou"/>
        <w:ind w:left="284" w:hanging="284"/>
        <w:jc w:val="both"/>
      </w:pPr>
      <w:r>
        <w:rPr>
          <w:rStyle w:val="Znakapoznpodarou"/>
        </w:rPr>
        <w:footnoteRef/>
      </w:r>
      <w:r>
        <w:t xml:space="preserve"> </w:t>
      </w:r>
      <w:r>
        <w:tab/>
        <w:t xml:space="preserve">Podíl přínosů kotlíkových dotací je nadhodnocen o podíl projektů zahrnutých do vyhodnocení přínosů za období od 1. 1. 2023 do 30. 6. 2023 a o podíl projektů ze zásobníků OPŽP dofinancovaných z podprogramu </w:t>
      </w:r>
      <w:r w:rsidRPr="00926182">
        <w:rPr>
          <w:i/>
        </w:rPr>
        <w:t xml:space="preserve">Adaptační a </w:t>
      </w:r>
      <w:r w:rsidRPr="00926182">
        <w:rPr>
          <w:i/>
        </w:rPr>
        <w:t>mitigační opatření</w:t>
      </w:r>
      <w:r>
        <w:t xml:space="preserve"> programu </w:t>
      </w:r>
      <w:r w:rsidRPr="00926182">
        <w:rPr>
          <w:i/>
        </w:rPr>
        <w:t>Nová zelená úsporám</w:t>
      </w:r>
      <w:r>
        <w:t>.</w:t>
      </w:r>
    </w:p>
  </w:footnote>
  <w:footnote w:id="21">
    <w:p w14:paraId="6237AE27" w14:textId="608FB2E0" w:rsidR="00165274" w:rsidRDefault="00165274" w:rsidP="0011333E">
      <w:pPr>
        <w:pStyle w:val="Textpoznpodarou"/>
        <w:ind w:left="284" w:hanging="284"/>
        <w:jc w:val="both"/>
      </w:pPr>
      <w:r>
        <w:rPr>
          <w:rStyle w:val="Znakapoznpodarou"/>
        </w:rPr>
        <w:footnoteRef/>
      </w:r>
      <w:r>
        <w:t xml:space="preserve"> </w:t>
      </w:r>
      <w:r>
        <w:tab/>
      </w:r>
      <w:r w:rsidRPr="00B60BEE">
        <w:t>Omezování prašnosti z plošných zdrojů (dle povahy procesu např. vodní clony, skrápění, odprašovací nebo mlžící zařízení).</w:t>
      </w:r>
    </w:p>
  </w:footnote>
  <w:footnote w:id="22">
    <w:p w14:paraId="0D20ECCE" w14:textId="03CE2C70" w:rsidR="00165274" w:rsidRDefault="00165274" w:rsidP="0011333E">
      <w:pPr>
        <w:pStyle w:val="Textpoznpodarou"/>
        <w:ind w:left="284" w:hanging="284"/>
      </w:pPr>
      <w:r>
        <w:rPr>
          <w:rStyle w:val="Znakapoznpodarou"/>
        </w:rPr>
        <w:footnoteRef/>
      </w:r>
      <w:r>
        <w:t xml:space="preserve"> </w:t>
      </w:r>
      <w:r>
        <w:tab/>
      </w:r>
      <w:r>
        <w:t>Fugitivní emise je označení pro tu část emisí, které unikají volně do venkovní atmosféry a nejsou vypouštěny konkrétním komínem (výduchem).</w:t>
      </w:r>
    </w:p>
  </w:footnote>
  <w:footnote w:id="23">
    <w:p w14:paraId="43295E1F" w14:textId="5777254D" w:rsidR="00165274" w:rsidRDefault="00165274" w:rsidP="0011333E">
      <w:pPr>
        <w:pStyle w:val="Textpoznpodarou"/>
        <w:ind w:left="284" w:hanging="284"/>
        <w:jc w:val="both"/>
      </w:pPr>
      <w:r>
        <w:rPr>
          <w:rStyle w:val="Znakapoznpodarou"/>
        </w:rPr>
        <w:footnoteRef/>
      </w:r>
      <w:r>
        <w:t xml:space="preserve"> </w:t>
      </w:r>
      <w:r>
        <w:tab/>
      </w:r>
      <w:r w:rsidRPr="00B422A4">
        <w:t>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w:t>
      </w:r>
      <w:r>
        <w:t> </w:t>
      </w:r>
      <w:r w:rsidRPr="00B422A4">
        <w:t>Evropském fondu pro regionální rozvoj, Evropském sociálním fondu, Fondu soudržnosti a</w:t>
      </w:r>
      <w:r>
        <w:t> </w:t>
      </w:r>
      <w:r w:rsidRPr="00B422A4">
        <w:t>Evropském námořním a rybářském fondu a o zrušení nařízení Rady (ES) č. 1083/2006</w:t>
      </w:r>
      <w:r>
        <w:t>.</w:t>
      </w:r>
    </w:p>
  </w:footnote>
  <w:footnote w:id="24">
    <w:p w14:paraId="3986C40C" w14:textId="07075F78" w:rsidR="00165274" w:rsidRDefault="00165274" w:rsidP="0011333E">
      <w:pPr>
        <w:pStyle w:val="Textpoznpodarou"/>
        <w:ind w:left="284" w:hanging="284"/>
        <w:jc w:val="both"/>
      </w:pPr>
      <w:r>
        <w:rPr>
          <w:rStyle w:val="Znakapoznpodarou"/>
        </w:rPr>
        <w:footnoteRef/>
      </w:r>
      <w:r>
        <w:t xml:space="preserve"> </w:t>
      </w:r>
      <w:r>
        <w:tab/>
        <w:t>Kontrolou dokumentace u SFŽP bylo také zjištěno, že i v</w:t>
      </w:r>
      <w:r w:rsidRPr="009038C7">
        <w:t xml:space="preserve"> době monitorovací návštěvy SFŽP v</w:t>
      </w:r>
      <w:r>
        <w:t xml:space="preserve"> květnu </w:t>
      </w:r>
      <w:r w:rsidRPr="009038C7">
        <w:t>2019 byla v</w:t>
      </w:r>
      <w:r>
        <w:t> </w:t>
      </w:r>
      <w:r w:rsidRPr="009038C7">
        <w:t xml:space="preserve">areálu provozovaném </w:t>
      </w:r>
      <w:r>
        <w:t>příjemcem dotace</w:t>
      </w:r>
      <w:r w:rsidRPr="009038C7">
        <w:t xml:space="preserve"> pouze zemina, ostatní materiál na skladové ploše uskladněn nebyl.</w:t>
      </w:r>
    </w:p>
  </w:footnote>
  <w:footnote w:id="25">
    <w:p w14:paraId="021BCF7D" w14:textId="7697FDA9" w:rsidR="00165274" w:rsidRDefault="00165274" w:rsidP="0011333E">
      <w:pPr>
        <w:pStyle w:val="Textpoznpodarou"/>
        <w:ind w:left="284" w:hanging="284"/>
        <w:jc w:val="both"/>
      </w:pPr>
      <w:r>
        <w:rPr>
          <w:rStyle w:val="Znakapoznpodarou"/>
        </w:rPr>
        <w:footnoteRef/>
      </w:r>
      <w:r>
        <w:t xml:space="preserve"> </w:t>
      </w:r>
      <w:r>
        <w:tab/>
        <w:t>Nařízení Komise (EU) č. 651/2014 ze dne 17. června 2014, kterým se v souladu s články 107 a 108 Smlouvy prohlašují určité kategorie podpory za slučitelné s vnitřním trhem.</w:t>
      </w:r>
    </w:p>
  </w:footnote>
  <w:footnote w:id="26">
    <w:p w14:paraId="7FF39AB0" w14:textId="59BCD27A" w:rsidR="00165274" w:rsidRDefault="00165274" w:rsidP="0011333E">
      <w:pPr>
        <w:pStyle w:val="Textpoznpodarou"/>
        <w:ind w:left="284" w:hanging="284"/>
        <w:jc w:val="both"/>
      </w:pPr>
      <w:r>
        <w:rPr>
          <w:rStyle w:val="Znakapoznpodarou"/>
        </w:rPr>
        <w:footnoteRef/>
      </w:r>
      <w:r>
        <w:t xml:space="preserve"> </w:t>
      </w:r>
      <w:r>
        <w:tab/>
        <w:t>S</w:t>
      </w:r>
      <w:r w:rsidRPr="00FB5384">
        <w:t xml:space="preserve">tav ukazatele </w:t>
      </w:r>
      <w:r w:rsidRPr="00FB5384">
        <w:t>motohodin poskytuje informaci o množství práce, kterou kolový nakladač od svého pořízení odvedl</w:t>
      </w:r>
      <w:r>
        <w:t>.</w:t>
      </w:r>
    </w:p>
  </w:footnote>
  <w:footnote w:id="27">
    <w:p w14:paraId="3B523668" w14:textId="6C59C3EA" w:rsidR="00165274" w:rsidRPr="0011333E" w:rsidRDefault="00165274" w:rsidP="0011333E">
      <w:pPr>
        <w:pStyle w:val="TextKP"/>
        <w:spacing w:before="0"/>
        <w:ind w:left="284" w:hanging="284"/>
        <w:rPr>
          <w:rFonts w:cs="Times New Roman"/>
          <w:sz w:val="20"/>
          <w:szCs w:val="20"/>
        </w:rPr>
      </w:pPr>
      <w:r w:rsidRPr="0011333E">
        <w:rPr>
          <w:rStyle w:val="Znakapoznpodarou"/>
          <w:sz w:val="20"/>
          <w:szCs w:val="20"/>
        </w:rPr>
        <w:footnoteRef/>
      </w:r>
      <w:r w:rsidRPr="0011333E">
        <w:rPr>
          <w:sz w:val="20"/>
          <w:szCs w:val="20"/>
        </w:rPr>
        <w:t xml:space="preserve"> </w:t>
      </w:r>
      <w:r>
        <w:rPr>
          <w:sz w:val="20"/>
          <w:szCs w:val="20"/>
        </w:rPr>
        <w:tab/>
      </w:r>
      <w:r w:rsidRPr="0011333E">
        <w:rPr>
          <w:rFonts w:cs="Times New Roman"/>
          <w:sz w:val="20"/>
          <w:szCs w:val="20"/>
        </w:rPr>
        <w:t>V případě grantového schématu se jedná o sociálně udržitelnou podporu zranitelných domácností prostřednictvím poskytování příspěvků na bydlení. Předfinancování EU prostředků probíhá přes příslušného správce SR – kapitolu MPSV.</w:t>
      </w:r>
    </w:p>
  </w:footnote>
  <w:footnote w:id="28">
    <w:p w14:paraId="53607888" w14:textId="6860E44A" w:rsidR="00165274" w:rsidRDefault="00165274" w:rsidP="008E1776">
      <w:pPr>
        <w:pStyle w:val="Textpoznpodarou"/>
        <w:ind w:left="284" w:hanging="284"/>
        <w:jc w:val="both"/>
      </w:pPr>
      <w:r>
        <w:rPr>
          <w:rStyle w:val="Znakapoznpodarou"/>
        </w:rPr>
        <w:footnoteRef/>
      </w:r>
      <w:r>
        <w:t xml:space="preserve"> </w:t>
      </w:r>
      <w:r>
        <w:tab/>
      </w:r>
      <w:r w:rsidRPr="003B01D6">
        <w:rPr>
          <w:i/>
        </w:rPr>
        <w:t>Střednědobá strategie (do roku 2020) zlepšení kvality ovzduší v České republice</w:t>
      </w:r>
      <w:r w:rsidRPr="003B01D6">
        <w:t xml:space="preserve"> schválená usnesením vlády ze dne 2. prosince 2015 č. 979</w:t>
      </w:r>
      <w:r>
        <w:t xml:space="preserve">; </w:t>
      </w:r>
      <w:r w:rsidRPr="003B01D6">
        <w:rPr>
          <w:i/>
        </w:rPr>
        <w:t>Národní program snižování emisí České republiky</w:t>
      </w:r>
      <w:r w:rsidRPr="003B01D6">
        <w:t xml:space="preserve"> schválený usnesením vlády ze dne 2. prosince 2015 č. 978</w:t>
      </w:r>
      <w:r>
        <w:t>.</w:t>
      </w:r>
    </w:p>
  </w:footnote>
  <w:footnote w:id="29">
    <w:p w14:paraId="679A9F37" w14:textId="2965D573" w:rsidR="00165274" w:rsidRDefault="00165274" w:rsidP="00092AF9">
      <w:pPr>
        <w:pStyle w:val="Textpoznpodarou"/>
        <w:ind w:left="284" w:hanging="284"/>
        <w:jc w:val="both"/>
      </w:pPr>
      <w:r>
        <w:rPr>
          <w:rStyle w:val="Znakapoznpodarou"/>
        </w:rPr>
        <w:footnoteRef/>
      </w:r>
      <w:r>
        <w:t xml:space="preserve"> </w:t>
      </w:r>
      <w:r>
        <w:tab/>
      </w:r>
      <w:r w:rsidRPr="00A07F7E">
        <w:t xml:space="preserve">EK v rámci akčního plánu nulového znečištění </w:t>
      </w:r>
      <w:r w:rsidRPr="00C22CA4">
        <w:rPr>
          <w:i/>
        </w:rPr>
        <w:t>Zelená dohoda pro Evropu</w:t>
      </w:r>
      <w:r w:rsidRPr="00A07F7E">
        <w:t xml:space="preserve"> stanovila cíl do roku 2030 snížit počet předčasných úmrtí způsobených </w:t>
      </w:r>
      <w:r>
        <w:t>částicemi PM</w:t>
      </w:r>
      <w:r w:rsidRPr="00FB0916">
        <w:rPr>
          <w:vertAlign w:val="subscript"/>
        </w:rPr>
        <w:t>2,5</w:t>
      </w:r>
      <w:r>
        <w:t xml:space="preserve">, </w:t>
      </w:r>
      <w:r w:rsidRPr="00A07F7E">
        <w:t>jako</w:t>
      </w:r>
      <w:r>
        <w:t>žto</w:t>
      </w:r>
      <w:r w:rsidRPr="00A07F7E">
        <w:t xml:space="preserve"> klíčov</w:t>
      </w:r>
      <w:r>
        <w:t>ou</w:t>
      </w:r>
      <w:r w:rsidRPr="00A07F7E">
        <w:t xml:space="preserve"> látk</w:t>
      </w:r>
      <w:r>
        <w:t>ou</w:t>
      </w:r>
      <w:r w:rsidRPr="00A07F7E">
        <w:t xml:space="preserve"> znečišťující ovzduší</w:t>
      </w:r>
      <w:r>
        <w:t>,</w:t>
      </w:r>
      <w:r w:rsidRPr="00A07F7E">
        <w:t xml:space="preserve"> alespoň o</w:t>
      </w:r>
      <w:r>
        <w:t> </w:t>
      </w:r>
      <w:r w:rsidRPr="00A07F7E">
        <w:t>55</w:t>
      </w:r>
      <w:r>
        <w:t> </w:t>
      </w:r>
      <w:r w:rsidRPr="00A07F7E">
        <w:t>% ve srovnání s úrovněmi v roce 2005</w:t>
      </w:r>
      <w:r>
        <w:t>.</w:t>
      </w:r>
      <w:r w:rsidRPr="00C22CA4">
        <w:t xml:space="preserve"> Za tímto účelem zveřejnila v roce 2022 návrh na revizi </w:t>
      </w:r>
      <w:r>
        <w:t>s</w:t>
      </w:r>
      <w:r w:rsidRPr="00C22CA4">
        <w:t>měrnice 2008/50/ES a</w:t>
      </w:r>
      <w:r>
        <w:t> s</w:t>
      </w:r>
      <w:r w:rsidRPr="00C22CA4">
        <w:t>měrnice 2004/107/ES</w:t>
      </w:r>
      <w:r>
        <w:t xml:space="preserve"> – návrh</w:t>
      </w:r>
      <w:r w:rsidRPr="00C22CA4">
        <w:t xml:space="preserve"> </w:t>
      </w:r>
      <w:r>
        <w:t>s</w:t>
      </w:r>
      <w:r w:rsidRPr="00C22CA4">
        <w:t>měrnice Evropského parlamentu a Rady o kvalitě vnějšího ovzduší a</w:t>
      </w:r>
      <w:r>
        <w:t> </w:t>
      </w:r>
      <w:r w:rsidRPr="00C22CA4">
        <w:t xml:space="preserve">čistším ovzduší pro Evropu (přepracované znění) </w:t>
      </w:r>
      <w:r w:rsidRPr="00C22CA4">
        <w:t xml:space="preserve">COM(2022) 542 </w:t>
      </w:r>
      <w:r w:rsidRPr="00C22CA4">
        <w:t>final/2 ze dne 26. 10. 2022.</w:t>
      </w:r>
    </w:p>
  </w:footnote>
  <w:footnote w:id="30">
    <w:p w14:paraId="089BCB60" w14:textId="3C4FDAFC" w:rsidR="00165274" w:rsidRPr="00FB2DBC" w:rsidRDefault="00165274" w:rsidP="00733E0C">
      <w:pPr>
        <w:pStyle w:val="Textpoznpodarou"/>
        <w:ind w:left="284" w:hanging="284"/>
        <w:jc w:val="both"/>
        <w:rPr>
          <w:iCs/>
        </w:rPr>
      </w:pPr>
      <w:r>
        <w:rPr>
          <w:rStyle w:val="Znakapoznpodarou"/>
        </w:rPr>
        <w:footnoteRef/>
      </w:r>
      <w:r>
        <w:t xml:space="preserve"> </w:t>
      </w:r>
      <w:r>
        <w:tab/>
      </w:r>
      <w:r w:rsidRPr="002F3B4E">
        <w:t>„</w:t>
      </w:r>
      <w:r w:rsidRPr="001C1FE2">
        <w:rPr>
          <w:i/>
          <w:iCs/>
        </w:rPr>
        <w:t>Výnos z dražeb povolenek</w:t>
      </w:r>
      <w:r>
        <w:rPr>
          <w:i/>
          <w:iCs/>
        </w:rPr>
        <w:t xml:space="preserve"> (...)</w:t>
      </w:r>
      <w:r w:rsidRPr="001C1FE2">
        <w:rPr>
          <w:i/>
          <w:iCs/>
        </w:rPr>
        <w:t xml:space="preserve"> je příjmem státního rozpočtu, a není-li zákonem stanoveno jinak, je účelově vázán na dodatečné financování činností vedoucích ke snižování emisí skleníkových plynů, na podporu inovací v průmyslu, na opatření, jejichž cílem je zvýšit energetickou účinnost včetně výstavby a rekonstrukce soustav zásobování tepelnou energií, podpora kogenerační výroby elektřiny a tepla, snižování energetické náročnosti budov a zvyšování účinnosti užití energie v průmyslu a energetice, na podporu vědy a výzkumu v oblasti efektivního nakládání se zdroji, na podporu úspor energie na straně spotřebitelů, na adaptační opatření, na plnění mezinárodních závazků České republiky a rozvojovou pomoc v oblasti ochrany klimatu, na náklady spojené s fungováním a správou Evropského systému obchodování a správou rejstříku a na podporu výzkumu, vývoje, výroby a zavádění vhodných technologií a akcí vědecko-technického rozvoje v oblasti snižování emisí skleníkových plynů z dopravy, zejména z civilního letectví.</w:t>
      </w:r>
      <w:r w:rsidRPr="002F3B4E">
        <w:rPr>
          <w:iCs/>
        </w:rPr>
        <w:t>“</w:t>
      </w:r>
    </w:p>
  </w:footnote>
  <w:footnote w:id="31">
    <w:p w14:paraId="065AE451" w14:textId="3CDEC12E" w:rsidR="00165274" w:rsidRDefault="00165274" w:rsidP="00F76A63">
      <w:pPr>
        <w:pStyle w:val="Textpoznpodarou"/>
        <w:ind w:left="284" w:hanging="284"/>
        <w:jc w:val="both"/>
      </w:pPr>
      <w:r>
        <w:rPr>
          <w:rStyle w:val="Znakapoznpodarou"/>
        </w:rPr>
        <w:footnoteRef/>
      </w:r>
      <w:r>
        <w:t xml:space="preserve"> </w:t>
      </w:r>
      <w:r>
        <w:tab/>
      </w:r>
      <w:r w:rsidRPr="001D4D85">
        <w:t>Tato částka nezahrnuje transfery poskytnuté jiným OSS v rámci podprogramu NZÚ 14+ – BVS</w:t>
      </w:r>
      <w:r>
        <w:t xml:space="preserve">; MŽP </w:t>
      </w:r>
      <w:r w:rsidRPr="001D4D85">
        <w:t xml:space="preserve">za roky 2020 až 2022 </w:t>
      </w:r>
      <w:r>
        <w:t xml:space="preserve">vykázalo v </w:t>
      </w:r>
      <w:r w:rsidRPr="001D4D85">
        <w:t>reportovaných zpráv</w:t>
      </w:r>
      <w:r>
        <w:t>ách</w:t>
      </w:r>
      <w:r w:rsidRPr="001D4D85">
        <w:t xml:space="preserve"> EK</w:t>
      </w:r>
      <w:r>
        <w:t xml:space="preserve"> částku v celkové výši </w:t>
      </w:r>
      <w:r w:rsidRPr="001D4D85">
        <w:t>9,42 mld. Kč</w:t>
      </w:r>
      <w:r>
        <w:t>.</w:t>
      </w:r>
    </w:p>
  </w:footnote>
  <w:footnote w:id="32">
    <w:p w14:paraId="342D5D77" w14:textId="145A09D5" w:rsidR="00165274" w:rsidRDefault="00165274" w:rsidP="00F76A63">
      <w:pPr>
        <w:pStyle w:val="Textpoznpodarou"/>
        <w:ind w:left="284" w:hanging="284"/>
        <w:jc w:val="both"/>
      </w:pPr>
      <w:r>
        <w:rPr>
          <w:rStyle w:val="Znakapoznpodarou"/>
        </w:rPr>
        <w:footnoteRef/>
      </w:r>
      <w:r>
        <w:t xml:space="preserve"> </w:t>
      </w:r>
      <w:r>
        <w:tab/>
      </w:r>
      <w:r w:rsidRPr="004963F5">
        <w:rPr>
          <w:rFonts w:cstheme="minorHAnsi"/>
        </w:rPr>
        <w:t xml:space="preserve">Novela byla schválena jako </w:t>
      </w:r>
      <w:bookmarkStart w:id="18" w:name="_Hlk150837149"/>
      <w:bookmarkStart w:id="19" w:name="_Hlk150837217"/>
      <w:r w:rsidRPr="004963F5">
        <w:rPr>
          <w:rFonts w:cstheme="minorHAnsi"/>
          <w:bCs/>
          <w:color w:val="000000"/>
        </w:rPr>
        <w:t xml:space="preserve">zákon </w:t>
      </w:r>
      <w:r w:rsidRPr="004963F5">
        <w:rPr>
          <w:rFonts w:cstheme="minorHAnsi"/>
        </w:rPr>
        <w:t>č. 1/2020 Sb</w:t>
      </w:r>
      <w:bookmarkEnd w:id="18"/>
      <w:r w:rsidRPr="004963F5">
        <w:rPr>
          <w:rFonts w:cstheme="minorHAnsi"/>
        </w:rPr>
        <w:t>., kterým se mění zákon č. 383/2012 Sb., o podmínkách obchodování s povolenkami na emise skleníkových plynů, ve znění pozdějších předpisů, a zákon č. 458/2000</w:t>
      </w:r>
      <w:r>
        <w:rPr>
          <w:rFonts w:cstheme="minorHAnsi"/>
        </w:rPr>
        <w:t> </w:t>
      </w:r>
      <w:r w:rsidRPr="004963F5">
        <w:rPr>
          <w:rFonts w:cstheme="minorHAnsi"/>
        </w:rPr>
        <w:t>Sb., o podmínkách</w:t>
      </w:r>
      <w:r w:rsidRPr="004A1F28">
        <w:rPr>
          <w:rFonts w:cstheme="minorHAnsi"/>
        </w:rPr>
        <w:t xml:space="preserve"> podnikání a o výkonu státní správy v energetických odvětvích a o změně některých zákonů (energetický zákon), ve znění pozdějších předpisů</w:t>
      </w:r>
      <w:r>
        <w:rPr>
          <w:rFonts w:cstheme="minorHAnsi"/>
        </w:rPr>
        <w:t>.</w:t>
      </w:r>
      <w:bookmarkEnd w:id="19"/>
    </w:p>
  </w:footnote>
  <w:footnote w:id="33">
    <w:p w14:paraId="1E7E596E" w14:textId="281F1E2E" w:rsidR="00165274" w:rsidRDefault="00165274" w:rsidP="00C60562">
      <w:pPr>
        <w:pStyle w:val="Textpoznpodarou"/>
        <w:ind w:left="284" w:hanging="284"/>
        <w:jc w:val="both"/>
      </w:pPr>
      <w:r>
        <w:rPr>
          <w:rStyle w:val="Znakapoznpodarou"/>
        </w:rPr>
        <w:footnoteRef/>
      </w:r>
      <w:r>
        <w:t xml:space="preserve"> </w:t>
      </w:r>
      <w:r>
        <w:tab/>
        <w:t>Řízení o porušení povinností / ř</w:t>
      </w:r>
      <w:r w:rsidRPr="0047223C">
        <w:t xml:space="preserve">ízení o porušení unijního práva (angl. </w:t>
      </w:r>
      <w:r w:rsidRPr="0047223C">
        <w:t xml:space="preserve">infringement procedure) je mechanismem, jehož prostřednictvím vykonává </w:t>
      </w:r>
      <w:r>
        <w:t>EK</w:t>
      </w:r>
      <w:r w:rsidRPr="0047223C">
        <w:t xml:space="preserve"> svoji povinnost dbát nad dodržováním unijního práva (čl.</w:t>
      </w:r>
      <w:r>
        <w:t> </w:t>
      </w:r>
      <w:r w:rsidRPr="0047223C">
        <w:t xml:space="preserve">17 odst. 1 </w:t>
      </w:r>
      <w:r w:rsidRPr="002F3B4E">
        <w:rPr>
          <w:i/>
        </w:rPr>
        <w:t>Smlouvy o fungování EU</w:t>
      </w:r>
      <w:r>
        <w:t>).</w:t>
      </w:r>
      <w:r w:rsidRPr="0047223C">
        <w:t xml:space="preserve"> Dojde-li podle názoru </w:t>
      </w:r>
      <w:r>
        <w:t>EK</w:t>
      </w:r>
      <w:r w:rsidRPr="0047223C">
        <w:t xml:space="preserve"> (popřípadě dle jiného členského státu) k</w:t>
      </w:r>
      <w:r>
        <w:t> </w:t>
      </w:r>
      <w:r w:rsidRPr="0047223C">
        <w:t xml:space="preserve">porušení práva EU ze strany členského státu, má dle čl. 258 </w:t>
      </w:r>
      <w:r w:rsidRPr="002F3B4E">
        <w:rPr>
          <w:i/>
        </w:rPr>
        <w:t>Smlouvy o fungování EU</w:t>
      </w:r>
      <w:r w:rsidRPr="0047223C">
        <w:t xml:space="preserve"> možnost zahájit několikafázové řízení, které může vyústit až v</w:t>
      </w:r>
      <w:r>
        <w:t> </w:t>
      </w:r>
      <w:r w:rsidRPr="0047223C">
        <w:t>předložení žaloby k Soudnímu dvoru EU.</w:t>
      </w:r>
    </w:p>
  </w:footnote>
  <w:footnote w:id="34">
    <w:p w14:paraId="27B71603" w14:textId="7C56B675" w:rsidR="00165274" w:rsidRDefault="00165274" w:rsidP="00B7688A">
      <w:pPr>
        <w:pStyle w:val="Textpoznpodarou"/>
        <w:ind w:left="284" w:hanging="284"/>
        <w:jc w:val="both"/>
      </w:pPr>
      <w:r>
        <w:rPr>
          <w:rStyle w:val="Znakapoznpodarou"/>
        </w:rPr>
        <w:footnoteRef/>
      </w:r>
      <w:r>
        <w:t xml:space="preserve"> </w:t>
      </w:r>
      <w:r>
        <w:tab/>
      </w:r>
      <w:r w:rsidRPr="00F8000D">
        <w:t>Na málo ambiciózní cíle</w:t>
      </w:r>
      <w:r>
        <w:t xml:space="preserve"> </w:t>
      </w:r>
      <w:r w:rsidRPr="00F8000D">
        <w:t xml:space="preserve">upozorňuje např. článek zveřejněný v </w:t>
      </w:r>
      <w:r w:rsidRPr="00F8000D">
        <w:t xml:space="preserve">The Lancet </w:t>
      </w:r>
      <w:r>
        <w:t>–</w:t>
      </w:r>
      <w:r w:rsidRPr="00F8000D">
        <w:t xml:space="preserve"> Public Health v červenci 2023</w:t>
      </w:r>
      <w:r>
        <w:t xml:space="preserve">: </w:t>
      </w:r>
      <w:hyperlink r:id="rId1" w:history="1">
        <w:r w:rsidRPr="000B602D">
          <w:rPr>
            <w:rStyle w:val="Hypertextovodkaz"/>
          </w:rPr>
          <w:t>https://www.thelancet.com/journals/lanpub/article/PIIS2468-2667(23)00132-9/fulltext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88FF" w14:textId="77777777" w:rsidR="00165274" w:rsidRPr="00075785" w:rsidRDefault="00165274" w:rsidP="00372936">
    <w:pPr>
      <w:pStyle w:val="Zhlav"/>
      <w:jc w:val="right"/>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58F2" w14:textId="54B58D8A" w:rsidR="00165274" w:rsidRPr="00D8616B" w:rsidRDefault="00165274" w:rsidP="00D85046">
    <w:pPr>
      <w:pStyle w:val="Zhlav"/>
      <w:jc w:val="right"/>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DC166" w14:textId="77777777" w:rsidR="00165274" w:rsidRPr="00075785" w:rsidRDefault="00165274" w:rsidP="00557671">
    <w:pPr>
      <w:pStyle w:val="Zhlav"/>
      <w:rPr>
        <w:color w:val="FFFFFF" w:themeColor="background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6DE5" w14:textId="77777777" w:rsidR="00165274" w:rsidRPr="00075785" w:rsidRDefault="00165274">
    <w:pPr>
      <w:pStyle w:val="Zhlav"/>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2DAB"/>
    <w:multiLevelType w:val="hybridMultilevel"/>
    <w:tmpl w:val="8F622C98"/>
    <w:lvl w:ilvl="0" w:tplc="0BC84AFE">
      <w:start w:val="1"/>
      <w:numFmt w:val="bullet"/>
      <w:lvlText w:val=""/>
      <w:lvlJc w:val="left"/>
      <w:pPr>
        <w:ind w:left="360" w:hanging="360"/>
      </w:pPr>
      <w:rPr>
        <w:rFonts w:ascii="Symbol" w:hAnsi="Symbol" w:hint="default"/>
      </w:rPr>
    </w:lvl>
    <w:lvl w:ilvl="1" w:tplc="564C1392" w:tentative="1">
      <w:start w:val="1"/>
      <w:numFmt w:val="bullet"/>
      <w:lvlText w:val="o"/>
      <w:lvlJc w:val="left"/>
      <w:pPr>
        <w:ind w:left="1080" w:hanging="360"/>
      </w:pPr>
      <w:rPr>
        <w:rFonts w:ascii="Courier New" w:hAnsi="Courier New" w:cs="Courier New" w:hint="default"/>
      </w:rPr>
    </w:lvl>
    <w:lvl w:ilvl="2" w:tplc="408E1744" w:tentative="1">
      <w:start w:val="1"/>
      <w:numFmt w:val="bullet"/>
      <w:lvlText w:val=""/>
      <w:lvlJc w:val="left"/>
      <w:pPr>
        <w:ind w:left="1800" w:hanging="360"/>
      </w:pPr>
      <w:rPr>
        <w:rFonts w:ascii="Wingdings" w:hAnsi="Wingdings" w:hint="default"/>
      </w:rPr>
    </w:lvl>
    <w:lvl w:ilvl="3" w:tplc="F48C4E7A" w:tentative="1">
      <w:start w:val="1"/>
      <w:numFmt w:val="bullet"/>
      <w:lvlText w:val=""/>
      <w:lvlJc w:val="left"/>
      <w:pPr>
        <w:ind w:left="2520" w:hanging="360"/>
      </w:pPr>
      <w:rPr>
        <w:rFonts w:ascii="Symbol" w:hAnsi="Symbol" w:hint="default"/>
      </w:rPr>
    </w:lvl>
    <w:lvl w:ilvl="4" w:tplc="242E6D30" w:tentative="1">
      <w:start w:val="1"/>
      <w:numFmt w:val="bullet"/>
      <w:lvlText w:val="o"/>
      <w:lvlJc w:val="left"/>
      <w:pPr>
        <w:ind w:left="3240" w:hanging="360"/>
      </w:pPr>
      <w:rPr>
        <w:rFonts w:ascii="Courier New" w:hAnsi="Courier New" w:cs="Courier New" w:hint="default"/>
      </w:rPr>
    </w:lvl>
    <w:lvl w:ilvl="5" w:tplc="28B2B68C" w:tentative="1">
      <w:start w:val="1"/>
      <w:numFmt w:val="bullet"/>
      <w:lvlText w:val=""/>
      <w:lvlJc w:val="left"/>
      <w:pPr>
        <w:ind w:left="3960" w:hanging="360"/>
      </w:pPr>
      <w:rPr>
        <w:rFonts w:ascii="Wingdings" w:hAnsi="Wingdings" w:hint="default"/>
      </w:rPr>
    </w:lvl>
    <w:lvl w:ilvl="6" w:tplc="9EE8AFC4" w:tentative="1">
      <w:start w:val="1"/>
      <w:numFmt w:val="bullet"/>
      <w:lvlText w:val=""/>
      <w:lvlJc w:val="left"/>
      <w:pPr>
        <w:ind w:left="4680" w:hanging="360"/>
      </w:pPr>
      <w:rPr>
        <w:rFonts w:ascii="Symbol" w:hAnsi="Symbol" w:hint="default"/>
      </w:rPr>
    </w:lvl>
    <w:lvl w:ilvl="7" w:tplc="85AA3E2C" w:tentative="1">
      <w:start w:val="1"/>
      <w:numFmt w:val="bullet"/>
      <w:lvlText w:val="o"/>
      <w:lvlJc w:val="left"/>
      <w:pPr>
        <w:ind w:left="5400" w:hanging="360"/>
      </w:pPr>
      <w:rPr>
        <w:rFonts w:ascii="Courier New" w:hAnsi="Courier New" w:cs="Courier New" w:hint="default"/>
      </w:rPr>
    </w:lvl>
    <w:lvl w:ilvl="8" w:tplc="947CFCAE" w:tentative="1">
      <w:start w:val="1"/>
      <w:numFmt w:val="bullet"/>
      <w:lvlText w:val=""/>
      <w:lvlJc w:val="left"/>
      <w:pPr>
        <w:ind w:left="6120" w:hanging="360"/>
      </w:pPr>
      <w:rPr>
        <w:rFonts w:ascii="Wingdings" w:hAnsi="Wingdings" w:hint="default"/>
      </w:rPr>
    </w:lvl>
  </w:abstractNum>
  <w:abstractNum w:abstractNumId="1" w15:restartNumberingAfterBreak="0">
    <w:nsid w:val="0F167FB9"/>
    <w:multiLevelType w:val="hybridMultilevel"/>
    <w:tmpl w:val="73AC0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DE6229"/>
    <w:multiLevelType w:val="hybridMultilevel"/>
    <w:tmpl w:val="4DA62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62735D"/>
    <w:multiLevelType w:val="hybridMultilevel"/>
    <w:tmpl w:val="F14C91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7258CE"/>
    <w:multiLevelType w:val="multilevel"/>
    <w:tmpl w:val="86025FDE"/>
    <w:lvl w:ilvl="0">
      <w:start w:val="1"/>
      <w:numFmt w:val="upperRoman"/>
      <w:pStyle w:val="nadpismj"/>
      <w:suff w:val="space"/>
      <w:lvlText w:val="%1."/>
      <w:lvlJc w:val="center"/>
      <w:pPr>
        <w:ind w:left="0" w:firstLine="0"/>
      </w:pPr>
      <w:rPr>
        <w:rFonts w:cs="Times New Roman"/>
      </w:rPr>
    </w:lvl>
    <w:lvl w:ilvl="1">
      <w:start w:val="1"/>
      <w:numFmt w:val="decimal"/>
      <w:pStyle w:val="nadpismj"/>
      <w:isLgl/>
      <w:lvlText w:val="%1.%2"/>
      <w:lvlJc w:val="left"/>
      <w:pPr>
        <w:ind w:left="624" w:hanging="340"/>
      </w:pPr>
      <w:rPr>
        <w:rFonts w:cs="Times New Roman"/>
      </w:rPr>
    </w:lvl>
    <w:lvl w:ilvl="2">
      <w:start w:val="1"/>
      <w:numFmt w:val="lowerLetter"/>
      <w:lvlText w:val="%3)"/>
      <w:lvlJc w:val="left"/>
      <w:pPr>
        <w:ind w:left="0" w:firstLine="0"/>
      </w:p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5" w15:restartNumberingAfterBreak="0">
    <w:nsid w:val="16B1267A"/>
    <w:multiLevelType w:val="hybridMultilevel"/>
    <w:tmpl w:val="AA18E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1E01DC"/>
    <w:multiLevelType w:val="hybridMultilevel"/>
    <w:tmpl w:val="1ED8A19E"/>
    <w:lvl w:ilvl="0" w:tplc="4EB6F2EC">
      <w:start w:val="1"/>
      <w:numFmt w:val="upperRoman"/>
      <w:pStyle w:val="Hlavnnadpis"/>
      <w:lvlText w:val="%1."/>
      <w:lvlJc w:val="right"/>
      <w:pPr>
        <w:ind w:left="720" w:hanging="360"/>
      </w:pPr>
    </w:lvl>
    <w:lvl w:ilvl="1" w:tplc="CAB28400">
      <w:numFmt w:val="bullet"/>
      <w:lvlText w:val="-"/>
      <w:lvlJc w:val="left"/>
      <w:pPr>
        <w:ind w:left="2775" w:hanging="1695"/>
      </w:pPr>
      <w:rPr>
        <w:rFonts w:ascii="Calibri" w:eastAsia="Calibr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EE0F35"/>
    <w:multiLevelType w:val="hybridMultilevel"/>
    <w:tmpl w:val="27623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45225C"/>
    <w:multiLevelType w:val="hybridMultilevel"/>
    <w:tmpl w:val="AEF0C4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1B13E2"/>
    <w:multiLevelType w:val="hybridMultilevel"/>
    <w:tmpl w:val="84AE76C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45499E"/>
    <w:multiLevelType w:val="hybridMultilevel"/>
    <w:tmpl w:val="724C4C70"/>
    <w:lvl w:ilvl="0" w:tplc="EC4249E8">
      <w:start w:val="1"/>
      <w:numFmt w:val="decimal"/>
      <w:lvlText w:val="%1)"/>
      <w:lvlJc w:val="left"/>
      <w:pPr>
        <w:ind w:left="360" w:hanging="360"/>
      </w:pPr>
      <w:rPr>
        <w:rFonts w:hint="default"/>
      </w:rPr>
    </w:lvl>
    <w:lvl w:ilvl="1" w:tplc="D2083AFE" w:tentative="1">
      <w:start w:val="1"/>
      <w:numFmt w:val="lowerLetter"/>
      <w:lvlText w:val="%2."/>
      <w:lvlJc w:val="left"/>
      <w:pPr>
        <w:ind w:left="1080" w:hanging="360"/>
      </w:pPr>
    </w:lvl>
    <w:lvl w:ilvl="2" w:tplc="91DC161C" w:tentative="1">
      <w:start w:val="1"/>
      <w:numFmt w:val="lowerRoman"/>
      <w:lvlText w:val="%3."/>
      <w:lvlJc w:val="right"/>
      <w:pPr>
        <w:ind w:left="1800" w:hanging="180"/>
      </w:pPr>
    </w:lvl>
    <w:lvl w:ilvl="3" w:tplc="98EAB0AA" w:tentative="1">
      <w:start w:val="1"/>
      <w:numFmt w:val="decimal"/>
      <w:lvlText w:val="%4."/>
      <w:lvlJc w:val="left"/>
      <w:pPr>
        <w:ind w:left="2520" w:hanging="360"/>
      </w:pPr>
    </w:lvl>
    <w:lvl w:ilvl="4" w:tplc="1A54648E" w:tentative="1">
      <w:start w:val="1"/>
      <w:numFmt w:val="lowerLetter"/>
      <w:lvlText w:val="%5."/>
      <w:lvlJc w:val="left"/>
      <w:pPr>
        <w:ind w:left="3240" w:hanging="360"/>
      </w:pPr>
    </w:lvl>
    <w:lvl w:ilvl="5" w:tplc="0F963008" w:tentative="1">
      <w:start w:val="1"/>
      <w:numFmt w:val="lowerRoman"/>
      <w:lvlText w:val="%6."/>
      <w:lvlJc w:val="right"/>
      <w:pPr>
        <w:ind w:left="3960" w:hanging="180"/>
      </w:pPr>
    </w:lvl>
    <w:lvl w:ilvl="6" w:tplc="143EF43E" w:tentative="1">
      <w:start w:val="1"/>
      <w:numFmt w:val="decimal"/>
      <w:lvlText w:val="%7."/>
      <w:lvlJc w:val="left"/>
      <w:pPr>
        <w:ind w:left="4680" w:hanging="360"/>
      </w:pPr>
    </w:lvl>
    <w:lvl w:ilvl="7" w:tplc="87FA1C86" w:tentative="1">
      <w:start w:val="1"/>
      <w:numFmt w:val="lowerLetter"/>
      <w:lvlText w:val="%8."/>
      <w:lvlJc w:val="left"/>
      <w:pPr>
        <w:ind w:left="5400" w:hanging="360"/>
      </w:pPr>
    </w:lvl>
    <w:lvl w:ilvl="8" w:tplc="B956990E" w:tentative="1">
      <w:start w:val="1"/>
      <w:numFmt w:val="lowerRoman"/>
      <w:lvlText w:val="%9."/>
      <w:lvlJc w:val="right"/>
      <w:pPr>
        <w:ind w:left="6120" w:hanging="180"/>
      </w:pPr>
    </w:lvl>
  </w:abstractNum>
  <w:abstractNum w:abstractNumId="11" w15:restartNumberingAfterBreak="0">
    <w:nsid w:val="238A27DC"/>
    <w:multiLevelType w:val="hybridMultilevel"/>
    <w:tmpl w:val="3814E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5520BE"/>
    <w:multiLevelType w:val="hybridMultilevel"/>
    <w:tmpl w:val="AF6EA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F92A89"/>
    <w:multiLevelType w:val="hybridMultilevel"/>
    <w:tmpl w:val="3A0C675A"/>
    <w:lvl w:ilvl="0" w:tplc="04050013">
      <w:start w:val="1"/>
      <w:numFmt w:val="upperRoman"/>
      <w:lvlText w:val="%1."/>
      <w:lvlJc w:val="right"/>
      <w:pPr>
        <w:ind w:left="720" w:hanging="360"/>
      </w:pPr>
    </w:lvl>
    <w:lvl w:ilvl="1" w:tplc="5C1E6562" w:tentative="1">
      <w:start w:val="1"/>
      <w:numFmt w:val="lowerLetter"/>
      <w:lvlText w:val="%2."/>
      <w:lvlJc w:val="left"/>
      <w:pPr>
        <w:ind w:left="1440" w:hanging="360"/>
      </w:pPr>
    </w:lvl>
    <w:lvl w:ilvl="2" w:tplc="F222A550" w:tentative="1">
      <w:start w:val="1"/>
      <w:numFmt w:val="lowerRoman"/>
      <w:lvlText w:val="%3."/>
      <w:lvlJc w:val="right"/>
      <w:pPr>
        <w:ind w:left="2160" w:hanging="180"/>
      </w:pPr>
    </w:lvl>
    <w:lvl w:ilvl="3" w:tplc="6E401DB4" w:tentative="1">
      <w:start w:val="1"/>
      <w:numFmt w:val="decimal"/>
      <w:lvlText w:val="%4."/>
      <w:lvlJc w:val="left"/>
      <w:pPr>
        <w:ind w:left="2880" w:hanging="360"/>
      </w:pPr>
    </w:lvl>
    <w:lvl w:ilvl="4" w:tplc="EF78809A" w:tentative="1">
      <w:start w:val="1"/>
      <w:numFmt w:val="lowerLetter"/>
      <w:lvlText w:val="%5."/>
      <w:lvlJc w:val="left"/>
      <w:pPr>
        <w:ind w:left="3600" w:hanging="360"/>
      </w:pPr>
    </w:lvl>
    <w:lvl w:ilvl="5" w:tplc="3CD8A354" w:tentative="1">
      <w:start w:val="1"/>
      <w:numFmt w:val="lowerRoman"/>
      <w:lvlText w:val="%6."/>
      <w:lvlJc w:val="right"/>
      <w:pPr>
        <w:ind w:left="4320" w:hanging="180"/>
      </w:pPr>
    </w:lvl>
    <w:lvl w:ilvl="6" w:tplc="6A18B4BE" w:tentative="1">
      <w:start w:val="1"/>
      <w:numFmt w:val="decimal"/>
      <w:lvlText w:val="%7."/>
      <w:lvlJc w:val="left"/>
      <w:pPr>
        <w:ind w:left="5040" w:hanging="360"/>
      </w:pPr>
    </w:lvl>
    <w:lvl w:ilvl="7" w:tplc="71D22510" w:tentative="1">
      <w:start w:val="1"/>
      <w:numFmt w:val="lowerLetter"/>
      <w:lvlText w:val="%8."/>
      <w:lvlJc w:val="left"/>
      <w:pPr>
        <w:ind w:left="5760" w:hanging="360"/>
      </w:pPr>
    </w:lvl>
    <w:lvl w:ilvl="8" w:tplc="5584422A" w:tentative="1">
      <w:start w:val="1"/>
      <w:numFmt w:val="lowerRoman"/>
      <w:lvlText w:val="%9."/>
      <w:lvlJc w:val="right"/>
      <w:pPr>
        <w:ind w:left="6480" w:hanging="180"/>
      </w:pPr>
    </w:lvl>
  </w:abstractNum>
  <w:abstractNum w:abstractNumId="14" w15:restartNumberingAfterBreak="0">
    <w:nsid w:val="384A3167"/>
    <w:multiLevelType w:val="hybridMultilevel"/>
    <w:tmpl w:val="74A201DA"/>
    <w:lvl w:ilvl="0" w:tplc="F718E130">
      <w:start w:val="1"/>
      <w:numFmt w:val="lowerLetter"/>
      <w:pStyle w:val="Podmnky"/>
      <w:lvlText w:val="%1)"/>
      <w:lvlJc w:val="left"/>
      <w:pPr>
        <w:ind w:left="360" w:hanging="360"/>
      </w:pPr>
    </w:lvl>
    <w:lvl w:ilvl="1" w:tplc="7CA2BBFE" w:tentative="1">
      <w:start w:val="1"/>
      <w:numFmt w:val="lowerLetter"/>
      <w:lvlText w:val="%2."/>
      <w:lvlJc w:val="left"/>
      <w:pPr>
        <w:ind w:left="1080" w:hanging="360"/>
      </w:pPr>
    </w:lvl>
    <w:lvl w:ilvl="2" w:tplc="8CF64CB0" w:tentative="1">
      <w:start w:val="1"/>
      <w:numFmt w:val="lowerRoman"/>
      <w:lvlText w:val="%3."/>
      <w:lvlJc w:val="right"/>
      <w:pPr>
        <w:ind w:left="1800" w:hanging="180"/>
      </w:pPr>
    </w:lvl>
    <w:lvl w:ilvl="3" w:tplc="58F62B02" w:tentative="1">
      <w:start w:val="1"/>
      <w:numFmt w:val="decimal"/>
      <w:lvlText w:val="%4."/>
      <w:lvlJc w:val="left"/>
      <w:pPr>
        <w:ind w:left="2520" w:hanging="360"/>
      </w:pPr>
    </w:lvl>
    <w:lvl w:ilvl="4" w:tplc="648A9996" w:tentative="1">
      <w:start w:val="1"/>
      <w:numFmt w:val="lowerLetter"/>
      <w:lvlText w:val="%5."/>
      <w:lvlJc w:val="left"/>
      <w:pPr>
        <w:ind w:left="3240" w:hanging="360"/>
      </w:pPr>
    </w:lvl>
    <w:lvl w:ilvl="5" w:tplc="80F4B220" w:tentative="1">
      <w:start w:val="1"/>
      <w:numFmt w:val="lowerRoman"/>
      <w:lvlText w:val="%6."/>
      <w:lvlJc w:val="right"/>
      <w:pPr>
        <w:ind w:left="3960" w:hanging="180"/>
      </w:pPr>
    </w:lvl>
    <w:lvl w:ilvl="6" w:tplc="1BB687AC" w:tentative="1">
      <w:start w:val="1"/>
      <w:numFmt w:val="decimal"/>
      <w:lvlText w:val="%7."/>
      <w:lvlJc w:val="left"/>
      <w:pPr>
        <w:ind w:left="4680" w:hanging="360"/>
      </w:pPr>
    </w:lvl>
    <w:lvl w:ilvl="7" w:tplc="5150C2E0" w:tentative="1">
      <w:start w:val="1"/>
      <w:numFmt w:val="lowerLetter"/>
      <w:lvlText w:val="%8."/>
      <w:lvlJc w:val="left"/>
      <w:pPr>
        <w:ind w:left="5400" w:hanging="360"/>
      </w:pPr>
    </w:lvl>
    <w:lvl w:ilvl="8" w:tplc="B3B6F222" w:tentative="1">
      <w:start w:val="1"/>
      <w:numFmt w:val="lowerRoman"/>
      <w:lvlText w:val="%9."/>
      <w:lvlJc w:val="right"/>
      <w:pPr>
        <w:ind w:left="6120" w:hanging="180"/>
      </w:pPr>
    </w:lvl>
  </w:abstractNum>
  <w:abstractNum w:abstractNumId="15" w15:restartNumberingAfterBreak="0">
    <w:nsid w:val="3C0547F4"/>
    <w:multiLevelType w:val="hybridMultilevel"/>
    <w:tmpl w:val="C9BA6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18282F"/>
    <w:multiLevelType w:val="hybridMultilevel"/>
    <w:tmpl w:val="9712F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134FD2"/>
    <w:multiLevelType w:val="hybridMultilevel"/>
    <w:tmpl w:val="EA3A33C6"/>
    <w:lvl w:ilvl="0" w:tplc="04050001">
      <w:start w:val="1"/>
      <w:numFmt w:val="bullet"/>
      <w:lvlText w:val=""/>
      <w:lvlJc w:val="left"/>
      <w:pPr>
        <w:ind w:left="2620" w:hanging="360"/>
      </w:pPr>
      <w:rPr>
        <w:rFonts w:ascii="Symbol" w:hAnsi="Symbol" w:hint="default"/>
      </w:rPr>
    </w:lvl>
    <w:lvl w:ilvl="1" w:tplc="04050003" w:tentative="1">
      <w:start w:val="1"/>
      <w:numFmt w:val="bullet"/>
      <w:lvlText w:val="o"/>
      <w:lvlJc w:val="left"/>
      <w:pPr>
        <w:ind w:left="3340" w:hanging="360"/>
      </w:pPr>
      <w:rPr>
        <w:rFonts w:ascii="Courier New" w:hAnsi="Courier New" w:cs="Courier New" w:hint="default"/>
      </w:rPr>
    </w:lvl>
    <w:lvl w:ilvl="2" w:tplc="04050005" w:tentative="1">
      <w:start w:val="1"/>
      <w:numFmt w:val="bullet"/>
      <w:lvlText w:val=""/>
      <w:lvlJc w:val="left"/>
      <w:pPr>
        <w:ind w:left="4060" w:hanging="360"/>
      </w:pPr>
      <w:rPr>
        <w:rFonts w:ascii="Wingdings" w:hAnsi="Wingdings" w:hint="default"/>
      </w:rPr>
    </w:lvl>
    <w:lvl w:ilvl="3" w:tplc="04050001" w:tentative="1">
      <w:start w:val="1"/>
      <w:numFmt w:val="bullet"/>
      <w:lvlText w:val=""/>
      <w:lvlJc w:val="left"/>
      <w:pPr>
        <w:ind w:left="4780" w:hanging="360"/>
      </w:pPr>
      <w:rPr>
        <w:rFonts w:ascii="Symbol" w:hAnsi="Symbol" w:hint="default"/>
      </w:rPr>
    </w:lvl>
    <w:lvl w:ilvl="4" w:tplc="04050003" w:tentative="1">
      <w:start w:val="1"/>
      <w:numFmt w:val="bullet"/>
      <w:lvlText w:val="o"/>
      <w:lvlJc w:val="left"/>
      <w:pPr>
        <w:ind w:left="5500" w:hanging="360"/>
      </w:pPr>
      <w:rPr>
        <w:rFonts w:ascii="Courier New" w:hAnsi="Courier New" w:cs="Courier New" w:hint="default"/>
      </w:rPr>
    </w:lvl>
    <w:lvl w:ilvl="5" w:tplc="04050005" w:tentative="1">
      <w:start w:val="1"/>
      <w:numFmt w:val="bullet"/>
      <w:lvlText w:val=""/>
      <w:lvlJc w:val="left"/>
      <w:pPr>
        <w:ind w:left="6220" w:hanging="360"/>
      </w:pPr>
      <w:rPr>
        <w:rFonts w:ascii="Wingdings" w:hAnsi="Wingdings" w:hint="default"/>
      </w:rPr>
    </w:lvl>
    <w:lvl w:ilvl="6" w:tplc="04050001" w:tentative="1">
      <w:start w:val="1"/>
      <w:numFmt w:val="bullet"/>
      <w:lvlText w:val=""/>
      <w:lvlJc w:val="left"/>
      <w:pPr>
        <w:ind w:left="6940" w:hanging="360"/>
      </w:pPr>
      <w:rPr>
        <w:rFonts w:ascii="Symbol" w:hAnsi="Symbol" w:hint="default"/>
      </w:rPr>
    </w:lvl>
    <w:lvl w:ilvl="7" w:tplc="04050003" w:tentative="1">
      <w:start w:val="1"/>
      <w:numFmt w:val="bullet"/>
      <w:lvlText w:val="o"/>
      <w:lvlJc w:val="left"/>
      <w:pPr>
        <w:ind w:left="7660" w:hanging="360"/>
      </w:pPr>
      <w:rPr>
        <w:rFonts w:ascii="Courier New" w:hAnsi="Courier New" w:cs="Courier New" w:hint="default"/>
      </w:rPr>
    </w:lvl>
    <w:lvl w:ilvl="8" w:tplc="04050005" w:tentative="1">
      <w:start w:val="1"/>
      <w:numFmt w:val="bullet"/>
      <w:lvlText w:val=""/>
      <w:lvlJc w:val="left"/>
      <w:pPr>
        <w:ind w:left="8380" w:hanging="360"/>
      </w:pPr>
      <w:rPr>
        <w:rFonts w:ascii="Wingdings" w:hAnsi="Wingdings" w:hint="default"/>
      </w:rPr>
    </w:lvl>
  </w:abstractNum>
  <w:abstractNum w:abstractNumId="18" w15:restartNumberingAfterBreak="0">
    <w:nsid w:val="3FB95DFD"/>
    <w:multiLevelType w:val="hybridMultilevel"/>
    <w:tmpl w:val="A1967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343A05"/>
    <w:multiLevelType w:val="hybridMultilevel"/>
    <w:tmpl w:val="FD78A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D12C25"/>
    <w:multiLevelType w:val="hybridMultilevel"/>
    <w:tmpl w:val="7214FAD6"/>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1" w15:restartNumberingAfterBreak="0">
    <w:nsid w:val="42E87991"/>
    <w:multiLevelType w:val="hybridMultilevel"/>
    <w:tmpl w:val="BFF6F0C8"/>
    <w:lvl w:ilvl="0" w:tplc="5B763C38">
      <w:start w:val="20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353D4A"/>
    <w:multiLevelType w:val="hybridMultilevel"/>
    <w:tmpl w:val="FE0E0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8126F0"/>
    <w:multiLevelType w:val="hybridMultilevel"/>
    <w:tmpl w:val="FEDA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837B92"/>
    <w:multiLevelType w:val="hybridMultilevel"/>
    <w:tmpl w:val="B5B0D9B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9ED5C2E"/>
    <w:multiLevelType w:val="hybridMultilevel"/>
    <w:tmpl w:val="15DE3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6A4690"/>
    <w:multiLevelType w:val="hybridMultilevel"/>
    <w:tmpl w:val="262A7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796D9C"/>
    <w:multiLevelType w:val="hybridMultilevel"/>
    <w:tmpl w:val="82822136"/>
    <w:lvl w:ilvl="0" w:tplc="CDB6380A">
      <w:start w:val="1"/>
      <w:numFmt w:val="decimal"/>
      <w:pStyle w:val="Tabulka"/>
      <w:lvlText w:val="Tabulka č. %1:"/>
      <w:lvlJc w:val="left"/>
      <w:pPr>
        <w:ind w:left="644" w:hanging="360"/>
      </w:pPr>
      <w:rPr>
        <w:rFonts w:ascii="Calibri" w:hAnsi="Calibri" w:hint="default"/>
        <w:b/>
        <w:bCs w:val="0"/>
        <w:i w:val="0"/>
        <w:iCs w:val="0"/>
        <w:caps w:val="0"/>
        <w:strike w:val="0"/>
        <w:dstrike w:val="0"/>
        <w:outline w:val="0"/>
        <w:shadow w:val="0"/>
        <w:emboss w:val="0"/>
        <w:imprint w:val="0"/>
        <w:vanish w:val="0"/>
        <w:spacing w:val="0"/>
        <w:kern w:val="0"/>
        <w:position w:val="0"/>
        <w:sz w:val="24"/>
        <w:szCs w:val="24"/>
        <w:u w:val="none"/>
        <w:vertAlign w:val="baseline"/>
      </w:rPr>
    </w:lvl>
    <w:lvl w:ilvl="1" w:tplc="42809734" w:tentative="1">
      <w:start w:val="1"/>
      <w:numFmt w:val="lowerLetter"/>
      <w:lvlText w:val="%2."/>
      <w:lvlJc w:val="left"/>
      <w:pPr>
        <w:ind w:left="1440" w:hanging="360"/>
      </w:pPr>
    </w:lvl>
    <w:lvl w:ilvl="2" w:tplc="42F40A70" w:tentative="1">
      <w:start w:val="1"/>
      <w:numFmt w:val="lowerRoman"/>
      <w:lvlText w:val="%3."/>
      <w:lvlJc w:val="right"/>
      <w:pPr>
        <w:ind w:left="2160" w:hanging="180"/>
      </w:pPr>
    </w:lvl>
    <w:lvl w:ilvl="3" w:tplc="AF305886" w:tentative="1">
      <w:start w:val="1"/>
      <w:numFmt w:val="decimal"/>
      <w:lvlText w:val="%4."/>
      <w:lvlJc w:val="left"/>
      <w:pPr>
        <w:ind w:left="2880" w:hanging="360"/>
      </w:pPr>
    </w:lvl>
    <w:lvl w:ilvl="4" w:tplc="5EB84FA8" w:tentative="1">
      <w:start w:val="1"/>
      <w:numFmt w:val="lowerLetter"/>
      <w:lvlText w:val="%5."/>
      <w:lvlJc w:val="left"/>
      <w:pPr>
        <w:ind w:left="3600" w:hanging="360"/>
      </w:pPr>
    </w:lvl>
    <w:lvl w:ilvl="5" w:tplc="5B68113C" w:tentative="1">
      <w:start w:val="1"/>
      <w:numFmt w:val="lowerRoman"/>
      <w:lvlText w:val="%6."/>
      <w:lvlJc w:val="right"/>
      <w:pPr>
        <w:ind w:left="4320" w:hanging="180"/>
      </w:pPr>
    </w:lvl>
    <w:lvl w:ilvl="6" w:tplc="7CE00BCA" w:tentative="1">
      <w:start w:val="1"/>
      <w:numFmt w:val="decimal"/>
      <w:lvlText w:val="%7."/>
      <w:lvlJc w:val="left"/>
      <w:pPr>
        <w:ind w:left="5040" w:hanging="360"/>
      </w:pPr>
    </w:lvl>
    <w:lvl w:ilvl="7" w:tplc="AECAE818" w:tentative="1">
      <w:start w:val="1"/>
      <w:numFmt w:val="lowerLetter"/>
      <w:lvlText w:val="%8."/>
      <w:lvlJc w:val="left"/>
      <w:pPr>
        <w:ind w:left="5760" w:hanging="360"/>
      </w:pPr>
    </w:lvl>
    <w:lvl w:ilvl="8" w:tplc="9AD2E834" w:tentative="1">
      <w:start w:val="1"/>
      <w:numFmt w:val="lowerRoman"/>
      <w:lvlText w:val="%9."/>
      <w:lvlJc w:val="right"/>
      <w:pPr>
        <w:ind w:left="6480" w:hanging="180"/>
      </w:pPr>
    </w:lvl>
  </w:abstractNum>
  <w:abstractNum w:abstractNumId="28" w15:restartNumberingAfterBreak="0">
    <w:nsid w:val="56513B5B"/>
    <w:multiLevelType w:val="hybridMultilevel"/>
    <w:tmpl w:val="74CAF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FB59C7"/>
    <w:multiLevelType w:val="hybridMultilevel"/>
    <w:tmpl w:val="4E544A3C"/>
    <w:lvl w:ilvl="0" w:tplc="CFC09ECA">
      <w:start w:val="1"/>
      <w:numFmt w:val="bullet"/>
      <w:pStyle w:val="Bul4"/>
      <w:lvlText w:val=""/>
      <w:lvlJc w:val="left"/>
      <w:pPr>
        <w:tabs>
          <w:tab w:val="num" w:pos="448"/>
        </w:tabs>
        <w:ind w:left="448" w:hanging="360"/>
      </w:pPr>
      <w:rPr>
        <w:rFonts w:ascii="Wingdings" w:hAnsi="Wingdings" w:cs="Wingdings" w:hint="default"/>
        <w:color w:val="auto"/>
      </w:rPr>
    </w:lvl>
    <w:lvl w:ilvl="1" w:tplc="4D1CB806">
      <w:start w:val="1"/>
      <w:numFmt w:val="bullet"/>
      <w:lvlText w:val="o"/>
      <w:lvlJc w:val="left"/>
      <w:pPr>
        <w:tabs>
          <w:tab w:val="num" w:pos="1528"/>
        </w:tabs>
        <w:ind w:left="1528" w:hanging="360"/>
      </w:pPr>
      <w:rPr>
        <w:rFonts w:ascii="Courier New" w:hAnsi="Courier New" w:cs="Courier New" w:hint="default"/>
      </w:rPr>
    </w:lvl>
    <w:lvl w:ilvl="2" w:tplc="3F10DD28">
      <w:start w:val="1"/>
      <w:numFmt w:val="bullet"/>
      <w:lvlText w:val=""/>
      <w:lvlJc w:val="left"/>
      <w:pPr>
        <w:tabs>
          <w:tab w:val="num" w:pos="2248"/>
        </w:tabs>
        <w:ind w:left="2248" w:hanging="360"/>
      </w:pPr>
      <w:rPr>
        <w:rFonts w:ascii="Wingdings" w:hAnsi="Wingdings" w:cs="Wingdings" w:hint="default"/>
      </w:rPr>
    </w:lvl>
    <w:lvl w:ilvl="3" w:tplc="FB7C74E8">
      <w:start w:val="1"/>
      <w:numFmt w:val="bullet"/>
      <w:lvlText w:val=""/>
      <w:lvlJc w:val="left"/>
      <w:pPr>
        <w:tabs>
          <w:tab w:val="num" w:pos="2968"/>
        </w:tabs>
        <w:ind w:left="2968" w:hanging="360"/>
      </w:pPr>
      <w:rPr>
        <w:rFonts w:ascii="Symbol" w:hAnsi="Symbol" w:cs="Symbol" w:hint="default"/>
      </w:rPr>
    </w:lvl>
    <w:lvl w:ilvl="4" w:tplc="64D6BF6C">
      <w:start w:val="1"/>
      <w:numFmt w:val="bullet"/>
      <w:lvlText w:val="o"/>
      <w:lvlJc w:val="left"/>
      <w:pPr>
        <w:tabs>
          <w:tab w:val="num" w:pos="3688"/>
        </w:tabs>
        <w:ind w:left="3688" w:hanging="360"/>
      </w:pPr>
      <w:rPr>
        <w:rFonts w:ascii="Courier New" w:hAnsi="Courier New" w:cs="Courier New" w:hint="default"/>
      </w:rPr>
    </w:lvl>
    <w:lvl w:ilvl="5" w:tplc="2B0CBB20">
      <w:start w:val="1"/>
      <w:numFmt w:val="bullet"/>
      <w:lvlText w:val=""/>
      <w:lvlJc w:val="left"/>
      <w:pPr>
        <w:tabs>
          <w:tab w:val="num" w:pos="4408"/>
        </w:tabs>
        <w:ind w:left="4408" w:hanging="360"/>
      </w:pPr>
      <w:rPr>
        <w:rFonts w:ascii="Wingdings" w:hAnsi="Wingdings" w:cs="Wingdings" w:hint="default"/>
      </w:rPr>
    </w:lvl>
    <w:lvl w:ilvl="6" w:tplc="571C663C">
      <w:start w:val="1"/>
      <w:numFmt w:val="bullet"/>
      <w:lvlText w:val=""/>
      <w:lvlJc w:val="left"/>
      <w:pPr>
        <w:tabs>
          <w:tab w:val="num" w:pos="5128"/>
        </w:tabs>
        <w:ind w:left="5128" w:hanging="360"/>
      </w:pPr>
      <w:rPr>
        <w:rFonts w:ascii="Symbol" w:hAnsi="Symbol" w:cs="Symbol" w:hint="default"/>
      </w:rPr>
    </w:lvl>
    <w:lvl w:ilvl="7" w:tplc="9F562578">
      <w:start w:val="1"/>
      <w:numFmt w:val="bullet"/>
      <w:lvlText w:val="o"/>
      <w:lvlJc w:val="left"/>
      <w:pPr>
        <w:tabs>
          <w:tab w:val="num" w:pos="5848"/>
        </w:tabs>
        <w:ind w:left="5848" w:hanging="360"/>
      </w:pPr>
      <w:rPr>
        <w:rFonts w:ascii="Courier New" w:hAnsi="Courier New" w:cs="Courier New" w:hint="default"/>
      </w:rPr>
    </w:lvl>
    <w:lvl w:ilvl="8" w:tplc="E1201FF2">
      <w:start w:val="1"/>
      <w:numFmt w:val="bullet"/>
      <w:lvlText w:val=""/>
      <w:lvlJc w:val="left"/>
      <w:pPr>
        <w:tabs>
          <w:tab w:val="num" w:pos="6568"/>
        </w:tabs>
        <w:ind w:left="6568" w:hanging="360"/>
      </w:pPr>
      <w:rPr>
        <w:rFonts w:ascii="Wingdings" w:hAnsi="Wingdings" w:cs="Wingdings" w:hint="default"/>
      </w:rPr>
    </w:lvl>
  </w:abstractNum>
  <w:abstractNum w:abstractNumId="30" w15:restartNumberingAfterBreak="0">
    <w:nsid w:val="59055158"/>
    <w:multiLevelType w:val="hybridMultilevel"/>
    <w:tmpl w:val="70200FD0"/>
    <w:lvl w:ilvl="0" w:tplc="723CE56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000E49"/>
    <w:multiLevelType w:val="hybridMultilevel"/>
    <w:tmpl w:val="688644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5F2519"/>
    <w:multiLevelType w:val="hybridMultilevel"/>
    <w:tmpl w:val="C986C0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AB0E3B"/>
    <w:multiLevelType w:val="hybridMultilevel"/>
    <w:tmpl w:val="56021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F643B3"/>
    <w:multiLevelType w:val="hybridMultilevel"/>
    <w:tmpl w:val="BA62D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7141E3"/>
    <w:multiLevelType w:val="hybridMultilevel"/>
    <w:tmpl w:val="3A66E760"/>
    <w:lvl w:ilvl="0" w:tplc="89FAA404">
      <w:start w:val="1"/>
      <w:numFmt w:val="bullet"/>
      <w:pStyle w:val="Odrkybod"/>
      <w:lvlText w:val=""/>
      <w:lvlJc w:val="left"/>
      <w:pPr>
        <w:ind w:left="720" w:hanging="360"/>
      </w:pPr>
      <w:rPr>
        <w:rFonts w:ascii="Symbol" w:hAnsi="Symbol" w:hint="default"/>
      </w:rPr>
    </w:lvl>
    <w:lvl w:ilvl="1" w:tplc="2E5CF2E2">
      <w:numFmt w:val="bullet"/>
      <w:lvlText w:val="-"/>
      <w:lvlJc w:val="left"/>
      <w:pPr>
        <w:ind w:left="1440" w:hanging="360"/>
      </w:pPr>
      <w:rPr>
        <w:rFonts w:ascii="Calibri" w:eastAsia="Times New Roman" w:hAnsi="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736EA7"/>
    <w:multiLevelType w:val="multilevel"/>
    <w:tmpl w:val="C18EF15A"/>
    <w:lvl w:ilvl="0">
      <w:start w:val="1"/>
      <w:numFmt w:val="upperLetter"/>
      <w:pStyle w:val="Nadpis1"/>
      <w:lvlText w:val="%1)"/>
      <w:lvlJc w:val="left"/>
      <w:pPr>
        <w:ind w:left="360" w:hanging="360"/>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7" w15:restartNumberingAfterBreak="0">
    <w:nsid w:val="64805BA2"/>
    <w:multiLevelType w:val="hybridMultilevel"/>
    <w:tmpl w:val="2B2E01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0F31AB"/>
    <w:multiLevelType w:val="hybridMultilevel"/>
    <w:tmpl w:val="F59CEE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8E7C86"/>
    <w:multiLevelType w:val="hybridMultilevel"/>
    <w:tmpl w:val="247CED70"/>
    <w:lvl w:ilvl="0" w:tplc="9252BFAE">
      <w:start w:val="1"/>
      <w:numFmt w:val="lowerLetter"/>
      <w:pStyle w:val="Normlnslovna"/>
      <w:lvlText w:val="%1)"/>
      <w:lvlJc w:val="left"/>
      <w:pPr>
        <w:tabs>
          <w:tab w:val="num" w:pos="340"/>
        </w:tabs>
        <w:ind w:left="624" w:hanging="34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15:restartNumberingAfterBreak="0">
    <w:nsid w:val="704D7B85"/>
    <w:multiLevelType w:val="hybridMultilevel"/>
    <w:tmpl w:val="CF7C71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72738E"/>
    <w:multiLevelType w:val="hybridMultilevel"/>
    <w:tmpl w:val="095A1C06"/>
    <w:lvl w:ilvl="0" w:tplc="48A683DA">
      <w:start w:val="1"/>
      <w:numFmt w:val="decimal"/>
      <w:pStyle w:val="Bodydosti"/>
      <w:lvlText w:val="Bod č. %1 žádosti"/>
      <w:lvlJc w:val="left"/>
      <w:pPr>
        <w:ind w:left="720" w:hanging="360"/>
      </w:pPr>
      <w:rPr>
        <w:rFonts w:ascii="Segoe UI" w:hAnsi="Segoe UI" w:hint="default"/>
        <w:b/>
        <w:i w:val="0"/>
        <w:u w:val="single"/>
      </w:rPr>
    </w:lvl>
    <w:lvl w:ilvl="1" w:tplc="A39C387E" w:tentative="1">
      <w:start w:val="1"/>
      <w:numFmt w:val="lowerLetter"/>
      <w:lvlText w:val="%2."/>
      <w:lvlJc w:val="left"/>
      <w:pPr>
        <w:ind w:left="1440" w:hanging="360"/>
      </w:pPr>
    </w:lvl>
    <w:lvl w:ilvl="2" w:tplc="999C9B3C" w:tentative="1">
      <w:start w:val="1"/>
      <w:numFmt w:val="lowerRoman"/>
      <w:lvlText w:val="%3."/>
      <w:lvlJc w:val="right"/>
      <w:pPr>
        <w:ind w:left="2160" w:hanging="180"/>
      </w:pPr>
    </w:lvl>
    <w:lvl w:ilvl="3" w:tplc="C338BF5C" w:tentative="1">
      <w:start w:val="1"/>
      <w:numFmt w:val="decimal"/>
      <w:lvlText w:val="%4."/>
      <w:lvlJc w:val="left"/>
      <w:pPr>
        <w:ind w:left="2880" w:hanging="360"/>
      </w:pPr>
    </w:lvl>
    <w:lvl w:ilvl="4" w:tplc="D4E01D1C" w:tentative="1">
      <w:start w:val="1"/>
      <w:numFmt w:val="lowerLetter"/>
      <w:lvlText w:val="%5."/>
      <w:lvlJc w:val="left"/>
      <w:pPr>
        <w:ind w:left="3600" w:hanging="360"/>
      </w:pPr>
    </w:lvl>
    <w:lvl w:ilvl="5" w:tplc="350426B8" w:tentative="1">
      <w:start w:val="1"/>
      <w:numFmt w:val="lowerRoman"/>
      <w:lvlText w:val="%6."/>
      <w:lvlJc w:val="right"/>
      <w:pPr>
        <w:ind w:left="4320" w:hanging="180"/>
      </w:pPr>
    </w:lvl>
    <w:lvl w:ilvl="6" w:tplc="AACCF508" w:tentative="1">
      <w:start w:val="1"/>
      <w:numFmt w:val="decimal"/>
      <w:lvlText w:val="%7."/>
      <w:lvlJc w:val="left"/>
      <w:pPr>
        <w:ind w:left="5040" w:hanging="360"/>
      </w:pPr>
    </w:lvl>
    <w:lvl w:ilvl="7" w:tplc="D9AE79BC" w:tentative="1">
      <w:start w:val="1"/>
      <w:numFmt w:val="lowerLetter"/>
      <w:lvlText w:val="%8."/>
      <w:lvlJc w:val="left"/>
      <w:pPr>
        <w:ind w:left="5760" w:hanging="360"/>
      </w:pPr>
    </w:lvl>
    <w:lvl w:ilvl="8" w:tplc="9EB4C844" w:tentative="1">
      <w:start w:val="1"/>
      <w:numFmt w:val="lowerRoman"/>
      <w:lvlText w:val="%9."/>
      <w:lvlJc w:val="right"/>
      <w:pPr>
        <w:ind w:left="6480" w:hanging="180"/>
      </w:pPr>
    </w:lvl>
  </w:abstractNum>
  <w:abstractNum w:abstractNumId="42" w15:restartNumberingAfterBreak="0">
    <w:nsid w:val="75C27618"/>
    <w:multiLevelType w:val="hybridMultilevel"/>
    <w:tmpl w:val="6C0432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0329B6"/>
    <w:multiLevelType w:val="hybridMultilevel"/>
    <w:tmpl w:val="97AA025E"/>
    <w:lvl w:ilvl="0" w:tplc="F9B2CA7C">
      <w:start w:val="1"/>
      <w:numFmt w:val="decimal"/>
      <w:pStyle w:val="Nzevtabulka"/>
      <w:lvlText w:val="Tabulka č. %1:"/>
      <w:lvlJc w:val="left"/>
      <w:pPr>
        <w:ind w:left="1353"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8FEB304">
      <w:start w:val="1"/>
      <w:numFmt w:val="lowerLetter"/>
      <w:lvlText w:val="%2."/>
      <w:lvlJc w:val="left"/>
      <w:pPr>
        <w:ind w:left="1299" w:hanging="360"/>
      </w:pPr>
    </w:lvl>
    <w:lvl w:ilvl="2" w:tplc="3FBC99CA">
      <w:start w:val="1"/>
      <w:numFmt w:val="lowerRoman"/>
      <w:lvlText w:val="%3."/>
      <w:lvlJc w:val="right"/>
      <w:pPr>
        <w:ind w:left="2019" w:hanging="180"/>
      </w:pPr>
    </w:lvl>
    <w:lvl w:ilvl="3" w:tplc="54B88696">
      <w:start w:val="1"/>
      <w:numFmt w:val="decimal"/>
      <w:lvlText w:val="%4."/>
      <w:lvlJc w:val="left"/>
      <w:pPr>
        <w:ind w:left="2739" w:hanging="360"/>
      </w:pPr>
    </w:lvl>
    <w:lvl w:ilvl="4" w:tplc="CF98943A">
      <w:start w:val="1"/>
      <w:numFmt w:val="lowerLetter"/>
      <w:lvlText w:val="%5."/>
      <w:lvlJc w:val="left"/>
      <w:pPr>
        <w:ind w:left="3459" w:hanging="360"/>
      </w:pPr>
    </w:lvl>
    <w:lvl w:ilvl="5" w:tplc="105E50AA">
      <w:start w:val="1"/>
      <w:numFmt w:val="lowerRoman"/>
      <w:lvlText w:val="%6."/>
      <w:lvlJc w:val="right"/>
      <w:pPr>
        <w:ind w:left="4179" w:hanging="180"/>
      </w:pPr>
    </w:lvl>
    <w:lvl w:ilvl="6" w:tplc="15825AA8">
      <w:start w:val="1"/>
      <w:numFmt w:val="decimal"/>
      <w:lvlText w:val="%7."/>
      <w:lvlJc w:val="left"/>
      <w:pPr>
        <w:ind w:left="4899" w:hanging="360"/>
      </w:pPr>
    </w:lvl>
    <w:lvl w:ilvl="7" w:tplc="424E0B72">
      <w:start w:val="1"/>
      <w:numFmt w:val="lowerLetter"/>
      <w:lvlText w:val="%8."/>
      <w:lvlJc w:val="left"/>
      <w:pPr>
        <w:ind w:left="5619" w:hanging="360"/>
      </w:pPr>
    </w:lvl>
    <w:lvl w:ilvl="8" w:tplc="92A8BAAC">
      <w:start w:val="1"/>
      <w:numFmt w:val="lowerRoman"/>
      <w:lvlText w:val="%9."/>
      <w:lvlJc w:val="right"/>
      <w:pPr>
        <w:ind w:left="6339" w:hanging="180"/>
      </w:pPr>
    </w:lvl>
  </w:abstractNum>
  <w:abstractNum w:abstractNumId="44" w15:restartNumberingAfterBreak="0">
    <w:nsid w:val="7D086E0C"/>
    <w:multiLevelType w:val="hybridMultilevel"/>
    <w:tmpl w:val="DD72E010"/>
    <w:lvl w:ilvl="0" w:tplc="B9E2A0AA">
      <w:start w:val="1"/>
      <w:numFmt w:val="decimal"/>
      <w:pStyle w:val="otzky"/>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458D49E" w:tentative="1">
      <w:start w:val="1"/>
      <w:numFmt w:val="lowerLetter"/>
      <w:lvlText w:val="%2."/>
      <w:lvlJc w:val="left"/>
      <w:pPr>
        <w:ind w:left="1298" w:hanging="360"/>
      </w:pPr>
    </w:lvl>
    <w:lvl w:ilvl="2" w:tplc="44001158" w:tentative="1">
      <w:start w:val="1"/>
      <w:numFmt w:val="lowerRoman"/>
      <w:lvlText w:val="%3."/>
      <w:lvlJc w:val="right"/>
      <w:pPr>
        <w:ind w:left="2018" w:hanging="180"/>
      </w:pPr>
    </w:lvl>
    <w:lvl w:ilvl="3" w:tplc="ABA8C60A" w:tentative="1">
      <w:start w:val="1"/>
      <w:numFmt w:val="decimal"/>
      <w:lvlText w:val="%4."/>
      <w:lvlJc w:val="left"/>
      <w:pPr>
        <w:ind w:left="2738" w:hanging="360"/>
      </w:pPr>
    </w:lvl>
    <w:lvl w:ilvl="4" w:tplc="17080A6C" w:tentative="1">
      <w:start w:val="1"/>
      <w:numFmt w:val="lowerLetter"/>
      <w:lvlText w:val="%5."/>
      <w:lvlJc w:val="left"/>
      <w:pPr>
        <w:ind w:left="3458" w:hanging="360"/>
      </w:pPr>
    </w:lvl>
    <w:lvl w:ilvl="5" w:tplc="3A58CA1E" w:tentative="1">
      <w:start w:val="1"/>
      <w:numFmt w:val="lowerRoman"/>
      <w:lvlText w:val="%6."/>
      <w:lvlJc w:val="right"/>
      <w:pPr>
        <w:ind w:left="4178" w:hanging="180"/>
      </w:pPr>
    </w:lvl>
    <w:lvl w:ilvl="6" w:tplc="8000E3F8" w:tentative="1">
      <w:start w:val="1"/>
      <w:numFmt w:val="decimal"/>
      <w:lvlText w:val="%7."/>
      <w:lvlJc w:val="left"/>
      <w:pPr>
        <w:ind w:left="4898" w:hanging="360"/>
      </w:pPr>
    </w:lvl>
    <w:lvl w:ilvl="7" w:tplc="5052E1F0" w:tentative="1">
      <w:start w:val="1"/>
      <w:numFmt w:val="lowerLetter"/>
      <w:lvlText w:val="%8."/>
      <w:lvlJc w:val="left"/>
      <w:pPr>
        <w:ind w:left="5618" w:hanging="360"/>
      </w:pPr>
    </w:lvl>
    <w:lvl w:ilvl="8" w:tplc="3BB60840" w:tentative="1">
      <w:start w:val="1"/>
      <w:numFmt w:val="lowerRoman"/>
      <w:lvlText w:val="%9."/>
      <w:lvlJc w:val="right"/>
      <w:pPr>
        <w:ind w:left="6338" w:hanging="180"/>
      </w:pPr>
    </w:lvl>
  </w:abstractNum>
  <w:abstractNum w:abstractNumId="45" w15:restartNumberingAfterBreak="0">
    <w:nsid w:val="7DBE4491"/>
    <w:multiLevelType w:val="hybridMultilevel"/>
    <w:tmpl w:val="281E4908"/>
    <w:lvl w:ilvl="0" w:tplc="92B4732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27"/>
  </w:num>
  <w:num w:numId="4">
    <w:abstractNumId w:val="44"/>
  </w:num>
  <w:num w:numId="5">
    <w:abstractNumId w:val="14"/>
  </w:num>
  <w:num w:numId="6">
    <w:abstractNumId w:val="17"/>
  </w:num>
  <w:num w:numId="7">
    <w:abstractNumId w:val="9"/>
  </w:num>
  <w:num w:numId="8">
    <w:abstractNumId w:val="18"/>
  </w:num>
  <w:num w:numId="9">
    <w:abstractNumId w:val="2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9"/>
  </w:num>
  <w:num w:numId="13">
    <w:abstractNumId w:val="12"/>
  </w:num>
  <w:num w:numId="14">
    <w:abstractNumId w:val="37"/>
  </w:num>
  <w:num w:numId="15">
    <w:abstractNumId w:val="36"/>
  </w:num>
  <w:num w:numId="16">
    <w:abstractNumId w:val="6"/>
  </w:num>
  <w:num w:numId="17">
    <w:abstractNumId w:val="10"/>
  </w:num>
  <w:num w:numId="18">
    <w:abstractNumId w:val="0"/>
  </w:num>
  <w:num w:numId="19">
    <w:abstractNumId w:val="31"/>
  </w:num>
  <w:num w:numId="20">
    <w:abstractNumId w:val="5"/>
  </w:num>
  <w:num w:numId="21">
    <w:abstractNumId w:val="34"/>
  </w:num>
  <w:num w:numId="22">
    <w:abstractNumId w:val="20"/>
  </w:num>
  <w:num w:numId="23">
    <w:abstractNumId w:val="3"/>
  </w:num>
  <w:num w:numId="24">
    <w:abstractNumId w:val="42"/>
  </w:num>
  <w:num w:numId="25">
    <w:abstractNumId w:val="32"/>
  </w:num>
  <w:num w:numId="26">
    <w:abstractNumId w:val="28"/>
  </w:num>
  <w:num w:numId="27">
    <w:abstractNumId w:val="38"/>
  </w:num>
  <w:num w:numId="28">
    <w:abstractNumId w:val="45"/>
  </w:num>
  <w:num w:numId="29">
    <w:abstractNumId w:val="7"/>
  </w:num>
  <w:num w:numId="30">
    <w:abstractNumId w:val="11"/>
  </w:num>
  <w:num w:numId="31">
    <w:abstractNumId w:val="26"/>
  </w:num>
  <w:num w:numId="32">
    <w:abstractNumId w:val="15"/>
  </w:num>
  <w:num w:numId="33">
    <w:abstractNumId w:val="2"/>
  </w:num>
  <w:num w:numId="34">
    <w:abstractNumId w:val="8"/>
  </w:num>
  <w:num w:numId="35">
    <w:abstractNumId w:val="13"/>
  </w:num>
  <w:num w:numId="36">
    <w:abstractNumId w:val="23"/>
  </w:num>
  <w:num w:numId="37">
    <w:abstractNumId w:val="22"/>
  </w:num>
  <w:num w:numId="38">
    <w:abstractNumId w:val="19"/>
  </w:num>
  <w:num w:numId="39">
    <w:abstractNumId w:val="1"/>
  </w:num>
  <w:num w:numId="40">
    <w:abstractNumId w:val="24"/>
  </w:num>
  <w:num w:numId="41">
    <w:abstractNumId w:val="16"/>
  </w:num>
  <w:num w:numId="42">
    <w:abstractNumId w:val="25"/>
  </w:num>
  <w:num w:numId="43">
    <w:abstractNumId w:val="21"/>
  </w:num>
  <w:num w:numId="44">
    <w:abstractNumId w:val="40"/>
  </w:num>
  <w:num w:numId="45">
    <w:abstractNumId w:val="30"/>
  </w:num>
  <w:num w:numId="4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1701"/>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71"/>
    <w:rsid w:val="0000077A"/>
    <w:rsid w:val="00000908"/>
    <w:rsid w:val="00000925"/>
    <w:rsid w:val="00002941"/>
    <w:rsid w:val="00002CD6"/>
    <w:rsid w:val="00002E3F"/>
    <w:rsid w:val="00004505"/>
    <w:rsid w:val="00004BBD"/>
    <w:rsid w:val="00005E0C"/>
    <w:rsid w:val="00006983"/>
    <w:rsid w:val="00006CAB"/>
    <w:rsid w:val="00006CDD"/>
    <w:rsid w:val="0000700A"/>
    <w:rsid w:val="000107D4"/>
    <w:rsid w:val="00010A5B"/>
    <w:rsid w:val="000115CF"/>
    <w:rsid w:val="00012276"/>
    <w:rsid w:val="00012A14"/>
    <w:rsid w:val="00012DF4"/>
    <w:rsid w:val="00013007"/>
    <w:rsid w:val="000133A8"/>
    <w:rsid w:val="00013954"/>
    <w:rsid w:val="00014610"/>
    <w:rsid w:val="0001484C"/>
    <w:rsid w:val="0001498E"/>
    <w:rsid w:val="00015C39"/>
    <w:rsid w:val="00015DFD"/>
    <w:rsid w:val="00016152"/>
    <w:rsid w:val="0001640D"/>
    <w:rsid w:val="00017246"/>
    <w:rsid w:val="00017462"/>
    <w:rsid w:val="000204B5"/>
    <w:rsid w:val="0002215E"/>
    <w:rsid w:val="00022362"/>
    <w:rsid w:val="00022AB7"/>
    <w:rsid w:val="00023E33"/>
    <w:rsid w:val="00023F3B"/>
    <w:rsid w:val="000240D5"/>
    <w:rsid w:val="00024864"/>
    <w:rsid w:val="00024BB5"/>
    <w:rsid w:val="00024D78"/>
    <w:rsid w:val="00025455"/>
    <w:rsid w:val="00026617"/>
    <w:rsid w:val="00026A41"/>
    <w:rsid w:val="00026C18"/>
    <w:rsid w:val="00030914"/>
    <w:rsid w:val="00030B24"/>
    <w:rsid w:val="0003101F"/>
    <w:rsid w:val="00032E96"/>
    <w:rsid w:val="0003348D"/>
    <w:rsid w:val="00034739"/>
    <w:rsid w:val="0003500E"/>
    <w:rsid w:val="000352BB"/>
    <w:rsid w:val="000352E0"/>
    <w:rsid w:val="00035AB0"/>
    <w:rsid w:val="00035AB5"/>
    <w:rsid w:val="00035B51"/>
    <w:rsid w:val="00036284"/>
    <w:rsid w:val="000366FF"/>
    <w:rsid w:val="0003763D"/>
    <w:rsid w:val="000378E1"/>
    <w:rsid w:val="00037FB9"/>
    <w:rsid w:val="00040A23"/>
    <w:rsid w:val="00041206"/>
    <w:rsid w:val="00042AE6"/>
    <w:rsid w:val="0004367C"/>
    <w:rsid w:val="00043765"/>
    <w:rsid w:val="0004418D"/>
    <w:rsid w:val="00044275"/>
    <w:rsid w:val="00047D57"/>
    <w:rsid w:val="00050006"/>
    <w:rsid w:val="000524D4"/>
    <w:rsid w:val="000536A1"/>
    <w:rsid w:val="000540F9"/>
    <w:rsid w:val="0005526E"/>
    <w:rsid w:val="00055374"/>
    <w:rsid w:val="00055610"/>
    <w:rsid w:val="00056232"/>
    <w:rsid w:val="0005643A"/>
    <w:rsid w:val="000573AB"/>
    <w:rsid w:val="00057746"/>
    <w:rsid w:val="00061144"/>
    <w:rsid w:val="00061337"/>
    <w:rsid w:val="00061FDE"/>
    <w:rsid w:val="00062AAD"/>
    <w:rsid w:val="00063A2A"/>
    <w:rsid w:val="00063EC9"/>
    <w:rsid w:val="00064C07"/>
    <w:rsid w:val="00065725"/>
    <w:rsid w:val="00067C46"/>
    <w:rsid w:val="00067C4B"/>
    <w:rsid w:val="000708DF"/>
    <w:rsid w:val="00071F6C"/>
    <w:rsid w:val="000725F4"/>
    <w:rsid w:val="00072B55"/>
    <w:rsid w:val="000756D5"/>
    <w:rsid w:val="00075785"/>
    <w:rsid w:val="0008007E"/>
    <w:rsid w:val="0008025A"/>
    <w:rsid w:val="00081A26"/>
    <w:rsid w:val="00082CD4"/>
    <w:rsid w:val="0008304E"/>
    <w:rsid w:val="0008316F"/>
    <w:rsid w:val="00084389"/>
    <w:rsid w:val="000869E8"/>
    <w:rsid w:val="00086FAE"/>
    <w:rsid w:val="000873C2"/>
    <w:rsid w:val="0009031C"/>
    <w:rsid w:val="0009054D"/>
    <w:rsid w:val="00092AF9"/>
    <w:rsid w:val="00093099"/>
    <w:rsid w:val="000935CE"/>
    <w:rsid w:val="000937B2"/>
    <w:rsid w:val="000938FE"/>
    <w:rsid w:val="00093B88"/>
    <w:rsid w:val="000940B0"/>
    <w:rsid w:val="00095AC3"/>
    <w:rsid w:val="00095DFA"/>
    <w:rsid w:val="00096308"/>
    <w:rsid w:val="00096C5B"/>
    <w:rsid w:val="0009708E"/>
    <w:rsid w:val="000A03C8"/>
    <w:rsid w:val="000A0539"/>
    <w:rsid w:val="000A14EC"/>
    <w:rsid w:val="000A2233"/>
    <w:rsid w:val="000A3372"/>
    <w:rsid w:val="000A388A"/>
    <w:rsid w:val="000A4025"/>
    <w:rsid w:val="000A5F6C"/>
    <w:rsid w:val="000A600B"/>
    <w:rsid w:val="000B0A05"/>
    <w:rsid w:val="000B0E09"/>
    <w:rsid w:val="000B11D7"/>
    <w:rsid w:val="000B1336"/>
    <w:rsid w:val="000B1A6C"/>
    <w:rsid w:val="000B20F2"/>
    <w:rsid w:val="000B28E4"/>
    <w:rsid w:val="000B2AF2"/>
    <w:rsid w:val="000B2D7D"/>
    <w:rsid w:val="000B423C"/>
    <w:rsid w:val="000B4A18"/>
    <w:rsid w:val="000B4AF8"/>
    <w:rsid w:val="000B5753"/>
    <w:rsid w:val="000B6630"/>
    <w:rsid w:val="000B7AA5"/>
    <w:rsid w:val="000B7D7C"/>
    <w:rsid w:val="000B7EAC"/>
    <w:rsid w:val="000C1E9A"/>
    <w:rsid w:val="000C22A8"/>
    <w:rsid w:val="000C384E"/>
    <w:rsid w:val="000C3ABD"/>
    <w:rsid w:val="000C3FEC"/>
    <w:rsid w:val="000C4033"/>
    <w:rsid w:val="000C4540"/>
    <w:rsid w:val="000C4596"/>
    <w:rsid w:val="000C53E5"/>
    <w:rsid w:val="000C5685"/>
    <w:rsid w:val="000C6E53"/>
    <w:rsid w:val="000C6F84"/>
    <w:rsid w:val="000D1063"/>
    <w:rsid w:val="000D11E0"/>
    <w:rsid w:val="000D1BAB"/>
    <w:rsid w:val="000D2A63"/>
    <w:rsid w:val="000D2BC5"/>
    <w:rsid w:val="000D2CDB"/>
    <w:rsid w:val="000D2E96"/>
    <w:rsid w:val="000D2F4B"/>
    <w:rsid w:val="000D30AA"/>
    <w:rsid w:val="000D363C"/>
    <w:rsid w:val="000D36E5"/>
    <w:rsid w:val="000D38F2"/>
    <w:rsid w:val="000D3EA0"/>
    <w:rsid w:val="000D4DA8"/>
    <w:rsid w:val="000D556F"/>
    <w:rsid w:val="000D6067"/>
    <w:rsid w:val="000D7222"/>
    <w:rsid w:val="000E1B83"/>
    <w:rsid w:val="000E1C27"/>
    <w:rsid w:val="000E298B"/>
    <w:rsid w:val="000E314D"/>
    <w:rsid w:val="000E34E9"/>
    <w:rsid w:val="000E39DB"/>
    <w:rsid w:val="000E4F80"/>
    <w:rsid w:val="000E73ED"/>
    <w:rsid w:val="000E76AA"/>
    <w:rsid w:val="000F068E"/>
    <w:rsid w:val="000F1230"/>
    <w:rsid w:val="000F1389"/>
    <w:rsid w:val="000F14AB"/>
    <w:rsid w:val="000F1A36"/>
    <w:rsid w:val="000F4827"/>
    <w:rsid w:val="000F4CAA"/>
    <w:rsid w:val="000F4F30"/>
    <w:rsid w:val="000F5374"/>
    <w:rsid w:val="000F5F53"/>
    <w:rsid w:val="000F6134"/>
    <w:rsid w:val="000F65B3"/>
    <w:rsid w:val="00100DDA"/>
    <w:rsid w:val="00100F92"/>
    <w:rsid w:val="0010106F"/>
    <w:rsid w:val="001025D2"/>
    <w:rsid w:val="00103EBB"/>
    <w:rsid w:val="001054F5"/>
    <w:rsid w:val="001065FB"/>
    <w:rsid w:val="00107631"/>
    <w:rsid w:val="00107858"/>
    <w:rsid w:val="00110688"/>
    <w:rsid w:val="001115FD"/>
    <w:rsid w:val="0011269C"/>
    <w:rsid w:val="001128E3"/>
    <w:rsid w:val="0011333E"/>
    <w:rsid w:val="00113F11"/>
    <w:rsid w:val="00114053"/>
    <w:rsid w:val="001141F4"/>
    <w:rsid w:val="0011432F"/>
    <w:rsid w:val="00114C35"/>
    <w:rsid w:val="001150F0"/>
    <w:rsid w:val="001166AF"/>
    <w:rsid w:val="00116832"/>
    <w:rsid w:val="00116A7A"/>
    <w:rsid w:val="00117237"/>
    <w:rsid w:val="00117E1A"/>
    <w:rsid w:val="0012013A"/>
    <w:rsid w:val="0012035B"/>
    <w:rsid w:val="00120A95"/>
    <w:rsid w:val="001224F6"/>
    <w:rsid w:val="00124EE2"/>
    <w:rsid w:val="001258EB"/>
    <w:rsid w:val="00125DF0"/>
    <w:rsid w:val="0012703C"/>
    <w:rsid w:val="00127AC9"/>
    <w:rsid w:val="00130C74"/>
    <w:rsid w:val="0013209C"/>
    <w:rsid w:val="00132F5E"/>
    <w:rsid w:val="00133A92"/>
    <w:rsid w:val="00133B2C"/>
    <w:rsid w:val="001341F7"/>
    <w:rsid w:val="0013603C"/>
    <w:rsid w:val="001363D7"/>
    <w:rsid w:val="001377F6"/>
    <w:rsid w:val="00140FE1"/>
    <w:rsid w:val="001414C1"/>
    <w:rsid w:val="001427D1"/>
    <w:rsid w:val="0014296D"/>
    <w:rsid w:val="001442E9"/>
    <w:rsid w:val="00144EE4"/>
    <w:rsid w:val="00145256"/>
    <w:rsid w:val="00145BF9"/>
    <w:rsid w:val="0014629E"/>
    <w:rsid w:val="001504FB"/>
    <w:rsid w:val="001510FA"/>
    <w:rsid w:val="0015142B"/>
    <w:rsid w:val="00151A41"/>
    <w:rsid w:val="00151DC0"/>
    <w:rsid w:val="00153236"/>
    <w:rsid w:val="00154A1C"/>
    <w:rsid w:val="00154D47"/>
    <w:rsid w:val="00154F7F"/>
    <w:rsid w:val="00155006"/>
    <w:rsid w:val="001558B4"/>
    <w:rsid w:val="001559F3"/>
    <w:rsid w:val="00156E04"/>
    <w:rsid w:val="00156FAF"/>
    <w:rsid w:val="00157C5F"/>
    <w:rsid w:val="0016093A"/>
    <w:rsid w:val="00160EB8"/>
    <w:rsid w:val="001620D9"/>
    <w:rsid w:val="00163EA0"/>
    <w:rsid w:val="00163F26"/>
    <w:rsid w:val="0016508C"/>
    <w:rsid w:val="00165274"/>
    <w:rsid w:val="00166D5A"/>
    <w:rsid w:val="001670EB"/>
    <w:rsid w:val="001671A5"/>
    <w:rsid w:val="00167638"/>
    <w:rsid w:val="001676B5"/>
    <w:rsid w:val="001677C1"/>
    <w:rsid w:val="00167DA6"/>
    <w:rsid w:val="001702F8"/>
    <w:rsid w:val="00170933"/>
    <w:rsid w:val="00170BED"/>
    <w:rsid w:val="00170C39"/>
    <w:rsid w:val="001713A2"/>
    <w:rsid w:val="00171A02"/>
    <w:rsid w:val="00171E78"/>
    <w:rsid w:val="00172277"/>
    <w:rsid w:val="0017484D"/>
    <w:rsid w:val="00174D90"/>
    <w:rsid w:val="0017522D"/>
    <w:rsid w:val="001767CC"/>
    <w:rsid w:val="00176D8C"/>
    <w:rsid w:val="001772BC"/>
    <w:rsid w:val="001774D3"/>
    <w:rsid w:val="00177F6E"/>
    <w:rsid w:val="001804E7"/>
    <w:rsid w:val="0018072E"/>
    <w:rsid w:val="001807A0"/>
    <w:rsid w:val="001821AE"/>
    <w:rsid w:val="001829F9"/>
    <w:rsid w:val="00182D9D"/>
    <w:rsid w:val="00183291"/>
    <w:rsid w:val="00183FC9"/>
    <w:rsid w:val="00184B75"/>
    <w:rsid w:val="00184D14"/>
    <w:rsid w:val="00184E50"/>
    <w:rsid w:val="0018674B"/>
    <w:rsid w:val="00187CA3"/>
    <w:rsid w:val="0019017B"/>
    <w:rsid w:val="0019094F"/>
    <w:rsid w:val="00190C73"/>
    <w:rsid w:val="00190CE9"/>
    <w:rsid w:val="001939A5"/>
    <w:rsid w:val="00193A3C"/>
    <w:rsid w:val="00193DE6"/>
    <w:rsid w:val="001965B0"/>
    <w:rsid w:val="00197209"/>
    <w:rsid w:val="00197AD1"/>
    <w:rsid w:val="00197C6F"/>
    <w:rsid w:val="001A06AE"/>
    <w:rsid w:val="001A0EDE"/>
    <w:rsid w:val="001A162A"/>
    <w:rsid w:val="001A1D48"/>
    <w:rsid w:val="001A27ED"/>
    <w:rsid w:val="001A3662"/>
    <w:rsid w:val="001A3A01"/>
    <w:rsid w:val="001A52AF"/>
    <w:rsid w:val="001A66E6"/>
    <w:rsid w:val="001A6F19"/>
    <w:rsid w:val="001B0182"/>
    <w:rsid w:val="001B0A18"/>
    <w:rsid w:val="001B11D0"/>
    <w:rsid w:val="001B16AF"/>
    <w:rsid w:val="001B18C6"/>
    <w:rsid w:val="001B199B"/>
    <w:rsid w:val="001B216C"/>
    <w:rsid w:val="001B32DD"/>
    <w:rsid w:val="001B3A92"/>
    <w:rsid w:val="001B42BE"/>
    <w:rsid w:val="001B4D27"/>
    <w:rsid w:val="001B5376"/>
    <w:rsid w:val="001B5C1E"/>
    <w:rsid w:val="001B631B"/>
    <w:rsid w:val="001B68DD"/>
    <w:rsid w:val="001C0254"/>
    <w:rsid w:val="001C0C8D"/>
    <w:rsid w:val="001C1FE2"/>
    <w:rsid w:val="001C3137"/>
    <w:rsid w:val="001C37B5"/>
    <w:rsid w:val="001C4182"/>
    <w:rsid w:val="001C62C8"/>
    <w:rsid w:val="001C660A"/>
    <w:rsid w:val="001C6C6A"/>
    <w:rsid w:val="001C6CDF"/>
    <w:rsid w:val="001C7222"/>
    <w:rsid w:val="001D0AB7"/>
    <w:rsid w:val="001D172F"/>
    <w:rsid w:val="001D1E1F"/>
    <w:rsid w:val="001D2763"/>
    <w:rsid w:val="001D2E38"/>
    <w:rsid w:val="001D3F8E"/>
    <w:rsid w:val="001D42E8"/>
    <w:rsid w:val="001D4D85"/>
    <w:rsid w:val="001D5047"/>
    <w:rsid w:val="001D53BC"/>
    <w:rsid w:val="001D6A92"/>
    <w:rsid w:val="001D6BDF"/>
    <w:rsid w:val="001D7547"/>
    <w:rsid w:val="001E04B1"/>
    <w:rsid w:val="001E068C"/>
    <w:rsid w:val="001E17AF"/>
    <w:rsid w:val="001E2307"/>
    <w:rsid w:val="001E2DA8"/>
    <w:rsid w:val="001E32DF"/>
    <w:rsid w:val="001E39EF"/>
    <w:rsid w:val="001E5667"/>
    <w:rsid w:val="001E5CEE"/>
    <w:rsid w:val="001E5E59"/>
    <w:rsid w:val="001E6F02"/>
    <w:rsid w:val="001E75B2"/>
    <w:rsid w:val="001E7B2D"/>
    <w:rsid w:val="001F084E"/>
    <w:rsid w:val="001F0A27"/>
    <w:rsid w:val="001F0A3F"/>
    <w:rsid w:val="001F12D3"/>
    <w:rsid w:val="001F1FE7"/>
    <w:rsid w:val="001F3CF3"/>
    <w:rsid w:val="001F47CD"/>
    <w:rsid w:val="001F4DB8"/>
    <w:rsid w:val="001F62E7"/>
    <w:rsid w:val="001F65E6"/>
    <w:rsid w:val="001F6982"/>
    <w:rsid w:val="00200A7F"/>
    <w:rsid w:val="00200FD9"/>
    <w:rsid w:val="002019B0"/>
    <w:rsid w:val="002024B0"/>
    <w:rsid w:val="00203005"/>
    <w:rsid w:val="0020315B"/>
    <w:rsid w:val="00203906"/>
    <w:rsid w:val="00203F13"/>
    <w:rsid w:val="00203FAF"/>
    <w:rsid w:val="00204290"/>
    <w:rsid w:val="0020521F"/>
    <w:rsid w:val="00205526"/>
    <w:rsid w:val="00206E22"/>
    <w:rsid w:val="002071D4"/>
    <w:rsid w:val="0020763B"/>
    <w:rsid w:val="0020775A"/>
    <w:rsid w:val="002104B4"/>
    <w:rsid w:val="00210790"/>
    <w:rsid w:val="00210E7B"/>
    <w:rsid w:val="00211D18"/>
    <w:rsid w:val="00212748"/>
    <w:rsid w:val="00213068"/>
    <w:rsid w:val="002132DC"/>
    <w:rsid w:val="00213A25"/>
    <w:rsid w:val="00214AA9"/>
    <w:rsid w:val="00216CC2"/>
    <w:rsid w:val="00217A6D"/>
    <w:rsid w:val="00220D43"/>
    <w:rsid w:val="002216F7"/>
    <w:rsid w:val="00221DC8"/>
    <w:rsid w:val="00221ED8"/>
    <w:rsid w:val="00223394"/>
    <w:rsid w:val="00223C27"/>
    <w:rsid w:val="00224259"/>
    <w:rsid w:val="00224823"/>
    <w:rsid w:val="00224F50"/>
    <w:rsid w:val="00225751"/>
    <w:rsid w:val="0022591B"/>
    <w:rsid w:val="00225B62"/>
    <w:rsid w:val="002276D8"/>
    <w:rsid w:val="00227ABF"/>
    <w:rsid w:val="0023007D"/>
    <w:rsid w:val="0023024C"/>
    <w:rsid w:val="00230EE5"/>
    <w:rsid w:val="002310A0"/>
    <w:rsid w:val="00231236"/>
    <w:rsid w:val="0023242B"/>
    <w:rsid w:val="00232679"/>
    <w:rsid w:val="002326AB"/>
    <w:rsid w:val="002339B4"/>
    <w:rsid w:val="00234E5E"/>
    <w:rsid w:val="00235989"/>
    <w:rsid w:val="002363D7"/>
    <w:rsid w:val="00237B23"/>
    <w:rsid w:val="00240ABC"/>
    <w:rsid w:val="002417B9"/>
    <w:rsid w:val="00241958"/>
    <w:rsid w:val="00242181"/>
    <w:rsid w:val="002439AE"/>
    <w:rsid w:val="002455F7"/>
    <w:rsid w:val="00245B43"/>
    <w:rsid w:val="00245D89"/>
    <w:rsid w:val="00247899"/>
    <w:rsid w:val="00247CA6"/>
    <w:rsid w:val="00250709"/>
    <w:rsid w:val="0025194F"/>
    <w:rsid w:val="00251BF8"/>
    <w:rsid w:val="002526DA"/>
    <w:rsid w:val="00253319"/>
    <w:rsid w:val="00253CF5"/>
    <w:rsid w:val="00254B0E"/>
    <w:rsid w:val="00255DAF"/>
    <w:rsid w:val="00257944"/>
    <w:rsid w:val="00260E7D"/>
    <w:rsid w:val="002614B8"/>
    <w:rsid w:val="00262878"/>
    <w:rsid w:val="00262AE9"/>
    <w:rsid w:val="0026304E"/>
    <w:rsid w:val="00264FF9"/>
    <w:rsid w:val="002654AE"/>
    <w:rsid w:val="0026573A"/>
    <w:rsid w:val="00266AF0"/>
    <w:rsid w:val="00267483"/>
    <w:rsid w:val="00267904"/>
    <w:rsid w:val="002679FC"/>
    <w:rsid w:val="00271B0C"/>
    <w:rsid w:val="00274772"/>
    <w:rsid w:val="00274897"/>
    <w:rsid w:val="0027496A"/>
    <w:rsid w:val="00275A4C"/>
    <w:rsid w:val="00277AFE"/>
    <w:rsid w:val="00277B84"/>
    <w:rsid w:val="002808F9"/>
    <w:rsid w:val="00280DEF"/>
    <w:rsid w:val="00280EA2"/>
    <w:rsid w:val="00281EA0"/>
    <w:rsid w:val="00281EAB"/>
    <w:rsid w:val="00285A02"/>
    <w:rsid w:val="00286A0F"/>
    <w:rsid w:val="00286B42"/>
    <w:rsid w:val="00287329"/>
    <w:rsid w:val="0029135B"/>
    <w:rsid w:val="00292525"/>
    <w:rsid w:val="002939BF"/>
    <w:rsid w:val="00294F88"/>
    <w:rsid w:val="00295027"/>
    <w:rsid w:val="00295C1A"/>
    <w:rsid w:val="002964C5"/>
    <w:rsid w:val="00296D21"/>
    <w:rsid w:val="00296D6A"/>
    <w:rsid w:val="002A0071"/>
    <w:rsid w:val="002A087A"/>
    <w:rsid w:val="002A0D28"/>
    <w:rsid w:val="002A3A4F"/>
    <w:rsid w:val="002A4B85"/>
    <w:rsid w:val="002A52C2"/>
    <w:rsid w:val="002A5425"/>
    <w:rsid w:val="002A5450"/>
    <w:rsid w:val="002A56E5"/>
    <w:rsid w:val="002A5D62"/>
    <w:rsid w:val="002A5DA8"/>
    <w:rsid w:val="002A72A9"/>
    <w:rsid w:val="002A77C3"/>
    <w:rsid w:val="002A79EA"/>
    <w:rsid w:val="002B03DF"/>
    <w:rsid w:val="002B12A4"/>
    <w:rsid w:val="002B18FF"/>
    <w:rsid w:val="002B2037"/>
    <w:rsid w:val="002B248A"/>
    <w:rsid w:val="002B2F0D"/>
    <w:rsid w:val="002B4376"/>
    <w:rsid w:val="002B5BFA"/>
    <w:rsid w:val="002B752C"/>
    <w:rsid w:val="002C015A"/>
    <w:rsid w:val="002C0280"/>
    <w:rsid w:val="002C0DD1"/>
    <w:rsid w:val="002C1790"/>
    <w:rsid w:val="002C1F7E"/>
    <w:rsid w:val="002C39B0"/>
    <w:rsid w:val="002C3ED0"/>
    <w:rsid w:val="002C49C8"/>
    <w:rsid w:val="002C5D8B"/>
    <w:rsid w:val="002C6B9F"/>
    <w:rsid w:val="002C6E97"/>
    <w:rsid w:val="002C7303"/>
    <w:rsid w:val="002C77C2"/>
    <w:rsid w:val="002D01E1"/>
    <w:rsid w:val="002D0F55"/>
    <w:rsid w:val="002D1258"/>
    <w:rsid w:val="002D23B4"/>
    <w:rsid w:val="002D2E3C"/>
    <w:rsid w:val="002D33FC"/>
    <w:rsid w:val="002D39A1"/>
    <w:rsid w:val="002D3BFE"/>
    <w:rsid w:val="002D40B1"/>
    <w:rsid w:val="002D4421"/>
    <w:rsid w:val="002D48D5"/>
    <w:rsid w:val="002D4ECD"/>
    <w:rsid w:val="002D54A6"/>
    <w:rsid w:val="002D560C"/>
    <w:rsid w:val="002D56FA"/>
    <w:rsid w:val="002D7A78"/>
    <w:rsid w:val="002E06D8"/>
    <w:rsid w:val="002E11BF"/>
    <w:rsid w:val="002E1C83"/>
    <w:rsid w:val="002E2173"/>
    <w:rsid w:val="002E21BC"/>
    <w:rsid w:val="002E2CF9"/>
    <w:rsid w:val="002E37CD"/>
    <w:rsid w:val="002E3F6A"/>
    <w:rsid w:val="002E42E8"/>
    <w:rsid w:val="002E44EC"/>
    <w:rsid w:val="002E5556"/>
    <w:rsid w:val="002E5FC4"/>
    <w:rsid w:val="002E6234"/>
    <w:rsid w:val="002E6779"/>
    <w:rsid w:val="002E691A"/>
    <w:rsid w:val="002E6C48"/>
    <w:rsid w:val="002E6FAE"/>
    <w:rsid w:val="002E75C3"/>
    <w:rsid w:val="002E76B7"/>
    <w:rsid w:val="002E7980"/>
    <w:rsid w:val="002F0D5D"/>
    <w:rsid w:val="002F2ED0"/>
    <w:rsid w:val="002F3660"/>
    <w:rsid w:val="002F366D"/>
    <w:rsid w:val="002F3B4E"/>
    <w:rsid w:val="002F4107"/>
    <w:rsid w:val="002F42A1"/>
    <w:rsid w:val="002F4B57"/>
    <w:rsid w:val="002F72EF"/>
    <w:rsid w:val="003001F8"/>
    <w:rsid w:val="003006D9"/>
    <w:rsid w:val="0030088D"/>
    <w:rsid w:val="00301E8A"/>
    <w:rsid w:val="003025BB"/>
    <w:rsid w:val="00302D9A"/>
    <w:rsid w:val="0030347E"/>
    <w:rsid w:val="003035EC"/>
    <w:rsid w:val="00303663"/>
    <w:rsid w:val="00303804"/>
    <w:rsid w:val="00303FA2"/>
    <w:rsid w:val="00304830"/>
    <w:rsid w:val="0030486C"/>
    <w:rsid w:val="00306B2E"/>
    <w:rsid w:val="003072DE"/>
    <w:rsid w:val="00307A50"/>
    <w:rsid w:val="00307A5B"/>
    <w:rsid w:val="00310643"/>
    <w:rsid w:val="00310882"/>
    <w:rsid w:val="00310C8D"/>
    <w:rsid w:val="003135EF"/>
    <w:rsid w:val="003138A3"/>
    <w:rsid w:val="003146D7"/>
    <w:rsid w:val="00317028"/>
    <w:rsid w:val="003173E4"/>
    <w:rsid w:val="003175F2"/>
    <w:rsid w:val="0031764F"/>
    <w:rsid w:val="003200D1"/>
    <w:rsid w:val="0032071C"/>
    <w:rsid w:val="00320DB5"/>
    <w:rsid w:val="00321AB1"/>
    <w:rsid w:val="00321D0E"/>
    <w:rsid w:val="00322585"/>
    <w:rsid w:val="00323903"/>
    <w:rsid w:val="00323F3B"/>
    <w:rsid w:val="00325290"/>
    <w:rsid w:val="00325915"/>
    <w:rsid w:val="00325AAD"/>
    <w:rsid w:val="003274E3"/>
    <w:rsid w:val="00330B63"/>
    <w:rsid w:val="00330C5D"/>
    <w:rsid w:val="00330C64"/>
    <w:rsid w:val="0033116A"/>
    <w:rsid w:val="003323C3"/>
    <w:rsid w:val="00333426"/>
    <w:rsid w:val="0033482E"/>
    <w:rsid w:val="003350AE"/>
    <w:rsid w:val="00336696"/>
    <w:rsid w:val="003368CE"/>
    <w:rsid w:val="00336AEC"/>
    <w:rsid w:val="00337440"/>
    <w:rsid w:val="0034014D"/>
    <w:rsid w:val="00340E91"/>
    <w:rsid w:val="003416FB"/>
    <w:rsid w:val="003419D0"/>
    <w:rsid w:val="00341A6E"/>
    <w:rsid w:val="00341F7B"/>
    <w:rsid w:val="0034249E"/>
    <w:rsid w:val="00342A3F"/>
    <w:rsid w:val="003444C1"/>
    <w:rsid w:val="00344A56"/>
    <w:rsid w:val="00344A75"/>
    <w:rsid w:val="00344B76"/>
    <w:rsid w:val="00344BC7"/>
    <w:rsid w:val="00344EE8"/>
    <w:rsid w:val="00345AB1"/>
    <w:rsid w:val="00351614"/>
    <w:rsid w:val="00351C2B"/>
    <w:rsid w:val="003546EC"/>
    <w:rsid w:val="00355280"/>
    <w:rsid w:val="0035548B"/>
    <w:rsid w:val="00355C10"/>
    <w:rsid w:val="00356018"/>
    <w:rsid w:val="00357DF3"/>
    <w:rsid w:val="00357FEA"/>
    <w:rsid w:val="00360AAD"/>
    <w:rsid w:val="00361293"/>
    <w:rsid w:val="00361418"/>
    <w:rsid w:val="003623C2"/>
    <w:rsid w:val="00362827"/>
    <w:rsid w:val="00362BFC"/>
    <w:rsid w:val="0036350F"/>
    <w:rsid w:val="003637BF"/>
    <w:rsid w:val="00364D77"/>
    <w:rsid w:val="0036503D"/>
    <w:rsid w:val="00365207"/>
    <w:rsid w:val="0036523A"/>
    <w:rsid w:val="003653B5"/>
    <w:rsid w:val="00365580"/>
    <w:rsid w:val="0036563D"/>
    <w:rsid w:val="00366A74"/>
    <w:rsid w:val="00366CEB"/>
    <w:rsid w:val="0036756F"/>
    <w:rsid w:val="0036761B"/>
    <w:rsid w:val="003678CB"/>
    <w:rsid w:val="00367BB1"/>
    <w:rsid w:val="003701DF"/>
    <w:rsid w:val="003707D1"/>
    <w:rsid w:val="00370BD1"/>
    <w:rsid w:val="003728EE"/>
    <w:rsid w:val="00372936"/>
    <w:rsid w:val="00373316"/>
    <w:rsid w:val="00374997"/>
    <w:rsid w:val="00375845"/>
    <w:rsid w:val="003760B6"/>
    <w:rsid w:val="003807FB"/>
    <w:rsid w:val="00380891"/>
    <w:rsid w:val="003815C8"/>
    <w:rsid w:val="0038247B"/>
    <w:rsid w:val="00382E81"/>
    <w:rsid w:val="00383106"/>
    <w:rsid w:val="00384E1D"/>
    <w:rsid w:val="00385393"/>
    <w:rsid w:val="003859A3"/>
    <w:rsid w:val="00387B1C"/>
    <w:rsid w:val="00390318"/>
    <w:rsid w:val="00390354"/>
    <w:rsid w:val="003905A1"/>
    <w:rsid w:val="00392DD1"/>
    <w:rsid w:val="00393042"/>
    <w:rsid w:val="003934C3"/>
    <w:rsid w:val="00393A5E"/>
    <w:rsid w:val="0039408D"/>
    <w:rsid w:val="00394637"/>
    <w:rsid w:val="00396A25"/>
    <w:rsid w:val="00396F28"/>
    <w:rsid w:val="00397221"/>
    <w:rsid w:val="003A031C"/>
    <w:rsid w:val="003A101A"/>
    <w:rsid w:val="003A18E5"/>
    <w:rsid w:val="003A2CF8"/>
    <w:rsid w:val="003A3D94"/>
    <w:rsid w:val="003A40B0"/>
    <w:rsid w:val="003A52C4"/>
    <w:rsid w:val="003A5E55"/>
    <w:rsid w:val="003A715C"/>
    <w:rsid w:val="003A7CB5"/>
    <w:rsid w:val="003A7FC9"/>
    <w:rsid w:val="003B0187"/>
    <w:rsid w:val="003B01D6"/>
    <w:rsid w:val="003B09AF"/>
    <w:rsid w:val="003B0D5E"/>
    <w:rsid w:val="003B1211"/>
    <w:rsid w:val="003B14A7"/>
    <w:rsid w:val="003B169B"/>
    <w:rsid w:val="003B28A4"/>
    <w:rsid w:val="003B2B94"/>
    <w:rsid w:val="003B2CFF"/>
    <w:rsid w:val="003B3118"/>
    <w:rsid w:val="003B321E"/>
    <w:rsid w:val="003B3DF4"/>
    <w:rsid w:val="003B4A41"/>
    <w:rsid w:val="003B6A9C"/>
    <w:rsid w:val="003B6C4B"/>
    <w:rsid w:val="003B70EB"/>
    <w:rsid w:val="003B79D0"/>
    <w:rsid w:val="003C0090"/>
    <w:rsid w:val="003C12A2"/>
    <w:rsid w:val="003C12BB"/>
    <w:rsid w:val="003C1607"/>
    <w:rsid w:val="003C1BE4"/>
    <w:rsid w:val="003C23CF"/>
    <w:rsid w:val="003C4242"/>
    <w:rsid w:val="003C44BB"/>
    <w:rsid w:val="003C6433"/>
    <w:rsid w:val="003C6BD8"/>
    <w:rsid w:val="003C73C7"/>
    <w:rsid w:val="003C7CAC"/>
    <w:rsid w:val="003C7DD1"/>
    <w:rsid w:val="003D0462"/>
    <w:rsid w:val="003D13C4"/>
    <w:rsid w:val="003D261E"/>
    <w:rsid w:val="003D3D23"/>
    <w:rsid w:val="003D4077"/>
    <w:rsid w:val="003D4215"/>
    <w:rsid w:val="003D4515"/>
    <w:rsid w:val="003D614E"/>
    <w:rsid w:val="003D6404"/>
    <w:rsid w:val="003E0BBB"/>
    <w:rsid w:val="003E123E"/>
    <w:rsid w:val="003E164A"/>
    <w:rsid w:val="003E19B9"/>
    <w:rsid w:val="003E20AC"/>
    <w:rsid w:val="003E2C4C"/>
    <w:rsid w:val="003E2F8B"/>
    <w:rsid w:val="003E38F7"/>
    <w:rsid w:val="003E3B5B"/>
    <w:rsid w:val="003E43BC"/>
    <w:rsid w:val="003E4666"/>
    <w:rsid w:val="003E4E5E"/>
    <w:rsid w:val="003E4FA2"/>
    <w:rsid w:val="003E6FB9"/>
    <w:rsid w:val="003E72D7"/>
    <w:rsid w:val="003F01BF"/>
    <w:rsid w:val="003F081D"/>
    <w:rsid w:val="003F093D"/>
    <w:rsid w:val="003F0EDF"/>
    <w:rsid w:val="003F1132"/>
    <w:rsid w:val="003F2B0F"/>
    <w:rsid w:val="003F2D50"/>
    <w:rsid w:val="003F3BF5"/>
    <w:rsid w:val="003F47B8"/>
    <w:rsid w:val="00400208"/>
    <w:rsid w:val="0040025E"/>
    <w:rsid w:val="004013DB"/>
    <w:rsid w:val="00403498"/>
    <w:rsid w:val="00404F6E"/>
    <w:rsid w:val="004076A6"/>
    <w:rsid w:val="00410062"/>
    <w:rsid w:val="004103E0"/>
    <w:rsid w:val="00410548"/>
    <w:rsid w:val="00410B10"/>
    <w:rsid w:val="00410B8E"/>
    <w:rsid w:val="004120C6"/>
    <w:rsid w:val="00412568"/>
    <w:rsid w:val="0041258B"/>
    <w:rsid w:val="004130C5"/>
    <w:rsid w:val="00413C26"/>
    <w:rsid w:val="00415D7E"/>
    <w:rsid w:val="004162F2"/>
    <w:rsid w:val="004178EE"/>
    <w:rsid w:val="00417B76"/>
    <w:rsid w:val="00420B91"/>
    <w:rsid w:val="004237A5"/>
    <w:rsid w:val="004240B8"/>
    <w:rsid w:val="004246B6"/>
    <w:rsid w:val="004246D0"/>
    <w:rsid w:val="00425E77"/>
    <w:rsid w:val="00426513"/>
    <w:rsid w:val="004268EF"/>
    <w:rsid w:val="00426C1C"/>
    <w:rsid w:val="00427221"/>
    <w:rsid w:val="004300D9"/>
    <w:rsid w:val="00432E95"/>
    <w:rsid w:val="00434215"/>
    <w:rsid w:val="00434D9B"/>
    <w:rsid w:val="00435A05"/>
    <w:rsid w:val="00435C71"/>
    <w:rsid w:val="00436487"/>
    <w:rsid w:val="004400CD"/>
    <w:rsid w:val="004406C0"/>
    <w:rsid w:val="00440B5F"/>
    <w:rsid w:val="00441173"/>
    <w:rsid w:val="00441B1E"/>
    <w:rsid w:val="0044229D"/>
    <w:rsid w:val="004423A6"/>
    <w:rsid w:val="0044259C"/>
    <w:rsid w:val="00442CC4"/>
    <w:rsid w:val="00443172"/>
    <w:rsid w:val="004437B7"/>
    <w:rsid w:val="00443D12"/>
    <w:rsid w:val="00444C01"/>
    <w:rsid w:val="00444E12"/>
    <w:rsid w:val="00446255"/>
    <w:rsid w:val="004463F6"/>
    <w:rsid w:val="004464C3"/>
    <w:rsid w:val="004466DF"/>
    <w:rsid w:val="00446AF0"/>
    <w:rsid w:val="0044752E"/>
    <w:rsid w:val="0045004B"/>
    <w:rsid w:val="00451F64"/>
    <w:rsid w:val="004526DF"/>
    <w:rsid w:val="0045305E"/>
    <w:rsid w:val="0045392C"/>
    <w:rsid w:val="00453A66"/>
    <w:rsid w:val="0045471A"/>
    <w:rsid w:val="004550D9"/>
    <w:rsid w:val="00456B90"/>
    <w:rsid w:val="00456F20"/>
    <w:rsid w:val="00457C6A"/>
    <w:rsid w:val="0046009D"/>
    <w:rsid w:val="0046177D"/>
    <w:rsid w:val="004620A3"/>
    <w:rsid w:val="00462708"/>
    <w:rsid w:val="004628D9"/>
    <w:rsid w:val="004647FB"/>
    <w:rsid w:val="00465068"/>
    <w:rsid w:val="004658C6"/>
    <w:rsid w:val="00465CC0"/>
    <w:rsid w:val="004661E4"/>
    <w:rsid w:val="00466587"/>
    <w:rsid w:val="0046728D"/>
    <w:rsid w:val="0046747F"/>
    <w:rsid w:val="00467B4A"/>
    <w:rsid w:val="00471C90"/>
    <w:rsid w:val="0047391D"/>
    <w:rsid w:val="00475107"/>
    <w:rsid w:val="00475A4C"/>
    <w:rsid w:val="00475FB3"/>
    <w:rsid w:val="004772FF"/>
    <w:rsid w:val="00477BE4"/>
    <w:rsid w:val="004800EA"/>
    <w:rsid w:val="0048030D"/>
    <w:rsid w:val="00480F94"/>
    <w:rsid w:val="00481F18"/>
    <w:rsid w:val="004826DE"/>
    <w:rsid w:val="004827DF"/>
    <w:rsid w:val="004830EA"/>
    <w:rsid w:val="00483F97"/>
    <w:rsid w:val="00484209"/>
    <w:rsid w:val="00484939"/>
    <w:rsid w:val="00486FCE"/>
    <w:rsid w:val="0049078C"/>
    <w:rsid w:val="00490E63"/>
    <w:rsid w:val="00492036"/>
    <w:rsid w:val="004920AA"/>
    <w:rsid w:val="004922B2"/>
    <w:rsid w:val="00496AA6"/>
    <w:rsid w:val="00496C1D"/>
    <w:rsid w:val="00497118"/>
    <w:rsid w:val="004971C4"/>
    <w:rsid w:val="004A08BE"/>
    <w:rsid w:val="004A0AF1"/>
    <w:rsid w:val="004A1DB2"/>
    <w:rsid w:val="004A27DB"/>
    <w:rsid w:val="004A352D"/>
    <w:rsid w:val="004A3B50"/>
    <w:rsid w:val="004A5AA6"/>
    <w:rsid w:val="004A67B5"/>
    <w:rsid w:val="004A73D7"/>
    <w:rsid w:val="004B00CD"/>
    <w:rsid w:val="004B23AC"/>
    <w:rsid w:val="004B449F"/>
    <w:rsid w:val="004B45C7"/>
    <w:rsid w:val="004B4A34"/>
    <w:rsid w:val="004B635D"/>
    <w:rsid w:val="004B65B9"/>
    <w:rsid w:val="004B6F09"/>
    <w:rsid w:val="004B73FB"/>
    <w:rsid w:val="004C08A9"/>
    <w:rsid w:val="004C0B58"/>
    <w:rsid w:val="004C1666"/>
    <w:rsid w:val="004C1887"/>
    <w:rsid w:val="004C3F08"/>
    <w:rsid w:val="004C55EE"/>
    <w:rsid w:val="004C5643"/>
    <w:rsid w:val="004C5F9C"/>
    <w:rsid w:val="004C6A2B"/>
    <w:rsid w:val="004C6A98"/>
    <w:rsid w:val="004C7446"/>
    <w:rsid w:val="004C7623"/>
    <w:rsid w:val="004C7C1C"/>
    <w:rsid w:val="004D06DB"/>
    <w:rsid w:val="004D08CB"/>
    <w:rsid w:val="004D31EE"/>
    <w:rsid w:val="004D3348"/>
    <w:rsid w:val="004D3C90"/>
    <w:rsid w:val="004D4207"/>
    <w:rsid w:val="004D4276"/>
    <w:rsid w:val="004D691C"/>
    <w:rsid w:val="004D6CE5"/>
    <w:rsid w:val="004D7615"/>
    <w:rsid w:val="004E02A6"/>
    <w:rsid w:val="004E0768"/>
    <w:rsid w:val="004E0F08"/>
    <w:rsid w:val="004E1FF4"/>
    <w:rsid w:val="004E2187"/>
    <w:rsid w:val="004E3197"/>
    <w:rsid w:val="004E31E3"/>
    <w:rsid w:val="004E4BF7"/>
    <w:rsid w:val="004E5581"/>
    <w:rsid w:val="004E6218"/>
    <w:rsid w:val="004E6F89"/>
    <w:rsid w:val="004F0004"/>
    <w:rsid w:val="004F074E"/>
    <w:rsid w:val="004F0B07"/>
    <w:rsid w:val="004F24C3"/>
    <w:rsid w:val="004F27D2"/>
    <w:rsid w:val="004F3461"/>
    <w:rsid w:val="004F3528"/>
    <w:rsid w:val="004F4225"/>
    <w:rsid w:val="004F615F"/>
    <w:rsid w:val="004F661B"/>
    <w:rsid w:val="004F6BE6"/>
    <w:rsid w:val="004F71BF"/>
    <w:rsid w:val="004F738B"/>
    <w:rsid w:val="004F7FC8"/>
    <w:rsid w:val="005006C7"/>
    <w:rsid w:val="00500D2B"/>
    <w:rsid w:val="005010FC"/>
    <w:rsid w:val="00501739"/>
    <w:rsid w:val="0050257C"/>
    <w:rsid w:val="0050268C"/>
    <w:rsid w:val="0050323E"/>
    <w:rsid w:val="005037AD"/>
    <w:rsid w:val="0050511C"/>
    <w:rsid w:val="00507788"/>
    <w:rsid w:val="00507C4A"/>
    <w:rsid w:val="005118E4"/>
    <w:rsid w:val="00511B72"/>
    <w:rsid w:val="0051394D"/>
    <w:rsid w:val="00513C27"/>
    <w:rsid w:val="005148B5"/>
    <w:rsid w:val="00514E7A"/>
    <w:rsid w:val="0051628B"/>
    <w:rsid w:val="00520497"/>
    <w:rsid w:val="00521EFF"/>
    <w:rsid w:val="00522022"/>
    <w:rsid w:val="005223C3"/>
    <w:rsid w:val="00522B6B"/>
    <w:rsid w:val="00523097"/>
    <w:rsid w:val="005238CE"/>
    <w:rsid w:val="00523DE2"/>
    <w:rsid w:val="005244D8"/>
    <w:rsid w:val="00524A98"/>
    <w:rsid w:val="005254DB"/>
    <w:rsid w:val="005268E7"/>
    <w:rsid w:val="00530CF0"/>
    <w:rsid w:val="005313A2"/>
    <w:rsid w:val="00531A39"/>
    <w:rsid w:val="00532C0E"/>
    <w:rsid w:val="00532C4D"/>
    <w:rsid w:val="00532E7A"/>
    <w:rsid w:val="00533D81"/>
    <w:rsid w:val="005357D0"/>
    <w:rsid w:val="00536CE8"/>
    <w:rsid w:val="00536D40"/>
    <w:rsid w:val="0054015C"/>
    <w:rsid w:val="00541A5E"/>
    <w:rsid w:val="00543814"/>
    <w:rsid w:val="005439DB"/>
    <w:rsid w:val="00544323"/>
    <w:rsid w:val="00544471"/>
    <w:rsid w:val="00544DFB"/>
    <w:rsid w:val="00544F4D"/>
    <w:rsid w:val="005463BE"/>
    <w:rsid w:val="005477B5"/>
    <w:rsid w:val="00547B20"/>
    <w:rsid w:val="0055006B"/>
    <w:rsid w:val="005516EC"/>
    <w:rsid w:val="00551CC7"/>
    <w:rsid w:val="00553888"/>
    <w:rsid w:val="00553C6A"/>
    <w:rsid w:val="005541AA"/>
    <w:rsid w:val="00555536"/>
    <w:rsid w:val="005567EF"/>
    <w:rsid w:val="00557162"/>
    <w:rsid w:val="0055752D"/>
    <w:rsid w:val="00557671"/>
    <w:rsid w:val="00557A67"/>
    <w:rsid w:val="00560000"/>
    <w:rsid w:val="0056019A"/>
    <w:rsid w:val="00560366"/>
    <w:rsid w:val="005603A3"/>
    <w:rsid w:val="005609C4"/>
    <w:rsid w:val="0056116E"/>
    <w:rsid w:val="005613D7"/>
    <w:rsid w:val="005614C4"/>
    <w:rsid w:val="0056155E"/>
    <w:rsid w:val="005636ED"/>
    <w:rsid w:val="0056477B"/>
    <w:rsid w:val="0056478E"/>
    <w:rsid w:val="005658FF"/>
    <w:rsid w:val="00566FEB"/>
    <w:rsid w:val="00573B96"/>
    <w:rsid w:val="00573EF8"/>
    <w:rsid w:val="00574A10"/>
    <w:rsid w:val="00575054"/>
    <w:rsid w:val="00575580"/>
    <w:rsid w:val="00576F7D"/>
    <w:rsid w:val="00580359"/>
    <w:rsid w:val="00580A98"/>
    <w:rsid w:val="00581205"/>
    <w:rsid w:val="0058143E"/>
    <w:rsid w:val="00581939"/>
    <w:rsid w:val="00582299"/>
    <w:rsid w:val="0058241D"/>
    <w:rsid w:val="00582842"/>
    <w:rsid w:val="0058315E"/>
    <w:rsid w:val="0058495F"/>
    <w:rsid w:val="00584D77"/>
    <w:rsid w:val="0058584B"/>
    <w:rsid w:val="00586409"/>
    <w:rsid w:val="005864ED"/>
    <w:rsid w:val="005866E5"/>
    <w:rsid w:val="00586A10"/>
    <w:rsid w:val="0059003E"/>
    <w:rsid w:val="0059045E"/>
    <w:rsid w:val="00591594"/>
    <w:rsid w:val="00592E91"/>
    <w:rsid w:val="005933B8"/>
    <w:rsid w:val="00593DC2"/>
    <w:rsid w:val="00594AC0"/>
    <w:rsid w:val="00594E3E"/>
    <w:rsid w:val="005952F1"/>
    <w:rsid w:val="0059612A"/>
    <w:rsid w:val="00596B28"/>
    <w:rsid w:val="00597BE3"/>
    <w:rsid w:val="005A38CE"/>
    <w:rsid w:val="005A52A1"/>
    <w:rsid w:val="005A6618"/>
    <w:rsid w:val="005A680B"/>
    <w:rsid w:val="005A6C56"/>
    <w:rsid w:val="005A6F91"/>
    <w:rsid w:val="005B0A9A"/>
    <w:rsid w:val="005B14A1"/>
    <w:rsid w:val="005B1FD0"/>
    <w:rsid w:val="005B2E56"/>
    <w:rsid w:val="005B39C1"/>
    <w:rsid w:val="005B3AEF"/>
    <w:rsid w:val="005B4221"/>
    <w:rsid w:val="005B44E5"/>
    <w:rsid w:val="005B57D5"/>
    <w:rsid w:val="005B5C5C"/>
    <w:rsid w:val="005B629B"/>
    <w:rsid w:val="005B6846"/>
    <w:rsid w:val="005B6FF1"/>
    <w:rsid w:val="005C154B"/>
    <w:rsid w:val="005C1D1C"/>
    <w:rsid w:val="005C43BA"/>
    <w:rsid w:val="005C4815"/>
    <w:rsid w:val="005C4B33"/>
    <w:rsid w:val="005C64EB"/>
    <w:rsid w:val="005C6AB8"/>
    <w:rsid w:val="005C74F4"/>
    <w:rsid w:val="005D0712"/>
    <w:rsid w:val="005D1D4E"/>
    <w:rsid w:val="005D33B5"/>
    <w:rsid w:val="005D4416"/>
    <w:rsid w:val="005D445B"/>
    <w:rsid w:val="005D4AF9"/>
    <w:rsid w:val="005D7A6D"/>
    <w:rsid w:val="005E037B"/>
    <w:rsid w:val="005E075C"/>
    <w:rsid w:val="005E2246"/>
    <w:rsid w:val="005E2938"/>
    <w:rsid w:val="005E562D"/>
    <w:rsid w:val="005E5EB0"/>
    <w:rsid w:val="005E67AE"/>
    <w:rsid w:val="005E6E7B"/>
    <w:rsid w:val="005E724B"/>
    <w:rsid w:val="005F0536"/>
    <w:rsid w:val="005F17EE"/>
    <w:rsid w:val="005F2323"/>
    <w:rsid w:val="005F3B94"/>
    <w:rsid w:val="005F457B"/>
    <w:rsid w:val="005F4B16"/>
    <w:rsid w:val="005F4D35"/>
    <w:rsid w:val="005F500A"/>
    <w:rsid w:val="005F5DE1"/>
    <w:rsid w:val="005F6C75"/>
    <w:rsid w:val="006016B9"/>
    <w:rsid w:val="00601742"/>
    <w:rsid w:val="00601A0F"/>
    <w:rsid w:val="00601EAC"/>
    <w:rsid w:val="00603884"/>
    <w:rsid w:val="00605364"/>
    <w:rsid w:val="006053DD"/>
    <w:rsid w:val="006054F8"/>
    <w:rsid w:val="006062AF"/>
    <w:rsid w:val="006079A9"/>
    <w:rsid w:val="0061139E"/>
    <w:rsid w:val="00611743"/>
    <w:rsid w:val="00612BE9"/>
    <w:rsid w:val="0062204C"/>
    <w:rsid w:val="006222F3"/>
    <w:rsid w:val="00622559"/>
    <w:rsid w:val="00622B0D"/>
    <w:rsid w:val="00622E58"/>
    <w:rsid w:val="006238D0"/>
    <w:rsid w:val="00623D89"/>
    <w:rsid w:val="006247EE"/>
    <w:rsid w:val="00625F8F"/>
    <w:rsid w:val="006267CB"/>
    <w:rsid w:val="006313D9"/>
    <w:rsid w:val="006320E3"/>
    <w:rsid w:val="00632303"/>
    <w:rsid w:val="00635875"/>
    <w:rsid w:val="006360AB"/>
    <w:rsid w:val="00636417"/>
    <w:rsid w:val="006377F5"/>
    <w:rsid w:val="0064007F"/>
    <w:rsid w:val="00641492"/>
    <w:rsid w:val="0064231B"/>
    <w:rsid w:val="00644372"/>
    <w:rsid w:val="0064486B"/>
    <w:rsid w:val="00645410"/>
    <w:rsid w:val="00646024"/>
    <w:rsid w:val="00650B8E"/>
    <w:rsid w:val="00650FDD"/>
    <w:rsid w:val="006527FD"/>
    <w:rsid w:val="00652E0F"/>
    <w:rsid w:val="006530CE"/>
    <w:rsid w:val="00655078"/>
    <w:rsid w:val="00660041"/>
    <w:rsid w:val="0066016A"/>
    <w:rsid w:val="006604A6"/>
    <w:rsid w:val="0066054E"/>
    <w:rsid w:val="00660B99"/>
    <w:rsid w:val="00661861"/>
    <w:rsid w:val="00662F72"/>
    <w:rsid w:val="00662FAB"/>
    <w:rsid w:val="00663546"/>
    <w:rsid w:val="00663DF5"/>
    <w:rsid w:val="00664A04"/>
    <w:rsid w:val="0066538F"/>
    <w:rsid w:val="00665F2B"/>
    <w:rsid w:val="00666281"/>
    <w:rsid w:val="00666600"/>
    <w:rsid w:val="006675E8"/>
    <w:rsid w:val="0066783C"/>
    <w:rsid w:val="00667ABB"/>
    <w:rsid w:val="00667D39"/>
    <w:rsid w:val="00667DCA"/>
    <w:rsid w:val="00670195"/>
    <w:rsid w:val="0067199F"/>
    <w:rsid w:val="00671A5F"/>
    <w:rsid w:val="006722FB"/>
    <w:rsid w:val="006746F8"/>
    <w:rsid w:val="00674BC5"/>
    <w:rsid w:val="00674E42"/>
    <w:rsid w:val="0067512F"/>
    <w:rsid w:val="00675381"/>
    <w:rsid w:val="00675A15"/>
    <w:rsid w:val="00677B5D"/>
    <w:rsid w:val="00680205"/>
    <w:rsid w:val="00680629"/>
    <w:rsid w:val="0068096B"/>
    <w:rsid w:val="00683CC4"/>
    <w:rsid w:val="0068434F"/>
    <w:rsid w:val="00684FF7"/>
    <w:rsid w:val="00685593"/>
    <w:rsid w:val="00686381"/>
    <w:rsid w:val="0068664E"/>
    <w:rsid w:val="0068669E"/>
    <w:rsid w:val="00687187"/>
    <w:rsid w:val="006877AE"/>
    <w:rsid w:val="00690E0D"/>
    <w:rsid w:val="00691715"/>
    <w:rsid w:val="006921AC"/>
    <w:rsid w:val="006922C1"/>
    <w:rsid w:val="00692FA9"/>
    <w:rsid w:val="006946D7"/>
    <w:rsid w:val="00694ECA"/>
    <w:rsid w:val="006956E3"/>
    <w:rsid w:val="006960A5"/>
    <w:rsid w:val="0069650E"/>
    <w:rsid w:val="00696D42"/>
    <w:rsid w:val="00697B67"/>
    <w:rsid w:val="006A08D1"/>
    <w:rsid w:val="006A0EB5"/>
    <w:rsid w:val="006A14C0"/>
    <w:rsid w:val="006A2411"/>
    <w:rsid w:val="006A3181"/>
    <w:rsid w:val="006A50E9"/>
    <w:rsid w:val="006A61D1"/>
    <w:rsid w:val="006A6636"/>
    <w:rsid w:val="006A741C"/>
    <w:rsid w:val="006A7E72"/>
    <w:rsid w:val="006B0882"/>
    <w:rsid w:val="006B14B4"/>
    <w:rsid w:val="006B1717"/>
    <w:rsid w:val="006B2300"/>
    <w:rsid w:val="006B2BEC"/>
    <w:rsid w:val="006B34C1"/>
    <w:rsid w:val="006B4457"/>
    <w:rsid w:val="006B46BF"/>
    <w:rsid w:val="006B5270"/>
    <w:rsid w:val="006B623A"/>
    <w:rsid w:val="006B758E"/>
    <w:rsid w:val="006C0019"/>
    <w:rsid w:val="006C05CE"/>
    <w:rsid w:val="006C093D"/>
    <w:rsid w:val="006C27E9"/>
    <w:rsid w:val="006C28FB"/>
    <w:rsid w:val="006C3B4B"/>
    <w:rsid w:val="006C3BBC"/>
    <w:rsid w:val="006C4494"/>
    <w:rsid w:val="006C4BBB"/>
    <w:rsid w:val="006C5007"/>
    <w:rsid w:val="006C50AB"/>
    <w:rsid w:val="006C5CC8"/>
    <w:rsid w:val="006C6483"/>
    <w:rsid w:val="006C7642"/>
    <w:rsid w:val="006C7804"/>
    <w:rsid w:val="006D14CA"/>
    <w:rsid w:val="006D2CA2"/>
    <w:rsid w:val="006D2CE6"/>
    <w:rsid w:val="006D381B"/>
    <w:rsid w:val="006D432A"/>
    <w:rsid w:val="006D55FB"/>
    <w:rsid w:val="006D6ECB"/>
    <w:rsid w:val="006D797B"/>
    <w:rsid w:val="006D7C22"/>
    <w:rsid w:val="006E0169"/>
    <w:rsid w:val="006E0B71"/>
    <w:rsid w:val="006E1AF0"/>
    <w:rsid w:val="006E2225"/>
    <w:rsid w:val="006E3211"/>
    <w:rsid w:val="006E3741"/>
    <w:rsid w:val="006E523A"/>
    <w:rsid w:val="006E5352"/>
    <w:rsid w:val="006E5B1F"/>
    <w:rsid w:val="006E6121"/>
    <w:rsid w:val="006E6812"/>
    <w:rsid w:val="006E6A6B"/>
    <w:rsid w:val="006E6BFA"/>
    <w:rsid w:val="006E758F"/>
    <w:rsid w:val="006E7F0F"/>
    <w:rsid w:val="006F0738"/>
    <w:rsid w:val="006F2D4F"/>
    <w:rsid w:val="006F438D"/>
    <w:rsid w:val="006F4A79"/>
    <w:rsid w:val="006F575C"/>
    <w:rsid w:val="006F5A65"/>
    <w:rsid w:val="006F62EF"/>
    <w:rsid w:val="006F6734"/>
    <w:rsid w:val="006F7212"/>
    <w:rsid w:val="007005A6"/>
    <w:rsid w:val="00702096"/>
    <w:rsid w:val="00702877"/>
    <w:rsid w:val="00704573"/>
    <w:rsid w:val="0070498E"/>
    <w:rsid w:val="00704A3C"/>
    <w:rsid w:val="00705197"/>
    <w:rsid w:val="007056F5"/>
    <w:rsid w:val="0070571B"/>
    <w:rsid w:val="0070682D"/>
    <w:rsid w:val="00707B44"/>
    <w:rsid w:val="00707C4C"/>
    <w:rsid w:val="00711FCA"/>
    <w:rsid w:val="00712A8B"/>
    <w:rsid w:val="00712FCC"/>
    <w:rsid w:val="007136B7"/>
    <w:rsid w:val="00713A20"/>
    <w:rsid w:val="0071473A"/>
    <w:rsid w:val="00714975"/>
    <w:rsid w:val="00714A62"/>
    <w:rsid w:val="007159B4"/>
    <w:rsid w:val="00715BF4"/>
    <w:rsid w:val="00715C11"/>
    <w:rsid w:val="00716456"/>
    <w:rsid w:val="007171DA"/>
    <w:rsid w:val="007178D6"/>
    <w:rsid w:val="007207CE"/>
    <w:rsid w:val="00721348"/>
    <w:rsid w:val="00724225"/>
    <w:rsid w:val="00724C86"/>
    <w:rsid w:val="007265D4"/>
    <w:rsid w:val="007278FF"/>
    <w:rsid w:val="00727A9D"/>
    <w:rsid w:val="00727B16"/>
    <w:rsid w:val="00731FAB"/>
    <w:rsid w:val="0073238C"/>
    <w:rsid w:val="00733E0C"/>
    <w:rsid w:val="00733F42"/>
    <w:rsid w:val="00734251"/>
    <w:rsid w:val="00734FCC"/>
    <w:rsid w:val="00735D8A"/>
    <w:rsid w:val="00735F5E"/>
    <w:rsid w:val="00736C0A"/>
    <w:rsid w:val="0073786E"/>
    <w:rsid w:val="00737AC6"/>
    <w:rsid w:val="00737C5E"/>
    <w:rsid w:val="00740249"/>
    <w:rsid w:val="00741AC7"/>
    <w:rsid w:val="007429ED"/>
    <w:rsid w:val="0074463F"/>
    <w:rsid w:val="00745344"/>
    <w:rsid w:val="00746D34"/>
    <w:rsid w:val="00747A04"/>
    <w:rsid w:val="0075093D"/>
    <w:rsid w:val="00751B2F"/>
    <w:rsid w:val="00751EF5"/>
    <w:rsid w:val="00752A42"/>
    <w:rsid w:val="00752EA4"/>
    <w:rsid w:val="00752FB5"/>
    <w:rsid w:val="0075307A"/>
    <w:rsid w:val="007536B9"/>
    <w:rsid w:val="00753B0B"/>
    <w:rsid w:val="00753E60"/>
    <w:rsid w:val="0075400B"/>
    <w:rsid w:val="00754F2A"/>
    <w:rsid w:val="0075614A"/>
    <w:rsid w:val="007564D4"/>
    <w:rsid w:val="00756509"/>
    <w:rsid w:val="007565AF"/>
    <w:rsid w:val="00756A6B"/>
    <w:rsid w:val="0075728E"/>
    <w:rsid w:val="00757EEB"/>
    <w:rsid w:val="00761E74"/>
    <w:rsid w:val="00762089"/>
    <w:rsid w:val="007620E6"/>
    <w:rsid w:val="00762B8A"/>
    <w:rsid w:val="00762D45"/>
    <w:rsid w:val="00763737"/>
    <w:rsid w:val="00763E8E"/>
    <w:rsid w:val="007650AF"/>
    <w:rsid w:val="007666BD"/>
    <w:rsid w:val="007674F7"/>
    <w:rsid w:val="007711BC"/>
    <w:rsid w:val="007720E6"/>
    <w:rsid w:val="00772299"/>
    <w:rsid w:val="0077352C"/>
    <w:rsid w:val="00773D74"/>
    <w:rsid w:val="00773F93"/>
    <w:rsid w:val="007740BC"/>
    <w:rsid w:val="00774484"/>
    <w:rsid w:val="00774EB7"/>
    <w:rsid w:val="00776162"/>
    <w:rsid w:val="0077661A"/>
    <w:rsid w:val="00776990"/>
    <w:rsid w:val="0077707B"/>
    <w:rsid w:val="0077741A"/>
    <w:rsid w:val="00777440"/>
    <w:rsid w:val="00777522"/>
    <w:rsid w:val="00780D83"/>
    <w:rsid w:val="007816B3"/>
    <w:rsid w:val="00781D15"/>
    <w:rsid w:val="00781F52"/>
    <w:rsid w:val="00782136"/>
    <w:rsid w:val="007823F0"/>
    <w:rsid w:val="007838B2"/>
    <w:rsid w:val="007841C8"/>
    <w:rsid w:val="00784E08"/>
    <w:rsid w:val="00786C5B"/>
    <w:rsid w:val="00786F3F"/>
    <w:rsid w:val="007872A2"/>
    <w:rsid w:val="007910CD"/>
    <w:rsid w:val="00792F29"/>
    <w:rsid w:val="00793063"/>
    <w:rsid w:val="007935B7"/>
    <w:rsid w:val="00793746"/>
    <w:rsid w:val="007A0058"/>
    <w:rsid w:val="007A057C"/>
    <w:rsid w:val="007A0B55"/>
    <w:rsid w:val="007A33E7"/>
    <w:rsid w:val="007A35D4"/>
    <w:rsid w:val="007A3ECB"/>
    <w:rsid w:val="007A4FC4"/>
    <w:rsid w:val="007A5A4C"/>
    <w:rsid w:val="007A5FB6"/>
    <w:rsid w:val="007A7078"/>
    <w:rsid w:val="007B0262"/>
    <w:rsid w:val="007B0A0A"/>
    <w:rsid w:val="007B11D2"/>
    <w:rsid w:val="007B44D0"/>
    <w:rsid w:val="007B507D"/>
    <w:rsid w:val="007B689A"/>
    <w:rsid w:val="007C01B9"/>
    <w:rsid w:val="007C108B"/>
    <w:rsid w:val="007C2758"/>
    <w:rsid w:val="007C2BAC"/>
    <w:rsid w:val="007C32F2"/>
    <w:rsid w:val="007C393B"/>
    <w:rsid w:val="007C4A5D"/>
    <w:rsid w:val="007C4AED"/>
    <w:rsid w:val="007C4C22"/>
    <w:rsid w:val="007C4E48"/>
    <w:rsid w:val="007C530B"/>
    <w:rsid w:val="007C5FF0"/>
    <w:rsid w:val="007C63BE"/>
    <w:rsid w:val="007C6BD0"/>
    <w:rsid w:val="007C7BFF"/>
    <w:rsid w:val="007D0321"/>
    <w:rsid w:val="007D10F5"/>
    <w:rsid w:val="007D1752"/>
    <w:rsid w:val="007D1F08"/>
    <w:rsid w:val="007D2037"/>
    <w:rsid w:val="007D2E99"/>
    <w:rsid w:val="007D32D3"/>
    <w:rsid w:val="007D3BCD"/>
    <w:rsid w:val="007D3E40"/>
    <w:rsid w:val="007D4020"/>
    <w:rsid w:val="007D48D0"/>
    <w:rsid w:val="007D51E0"/>
    <w:rsid w:val="007D5E45"/>
    <w:rsid w:val="007D635E"/>
    <w:rsid w:val="007D686E"/>
    <w:rsid w:val="007D6FA3"/>
    <w:rsid w:val="007E0EE2"/>
    <w:rsid w:val="007E1CEF"/>
    <w:rsid w:val="007E32C3"/>
    <w:rsid w:val="007E3AB6"/>
    <w:rsid w:val="007E3D4B"/>
    <w:rsid w:val="007E5A3F"/>
    <w:rsid w:val="007E729D"/>
    <w:rsid w:val="007F0389"/>
    <w:rsid w:val="007F043F"/>
    <w:rsid w:val="007F2D63"/>
    <w:rsid w:val="007F355B"/>
    <w:rsid w:val="007F50B6"/>
    <w:rsid w:val="007F5309"/>
    <w:rsid w:val="007F5468"/>
    <w:rsid w:val="007F5880"/>
    <w:rsid w:val="007F7FF1"/>
    <w:rsid w:val="0080041D"/>
    <w:rsid w:val="008013C3"/>
    <w:rsid w:val="00801694"/>
    <w:rsid w:val="00801886"/>
    <w:rsid w:val="00801A84"/>
    <w:rsid w:val="00801AB2"/>
    <w:rsid w:val="00801E09"/>
    <w:rsid w:val="00801E88"/>
    <w:rsid w:val="008027B4"/>
    <w:rsid w:val="008039C3"/>
    <w:rsid w:val="00803BEE"/>
    <w:rsid w:val="00803E1F"/>
    <w:rsid w:val="00804B7B"/>
    <w:rsid w:val="00804C23"/>
    <w:rsid w:val="0080516D"/>
    <w:rsid w:val="00806446"/>
    <w:rsid w:val="00811058"/>
    <w:rsid w:val="008111DF"/>
    <w:rsid w:val="00814ADE"/>
    <w:rsid w:val="00815240"/>
    <w:rsid w:val="008158EB"/>
    <w:rsid w:val="00815D76"/>
    <w:rsid w:val="008173A3"/>
    <w:rsid w:val="008177C8"/>
    <w:rsid w:val="00817A90"/>
    <w:rsid w:val="00820072"/>
    <w:rsid w:val="00820915"/>
    <w:rsid w:val="00820E3F"/>
    <w:rsid w:val="00821B23"/>
    <w:rsid w:val="00821F61"/>
    <w:rsid w:val="008220CA"/>
    <w:rsid w:val="0082311F"/>
    <w:rsid w:val="00823BC3"/>
    <w:rsid w:val="00824520"/>
    <w:rsid w:val="00825163"/>
    <w:rsid w:val="00826CAA"/>
    <w:rsid w:val="00827170"/>
    <w:rsid w:val="00827660"/>
    <w:rsid w:val="008278DD"/>
    <w:rsid w:val="00830027"/>
    <w:rsid w:val="00830F6B"/>
    <w:rsid w:val="008312C0"/>
    <w:rsid w:val="0083224E"/>
    <w:rsid w:val="00832ED0"/>
    <w:rsid w:val="008338A0"/>
    <w:rsid w:val="00833BDE"/>
    <w:rsid w:val="00833CBC"/>
    <w:rsid w:val="0083507C"/>
    <w:rsid w:val="00835441"/>
    <w:rsid w:val="008355C5"/>
    <w:rsid w:val="00835CE1"/>
    <w:rsid w:val="008371A9"/>
    <w:rsid w:val="00837465"/>
    <w:rsid w:val="0084043B"/>
    <w:rsid w:val="00840C64"/>
    <w:rsid w:val="008419B7"/>
    <w:rsid w:val="0084206C"/>
    <w:rsid w:val="008423FC"/>
    <w:rsid w:val="00842765"/>
    <w:rsid w:val="00842D17"/>
    <w:rsid w:val="00842D1F"/>
    <w:rsid w:val="00843E64"/>
    <w:rsid w:val="00844B1D"/>
    <w:rsid w:val="0084527A"/>
    <w:rsid w:val="0084637B"/>
    <w:rsid w:val="008472BD"/>
    <w:rsid w:val="008475F5"/>
    <w:rsid w:val="008477AF"/>
    <w:rsid w:val="00847E71"/>
    <w:rsid w:val="00847EA8"/>
    <w:rsid w:val="008506A0"/>
    <w:rsid w:val="008507EE"/>
    <w:rsid w:val="00850AD1"/>
    <w:rsid w:val="00851848"/>
    <w:rsid w:val="00852174"/>
    <w:rsid w:val="00852B0C"/>
    <w:rsid w:val="00853543"/>
    <w:rsid w:val="00853CE7"/>
    <w:rsid w:val="00853EFA"/>
    <w:rsid w:val="008548F4"/>
    <w:rsid w:val="0085490A"/>
    <w:rsid w:val="00854A47"/>
    <w:rsid w:val="008557B4"/>
    <w:rsid w:val="008557F1"/>
    <w:rsid w:val="008558E3"/>
    <w:rsid w:val="00856A5A"/>
    <w:rsid w:val="00856AA7"/>
    <w:rsid w:val="00856CF6"/>
    <w:rsid w:val="00856FF7"/>
    <w:rsid w:val="00857A2E"/>
    <w:rsid w:val="00860A3C"/>
    <w:rsid w:val="0086103E"/>
    <w:rsid w:val="008612A8"/>
    <w:rsid w:val="00862B24"/>
    <w:rsid w:val="00862CC6"/>
    <w:rsid w:val="00863FC8"/>
    <w:rsid w:val="00864667"/>
    <w:rsid w:val="00864D6E"/>
    <w:rsid w:val="00866A55"/>
    <w:rsid w:val="00866B97"/>
    <w:rsid w:val="00866E65"/>
    <w:rsid w:val="008710C6"/>
    <w:rsid w:val="0087446C"/>
    <w:rsid w:val="00875D99"/>
    <w:rsid w:val="00880492"/>
    <w:rsid w:val="0088097B"/>
    <w:rsid w:val="00882271"/>
    <w:rsid w:val="00882B07"/>
    <w:rsid w:val="00883A22"/>
    <w:rsid w:val="00884305"/>
    <w:rsid w:val="00884520"/>
    <w:rsid w:val="00884A33"/>
    <w:rsid w:val="00885A90"/>
    <w:rsid w:val="00885B3F"/>
    <w:rsid w:val="00885D3F"/>
    <w:rsid w:val="0088657C"/>
    <w:rsid w:val="008870BB"/>
    <w:rsid w:val="008879B8"/>
    <w:rsid w:val="00891586"/>
    <w:rsid w:val="00891778"/>
    <w:rsid w:val="00892907"/>
    <w:rsid w:val="00893415"/>
    <w:rsid w:val="00893665"/>
    <w:rsid w:val="00894063"/>
    <w:rsid w:val="0089427A"/>
    <w:rsid w:val="00894E40"/>
    <w:rsid w:val="00894F83"/>
    <w:rsid w:val="00895FFC"/>
    <w:rsid w:val="00896621"/>
    <w:rsid w:val="00896CF6"/>
    <w:rsid w:val="00896FFF"/>
    <w:rsid w:val="00897357"/>
    <w:rsid w:val="008A309A"/>
    <w:rsid w:val="008A3F5E"/>
    <w:rsid w:val="008A4020"/>
    <w:rsid w:val="008A40AF"/>
    <w:rsid w:val="008A43D2"/>
    <w:rsid w:val="008A4675"/>
    <w:rsid w:val="008A52E4"/>
    <w:rsid w:val="008A5ABD"/>
    <w:rsid w:val="008A6BF6"/>
    <w:rsid w:val="008A6C01"/>
    <w:rsid w:val="008A7DD3"/>
    <w:rsid w:val="008B23D5"/>
    <w:rsid w:val="008B324B"/>
    <w:rsid w:val="008B46FD"/>
    <w:rsid w:val="008B4925"/>
    <w:rsid w:val="008B51BB"/>
    <w:rsid w:val="008B6F4C"/>
    <w:rsid w:val="008C1FD3"/>
    <w:rsid w:val="008C4C70"/>
    <w:rsid w:val="008C52EE"/>
    <w:rsid w:val="008C57CA"/>
    <w:rsid w:val="008D0C83"/>
    <w:rsid w:val="008D1008"/>
    <w:rsid w:val="008D2869"/>
    <w:rsid w:val="008D328F"/>
    <w:rsid w:val="008D3580"/>
    <w:rsid w:val="008D3715"/>
    <w:rsid w:val="008D3C6D"/>
    <w:rsid w:val="008D4A58"/>
    <w:rsid w:val="008D6164"/>
    <w:rsid w:val="008D6459"/>
    <w:rsid w:val="008D70FE"/>
    <w:rsid w:val="008D7977"/>
    <w:rsid w:val="008D7F97"/>
    <w:rsid w:val="008E1776"/>
    <w:rsid w:val="008E2594"/>
    <w:rsid w:val="008E2E70"/>
    <w:rsid w:val="008E68FF"/>
    <w:rsid w:val="008E727A"/>
    <w:rsid w:val="008F005C"/>
    <w:rsid w:val="008F030F"/>
    <w:rsid w:val="008F04B1"/>
    <w:rsid w:val="008F07F5"/>
    <w:rsid w:val="008F0D7E"/>
    <w:rsid w:val="008F11E6"/>
    <w:rsid w:val="008F1FC5"/>
    <w:rsid w:val="008F5BF3"/>
    <w:rsid w:val="008F6B64"/>
    <w:rsid w:val="008F7406"/>
    <w:rsid w:val="008F74E8"/>
    <w:rsid w:val="008F77D5"/>
    <w:rsid w:val="008F7B14"/>
    <w:rsid w:val="00900DA1"/>
    <w:rsid w:val="00901B1C"/>
    <w:rsid w:val="00901E63"/>
    <w:rsid w:val="00903588"/>
    <w:rsid w:val="009035FC"/>
    <w:rsid w:val="0090369C"/>
    <w:rsid w:val="009038C7"/>
    <w:rsid w:val="00903C86"/>
    <w:rsid w:val="00903E16"/>
    <w:rsid w:val="00904908"/>
    <w:rsid w:val="0090626D"/>
    <w:rsid w:val="009063DA"/>
    <w:rsid w:val="009068FC"/>
    <w:rsid w:val="009073F7"/>
    <w:rsid w:val="0090766B"/>
    <w:rsid w:val="00911C86"/>
    <w:rsid w:val="0091216C"/>
    <w:rsid w:val="00914A8E"/>
    <w:rsid w:val="0091656B"/>
    <w:rsid w:val="00916DAC"/>
    <w:rsid w:val="00917400"/>
    <w:rsid w:val="009177AC"/>
    <w:rsid w:val="00920C3C"/>
    <w:rsid w:val="009218C7"/>
    <w:rsid w:val="00922D74"/>
    <w:rsid w:val="00924181"/>
    <w:rsid w:val="00924369"/>
    <w:rsid w:val="00924489"/>
    <w:rsid w:val="00925868"/>
    <w:rsid w:val="00926030"/>
    <w:rsid w:val="00926850"/>
    <w:rsid w:val="00926FFE"/>
    <w:rsid w:val="009308B7"/>
    <w:rsid w:val="00930A33"/>
    <w:rsid w:val="00932EC5"/>
    <w:rsid w:val="00933148"/>
    <w:rsid w:val="00933189"/>
    <w:rsid w:val="009331AC"/>
    <w:rsid w:val="0093376F"/>
    <w:rsid w:val="00933C25"/>
    <w:rsid w:val="00933DC7"/>
    <w:rsid w:val="00934352"/>
    <w:rsid w:val="009355A0"/>
    <w:rsid w:val="00936705"/>
    <w:rsid w:val="009370BB"/>
    <w:rsid w:val="00937CF6"/>
    <w:rsid w:val="00942198"/>
    <w:rsid w:val="00942585"/>
    <w:rsid w:val="009428B2"/>
    <w:rsid w:val="00942AC2"/>
    <w:rsid w:val="0094330A"/>
    <w:rsid w:val="00943430"/>
    <w:rsid w:val="00943E8E"/>
    <w:rsid w:val="00945F1F"/>
    <w:rsid w:val="009466BF"/>
    <w:rsid w:val="00947EBB"/>
    <w:rsid w:val="00947FAF"/>
    <w:rsid w:val="00951559"/>
    <w:rsid w:val="009515C0"/>
    <w:rsid w:val="0095201C"/>
    <w:rsid w:val="009530CA"/>
    <w:rsid w:val="009536CE"/>
    <w:rsid w:val="00953BDA"/>
    <w:rsid w:val="00955122"/>
    <w:rsid w:val="00955553"/>
    <w:rsid w:val="0095680A"/>
    <w:rsid w:val="00956B42"/>
    <w:rsid w:val="0095758D"/>
    <w:rsid w:val="00957A02"/>
    <w:rsid w:val="00957B4C"/>
    <w:rsid w:val="00957E23"/>
    <w:rsid w:val="009602FC"/>
    <w:rsid w:val="00960C94"/>
    <w:rsid w:val="0096295B"/>
    <w:rsid w:val="00962CED"/>
    <w:rsid w:val="00963668"/>
    <w:rsid w:val="009637EE"/>
    <w:rsid w:val="00964C60"/>
    <w:rsid w:val="00965E63"/>
    <w:rsid w:val="00966185"/>
    <w:rsid w:val="009677CF"/>
    <w:rsid w:val="00970DF0"/>
    <w:rsid w:val="009719C5"/>
    <w:rsid w:val="009719F2"/>
    <w:rsid w:val="00971F70"/>
    <w:rsid w:val="009729AD"/>
    <w:rsid w:val="009739FB"/>
    <w:rsid w:val="00974C60"/>
    <w:rsid w:val="009756A6"/>
    <w:rsid w:val="00975C2D"/>
    <w:rsid w:val="00976BE0"/>
    <w:rsid w:val="00980017"/>
    <w:rsid w:val="0098050D"/>
    <w:rsid w:val="0098082D"/>
    <w:rsid w:val="009829F6"/>
    <w:rsid w:val="00982E19"/>
    <w:rsid w:val="009834AC"/>
    <w:rsid w:val="0098697A"/>
    <w:rsid w:val="00986B90"/>
    <w:rsid w:val="00990100"/>
    <w:rsid w:val="00990DA0"/>
    <w:rsid w:val="0099132A"/>
    <w:rsid w:val="00991BB1"/>
    <w:rsid w:val="0099288B"/>
    <w:rsid w:val="00992CBD"/>
    <w:rsid w:val="009945E6"/>
    <w:rsid w:val="00994BEA"/>
    <w:rsid w:val="00995A98"/>
    <w:rsid w:val="00996A61"/>
    <w:rsid w:val="00996D04"/>
    <w:rsid w:val="00997297"/>
    <w:rsid w:val="00997592"/>
    <w:rsid w:val="0099770F"/>
    <w:rsid w:val="009A0742"/>
    <w:rsid w:val="009A12AE"/>
    <w:rsid w:val="009A23A1"/>
    <w:rsid w:val="009A26A8"/>
    <w:rsid w:val="009A3313"/>
    <w:rsid w:val="009A5D34"/>
    <w:rsid w:val="009A608D"/>
    <w:rsid w:val="009A60A4"/>
    <w:rsid w:val="009A6DD9"/>
    <w:rsid w:val="009A74DD"/>
    <w:rsid w:val="009B08CB"/>
    <w:rsid w:val="009B2BF3"/>
    <w:rsid w:val="009B34AF"/>
    <w:rsid w:val="009B3DD8"/>
    <w:rsid w:val="009B3EE8"/>
    <w:rsid w:val="009B568B"/>
    <w:rsid w:val="009B5E8B"/>
    <w:rsid w:val="009B64D6"/>
    <w:rsid w:val="009B65CA"/>
    <w:rsid w:val="009B6B3F"/>
    <w:rsid w:val="009B6BC6"/>
    <w:rsid w:val="009B6D2A"/>
    <w:rsid w:val="009C1D4D"/>
    <w:rsid w:val="009C22BF"/>
    <w:rsid w:val="009C24ED"/>
    <w:rsid w:val="009C26CC"/>
    <w:rsid w:val="009C3B74"/>
    <w:rsid w:val="009C55C7"/>
    <w:rsid w:val="009C5669"/>
    <w:rsid w:val="009C66B1"/>
    <w:rsid w:val="009C6A60"/>
    <w:rsid w:val="009C6A9A"/>
    <w:rsid w:val="009C737E"/>
    <w:rsid w:val="009C7701"/>
    <w:rsid w:val="009D063B"/>
    <w:rsid w:val="009D0ABD"/>
    <w:rsid w:val="009D2A19"/>
    <w:rsid w:val="009D3B2B"/>
    <w:rsid w:val="009D3BEB"/>
    <w:rsid w:val="009D4DE7"/>
    <w:rsid w:val="009D5004"/>
    <w:rsid w:val="009D52F8"/>
    <w:rsid w:val="009D5582"/>
    <w:rsid w:val="009D60AB"/>
    <w:rsid w:val="009D6621"/>
    <w:rsid w:val="009D707A"/>
    <w:rsid w:val="009D7306"/>
    <w:rsid w:val="009D73EA"/>
    <w:rsid w:val="009D7A77"/>
    <w:rsid w:val="009D7FB7"/>
    <w:rsid w:val="009E0442"/>
    <w:rsid w:val="009E11C7"/>
    <w:rsid w:val="009E16B6"/>
    <w:rsid w:val="009E197F"/>
    <w:rsid w:val="009E2633"/>
    <w:rsid w:val="009E2B1F"/>
    <w:rsid w:val="009E506C"/>
    <w:rsid w:val="009E519D"/>
    <w:rsid w:val="009E6349"/>
    <w:rsid w:val="009E6D27"/>
    <w:rsid w:val="009E6EEF"/>
    <w:rsid w:val="009E760F"/>
    <w:rsid w:val="009F0CD6"/>
    <w:rsid w:val="009F11D4"/>
    <w:rsid w:val="009F1419"/>
    <w:rsid w:val="009F1964"/>
    <w:rsid w:val="009F3A56"/>
    <w:rsid w:val="009F40FE"/>
    <w:rsid w:val="009F530A"/>
    <w:rsid w:val="009F5510"/>
    <w:rsid w:val="009F6B15"/>
    <w:rsid w:val="009F6DCD"/>
    <w:rsid w:val="009F7038"/>
    <w:rsid w:val="009F75A3"/>
    <w:rsid w:val="009F7755"/>
    <w:rsid w:val="00A00271"/>
    <w:rsid w:val="00A01AED"/>
    <w:rsid w:val="00A03B34"/>
    <w:rsid w:val="00A03F00"/>
    <w:rsid w:val="00A04E53"/>
    <w:rsid w:val="00A0541B"/>
    <w:rsid w:val="00A0549E"/>
    <w:rsid w:val="00A05DF3"/>
    <w:rsid w:val="00A061A6"/>
    <w:rsid w:val="00A07CD5"/>
    <w:rsid w:val="00A07F7E"/>
    <w:rsid w:val="00A10747"/>
    <w:rsid w:val="00A10A55"/>
    <w:rsid w:val="00A11475"/>
    <w:rsid w:val="00A12529"/>
    <w:rsid w:val="00A12F40"/>
    <w:rsid w:val="00A13552"/>
    <w:rsid w:val="00A13E4F"/>
    <w:rsid w:val="00A14FDE"/>
    <w:rsid w:val="00A150D2"/>
    <w:rsid w:val="00A1585A"/>
    <w:rsid w:val="00A164D2"/>
    <w:rsid w:val="00A16D2B"/>
    <w:rsid w:val="00A22525"/>
    <w:rsid w:val="00A228EF"/>
    <w:rsid w:val="00A23581"/>
    <w:rsid w:val="00A23BC7"/>
    <w:rsid w:val="00A249F5"/>
    <w:rsid w:val="00A24CB8"/>
    <w:rsid w:val="00A24F12"/>
    <w:rsid w:val="00A250B2"/>
    <w:rsid w:val="00A25216"/>
    <w:rsid w:val="00A257A9"/>
    <w:rsid w:val="00A26181"/>
    <w:rsid w:val="00A26894"/>
    <w:rsid w:val="00A27BDB"/>
    <w:rsid w:val="00A27C2E"/>
    <w:rsid w:val="00A304DC"/>
    <w:rsid w:val="00A30CA1"/>
    <w:rsid w:val="00A31CDE"/>
    <w:rsid w:val="00A3224D"/>
    <w:rsid w:val="00A32942"/>
    <w:rsid w:val="00A33306"/>
    <w:rsid w:val="00A345E0"/>
    <w:rsid w:val="00A34611"/>
    <w:rsid w:val="00A3462F"/>
    <w:rsid w:val="00A35747"/>
    <w:rsid w:val="00A36164"/>
    <w:rsid w:val="00A4119B"/>
    <w:rsid w:val="00A4144D"/>
    <w:rsid w:val="00A41AB3"/>
    <w:rsid w:val="00A422BE"/>
    <w:rsid w:val="00A42C82"/>
    <w:rsid w:val="00A42FE6"/>
    <w:rsid w:val="00A43598"/>
    <w:rsid w:val="00A44974"/>
    <w:rsid w:val="00A449AD"/>
    <w:rsid w:val="00A44A1C"/>
    <w:rsid w:val="00A4530E"/>
    <w:rsid w:val="00A4613F"/>
    <w:rsid w:val="00A47EBF"/>
    <w:rsid w:val="00A50B1C"/>
    <w:rsid w:val="00A51253"/>
    <w:rsid w:val="00A53B67"/>
    <w:rsid w:val="00A55226"/>
    <w:rsid w:val="00A5658F"/>
    <w:rsid w:val="00A56717"/>
    <w:rsid w:val="00A567EE"/>
    <w:rsid w:val="00A56911"/>
    <w:rsid w:val="00A56F1B"/>
    <w:rsid w:val="00A57958"/>
    <w:rsid w:val="00A61310"/>
    <w:rsid w:val="00A6277A"/>
    <w:rsid w:val="00A62834"/>
    <w:rsid w:val="00A63459"/>
    <w:rsid w:val="00A639B9"/>
    <w:rsid w:val="00A64CC7"/>
    <w:rsid w:val="00A651A5"/>
    <w:rsid w:val="00A65A49"/>
    <w:rsid w:val="00A66834"/>
    <w:rsid w:val="00A66D26"/>
    <w:rsid w:val="00A67056"/>
    <w:rsid w:val="00A67677"/>
    <w:rsid w:val="00A67BC8"/>
    <w:rsid w:val="00A67DE6"/>
    <w:rsid w:val="00A70462"/>
    <w:rsid w:val="00A70513"/>
    <w:rsid w:val="00A7162A"/>
    <w:rsid w:val="00A72944"/>
    <w:rsid w:val="00A72D64"/>
    <w:rsid w:val="00A736DD"/>
    <w:rsid w:val="00A73B57"/>
    <w:rsid w:val="00A76FE3"/>
    <w:rsid w:val="00A82C84"/>
    <w:rsid w:val="00A82C9A"/>
    <w:rsid w:val="00A83341"/>
    <w:rsid w:val="00A843D0"/>
    <w:rsid w:val="00A84B68"/>
    <w:rsid w:val="00A8593B"/>
    <w:rsid w:val="00A863EE"/>
    <w:rsid w:val="00A90318"/>
    <w:rsid w:val="00A92E28"/>
    <w:rsid w:val="00A948FF"/>
    <w:rsid w:val="00A94A3F"/>
    <w:rsid w:val="00A956C5"/>
    <w:rsid w:val="00A96018"/>
    <w:rsid w:val="00A96C32"/>
    <w:rsid w:val="00A9744A"/>
    <w:rsid w:val="00AA03C3"/>
    <w:rsid w:val="00AA13EC"/>
    <w:rsid w:val="00AA16C0"/>
    <w:rsid w:val="00AA1C23"/>
    <w:rsid w:val="00AA3F76"/>
    <w:rsid w:val="00AA462A"/>
    <w:rsid w:val="00AA4729"/>
    <w:rsid w:val="00AA61BA"/>
    <w:rsid w:val="00AA72EA"/>
    <w:rsid w:val="00AB0250"/>
    <w:rsid w:val="00AB13B6"/>
    <w:rsid w:val="00AB1615"/>
    <w:rsid w:val="00AB16AC"/>
    <w:rsid w:val="00AB1749"/>
    <w:rsid w:val="00AB2C28"/>
    <w:rsid w:val="00AB30AE"/>
    <w:rsid w:val="00AB4552"/>
    <w:rsid w:val="00AB5C33"/>
    <w:rsid w:val="00AB6934"/>
    <w:rsid w:val="00AC0109"/>
    <w:rsid w:val="00AC05E3"/>
    <w:rsid w:val="00AC4AC8"/>
    <w:rsid w:val="00AC4BA0"/>
    <w:rsid w:val="00AC4E62"/>
    <w:rsid w:val="00AC59FF"/>
    <w:rsid w:val="00AC7556"/>
    <w:rsid w:val="00AC7871"/>
    <w:rsid w:val="00AD32DA"/>
    <w:rsid w:val="00AD3FC8"/>
    <w:rsid w:val="00AD4DF0"/>
    <w:rsid w:val="00AD5A80"/>
    <w:rsid w:val="00AD5EB7"/>
    <w:rsid w:val="00AD78FD"/>
    <w:rsid w:val="00AE0048"/>
    <w:rsid w:val="00AE03B6"/>
    <w:rsid w:val="00AE0E31"/>
    <w:rsid w:val="00AE1B4D"/>
    <w:rsid w:val="00AE1CCA"/>
    <w:rsid w:val="00AE24C9"/>
    <w:rsid w:val="00AE2CF1"/>
    <w:rsid w:val="00AE37B8"/>
    <w:rsid w:val="00AE4BC4"/>
    <w:rsid w:val="00AE4E4D"/>
    <w:rsid w:val="00AE61EC"/>
    <w:rsid w:val="00AE7945"/>
    <w:rsid w:val="00AF0902"/>
    <w:rsid w:val="00AF1F07"/>
    <w:rsid w:val="00AF1FB9"/>
    <w:rsid w:val="00AF278E"/>
    <w:rsid w:val="00AF2A5C"/>
    <w:rsid w:val="00AF4140"/>
    <w:rsid w:val="00AF43BC"/>
    <w:rsid w:val="00AF4743"/>
    <w:rsid w:val="00AF49B8"/>
    <w:rsid w:val="00AF5241"/>
    <w:rsid w:val="00AF58FE"/>
    <w:rsid w:val="00AF59FE"/>
    <w:rsid w:val="00AF61D1"/>
    <w:rsid w:val="00AF673E"/>
    <w:rsid w:val="00AF7F4A"/>
    <w:rsid w:val="00B004A8"/>
    <w:rsid w:val="00B0069E"/>
    <w:rsid w:val="00B01F6B"/>
    <w:rsid w:val="00B02145"/>
    <w:rsid w:val="00B02A85"/>
    <w:rsid w:val="00B02ED2"/>
    <w:rsid w:val="00B032CC"/>
    <w:rsid w:val="00B04616"/>
    <w:rsid w:val="00B054E9"/>
    <w:rsid w:val="00B05567"/>
    <w:rsid w:val="00B05EFC"/>
    <w:rsid w:val="00B06394"/>
    <w:rsid w:val="00B07110"/>
    <w:rsid w:val="00B076E2"/>
    <w:rsid w:val="00B10DD4"/>
    <w:rsid w:val="00B130C6"/>
    <w:rsid w:val="00B132DD"/>
    <w:rsid w:val="00B1449E"/>
    <w:rsid w:val="00B15614"/>
    <w:rsid w:val="00B1571B"/>
    <w:rsid w:val="00B15BB3"/>
    <w:rsid w:val="00B1613D"/>
    <w:rsid w:val="00B1622E"/>
    <w:rsid w:val="00B1659C"/>
    <w:rsid w:val="00B17170"/>
    <w:rsid w:val="00B20E0C"/>
    <w:rsid w:val="00B22487"/>
    <w:rsid w:val="00B22D53"/>
    <w:rsid w:val="00B23073"/>
    <w:rsid w:val="00B233F3"/>
    <w:rsid w:val="00B23639"/>
    <w:rsid w:val="00B239B2"/>
    <w:rsid w:val="00B2504B"/>
    <w:rsid w:val="00B2559B"/>
    <w:rsid w:val="00B279D6"/>
    <w:rsid w:val="00B30C55"/>
    <w:rsid w:val="00B31460"/>
    <w:rsid w:val="00B325BE"/>
    <w:rsid w:val="00B34888"/>
    <w:rsid w:val="00B363D9"/>
    <w:rsid w:val="00B36BC8"/>
    <w:rsid w:val="00B4136C"/>
    <w:rsid w:val="00B41CAC"/>
    <w:rsid w:val="00B422A4"/>
    <w:rsid w:val="00B42EA3"/>
    <w:rsid w:val="00B43191"/>
    <w:rsid w:val="00B4323D"/>
    <w:rsid w:val="00B43ACF"/>
    <w:rsid w:val="00B44280"/>
    <w:rsid w:val="00B44855"/>
    <w:rsid w:val="00B44D7A"/>
    <w:rsid w:val="00B47CCE"/>
    <w:rsid w:val="00B51D57"/>
    <w:rsid w:val="00B531E6"/>
    <w:rsid w:val="00B53976"/>
    <w:rsid w:val="00B54A5D"/>
    <w:rsid w:val="00B55A78"/>
    <w:rsid w:val="00B56103"/>
    <w:rsid w:val="00B56121"/>
    <w:rsid w:val="00B561E1"/>
    <w:rsid w:val="00B56736"/>
    <w:rsid w:val="00B56CA3"/>
    <w:rsid w:val="00B60073"/>
    <w:rsid w:val="00B60BEE"/>
    <w:rsid w:val="00B60F28"/>
    <w:rsid w:val="00B617F6"/>
    <w:rsid w:val="00B61D4E"/>
    <w:rsid w:val="00B61D9A"/>
    <w:rsid w:val="00B63A57"/>
    <w:rsid w:val="00B63F5C"/>
    <w:rsid w:val="00B64188"/>
    <w:rsid w:val="00B644AC"/>
    <w:rsid w:val="00B64919"/>
    <w:rsid w:val="00B66901"/>
    <w:rsid w:val="00B701E0"/>
    <w:rsid w:val="00B705B3"/>
    <w:rsid w:val="00B70E5D"/>
    <w:rsid w:val="00B72B5E"/>
    <w:rsid w:val="00B73A88"/>
    <w:rsid w:val="00B73B9F"/>
    <w:rsid w:val="00B74652"/>
    <w:rsid w:val="00B7688A"/>
    <w:rsid w:val="00B76EF3"/>
    <w:rsid w:val="00B804A2"/>
    <w:rsid w:val="00B81D2A"/>
    <w:rsid w:val="00B8251C"/>
    <w:rsid w:val="00B826DC"/>
    <w:rsid w:val="00B8272D"/>
    <w:rsid w:val="00B836D6"/>
    <w:rsid w:val="00B84639"/>
    <w:rsid w:val="00B848AF"/>
    <w:rsid w:val="00B855A6"/>
    <w:rsid w:val="00B856F4"/>
    <w:rsid w:val="00B866D0"/>
    <w:rsid w:val="00B86F2F"/>
    <w:rsid w:val="00B91A78"/>
    <w:rsid w:val="00B93782"/>
    <w:rsid w:val="00B9621F"/>
    <w:rsid w:val="00B9767E"/>
    <w:rsid w:val="00B9779E"/>
    <w:rsid w:val="00BA0979"/>
    <w:rsid w:val="00BA1011"/>
    <w:rsid w:val="00BA105F"/>
    <w:rsid w:val="00BA20F0"/>
    <w:rsid w:val="00BA2B98"/>
    <w:rsid w:val="00BA2FAC"/>
    <w:rsid w:val="00BA5752"/>
    <w:rsid w:val="00BB229B"/>
    <w:rsid w:val="00BB28A8"/>
    <w:rsid w:val="00BB3818"/>
    <w:rsid w:val="00BB49AB"/>
    <w:rsid w:val="00BB5763"/>
    <w:rsid w:val="00BB638D"/>
    <w:rsid w:val="00BB708E"/>
    <w:rsid w:val="00BB7699"/>
    <w:rsid w:val="00BC175F"/>
    <w:rsid w:val="00BC19E8"/>
    <w:rsid w:val="00BC1B3B"/>
    <w:rsid w:val="00BC1E8A"/>
    <w:rsid w:val="00BC2262"/>
    <w:rsid w:val="00BC37E6"/>
    <w:rsid w:val="00BC4C58"/>
    <w:rsid w:val="00BC6583"/>
    <w:rsid w:val="00BC6BB3"/>
    <w:rsid w:val="00BC6DF7"/>
    <w:rsid w:val="00BC7F27"/>
    <w:rsid w:val="00BD2B78"/>
    <w:rsid w:val="00BD4152"/>
    <w:rsid w:val="00BD4C0C"/>
    <w:rsid w:val="00BD525B"/>
    <w:rsid w:val="00BD5667"/>
    <w:rsid w:val="00BD5ADD"/>
    <w:rsid w:val="00BD6191"/>
    <w:rsid w:val="00BD6BAD"/>
    <w:rsid w:val="00BE005E"/>
    <w:rsid w:val="00BE12F2"/>
    <w:rsid w:val="00BE15FE"/>
    <w:rsid w:val="00BE18A9"/>
    <w:rsid w:val="00BE1A11"/>
    <w:rsid w:val="00BE1B45"/>
    <w:rsid w:val="00BE1DF9"/>
    <w:rsid w:val="00BE1E6E"/>
    <w:rsid w:val="00BE2333"/>
    <w:rsid w:val="00BE2718"/>
    <w:rsid w:val="00BE275D"/>
    <w:rsid w:val="00BE30E3"/>
    <w:rsid w:val="00BE3BC5"/>
    <w:rsid w:val="00BE3D5A"/>
    <w:rsid w:val="00BE4F70"/>
    <w:rsid w:val="00BE50D1"/>
    <w:rsid w:val="00BE58C1"/>
    <w:rsid w:val="00BE6709"/>
    <w:rsid w:val="00BE7076"/>
    <w:rsid w:val="00BE73DE"/>
    <w:rsid w:val="00BE7A73"/>
    <w:rsid w:val="00BE7CD6"/>
    <w:rsid w:val="00BF00AB"/>
    <w:rsid w:val="00BF012F"/>
    <w:rsid w:val="00BF0848"/>
    <w:rsid w:val="00BF0D79"/>
    <w:rsid w:val="00BF0DD2"/>
    <w:rsid w:val="00BF1937"/>
    <w:rsid w:val="00BF1996"/>
    <w:rsid w:val="00BF2BA6"/>
    <w:rsid w:val="00BF3623"/>
    <w:rsid w:val="00BF40A2"/>
    <w:rsid w:val="00BF4FF5"/>
    <w:rsid w:val="00BF6A8C"/>
    <w:rsid w:val="00BF701E"/>
    <w:rsid w:val="00BF7B22"/>
    <w:rsid w:val="00BF7C43"/>
    <w:rsid w:val="00BF7FDD"/>
    <w:rsid w:val="00C000C0"/>
    <w:rsid w:val="00C01653"/>
    <w:rsid w:val="00C01E7E"/>
    <w:rsid w:val="00C02DC0"/>
    <w:rsid w:val="00C04805"/>
    <w:rsid w:val="00C0522D"/>
    <w:rsid w:val="00C060C0"/>
    <w:rsid w:val="00C0624D"/>
    <w:rsid w:val="00C068D7"/>
    <w:rsid w:val="00C06DEA"/>
    <w:rsid w:val="00C07761"/>
    <w:rsid w:val="00C11C86"/>
    <w:rsid w:val="00C14EA1"/>
    <w:rsid w:val="00C16A3C"/>
    <w:rsid w:val="00C17CD0"/>
    <w:rsid w:val="00C20F35"/>
    <w:rsid w:val="00C21448"/>
    <w:rsid w:val="00C2255E"/>
    <w:rsid w:val="00C22CA4"/>
    <w:rsid w:val="00C231AB"/>
    <w:rsid w:val="00C23F33"/>
    <w:rsid w:val="00C258EB"/>
    <w:rsid w:val="00C2678E"/>
    <w:rsid w:val="00C26E04"/>
    <w:rsid w:val="00C277EC"/>
    <w:rsid w:val="00C30B7D"/>
    <w:rsid w:val="00C30F5C"/>
    <w:rsid w:val="00C3167B"/>
    <w:rsid w:val="00C33739"/>
    <w:rsid w:val="00C3396A"/>
    <w:rsid w:val="00C33F16"/>
    <w:rsid w:val="00C34946"/>
    <w:rsid w:val="00C349E1"/>
    <w:rsid w:val="00C351A7"/>
    <w:rsid w:val="00C353D6"/>
    <w:rsid w:val="00C35C72"/>
    <w:rsid w:val="00C36295"/>
    <w:rsid w:val="00C3710F"/>
    <w:rsid w:val="00C373B3"/>
    <w:rsid w:val="00C37CBD"/>
    <w:rsid w:val="00C41FF7"/>
    <w:rsid w:val="00C439AD"/>
    <w:rsid w:val="00C43F9A"/>
    <w:rsid w:val="00C45040"/>
    <w:rsid w:val="00C45F89"/>
    <w:rsid w:val="00C46CFB"/>
    <w:rsid w:val="00C46F91"/>
    <w:rsid w:val="00C47211"/>
    <w:rsid w:val="00C47506"/>
    <w:rsid w:val="00C475D7"/>
    <w:rsid w:val="00C47618"/>
    <w:rsid w:val="00C501BF"/>
    <w:rsid w:val="00C50486"/>
    <w:rsid w:val="00C519A5"/>
    <w:rsid w:val="00C51E4D"/>
    <w:rsid w:val="00C5233F"/>
    <w:rsid w:val="00C52E9E"/>
    <w:rsid w:val="00C53C14"/>
    <w:rsid w:val="00C55F0C"/>
    <w:rsid w:val="00C570CF"/>
    <w:rsid w:val="00C57D78"/>
    <w:rsid w:val="00C60173"/>
    <w:rsid w:val="00C60562"/>
    <w:rsid w:val="00C63A63"/>
    <w:rsid w:val="00C64ABA"/>
    <w:rsid w:val="00C65FE7"/>
    <w:rsid w:val="00C6639B"/>
    <w:rsid w:val="00C6791D"/>
    <w:rsid w:val="00C67B7C"/>
    <w:rsid w:val="00C71606"/>
    <w:rsid w:val="00C72840"/>
    <w:rsid w:val="00C73AB8"/>
    <w:rsid w:val="00C7537F"/>
    <w:rsid w:val="00C76B30"/>
    <w:rsid w:val="00C77D8E"/>
    <w:rsid w:val="00C81782"/>
    <w:rsid w:val="00C81A2B"/>
    <w:rsid w:val="00C81F3D"/>
    <w:rsid w:val="00C82DB7"/>
    <w:rsid w:val="00C83394"/>
    <w:rsid w:val="00C8459A"/>
    <w:rsid w:val="00C847E9"/>
    <w:rsid w:val="00C84EC2"/>
    <w:rsid w:val="00C85DF9"/>
    <w:rsid w:val="00C861E4"/>
    <w:rsid w:val="00C86283"/>
    <w:rsid w:val="00C875A5"/>
    <w:rsid w:val="00C904AC"/>
    <w:rsid w:val="00C91FC1"/>
    <w:rsid w:val="00C931FB"/>
    <w:rsid w:val="00C9484A"/>
    <w:rsid w:val="00C96C48"/>
    <w:rsid w:val="00C97176"/>
    <w:rsid w:val="00CA0207"/>
    <w:rsid w:val="00CA0CBF"/>
    <w:rsid w:val="00CA17A3"/>
    <w:rsid w:val="00CA17AF"/>
    <w:rsid w:val="00CA2334"/>
    <w:rsid w:val="00CA2C1A"/>
    <w:rsid w:val="00CA55EE"/>
    <w:rsid w:val="00CA5ADC"/>
    <w:rsid w:val="00CA5F2C"/>
    <w:rsid w:val="00CA74E8"/>
    <w:rsid w:val="00CB023C"/>
    <w:rsid w:val="00CB0864"/>
    <w:rsid w:val="00CB18DF"/>
    <w:rsid w:val="00CB2CCE"/>
    <w:rsid w:val="00CB2CF3"/>
    <w:rsid w:val="00CB36C2"/>
    <w:rsid w:val="00CB46AE"/>
    <w:rsid w:val="00CB49F1"/>
    <w:rsid w:val="00CB4A44"/>
    <w:rsid w:val="00CB5F05"/>
    <w:rsid w:val="00CB5F76"/>
    <w:rsid w:val="00CB7C60"/>
    <w:rsid w:val="00CB7F44"/>
    <w:rsid w:val="00CC01AC"/>
    <w:rsid w:val="00CC0C78"/>
    <w:rsid w:val="00CC1434"/>
    <w:rsid w:val="00CC222D"/>
    <w:rsid w:val="00CC2ABC"/>
    <w:rsid w:val="00CC323C"/>
    <w:rsid w:val="00CC3F49"/>
    <w:rsid w:val="00CC5D3B"/>
    <w:rsid w:val="00CC5E52"/>
    <w:rsid w:val="00CC7C7C"/>
    <w:rsid w:val="00CD00A5"/>
    <w:rsid w:val="00CD0158"/>
    <w:rsid w:val="00CD1718"/>
    <w:rsid w:val="00CD263B"/>
    <w:rsid w:val="00CD3634"/>
    <w:rsid w:val="00CD3934"/>
    <w:rsid w:val="00CD46CF"/>
    <w:rsid w:val="00CD4716"/>
    <w:rsid w:val="00CD4BAF"/>
    <w:rsid w:val="00CD512B"/>
    <w:rsid w:val="00CD5B62"/>
    <w:rsid w:val="00CD604C"/>
    <w:rsid w:val="00CD6280"/>
    <w:rsid w:val="00CD65F2"/>
    <w:rsid w:val="00CD6679"/>
    <w:rsid w:val="00CD6F83"/>
    <w:rsid w:val="00CD719D"/>
    <w:rsid w:val="00CE0CF8"/>
    <w:rsid w:val="00CE0D98"/>
    <w:rsid w:val="00CE13CA"/>
    <w:rsid w:val="00CE14E1"/>
    <w:rsid w:val="00CE2760"/>
    <w:rsid w:val="00CE2A76"/>
    <w:rsid w:val="00CE46D2"/>
    <w:rsid w:val="00CE4B32"/>
    <w:rsid w:val="00CE5127"/>
    <w:rsid w:val="00CE564D"/>
    <w:rsid w:val="00CE58EC"/>
    <w:rsid w:val="00CE5A06"/>
    <w:rsid w:val="00CE64B2"/>
    <w:rsid w:val="00CE64D3"/>
    <w:rsid w:val="00CE7309"/>
    <w:rsid w:val="00CF0609"/>
    <w:rsid w:val="00CF0BD2"/>
    <w:rsid w:val="00CF11A9"/>
    <w:rsid w:val="00CF2361"/>
    <w:rsid w:val="00CF2F04"/>
    <w:rsid w:val="00CF2F57"/>
    <w:rsid w:val="00CF354E"/>
    <w:rsid w:val="00CF35CB"/>
    <w:rsid w:val="00CF3C2E"/>
    <w:rsid w:val="00CF4903"/>
    <w:rsid w:val="00CF5D65"/>
    <w:rsid w:val="00CF6D4B"/>
    <w:rsid w:val="00CF758E"/>
    <w:rsid w:val="00D007D6"/>
    <w:rsid w:val="00D00ACB"/>
    <w:rsid w:val="00D013DE"/>
    <w:rsid w:val="00D019F2"/>
    <w:rsid w:val="00D01C38"/>
    <w:rsid w:val="00D028DA"/>
    <w:rsid w:val="00D02A00"/>
    <w:rsid w:val="00D034B5"/>
    <w:rsid w:val="00D03674"/>
    <w:rsid w:val="00D0416B"/>
    <w:rsid w:val="00D042F2"/>
    <w:rsid w:val="00D0575C"/>
    <w:rsid w:val="00D057FC"/>
    <w:rsid w:val="00D05802"/>
    <w:rsid w:val="00D05A7B"/>
    <w:rsid w:val="00D063D4"/>
    <w:rsid w:val="00D07AB2"/>
    <w:rsid w:val="00D10D1D"/>
    <w:rsid w:val="00D1137E"/>
    <w:rsid w:val="00D119A7"/>
    <w:rsid w:val="00D129E9"/>
    <w:rsid w:val="00D1365D"/>
    <w:rsid w:val="00D1387D"/>
    <w:rsid w:val="00D15B71"/>
    <w:rsid w:val="00D15C9F"/>
    <w:rsid w:val="00D16120"/>
    <w:rsid w:val="00D165C6"/>
    <w:rsid w:val="00D16E65"/>
    <w:rsid w:val="00D17254"/>
    <w:rsid w:val="00D17EC3"/>
    <w:rsid w:val="00D20A18"/>
    <w:rsid w:val="00D20ADC"/>
    <w:rsid w:val="00D21820"/>
    <w:rsid w:val="00D21D41"/>
    <w:rsid w:val="00D22A5A"/>
    <w:rsid w:val="00D22DE8"/>
    <w:rsid w:val="00D22F25"/>
    <w:rsid w:val="00D24C15"/>
    <w:rsid w:val="00D25117"/>
    <w:rsid w:val="00D25A15"/>
    <w:rsid w:val="00D25B5D"/>
    <w:rsid w:val="00D25D0A"/>
    <w:rsid w:val="00D2667B"/>
    <w:rsid w:val="00D27E8D"/>
    <w:rsid w:val="00D301F0"/>
    <w:rsid w:val="00D30689"/>
    <w:rsid w:val="00D30993"/>
    <w:rsid w:val="00D30C42"/>
    <w:rsid w:val="00D30E62"/>
    <w:rsid w:val="00D31D11"/>
    <w:rsid w:val="00D31E38"/>
    <w:rsid w:val="00D3202A"/>
    <w:rsid w:val="00D336F7"/>
    <w:rsid w:val="00D34D0E"/>
    <w:rsid w:val="00D34EE3"/>
    <w:rsid w:val="00D367C7"/>
    <w:rsid w:val="00D37F83"/>
    <w:rsid w:val="00D40BEB"/>
    <w:rsid w:val="00D40FCE"/>
    <w:rsid w:val="00D412A0"/>
    <w:rsid w:val="00D4180D"/>
    <w:rsid w:val="00D418E8"/>
    <w:rsid w:val="00D4262B"/>
    <w:rsid w:val="00D42726"/>
    <w:rsid w:val="00D43428"/>
    <w:rsid w:val="00D4461B"/>
    <w:rsid w:val="00D454B9"/>
    <w:rsid w:val="00D45EF8"/>
    <w:rsid w:val="00D47DDF"/>
    <w:rsid w:val="00D50970"/>
    <w:rsid w:val="00D51090"/>
    <w:rsid w:val="00D51C42"/>
    <w:rsid w:val="00D5241C"/>
    <w:rsid w:val="00D5262C"/>
    <w:rsid w:val="00D53E92"/>
    <w:rsid w:val="00D54973"/>
    <w:rsid w:val="00D553B2"/>
    <w:rsid w:val="00D56BA7"/>
    <w:rsid w:val="00D570ED"/>
    <w:rsid w:val="00D5757D"/>
    <w:rsid w:val="00D57A1D"/>
    <w:rsid w:val="00D607B3"/>
    <w:rsid w:val="00D614C2"/>
    <w:rsid w:val="00D61632"/>
    <w:rsid w:val="00D6190E"/>
    <w:rsid w:val="00D62B3A"/>
    <w:rsid w:val="00D63672"/>
    <w:rsid w:val="00D63B93"/>
    <w:rsid w:val="00D63F98"/>
    <w:rsid w:val="00D6467F"/>
    <w:rsid w:val="00D6471C"/>
    <w:rsid w:val="00D65123"/>
    <w:rsid w:val="00D651A6"/>
    <w:rsid w:val="00D67E62"/>
    <w:rsid w:val="00D72467"/>
    <w:rsid w:val="00D73ACE"/>
    <w:rsid w:val="00D74AB6"/>
    <w:rsid w:val="00D77738"/>
    <w:rsid w:val="00D777AB"/>
    <w:rsid w:val="00D77CCA"/>
    <w:rsid w:val="00D80435"/>
    <w:rsid w:val="00D81D1D"/>
    <w:rsid w:val="00D82A95"/>
    <w:rsid w:val="00D84788"/>
    <w:rsid w:val="00D85046"/>
    <w:rsid w:val="00D8596E"/>
    <w:rsid w:val="00D85DF8"/>
    <w:rsid w:val="00D8616B"/>
    <w:rsid w:val="00D86C75"/>
    <w:rsid w:val="00D86DFC"/>
    <w:rsid w:val="00D86E15"/>
    <w:rsid w:val="00D91C64"/>
    <w:rsid w:val="00D93E0B"/>
    <w:rsid w:val="00D94C9D"/>
    <w:rsid w:val="00D94E55"/>
    <w:rsid w:val="00D95102"/>
    <w:rsid w:val="00D95400"/>
    <w:rsid w:val="00D97145"/>
    <w:rsid w:val="00D97FD7"/>
    <w:rsid w:val="00DA08AD"/>
    <w:rsid w:val="00DA1487"/>
    <w:rsid w:val="00DA16B3"/>
    <w:rsid w:val="00DA2AD5"/>
    <w:rsid w:val="00DA31B4"/>
    <w:rsid w:val="00DA3BBE"/>
    <w:rsid w:val="00DA52A8"/>
    <w:rsid w:val="00DA5477"/>
    <w:rsid w:val="00DA5FBC"/>
    <w:rsid w:val="00DA662C"/>
    <w:rsid w:val="00DA6A2F"/>
    <w:rsid w:val="00DA6F34"/>
    <w:rsid w:val="00DA7E40"/>
    <w:rsid w:val="00DB00C6"/>
    <w:rsid w:val="00DB0417"/>
    <w:rsid w:val="00DB05D5"/>
    <w:rsid w:val="00DB09A3"/>
    <w:rsid w:val="00DB0FF6"/>
    <w:rsid w:val="00DB1CA9"/>
    <w:rsid w:val="00DB1E67"/>
    <w:rsid w:val="00DB2037"/>
    <w:rsid w:val="00DB274B"/>
    <w:rsid w:val="00DB2A6E"/>
    <w:rsid w:val="00DB34A6"/>
    <w:rsid w:val="00DB3A03"/>
    <w:rsid w:val="00DB5C1F"/>
    <w:rsid w:val="00DB745D"/>
    <w:rsid w:val="00DB7E0C"/>
    <w:rsid w:val="00DC0703"/>
    <w:rsid w:val="00DC10FA"/>
    <w:rsid w:val="00DC1D62"/>
    <w:rsid w:val="00DC3373"/>
    <w:rsid w:val="00DC4733"/>
    <w:rsid w:val="00DC49BD"/>
    <w:rsid w:val="00DC4AA9"/>
    <w:rsid w:val="00DC4C8F"/>
    <w:rsid w:val="00DC5266"/>
    <w:rsid w:val="00DC5B7A"/>
    <w:rsid w:val="00DC6038"/>
    <w:rsid w:val="00DD11A5"/>
    <w:rsid w:val="00DD172A"/>
    <w:rsid w:val="00DD1EE3"/>
    <w:rsid w:val="00DD242D"/>
    <w:rsid w:val="00DD3229"/>
    <w:rsid w:val="00DD372D"/>
    <w:rsid w:val="00DD3A0C"/>
    <w:rsid w:val="00DD3BA1"/>
    <w:rsid w:val="00DD513D"/>
    <w:rsid w:val="00DD6E6F"/>
    <w:rsid w:val="00DD6EB8"/>
    <w:rsid w:val="00DD791F"/>
    <w:rsid w:val="00DE01C9"/>
    <w:rsid w:val="00DE068D"/>
    <w:rsid w:val="00DE09F0"/>
    <w:rsid w:val="00DE139C"/>
    <w:rsid w:val="00DE14E5"/>
    <w:rsid w:val="00DE1698"/>
    <w:rsid w:val="00DE36E7"/>
    <w:rsid w:val="00DE3A86"/>
    <w:rsid w:val="00DE4335"/>
    <w:rsid w:val="00DE49D6"/>
    <w:rsid w:val="00DE5162"/>
    <w:rsid w:val="00DE64A6"/>
    <w:rsid w:val="00DF10B7"/>
    <w:rsid w:val="00DF2019"/>
    <w:rsid w:val="00DF2933"/>
    <w:rsid w:val="00DF6553"/>
    <w:rsid w:val="00DF6CEA"/>
    <w:rsid w:val="00E020AE"/>
    <w:rsid w:val="00E04599"/>
    <w:rsid w:val="00E04641"/>
    <w:rsid w:val="00E04931"/>
    <w:rsid w:val="00E04B11"/>
    <w:rsid w:val="00E0579D"/>
    <w:rsid w:val="00E06F91"/>
    <w:rsid w:val="00E07979"/>
    <w:rsid w:val="00E110C4"/>
    <w:rsid w:val="00E11105"/>
    <w:rsid w:val="00E1144C"/>
    <w:rsid w:val="00E12801"/>
    <w:rsid w:val="00E12C3F"/>
    <w:rsid w:val="00E13002"/>
    <w:rsid w:val="00E142FE"/>
    <w:rsid w:val="00E14859"/>
    <w:rsid w:val="00E14921"/>
    <w:rsid w:val="00E15BCB"/>
    <w:rsid w:val="00E15D7F"/>
    <w:rsid w:val="00E15D97"/>
    <w:rsid w:val="00E17F84"/>
    <w:rsid w:val="00E20431"/>
    <w:rsid w:val="00E212A8"/>
    <w:rsid w:val="00E218AD"/>
    <w:rsid w:val="00E218EF"/>
    <w:rsid w:val="00E22483"/>
    <w:rsid w:val="00E23C65"/>
    <w:rsid w:val="00E245B6"/>
    <w:rsid w:val="00E24DFE"/>
    <w:rsid w:val="00E262DE"/>
    <w:rsid w:val="00E270E1"/>
    <w:rsid w:val="00E27880"/>
    <w:rsid w:val="00E301B2"/>
    <w:rsid w:val="00E325B0"/>
    <w:rsid w:val="00E336E4"/>
    <w:rsid w:val="00E33910"/>
    <w:rsid w:val="00E339CE"/>
    <w:rsid w:val="00E3617D"/>
    <w:rsid w:val="00E36CCA"/>
    <w:rsid w:val="00E37B88"/>
    <w:rsid w:val="00E40929"/>
    <w:rsid w:val="00E415FE"/>
    <w:rsid w:val="00E426FA"/>
    <w:rsid w:val="00E42BAF"/>
    <w:rsid w:val="00E42C18"/>
    <w:rsid w:val="00E43158"/>
    <w:rsid w:val="00E435E9"/>
    <w:rsid w:val="00E43802"/>
    <w:rsid w:val="00E4519B"/>
    <w:rsid w:val="00E46232"/>
    <w:rsid w:val="00E469EE"/>
    <w:rsid w:val="00E46D81"/>
    <w:rsid w:val="00E47311"/>
    <w:rsid w:val="00E50BA7"/>
    <w:rsid w:val="00E50E95"/>
    <w:rsid w:val="00E51BB4"/>
    <w:rsid w:val="00E52115"/>
    <w:rsid w:val="00E5285C"/>
    <w:rsid w:val="00E53826"/>
    <w:rsid w:val="00E539A7"/>
    <w:rsid w:val="00E53E02"/>
    <w:rsid w:val="00E54DEC"/>
    <w:rsid w:val="00E551D1"/>
    <w:rsid w:val="00E56626"/>
    <w:rsid w:val="00E56C3F"/>
    <w:rsid w:val="00E57EBD"/>
    <w:rsid w:val="00E604E9"/>
    <w:rsid w:val="00E61597"/>
    <w:rsid w:val="00E61C4B"/>
    <w:rsid w:val="00E6289D"/>
    <w:rsid w:val="00E63B17"/>
    <w:rsid w:val="00E654A1"/>
    <w:rsid w:val="00E65FE3"/>
    <w:rsid w:val="00E67E39"/>
    <w:rsid w:val="00E70403"/>
    <w:rsid w:val="00E71339"/>
    <w:rsid w:val="00E71BE3"/>
    <w:rsid w:val="00E721D0"/>
    <w:rsid w:val="00E735CB"/>
    <w:rsid w:val="00E7379F"/>
    <w:rsid w:val="00E73D62"/>
    <w:rsid w:val="00E73ED0"/>
    <w:rsid w:val="00E74896"/>
    <w:rsid w:val="00E74A51"/>
    <w:rsid w:val="00E74F12"/>
    <w:rsid w:val="00E76280"/>
    <w:rsid w:val="00E766B9"/>
    <w:rsid w:val="00E80365"/>
    <w:rsid w:val="00E80F57"/>
    <w:rsid w:val="00E80F9B"/>
    <w:rsid w:val="00E8104B"/>
    <w:rsid w:val="00E813BF"/>
    <w:rsid w:val="00E81839"/>
    <w:rsid w:val="00E82185"/>
    <w:rsid w:val="00E82417"/>
    <w:rsid w:val="00E837CC"/>
    <w:rsid w:val="00E83E40"/>
    <w:rsid w:val="00E84C8A"/>
    <w:rsid w:val="00E84FA2"/>
    <w:rsid w:val="00E85268"/>
    <w:rsid w:val="00E854A5"/>
    <w:rsid w:val="00E85848"/>
    <w:rsid w:val="00E86B31"/>
    <w:rsid w:val="00E874C1"/>
    <w:rsid w:val="00E87C7E"/>
    <w:rsid w:val="00E9106A"/>
    <w:rsid w:val="00E91623"/>
    <w:rsid w:val="00E92472"/>
    <w:rsid w:val="00E925EA"/>
    <w:rsid w:val="00E93443"/>
    <w:rsid w:val="00E93C36"/>
    <w:rsid w:val="00E94D83"/>
    <w:rsid w:val="00E95C34"/>
    <w:rsid w:val="00E96213"/>
    <w:rsid w:val="00E9650A"/>
    <w:rsid w:val="00E9696C"/>
    <w:rsid w:val="00E974E5"/>
    <w:rsid w:val="00E97586"/>
    <w:rsid w:val="00EA12EA"/>
    <w:rsid w:val="00EA21A3"/>
    <w:rsid w:val="00EA3AB9"/>
    <w:rsid w:val="00EA4FE4"/>
    <w:rsid w:val="00EA59E3"/>
    <w:rsid w:val="00EA62AE"/>
    <w:rsid w:val="00EA6B3C"/>
    <w:rsid w:val="00EB084F"/>
    <w:rsid w:val="00EB2F95"/>
    <w:rsid w:val="00EB32B8"/>
    <w:rsid w:val="00EB34DD"/>
    <w:rsid w:val="00EB4029"/>
    <w:rsid w:val="00EB4FBA"/>
    <w:rsid w:val="00EB6D62"/>
    <w:rsid w:val="00EB6DE6"/>
    <w:rsid w:val="00EB7361"/>
    <w:rsid w:val="00EB7499"/>
    <w:rsid w:val="00EC0462"/>
    <w:rsid w:val="00EC04D0"/>
    <w:rsid w:val="00EC0764"/>
    <w:rsid w:val="00EC0839"/>
    <w:rsid w:val="00EC098D"/>
    <w:rsid w:val="00EC1312"/>
    <w:rsid w:val="00EC1C8D"/>
    <w:rsid w:val="00EC1F5F"/>
    <w:rsid w:val="00EC28AB"/>
    <w:rsid w:val="00EC2922"/>
    <w:rsid w:val="00EC41D7"/>
    <w:rsid w:val="00EC5BA1"/>
    <w:rsid w:val="00EC5F25"/>
    <w:rsid w:val="00EC6296"/>
    <w:rsid w:val="00EC6E1B"/>
    <w:rsid w:val="00EC7C6C"/>
    <w:rsid w:val="00ED0B1B"/>
    <w:rsid w:val="00ED19A0"/>
    <w:rsid w:val="00ED1DF6"/>
    <w:rsid w:val="00ED289A"/>
    <w:rsid w:val="00ED2E71"/>
    <w:rsid w:val="00ED386B"/>
    <w:rsid w:val="00ED3A31"/>
    <w:rsid w:val="00ED499A"/>
    <w:rsid w:val="00ED50CE"/>
    <w:rsid w:val="00ED5B62"/>
    <w:rsid w:val="00ED6F6A"/>
    <w:rsid w:val="00EE0867"/>
    <w:rsid w:val="00EE0A60"/>
    <w:rsid w:val="00EE1285"/>
    <w:rsid w:val="00EE2411"/>
    <w:rsid w:val="00EE36ED"/>
    <w:rsid w:val="00EE3ED4"/>
    <w:rsid w:val="00EE42E8"/>
    <w:rsid w:val="00EE5987"/>
    <w:rsid w:val="00EE6C51"/>
    <w:rsid w:val="00EE7234"/>
    <w:rsid w:val="00EF032A"/>
    <w:rsid w:val="00EF3E1E"/>
    <w:rsid w:val="00EF40CB"/>
    <w:rsid w:val="00EF433F"/>
    <w:rsid w:val="00EF520D"/>
    <w:rsid w:val="00EF5C08"/>
    <w:rsid w:val="00EF5C1E"/>
    <w:rsid w:val="00EF5D3D"/>
    <w:rsid w:val="00EF6014"/>
    <w:rsid w:val="00F023FF"/>
    <w:rsid w:val="00F04F59"/>
    <w:rsid w:val="00F05C63"/>
    <w:rsid w:val="00F061AE"/>
    <w:rsid w:val="00F07672"/>
    <w:rsid w:val="00F079C6"/>
    <w:rsid w:val="00F079F3"/>
    <w:rsid w:val="00F103A4"/>
    <w:rsid w:val="00F108E4"/>
    <w:rsid w:val="00F10A3C"/>
    <w:rsid w:val="00F10B95"/>
    <w:rsid w:val="00F10C20"/>
    <w:rsid w:val="00F10DB1"/>
    <w:rsid w:val="00F11983"/>
    <w:rsid w:val="00F12584"/>
    <w:rsid w:val="00F127D3"/>
    <w:rsid w:val="00F13367"/>
    <w:rsid w:val="00F13B3E"/>
    <w:rsid w:val="00F14105"/>
    <w:rsid w:val="00F2056C"/>
    <w:rsid w:val="00F2139B"/>
    <w:rsid w:val="00F23CB3"/>
    <w:rsid w:val="00F24187"/>
    <w:rsid w:val="00F26475"/>
    <w:rsid w:val="00F26E21"/>
    <w:rsid w:val="00F27D96"/>
    <w:rsid w:val="00F27F1A"/>
    <w:rsid w:val="00F311A8"/>
    <w:rsid w:val="00F31983"/>
    <w:rsid w:val="00F31EEC"/>
    <w:rsid w:val="00F329AE"/>
    <w:rsid w:val="00F329ED"/>
    <w:rsid w:val="00F32BB3"/>
    <w:rsid w:val="00F3352C"/>
    <w:rsid w:val="00F33F54"/>
    <w:rsid w:val="00F33FBC"/>
    <w:rsid w:val="00F34331"/>
    <w:rsid w:val="00F344A1"/>
    <w:rsid w:val="00F36011"/>
    <w:rsid w:val="00F36D95"/>
    <w:rsid w:val="00F375D9"/>
    <w:rsid w:val="00F40C38"/>
    <w:rsid w:val="00F42C62"/>
    <w:rsid w:val="00F43890"/>
    <w:rsid w:val="00F4556C"/>
    <w:rsid w:val="00F46533"/>
    <w:rsid w:val="00F472D2"/>
    <w:rsid w:val="00F479F4"/>
    <w:rsid w:val="00F47FE5"/>
    <w:rsid w:val="00F51396"/>
    <w:rsid w:val="00F516AA"/>
    <w:rsid w:val="00F518B2"/>
    <w:rsid w:val="00F51D23"/>
    <w:rsid w:val="00F530F2"/>
    <w:rsid w:val="00F54A8B"/>
    <w:rsid w:val="00F55095"/>
    <w:rsid w:val="00F55F77"/>
    <w:rsid w:val="00F566D8"/>
    <w:rsid w:val="00F57B82"/>
    <w:rsid w:val="00F57D3A"/>
    <w:rsid w:val="00F6019F"/>
    <w:rsid w:val="00F61BB5"/>
    <w:rsid w:val="00F62D77"/>
    <w:rsid w:val="00F653D3"/>
    <w:rsid w:val="00F66BA9"/>
    <w:rsid w:val="00F72785"/>
    <w:rsid w:val="00F729E0"/>
    <w:rsid w:val="00F72AB9"/>
    <w:rsid w:val="00F72C38"/>
    <w:rsid w:val="00F72D4A"/>
    <w:rsid w:val="00F73224"/>
    <w:rsid w:val="00F73332"/>
    <w:rsid w:val="00F75183"/>
    <w:rsid w:val="00F76A63"/>
    <w:rsid w:val="00F8000D"/>
    <w:rsid w:val="00F8112E"/>
    <w:rsid w:val="00F81749"/>
    <w:rsid w:val="00F81C30"/>
    <w:rsid w:val="00F820C5"/>
    <w:rsid w:val="00F8462C"/>
    <w:rsid w:val="00F8580A"/>
    <w:rsid w:val="00F85E09"/>
    <w:rsid w:val="00F8621D"/>
    <w:rsid w:val="00F86664"/>
    <w:rsid w:val="00F86D11"/>
    <w:rsid w:val="00F8761D"/>
    <w:rsid w:val="00F90969"/>
    <w:rsid w:val="00F91F00"/>
    <w:rsid w:val="00F927BA"/>
    <w:rsid w:val="00F929FD"/>
    <w:rsid w:val="00F92BB8"/>
    <w:rsid w:val="00F934BD"/>
    <w:rsid w:val="00F9401D"/>
    <w:rsid w:val="00F943FA"/>
    <w:rsid w:val="00F97FD7"/>
    <w:rsid w:val="00FA002D"/>
    <w:rsid w:val="00FA0C8B"/>
    <w:rsid w:val="00FA11C8"/>
    <w:rsid w:val="00FA1EA4"/>
    <w:rsid w:val="00FA217F"/>
    <w:rsid w:val="00FA226A"/>
    <w:rsid w:val="00FA2610"/>
    <w:rsid w:val="00FA2B5D"/>
    <w:rsid w:val="00FA3522"/>
    <w:rsid w:val="00FA37B4"/>
    <w:rsid w:val="00FA443D"/>
    <w:rsid w:val="00FA4E92"/>
    <w:rsid w:val="00FA52F4"/>
    <w:rsid w:val="00FA532E"/>
    <w:rsid w:val="00FA5484"/>
    <w:rsid w:val="00FA61F6"/>
    <w:rsid w:val="00FA66E1"/>
    <w:rsid w:val="00FA68D8"/>
    <w:rsid w:val="00FA733C"/>
    <w:rsid w:val="00FA77BE"/>
    <w:rsid w:val="00FB0916"/>
    <w:rsid w:val="00FB12F5"/>
    <w:rsid w:val="00FB268D"/>
    <w:rsid w:val="00FB3944"/>
    <w:rsid w:val="00FB43F3"/>
    <w:rsid w:val="00FB5384"/>
    <w:rsid w:val="00FB7386"/>
    <w:rsid w:val="00FC07A6"/>
    <w:rsid w:val="00FC0CA8"/>
    <w:rsid w:val="00FC1AF1"/>
    <w:rsid w:val="00FC211A"/>
    <w:rsid w:val="00FC23BA"/>
    <w:rsid w:val="00FC24A3"/>
    <w:rsid w:val="00FC2943"/>
    <w:rsid w:val="00FC2B5F"/>
    <w:rsid w:val="00FC2BE9"/>
    <w:rsid w:val="00FC34CA"/>
    <w:rsid w:val="00FC3667"/>
    <w:rsid w:val="00FC3B2F"/>
    <w:rsid w:val="00FC6AB4"/>
    <w:rsid w:val="00FC6D96"/>
    <w:rsid w:val="00FD000A"/>
    <w:rsid w:val="00FD03F5"/>
    <w:rsid w:val="00FD113C"/>
    <w:rsid w:val="00FD2182"/>
    <w:rsid w:val="00FD22B8"/>
    <w:rsid w:val="00FD2D8F"/>
    <w:rsid w:val="00FD36FB"/>
    <w:rsid w:val="00FD4317"/>
    <w:rsid w:val="00FD57CB"/>
    <w:rsid w:val="00FD602D"/>
    <w:rsid w:val="00FE00AB"/>
    <w:rsid w:val="00FE00DE"/>
    <w:rsid w:val="00FE014C"/>
    <w:rsid w:val="00FE0215"/>
    <w:rsid w:val="00FE0C0C"/>
    <w:rsid w:val="00FE1B78"/>
    <w:rsid w:val="00FE20FD"/>
    <w:rsid w:val="00FE26AA"/>
    <w:rsid w:val="00FE2E40"/>
    <w:rsid w:val="00FE3578"/>
    <w:rsid w:val="00FE37AA"/>
    <w:rsid w:val="00FE4195"/>
    <w:rsid w:val="00FE5138"/>
    <w:rsid w:val="00FE5158"/>
    <w:rsid w:val="00FE5A84"/>
    <w:rsid w:val="00FE7376"/>
    <w:rsid w:val="00FE7943"/>
    <w:rsid w:val="00FE795A"/>
    <w:rsid w:val="00FE7FAA"/>
    <w:rsid w:val="00FF1BC7"/>
    <w:rsid w:val="00FF20CA"/>
    <w:rsid w:val="00FF20F9"/>
    <w:rsid w:val="00FF283C"/>
    <w:rsid w:val="00FF3176"/>
    <w:rsid w:val="00FF31AD"/>
    <w:rsid w:val="00FF38DC"/>
    <w:rsid w:val="00FF39C6"/>
    <w:rsid w:val="00FF43C5"/>
    <w:rsid w:val="00FF5B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6FC637B"/>
  <w15:chartTrackingRefBased/>
  <w15:docId w15:val="{1A8C87FC-B3B3-43EA-A49C-316FEC07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0" w:unhideWhenUsed="1"/>
    <w:lsdException w:name="heading 7" w:semiHidden="1" w:uiPriority="9"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4"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097B"/>
    <w:rPr>
      <w:rFonts w:asciiTheme="minorHAnsi" w:eastAsiaTheme="minorHAnsi" w:hAnsiTheme="minorHAnsi"/>
    </w:rPr>
  </w:style>
  <w:style w:type="paragraph" w:styleId="Nadpis1">
    <w:name w:val="heading 1"/>
    <w:basedOn w:val="Text"/>
    <w:next w:val="TextKP"/>
    <w:link w:val="Nadpis1Char"/>
    <w:uiPriority w:val="9"/>
    <w:qFormat/>
    <w:rsid w:val="00B41CAC"/>
    <w:pPr>
      <w:widowControl w:val="0"/>
      <w:numPr>
        <w:numId w:val="15"/>
      </w:numPr>
      <w:spacing w:after="120"/>
      <w:jc w:val="left"/>
      <w:outlineLvl w:val="0"/>
    </w:pPr>
    <w:rPr>
      <w:b/>
    </w:rPr>
  </w:style>
  <w:style w:type="paragraph" w:styleId="Nadpis2">
    <w:name w:val="heading 2"/>
    <w:basedOn w:val="Text"/>
    <w:next w:val="TextKP"/>
    <w:link w:val="Nadpis2Char"/>
    <w:uiPriority w:val="9"/>
    <w:qFormat/>
    <w:rsid w:val="00156E04"/>
    <w:pPr>
      <w:widowControl w:val="0"/>
      <w:numPr>
        <w:ilvl w:val="1"/>
        <w:numId w:val="15"/>
      </w:numPr>
      <w:spacing w:after="120"/>
      <w:outlineLvl w:val="1"/>
    </w:pPr>
    <w:rPr>
      <w:rFonts w:eastAsiaTheme="majorEastAsia" w:cstheme="majorBidi"/>
      <w:b/>
      <w:szCs w:val="26"/>
    </w:rPr>
  </w:style>
  <w:style w:type="paragraph" w:styleId="Nadpis3">
    <w:name w:val="heading 3"/>
    <w:basedOn w:val="Text"/>
    <w:next w:val="TextKP"/>
    <w:link w:val="Nadpis3Char"/>
    <w:autoRedefine/>
    <w:uiPriority w:val="9"/>
    <w:qFormat/>
    <w:rsid w:val="00064C07"/>
    <w:pPr>
      <w:widowControl w:val="0"/>
      <w:numPr>
        <w:ilvl w:val="2"/>
        <w:numId w:val="15"/>
      </w:numPr>
      <w:spacing w:after="120"/>
      <w:outlineLvl w:val="2"/>
    </w:pPr>
    <w:rPr>
      <w:rFonts w:eastAsiaTheme="majorEastAsia" w:cstheme="majorBidi"/>
      <w:b/>
    </w:rPr>
  </w:style>
  <w:style w:type="paragraph" w:styleId="Nadpis4">
    <w:name w:val="heading 4"/>
    <w:basedOn w:val="Text"/>
    <w:next w:val="TextKP"/>
    <w:link w:val="Nadpis4Char"/>
    <w:autoRedefine/>
    <w:uiPriority w:val="9"/>
    <w:qFormat/>
    <w:rsid w:val="008557F1"/>
    <w:pPr>
      <w:widowControl w:val="0"/>
      <w:numPr>
        <w:ilvl w:val="3"/>
        <w:numId w:val="15"/>
      </w:numPr>
      <w:spacing w:after="120"/>
      <w:outlineLvl w:val="3"/>
    </w:pPr>
    <w:rPr>
      <w:rFonts w:eastAsiaTheme="majorEastAsia" w:cstheme="majorBidi"/>
      <w:b/>
      <w:bCs/>
      <w:iCs/>
    </w:rPr>
  </w:style>
  <w:style w:type="paragraph" w:styleId="Nadpis5">
    <w:name w:val="heading 5"/>
    <w:basedOn w:val="Normln"/>
    <w:next w:val="Normln"/>
    <w:link w:val="Nadpis5Char"/>
    <w:uiPriority w:val="9"/>
    <w:unhideWhenUsed/>
    <w:rsid w:val="008477AF"/>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rsid w:val="00F079C6"/>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rsid w:val="00F079C6"/>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rsid w:val="00F079C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F079C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unhideWhenUsed/>
    <w:qFormat/>
    <w:rsid w:val="008477AF"/>
    <w:pPr>
      <w:spacing w:before="120"/>
      <w:jc w:val="both"/>
    </w:pPr>
    <w:rPr>
      <w:rFonts w:cstheme="minorHAnsi"/>
    </w:rPr>
  </w:style>
  <w:style w:type="character" w:customStyle="1" w:styleId="TextChar">
    <w:name w:val="Text Char"/>
    <w:basedOn w:val="Standardnpsmoodstavce"/>
    <w:link w:val="Text"/>
    <w:rsid w:val="008477AF"/>
    <w:rPr>
      <w:rFonts w:asciiTheme="minorHAnsi" w:hAnsiTheme="minorHAnsi" w:cstheme="minorHAnsi"/>
    </w:rPr>
  </w:style>
  <w:style w:type="paragraph" w:customStyle="1" w:styleId="TextKP">
    <w:name w:val="Text KP"/>
    <w:basedOn w:val="Normln"/>
    <w:link w:val="TextKPChar"/>
    <w:qFormat/>
    <w:rsid w:val="00D5757D"/>
    <w:pPr>
      <w:spacing w:before="120"/>
      <w:jc w:val="both"/>
    </w:pPr>
    <w:rPr>
      <w:rFonts w:cstheme="minorHAnsi"/>
    </w:rPr>
  </w:style>
  <w:style w:type="character" w:customStyle="1" w:styleId="TextKPChar">
    <w:name w:val="Text KP Char"/>
    <w:basedOn w:val="Standardnpsmoodstavce"/>
    <w:link w:val="TextKP"/>
    <w:rsid w:val="00D5757D"/>
    <w:rPr>
      <w:rFonts w:asciiTheme="minorHAnsi" w:eastAsiaTheme="minorHAnsi" w:hAnsiTheme="minorHAnsi" w:cstheme="minorHAnsi"/>
    </w:rPr>
  </w:style>
  <w:style w:type="character" w:customStyle="1" w:styleId="Nadpis1Char">
    <w:name w:val="Nadpis 1 Char"/>
    <w:basedOn w:val="Standardnpsmoodstavce"/>
    <w:link w:val="Nadpis1"/>
    <w:uiPriority w:val="9"/>
    <w:rsid w:val="005B6FF1"/>
    <w:rPr>
      <w:rFonts w:asciiTheme="minorHAnsi" w:eastAsiaTheme="minorHAnsi" w:hAnsiTheme="minorHAnsi" w:cstheme="minorHAnsi"/>
      <w:b/>
    </w:rPr>
  </w:style>
  <w:style w:type="character" w:customStyle="1" w:styleId="Nadpis2Char">
    <w:name w:val="Nadpis 2 Char"/>
    <w:basedOn w:val="Standardnpsmoodstavce"/>
    <w:link w:val="Nadpis2"/>
    <w:uiPriority w:val="9"/>
    <w:rsid w:val="00EB6DE6"/>
    <w:rPr>
      <w:rFonts w:asciiTheme="minorHAnsi" w:eastAsiaTheme="majorEastAsia" w:hAnsiTheme="minorHAnsi" w:cstheme="majorBidi"/>
      <w:b/>
      <w:szCs w:val="26"/>
    </w:rPr>
  </w:style>
  <w:style w:type="character" w:customStyle="1" w:styleId="Nadpis3Char">
    <w:name w:val="Nadpis 3 Char"/>
    <w:basedOn w:val="Standardnpsmoodstavce"/>
    <w:link w:val="Nadpis3"/>
    <w:uiPriority w:val="9"/>
    <w:rsid w:val="00064C07"/>
    <w:rPr>
      <w:rFonts w:asciiTheme="minorHAnsi" w:eastAsiaTheme="majorEastAsia" w:hAnsiTheme="minorHAnsi" w:cstheme="majorBidi"/>
      <w:b/>
    </w:rPr>
  </w:style>
  <w:style w:type="character" w:customStyle="1" w:styleId="Nadpis4Char">
    <w:name w:val="Nadpis 4 Char"/>
    <w:basedOn w:val="Standardnpsmoodstavce"/>
    <w:link w:val="Nadpis4"/>
    <w:uiPriority w:val="99"/>
    <w:rsid w:val="008557F1"/>
    <w:rPr>
      <w:rFonts w:asciiTheme="minorHAnsi" w:eastAsiaTheme="majorEastAsia" w:hAnsiTheme="minorHAnsi" w:cstheme="majorBidi"/>
      <w:b/>
      <w:bCs/>
      <w:iCs/>
    </w:rPr>
  </w:style>
  <w:style w:type="character" w:customStyle="1" w:styleId="Nadpis5Char">
    <w:name w:val="Nadpis 5 Char"/>
    <w:basedOn w:val="Standardnpsmoodstavce"/>
    <w:link w:val="Nadpis5"/>
    <w:uiPriority w:val="9"/>
    <w:rsid w:val="008477A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rsid w:val="00F079C6"/>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sid w:val="00F079C6"/>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rsid w:val="00F079C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079C6"/>
    <w:rPr>
      <w:rFonts w:asciiTheme="majorHAnsi" w:eastAsiaTheme="majorEastAsia" w:hAnsiTheme="majorHAnsi" w:cstheme="majorBidi"/>
      <w:i/>
      <w:iCs/>
      <w:color w:val="272727" w:themeColor="text1" w:themeTint="D8"/>
      <w:sz w:val="21"/>
      <w:szCs w:val="21"/>
    </w:rPr>
  </w:style>
  <w:style w:type="paragraph" w:customStyle="1" w:styleId="Textnormln">
    <w:name w:val="Text normální"/>
    <w:basedOn w:val="Normln"/>
    <w:link w:val="TextnormlnChar"/>
    <w:unhideWhenUsed/>
    <w:rsid w:val="008477AF"/>
  </w:style>
  <w:style w:type="character" w:customStyle="1" w:styleId="TextnormlnChar">
    <w:name w:val="Text normální Char"/>
    <w:basedOn w:val="Standardnpsmoodstavce"/>
    <w:link w:val="Textnormln"/>
    <w:rsid w:val="008477AF"/>
    <w:rPr>
      <w:rFonts w:asciiTheme="minorHAnsi" w:hAnsiTheme="minorHAnsi"/>
    </w:rPr>
  </w:style>
  <w:style w:type="paragraph" w:customStyle="1" w:styleId="Zdrojeapozn">
    <w:name w:val="Zdroje a pozn."/>
    <w:basedOn w:val="Normln"/>
    <w:next w:val="Normln"/>
    <w:link w:val="ZdrojeapoznChar"/>
    <w:autoRedefine/>
    <w:qFormat/>
    <w:rsid w:val="00955553"/>
    <w:pPr>
      <w:spacing w:before="40"/>
      <w:ind w:left="284" w:hanging="284"/>
      <w:jc w:val="both"/>
    </w:pPr>
    <w:rPr>
      <w:b/>
      <w:sz w:val="20"/>
    </w:rPr>
  </w:style>
  <w:style w:type="character" w:customStyle="1" w:styleId="ZdrojeapoznChar">
    <w:name w:val="Zdroje a pozn. Char"/>
    <w:basedOn w:val="Standardnpsmoodstavce"/>
    <w:link w:val="Zdrojeapozn"/>
    <w:rsid w:val="00955553"/>
    <w:rPr>
      <w:rFonts w:asciiTheme="minorHAnsi" w:eastAsiaTheme="minorHAnsi" w:hAnsiTheme="minorHAnsi"/>
      <w:b/>
      <w:sz w:val="20"/>
    </w:rPr>
  </w:style>
  <w:style w:type="paragraph" w:styleId="Citt">
    <w:name w:val="Quote"/>
    <w:basedOn w:val="Normln"/>
    <w:next w:val="Normln"/>
    <w:link w:val="CittChar"/>
    <w:uiPriority w:val="29"/>
    <w:unhideWhenUsed/>
    <w:rsid w:val="008477AF"/>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8477AF"/>
    <w:rPr>
      <w:rFonts w:asciiTheme="minorHAnsi" w:hAnsiTheme="minorHAnsi"/>
      <w:i/>
      <w:iCs/>
      <w:color w:val="404040" w:themeColor="text1" w:themeTint="BF"/>
    </w:rPr>
  </w:style>
  <w:style w:type="paragraph" w:styleId="Bezmezer">
    <w:name w:val="No Spacing"/>
    <w:link w:val="BezmezerChar"/>
    <w:uiPriority w:val="1"/>
    <w:unhideWhenUsed/>
    <w:qFormat/>
    <w:rsid w:val="008477AF"/>
    <w:pPr>
      <w:jc w:val="both"/>
    </w:pPr>
  </w:style>
  <w:style w:type="character" w:customStyle="1" w:styleId="BezmezerChar">
    <w:name w:val="Bez mezer Char"/>
    <w:basedOn w:val="ZhlavChar"/>
    <w:link w:val="Bezmezer"/>
    <w:uiPriority w:val="1"/>
    <w:rsid w:val="00BE15FE"/>
    <w:rPr>
      <w:rFonts w:asciiTheme="minorHAnsi" w:hAnsiTheme="minorHAnsi"/>
    </w:rPr>
  </w:style>
  <w:style w:type="character" w:customStyle="1" w:styleId="ZhlavChar">
    <w:name w:val="Záhlaví Char"/>
    <w:basedOn w:val="Standardnpsmoodstavce"/>
    <w:link w:val="Zhlav"/>
    <w:uiPriority w:val="99"/>
    <w:rsid w:val="008477AF"/>
    <w:rPr>
      <w:rFonts w:asciiTheme="minorHAnsi" w:hAnsiTheme="minorHAnsi"/>
    </w:rPr>
  </w:style>
  <w:style w:type="paragraph" w:styleId="Zhlav">
    <w:name w:val="header"/>
    <w:basedOn w:val="Normln"/>
    <w:link w:val="ZhlavChar"/>
    <w:uiPriority w:val="99"/>
    <w:unhideWhenUsed/>
    <w:rsid w:val="008477AF"/>
    <w:pPr>
      <w:tabs>
        <w:tab w:val="center" w:pos="4536"/>
        <w:tab w:val="right" w:pos="9072"/>
      </w:tabs>
    </w:pPr>
  </w:style>
  <w:style w:type="paragraph" w:styleId="Nzev">
    <w:name w:val="Title"/>
    <w:aliases w:val="Pod čarou"/>
    <w:basedOn w:val="Normln"/>
    <w:next w:val="Normln"/>
    <w:link w:val="NzevChar"/>
    <w:uiPriority w:val="10"/>
    <w:unhideWhenUsed/>
    <w:qFormat/>
    <w:rsid w:val="008477AF"/>
    <w:pPr>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Pod čarou Char"/>
    <w:basedOn w:val="Standardnpsmoodstavce"/>
    <w:link w:val="Nzev"/>
    <w:uiPriority w:val="10"/>
    <w:rsid w:val="008477AF"/>
    <w:rPr>
      <w:rFonts w:asciiTheme="majorHAnsi" w:eastAsiaTheme="majorEastAsia" w:hAnsiTheme="majorHAnsi" w:cstheme="majorBidi"/>
      <w:spacing w:val="-10"/>
      <w:kern w:val="28"/>
      <w:sz w:val="56"/>
      <w:szCs w:val="56"/>
    </w:rPr>
  </w:style>
  <w:style w:type="paragraph" w:styleId="Podnadpis">
    <w:name w:val="Subtitle"/>
    <w:aliases w:val="nadpis 3"/>
    <w:basedOn w:val="Normln"/>
    <w:next w:val="Normln"/>
    <w:link w:val="PodnadpisChar"/>
    <w:uiPriority w:val="11"/>
    <w:unhideWhenUsed/>
    <w:rsid w:val="00064C07"/>
    <w:pPr>
      <w:spacing w:before="120" w:after="120"/>
      <w:outlineLvl w:val="2"/>
    </w:pPr>
    <w:rPr>
      <w:rFonts w:ascii="Calibri" w:eastAsiaTheme="minorEastAsia" w:hAnsi="Calibri"/>
      <w:b/>
      <w:szCs w:val="22"/>
    </w:rPr>
  </w:style>
  <w:style w:type="character" w:customStyle="1" w:styleId="PodnadpisChar">
    <w:name w:val="Podnadpis Char"/>
    <w:aliases w:val="nadpis 3 Char"/>
    <w:basedOn w:val="Standardnpsmoodstavce"/>
    <w:link w:val="Podnadpis"/>
    <w:uiPriority w:val="11"/>
    <w:rsid w:val="00064C07"/>
    <w:rPr>
      <w:rFonts w:eastAsiaTheme="minorEastAsia"/>
      <w:b/>
      <w:szCs w:val="22"/>
    </w:rPr>
  </w:style>
  <w:style w:type="character" w:styleId="Zdraznnjemn">
    <w:name w:val="Subtle Emphasis"/>
    <w:basedOn w:val="Standardnpsmoodstavce"/>
    <w:uiPriority w:val="19"/>
    <w:unhideWhenUsed/>
    <w:rsid w:val="008477AF"/>
    <w:rPr>
      <w:i/>
      <w:iCs/>
      <w:color w:val="404040" w:themeColor="text1" w:themeTint="BF"/>
    </w:rPr>
  </w:style>
  <w:style w:type="character" w:styleId="Zdraznn">
    <w:name w:val="Emphasis"/>
    <w:basedOn w:val="Standardnpsmoodstavce"/>
    <w:uiPriority w:val="20"/>
    <w:unhideWhenUsed/>
    <w:rsid w:val="008477AF"/>
    <w:rPr>
      <w:i/>
      <w:iCs/>
    </w:rPr>
  </w:style>
  <w:style w:type="character" w:styleId="Zdraznnintenzivn">
    <w:name w:val="Intense Emphasis"/>
    <w:basedOn w:val="Standardnpsmoodstavce"/>
    <w:uiPriority w:val="21"/>
    <w:unhideWhenUsed/>
    <w:rsid w:val="008477AF"/>
    <w:rPr>
      <w:i/>
      <w:iCs/>
      <w:color w:val="5B9BD5" w:themeColor="accent1"/>
    </w:rPr>
  </w:style>
  <w:style w:type="character" w:styleId="Siln">
    <w:name w:val="Strong"/>
    <w:basedOn w:val="Standardnpsmoodstavce"/>
    <w:uiPriority w:val="22"/>
    <w:unhideWhenUsed/>
    <w:rsid w:val="008477AF"/>
    <w:rPr>
      <w:b/>
      <w:bCs/>
    </w:rPr>
  </w:style>
  <w:style w:type="paragraph" w:styleId="Vrazncitt">
    <w:name w:val="Intense Quote"/>
    <w:basedOn w:val="Normln"/>
    <w:next w:val="Normln"/>
    <w:link w:val="VrazncittChar"/>
    <w:uiPriority w:val="30"/>
    <w:unhideWhenUsed/>
    <w:rsid w:val="008477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8477AF"/>
    <w:rPr>
      <w:rFonts w:asciiTheme="minorHAnsi" w:hAnsiTheme="minorHAnsi"/>
      <w:i/>
      <w:iCs/>
      <w:color w:val="5B9BD5" w:themeColor="accent1"/>
    </w:rPr>
  </w:style>
  <w:style w:type="character" w:styleId="Odkazjemn">
    <w:name w:val="Subtle Reference"/>
    <w:basedOn w:val="Standardnpsmoodstavce"/>
    <w:uiPriority w:val="31"/>
    <w:unhideWhenUsed/>
    <w:rsid w:val="008477AF"/>
    <w:rPr>
      <w:smallCaps/>
      <w:color w:val="5A5A5A" w:themeColor="text1" w:themeTint="A5"/>
    </w:rPr>
  </w:style>
  <w:style w:type="character" w:styleId="Odkazintenzivn">
    <w:name w:val="Intense Reference"/>
    <w:basedOn w:val="Standardnpsmoodstavce"/>
    <w:uiPriority w:val="32"/>
    <w:unhideWhenUsed/>
    <w:rsid w:val="008477AF"/>
    <w:rPr>
      <w:b/>
      <w:bCs/>
      <w:smallCaps/>
      <w:color w:val="5B9BD5" w:themeColor="accent1"/>
      <w:spacing w:val="5"/>
    </w:rPr>
  </w:style>
  <w:style w:type="character" w:styleId="Nzevknihy">
    <w:name w:val="Book Title"/>
    <w:basedOn w:val="Standardnpsmoodstavce"/>
    <w:uiPriority w:val="33"/>
    <w:unhideWhenUsed/>
    <w:rsid w:val="008477AF"/>
    <w:rPr>
      <w:b/>
      <w:bCs/>
      <w:i/>
      <w:iCs/>
      <w:spacing w:val="5"/>
    </w:rPr>
  </w:style>
  <w:style w:type="paragraph" w:styleId="Odstavecseseznamem">
    <w:name w:val="List Paragraph"/>
    <w:aliases w:val="A-Odrážky1,List Paragraph1,List Paragraph_0,List Paragraph_0_0,List Paragraph_0_0_0,List Paragraph_0_0_0_0,Nad,Nad1,Nad2,Nadpis pro KZ,Odstavec cíl se seznamem,Odstavec se seznamem1,Odstavec se seznamem2,Odstavec_muj,můj Nadpis 2"/>
    <w:basedOn w:val="Normln"/>
    <w:next w:val="TextKP"/>
    <w:link w:val="OdstavecseseznamemChar"/>
    <w:uiPriority w:val="34"/>
    <w:qFormat/>
    <w:rsid w:val="00E50BA7"/>
    <w:pPr>
      <w:tabs>
        <w:tab w:val="num" w:pos="720"/>
      </w:tabs>
      <w:spacing w:before="60"/>
      <w:ind w:left="709" w:hanging="425"/>
      <w:jc w:val="both"/>
    </w:pPr>
  </w:style>
  <w:style w:type="character" w:customStyle="1" w:styleId="OdstavecseseznamemChar">
    <w:name w:val="Odstavec se seznamem Char"/>
    <w:aliases w:val="A-Odrážky1 Char,List Paragraph1 Char,List Paragraph_0 Char,List Paragraph_0_0 Char,List Paragraph_0_0_0 Char,List Paragraph_0_0_0_0 Char,Nad Char,Nad1 Char,Nad2 Char,Nadpis pro KZ Char,Odstavec cíl se seznamem Char"/>
    <w:link w:val="Odstavecseseznamem"/>
    <w:uiPriority w:val="34"/>
    <w:qFormat/>
    <w:locked/>
    <w:rsid w:val="00E50BA7"/>
    <w:rPr>
      <w:rFonts w:asciiTheme="minorHAnsi" w:hAnsiTheme="minorHAnsi"/>
    </w:rPr>
  </w:style>
  <w:style w:type="paragraph" w:styleId="Titulek">
    <w:name w:val="caption"/>
    <w:aliases w:val="tabulky"/>
    <w:basedOn w:val="Normln"/>
    <w:next w:val="Normln"/>
    <w:link w:val="TitulekChar"/>
    <w:uiPriority w:val="35"/>
    <w:unhideWhenUsed/>
    <w:qFormat/>
    <w:rsid w:val="00632303"/>
    <w:pPr>
      <w:spacing w:before="120"/>
      <w:jc w:val="both"/>
    </w:pPr>
    <w:rPr>
      <w:iCs/>
      <w:szCs w:val="18"/>
    </w:rPr>
  </w:style>
  <w:style w:type="character" w:customStyle="1" w:styleId="TitulekChar">
    <w:name w:val="Titulek Char"/>
    <w:aliases w:val="tabulky Char"/>
    <w:link w:val="Titulek"/>
    <w:uiPriority w:val="35"/>
    <w:locked/>
    <w:rsid w:val="001E5E59"/>
    <w:rPr>
      <w:rFonts w:asciiTheme="minorHAnsi" w:eastAsiaTheme="minorHAnsi" w:hAnsiTheme="minorHAnsi"/>
      <w:iCs/>
      <w:szCs w:val="18"/>
    </w:rPr>
  </w:style>
  <w:style w:type="paragraph" w:styleId="Nadpisobsahu">
    <w:name w:val="TOC Heading"/>
    <w:basedOn w:val="Nadpis1"/>
    <w:next w:val="Normln"/>
    <w:uiPriority w:val="39"/>
    <w:unhideWhenUsed/>
    <w:rsid w:val="00F079C6"/>
    <w:pPr>
      <w:numPr>
        <w:numId w:val="0"/>
      </w:numPr>
      <w:spacing w:after="0"/>
      <w:outlineLvl w:val="9"/>
    </w:pPr>
    <w:rPr>
      <w:rFonts w:asciiTheme="majorHAnsi" w:eastAsiaTheme="majorEastAsia" w:hAnsiTheme="majorHAnsi" w:cstheme="majorBidi"/>
      <w:b w:val="0"/>
      <w:color w:val="2E74B5" w:themeColor="accent1" w:themeShade="BF"/>
      <w:sz w:val="32"/>
      <w:szCs w:val="32"/>
    </w:rPr>
  </w:style>
  <w:style w:type="paragraph" w:styleId="Textpoznpodarou">
    <w:name w:val="footnote text"/>
    <w:aliases w:val="Boston 10,Char,Char Char Char1,Char1,Font: Geneva 9,Footnote,Footnote Text Char1,Fußnotentextf,Geneva 9,Schriftart: 10 pt,Schriftart: 8 pt,Schriftart: 9 pt,Text pozn. pod čarou1,Text poznámky pod čiarou 007,f,o,pozn. pod čarou,fn"/>
    <w:basedOn w:val="Normln"/>
    <w:link w:val="TextpoznpodarouChar"/>
    <w:uiPriority w:val="99"/>
    <w:unhideWhenUsed/>
    <w:qFormat/>
    <w:rsid w:val="008477AF"/>
    <w:rPr>
      <w:sz w:val="20"/>
      <w:szCs w:val="20"/>
    </w:rPr>
  </w:style>
  <w:style w:type="character" w:customStyle="1" w:styleId="TextpoznpodarouChar">
    <w:name w:val="Text pozn. pod čarou Char"/>
    <w:aliases w:val="Boston 10 Char,Char Char,Char Char Char1 Char,Char1 Char,Font: Geneva 9 Char,Footnote Char,Footnote Text Char1 Char,Fußnotentextf Char,Geneva 9 Char,Schriftart: 10 pt Char,Schriftart: 8 pt Char,Schriftart: 9 pt Char,f Char"/>
    <w:basedOn w:val="Standardnpsmoodstavce"/>
    <w:link w:val="Textpoznpodarou"/>
    <w:uiPriority w:val="99"/>
    <w:rsid w:val="008477AF"/>
    <w:rPr>
      <w:rFonts w:eastAsia="Times New Roman" w:cs="Times New Roman"/>
      <w:sz w:val="20"/>
      <w:szCs w:val="20"/>
    </w:rPr>
  </w:style>
  <w:style w:type="paragraph" w:styleId="Zpat">
    <w:name w:val="footer"/>
    <w:basedOn w:val="Normln"/>
    <w:link w:val="ZpatChar"/>
    <w:unhideWhenUsed/>
    <w:rsid w:val="008477AF"/>
    <w:pPr>
      <w:tabs>
        <w:tab w:val="center" w:pos="4536"/>
        <w:tab w:val="right" w:pos="9072"/>
      </w:tabs>
    </w:pPr>
  </w:style>
  <w:style w:type="character" w:customStyle="1" w:styleId="ZpatChar">
    <w:name w:val="Zápatí Char"/>
    <w:basedOn w:val="Standardnpsmoodstavce"/>
    <w:link w:val="Zpat"/>
    <w:uiPriority w:val="99"/>
    <w:rsid w:val="008477AF"/>
    <w:rPr>
      <w:rFonts w:asciiTheme="minorHAnsi" w:hAnsiTheme="minorHAnsi"/>
    </w:rPr>
  </w:style>
  <w:style w:type="character" w:styleId="Znakapoznpodarou">
    <w:name w:val="footnote reference"/>
    <w:aliases w:val="12 b.,4_G,Appel note de bas de p,Appel note de bas de page,BVI fnr,Char Car Car Car Car,Footnote Reference Superscript,Footnote symbol,Légende,Légende.Char Car Car Car Car,PGI Fußnote Ziffer,Voetnootverwijzing,Zúžené o ..."/>
    <w:basedOn w:val="Standardnpsmoodstavce"/>
    <w:link w:val="BVIfnrCharChar"/>
    <w:uiPriority w:val="99"/>
    <w:unhideWhenUsed/>
    <w:rsid w:val="008477AF"/>
    <w:rPr>
      <w:vertAlign w:val="superscript"/>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D84788"/>
    <w:pPr>
      <w:spacing w:after="160" w:line="240" w:lineRule="exact"/>
      <w:jc w:val="both"/>
    </w:pPr>
    <w:rPr>
      <w:rFonts w:ascii="Calibri" w:eastAsia="Times New Roman" w:hAnsi="Calibri"/>
      <w:vertAlign w:val="superscript"/>
    </w:rPr>
  </w:style>
  <w:style w:type="paragraph" w:customStyle="1" w:styleId="TextPL">
    <w:name w:val="Text PL"/>
    <w:basedOn w:val="Normln"/>
    <w:link w:val="TextPLChar"/>
    <w:autoRedefine/>
    <w:rsid w:val="0050257C"/>
    <w:pPr>
      <w:spacing w:before="120"/>
      <w:jc w:val="both"/>
    </w:pPr>
    <w:rPr>
      <w:lang w:val="en-US"/>
    </w:rPr>
  </w:style>
  <w:style w:type="character" w:customStyle="1" w:styleId="TextPLChar">
    <w:name w:val="Text PL Char"/>
    <w:basedOn w:val="Standardnpsmoodstavce"/>
    <w:link w:val="TextPL"/>
    <w:rsid w:val="0050257C"/>
    <w:rPr>
      <w:lang w:val="en-US"/>
    </w:rPr>
  </w:style>
  <w:style w:type="table" w:styleId="Mkatabulky">
    <w:name w:val="Table Grid"/>
    <w:basedOn w:val="Normlntabulka"/>
    <w:uiPriority w:val="39"/>
    <w:rsid w:val="00CA2C1A"/>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CA2C1A"/>
    <w:rPr>
      <w:color w:val="000000"/>
      <w:sz w:val="28"/>
      <w:szCs w:val="28"/>
    </w:rPr>
  </w:style>
  <w:style w:type="character" w:customStyle="1" w:styleId="A4">
    <w:name w:val="A4"/>
    <w:uiPriority w:val="99"/>
    <w:rsid w:val="00CA2C1A"/>
    <w:rPr>
      <w:color w:val="000000"/>
      <w:sz w:val="60"/>
      <w:szCs w:val="60"/>
    </w:rPr>
  </w:style>
  <w:style w:type="table" w:customStyle="1" w:styleId="Mkatabulky11">
    <w:name w:val="Mřížka tabulky11"/>
    <w:basedOn w:val="Normlntabulka"/>
    <w:next w:val="Mkatabulky"/>
    <w:uiPriority w:val="39"/>
    <w:rsid w:val="00FA2B5D"/>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17028"/>
    <w:rPr>
      <w:color w:val="0563C1" w:themeColor="hyperlink"/>
      <w:u w:val="single"/>
    </w:rPr>
  </w:style>
  <w:style w:type="paragraph" w:customStyle="1" w:styleId="Zdroj">
    <w:name w:val="Zdroj"/>
    <w:basedOn w:val="TextPL"/>
    <w:link w:val="ZdrojChar"/>
    <w:rsid w:val="00317028"/>
    <w:pPr>
      <w:spacing w:before="0"/>
    </w:pPr>
    <w:rPr>
      <w:rFonts w:ascii="Calibri" w:eastAsia="Times New Roman" w:hAnsi="Calibri" w:cs="Times New Roman"/>
      <w:sz w:val="20"/>
      <w:szCs w:val="22"/>
    </w:rPr>
  </w:style>
  <w:style w:type="character" w:customStyle="1" w:styleId="ZdrojChar">
    <w:name w:val="Zdroj Char"/>
    <w:basedOn w:val="TextPLChar"/>
    <w:link w:val="Zdroj"/>
    <w:rsid w:val="00317028"/>
    <w:rPr>
      <w:rFonts w:cs="Times New Roman"/>
      <w:sz w:val="20"/>
      <w:szCs w:val="22"/>
      <w:lang w:val="en-US"/>
    </w:rPr>
  </w:style>
  <w:style w:type="paragraph" w:customStyle="1" w:styleId="Zdrojapozn">
    <w:name w:val="Zdroj a pozn."/>
    <w:basedOn w:val="Normln"/>
    <w:next w:val="Text"/>
    <w:link w:val="ZdrojapoznChar"/>
    <w:rsid w:val="00CB7C60"/>
    <w:pPr>
      <w:jc w:val="both"/>
    </w:pPr>
    <w:rPr>
      <w:rFonts w:ascii="Calibri" w:eastAsia="Times New Roman" w:hAnsi="Calibri" w:cs="Times New Roman"/>
      <w:sz w:val="20"/>
      <w:lang w:eastAsia="cs-CZ"/>
    </w:rPr>
  </w:style>
  <w:style w:type="character" w:customStyle="1" w:styleId="ZdrojapoznChar">
    <w:name w:val="Zdroj a pozn. Char"/>
    <w:basedOn w:val="Standardnpsmoodstavce"/>
    <w:link w:val="Zdrojapozn"/>
    <w:rsid w:val="00CB7C60"/>
    <w:rPr>
      <w:rFonts w:cs="Times New Roman"/>
      <w:sz w:val="20"/>
      <w:lang w:eastAsia="cs-CZ"/>
    </w:rPr>
  </w:style>
  <w:style w:type="character" w:customStyle="1" w:styleId="Nevyeenzmnka1">
    <w:name w:val="Nevyřešená zmínka1"/>
    <w:basedOn w:val="Standardnpsmoodstavce"/>
    <w:uiPriority w:val="99"/>
    <w:semiHidden/>
    <w:unhideWhenUsed/>
    <w:rsid w:val="00EA59E3"/>
    <w:rPr>
      <w:color w:val="605E5C"/>
      <w:shd w:val="clear" w:color="auto" w:fill="E1DFDD"/>
    </w:rPr>
  </w:style>
  <w:style w:type="character" w:styleId="Sledovanodkaz">
    <w:name w:val="FollowedHyperlink"/>
    <w:basedOn w:val="Standardnpsmoodstavce"/>
    <w:uiPriority w:val="99"/>
    <w:semiHidden/>
    <w:unhideWhenUsed/>
    <w:rsid w:val="00AD3FC8"/>
    <w:rPr>
      <w:color w:val="954F72" w:themeColor="followedHyperlink"/>
      <w:u w:val="single"/>
    </w:rPr>
  </w:style>
  <w:style w:type="paragraph" w:styleId="Textbubliny">
    <w:name w:val="Balloon Text"/>
    <w:basedOn w:val="Normln"/>
    <w:link w:val="TextbublinyChar"/>
    <w:uiPriority w:val="99"/>
    <w:semiHidden/>
    <w:unhideWhenUsed/>
    <w:rsid w:val="008F04B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04B1"/>
    <w:rPr>
      <w:rFonts w:ascii="Segoe UI" w:eastAsiaTheme="minorHAnsi" w:hAnsi="Segoe UI" w:cs="Segoe UI"/>
      <w:sz w:val="18"/>
      <w:szCs w:val="18"/>
    </w:rPr>
  </w:style>
  <w:style w:type="character" w:styleId="Nevyeenzmnka">
    <w:name w:val="Unresolved Mention"/>
    <w:basedOn w:val="Standardnpsmoodstavce"/>
    <w:uiPriority w:val="99"/>
    <w:rsid w:val="00403498"/>
    <w:rPr>
      <w:color w:val="605E5C"/>
      <w:shd w:val="clear" w:color="auto" w:fill="E1DFDD"/>
    </w:rPr>
  </w:style>
  <w:style w:type="character" w:styleId="Odkaznakoment">
    <w:name w:val="annotation reference"/>
    <w:basedOn w:val="Standardnpsmoodstavce"/>
    <w:uiPriority w:val="99"/>
    <w:unhideWhenUsed/>
    <w:rsid w:val="00451F64"/>
    <w:rPr>
      <w:sz w:val="16"/>
      <w:szCs w:val="16"/>
    </w:rPr>
  </w:style>
  <w:style w:type="paragraph" w:styleId="Textkomente">
    <w:name w:val="annotation text"/>
    <w:basedOn w:val="Normln"/>
    <w:link w:val="TextkomenteChar"/>
    <w:uiPriority w:val="99"/>
    <w:unhideWhenUsed/>
    <w:rsid w:val="00451F64"/>
    <w:rPr>
      <w:sz w:val="20"/>
      <w:szCs w:val="20"/>
    </w:rPr>
  </w:style>
  <w:style w:type="character" w:customStyle="1" w:styleId="TextkomenteChar">
    <w:name w:val="Text komentáře Char"/>
    <w:basedOn w:val="Standardnpsmoodstavce"/>
    <w:link w:val="Textkomente"/>
    <w:uiPriority w:val="99"/>
    <w:rsid w:val="00451F64"/>
    <w:rPr>
      <w:rFonts w:asciiTheme="minorHAnsi" w:eastAsiaTheme="minorHAnsi" w:hAnsiTheme="minorHAnsi"/>
      <w:sz w:val="20"/>
      <w:szCs w:val="20"/>
    </w:rPr>
  </w:style>
  <w:style w:type="paragraph" w:styleId="Pedmtkomente">
    <w:name w:val="annotation subject"/>
    <w:basedOn w:val="Textkomente"/>
    <w:next w:val="Textkomente"/>
    <w:link w:val="PedmtkomenteChar"/>
    <w:uiPriority w:val="99"/>
    <w:semiHidden/>
    <w:unhideWhenUsed/>
    <w:rsid w:val="00451F64"/>
    <w:rPr>
      <w:b/>
      <w:bCs/>
    </w:rPr>
  </w:style>
  <w:style w:type="character" w:customStyle="1" w:styleId="PedmtkomenteChar">
    <w:name w:val="Předmět komentáře Char"/>
    <w:basedOn w:val="TextkomenteChar"/>
    <w:link w:val="Pedmtkomente"/>
    <w:uiPriority w:val="99"/>
    <w:semiHidden/>
    <w:rsid w:val="00451F64"/>
    <w:rPr>
      <w:rFonts w:asciiTheme="minorHAnsi" w:eastAsiaTheme="minorHAnsi" w:hAnsiTheme="minorHAnsi"/>
      <w:b/>
      <w:bCs/>
      <w:sz w:val="20"/>
      <w:szCs w:val="20"/>
    </w:rPr>
  </w:style>
  <w:style w:type="paragraph" w:styleId="Revize">
    <w:name w:val="Revision"/>
    <w:hidden/>
    <w:uiPriority w:val="99"/>
    <w:semiHidden/>
    <w:rsid w:val="00866E65"/>
    <w:rPr>
      <w:rFonts w:asciiTheme="minorHAnsi" w:eastAsiaTheme="minorHAnsi" w:hAnsiTheme="minorHAnsi"/>
    </w:rPr>
  </w:style>
  <w:style w:type="paragraph" w:styleId="Textvysvtlivek">
    <w:name w:val="endnote text"/>
    <w:basedOn w:val="Normln"/>
    <w:link w:val="TextvysvtlivekChar"/>
    <w:uiPriority w:val="99"/>
    <w:semiHidden/>
    <w:unhideWhenUsed/>
    <w:rsid w:val="004526DF"/>
    <w:rPr>
      <w:sz w:val="20"/>
      <w:szCs w:val="20"/>
    </w:rPr>
  </w:style>
  <w:style w:type="character" w:customStyle="1" w:styleId="TextvysvtlivekChar">
    <w:name w:val="Text vysvětlivek Char"/>
    <w:basedOn w:val="Standardnpsmoodstavce"/>
    <w:link w:val="Textvysvtlivek"/>
    <w:uiPriority w:val="99"/>
    <w:semiHidden/>
    <w:rsid w:val="004526DF"/>
    <w:rPr>
      <w:rFonts w:asciiTheme="minorHAnsi" w:eastAsiaTheme="minorHAnsi" w:hAnsiTheme="minorHAnsi"/>
      <w:sz w:val="20"/>
      <w:szCs w:val="20"/>
    </w:rPr>
  </w:style>
  <w:style w:type="character" w:styleId="Odkaznavysvtlivky">
    <w:name w:val="endnote reference"/>
    <w:basedOn w:val="Standardnpsmoodstavce"/>
    <w:uiPriority w:val="99"/>
    <w:semiHidden/>
    <w:unhideWhenUsed/>
    <w:rsid w:val="004526DF"/>
    <w:rPr>
      <w:vertAlign w:val="superscript"/>
    </w:rPr>
  </w:style>
  <w:style w:type="paragraph" w:customStyle="1" w:styleId="Default">
    <w:name w:val="Default"/>
    <w:rsid w:val="00856AA7"/>
    <w:pPr>
      <w:autoSpaceDE w:val="0"/>
      <w:autoSpaceDN w:val="0"/>
      <w:adjustRightInd w:val="0"/>
    </w:pPr>
    <w:rPr>
      <w:rFonts w:cs="Calibri"/>
      <w:color w:val="000000"/>
      <w:lang w:eastAsia="cs-CZ"/>
    </w:rPr>
  </w:style>
  <w:style w:type="character" w:customStyle="1" w:styleId="NzevtabulkaChar">
    <w:name w:val="Název tabulka Char"/>
    <w:basedOn w:val="Standardnpsmoodstavce"/>
    <w:link w:val="Nzevtabulka"/>
    <w:locked/>
    <w:rsid w:val="00FA0C8B"/>
    <w:rPr>
      <w:rFonts w:cstheme="minorHAnsi"/>
    </w:rPr>
  </w:style>
  <w:style w:type="paragraph" w:customStyle="1" w:styleId="Nzevtabulka">
    <w:name w:val="Název tabulka"/>
    <w:basedOn w:val="Normln"/>
    <w:link w:val="NzevtabulkaChar"/>
    <w:rsid w:val="00FA0C8B"/>
    <w:pPr>
      <w:keepNext/>
      <w:numPr>
        <w:numId w:val="1"/>
      </w:numPr>
      <w:spacing w:after="120"/>
      <w:jc w:val="both"/>
    </w:pPr>
    <w:rPr>
      <w:rFonts w:ascii="Calibri" w:eastAsia="Times New Roman" w:hAnsi="Calibri" w:cstheme="minorHAnsi"/>
    </w:rPr>
  </w:style>
  <w:style w:type="paragraph" w:styleId="Obsah1">
    <w:name w:val="toc 1"/>
    <w:basedOn w:val="Normln"/>
    <w:next w:val="Normln"/>
    <w:autoRedefine/>
    <w:uiPriority w:val="39"/>
    <w:unhideWhenUsed/>
    <w:rsid w:val="00BE15FE"/>
    <w:pPr>
      <w:tabs>
        <w:tab w:val="left" w:pos="993"/>
        <w:tab w:val="right" w:leader="dot" w:pos="9060"/>
      </w:tabs>
      <w:spacing w:before="120"/>
    </w:pPr>
    <w:rPr>
      <w:rFonts w:eastAsia="Calibri" w:cstheme="minorHAnsi"/>
      <w:b/>
      <w:bCs/>
      <w:iCs/>
      <w:noProof/>
    </w:rPr>
  </w:style>
  <w:style w:type="paragraph" w:styleId="Obsah2">
    <w:name w:val="toc 2"/>
    <w:basedOn w:val="Normln"/>
    <w:next w:val="Normln"/>
    <w:autoRedefine/>
    <w:uiPriority w:val="39"/>
    <w:unhideWhenUsed/>
    <w:rsid w:val="00BE15FE"/>
    <w:pPr>
      <w:tabs>
        <w:tab w:val="left" w:pos="960"/>
        <w:tab w:val="right" w:leader="dot" w:pos="9062"/>
      </w:tabs>
      <w:spacing w:before="120"/>
      <w:ind w:left="993" w:hanging="753"/>
    </w:pPr>
    <w:rPr>
      <w:rFonts w:eastAsia="Times New Roman" w:cstheme="minorHAnsi"/>
      <w:b/>
      <w:bCs/>
      <w:noProof/>
      <w:sz w:val="22"/>
      <w:szCs w:val="22"/>
    </w:rPr>
  </w:style>
  <w:style w:type="paragraph" w:styleId="Obsah3">
    <w:name w:val="toc 3"/>
    <w:basedOn w:val="Normln"/>
    <w:next w:val="Normln"/>
    <w:autoRedefine/>
    <w:uiPriority w:val="39"/>
    <w:unhideWhenUsed/>
    <w:rsid w:val="00BE15FE"/>
    <w:pPr>
      <w:tabs>
        <w:tab w:val="left" w:pos="1200"/>
        <w:tab w:val="right" w:leader="dot" w:pos="9062"/>
      </w:tabs>
      <w:ind w:left="1134" w:hanging="654"/>
    </w:pPr>
    <w:rPr>
      <w:rFonts w:eastAsia="Calibri" w:cstheme="minorHAnsi"/>
      <w:sz w:val="20"/>
      <w:szCs w:val="20"/>
    </w:rPr>
  </w:style>
  <w:style w:type="paragraph" w:styleId="Obsah4">
    <w:name w:val="toc 4"/>
    <w:basedOn w:val="Normln"/>
    <w:next w:val="Normln"/>
    <w:autoRedefine/>
    <w:uiPriority w:val="39"/>
    <w:unhideWhenUsed/>
    <w:rsid w:val="00BE15FE"/>
    <w:pPr>
      <w:ind w:left="720"/>
    </w:pPr>
    <w:rPr>
      <w:rFonts w:eastAsia="Calibri" w:cstheme="minorHAnsi"/>
      <w:sz w:val="20"/>
      <w:szCs w:val="20"/>
    </w:rPr>
  </w:style>
  <w:style w:type="paragraph" w:styleId="Obsah5">
    <w:name w:val="toc 5"/>
    <w:basedOn w:val="Normln"/>
    <w:next w:val="Normln"/>
    <w:autoRedefine/>
    <w:uiPriority w:val="39"/>
    <w:unhideWhenUsed/>
    <w:rsid w:val="00BE15FE"/>
    <w:pPr>
      <w:ind w:left="960"/>
    </w:pPr>
    <w:rPr>
      <w:rFonts w:eastAsia="Calibri" w:cstheme="minorHAnsi"/>
      <w:sz w:val="20"/>
      <w:szCs w:val="20"/>
    </w:rPr>
  </w:style>
  <w:style w:type="paragraph" w:styleId="Obsah6">
    <w:name w:val="toc 6"/>
    <w:basedOn w:val="Normln"/>
    <w:next w:val="Normln"/>
    <w:autoRedefine/>
    <w:uiPriority w:val="39"/>
    <w:unhideWhenUsed/>
    <w:rsid w:val="00BE15FE"/>
    <w:pPr>
      <w:ind w:left="1200"/>
    </w:pPr>
    <w:rPr>
      <w:rFonts w:eastAsia="Calibri" w:cstheme="minorHAnsi"/>
      <w:sz w:val="20"/>
      <w:szCs w:val="20"/>
    </w:rPr>
  </w:style>
  <w:style w:type="paragraph" w:styleId="Obsah7">
    <w:name w:val="toc 7"/>
    <w:basedOn w:val="Normln"/>
    <w:next w:val="Normln"/>
    <w:autoRedefine/>
    <w:uiPriority w:val="39"/>
    <w:unhideWhenUsed/>
    <w:rsid w:val="00BE15FE"/>
    <w:pPr>
      <w:ind w:left="1440"/>
    </w:pPr>
    <w:rPr>
      <w:rFonts w:eastAsia="Calibri" w:cstheme="minorHAnsi"/>
      <w:sz w:val="20"/>
      <w:szCs w:val="20"/>
    </w:rPr>
  </w:style>
  <w:style w:type="paragraph" w:styleId="Obsah8">
    <w:name w:val="toc 8"/>
    <w:basedOn w:val="Normln"/>
    <w:next w:val="Normln"/>
    <w:autoRedefine/>
    <w:uiPriority w:val="39"/>
    <w:unhideWhenUsed/>
    <w:rsid w:val="00BE15FE"/>
    <w:pPr>
      <w:ind w:left="1680"/>
    </w:pPr>
    <w:rPr>
      <w:rFonts w:eastAsia="Calibri" w:cstheme="minorHAnsi"/>
      <w:sz w:val="20"/>
      <w:szCs w:val="20"/>
    </w:rPr>
  </w:style>
  <w:style w:type="paragraph" w:styleId="Obsah9">
    <w:name w:val="toc 9"/>
    <w:basedOn w:val="Normln"/>
    <w:next w:val="Normln"/>
    <w:autoRedefine/>
    <w:uiPriority w:val="39"/>
    <w:unhideWhenUsed/>
    <w:rsid w:val="00BE15FE"/>
    <w:pPr>
      <w:ind w:left="1920"/>
    </w:pPr>
    <w:rPr>
      <w:rFonts w:eastAsia="Calibri" w:cstheme="minorHAnsi"/>
      <w:sz w:val="20"/>
      <w:szCs w:val="20"/>
    </w:rPr>
  </w:style>
  <w:style w:type="paragraph" w:customStyle="1" w:styleId="TextProgramu">
    <w:name w:val="Text Programu"/>
    <w:basedOn w:val="Normln"/>
    <w:link w:val="TextProgramuChar"/>
    <w:rsid w:val="00BE15FE"/>
    <w:pPr>
      <w:spacing w:after="120"/>
      <w:jc w:val="both"/>
    </w:pPr>
    <w:rPr>
      <w:rFonts w:ascii="Calibri" w:eastAsia="Times New Roman" w:hAnsi="Calibri" w:cs="Times New Roman"/>
    </w:rPr>
  </w:style>
  <w:style w:type="character" w:customStyle="1" w:styleId="TextProgramuChar">
    <w:name w:val="Text Programu Char"/>
    <w:basedOn w:val="Standardnpsmoodstavce"/>
    <w:link w:val="TextProgramu"/>
    <w:rsid w:val="00BE15FE"/>
    <w:rPr>
      <w:rFonts w:cs="Times New Roman"/>
    </w:rPr>
  </w:style>
  <w:style w:type="character" w:customStyle="1" w:styleId="Zkladntextodsazen2Char">
    <w:name w:val="Základní text odsazený 2 Char"/>
    <w:basedOn w:val="Standardnpsmoodstavce"/>
    <w:link w:val="Zkladntextodsazen2"/>
    <w:semiHidden/>
    <w:rsid w:val="00BE15FE"/>
    <w:rPr>
      <w:rFonts w:ascii="Arial" w:hAnsi="Arial" w:cs="Arial"/>
      <w:sz w:val="22"/>
    </w:rPr>
  </w:style>
  <w:style w:type="paragraph" w:styleId="Zkladntextodsazen2">
    <w:name w:val="Body Text Indent 2"/>
    <w:basedOn w:val="Normln"/>
    <w:link w:val="Zkladntextodsazen2Char"/>
    <w:semiHidden/>
    <w:rsid w:val="00BE15FE"/>
    <w:pPr>
      <w:overflowPunct w:val="0"/>
      <w:autoSpaceDE w:val="0"/>
      <w:autoSpaceDN w:val="0"/>
      <w:adjustRightInd w:val="0"/>
      <w:ind w:firstLine="737"/>
      <w:jc w:val="both"/>
    </w:pPr>
    <w:rPr>
      <w:rFonts w:ascii="Arial" w:eastAsia="Times New Roman" w:hAnsi="Arial" w:cs="Arial"/>
      <w:sz w:val="22"/>
    </w:rPr>
  </w:style>
  <w:style w:type="character" w:customStyle="1" w:styleId="Zkladntextodsazen3Char">
    <w:name w:val="Základní text odsazený 3 Char"/>
    <w:basedOn w:val="Standardnpsmoodstavce"/>
    <w:link w:val="Zkladntextodsazen3"/>
    <w:uiPriority w:val="99"/>
    <w:semiHidden/>
    <w:rsid w:val="00BE15FE"/>
    <w:rPr>
      <w:rFonts w:eastAsia="Calibri" w:cs="Calibri"/>
      <w:sz w:val="16"/>
      <w:szCs w:val="16"/>
    </w:rPr>
  </w:style>
  <w:style w:type="paragraph" w:styleId="Zkladntextodsazen3">
    <w:name w:val="Body Text Indent 3"/>
    <w:basedOn w:val="Normln"/>
    <w:link w:val="Zkladntextodsazen3Char"/>
    <w:uiPriority w:val="99"/>
    <w:semiHidden/>
    <w:unhideWhenUsed/>
    <w:rsid w:val="00BE15FE"/>
    <w:pPr>
      <w:spacing w:after="120"/>
      <w:ind w:left="283"/>
      <w:jc w:val="both"/>
    </w:pPr>
    <w:rPr>
      <w:rFonts w:ascii="Calibri" w:eastAsia="Calibri" w:hAnsi="Calibri" w:cs="Calibri"/>
      <w:sz w:val="16"/>
      <w:szCs w:val="16"/>
    </w:rPr>
  </w:style>
  <w:style w:type="paragraph" w:customStyle="1" w:styleId="Doplkovtext">
    <w:name w:val="Doplňkový text"/>
    <w:rsid w:val="00BE15FE"/>
    <w:pPr>
      <w:suppressAutoHyphens/>
      <w:jc w:val="both"/>
    </w:pPr>
    <w:rPr>
      <w:rFonts w:ascii="Times New Roman" w:hAnsi="Times New Roman" w:cs="Times New Roman"/>
      <w:lang w:eastAsia="ar-SA"/>
    </w:rPr>
  </w:style>
  <w:style w:type="paragraph" w:customStyle="1" w:styleId="Kritria">
    <w:name w:val="Kritéria"/>
    <w:basedOn w:val="TextKP"/>
    <w:next w:val="TextKP"/>
    <w:link w:val="KritriaChar"/>
    <w:rsid w:val="00BE15FE"/>
    <w:pPr>
      <w:spacing w:before="0"/>
    </w:pPr>
    <w:rPr>
      <w:rFonts w:eastAsia="Times New Roman"/>
      <w:i/>
    </w:rPr>
  </w:style>
  <w:style w:type="character" w:customStyle="1" w:styleId="KritriaChar">
    <w:name w:val="Kritéria Char"/>
    <w:basedOn w:val="TextKPChar"/>
    <w:link w:val="Kritria"/>
    <w:rsid w:val="00BE15FE"/>
    <w:rPr>
      <w:rFonts w:asciiTheme="minorHAnsi" w:eastAsia="Times New Roman" w:hAnsiTheme="minorHAnsi" w:cstheme="minorHAnsi"/>
      <w:i/>
    </w:rPr>
  </w:style>
  <w:style w:type="character" w:customStyle="1" w:styleId="ZkladntextChar">
    <w:name w:val="Základní text Char"/>
    <w:basedOn w:val="Standardnpsmoodstavce"/>
    <w:link w:val="Zkladntext"/>
    <w:semiHidden/>
    <w:rsid w:val="00BE15FE"/>
    <w:rPr>
      <w:rFonts w:ascii="Arial" w:hAnsi="Arial" w:cs="Arial"/>
      <w:i/>
      <w:iCs/>
      <w:sz w:val="18"/>
    </w:rPr>
  </w:style>
  <w:style w:type="paragraph" w:styleId="Zkladntext">
    <w:name w:val="Body Text"/>
    <w:basedOn w:val="Normln"/>
    <w:link w:val="ZkladntextChar"/>
    <w:semiHidden/>
    <w:rsid w:val="00BE15FE"/>
    <w:rPr>
      <w:rFonts w:ascii="Arial" w:eastAsia="Times New Roman" w:hAnsi="Arial" w:cs="Arial"/>
      <w:i/>
      <w:iCs/>
      <w:sz w:val="18"/>
    </w:rPr>
  </w:style>
  <w:style w:type="paragraph" w:customStyle="1" w:styleId="Zkonoobalech">
    <w:name w:val="Zákon o obalech"/>
    <w:basedOn w:val="TextPL"/>
    <w:rsid w:val="00BE15FE"/>
    <w:rPr>
      <w:rFonts w:ascii="Calibri" w:eastAsia="Calibri" w:hAnsi="Calibri" w:cs="Calibri"/>
      <w:szCs w:val="22"/>
      <w:lang w:val="cs-CZ"/>
    </w:rPr>
  </w:style>
  <w:style w:type="character" w:customStyle="1" w:styleId="Zkladntext0">
    <w:name w:val="Základní text_"/>
    <w:basedOn w:val="Standardnpsmoodstavce"/>
    <w:link w:val="Zkladntext1"/>
    <w:rsid w:val="00BE15FE"/>
    <w:rPr>
      <w:shd w:val="clear" w:color="auto" w:fill="FFFFFF"/>
    </w:rPr>
  </w:style>
  <w:style w:type="paragraph" w:customStyle="1" w:styleId="Zkladntext1">
    <w:name w:val="Základní text1"/>
    <w:basedOn w:val="Normln"/>
    <w:link w:val="Zkladntext0"/>
    <w:rsid w:val="00BE15FE"/>
    <w:pPr>
      <w:widowControl w:val="0"/>
      <w:shd w:val="clear" w:color="auto" w:fill="FFFFFF"/>
      <w:spacing w:after="100" w:line="264" w:lineRule="auto"/>
      <w:jc w:val="both"/>
    </w:pPr>
    <w:rPr>
      <w:rFonts w:ascii="Calibri" w:eastAsia="Times New Roman" w:hAnsi="Calibri"/>
    </w:rPr>
  </w:style>
  <w:style w:type="character" w:customStyle="1" w:styleId="Nadpis20">
    <w:name w:val="Nadpis #2_"/>
    <w:basedOn w:val="Standardnpsmoodstavce"/>
    <w:link w:val="Nadpis21"/>
    <w:rsid w:val="00BE15FE"/>
    <w:rPr>
      <w:b/>
      <w:bCs/>
      <w:shd w:val="clear" w:color="auto" w:fill="FFFFFF"/>
    </w:rPr>
  </w:style>
  <w:style w:type="paragraph" w:customStyle="1" w:styleId="Nadpis21">
    <w:name w:val="Nadpis #2"/>
    <w:basedOn w:val="Normln"/>
    <w:link w:val="Nadpis20"/>
    <w:rsid w:val="00BE15FE"/>
    <w:pPr>
      <w:widowControl w:val="0"/>
      <w:shd w:val="clear" w:color="auto" w:fill="FFFFFF"/>
      <w:spacing w:after="100" w:line="264" w:lineRule="auto"/>
      <w:ind w:left="380" w:hanging="380"/>
      <w:jc w:val="both"/>
      <w:outlineLvl w:val="1"/>
    </w:pPr>
    <w:rPr>
      <w:rFonts w:ascii="Calibri" w:eastAsia="Times New Roman" w:hAnsi="Calibri"/>
      <w:b/>
      <w:bCs/>
    </w:rPr>
  </w:style>
  <w:style w:type="character" w:customStyle="1" w:styleId="Titulektabulky">
    <w:name w:val="Titulek tabulky_"/>
    <w:basedOn w:val="Standardnpsmoodstavce"/>
    <w:link w:val="Titulektabulky0"/>
    <w:rsid w:val="00BE15FE"/>
    <w:rPr>
      <w:rFonts w:eastAsia="Calibri" w:cs="Calibri"/>
      <w:b/>
      <w:bCs/>
      <w:sz w:val="8"/>
      <w:szCs w:val="8"/>
      <w:shd w:val="clear" w:color="auto" w:fill="FFFFFF"/>
    </w:rPr>
  </w:style>
  <w:style w:type="paragraph" w:customStyle="1" w:styleId="Titulektabulky0">
    <w:name w:val="Titulek tabulky"/>
    <w:basedOn w:val="Normln"/>
    <w:link w:val="Titulektabulky"/>
    <w:rsid w:val="00BE15FE"/>
    <w:pPr>
      <w:widowControl w:val="0"/>
      <w:shd w:val="clear" w:color="auto" w:fill="FFFFFF"/>
    </w:pPr>
    <w:rPr>
      <w:rFonts w:ascii="Calibri" w:eastAsia="Calibri" w:hAnsi="Calibri" w:cs="Calibri"/>
      <w:b/>
      <w:bCs/>
      <w:sz w:val="8"/>
      <w:szCs w:val="8"/>
    </w:rPr>
  </w:style>
  <w:style w:type="paragraph" w:customStyle="1" w:styleId="CM1">
    <w:name w:val="CM1"/>
    <w:basedOn w:val="Default"/>
    <w:next w:val="Default"/>
    <w:uiPriority w:val="99"/>
    <w:rsid w:val="00BE15FE"/>
  </w:style>
  <w:style w:type="paragraph" w:customStyle="1" w:styleId="CM3">
    <w:name w:val="CM3"/>
    <w:basedOn w:val="Default"/>
    <w:next w:val="Default"/>
    <w:uiPriority w:val="99"/>
    <w:rsid w:val="00BE15FE"/>
  </w:style>
  <w:style w:type="paragraph" w:customStyle="1" w:styleId="CM4">
    <w:name w:val="CM4"/>
    <w:basedOn w:val="Default"/>
    <w:next w:val="Default"/>
    <w:uiPriority w:val="99"/>
    <w:rsid w:val="00BE15FE"/>
  </w:style>
  <w:style w:type="paragraph" w:customStyle="1" w:styleId="Standard">
    <w:name w:val="Standard"/>
    <w:rsid w:val="00BE15FE"/>
    <w:pPr>
      <w:widowControl w:val="0"/>
      <w:suppressAutoHyphens/>
      <w:autoSpaceDN w:val="0"/>
      <w:textAlignment w:val="baseline"/>
    </w:pPr>
    <w:rPr>
      <w:rFonts w:ascii="Times New Roman" w:eastAsia="Andale Sans UI" w:hAnsi="Times New Roman" w:cs="Tahoma"/>
      <w:kern w:val="3"/>
      <w:lang w:eastAsia="cs-CZ"/>
    </w:rPr>
  </w:style>
  <w:style w:type="paragraph" w:customStyle="1" w:styleId="Bodydosti">
    <w:name w:val="Body žádosti"/>
    <w:basedOn w:val="Odstavecseseznamem"/>
    <w:next w:val="Normln"/>
    <w:link w:val="BodydostiChar"/>
    <w:rsid w:val="00BE15FE"/>
    <w:pPr>
      <w:keepNext/>
      <w:numPr>
        <w:numId w:val="2"/>
      </w:numPr>
      <w:spacing w:before="120" w:after="120"/>
      <w:ind w:left="357" w:hanging="357"/>
    </w:pPr>
    <w:rPr>
      <w:rFonts w:ascii="Segoe UI" w:eastAsia="Times New Roman" w:hAnsi="Segoe UI" w:cs="Segoe UI"/>
      <w:b/>
      <w:sz w:val="20"/>
      <w:szCs w:val="20"/>
      <w:lang w:eastAsia="cs-CZ"/>
    </w:rPr>
  </w:style>
  <w:style w:type="character" w:customStyle="1" w:styleId="BodydostiChar">
    <w:name w:val="Body žádosti Char"/>
    <w:basedOn w:val="Standardnpsmoodstavce"/>
    <w:link w:val="Bodydosti"/>
    <w:rsid w:val="00BE15FE"/>
    <w:rPr>
      <w:rFonts w:ascii="Segoe UI" w:hAnsi="Segoe UI" w:cs="Segoe UI"/>
      <w:b/>
      <w:sz w:val="20"/>
      <w:szCs w:val="20"/>
      <w:lang w:eastAsia="cs-CZ"/>
    </w:rPr>
  </w:style>
  <w:style w:type="paragraph" w:customStyle="1" w:styleId="Tabulka">
    <w:name w:val="Tabulka č."/>
    <w:basedOn w:val="Nzevtabulka"/>
    <w:link w:val="TabulkaChar"/>
    <w:rsid w:val="00BE15FE"/>
    <w:pPr>
      <w:numPr>
        <w:numId w:val="3"/>
      </w:numPr>
      <w:ind w:left="357" w:hanging="357"/>
      <w:jc w:val="left"/>
    </w:pPr>
    <w:rPr>
      <w:rFonts w:asciiTheme="minorHAnsi" w:hAnsiTheme="minorHAnsi"/>
    </w:rPr>
  </w:style>
  <w:style w:type="character" w:customStyle="1" w:styleId="TabulkaChar">
    <w:name w:val="Tabulka č. Char"/>
    <w:basedOn w:val="NzevtabulkaChar"/>
    <w:link w:val="Tabulka"/>
    <w:rsid w:val="00BE15FE"/>
    <w:rPr>
      <w:rFonts w:asciiTheme="minorHAnsi" w:hAnsiTheme="minorHAnsi" w:cstheme="minorHAnsi"/>
    </w:rPr>
  </w:style>
  <w:style w:type="paragraph" w:customStyle="1" w:styleId="doc-ti">
    <w:name w:val="doc-ti"/>
    <w:basedOn w:val="Normln"/>
    <w:rsid w:val="00BE15FE"/>
    <w:pPr>
      <w:spacing w:before="100" w:beforeAutospacing="1" w:after="100" w:afterAutospacing="1"/>
    </w:pPr>
    <w:rPr>
      <w:rFonts w:ascii="Times New Roman" w:eastAsia="Times New Roman" w:hAnsi="Times New Roman" w:cs="Times New Roman"/>
      <w:lang w:eastAsia="zh-TW"/>
    </w:rPr>
  </w:style>
  <w:style w:type="paragraph" w:customStyle="1" w:styleId="Obrzek">
    <w:name w:val="Obrázek č."/>
    <w:basedOn w:val="Text"/>
    <w:link w:val="ObrzekChar"/>
    <w:rsid w:val="00BE15FE"/>
    <w:pPr>
      <w:spacing w:after="120"/>
    </w:pPr>
    <w:rPr>
      <w:rFonts w:eastAsia="Calibri"/>
      <w:b/>
      <w:szCs w:val="22"/>
    </w:rPr>
  </w:style>
  <w:style w:type="character" w:customStyle="1" w:styleId="ObrzekChar">
    <w:name w:val="Obrázek č. Char"/>
    <w:basedOn w:val="TextChar"/>
    <w:link w:val="Obrzek"/>
    <w:rsid w:val="00BE15FE"/>
    <w:rPr>
      <w:rFonts w:asciiTheme="minorHAnsi" w:eastAsia="Calibri" w:hAnsiTheme="minorHAnsi" w:cstheme="minorHAnsi"/>
      <w:b/>
      <w:szCs w:val="22"/>
    </w:rPr>
  </w:style>
  <w:style w:type="paragraph" w:customStyle="1" w:styleId="OM-normln">
    <w:name w:val="OM - normální"/>
    <w:basedOn w:val="Normln"/>
    <w:uiPriority w:val="99"/>
    <w:rsid w:val="00BE15FE"/>
    <w:pPr>
      <w:spacing w:after="120"/>
      <w:jc w:val="both"/>
    </w:pPr>
    <w:rPr>
      <w:rFonts w:ascii="Arial" w:eastAsia="Calibri" w:hAnsi="Arial" w:cs="Arial"/>
      <w:sz w:val="20"/>
      <w:szCs w:val="20"/>
    </w:rPr>
  </w:style>
  <w:style w:type="paragraph" w:customStyle="1" w:styleId="msonormal0">
    <w:name w:val="msonormal"/>
    <w:basedOn w:val="Normln"/>
    <w:rsid w:val="00BE15FE"/>
    <w:pPr>
      <w:spacing w:before="100" w:beforeAutospacing="1" w:after="100" w:afterAutospacing="1"/>
    </w:pPr>
    <w:rPr>
      <w:rFonts w:ascii="Times New Roman" w:eastAsia="Times New Roman" w:hAnsi="Times New Roman" w:cs="Times New Roman"/>
      <w:lang w:eastAsia="cs-CZ" w:bidi="bn-BD"/>
    </w:rPr>
  </w:style>
  <w:style w:type="paragraph" w:customStyle="1" w:styleId="xl65">
    <w:name w:val="xl65"/>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66">
    <w:name w:val="xl66"/>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67">
    <w:name w:val="xl67"/>
    <w:basedOn w:val="Normln"/>
    <w:rsid w:val="00BE15F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68">
    <w:name w:val="xl68"/>
    <w:basedOn w:val="Normln"/>
    <w:rsid w:val="00BE15F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69">
    <w:name w:val="xl69"/>
    <w:basedOn w:val="Normln"/>
    <w:rsid w:val="00BE15FE"/>
    <w:pPr>
      <w:pBdr>
        <w:top w:val="single" w:sz="4" w:space="0" w:color="auto"/>
        <w:left w:val="single" w:sz="4" w:space="0" w:color="auto"/>
        <w:bottom w:val="single" w:sz="4" w:space="0" w:color="auto"/>
        <w:right w:val="single" w:sz="4" w:space="0" w:color="auto"/>
      </w:pBdr>
      <w:shd w:val="clear" w:color="000000" w:fill="F2C6C9"/>
      <w:spacing w:before="100" w:beforeAutospacing="1" w:after="100" w:afterAutospacing="1"/>
      <w:textAlignment w:val="center"/>
    </w:pPr>
    <w:rPr>
      <w:rFonts w:ascii="Times New Roman" w:eastAsia="Times New Roman" w:hAnsi="Times New Roman" w:cs="Times New Roman"/>
      <w:b/>
      <w:bCs/>
      <w:i/>
      <w:iCs/>
      <w:color w:val="000000"/>
      <w:sz w:val="14"/>
      <w:szCs w:val="14"/>
      <w:lang w:eastAsia="cs-CZ"/>
    </w:rPr>
  </w:style>
  <w:style w:type="paragraph" w:customStyle="1" w:styleId="xl70">
    <w:name w:val="xl70"/>
    <w:basedOn w:val="Normln"/>
    <w:rsid w:val="00BE15FE"/>
    <w:pPr>
      <w:pBdr>
        <w:top w:val="single" w:sz="4" w:space="0" w:color="auto"/>
        <w:left w:val="single" w:sz="4" w:space="0" w:color="auto"/>
        <w:bottom w:val="single" w:sz="4" w:space="0" w:color="auto"/>
        <w:right w:val="single" w:sz="4" w:space="0" w:color="auto"/>
      </w:pBdr>
      <w:shd w:val="clear" w:color="000000" w:fill="F2C6C9"/>
      <w:spacing w:before="100" w:beforeAutospacing="1" w:after="100" w:afterAutospacing="1"/>
      <w:textAlignment w:val="center"/>
    </w:pPr>
    <w:rPr>
      <w:rFonts w:ascii="Times New Roman" w:eastAsia="Times New Roman" w:hAnsi="Times New Roman" w:cs="Times New Roman"/>
      <w:b/>
      <w:bCs/>
      <w:i/>
      <w:iCs/>
      <w:color w:val="000000"/>
      <w:sz w:val="14"/>
      <w:szCs w:val="14"/>
      <w:lang w:eastAsia="cs-CZ"/>
    </w:rPr>
  </w:style>
  <w:style w:type="paragraph" w:customStyle="1" w:styleId="xl71">
    <w:name w:val="xl71"/>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72">
    <w:name w:val="xl72"/>
    <w:basedOn w:val="Normln"/>
    <w:rsid w:val="00BE15FE"/>
    <w:pPr>
      <w:pBdr>
        <w:top w:val="single" w:sz="4" w:space="0" w:color="auto"/>
        <w:left w:val="single" w:sz="4" w:space="0" w:color="auto"/>
        <w:bottom w:val="single" w:sz="4" w:space="0" w:color="auto"/>
        <w:right w:val="single" w:sz="4" w:space="0" w:color="auto"/>
      </w:pBdr>
      <w:shd w:val="clear" w:color="000000" w:fill="E5F1FF"/>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73">
    <w:name w:val="xl73"/>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cs-CZ"/>
    </w:rPr>
  </w:style>
  <w:style w:type="paragraph" w:customStyle="1" w:styleId="xl74">
    <w:name w:val="xl74"/>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cs-CZ"/>
    </w:rPr>
  </w:style>
  <w:style w:type="paragraph" w:customStyle="1" w:styleId="xl75">
    <w:name w:val="xl75"/>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76">
    <w:name w:val="xl76"/>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cs-CZ"/>
    </w:rPr>
  </w:style>
  <w:style w:type="paragraph" w:customStyle="1" w:styleId="xl77">
    <w:name w:val="xl77"/>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78">
    <w:name w:val="xl78"/>
    <w:basedOn w:val="Normln"/>
    <w:rsid w:val="00BE15FE"/>
    <w:pPr>
      <w:pBdr>
        <w:top w:val="single" w:sz="4" w:space="0" w:color="auto"/>
        <w:left w:val="single" w:sz="4" w:space="0" w:color="auto"/>
        <w:bottom w:val="single" w:sz="4" w:space="0" w:color="auto"/>
        <w:right w:val="single" w:sz="4" w:space="0" w:color="auto"/>
      </w:pBdr>
      <w:shd w:val="clear" w:color="000000" w:fill="F2C6C9"/>
      <w:spacing w:before="100" w:beforeAutospacing="1" w:after="100" w:afterAutospacing="1"/>
      <w:textAlignment w:val="center"/>
    </w:pPr>
    <w:rPr>
      <w:rFonts w:ascii="Times New Roman" w:eastAsia="Times New Roman" w:hAnsi="Times New Roman" w:cs="Times New Roman"/>
      <w:b/>
      <w:bCs/>
      <w:i/>
      <w:iCs/>
      <w:color w:val="000000"/>
      <w:sz w:val="14"/>
      <w:szCs w:val="14"/>
      <w:lang w:eastAsia="cs-CZ"/>
    </w:rPr>
  </w:style>
  <w:style w:type="paragraph" w:customStyle="1" w:styleId="xl79">
    <w:name w:val="xl79"/>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cs-CZ"/>
    </w:rPr>
  </w:style>
  <w:style w:type="paragraph" w:customStyle="1" w:styleId="xl80">
    <w:name w:val="xl80"/>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81">
    <w:name w:val="xl81"/>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82">
    <w:name w:val="xl82"/>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83">
    <w:name w:val="xl83"/>
    <w:basedOn w:val="Normln"/>
    <w:rsid w:val="00BE15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cs-CZ"/>
    </w:rPr>
  </w:style>
  <w:style w:type="paragraph" w:customStyle="1" w:styleId="xl84">
    <w:name w:val="xl84"/>
    <w:basedOn w:val="Normln"/>
    <w:rsid w:val="00BE15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cs-CZ"/>
    </w:rPr>
  </w:style>
  <w:style w:type="paragraph" w:customStyle="1" w:styleId="xl85">
    <w:name w:val="xl85"/>
    <w:basedOn w:val="Normln"/>
    <w:rsid w:val="00BE15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86">
    <w:name w:val="xl86"/>
    <w:basedOn w:val="Normln"/>
    <w:rsid w:val="00BE15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87">
    <w:name w:val="xl87"/>
    <w:basedOn w:val="Normln"/>
    <w:rsid w:val="00BE15F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4"/>
      <w:szCs w:val="14"/>
      <w:lang w:eastAsia="cs-CZ"/>
    </w:rPr>
  </w:style>
  <w:style w:type="paragraph" w:customStyle="1" w:styleId="xl88">
    <w:name w:val="xl88"/>
    <w:basedOn w:val="Normln"/>
    <w:rsid w:val="00BE15FE"/>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4"/>
      <w:szCs w:val="14"/>
      <w:lang w:eastAsia="cs-CZ"/>
    </w:rPr>
  </w:style>
  <w:style w:type="paragraph" w:customStyle="1" w:styleId="xl89">
    <w:name w:val="xl89"/>
    <w:basedOn w:val="Normln"/>
    <w:rsid w:val="00BE15F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4"/>
      <w:szCs w:val="14"/>
      <w:lang w:eastAsia="cs-CZ"/>
    </w:rPr>
  </w:style>
  <w:style w:type="paragraph" w:customStyle="1" w:styleId="xl90">
    <w:name w:val="xl90"/>
    <w:basedOn w:val="Normln"/>
    <w:rsid w:val="00BE15FE"/>
    <w:pPr>
      <w:pBdr>
        <w:top w:val="single" w:sz="4" w:space="0" w:color="auto"/>
        <w:left w:val="single" w:sz="4" w:space="0" w:color="auto"/>
        <w:bottom w:val="single" w:sz="4" w:space="0" w:color="auto"/>
        <w:right w:val="single" w:sz="4" w:space="0" w:color="auto"/>
      </w:pBdr>
      <w:shd w:val="clear" w:color="000000" w:fill="E5F1FF"/>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91">
    <w:name w:val="xl91"/>
    <w:basedOn w:val="Normln"/>
    <w:rsid w:val="00BE15FE"/>
    <w:pPr>
      <w:pBdr>
        <w:top w:val="single" w:sz="4" w:space="0" w:color="auto"/>
        <w:left w:val="single" w:sz="4" w:space="0" w:color="auto"/>
        <w:right w:val="single" w:sz="4" w:space="0" w:color="auto"/>
      </w:pBdr>
      <w:shd w:val="clear" w:color="000000" w:fill="E5F1FF"/>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92">
    <w:name w:val="xl92"/>
    <w:basedOn w:val="Normln"/>
    <w:rsid w:val="00BE15FE"/>
    <w:pPr>
      <w:pBdr>
        <w:left w:val="single" w:sz="4" w:space="0" w:color="auto"/>
        <w:bottom w:val="single" w:sz="4" w:space="0" w:color="auto"/>
        <w:right w:val="single" w:sz="4" w:space="0" w:color="auto"/>
      </w:pBdr>
      <w:shd w:val="clear" w:color="000000" w:fill="E5F1FF"/>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93">
    <w:name w:val="xl93"/>
    <w:basedOn w:val="Normln"/>
    <w:rsid w:val="00BE15FE"/>
    <w:pPr>
      <w:pBdr>
        <w:top w:val="single" w:sz="4" w:space="0" w:color="auto"/>
        <w:left w:val="single" w:sz="4" w:space="0" w:color="auto"/>
        <w:bottom w:val="single" w:sz="4" w:space="0" w:color="auto"/>
        <w:right w:val="single" w:sz="4" w:space="0" w:color="auto"/>
      </w:pBdr>
      <w:shd w:val="clear" w:color="000000" w:fill="E5F1FF"/>
      <w:spacing w:before="100" w:beforeAutospacing="1" w:after="100" w:afterAutospacing="1"/>
      <w:jc w:val="center"/>
      <w:textAlignment w:val="center"/>
    </w:pPr>
    <w:rPr>
      <w:rFonts w:ascii="Times New Roman" w:eastAsia="Times New Roman" w:hAnsi="Times New Roman" w:cs="Times New Roman"/>
      <w:b/>
      <w:bCs/>
      <w:sz w:val="14"/>
      <w:szCs w:val="14"/>
      <w:lang w:eastAsia="cs-CZ"/>
    </w:rPr>
  </w:style>
  <w:style w:type="paragraph" w:customStyle="1" w:styleId="xl94">
    <w:name w:val="xl94"/>
    <w:basedOn w:val="Normln"/>
    <w:rsid w:val="00BE15FE"/>
    <w:pPr>
      <w:pBdr>
        <w:top w:val="single" w:sz="4" w:space="0" w:color="auto"/>
        <w:left w:val="single" w:sz="4" w:space="0" w:color="auto"/>
        <w:bottom w:val="single" w:sz="4" w:space="0" w:color="auto"/>
      </w:pBdr>
      <w:shd w:val="clear" w:color="000000" w:fill="E5F1FF"/>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95">
    <w:name w:val="xl95"/>
    <w:basedOn w:val="Normln"/>
    <w:rsid w:val="00BE15FE"/>
    <w:pPr>
      <w:pBdr>
        <w:top w:val="single" w:sz="4" w:space="0" w:color="auto"/>
        <w:bottom w:val="single" w:sz="4" w:space="0" w:color="auto"/>
      </w:pBdr>
      <w:shd w:val="clear" w:color="000000" w:fill="E5F1FF"/>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96">
    <w:name w:val="xl96"/>
    <w:basedOn w:val="Normln"/>
    <w:rsid w:val="00BE15FE"/>
    <w:pPr>
      <w:pBdr>
        <w:top w:val="single" w:sz="4" w:space="0" w:color="auto"/>
        <w:bottom w:val="single" w:sz="4" w:space="0" w:color="auto"/>
        <w:right w:val="single" w:sz="4" w:space="0" w:color="auto"/>
      </w:pBdr>
      <w:shd w:val="clear" w:color="000000" w:fill="E5F1FF"/>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97">
    <w:name w:val="xl97"/>
    <w:basedOn w:val="Normln"/>
    <w:rsid w:val="00BE15FE"/>
    <w:pPr>
      <w:pBdr>
        <w:top w:val="single" w:sz="4" w:space="0" w:color="auto"/>
        <w:left w:val="single" w:sz="4" w:space="0" w:color="auto"/>
        <w:bottom w:val="single" w:sz="4" w:space="0" w:color="auto"/>
        <w:right w:val="single" w:sz="4" w:space="0" w:color="auto"/>
      </w:pBdr>
      <w:shd w:val="clear" w:color="000000" w:fill="E5F1FF"/>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98">
    <w:name w:val="xl98"/>
    <w:basedOn w:val="Normln"/>
    <w:rsid w:val="00BE15FE"/>
    <w:pPr>
      <w:pBdr>
        <w:top w:val="single" w:sz="4" w:space="0" w:color="auto"/>
        <w:left w:val="single" w:sz="4" w:space="0" w:color="auto"/>
        <w:bottom w:val="single" w:sz="4" w:space="0" w:color="auto"/>
        <w:right w:val="single" w:sz="4" w:space="0" w:color="auto"/>
      </w:pBdr>
      <w:shd w:val="clear" w:color="000000" w:fill="E5F1FF"/>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styleId="Normlnweb">
    <w:name w:val="Normal (Web)"/>
    <w:basedOn w:val="Normln"/>
    <w:uiPriority w:val="99"/>
    <w:unhideWhenUsed/>
    <w:rsid w:val="00BE15FE"/>
    <w:pPr>
      <w:spacing w:before="100" w:beforeAutospacing="1" w:after="100" w:afterAutospacing="1"/>
    </w:pPr>
    <w:rPr>
      <w:rFonts w:ascii="Times New Roman" w:eastAsia="Times New Roman" w:hAnsi="Times New Roman" w:cs="Times New Roman"/>
      <w:lang w:eastAsia="cs-CZ"/>
    </w:rPr>
  </w:style>
  <w:style w:type="character" w:customStyle="1" w:styleId="news-datelabel">
    <w:name w:val="news-date__label"/>
    <w:basedOn w:val="Standardnpsmoodstavce"/>
    <w:rsid w:val="00BE15FE"/>
  </w:style>
  <w:style w:type="paragraph" w:customStyle="1" w:styleId="l2">
    <w:name w:val="l2"/>
    <w:basedOn w:val="Normln"/>
    <w:rsid w:val="00BE15FE"/>
    <w:pPr>
      <w:spacing w:before="100" w:beforeAutospacing="1" w:after="100" w:afterAutospacing="1"/>
    </w:pPr>
    <w:rPr>
      <w:rFonts w:ascii="Times New Roman" w:eastAsia="Times New Roman" w:hAnsi="Times New Roman" w:cs="Times New Roman"/>
      <w:lang w:eastAsia="cs-CZ"/>
    </w:rPr>
  </w:style>
  <w:style w:type="paragraph" w:customStyle="1" w:styleId="l3">
    <w:name w:val="l3"/>
    <w:basedOn w:val="Normln"/>
    <w:rsid w:val="00BE15FE"/>
    <w:pPr>
      <w:spacing w:before="100" w:beforeAutospacing="1" w:after="100" w:afterAutospacing="1"/>
    </w:pPr>
    <w:rPr>
      <w:rFonts w:ascii="Times New Roman" w:eastAsia="Times New Roman" w:hAnsi="Times New Roman" w:cs="Times New Roman"/>
      <w:lang w:eastAsia="cs-CZ"/>
    </w:rPr>
  </w:style>
  <w:style w:type="paragraph" w:customStyle="1" w:styleId="l4">
    <w:name w:val="l4"/>
    <w:basedOn w:val="Normln"/>
    <w:rsid w:val="00BE15FE"/>
    <w:pPr>
      <w:spacing w:before="100" w:beforeAutospacing="1" w:after="100" w:afterAutospacing="1"/>
    </w:pPr>
    <w:rPr>
      <w:rFonts w:ascii="Times New Roman" w:eastAsia="Times New Roman" w:hAnsi="Times New Roman" w:cs="Times New Roman"/>
      <w:lang w:eastAsia="cs-CZ"/>
    </w:rPr>
  </w:style>
  <w:style w:type="paragraph" w:customStyle="1" w:styleId="l5">
    <w:name w:val="l5"/>
    <w:basedOn w:val="Normln"/>
    <w:rsid w:val="00BE15FE"/>
    <w:pPr>
      <w:spacing w:before="100" w:beforeAutospacing="1" w:after="100" w:afterAutospacing="1"/>
    </w:pPr>
    <w:rPr>
      <w:rFonts w:ascii="Times New Roman" w:eastAsia="Times New Roman" w:hAnsi="Times New Roman" w:cs="Times New Roman"/>
      <w:lang w:eastAsia="cs-CZ"/>
    </w:rPr>
  </w:style>
  <w:style w:type="paragraph" w:customStyle="1" w:styleId="paragraph">
    <w:name w:val="paragraph"/>
    <w:basedOn w:val="Normln"/>
    <w:rsid w:val="00BE15FE"/>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BE15FE"/>
  </w:style>
  <w:style w:type="character" w:customStyle="1" w:styleId="eop">
    <w:name w:val="eop"/>
    <w:basedOn w:val="Standardnpsmoodstavce"/>
    <w:rsid w:val="00BE15FE"/>
  </w:style>
  <w:style w:type="character" w:customStyle="1" w:styleId="scxw63391518">
    <w:name w:val="scxw63391518"/>
    <w:basedOn w:val="Standardnpsmoodstavce"/>
    <w:rsid w:val="00BE15FE"/>
  </w:style>
  <w:style w:type="character" w:customStyle="1" w:styleId="document-description">
    <w:name w:val="document-description"/>
    <w:basedOn w:val="Standardnpsmoodstavce"/>
    <w:rsid w:val="00BE15FE"/>
  </w:style>
  <w:style w:type="paragraph" w:customStyle="1" w:styleId="toclevel-1">
    <w:name w:val="toclevel-1"/>
    <w:basedOn w:val="Normln"/>
    <w:rsid w:val="00BE15FE"/>
    <w:pPr>
      <w:spacing w:before="100" w:beforeAutospacing="1" w:after="100" w:afterAutospacing="1"/>
    </w:pPr>
    <w:rPr>
      <w:rFonts w:ascii="Times New Roman" w:eastAsia="Times New Roman" w:hAnsi="Times New Roman" w:cs="Times New Roman"/>
      <w:lang w:eastAsia="cs-CZ"/>
    </w:rPr>
  </w:style>
  <w:style w:type="character" w:customStyle="1" w:styleId="tocnumber">
    <w:name w:val="tocnumber"/>
    <w:basedOn w:val="Standardnpsmoodstavce"/>
    <w:rsid w:val="00BE15FE"/>
  </w:style>
  <w:style w:type="character" w:customStyle="1" w:styleId="toctext">
    <w:name w:val="toctext"/>
    <w:basedOn w:val="Standardnpsmoodstavce"/>
    <w:rsid w:val="00BE15FE"/>
  </w:style>
  <w:style w:type="paragraph" w:customStyle="1" w:styleId="toclevel-2">
    <w:name w:val="toclevel-2"/>
    <w:basedOn w:val="Normln"/>
    <w:rsid w:val="00BE15FE"/>
    <w:pPr>
      <w:spacing w:before="100" w:beforeAutospacing="1" w:after="100" w:afterAutospacing="1"/>
    </w:pPr>
    <w:rPr>
      <w:rFonts w:ascii="Times New Roman" w:eastAsia="Times New Roman" w:hAnsi="Times New Roman" w:cs="Times New Roman"/>
      <w:lang w:eastAsia="cs-CZ"/>
    </w:rPr>
  </w:style>
  <w:style w:type="character" w:customStyle="1" w:styleId="mw-headline">
    <w:name w:val="mw-headline"/>
    <w:basedOn w:val="Standardnpsmoodstavce"/>
    <w:rsid w:val="00BE15FE"/>
  </w:style>
  <w:style w:type="character" w:customStyle="1" w:styleId="mw-editsection">
    <w:name w:val="mw-editsection"/>
    <w:basedOn w:val="Standardnpsmoodstavce"/>
    <w:rsid w:val="00BE15FE"/>
  </w:style>
  <w:style w:type="character" w:customStyle="1" w:styleId="mw-editsection-bracket">
    <w:name w:val="mw-editsection-bracket"/>
    <w:basedOn w:val="Standardnpsmoodstavce"/>
    <w:rsid w:val="00BE15FE"/>
  </w:style>
  <w:style w:type="character" w:customStyle="1" w:styleId="mw-editsection-divider">
    <w:name w:val="mw-editsection-divider"/>
    <w:basedOn w:val="Standardnpsmoodstavce"/>
    <w:rsid w:val="00BE15FE"/>
  </w:style>
  <w:style w:type="paragraph" w:customStyle="1" w:styleId="perex">
    <w:name w:val="perex"/>
    <w:basedOn w:val="Normln"/>
    <w:rsid w:val="00BE15FE"/>
    <w:pPr>
      <w:spacing w:before="100" w:beforeAutospacing="1" w:after="100" w:afterAutospacing="1"/>
    </w:pPr>
    <w:rPr>
      <w:rFonts w:ascii="Times New Roman" w:eastAsia="Times New Roman" w:hAnsi="Times New Roman" w:cs="Times New Roman"/>
      <w:lang w:eastAsia="cs-CZ"/>
    </w:rPr>
  </w:style>
  <w:style w:type="character" w:customStyle="1" w:styleId="Titulek1">
    <w:name w:val="Titulek1"/>
    <w:basedOn w:val="Standardnpsmoodstavce"/>
    <w:rsid w:val="00BE15FE"/>
  </w:style>
  <w:style w:type="paragraph" w:customStyle="1" w:styleId="otzky">
    <w:name w:val="otázky"/>
    <w:basedOn w:val="Normln"/>
    <w:link w:val="otzkyChar"/>
    <w:rsid w:val="00BE15FE"/>
    <w:pPr>
      <w:numPr>
        <w:numId w:val="4"/>
      </w:numPr>
      <w:tabs>
        <w:tab w:val="left" w:pos="360"/>
      </w:tabs>
      <w:spacing w:after="200" w:line="276" w:lineRule="auto"/>
      <w:jc w:val="both"/>
    </w:pPr>
    <w:rPr>
      <w:szCs w:val="22"/>
    </w:rPr>
  </w:style>
  <w:style w:type="character" w:customStyle="1" w:styleId="otzkyChar">
    <w:name w:val="otázky Char"/>
    <w:basedOn w:val="Standardnpsmoodstavce"/>
    <w:link w:val="otzky"/>
    <w:rsid w:val="00BE15FE"/>
    <w:rPr>
      <w:rFonts w:asciiTheme="minorHAnsi" w:eastAsiaTheme="minorHAnsi" w:hAnsiTheme="minorHAnsi"/>
      <w:szCs w:val="22"/>
    </w:rPr>
  </w:style>
  <w:style w:type="paragraph" w:customStyle="1" w:styleId="Vc">
    <w:name w:val="Věc"/>
    <w:basedOn w:val="Nadpis1"/>
    <w:link w:val="VcChar"/>
    <w:rsid w:val="00BE15FE"/>
    <w:pPr>
      <w:widowControl/>
      <w:numPr>
        <w:numId w:val="0"/>
      </w:numPr>
      <w:spacing w:before="720" w:line="276" w:lineRule="auto"/>
      <w:jc w:val="both"/>
    </w:pPr>
    <w:rPr>
      <w:rFonts w:ascii="Verdana" w:eastAsia="Calibri" w:hAnsi="Verdana" w:cs="Arial"/>
      <w:sz w:val="22"/>
      <w:szCs w:val="18"/>
    </w:rPr>
  </w:style>
  <w:style w:type="character" w:customStyle="1" w:styleId="VcChar">
    <w:name w:val="Věc Char"/>
    <w:basedOn w:val="Standardnpsmoodstavce"/>
    <w:link w:val="Vc"/>
    <w:rsid w:val="00BE15FE"/>
    <w:rPr>
      <w:rFonts w:ascii="Verdana" w:eastAsia="Calibri" w:hAnsi="Verdana" w:cs="Arial"/>
      <w:b/>
      <w:sz w:val="22"/>
      <w:szCs w:val="18"/>
    </w:rPr>
  </w:style>
  <w:style w:type="paragraph" w:customStyle="1" w:styleId="j">
    <w:name w:val="Č. j."/>
    <w:link w:val="jChar"/>
    <w:uiPriority w:val="1"/>
    <w:rsid w:val="00BE15FE"/>
    <w:pPr>
      <w:spacing w:after="600" w:line="276" w:lineRule="auto"/>
      <w:ind w:firstLine="6521"/>
    </w:pPr>
    <w:rPr>
      <w:rFonts w:ascii="Verdana" w:eastAsia="Calibri" w:hAnsi="Verdana" w:cs="Arial"/>
      <w:sz w:val="18"/>
      <w:szCs w:val="16"/>
      <w:lang w:val="en-US"/>
    </w:rPr>
  </w:style>
  <w:style w:type="character" w:customStyle="1" w:styleId="jChar">
    <w:name w:val="Č. j. Char"/>
    <w:basedOn w:val="Standardnpsmoodstavce"/>
    <w:link w:val="j"/>
    <w:uiPriority w:val="1"/>
    <w:rsid w:val="00BE15FE"/>
    <w:rPr>
      <w:rFonts w:ascii="Verdana" w:eastAsia="Calibri" w:hAnsi="Verdana" w:cs="Arial"/>
      <w:sz w:val="18"/>
      <w:szCs w:val="16"/>
      <w:lang w:val="en-US"/>
    </w:rPr>
  </w:style>
  <w:style w:type="paragraph" w:customStyle="1" w:styleId="Datumpodpisu">
    <w:name w:val="Datum podpisu"/>
    <w:basedOn w:val="j"/>
    <w:link w:val="DatumpodpisuChar"/>
    <w:uiPriority w:val="2"/>
    <w:rsid w:val="00BE15FE"/>
    <w:pPr>
      <w:spacing w:before="840" w:after="0"/>
    </w:pPr>
  </w:style>
  <w:style w:type="character" w:customStyle="1" w:styleId="DatumpodpisuChar">
    <w:name w:val="Datum podpisu Char"/>
    <w:basedOn w:val="jChar"/>
    <w:link w:val="Datumpodpisu"/>
    <w:uiPriority w:val="2"/>
    <w:rsid w:val="00BE15FE"/>
    <w:rPr>
      <w:rFonts w:ascii="Verdana" w:eastAsia="Calibri" w:hAnsi="Verdana" w:cs="Arial"/>
      <w:sz w:val="18"/>
      <w:szCs w:val="16"/>
      <w:lang w:val="en-US"/>
    </w:rPr>
  </w:style>
  <w:style w:type="paragraph" w:customStyle="1" w:styleId="Polepodpisu">
    <w:name w:val="Pole podpisu"/>
    <w:basedOn w:val="Bezmezer"/>
    <w:uiPriority w:val="1"/>
    <w:rsid w:val="00BE15FE"/>
    <w:pPr>
      <w:spacing w:line="276" w:lineRule="auto"/>
      <w:ind w:firstLine="6521"/>
      <w:jc w:val="left"/>
    </w:pPr>
    <w:rPr>
      <w:rFonts w:ascii="Verdana" w:eastAsia="Calibri" w:hAnsi="Verdana" w:cs="Arial"/>
      <w:sz w:val="20"/>
      <w:szCs w:val="18"/>
    </w:rPr>
  </w:style>
  <w:style w:type="paragraph" w:styleId="Prosttext">
    <w:name w:val="Plain Text"/>
    <w:basedOn w:val="Normln"/>
    <w:link w:val="ProsttextChar"/>
    <w:uiPriority w:val="4"/>
    <w:rsid w:val="00BE15FE"/>
    <w:pPr>
      <w:spacing w:after="120" w:line="264" w:lineRule="auto"/>
      <w:jc w:val="both"/>
    </w:pPr>
    <w:rPr>
      <w:sz w:val="22"/>
      <w:szCs w:val="21"/>
    </w:rPr>
  </w:style>
  <w:style w:type="character" w:customStyle="1" w:styleId="ProsttextChar">
    <w:name w:val="Prostý text Char"/>
    <w:basedOn w:val="Standardnpsmoodstavce"/>
    <w:link w:val="Prosttext"/>
    <w:uiPriority w:val="4"/>
    <w:rsid w:val="00BE15FE"/>
    <w:rPr>
      <w:rFonts w:asciiTheme="minorHAnsi" w:eastAsiaTheme="minorHAnsi" w:hAnsiTheme="minorHAnsi"/>
      <w:sz w:val="22"/>
      <w:szCs w:val="21"/>
    </w:rPr>
  </w:style>
  <w:style w:type="character" w:customStyle="1" w:styleId="Heading31">
    <w:name w:val="Heading #3|1_"/>
    <w:basedOn w:val="Standardnpsmoodstavce"/>
    <w:link w:val="Heading310"/>
    <w:rsid w:val="00BE15FE"/>
    <w:rPr>
      <w:b/>
    </w:rPr>
  </w:style>
  <w:style w:type="paragraph" w:customStyle="1" w:styleId="Heading310">
    <w:name w:val="Heading #3|1"/>
    <w:basedOn w:val="Normln"/>
    <w:link w:val="Heading31"/>
    <w:rsid w:val="00BE15FE"/>
    <w:pPr>
      <w:widowControl w:val="0"/>
      <w:outlineLvl w:val="2"/>
    </w:pPr>
    <w:rPr>
      <w:rFonts w:ascii="Calibri" w:eastAsia="Times New Roman" w:hAnsi="Calibri"/>
      <w:b/>
    </w:rPr>
  </w:style>
  <w:style w:type="character" w:customStyle="1" w:styleId="Poznmkapodarou">
    <w:name w:val="Poznámka pod čarou_"/>
    <w:basedOn w:val="Standardnpsmoodstavce"/>
    <w:link w:val="Poznmkapodarou0"/>
    <w:rsid w:val="00BE15FE"/>
    <w:rPr>
      <w:rFonts w:eastAsia="Arial" w:cs="Arial"/>
      <w:sz w:val="20"/>
      <w:szCs w:val="20"/>
      <w:shd w:val="clear" w:color="auto" w:fill="FFFFFF"/>
    </w:rPr>
  </w:style>
  <w:style w:type="paragraph" w:customStyle="1" w:styleId="Poznmkapodarou0">
    <w:name w:val="Poznámka pod čarou"/>
    <w:basedOn w:val="Normln"/>
    <w:link w:val="Poznmkapodarou"/>
    <w:rsid w:val="00BE15FE"/>
    <w:pPr>
      <w:widowControl w:val="0"/>
      <w:shd w:val="clear" w:color="auto" w:fill="FFFFFF"/>
      <w:spacing w:line="271" w:lineRule="auto"/>
      <w:jc w:val="both"/>
    </w:pPr>
    <w:rPr>
      <w:rFonts w:ascii="Calibri" w:eastAsia="Arial" w:hAnsi="Calibri" w:cs="Arial"/>
      <w:sz w:val="20"/>
      <w:szCs w:val="20"/>
    </w:rPr>
  </w:style>
  <w:style w:type="character" w:customStyle="1" w:styleId="Nadpis30">
    <w:name w:val="Nadpis #3_"/>
    <w:basedOn w:val="Standardnpsmoodstavce"/>
    <w:link w:val="Nadpis31"/>
    <w:rsid w:val="00BE15FE"/>
    <w:rPr>
      <w:rFonts w:ascii="Arial" w:eastAsia="Arial" w:hAnsi="Arial" w:cs="Arial"/>
      <w:b/>
      <w:bCs/>
      <w:shd w:val="clear" w:color="auto" w:fill="FFFFFF"/>
    </w:rPr>
  </w:style>
  <w:style w:type="paragraph" w:customStyle="1" w:styleId="Nadpis31">
    <w:name w:val="Nadpis #3"/>
    <w:basedOn w:val="Normln"/>
    <w:link w:val="Nadpis30"/>
    <w:rsid w:val="00BE15FE"/>
    <w:pPr>
      <w:widowControl w:val="0"/>
      <w:shd w:val="clear" w:color="auto" w:fill="FFFFFF"/>
      <w:spacing w:line="276" w:lineRule="auto"/>
      <w:jc w:val="both"/>
      <w:outlineLvl w:val="2"/>
    </w:pPr>
    <w:rPr>
      <w:rFonts w:ascii="Arial" w:eastAsia="Arial" w:hAnsi="Arial" w:cs="Arial"/>
      <w:b/>
      <w:bCs/>
    </w:rPr>
  </w:style>
  <w:style w:type="character" w:customStyle="1" w:styleId="Zkladntext2">
    <w:name w:val="Základní text (2)_"/>
    <w:basedOn w:val="Standardnpsmoodstavce"/>
    <w:link w:val="Zkladntext20"/>
    <w:rsid w:val="00BE15FE"/>
    <w:rPr>
      <w:rFonts w:ascii="Arial" w:eastAsia="Arial" w:hAnsi="Arial" w:cs="Arial"/>
      <w:sz w:val="20"/>
      <w:szCs w:val="20"/>
      <w:shd w:val="clear" w:color="auto" w:fill="FFFFFF"/>
    </w:rPr>
  </w:style>
  <w:style w:type="paragraph" w:customStyle="1" w:styleId="Zkladntext20">
    <w:name w:val="Základní text (2)"/>
    <w:basedOn w:val="Normln"/>
    <w:link w:val="Zkladntext2"/>
    <w:rsid w:val="00BE15FE"/>
    <w:pPr>
      <w:widowControl w:val="0"/>
      <w:shd w:val="clear" w:color="auto" w:fill="FFFFFF"/>
      <w:spacing w:line="254" w:lineRule="auto"/>
    </w:pPr>
    <w:rPr>
      <w:rFonts w:ascii="Arial" w:eastAsia="Arial" w:hAnsi="Arial" w:cs="Arial"/>
      <w:sz w:val="20"/>
      <w:szCs w:val="20"/>
    </w:rPr>
  </w:style>
  <w:style w:type="character" w:customStyle="1" w:styleId="Zkladntext3">
    <w:name w:val="Základní text (3)_"/>
    <w:basedOn w:val="Standardnpsmoodstavce"/>
    <w:link w:val="Zkladntext30"/>
    <w:rsid w:val="00BE15FE"/>
    <w:rPr>
      <w:rFonts w:ascii="Arial" w:eastAsia="Arial" w:hAnsi="Arial" w:cs="Arial"/>
      <w:sz w:val="13"/>
      <w:szCs w:val="13"/>
      <w:shd w:val="clear" w:color="auto" w:fill="FFFFFF"/>
    </w:rPr>
  </w:style>
  <w:style w:type="paragraph" w:customStyle="1" w:styleId="Zkladntext30">
    <w:name w:val="Základní text (3)"/>
    <w:basedOn w:val="Normln"/>
    <w:link w:val="Zkladntext3"/>
    <w:rsid w:val="00BE15FE"/>
    <w:pPr>
      <w:widowControl w:val="0"/>
      <w:shd w:val="clear" w:color="auto" w:fill="FFFFFF"/>
    </w:pPr>
    <w:rPr>
      <w:rFonts w:ascii="Arial" w:eastAsia="Arial" w:hAnsi="Arial" w:cs="Arial"/>
      <w:sz w:val="13"/>
      <w:szCs w:val="13"/>
    </w:rPr>
  </w:style>
  <w:style w:type="character" w:customStyle="1" w:styleId="Jin">
    <w:name w:val="Jiné_"/>
    <w:basedOn w:val="Standardnpsmoodstavce"/>
    <w:link w:val="Jin0"/>
    <w:rsid w:val="00BE15FE"/>
    <w:rPr>
      <w:rFonts w:ascii="Arial" w:eastAsia="Arial" w:hAnsi="Arial" w:cs="Arial"/>
      <w:shd w:val="clear" w:color="auto" w:fill="FFFFFF"/>
    </w:rPr>
  </w:style>
  <w:style w:type="paragraph" w:customStyle="1" w:styleId="Jin0">
    <w:name w:val="Jiné"/>
    <w:basedOn w:val="Normln"/>
    <w:link w:val="Jin"/>
    <w:rsid w:val="00BE15FE"/>
    <w:pPr>
      <w:widowControl w:val="0"/>
      <w:shd w:val="clear" w:color="auto" w:fill="FFFFFF"/>
      <w:spacing w:line="276" w:lineRule="auto"/>
      <w:jc w:val="both"/>
    </w:pPr>
    <w:rPr>
      <w:rFonts w:ascii="Arial" w:eastAsia="Arial" w:hAnsi="Arial" w:cs="Arial"/>
    </w:rPr>
  </w:style>
  <w:style w:type="paragraph" w:customStyle="1" w:styleId="Podmnky">
    <w:name w:val="Podmínky"/>
    <w:basedOn w:val="Odstavecseseznamem"/>
    <w:link w:val="PodmnkyChar"/>
    <w:rsid w:val="00BE15FE"/>
    <w:pPr>
      <w:numPr>
        <w:numId w:val="5"/>
      </w:numPr>
      <w:spacing w:before="120" w:after="120" w:line="276" w:lineRule="auto"/>
    </w:pPr>
    <w:rPr>
      <w:rFonts w:ascii="Segoe UI" w:hAnsi="Segoe UI"/>
      <w:sz w:val="20"/>
      <w:szCs w:val="22"/>
    </w:rPr>
  </w:style>
  <w:style w:type="character" w:customStyle="1" w:styleId="PodmnkyChar">
    <w:name w:val="Podmínky Char"/>
    <w:basedOn w:val="Standardnpsmoodstavce"/>
    <w:link w:val="Podmnky"/>
    <w:rsid w:val="00BE15FE"/>
    <w:rPr>
      <w:rFonts w:ascii="Segoe UI" w:eastAsiaTheme="minorHAnsi" w:hAnsi="Segoe UI"/>
      <w:sz w:val="20"/>
      <w:szCs w:val="22"/>
    </w:rPr>
  </w:style>
  <w:style w:type="paragraph" w:customStyle="1" w:styleId="Odvolacaadresndaje">
    <w:name w:val="Odvolací a adresní údaje"/>
    <w:link w:val="OdvolacaadresndajeChar"/>
    <w:uiPriority w:val="1"/>
    <w:rsid w:val="00BE15FE"/>
    <w:pPr>
      <w:spacing w:line="276" w:lineRule="auto"/>
    </w:pPr>
    <w:rPr>
      <w:rFonts w:ascii="Verdana" w:eastAsia="Calibri" w:hAnsi="Verdana" w:cs="Arial"/>
      <w:noProof/>
      <w:sz w:val="18"/>
      <w:szCs w:val="16"/>
      <w:lang w:eastAsia="cs-CZ"/>
    </w:rPr>
  </w:style>
  <w:style w:type="character" w:customStyle="1" w:styleId="OdvolacaadresndajeChar">
    <w:name w:val="Odvolací a adresní údaje Char"/>
    <w:link w:val="Odvolacaadresndaje"/>
    <w:uiPriority w:val="1"/>
    <w:rsid w:val="00BE15FE"/>
    <w:rPr>
      <w:rFonts w:ascii="Verdana" w:eastAsia="Calibri" w:hAnsi="Verdana" w:cs="Arial"/>
      <w:noProof/>
      <w:sz w:val="18"/>
      <w:szCs w:val="16"/>
      <w:lang w:eastAsia="cs-CZ"/>
    </w:rPr>
  </w:style>
  <w:style w:type="character" w:customStyle="1" w:styleId="epsmall">
    <w:name w:val="ep_small"/>
    <w:basedOn w:val="Standardnpsmoodstavce"/>
    <w:rsid w:val="00BE15FE"/>
  </w:style>
  <w:style w:type="character" w:customStyle="1" w:styleId="epmedium">
    <w:name w:val="ep_medium"/>
    <w:basedOn w:val="Standardnpsmoodstavce"/>
    <w:rsid w:val="00BE15FE"/>
  </w:style>
  <w:style w:type="character" w:customStyle="1" w:styleId="eplarge">
    <w:name w:val="ep_large"/>
    <w:basedOn w:val="Standardnpsmoodstavce"/>
    <w:rsid w:val="00BE15FE"/>
  </w:style>
  <w:style w:type="character" w:customStyle="1" w:styleId="epname">
    <w:name w:val="ep_name"/>
    <w:basedOn w:val="Standardnpsmoodstavce"/>
    <w:rsid w:val="00BE15FE"/>
  </w:style>
  <w:style w:type="paragraph" w:customStyle="1" w:styleId="ep-wysiwigparagraph">
    <w:name w:val="ep-wysiwig_paragraph"/>
    <w:basedOn w:val="Normln"/>
    <w:rsid w:val="00BE15FE"/>
    <w:pPr>
      <w:spacing w:before="100" w:beforeAutospacing="1" w:after="100" w:afterAutospacing="1"/>
    </w:pPr>
    <w:rPr>
      <w:rFonts w:ascii="Times New Roman" w:eastAsia="Times New Roman" w:hAnsi="Times New Roman" w:cs="Times New Roman"/>
      <w:lang w:eastAsia="cs-CZ"/>
    </w:rPr>
  </w:style>
  <w:style w:type="paragraph" w:styleId="Zkladntext21">
    <w:name w:val="Body Text 2"/>
    <w:basedOn w:val="Normln"/>
    <w:link w:val="Zkladntext2Char"/>
    <w:unhideWhenUsed/>
    <w:rsid w:val="00004505"/>
    <w:pPr>
      <w:jc w:val="center"/>
    </w:pPr>
    <w:rPr>
      <w:rFonts w:ascii="Arial" w:eastAsia="Times New Roman" w:hAnsi="Arial" w:cs="Times New Roman"/>
      <w:b/>
      <w:szCs w:val="20"/>
      <w:lang w:eastAsia="cs-CZ"/>
    </w:rPr>
  </w:style>
  <w:style w:type="character" w:customStyle="1" w:styleId="Zkladntext2Char">
    <w:name w:val="Základní text 2 Char"/>
    <w:basedOn w:val="Standardnpsmoodstavce"/>
    <w:link w:val="Zkladntext21"/>
    <w:rsid w:val="00004505"/>
    <w:rPr>
      <w:rFonts w:ascii="Arial" w:hAnsi="Arial" w:cs="Times New Roman"/>
      <w:b/>
      <w:szCs w:val="20"/>
      <w:lang w:eastAsia="cs-CZ"/>
    </w:rPr>
  </w:style>
  <w:style w:type="paragraph" w:customStyle="1" w:styleId="Bul4">
    <w:name w:val="Bul4"/>
    <w:basedOn w:val="Normln"/>
    <w:uiPriority w:val="99"/>
    <w:rsid w:val="00004505"/>
    <w:pPr>
      <w:numPr>
        <w:numId w:val="9"/>
      </w:numPr>
      <w:jc w:val="both"/>
    </w:pPr>
    <w:rPr>
      <w:rFonts w:ascii="Times New Roman" w:eastAsia="Times New Roman" w:hAnsi="Times New Roman" w:cs="Times New Roman"/>
      <w:sz w:val="20"/>
      <w:szCs w:val="20"/>
    </w:rPr>
  </w:style>
  <w:style w:type="character" w:customStyle="1" w:styleId="KP-normlntextChar">
    <w:name w:val="KP-normální text Char"/>
    <w:link w:val="KP-normlntext"/>
    <w:locked/>
    <w:rsid w:val="00004505"/>
    <w:rPr>
      <w:rFonts w:cs="Arial"/>
      <w:color w:val="000000"/>
    </w:rPr>
  </w:style>
  <w:style w:type="paragraph" w:customStyle="1" w:styleId="KP-normlntext">
    <w:name w:val="KP-normální text"/>
    <w:basedOn w:val="Normln"/>
    <w:link w:val="KP-normlntextChar"/>
    <w:rsid w:val="00004505"/>
    <w:pPr>
      <w:jc w:val="both"/>
    </w:pPr>
    <w:rPr>
      <w:rFonts w:ascii="Calibri" w:eastAsia="Times New Roman" w:hAnsi="Calibri" w:cs="Arial"/>
      <w:color w:val="000000"/>
    </w:rPr>
  </w:style>
  <w:style w:type="character" w:customStyle="1" w:styleId="nadpismjChar">
    <w:name w:val="nadpis můj Char"/>
    <w:link w:val="nadpismj"/>
    <w:locked/>
    <w:rsid w:val="00004505"/>
    <w:rPr>
      <w:rFonts w:ascii="Arial" w:hAnsi="Arial" w:cs="Arial"/>
      <w:b/>
      <w:bCs/>
      <w:spacing w:val="16"/>
      <w:kern w:val="28"/>
    </w:rPr>
  </w:style>
  <w:style w:type="paragraph" w:customStyle="1" w:styleId="nadpismj">
    <w:name w:val="nadpis můj"/>
    <w:basedOn w:val="Nadpis2"/>
    <w:link w:val="nadpismjChar"/>
    <w:rsid w:val="00004505"/>
    <w:pPr>
      <w:keepNext/>
      <w:widowControl/>
      <w:numPr>
        <w:numId w:val="10"/>
      </w:numPr>
      <w:spacing w:before="480" w:after="360" w:line="260" w:lineRule="exact"/>
      <w:jc w:val="center"/>
    </w:pPr>
    <w:rPr>
      <w:rFonts w:ascii="Arial" w:eastAsia="Times New Roman" w:hAnsi="Arial" w:cs="Arial"/>
      <w:bCs/>
      <w:spacing w:val="16"/>
      <w:kern w:val="28"/>
      <w:szCs w:val="24"/>
    </w:rPr>
  </w:style>
  <w:style w:type="paragraph" w:customStyle="1" w:styleId="StylVpravo05cmPed6b">
    <w:name w:val="Styl Vpravo:  05 cm Před:  6 b."/>
    <w:basedOn w:val="Normln"/>
    <w:rsid w:val="00004505"/>
    <w:pPr>
      <w:spacing w:before="120" w:after="20"/>
      <w:jc w:val="both"/>
    </w:pPr>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unhideWhenUsed/>
    <w:rsid w:val="00004505"/>
    <w:pPr>
      <w:spacing w:line="276" w:lineRule="auto"/>
      <w:ind w:left="283"/>
    </w:pPr>
    <w:rPr>
      <w:rFonts w:ascii="Calibri" w:eastAsia="Calibri" w:hAnsi="Calibri" w:cs="Times New Roman"/>
      <w:sz w:val="22"/>
      <w:szCs w:val="22"/>
    </w:rPr>
  </w:style>
  <w:style w:type="character" w:customStyle="1" w:styleId="ZkladntextodsazenChar">
    <w:name w:val="Základní text odsazený Char"/>
    <w:basedOn w:val="Standardnpsmoodstavce"/>
    <w:link w:val="Zkladntextodsazen"/>
    <w:uiPriority w:val="99"/>
    <w:rsid w:val="00004505"/>
    <w:rPr>
      <w:rFonts w:eastAsia="Calibri" w:cs="Times New Roman"/>
      <w:sz w:val="22"/>
      <w:szCs w:val="22"/>
    </w:rPr>
  </w:style>
  <w:style w:type="paragraph" w:customStyle="1" w:styleId="Odrkybod">
    <w:name w:val="Odrážky_bod"/>
    <w:basedOn w:val="Odstavecseseznamem"/>
    <w:uiPriority w:val="99"/>
    <w:qFormat/>
    <w:rsid w:val="00004505"/>
    <w:pPr>
      <w:numPr>
        <w:numId w:val="11"/>
      </w:numPr>
      <w:spacing w:before="120" w:after="120" w:line="360" w:lineRule="auto"/>
      <w:contextualSpacing/>
    </w:pPr>
    <w:rPr>
      <w:rFonts w:ascii="Arial" w:hAnsi="Arial" w:cs="Arial"/>
      <w:sz w:val="20"/>
      <w:szCs w:val="20"/>
    </w:rPr>
  </w:style>
  <w:style w:type="paragraph" w:customStyle="1" w:styleId="Normlnslovna">
    <w:name w:val="Normální Číslování a)"/>
    <w:basedOn w:val="Normln"/>
    <w:uiPriority w:val="99"/>
    <w:rsid w:val="00004505"/>
    <w:pPr>
      <w:numPr>
        <w:numId w:val="12"/>
      </w:numPr>
      <w:tabs>
        <w:tab w:val="left" w:pos="624"/>
      </w:tabs>
      <w:suppressAutoHyphens/>
      <w:spacing w:before="20"/>
    </w:pPr>
    <w:rPr>
      <w:rFonts w:ascii="Times New Roman" w:eastAsia="Times New Roman" w:hAnsi="Times New Roman" w:cs="Times New Roman"/>
      <w:lang w:eastAsia="cs-CZ"/>
    </w:rPr>
  </w:style>
  <w:style w:type="paragraph" w:customStyle="1" w:styleId="Hlavnnadpis">
    <w:name w:val="Hlavní nadpis"/>
    <w:basedOn w:val="Normln"/>
    <w:next w:val="TextKP"/>
    <w:link w:val="HlavnnadpisChar"/>
    <w:qFormat/>
    <w:rsid w:val="005B6FF1"/>
    <w:pPr>
      <w:numPr>
        <w:numId w:val="16"/>
      </w:numPr>
      <w:spacing w:before="240" w:after="240"/>
      <w:ind w:left="170" w:hanging="170"/>
      <w:jc w:val="center"/>
      <w:outlineLvl w:val="0"/>
    </w:pPr>
    <w:rPr>
      <w:b/>
      <w:sz w:val="28"/>
    </w:rPr>
  </w:style>
  <w:style w:type="character" w:customStyle="1" w:styleId="HlavnnadpisChar">
    <w:name w:val="Hlavní nadpis Char"/>
    <w:basedOn w:val="Nadpis1Char"/>
    <w:link w:val="Hlavnnadpis"/>
    <w:rsid w:val="005B6FF1"/>
    <w:rPr>
      <w:rFonts w:asciiTheme="minorHAnsi" w:eastAsiaTheme="minorHAnsi" w:hAnsiTheme="minorHAnsi" w:cstheme="minorHAnsi"/>
      <w:b/>
      <w:sz w:val="28"/>
    </w:rPr>
  </w:style>
  <w:style w:type="character" w:customStyle="1" w:styleId="ui-provider">
    <w:name w:val="ui-provider"/>
    <w:basedOn w:val="Standardnpsmoodstavce"/>
    <w:rsid w:val="002A7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4705">
      <w:bodyDiv w:val="1"/>
      <w:marLeft w:val="0"/>
      <w:marRight w:val="0"/>
      <w:marTop w:val="0"/>
      <w:marBottom w:val="0"/>
      <w:divBdr>
        <w:top w:val="none" w:sz="0" w:space="0" w:color="auto"/>
        <w:left w:val="none" w:sz="0" w:space="0" w:color="auto"/>
        <w:bottom w:val="none" w:sz="0" w:space="0" w:color="auto"/>
        <w:right w:val="none" w:sz="0" w:space="0" w:color="auto"/>
      </w:divBdr>
    </w:div>
    <w:div w:id="24066816">
      <w:bodyDiv w:val="1"/>
      <w:marLeft w:val="0"/>
      <w:marRight w:val="0"/>
      <w:marTop w:val="0"/>
      <w:marBottom w:val="0"/>
      <w:divBdr>
        <w:top w:val="none" w:sz="0" w:space="0" w:color="auto"/>
        <w:left w:val="none" w:sz="0" w:space="0" w:color="auto"/>
        <w:bottom w:val="none" w:sz="0" w:space="0" w:color="auto"/>
        <w:right w:val="none" w:sz="0" w:space="0" w:color="auto"/>
      </w:divBdr>
    </w:div>
    <w:div w:id="42104009">
      <w:bodyDiv w:val="1"/>
      <w:marLeft w:val="0"/>
      <w:marRight w:val="0"/>
      <w:marTop w:val="0"/>
      <w:marBottom w:val="0"/>
      <w:divBdr>
        <w:top w:val="none" w:sz="0" w:space="0" w:color="auto"/>
        <w:left w:val="none" w:sz="0" w:space="0" w:color="auto"/>
        <w:bottom w:val="none" w:sz="0" w:space="0" w:color="auto"/>
        <w:right w:val="none" w:sz="0" w:space="0" w:color="auto"/>
      </w:divBdr>
    </w:div>
    <w:div w:id="146360054">
      <w:bodyDiv w:val="1"/>
      <w:marLeft w:val="0"/>
      <w:marRight w:val="0"/>
      <w:marTop w:val="0"/>
      <w:marBottom w:val="0"/>
      <w:divBdr>
        <w:top w:val="none" w:sz="0" w:space="0" w:color="auto"/>
        <w:left w:val="none" w:sz="0" w:space="0" w:color="auto"/>
        <w:bottom w:val="none" w:sz="0" w:space="0" w:color="auto"/>
        <w:right w:val="none" w:sz="0" w:space="0" w:color="auto"/>
      </w:divBdr>
    </w:div>
    <w:div w:id="190648383">
      <w:bodyDiv w:val="1"/>
      <w:marLeft w:val="0"/>
      <w:marRight w:val="0"/>
      <w:marTop w:val="0"/>
      <w:marBottom w:val="0"/>
      <w:divBdr>
        <w:top w:val="none" w:sz="0" w:space="0" w:color="auto"/>
        <w:left w:val="none" w:sz="0" w:space="0" w:color="auto"/>
        <w:bottom w:val="none" w:sz="0" w:space="0" w:color="auto"/>
        <w:right w:val="none" w:sz="0" w:space="0" w:color="auto"/>
      </w:divBdr>
    </w:div>
    <w:div w:id="231620296">
      <w:bodyDiv w:val="1"/>
      <w:marLeft w:val="0"/>
      <w:marRight w:val="0"/>
      <w:marTop w:val="0"/>
      <w:marBottom w:val="0"/>
      <w:divBdr>
        <w:top w:val="none" w:sz="0" w:space="0" w:color="auto"/>
        <w:left w:val="none" w:sz="0" w:space="0" w:color="auto"/>
        <w:bottom w:val="none" w:sz="0" w:space="0" w:color="auto"/>
        <w:right w:val="none" w:sz="0" w:space="0" w:color="auto"/>
      </w:divBdr>
    </w:div>
    <w:div w:id="306516833">
      <w:bodyDiv w:val="1"/>
      <w:marLeft w:val="0"/>
      <w:marRight w:val="0"/>
      <w:marTop w:val="0"/>
      <w:marBottom w:val="0"/>
      <w:divBdr>
        <w:top w:val="none" w:sz="0" w:space="0" w:color="auto"/>
        <w:left w:val="none" w:sz="0" w:space="0" w:color="auto"/>
        <w:bottom w:val="none" w:sz="0" w:space="0" w:color="auto"/>
        <w:right w:val="none" w:sz="0" w:space="0" w:color="auto"/>
      </w:divBdr>
    </w:div>
    <w:div w:id="371349326">
      <w:bodyDiv w:val="1"/>
      <w:marLeft w:val="0"/>
      <w:marRight w:val="0"/>
      <w:marTop w:val="0"/>
      <w:marBottom w:val="0"/>
      <w:divBdr>
        <w:top w:val="none" w:sz="0" w:space="0" w:color="auto"/>
        <w:left w:val="none" w:sz="0" w:space="0" w:color="auto"/>
        <w:bottom w:val="none" w:sz="0" w:space="0" w:color="auto"/>
        <w:right w:val="none" w:sz="0" w:space="0" w:color="auto"/>
      </w:divBdr>
    </w:div>
    <w:div w:id="587428307">
      <w:bodyDiv w:val="1"/>
      <w:marLeft w:val="0"/>
      <w:marRight w:val="0"/>
      <w:marTop w:val="0"/>
      <w:marBottom w:val="0"/>
      <w:divBdr>
        <w:top w:val="none" w:sz="0" w:space="0" w:color="auto"/>
        <w:left w:val="none" w:sz="0" w:space="0" w:color="auto"/>
        <w:bottom w:val="none" w:sz="0" w:space="0" w:color="auto"/>
        <w:right w:val="none" w:sz="0" w:space="0" w:color="auto"/>
      </w:divBdr>
    </w:div>
    <w:div w:id="589318282">
      <w:bodyDiv w:val="1"/>
      <w:marLeft w:val="0"/>
      <w:marRight w:val="0"/>
      <w:marTop w:val="0"/>
      <w:marBottom w:val="0"/>
      <w:divBdr>
        <w:top w:val="none" w:sz="0" w:space="0" w:color="auto"/>
        <w:left w:val="none" w:sz="0" w:space="0" w:color="auto"/>
        <w:bottom w:val="none" w:sz="0" w:space="0" w:color="auto"/>
        <w:right w:val="none" w:sz="0" w:space="0" w:color="auto"/>
      </w:divBdr>
    </w:div>
    <w:div w:id="699011576">
      <w:bodyDiv w:val="1"/>
      <w:marLeft w:val="0"/>
      <w:marRight w:val="0"/>
      <w:marTop w:val="0"/>
      <w:marBottom w:val="0"/>
      <w:divBdr>
        <w:top w:val="none" w:sz="0" w:space="0" w:color="auto"/>
        <w:left w:val="none" w:sz="0" w:space="0" w:color="auto"/>
        <w:bottom w:val="none" w:sz="0" w:space="0" w:color="auto"/>
        <w:right w:val="none" w:sz="0" w:space="0" w:color="auto"/>
      </w:divBdr>
    </w:div>
    <w:div w:id="728571257">
      <w:bodyDiv w:val="1"/>
      <w:marLeft w:val="0"/>
      <w:marRight w:val="0"/>
      <w:marTop w:val="0"/>
      <w:marBottom w:val="0"/>
      <w:divBdr>
        <w:top w:val="none" w:sz="0" w:space="0" w:color="auto"/>
        <w:left w:val="none" w:sz="0" w:space="0" w:color="auto"/>
        <w:bottom w:val="none" w:sz="0" w:space="0" w:color="auto"/>
        <w:right w:val="none" w:sz="0" w:space="0" w:color="auto"/>
      </w:divBdr>
    </w:div>
    <w:div w:id="744912574">
      <w:bodyDiv w:val="1"/>
      <w:marLeft w:val="0"/>
      <w:marRight w:val="0"/>
      <w:marTop w:val="0"/>
      <w:marBottom w:val="0"/>
      <w:divBdr>
        <w:top w:val="none" w:sz="0" w:space="0" w:color="auto"/>
        <w:left w:val="none" w:sz="0" w:space="0" w:color="auto"/>
        <w:bottom w:val="none" w:sz="0" w:space="0" w:color="auto"/>
        <w:right w:val="none" w:sz="0" w:space="0" w:color="auto"/>
      </w:divBdr>
    </w:div>
    <w:div w:id="774440509">
      <w:bodyDiv w:val="1"/>
      <w:marLeft w:val="0"/>
      <w:marRight w:val="0"/>
      <w:marTop w:val="0"/>
      <w:marBottom w:val="0"/>
      <w:divBdr>
        <w:top w:val="none" w:sz="0" w:space="0" w:color="auto"/>
        <w:left w:val="none" w:sz="0" w:space="0" w:color="auto"/>
        <w:bottom w:val="none" w:sz="0" w:space="0" w:color="auto"/>
        <w:right w:val="none" w:sz="0" w:space="0" w:color="auto"/>
      </w:divBdr>
    </w:div>
    <w:div w:id="786655895">
      <w:bodyDiv w:val="1"/>
      <w:marLeft w:val="0"/>
      <w:marRight w:val="0"/>
      <w:marTop w:val="0"/>
      <w:marBottom w:val="0"/>
      <w:divBdr>
        <w:top w:val="none" w:sz="0" w:space="0" w:color="auto"/>
        <w:left w:val="none" w:sz="0" w:space="0" w:color="auto"/>
        <w:bottom w:val="none" w:sz="0" w:space="0" w:color="auto"/>
        <w:right w:val="none" w:sz="0" w:space="0" w:color="auto"/>
      </w:divBdr>
    </w:div>
    <w:div w:id="923219495">
      <w:bodyDiv w:val="1"/>
      <w:marLeft w:val="0"/>
      <w:marRight w:val="0"/>
      <w:marTop w:val="0"/>
      <w:marBottom w:val="0"/>
      <w:divBdr>
        <w:top w:val="none" w:sz="0" w:space="0" w:color="auto"/>
        <w:left w:val="none" w:sz="0" w:space="0" w:color="auto"/>
        <w:bottom w:val="none" w:sz="0" w:space="0" w:color="auto"/>
        <w:right w:val="none" w:sz="0" w:space="0" w:color="auto"/>
      </w:divBdr>
    </w:div>
    <w:div w:id="1053967859">
      <w:bodyDiv w:val="1"/>
      <w:marLeft w:val="0"/>
      <w:marRight w:val="0"/>
      <w:marTop w:val="0"/>
      <w:marBottom w:val="0"/>
      <w:divBdr>
        <w:top w:val="none" w:sz="0" w:space="0" w:color="auto"/>
        <w:left w:val="none" w:sz="0" w:space="0" w:color="auto"/>
        <w:bottom w:val="none" w:sz="0" w:space="0" w:color="auto"/>
        <w:right w:val="none" w:sz="0" w:space="0" w:color="auto"/>
      </w:divBdr>
    </w:div>
    <w:div w:id="1176845948">
      <w:bodyDiv w:val="1"/>
      <w:marLeft w:val="0"/>
      <w:marRight w:val="0"/>
      <w:marTop w:val="0"/>
      <w:marBottom w:val="0"/>
      <w:divBdr>
        <w:top w:val="none" w:sz="0" w:space="0" w:color="auto"/>
        <w:left w:val="none" w:sz="0" w:space="0" w:color="auto"/>
        <w:bottom w:val="none" w:sz="0" w:space="0" w:color="auto"/>
        <w:right w:val="none" w:sz="0" w:space="0" w:color="auto"/>
      </w:divBdr>
    </w:div>
    <w:div w:id="1199200058">
      <w:bodyDiv w:val="1"/>
      <w:marLeft w:val="0"/>
      <w:marRight w:val="0"/>
      <w:marTop w:val="0"/>
      <w:marBottom w:val="0"/>
      <w:divBdr>
        <w:top w:val="none" w:sz="0" w:space="0" w:color="auto"/>
        <w:left w:val="none" w:sz="0" w:space="0" w:color="auto"/>
        <w:bottom w:val="none" w:sz="0" w:space="0" w:color="auto"/>
        <w:right w:val="none" w:sz="0" w:space="0" w:color="auto"/>
      </w:divBdr>
    </w:div>
    <w:div w:id="1206525634">
      <w:bodyDiv w:val="1"/>
      <w:marLeft w:val="0"/>
      <w:marRight w:val="0"/>
      <w:marTop w:val="0"/>
      <w:marBottom w:val="0"/>
      <w:divBdr>
        <w:top w:val="none" w:sz="0" w:space="0" w:color="auto"/>
        <w:left w:val="none" w:sz="0" w:space="0" w:color="auto"/>
        <w:bottom w:val="none" w:sz="0" w:space="0" w:color="auto"/>
        <w:right w:val="none" w:sz="0" w:space="0" w:color="auto"/>
      </w:divBdr>
    </w:div>
    <w:div w:id="1227296385">
      <w:bodyDiv w:val="1"/>
      <w:marLeft w:val="0"/>
      <w:marRight w:val="0"/>
      <w:marTop w:val="0"/>
      <w:marBottom w:val="0"/>
      <w:divBdr>
        <w:top w:val="none" w:sz="0" w:space="0" w:color="auto"/>
        <w:left w:val="none" w:sz="0" w:space="0" w:color="auto"/>
        <w:bottom w:val="none" w:sz="0" w:space="0" w:color="auto"/>
        <w:right w:val="none" w:sz="0" w:space="0" w:color="auto"/>
      </w:divBdr>
    </w:div>
    <w:div w:id="1245142391">
      <w:bodyDiv w:val="1"/>
      <w:marLeft w:val="0"/>
      <w:marRight w:val="0"/>
      <w:marTop w:val="0"/>
      <w:marBottom w:val="0"/>
      <w:divBdr>
        <w:top w:val="none" w:sz="0" w:space="0" w:color="auto"/>
        <w:left w:val="none" w:sz="0" w:space="0" w:color="auto"/>
        <w:bottom w:val="none" w:sz="0" w:space="0" w:color="auto"/>
        <w:right w:val="none" w:sz="0" w:space="0" w:color="auto"/>
      </w:divBdr>
    </w:div>
    <w:div w:id="1338463684">
      <w:bodyDiv w:val="1"/>
      <w:marLeft w:val="0"/>
      <w:marRight w:val="0"/>
      <w:marTop w:val="0"/>
      <w:marBottom w:val="0"/>
      <w:divBdr>
        <w:top w:val="none" w:sz="0" w:space="0" w:color="auto"/>
        <w:left w:val="none" w:sz="0" w:space="0" w:color="auto"/>
        <w:bottom w:val="none" w:sz="0" w:space="0" w:color="auto"/>
        <w:right w:val="none" w:sz="0" w:space="0" w:color="auto"/>
      </w:divBdr>
    </w:div>
    <w:div w:id="1534071208">
      <w:bodyDiv w:val="1"/>
      <w:marLeft w:val="0"/>
      <w:marRight w:val="0"/>
      <w:marTop w:val="0"/>
      <w:marBottom w:val="0"/>
      <w:divBdr>
        <w:top w:val="none" w:sz="0" w:space="0" w:color="auto"/>
        <w:left w:val="none" w:sz="0" w:space="0" w:color="auto"/>
        <w:bottom w:val="none" w:sz="0" w:space="0" w:color="auto"/>
        <w:right w:val="none" w:sz="0" w:space="0" w:color="auto"/>
      </w:divBdr>
    </w:div>
    <w:div w:id="1549416760">
      <w:bodyDiv w:val="1"/>
      <w:marLeft w:val="0"/>
      <w:marRight w:val="0"/>
      <w:marTop w:val="0"/>
      <w:marBottom w:val="0"/>
      <w:divBdr>
        <w:top w:val="none" w:sz="0" w:space="0" w:color="auto"/>
        <w:left w:val="none" w:sz="0" w:space="0" w:color="auto"/>
        <w:bottom w:val="none" w:sz="0" w:space="0" w:color="auto"/>
        <w:right w:val="none" w:sz="0" w:space="0" w:color="auto"/>
      </w:divBdr>
    </w:div>
    <w:div w:id="1582906466">
      <w:bodyDiv w:val="1"/>
      <w:marLeft w:val="0"/>
      <w:marRight w:val="0"/>
      <w:marTop w:val="0"/>
      <w:marBottom w:val="0"/>
      <w:divBdr>
        <w:top w:val="none" w:sz="0" w:space="0" w:color="auto"/>
        <w:left w:val="none" w:sz="0" w:space="0" w:color="auto"/>
        <w:bottom w:val="none" w:sz="0" w:space="0" w:color="auto"/>
        <w:right w:val="none" w:sz="0" w:space="0" w:color="auto"/>
      </w:divBdr>
    </w:div>
    <w:div w:id="1645423493">
      <w:bodyDiv w:val="1"/>
      <w:marLeft w:val="0"/>
      <w:marRight w:val="0"/>
      <w:marTop w:val="0"/>
      <w:marBottom w:val="0"/>
      <w:divBdr>
        <w:top w:val="none" w:sz="0" w:space="0" w:color="auto"/>
        <w:left w:val="none" w:sz="0" w:space="0" w:color="auto"/>
        <w:bottom w:val="none" w:sz="0" w:space="0" w:color="auto"/>
        <w:right w:val="none" w:sz="0" w:space="0" w:color="auto"/>
      </w:divBdr>
    </w:div>
    <w:div w:id="1647008273">
      <w:bodyDiv w:val="1"/>
      <w:marLeft w:val="0"/>
      <w:marRight w:val="0"/>
      <w:marTop w:val="0"/>
      <w:marBottom w:val="0"/>
      <w:divBdr>
        <w:top w:val="none" w:sz="0" w:space="0" w:color="auto"/>
        <w:left w:val="none" w:sz="0" w:space="0" w:color="auto"/>
        <w:bottom w:val="none" w:sz="0" w:space="0" w:color="auto"/>
        <w:right w:val="none" w:sz="0" w:space="0" w:color="auto"/>
      </w:divBdr>
    </w:div>
    <w:div w:id="1659992110">
      <w:bodyDiv w:val="1"/>
      <w:marLeft w:val="0"/>
      <w:marRight w:val="0"/>
      <w:marTop w:val="0"/>
      <w:marBottom w:val="0"/>
      <w:divBdr>
        <w:top w:val="none" w:sz="0" w:space="0" w:color="auto"/>
        <w:left w:val="none" w:sz="0" w:space="0" w:color="auto"/>
        <w:bottom w:val="none" w:sz="0" w:space="0" w:color="auto"/>
        <w:right w:val="none" w:sz="0" w:space="0" w:color="auto"/>
      </w:divBdr>
    </w:div>
    <w:div w:id="1698504700">
      <w:bodyDiv w:val="1"/>
      <w:marLeft w:val="0"/>
      <w:marRight w:val="0"/>
      <w:marTop w:val="0"/>
      <w:marBottom w:val="0"/>
      <w:divBdr>
        <w:top w:val="none" w:sz="0" w:space="0" w:color="auto"/>
        <w:left w:val="none" w:sz="0" w:space="0" w:color="auto"/>
        <w:bottom w:val="none" w:sz="0" w:space="0" w:color="auto"/>
        <w:right w:val="none" w:sz="0" w:space="0" w:color="auto"/>
      </w:divBdr>
    </w:div>
    <w:div w:id="1735544871">
      <w:bodyDiv w:val="1"/>
      <w:marLeft w:val="0"/>
      <w:marRight w:val="0"/>
      <w:marTop w:val="0"/>
      <w:marBottom w:val="0"/>
      <w:divBdr>
        <w:top w:val="none" w:sz="0" w:space="0" w:color="auto"/>
        <w:left w:val="none" w:sz="0" w:space="0" w:color="auto"/>
        <w:bottom w:val="none" w:sz="0" w:space="0" w:color="auto"/>
        <w:right w:val="none" w:sz="0" w:space="0" w:color="auto"/>
      </w:divBdr>
    </w:div>
    <w:div w:id="1759129284">
      <w:bodyDiv w:val="1"/>
      <w:marLeft w:val="0"/>
      <w:marRight w:val="0"/>
      <w:marTop w:val="0"/>
      <w:marBottom w:val="0"/>
      <w:divBdr>
        <w:top w:val="none" w:sz="0" w:space="0" w:color="auto"/>
        <w:left w:val="none" w:sz="0" w:space="0" w:color="auto"/>
        <w:bottom w:val="none" w:sz="0" w:space="0" w:color="auto"/>
        <w:right w:val="none" w:sz="0" w:space="0" w:color="auto"/>
      </w:divBdr>
    </w:div>
    <w:div w:id="1796099868">
      <w:bodyDiv w:val="1"/>
      <w:marLeft w:val="0"/>
      <w:marRight w:val="0"/>
      <w:marTop w:val="0"/>
      <w:marBottom w:val="0"/>
      <w:divBdr>
        <w:top w:val="none" w:sz="0" w:space="0" w:color="auto"/>
        <w:left w:val="none" w:sz="0" w:space="0" w:color="auto"/>
        <w:bottom w:val="none" w:sz="0" w:space="0" w:color="auto"/>
        <w:right w:val="none" w:sz="0" w:space="0" w:color="auto"/>
      </w:divBdr>
    </w:div>
    <w:div w:id="1802571166">
      <w:bodyDiv w:val="1"/>
      <w:marLeft w:val="0"/>
      <w:marRight w:val="0"/>
      <w:marTop w:val="0"/>
      <w:marBottom w:val="0"/>
      <w:divBdr>
        <w:top w:val="none" w:sz="0" w:space="0" w:color="auto"/>
        <w:left w:val="none" w:sz="0" w:space="0" w:color="auto"/>
        <w:bottom w:val="none" w:sz="0" w:space="0" w:color="auto"/>
        <w:right w:val="none" w:sz="0" w:space="0" w:color="auto"/>
      </w:divBdr>
    </w:div>
    <w:div w:id="1867793228">
      <w:bodyDiv w:val="1"/>
      <w:marLeft w:val="0"/>
      <w:marRight w:val="0"/>
      <w:marTop w:val="0"/>
      <w:marBottom w:val="0"/>
      <w:divBdr>
        <w:top w:val="none" w:sz="0" w:space="0" w:color="auto"/>
        <w:left w:val="none" w:sz="0" w:space="0" w:color="auto"/>
        <w:bottom w:val="none" w:sz="0" w:space="0" w:color="auto"/>
        <w:right w:val="none" w:sz="0" w:space="0" w:color="auto"/>
      </w:divBdr>
    </w:div>
    <w:div w:id="1874611177">
      <w:bodyDiv w:val="1"/>
      <w:marLeft w:val="0"/>
      <w:marRight w:val="0"/>
      <w:marTop w:val="0"/>
      <w:marBottom w:val="0"/>
      <w:divBdr>
        <w:top w:val="none" w:sz="0" w:space="0" w:color="auto"/>
        <w:left w:val="none" w:sz="0" w:space="0" w:color="auto"/>
        <w:bottom w:val="none" w:sz="0" w:space="0" w:color="auto"/>
        <w:right w:val="none" w:sz="0" w:space="0" w:color="auto"/>
      </w:divBdr>
    </w:div>
    <w:div w:id="1935481351">
      <w:bodyDiv w:val="1"/>
      <w:marLeft w:val="0"/>
      <w:marRight w:val="0"/>
      <w:marTop w:val="0"/>
      <w:marBottom w:val="0"/>
      <w:divBdr>
        <w:top w:val="none" w:sz="0" w:space="0" w:color="auto"/>
        <w:left w:val="none" w:sz="0" w:space="0" w:color="auto"/>
        <w:bottom w:val="none" w:sz="0" w:space="0" w:color="auto"/>
        <w:right w:val="none" w:sz="0" w:space="0" w:color="auto"/>
      </w:divBdr>
    </w:div>
    <w:div w:id="1957252713">
      <w:bodyDiv w:val="1"/>
      <w:marLeft w:val="0"/>
      <w:marRight w:val="0"/>
      <w:marTop w:val="0"/>
      <w:marBottom w:val="0"/>
      <w:divBdr>
        <w:top w:val="none" w:sz="0" w:space="0" w:color="auto"/>
        <w:left w:val="none" w:sz="0" w:space="0" w:color="auto"/>
        <w:bottom w:val="none" w:sz="0" w:space="0" w:color="auto"/>
        <w:right w:val="none" w:sz="0" w:space="0" w:color="auto"/>
      </w:divBdr>
    </w:div>
    <w:div w:id="2019502681">
      <w:bodyDiv w:val="1"/>
      <w:marLeft w:val="0"/>
      <w:marRight w:val="0"/>
      <w:marTop w:val="0"/>
      <w:marBottom w:val="0"/>
      <w:divBdr>
        <w:top w:val="none" w:sz="0" w:space="0" w:color="auto"/>
        <w:left w:val="none" w:sz="0" w:space="0" w:color="auto"/>
        <w:bottom w:val="none" w:sz="0" w:space="0" w:color="auto"/>
        <w:right w:val="none" w:sz="0" w:space="0" w:color="auto"/>
      </w:divBdr>
    </w:div>
    <w:div w:id="2075858079">
      <w:bodyDiv w:val="1"/>
      <w:marLeft w:val="0"/>
      <w:marRight w:val="0"/>
      <w:marTop w:val="0"/>
      <w:marBottom w:val="0"/>
      <w:divBdr>
        <w:top w:val="none" w:sz="0" w:space="0" w:color="auto"/>
        <w:left w:val="none" w:sz="0" w:space="0" w:color="auto"/>
        <w:bottom w:val="none" w:sz="0" w:space="0" w:color="auto"/>
        <w:right w:val="none" w:sz="0" w:space="0" w:color="auto"/>
      </w:divBdr>
    </w:div>
    <w:div w:id="2108576142">
      <w:bodyDiv w:val="1"/>
      <w:marLeft w:val="0"/>
      <w:marRight w:val="0"/>
      <w:marTop w:val="0"/>
      <w:marBottom w:val="0"/>
      <w:divBdr>
        <w:top w:val="none" w:sz="0" w:space="0" w:color="auto"/>
        <w:left w:val="none" w:sz="0" w:space="0" w:color="auto"/>
        <w:bottom w:val="none" w:sz="0" w:space="0" w:color="auto"/>
        <w:right w:val="none" w:sz="0" w:space="0" w:color="auto"/>
      </w:divBdr>
    </w:div>
    <w:div w:id="212364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chmi.cz/files/portal/docs/uoco/isko/tab_roc/tab_roc_CZ.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ku.cz/scripts/detail.php?id=13866"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dr.eionet.europa.eu/cz/un/clrtap/inventories/envzflmhq/CZ_Annex_I_rev18-11_1990-2022_v2.0.xlsx/manage_documen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dr.eionet.europa.eu/cz/un/clrtap/inventories/envzflmhq/CZ_Annex_I_rev18-11_1990-2022_v2.0.xlsx/manage_documen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helancet.com/journals/lanpub/article/PIIS2468-2667(23)00132-9/fulltex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kumenty\KA%2023_07\Kontroln&#237;%20z&#225;v&#283;r\Podklad%20pro%20data%20do%20Kl&#237;&#269;ov&#253;ch%20fak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kumenty\KA%2023_07\Kontroln&#237;%20z&#225;v&#283;r\P&#345;ipom&#237;nky\Graf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175820577468381E-2"/>
          <c:y val="0.11542552329444561"/>
          <c:w val="0.38831605424321958"/>
          <c:h val="0.82207456352578101"/>
        </c:manualLayout>
      </c:layout>
      <c:doughnutChart>
        <c:varyColors val="1"/>
        <c:ser>
          <c:idx val="0"/>
          <c:order val="0"/>
          <c:dPt>
            <c:idx val="0"/>
            <c:bubble3D val="0"/>
            <c:spPr>
              <a:solidFill>
                <a:srgbClr val="2EB3A1"/>
              </a:solidFill>
              <a:ln w="19050">
                <a:solidFill>
                  <a:srgbClr val="2EB3A1"/>
                </a:solidFill>
              </a:ln>
              <a:effectLst/>
            </c:spPr>
            <c:extLst>
              <c:ext xmlns:c16="http://schemas.microsoft.com/office/drawing/2014/chart" uri="{C3380CC4-5D6E-409C-BE32-E72D297353CC}">
                <c16:uniqueId val="{00000001-C056-4761-A19B-DB1DCB9A8A46}"/>
              </c:ext>
            </c:extLst>
          </c:dPt>
          <c:dPt>
            <c:idx val="1"/>
            <c:bubble3D val="0"/>
            <c:spPr>
              <a:solidFill>
                <a:srgbClr val="AF1953"/>
              </a:solidFill>
              <a:ln w="19050">
                <a:solidFill>
                  <a:srgbClr val="AF1953"/>
                </a:solidFill>
              </a:ln>
              <a:effectLst/>
            </c:spPr>
            <c:extLst>
              <c:ext xmlns:c16="http://schemas.microsoft.com/office/drawing/2014/chart" uri="{C3380CC4-5D6E-409C-BE32-E72D297353CC}">
                <c16:uniqueId val="{00000003-C056-4761-A19B-DB1DCB9A8A46}"/>
              </c:ext>
            </c:extLst>
          </c:dPt>
          <c:dPt>
            <c:idx val="2"/>
            <c:bubble3D val="0"/>
            <c:spPr>
              <a:solidFill>
                <a:srgbClr val="FDC300"/>
              </a:solidFill>
              <a:ln w="19050">
                <a:solidFill>
                  <a:srgbClr val="FDC300"/>
                </a:solidFill>
              </a:ln>
              <a:effectLst/>
            </c:spPr>
            <c:extLst>
              <c:ext xmlns:c16="http://schemas.microsoft.com/office/drawing/2014/chart" uri="{C3380CC4-5D6E-409C-BE32-E72D297353CC}">
                <c16:uniqueId val="{00000005-C056-4761-A19B-DB1DCB9A8A46}"/>
              </c:ext>
            </c:extLst>
          </c:dPt>
          <c:dLbls>
            <c:dLbl>
              <c:idx val="0"/>
              <c:layout>
                <c:manualLayout>
                  <c:x val="0.10277777777777777"/>
                  <c:y val="8.86476361952993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056-4761-A19B-DB1DCB9A8A46}"/>
                </c:ext>
              </c:extLst>
            </c:dLbl>
            <c:dLbl>
              <c:idx val="1"/>
              <c:layout>
                <c:manualLayout>
                  <c:x val="-9.4444444444444442E-2"/>
                  <c:y val="-3.240740740740744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56-4761-A19B-DB1DCB9A8A46}"/>
                </c:ext>
              </c:extLst>
            </c:dLbl>
            <c:dLbl>
              <c:idx val="2"/>
              <c:layout>
                <c:manualLayout>
                  <c:x val="1.3888888888888888E-2"/>
                  <c:y val="-0.1096371894179713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56-4761-A19B-DB1DCB9A8A46}"/>
                </c:ext>
              </c:extLst>
            </c:dLbl>
            <c:numFmt formatCode="0\ %"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List2!$E$6:$E$8</c:f>
              <c:strCache>
                <c:ptCount val="3"/>
                <c:pt idx="0">
                  <c:v>Výměna nevyhovujících kotlů</c:v>
                </c:pt>
                <c:pt idx="1">
                  <c:v>Snižování emisí z průmyslu a zemědělství</c:v>
                </c:pt>
                <c:pt idx="2">
                  <c:v>Sledování a hodnocení kvality ovzduší</c:v>
                </c:pt>
              </c:strCache>
            </c:strRef>
          </c:cat>
          <c:val>
            <c:numRef>
              <c:f>List2!$D$6:$D$8</c:f>
              <c:numCache>
                <c:formatCode>General</c:formatCode>
                <c:ptCount val="3"/>
                <c:pt idx="0">
                  <c:v>12.7</c:v>
                </c:pt>
                <c:pt idx="1">
                  <c:v>3</c:v>
                </c:pt>
                <c:pt idx="2">
                  <c:v>0.5</c:v>
                </c:pt>
              </c:numCache>
            </c:numRef>
          </c:val>
          <c:extLst>
            <c:ext xmlns:c16="http://schemas.microsoft.com/office/drawing/2014/chart" uri="{C3380CC4-5D6E-409C-BE32-E72D297353CC}">
              <c16:uniqueId val="{00000006-C056-4761-A19B-DB1DCB9A8A46}"/>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r"/>
      <c:layout>
        <c:manualLayout>
          <c:xMode val="edge"/>
          <c:yMode val="edge"/>
          <c:x val="0.48548644629154841"/>
          <c:y val="0.28032977794858854"/>
          <c:w val="0.48097736334522506"/>
          <c:h val="0.45110110355685357"/>
        </c:manualLayout>
      </c:layout>
      <c:overlay val="0"/>
      <c:spPr>
        <a:noFill/>
        <a:ln>
          <a:noFill/>
        </a:ln>
        <a:effectLst/>
      </c:spPr>
      <c:txPr>
        <a:bodyPr rot="0" spcFirstLastPara="1" vertOverflow="ellipsis" vert="horz" wrap="square" anchor="ctr" anchorCtr="1"/>
        <a:lstStyle/>
        <a:p>
          <a:pPr rtl="0">
            <a:defRPr sz="1000" b="1"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nchor="ctr" anchorCtr="0"/>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19648439150855E-2"/>
          <c:y val="9.9205731550997989E-2"/>
          <c:w val="0.34506890878275481"/>
          <c:h val="0.86718641274491848"/>
        </c:manualLayout>
      </c:layout>
      <c:doughnutChart>
        <c:varyColors val="1"/>
        <c:ser>
          <c:idx val="0"/>
          <c:order val="0"/>
          <c:dPt>
            <c:idx val="0"/>
            <c:bubble3D val="0"/>
            <c:spPr>
              <a:solidFill>
                <a:srgbClr val="31B3A1"/>
              </a:solidFill>
              <a:ln w="19050">
                <a:solidFill>
                  <a:schemeClr val="lt1"/>
                </a:solidFill>
              </a:ln>
              <a:effectLst/>
            </c:spPr>
            <c:extLst>
              <c:ext xmlns:c16="http://schemas.microsoft.com/office/drawing/2014/chart" uri="{C3380CC4-5D6E-409C-BE32-E72D297353CC}">
                <c16:uniqueId val="{00000001-0B5E-400A-9976-2D220B953B26}"/>
              </c:ext>
            </c:extLst>
          </c:dPt>
          <c:dPt>
            <c:idx val="1"/>
            <c:bubble3D val="0"/>
            <c:spPr>
              <a:solidFill>
                <a:srgbClr val="FDC300"/>
              </a:solidFill>
              <a:ln w="19050">
                <a:solidFill>
                  <a:schemeClr val="lt1"/>
                </a:solidFill>
              </a:ln>
              <a:effectLst/>
            </c:spPr>
            <c:extLst>
              <c:ext xmlns:c16="http://schemas.microsoft.com/office/drawing/2014/chart" uri="{C3380CC4-5D6E-409C-BE32-E72D297353CC}">
                <c16:uniqueId val="{00000003-0B5E-400A-9976-2D220B953B26}"/>
              </c:ext>
            </c:extLst>
          </c:dPt>
          <c:dPt>
            <c:idx val="2"/>
            <c:bubble3D val="0"/>
            <c:spPr>
              <a:solidFill>
                <a:srgbClr val="AF1953"/>
              </a:solidFill>
              <a:ln w="19050">
                <a:solidFill>
                  <a:schemeClr val="lt1"/>
                </a:solidFill>
              </a:ln>
              <a:effectLst/>
            </c:spPr>
            <c:extLst>
              <c:ext xmlns:c16="http://schemas.microsoft.com/office/drawing/2014/chart" uri="{C3380CC4-5D6E-409C-BE32-E72D297353CC}">
                <c16:uniqueId val="{00000005-0B5E-400A-9976-2D220B953B26}"/>
              </c:ext>
            </c:extLst>
          </c:dPt>
          <c:dPt>
            <c:idx val="3"/>
            <c:bubble3D val="0"/>
            <c:spPr>
              <a:solidFill>
                <a:srgbClr val="F47D33"/>
              </a:solidFill>
              <a:ln w="19050">
                <a:solidFill>
                  <a:schemeClr val="lt1"/>
                </a:solidFill>
              </a:ln>
              <a:effectLst/>
            </c:spPr>
            <c:extLst>
              <c:ext xmlns:c16="http://schemas.microsoft.com/office/drawing/2014/chart" uri="{C3380CC4-5D6E-409C-BE32-E72D297353CC}">
                <c16:uniqueId val="{00000007-0B5E-400A-9976-2D220B953B26}"/>
              </c:ext>
            </c:extLst>
          </c:dPt>
          <c:dPt>
            <c:idx val="4"/>
            <c:bubble3D val="0"/>
            <c:spPr>
              <a:solidFill>
                <a:srgbClr val="00ADDB"/>
              </a:solidFill>
              <a:ln w="19050">
                <a:solidFill>
                  <a:schemeClr val="lt1"/>
                </a:solidFill>
              </a:ln>
              <a:effectLst/>
            </c:spPr>
            <c:extLst>
              <c:ext xmlns:c16="http://schemas.microsoft.com/office/drawing/2014/chart" uri="{C3380CC4-5D6E-409C-BE32-E72D297353CC}">
                <c16:uniqueId val="{00000009-0B5E-400A-9976-2D220B953B26}"/>
              </c:ext>
            </c:extLst>
          </c:dPt>
          <c:dLbls>
            <c:dLbl>
              <c:idx val="0"/>
              <c:layout>
                <c:manualLayout>
                  <c:x val="6.7615058066415282E-2"/>
                  <c:y val="-8.44680461453946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5E-400A-9976-2D220B953B26}"/>
                </c:ext>
              </c:extLst>
            </c:dLbl>
            <c:dLbl>
              <c:idx val="1"/>
              <c:layout>
                <c:manualLayout>
                  <c:x val="0.13066416753523163"/>
                  <c:y val="3.9776189661074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5E-400A-9976-2D220B953B26}"/>
                </c:ext>
              </c:extLst>
            </c:dLbl>
            <c:dLbl>
              <c:idx val="2"/>
              <c:layout>
                <c:manualLayout>
                  <c:x val="-5.5880271991862407E-2"/>
                  <c:y val="0.14378822559970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5E-400A-9976-2D220B953B26}"/>
                </c:ext>
              </c:extLst>
            </c:dLbl>
            <c:dLbl>
              <c:idx val="3"/>
              <c:layout>
                <c:manualLayout>
                  <c:x val="-7.3483999492857013E-2"/>
                  <c:y val="-5.2100308113659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5E-400A-9976-2D220B953B26}"/>
                </c:ext>
              </c:extLst>
            </c:dLbl>
            <c:dLbl>
              <c:idx val="4"/>
              <c:layout>
                <c:manualLayout>
                  <c:x val="4.4932431940098834E-2"/>
                  <c:y val="-0.105910647038685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B5E-400A-9976-2D220B953B2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List2!$D$28:$D$32</c:f>
              <c:strCache>
                <c:ptCount val="5"/>
                <c:pt idx="0">
                  <c:v>Tepelné čerpadlo</c:v>
                </c:pt>
                <c:pt idx="1">
                  <c:v>Plynový kotel</c:v>
                </c:pt>
                <c:pt idx="2">
                  <c:v>Kotel na biomasu</c:v>
                </c:pt>
                <c:pt idx="3">
                  <c:v>Kombinovaný kotel (uhlí a biomasa)</c:v>
                </c:pt>
                <c:pt idx="4">
                  <c:v>Kotel na úhlí</c:v>
                </c:pt>
              </c:strCache>
            </c:strRef>
          </c:cat>
          <c:val>
            <c:numRef>
              <c:f>List2!$E$28:$E$32</c:f>
              <c:numCache>
                <c:formatCode>#,##0</c:formatCode>
                <c:ptCount val="5"/>
                <c:pt idx="0">
                  <c:v>40098</c:v>
                </c:pt>
                <c:pt idx="1">
                  <c:v>27485</c:v>
                </c:pt>
                <c:pt idx="2">
                  <c:v>19867</c:v>
                </c:pt>
                <c:pt idx="3">
                  <c:v>14989</c:v>
                </c:pt>
                <c:pt idx="4">
                  <c:v>2587</c:v>
                </c:pt>
              </c:numCache>
            </c:numRef>
          </c:val>
          <c:extLst>
            <c:ext xmlns:c16="http://schemas.microsoft.com/office/drawing/2014/chart" uri="{C3380CC4-5D6E-409C-BE32-E72D297353CC}">
              <c16:uniqueId val="{0000000A-0B5E-400A-9976-2D220B953B26}"/>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r"/>
      <c:layout>
        <c:manualLayout>
          <c:xMode val="edge"/>
          <c:yMode val="edge"/>
          <c:x val="0.56305834128909638"/>
          <c:y val="0.14131547415268744"/>
          <c:w val="0.38903769617179906"/>
          <c:h val="0.75764420435817603"/>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E5F1FF"/>
        </a:solidFill>
        <a:ln w="12700">
          <a:solidFill>
            <a:srgbClr val="000000"/>
          </a:solidFill>
          <a:miter lim="800000"/>
          <a:headEnd/>
          <a:tailEnd/>
        </a:ln>
        <a:effectLst>
          <a:reflection endPos="0" dir="5400000" sy="-100000" algn="bl" rotWithShape="0"/>
        </a:effectLst>
      </a:spPr>
      <a:bodyPr rot="0" vert="horz" wrap="square" lIns="9000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41ef85cfa56222539d111f4b1ed27123">
  <xsd:schema xmlns:xsd="http://www.w3.org/2001/XMLSchema" xmlns:xs="http://www.w3.org/2001/XMLSchema" xmlns:p="http://schemas.microsoft.com/office/2006/metadata/properties" xmlns:ns1="http://schemas.microsoft.com/sharepoint/v3" targetNamespace="http://schemas.microsoft.com/office/2006/metadata/properties" ma:root="true" ma:fieldsID="82835b98b50f7b97a7aacca622fbbc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A8C21B2-8116-455E-A6B9-599C7777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316CF-BAD3-4937-B8E4-1BEE1EA1AEBC}">
  <ds:schemaRefs>
    <ds:schemaRef ds:uri="http://schemas.microsoft.com/sharepoint/v3/contenttype/forms"/>
  </ds:schemaRefs>
</ds:datastoreItem>
</file>

<file path=customXml/itemProps3.xml><?xml version="1.0" encoding="utf-8"?>
<ds:datastoreItem xmlns:ds="http://schemas.openxmlformats.org/officeDocument/2006/customXml" ds:itemID="{04443B1D-966F-4535-B1EB-39166D7394E5}">
  <ds:schemaRefs>
    <ds:schemaRef ds:uri="http://schemas.microsoft.com/sharepoint/v3"/>
    <ds:schemaRef ds:uri="http://purl.org/dc/terms/"/>
    <ds:schemaRef ds:uri="http://schemas.microsoft.com/office/infopath/2007/PartnerControl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AF8E22AF-3E04-4ABA-9DA8-8E3F2ED1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11635</Words>
  <Characters>68652</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Kontrolní závěr z kontrolní akce NKÚ č. 23/07 - Peněžní prostředky státu a Evropské unie určené na zlepšování kvality ovzduší</vt:lpstr>
    </vt:vector>
  </TitlesOfParts>
  <Company>NKÚ</Company>
  <LinksUpToDate>false</LinksUpToDate>
  <CharactersWithSpaces>80127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23/07 - Peněžní prostředky státu a Evropské unie určené na zlepšování kvality ovzduší</dc:title>
  <dc:subject>Kontrolní závěr z kontrolní akce NKÚ č. 23/07 - Peněžní prostředky státu a Evropské unie určené na zlepšování kvality ovzduší</dc:subject>
  <dc:creator>nku@NKU.cz</dc:creator>
  <cp:keywords>kontrolní závěr; kvalita ovzduší</cp:keywords>
  <cp:lastModifiedBy>KOKRDA Daniel</cp:lastModifiedBy>
  <cp:revision>5</cp:revision>
  <cp:lastPrinted>2024-10-25T07:26:00Z</cp:lastPrinted>
  <dcterms:created xsi:type="dcterms:W3CDTF">2024-05-20T09:01:00Z</dcterms:created>
  <dcterms:modified xsi:type="dcterms:W3CDTF">2024-10-25T07:27:00Z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21/06-NKU30/323/22</vt:lpwstr>
  </property>
  <property fmtid="{D5CDD505-2E9C-101B-9397-08002B2CF9AE}" pid="5" name="CJ_PostaDoruc_PisemnostOdpovedNa_Pisemnost">
    <vt:lpwstr>XXX-XXX-XXX</vt:lpwstr>
  </property>
  <property fmtid="{D5CDD505-2E9C-101B-9397-08002B2CF9AE}" pid="6" name="CJ_Spis_Pisemnost">
    <vt:lpwstr>510/169/20</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7.3.2022</vt:lpwstr>
  </property>
  <property fmtid="{D5CDD505-2E9C-101B-9397-08002B2CF9AE}" pid="12" name="DisplayName_CisloObalky_PostaOdes">
    <vt:lpwstr>ČÍSLO OBÁLKY</vt:lpwstr>
  </property>
  <property fmtid="{D5CDD505-2E9C-101B-9397-08002B2CF9AE}" pid="13" name="DisplayName_CJCol">
    <vt:lpwstr>&lt;TABLE&gt;&lt;TR&gt;&lt;TD&gt;Č.j.:&lt;/TD&gt;&lt;TD&gt;21/06-NKU30/323/22&lt;/TD&gt;&lt;/TR&gt;&lt;TR&gt;&lt;TD&gt;&lt;/TD&gt;&lt;TD&gt;&lt;/TD&gt;&lt;/TR&gt;&lt;/TABLE&gt;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Členové Úřadu</vt:lpwstr>
  </property>
  <property fmtid="{D5CDD505-2E9C-101B-9397-08002B2CF9AE}" pid="16" name="DisplayName_UserPoriz_Pisemnost">
    <vt:lpwstr>Bc. Jana Pokorná</vt:lpwstr>
  </property>
  <property fmtid="{D5CDD505-2E9C-101B-9397-08002B2CF9AE}" pid="17" name="DuvodZmeny_SlozkaStupenUtajeniCollection_Slozka_Pisemnost">
    <vt:lpwstr/>
  </property>
  <property fmtid="{D5CDD505-2E9C-101B-9397-08002B2CF9AE}" pid="18" name="EC_Pisemnost">
    <vt:lpwstr>22-3380/NKU</vt:lpwstr>
  </property>
  <property fmtid="{D5CDD505-2E9C-101B-9397-08002B2CF9AE}" pid="19" name="Key_BarCode_Pisemnost">
    <vt:lpwstr>*B000403424*</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22-3380/NKU</vt:lpwstr>
  </property>
  <property fmtid="{D5CDD505-2E9C-101B-9397-08002B2CF9AE}" pid="33" name="RC">
    <vt:lpwstr/>
  </property>
  <property fmtid="{D5CDD505-2E9C-101B-9397-08002B2CF9AE}" pid="34" name="SkartacniZnakLhuta_PisemnostZnak">
    <vt:lpwstr>?/?</vt:lpwstr>
  </property>
  <property fmtid="{D5CDD505-2E9C-101B-9397-08002B2CF9AE}" pid="35" name="SmlouvaCislo">
    <vt:lpwstr>ČÍSLO SMLOUVY</vt:lpwstr>
  </property>
  <property fmtid="{D5CDD505-2E9C-101B-9397-08002B2CF9AE}" pid="36" name="SZ_Spis_Pisemnost">
    <vt:lpwstr>21/06</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Návrh kontrolního závěru 21/06 - do připomínek</vt:lpwstr>
  </property>
  <property fmtid="{D5CDD505-2E9C-101B-9397-08002B2CF9AE}" pid="41" name="Zkratka_SpisovyUzel_PoziceZodpo_Pisemnost">
    <vt:lpwstr>30</vt:lpwstr>
  </property>
  <property fmtid="{D5CDD505-2E9C-101B-9397-08002B2CF9AE}" pid="42" name="ContentTypeId">
    <vt:lpwstr>0x0101002F7A625AE9F5AB4A939F92BCAA7FEC02</vt:lpwstr>
  </property>
</Properties>
</file>