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32E9" w14:textId="77777777" w:rsidR="00E61477" w:rsidRDefault="006C06F8" w:rsidP="00E61477">
      <w:pPr>
        <w:spacing w:before="0"/>
        <w:jc w:val="center"/>
        <w:rPr>
          <w:color w:val="000000" w:themeColor="text1"/>
        </w:rPr>
      </w:pPr>
      <w:r w:rsidRPr="00E61477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58240" behindDoc="0" locked="0" layoutInCell="1" allowOverlap="1" wp14:anchorId="68F96F55" wp14:editId="4430F4A8">
            <wp:simplePos x="0" y="0"/>
            <wp:positionH relativeFrom="margin">
              <wp:posOffset>2520315</wp:posOffset>
            </wp:positionH>
            <wp:positionV relativeFrom="paragraph">
              <wp:posOffset>18084</wp:posOffset>
            </wp:positionV>
            <wp:extent cx="713740" cy="50419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CF513" w14:textId="77777777" w:rsidR="00E61477" w:rsidRDefault="00E61477" w:rsidP="00E61477">
      <w:pPr>
        <w:spacing w:before="0"/>
        <w:jc w:val="center"/>
        <w:rPr>
          <w:color w:val="000000" w:themeColor="text1"/>
        </w:rPr>
      </w:pPr>
    </w:p>
    <w:p w14:paraId="2662D157" w14:textId="77777777" w:rsidR="00FC307E" w:rsidRPr="00E61477" w:rsidRDefault="00FC307E" w:rsidP="00E61477">
      <w:pPr>
        <w:spacing w:before="0"/>
        <w:jc w:val="center"/>
        <w:rPr>
          <w:color w:val="000000" w:themeColor="text1"/>
        </w:rPr>
      </w:pPr>
    </w:p>
    <w:p w14:paraId="3805BE9D" w14:textId="77777777" w:rsidR="00FC307E" w:rsidRPr="00E61477" w:rsidRDefault="006C06F8" w:rsidP="00E61477">
      <w:pPr>
        <w:spacing w:before="0"/>
        <w:jc w:val="center"/>
        <w:rPr>
          <w:b/>
          <w:color w:val="000000" w:themeColor="text1"/>
          <w:sz w:val="28"/>
          <w:szCs w:val="28"/>
        </w:rPr>
      </w:pPr>
      <w:r w:rsidRPr="00E61477">
        <w:rPr>
          <w:b/>
          <w:color w:val="000000" w:themeColor="text1"/>
          <w:sz w:val="28"/>
          <w:szCs w:val="28"/>
        </w:rPr>
        <w:t>Kontrolní závěr z kontrolní akce</w:t>
      </w:r>
    </w:p>
    <w:p w14:paraId="4F6E55DD" w14:textId="77777777" w:rsidR="00FC307E" w:rsidRPr="00E61477" w:rsidRDefault="00FC307E" w:rsidP="00E61477">
      <w:pPr>
        <w:spacing w:before="0"/>
        <w:jc w:val="center"/>
        <w:rPr>
          <w:b/>
          <w:color w:val="000000" w:themeColor="text1"/>
          <w:sz w:val="28"/>
          <w:szCs w:val="28"/>
        </w:rPr>
      </w:pPr>
    </w:p>
    <w:p w14:paraId="56E0EE67" w14:textId="77777777" w:rsidR="00FC307E" w:rsidRDefault="006C06F8" w:rsidP="00E61477">
      <w:pPr>
        <w:spacing w:befor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2F4DBF">
        <w:rPr>
          <w:b/>
          <w:color w:val="000000" w:themeColor="text1"/>
          <w:sz w:val="28"/>
          <w:szCs w:val="28"/>
        </w:rPr>
        <w:t>2</w:t>
      </w:r>
      <w:r w:rsidR="001803EE" w:rsidRPr="00E61477">
        <w:rPr>
          <w:b/>
          <w:color w:val="000000" w:themeColor="text1"/>
          <w:sz w:val="28"/>
          <w:szCs w:val="28"/>
        </w:rPr>
        <w:t>/</w:t>
      </w:r>
      <w:r w:rsidR="002F4DBF">
        <w:rPr>
          <w:b/>
          <w:color w:val="000000" w:themeColor="text1"/>
          <w:sz w:val="28"/>
          <w:szCs w:val="28"/>
        </w:rPr>
        <w:t>22</w:t>
      </w:r>
    </w:p>
    <w:p w14:paraId="0E26CD92" w14:textId="77777777" w:rsidR="003B6BB1" w:rsidRPr="00E61477" w:rsidRDefault="003B6BB1" w:rsidP="00E61477">
      <w:pPr>
        <w:spacing w:before="0"/>
        <w:jc w:val="center"/>
        <w:rPr>
          <w:b/>
          <w:color w:val="000000" w:themeColor="text1"/>
          <w:sz w:val="28"/>
          <w:szCs w:val="28"/>
        </w:rPr>
      </w:pPr>
    </w:p>
    <w:p w14:paraId="01A91FF4" w14:textId="77777777" w:rsidR="00FC307E" w:rsidRDefault="006C06F8" w:rsidP="00AD51A3">
      <w:pPr>
        <w:spacing w:before="0"/>
        <w:jc w:val="center"/>
        <w:rPr>
          <w:color w:val="000000" w:themeColor="text1"/>
        </w:rPr>
      </w:pPr>
      <w:r w:rsidRPr="00AD51A3">
        <w:rPr>
          <w:b/>
          <w:color w:val="000000" w:themeColor="text1"/>
          <w:sz w:val="28"/>
          <w:szCs w:val="28"/>
        </w:rPr>
        <w:t>Peněžní prostředky státu poskytované na záchranu a obnovu kulturních památek prostřednictvím rozpočtové kapitoly Ministerstvo kultury</w:t>
      </w:r>
    </w:p>
    <w:p w14:paraId="503B72CF" w14:textId="77777777" w:rsidR="00E61477" w:rsidRPr="00E61477" w:rsidRDefault="00E61477" w:rsidP="00E61477">
      <w:pPr>
        <w:spacing w:before="0"/>
        <w:rPr>
          <w:color w:val="000000" w:themeColor="text1"/>
        </w:rPr>
      </w:pPr>
    </w:p>
    <w:p w14:paraId="13B05E9F" w14:textId="77777777" w:rsidR="00FC307E" w:rsidRPr="00E61477" w:rsidRDefault="006C06F8" w:rsidP="00E61477">
      <w:pPr>
        <w:spacing w:before="0"/>
        <w:rPr>
          <w:color w:val="000000" w:themeColor="text1"/>
        </w:rPr>
      </w:pPr>
      <w:r w:rsidRPr="00E61477">
        <w:rPr>
          <w:color w:val="000000" w:themeColor="text1"/>
        </w:rPr>
        <w:t>Kontrolní akce byla zařazena do plánu kontrolní činnosti Nejvyššího kontrolního úřadu (dále také</w:t>
      </w:r>
      <w:r w:rsidR="00151CFB">
        <w:rPr>
          <w:color w:val="000000" w:themeColor="text1"/>
        </w:rPr>
        <w:t xml:space="preserve"> „NKÚ“) na rok 202</w:t>
      </w:r>
      <w:r w:rsidR="00D64FF0">
        <w:rPr>
          <w:color w:val="000000" w:themeColor="text1"/>
        </w:rPr>
        <w:t>2</w:t>
      </w:r>
      <w:r w:rsidR="00151CFB">
        <w:rPr>
          <w:color w:val="000000" w:themeColor="text1"/>
        </w:rPr>
        <w:t xml:space="preserve"> pod číslem 2</w:t>
      </w:r>
      <w:r w:rsidR="00D64FF0">
        <w:rPr>
          <w:color w:val="000000" w:themeColor="text1"/>
        </w:rPr>
        <w:t>2</w:t>
      </w:r>
      <w:r w:rsidR="004D46B3" w:rsidRPr="00E61477">
        <w:rPr>
          <w:color w:val="000000" w:themeColor="text1"/>
        </w:rPr>
        <w:t>/</w:t>
      </w:r>
      <w:r w:rsidR="00D64FF0">
        <w:rPr>
          <w:color w:val="000000" w:themeColor="text1"/>
        </w:rPr>
        <w:t>22</w:t>
      </w:r>
      <w:r w:rsidRPr="00E61477">
        <w:rPr>
          <w:color w:val="000000" w:themeColor="text1"/>
        </w:rPr>
        <w:t>. Kontrolní akci řídil a kontroln</w:t>
      </w:r>
      <w:r w:rsidR="001803EE" w:rsidRPr="00E61477">
        <w:rPr>
          <w:color w:val="000000" w:themeColor="text1"/>
        </w:rPr>
        <w:t xml:space="preserve">í závěr vypracoval člen NKÚ </w:t>
      </w:r>
      <w:r w:rsidR="00304901">
        <w:rPr>
          <w:color w:val="000000" w:themeColor="text1"/>
        </w:rPr>
        <w:t xml:space="preserve">Ing. Pavel Hrnčíř. </w:t>
      </w:r>
    </w:p>
    <w:p w14:paraId="702ABC85" w14:textId="77777777" w:rsidR="00802788" w:rsidRPr="00E61477" w:rsidRDefault="00802788" w:rsidP="00E61477">
      <w:pPr>
        <w:spacing w:before="0"/>
        <w:rPr>
          <w:color w:val="000000" w:themeColor="text1"/>
        </w:rPr>
      </w:pPr>
    </w:p>
    <w:p w14:paraId="328F3473" w14:textId="77777777" w:rsidR="00D724BD" w:rsidRDefault="006C06F8" w:rsidP="00E61477">
      <w:pPr>
        <w:spacing w:before="0"/>
        <w:rPr>
          <w:rFonts w:asciiTheme="minorHAnsi" w:hAnsiTheme="minorHAnsi" w:cstheme="minorHAnsi"/>
        </w:rPr>
      </w:pPr>
      <w:r w:rsidRPr="00E61477">
        <w:rPr>
          <w:color w:val="000000" w:themeColor="text1"/>
        </w:rPr>
        <w:t xml:space="preserve">Cílem kontroly </w:t>
      </w:r>
      <w:r w:rsidR="00151CFB">
        <w:rPr>
          <w:color w:val="000000" w:themeColor="text1"/>
        </w:rPr>
        <w:t xml:space="preserve">bylo </w:t>
      </w:r>
      <w:r w:rsidR="007D310E">
        <w:rPr>
          <w:rFonts w:asciiTheme="minorHAnsi" w:hAnsiTheme="minorHAnsi" w:cstheme="minorHAnsi"/>
        </w:rPr>
        <w:t>p</w:t>
      </w:r>
      <w:r w:rsidR="007D310E" w:rsidRPr="00400581">
        <w:rPr>
          <w:rFonts w:asciiTheme="minorHAnsi" w:hAnsiTheme="minorHAnsi" w:cstheme="minorHAnsi"/>
        </w:rPr>
        <w:t>rověřit, zda byly peněžní prostředky státu poskytované na záchranu a</w:t>
      </w:r>
      <w:r w:rsidR="00A944CE">
        <w:rPr>
          <w:rFonts w:asciiTheme="minorHAnsi" w:hAnsiTheme="minorHAnsi" w:cstheme="minorHAnsi"/>
        </w:rPr>
        <w:t> </w:t>
      </w:r>
      <w:r w:rsidR="007D310E" w:rsidRPr="00400581">
        <w:rPr>
          <w:rFonts w:asciiTheme="minorHAnsi" w:hAnsiTheme="minorHAnsi" w:cstheme="minorHAnsi"/>
        </w:rPr>
        <w:t>obnovu kulturních památek prostřednictvím rozpočtové kapitoly Ministerstvo kultury vynaloženy účelně a v souladu s právními předpisy.</w:t>
      </w:r>
    </w:p>
    <w:p w14:paraId="3ADBFC9D" w14:textId="77777777" w:rsidR="0018706E" w:rsidRPr="00E61477" w:rsidRDefault="0018706E" w:rsidP="00E61477">
      <w:pPr>
        <w:spacing w:before="0"/>
        <w:rPr>
          <w:color w:val="000000" w:themeColor="text1"/>
        </w:rPr>
      </w:pPr>
    </w:p>
    <w:p w14:paraId="2476EEE6" w14:textId="77777777" w:rsidR="00076334" w:rsidRPr="00E61477" w:rsidRDefault="006C06F8" w:rsidP="00E61477">
      <w:pPr>
        <w:spacing w:before="0"/>
        <w:rPr>
          <w:color w:val="000000" w:themeColor="text1"/>
        </w:rPr>
      </w:pPr>
      <w:r w:rsidRPr="00E61477">
        <w:rPr>
          <w:color w:val="000000" w:themeColor="text1"/>
        </w:rPr>
        <w:t>Kontrolovan</w:t>
      </w:r>
      <w:r w:rsidR="00151CFB">
        <w:rPr>
          <w:color w:val="000000" w:themeColor="text1"/>
        </w:rPr>
        <w:t xml:space="preserve">ým obdobím byly roky </w:t>
      </w:r>
      <w:r w:rsidR="00151CFB" w:rsidRPr="00151CFB">
        <w:rPr>
          <w:color w:val="000000" w:themeColor="text1"/>
        </w:rPr>
        <w:t>20</w:t>
      </w:r>
      <w:r w:rsidR="007D310E">
        <w:rPr>
          <w:color w:val="000000" w:themeColor="text1"/>
        </w:rPr>
        <w:t>19</w:t>
      </w:r>
      <w:r w:rsidR="00151CFB" w:rsidRPr="00151CFB">
        <w:rPr>
          <w:color w:val="000000" w:themeColor="text1"/>
        </w:rPr>
        <w:t xml:space="preserve"> až 20</w:t>
      </w:r>
      <w:r w:rsidR="007D310E">
        <w:rPr>
          <w:color w:val="000000" w:themeColor="text1"/>
        </w:rPr>
        <w:t>22</w:t>
      </w:r>
      <w:r w:rsidR="00151CFB" w:rsidRPr="00151CFB">
        <w:rPr>
          <w:color w:val="000000" w:themeColor="text1"/>
        </w:rPr>
        <w:t>, v případě věcných souvislostí i období předcházející či následující.</w:t>
      </w:r>
    </w:p>
    <w:p w14:paraId="01B7BB8F" w14:textId="77777777" w:rsidR="00076334" w:rsidRPr="00E61477" w:rsidRDefault="00076334" w:rsidP="00E61477">
      <w:pPr>
        <w:spacing w:before="0"/>
        <w:rPr>
          <w:rFonts w:asciiTheme="minorHAnsi" w:hAnsiTheme="minorHAnsi" w:cstheme="minorHAnsi"/>
          <w:color w:val="000000" w:themeColor="text1"/>
        </w:rPr>
      </w:pPr>
    </w:p>
    <w:p w14:paraId="00A313CD" w14:textId="77777777" w:rsidR="00076334" w:rsidRPr="00E61477" w:rsidRDefault="006C06F8" w:rsidP="00E61477">
      <w:pPr>
        <w:spacing w:before="0"/>
        <w:rPr>
          <w:color w:val="000000" w:themeColor="text1"/>
        </w:rPr>
      </w:pPr>
      <w:r w:rsidRPr="00E61477">
        <w:rPr>
          <w:color w:val="000000" w:themeColor="text1"/>
        </w:rPr>
        <w:t xml:space="preserve">Kontrola byla prováděna u kontrolovaných osob v období od </w:t>
      </w:r>
      <w:r w:rsidR="007D310E">
        <w:rPr>
          <w:color w:val="000000" w:themeColor="text1"/>
        </w:rPr>
        <w:t>září</w:t>
      </w:r>
      <w:r w:rsidR="00151CFB">
        <w:rPr>
          <w:color w:val="000000" w:themeColor="text1"/>
        </w:rPr>
        <w:t xml:space="preserve"> 202</w:t>
      </w:r>
      <w:r w:rsidR="007D310E">
        <w:rPr>
          <w:color w:val="000000" w:themeColor="text1"/>
        </w:rPr>
        <w:t>2</w:t>
      </w:r>
      <w:r w:rsidRPr="00E61477">
        <w:rPr>
          <w:color w:val="000000" w:themeColor="text1"/>
        </w:rPr>
        <w:t xml:space="preserve"> do </w:t>
      </w:r>
      <w:r w:rsidR="007D310E">
        <w:rPr>
          <w:color w:val="000000" w:themeColor="text1"/>
        </w:rPr>
        <w:t>dubna</w:t>
      </w:r>
      <w:r w:rsidR="00151CFB">
        <w:rPr>
          <w:color w:val="000000" w:themeColor="text1"/>
        </w:rPr>
        <w:t xml:space="preserve"> 202</w:t>
      </w:r>
      <w:r w:rsidR="007D310E">
        <w:rPr>
          <w:color w:val="000000" w:themeColor="text1"/>
        </w:rPr>
        <w:t>3</w:t>
      </w:r>
      <w:r w:rsidRPr="00E61477">
        <w:rPr>
          <w:color w:val="000000" w:themeColor="text1"/>
        </w:rPr>
        <w:t>.</w:t>
      </w:r>
    </w:p>
    <w:p w14:paraId="0B3B5175" w14:textId="77777777" w:rsidR="00100351" w:rsidRPr="00E61477" w:rsidRDefault="00100351" w:rsidP="00E61477">
      <w:pPr>
        <w:spacing w:before="0"/>
        <w:rPr>
          <w:color w:val="000000" w:themeColor="text1"/>
        </w:rPr>
      </w:pPr>
    </w:p>
    <w:p w14:paraId="7DB09F88" w14:textId="77777777" w:rsidR="00802788" w:rsidRPr="00E61477" w:rsidRDefault="00802788" w:rsidP="00E61477">
      <w:pPr>
        <w:spacing w:before="0"/>
        <w:rPr>
          <w:color w:val="000000" w:themeColor="text1"/>
        </w:rPr>
      </w:pPr>
    </w:p>
    <w:p w14:paraId="7BE50DA9" w14:textId="1F9FD32B" w:rsidR="00151CFB" w:rsidRDefault="006C06F8" w:rsidP="00891D34">
      <w:pPr>
        <w:spacing w:before="0"/>
        <w:rPr>
          <w:rFonts w:cs="Arial"/>
          <w:b/>
          <w:color w:val="auto"/>
        </w:rPr>
      </w:pPr>
      <w:r w:rsidRPr="00151CFB">
        <w:rPr>
          <w:rFonts w:cs="Arial"/>
          <w:b/>
          <w:color w:val="auto"/>
        </w:rPr>
        <w:t>Kontrolovan</w:t>
      </w:r>
      <w:r w:rsidR="00DB4FFE">
        <w:rPr>
          <w:rFonts w:cs="Arial"/>
          <w:b/>
          <w:color w:val="auto"/>
        </w:rPr>
        <w:t>á</w:t>
      </w:r>
      <w:r w:rsidRPr="00151CFB">
        <w:rPr>
          <w:rFonts w:cs="Arial"/>
          <w:b/>
          <w:color w:val="auto"/>
        </w:rPr>
        <w:t xml:space="preserve"> osob</w:t>
      </w:r>
      <w:r w:rsidR="00DB4FFE">
        <w:rPr>
          <w:rFonts w:cs="Arial"/>
          <w:b/>
          <w:color w:val="auto"/>
        </w:rPr>
        <w:t>a</w:t>
      </w:r>
      <w:r w:rsidRPr="00151CFB">
        <w:rPr>
          <w:rFonts w:cs="Arial"/>
          <w:b/>
          <w:color w:val="auto"/>
        </w:rPr>
        <w:t>:</w:t>
      </w:r>
    </w:p>
    <w:p w14:paraId="1D49F5F9" w14:textId="5174E798" w:rsidR="009C14FD" w:rsidRDefault="006C06F8" w:rsidP="00151CFB">
      <w:pPr>
        <w:spacing w:before="0" w:after="120"/>
        <w:rPr>
          <w:color w:val="auto"/>
          <w:lang w:eastAsia="cs-CZ"/>
        </w:rPr>
      </w:pPr>
      <w:r w:rsidRPr="00151CFB">
        <w:rPr>
          <w:color w:val="auto"/>
          <w:lang w:eastAsia="cs-CZ"/>
        </w:rPr>
        <w:t xml:space="preserve">Ministerstvo </w:t>
      </w:r>
      <w:r w:rsidR="007D310E">
        <w:rPr>
          <w:color w:val="auto"/>
          <w:lang w:eastAsia="cs-CZ"/>
        </w:rPr>
        <w:t>kultury</w:t>
      </w:r>
      <w:r>
        <w:rPr>
          <w:color w:val="auto"/>
          <w:lang w:eastAsia="cs-CZ"/>
        </w:rPr>
        <w:t xml:space="preserve"> (dále také „M</w:t>
      </w:r>
      <w:r w:rsidR="007D310E">
        <w:rPr>
          <w:color w:val="auto"/>
          <w:lang w:eastAsia="cs-CZ"/>
        </w:rPr>
        <w:t>K</w:t>
      </w:r>
      <w:r>
        <w:rPr>
          <w:color w:val="auto"/>
          <w:lang w:eastAsia="cs-CZ"/>
        </w:rPr>
        <w:t>“)</w:t>
      </w:r>
      <w:r w:rsidR="00DB4FFE">
        <w:rPr>
          <w:color w:val="auto"/>
          <w:lang w:eastAsia="cs-CZ"/>
        </w:rPr>
        <w:t>.</w:t>
      </w:r>
    </w:p>
    <w:p w14:paraId="396E0263" w14:textId="77777777" w:rsidR="00802788" w:rsidRPr="00E61477" w:rsidRDefault="00802788" w:rsidP="00E61477">
      <w:pPr>
        <w:spacing w:before="0"/>
        <w:rPr>
          <w:color w:val="000000" w:themeColor="text1"/>
        </w:rPr>
      </w:pPr>
    </w:p>
    <w:p w14:paraId="4C5E5AE5" w14:textId="77777777" w:rsidR="00400DB1" w:rsidRPr="00E61477" w:rsidRDefault="00400DB1" w:rsidP="00E61477">
      <w:pPr>
        <w:spacing w:before="0"/>
        <w:rPr>
          <w:color w:val="000000" w:themeColor="text1"/>
        </w:rPr>
      </w:pPr>
    </w:p>
    <w:p w14:paraId="5AD1CF3E" w14:textId="77777777" w:rsidR="00FC307E" w:rsidRPr="00E61477" w:rsidRDefault="006C06F8" w:rsidP="00E61477">
      <w:pPr>
        <w:spacing w:before="0" w:line="360" w:lineRule="auto"/>
        <w:rPr>
          <w:color w:val="000000" w:themeColor="text1"/>
        </w:rPr>
      </w:pPr>
      <w:r w:rsidRPr="00E61477">
        <w:rPr>
          <w:b/>
          <w:i/>
          <w:color w:val="000000" w:themeColor="text1"/>
          <w:spacing w:val="40"/>
        </w:rPr>
        <w:t>Kolegium</w:t>
      </w:r>
      <w:r w:rsidRPr="00E61477">
        <w:rPr>
          <w:b/>
          <w:i/>
          <w:color w:val="000000" w:themeColor="text1"/>
        </w:rPr>
        <w:t xml:space="preserve">   </w:t>
      </w:r>
      <w:r w:rsidRPr="00E61477">
        <w:rPr>
          <w:b/>
          <w:i/>
          <w:color w:val="000000" w:themeColor="text1"/>
          <w:spacing w:val="40"/>
        </w:rPr>
        <w:t>NKÚ</w:t>
      </w:r>
      <w:r w:rsidRPr="00E61477">
        <w:rPr>
          <w:b/>
          <w:i/>
          <w:color w:val="000000" w:themeColor="text1"/>
        </w:rPr>
        <w:t xml:space="preserve">   </w:t>
      </w:r>
      <w:r w:rsidR="0057687C" w:rsidRPr="00E61477">
        <w:rPr>
          <w:color w:val="000000" w:themeColor="text1"/>
        </w:rPr>
        <w:t xml:space="preserve">na </w:t>
      </w:r>
      <w:r w:rsidR="0057687C" w:rsidRPr="00EB0CE2">
        <w:rPr>
          <w:color w:val="000000" w:themeColor="text1"/>
        </w:rPr>
        <w:t>svém</w:t>
      </w:r>
      <w:r w:rsidR="00EB0CE2" w:rsidRPr="00EB0CE2">
        <w:rPr>
          <w:color w:val="000000" w:themeColor="text1"/>
        </w:rPr>
        <w:t xml:space="preserve"> X.</w:t>
      </w:r>
      <w:r w:rsidR="00A85146" w:rsidRPr="00EB0CE2">
        <w:rPr>
          <w:color w:val="000000" w:themeColor="text1"/>
        </w:rPr>
        <w:t xml:space="preserve"> </w:t>
      </w:r>
      <w:r w:rsidRPr="00EB0CE2">
        <w:rPr>
          <w:color w:val="000000" w:themeColor="text1"/>
        </w:rPr>
        <w:t>jednání</w:t>
      </w:r>
      <w:r w:rsidRPr="00E61477">
        <w:rPr>
          <w:color w:val="000000" w:themeColor="text1"/>
        </w:rPr>
        <w:t xml:space="preserve">, </w:t>
      </w:r>
      <w:r w:rsidR="00C42A80" w:rsidRPr="00E61477">
        <w:rPr>
          <w:color w:val="000000" w:themeColor="text1"/>
        </w:rPr>
        <w:t xml:space="preserve">které se konalo dne </w:t>
      </w:r>
      <w:r w:rsidR="00EB0CE2">
        <w:rPr>
          <w:color w:val="000000" w:themeColor="text1"/>
        </w:rPr>
        <w:t xml:space="preserve">17. </w:t>
      </w:r>
      <w:r w:rsidR="00EB0CE2" w:rsidRPr="00EB0CE2">
        <w:rPr>
          <w:color w:val="000000" w:themeColor="text1"/>
        </w:rPr>
        <w:t>července</w:t>
      </w:r>
      <w:r w:rsidR="00EB0CE2" w:rsidRPr="00EB0CE2">
        <w:rPr>
          <w:color w:val="auto"/>
        </w:rPr>
        <w:t xml:space="preserve"> </w:t>
      </w:r>
      <w:r w:rsidR="00DA5A17" w:rsidRPr="00EB0CE2">
        <w:rPr>
          <w:color w:val="auto"/>
        </w:rPr>
        <w:t>202</w:t>
      </w:r>
      <w:r w:rsidR="003840D8" w:rsidRPr="00EB0CE2">
        <w:rPr>
          <w:color w:val="auto"/>
        </w:rPr>
        <w:t>3</w:t>
      </w:r>
      <w:r w:rsidRPr="00EB0CE2">
        <w:rPr>
          <w:color w:val="000000" w:themeColor="text1"/>
        </w:rPr>
        <w:t>,</w:t>
      </w:r>
    </w:p>
    <w:p w14:paraId="3E086560" w14:textId="77777777" w:rsidR="00FC307E" w:rsidRPr="00E61477" w:rsidRDefault="006C06F8" w:rsidP="00E61477">
      <w:pPr>
        <w:spacing w:before="0" w:line="360" w:lineRule="auto"/>
        <w:rPr>
          <w:color w:val="000000" w:themeColor="text1"/>
        </w:rPr>
      </w:pPr>
      <w:r w:rsidRPr="00E61477">
        <w:rPr>
          <w:b/>
          <w:i/>
          <w:color w:val="000000" w:themeColor="text1"/>
          <w:spacing w:val="40"/>
        </w:rPr>
        <w:t>schválilo</w:t>
      </w:r>
      <w:r w:rsidRPr="00E61477">
        <w:rPr>
          <w:b/>
          <w:i/>
          <w:color w:val="000000" w:themeColor="text1"/>
        </w:rPr>
        <w:t xml:space="preserve">   </w:t>
      </w:r>
      <w:r w:rsidR="0057687C" w:rsidRPr="00E61477">
        <w:rPr>
          <w:color w:val="000000" w:themeColor="text1"/>
        </w:rPr>
        <w:t>usnesením č</w:t>
      </w:r>
      <w:r w:rsidR="0057687C" w:rsidRPr="00EB0CE2">
        <w:rPr>
          <w:color w:val="000000" w:themeColor="text1"/>
        </w:rPr>
        <w:t xml:space="preserve">. </w:t>
      </w:r>
      <w:r w:rsidR="009D486F">
        <w:rPr>
          <w:color w:val="000000" w:themeColor="text1"/>
        </w:rPr>
        <w:t>15</w:t>
      </w:r>
      <w:r w:rsidR="00893C3D" w:rsidRPr="00EB0CE2">
        <w:rPr>
          <w:color w:val="000000" w:themeColor="text1"/>
        </w:rPr>
        <w:t>/</w:t>
      </w:r>
      <w:r w:rsidR="00EB0CE2">
        <w:rPr>
          <w:color w:val="000000" w:themeColor="text1"/>
        </w:rPr>
        <w:t>X</w:t>
      </w:r>
      <w:r w:rsidR="006218F0" w:rsidRPr="00EB0CE2">
        <w:rPr>
          <w:color w:val="000000" w:themeColor="text1"/>
        </w:rPr>
        <w:t>/202</w:t>
      </w:r>
      <w:r w:rsidR="003840D8" w:rsidRPr="00EB0CE2">
        <w:rPr>
          <w:color w:val="000000" w:themeColor="text1"/>
        </w:rPr>
        <w:t>3</w:t>
      </w:r>
    </w:p>
    <w:p w14:paraId="6325E445" w14:textId="77777777" w:rsidR="00FC307E" w:rsidRPr="00E61477" w:rsidRDefault="006C06F8" w:rsidP="00E61477">
      <w:pPr>
        <w:spacing w:before="0" w:line="360" w:lineRule="auto"/>
        <w:rPr>
          <w:color w:val="000000" w:themeColor="text1"/>
        </w:rPr>
      </w:pPr>
      <w:r w:rsidRPr="00B11EEB">
        <w:rPr>
          <w:b/>
          <w:i/>
          <w:color w:val="000000" w:themeColor="text1"/>
          <w:spacing w:val="40"/>
        </w:rPr>
        <w:t>kontrolní</w:t>
      </w:r>
      <w:r w:rsidRPr="00B11EEB">
        <w:rPr>
          <w:b/>
          <w:i/>
          <w:color w:val="000000" w:themeColor="text1"/>
        </w:rPr>
        <w:t xml:space="preserve">   </w:t>
      </w:r>
      <w:r w:rsidRPr="00B11EEB">
        <w:rPr>
          <w:b/>
          <w:i/>
          <w:color w:val="000000" w:themeColor="text1"/>
          <w:spacing w:val="40"/>
        </w:rPr>
        <w:t>závěr</w:t>
      </w:r>
      <w:r w:rsidRPr="00E61477">
        <w:rPr>
          <w:color w:val="000000" w:themeColor="text1"/>
        </w:rPr>
        <w:t xml:space="preserve">   v tomto znění:</w:t>
      </w:r>
    </w:p>
    <w:p w14:paraId="3FB32773" w14:textId="77777777" w:rsidR="00FC307E" w:rsidRPr="00E61477" w:rsidRDefault="00FC307E" w:rsidP="00E61477">
      <w:pPr>
        <w:spacing w:before="0"/>
        <w:rPr>
          <w:color w:val="000000" w:themeColor="text1"/>
        </w:rPr>
      </w:pPr>
    </w:p>
    <w:p w14:paraId="56FD2E55" w14:textId="77777777" w:rsidR="00FC307E" w:rsidRPr="00E61477" w:rsidRDefault="006C06F8" w:rsidP="00E61477">
      <w:pPr>
        <w:spacing w:before="0"/>
        <w:jc w:val="left"/>
        <w:rPr>
          <w:b/>
          <w:noProof/>
          <w:color w:val="000000" w:themeColor="text1"/>
          <w:lang w:eastAsia="cs-CZ"/>
        </w:rPr>
      </w:pPr>
      <w:r w:rsidRPr="00E61477">
        <w:rPr>
          <w:b/>
          <w:noProof/>
          <w:color w:val="000000" w:themeColor="text1"/>
          <w:lang w:eastAsia="cs-CZ"/>
        </w:rPr>
        <w:br w:type="page"/>
      </w:r>
    </w:p>
    <w:p w14:paraId="49E75EA0" w14:textId="77777777" w:rsidR="00DD0631" w:rsidRDefault="00DD0631" w:rsidP="00891D34">
      <w:pPr>
        <w:jc w:val="center"/>
        <w:rPr>
          <w:rStyle w:val="A4"/>
          <w:color w:val="B8CCE4" w:themeColor="accent1" w:themeTint="66"/>
          <w:sz w:val="50"/>
          <w:szCs w:val="50"/>
        </w:rPr>
      </w:pPr>
    </w:p>
    <w:p w14:paraId="4C26019B" w14:textId="77777777" w:rsidR="00DD0631" w:rsidRDefault="00DD0631" w:rsidP="00891D34">
      <w:pPr>
        <w:jc w:val="center"/>
        <w:rPr>
          <w:rStyle w:val="A4"/>
          <w:color w:val="B8CCE4" w:themeColor="accent1" w:themeTint="66"/>
          <w:sz w:val="50"/>
          <w:szCs w:val="50"/>
        </w:rPr>
      </w:pPr>
    </w:p>
    <w:p w14:paraId="69187D35" w14:textId="77777777" w:rsidR="00DD0631" w:rsidRDefault="006C06F8" w:rsidP="00891D34">
      <w:pPr>
        <w:jc w:val="center"/>
        <w:rPr>
          <w:rStyle w:val="A4"/>
          <w:color w:val="B8CCE4" w:themeColor="accent1" w:themeTint="66"/>
          <w:sz w:val="50"/>
          <w:szCs w:val="50"/>
        </w:rPr>
      </w:pPr>
      <w:r>
        <w:rPr>
          <w:rStyle w:val="A4"/>
          <w:color w:val="B8CCE4" w:themeColor="accent1" w:themeTint="66"/>
          <w:sz w:val="50"/>
          <w:szCs w:val="50"/>
        </w:rPr>
        <w:t>Záchrana a obnova kulturních památek</w:t>
      </w:r>
    </w:p>
    <w:p w14:paraId="6B885BA7" w14:textId="77777777" w:rsidR="00DD0631" w:rsidRPr="00383FAC" w:rsidRDefault="00DD0631" w:rsidP="00DD0631">
      <w:pPr>
        <w:rPr>
          <w:rStyle w:val="A1"/>
          <w:rFonts w:ascii="Calibri Light" w:hAnsi="Calibri Light" w:cs="Calibri Light"/>
        </w:rPr>
      </w:pPr>
    </w:p>
    <w:tbl>
      <w:tblPr>
        <w:tblStyle w:val="Mkatabulky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231"/>
        <w:gridCol w:w="2721"/>
        <w:gridCol w:w="3231"/>
      </w:tblGrid>
      <w:tr w:rsidR="00210D30" w14:paraId="79510895" w14:textId="77777777" w:rsidTr="00891D34">
        <w:trPr>
          <w:trHeight w:val="1918"/>
        </w:trPr>
        <w:tc>
          <w:tcPr>
            <w:tcW w:w="3231" w:type="dxa"/>
          </w:tcPr>
          <w:p w14:paraId="69310A1B" w14:textId="77777777" w:rsidR="00DD0631" w:rsidRDefault="006C06F8" w:rsidP="00DD0631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>6</w:t>
            </w:r>
          </w:p>
          <w:p w14:paraId="195D9224" w14:textId="77777777" w:rsidR="00DD0631" w:rsidRPr="00DD0631" w:rsidRDefault="006C06F8" w:rsidP="00DD0631">
            <w:pPr>
              <w:jc w:val="center"/>
              <w:rPr>
                <w:rStyle w:val="A1"/>
                <w:b/>
                <w:bCs/>
                <w:sz w:val="24"/>
                <w:szCs w:val="24"/>
              </w:rPr>
            </w:pPr>
            <w:r>
              <w:t>Počet</w:t>
            </w:r>
            <w:r w:rsidR="00513F8C">
              <w:t xml:space="preserve"> kontrolovaných</w:t>
            </w:r>
            <w:r>
              <w:t xml:space="preserve"> </w:t>
            </w:r>
            <w:r w:rsidR="00515B1E">
              <w:t xml:space="preserve">programů </w:t>
            </w:r>
            <w:r w:rsidR="00280484">
              <w:t>na</w:t>
            </w:r>
            <w:r w:rsidR="00515B1E">
              <w:t xml:space="preserve"> záchran</w:t>
            </w:r>
            <w:r w:rsidR="00280484">
              <w:t>u</w:t>
            </w:r>
            <w:r w:rsidR="00515B1E">
              <w:t xml:space="preserve"> a</w:t>
            </w:r>
            <w:r w:rsidR="00891D34">
              <w:t> </w:t>
            </w:r>
            <w:r w:rsidR="00515B1E">
              <w:t>obnov</w:t>
            </w:r>
            <w:r w:rsidR="00280484">
              <w:t>u</w:t>
            </w:r>
            <w:r w:rsidR="00515B1E">
              <w:t xml:space="preserve"> kulturních památek</w:t>
            </w:r>
          </w:p>
        </w:tc>
        <w:tc>
          <w:tcPr>
            <w:tcW w:w="2721" w:type="dxa"/>
          </w:tcPr>
          <w:p w14:paraId="35BC2ADF" w14:textId="77777777" w:rsidR="00AD6513" w:rsidRDefault="006C06F8" w:rsidP="00AD6513">
            <w:pPr>
              <w:jc w:val="center"/>
              <w:rPr>
                <w:rStyle w:val="A5"/>
              </w:rPr>
            </w:pPr>
            <w:r>
              <w:rPr>
                <w:b/>
                <w:bCs/>
                <w:sz w:val="40"/>
                <w:szCs w:val="40"/>
              </w:rPr>
              <w:t>2,6 mld. Kč</w:t>
            </w:r>
          </w:p>
          <w:p w14:paraId="0EC584E8" w14:textId="77777777" w:rsidR="00DD0631" w:rsidRPr="000B70F1" w:rsidRDefault="006C06F8" w:rsidP="00AD6513">
            <w:pPr>
              <w:jc w:val="center"/>
              <w:rPr>
                <w:rStyle w:val="A1"/>
                <w:color w:val="auto"/>
                <w:sz w:val="20"/>
                <w:szCs w:val="20"/>
              </w:rPr>
            </w:pPr>
            <w:r>
              <w:rPr>
                <w:rFonts w:cstheme="minorHAnsi"/>
              </w:rPr>
              <w:t>výdaje MK na záchranu a</w:t>
            </w:r>
            <w:r w:rsidR="00891D34">
              <w:rPr>
                <w:rFonts w:cstheme="minorHAnsi"/>
              </w:rPr>
              <w:t> </w:t>
            </w:r>
            <w:r>
              <w:rPr>
                <w:rFonts w:cstheme="minorHAnsi"/>
              </w:rPr>
              <w:t xml:space="preserve">obnovu kulturních památek za roky </w:t>
            </w:r>
            <w:r w:rsidR="00805F8A">
              <w:rPr>
                <w:rFonts w:cstheme="minorHAnsi"/>
              </w:rPr>
              <w:br/>
            </w:r>
            <w:r>
              <w:rPr>
                <w:rFonts w:cstheme="minorHAnsi"/>
              </w:rPr>
              <w:t>2019</w:t>
            </w:r>
            <w:r w:rsidR="00D71E18">
              <w:rPr>
                <w:rFonts w:cstheme="minorHAnsi"/>
              </w:rPr>
              <w:t xml:space="preserve"> až </w:t>
            </w:r>
            <w:r>
              <w:rPr>
                <w:rFonts w:cstheme="minorHAnsi"/>
              </w:rPr>
              <w:t>2022</w:t>
            </w:r>
          </w:p>
        </w:tc>
        <w:tc>
          <w:tcPr>
            <w:tcW w:w="3231" w:type="dxa"/>
          </w:tcPr>
          <w:p w14:paraId="4A886E3B" w14:textId="77777777" w:rsidR="00AE1C77" w:rsidRDefault="006C06F8" w:rsidP="00AE1C77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>7 457</w:t>
            </w:r>
          </w:p>
          <w:p w14:paraId="6EF99EE1" w14:textId="77777777" w:rsidR="00DD0631" w:rsidRPr="00AE1C77" w:rsidRDefault="006C06F8" w:rsidP="00AE1C77">
            <w:pPr>
              <w:jc w:val="center"/>
              <w:rPr>
                <w:rStyle w:val="A1"/>
                <w:b/>
                <w:bCs/>
                <w:sz w:val="40"/>
                <w:szCs w:val="40"/>
              </w:rPr>
            </w:pPr>
            <w:r>
              <w:t xml:space="preserve">počet </w:t>
            </w:r>
            <w:r w:rsidR="00EB3321">
              <w:t>podpořených žádostí o</w:t>
            </w:r>
            <w:r w:rsidR="00805F8A">
              <w:t> </w:t>
            </w:r>
            <w:r w:rsidR="00EB3321">
              <w:t>příspěvek</w:t>
            </w:r>
            <w:r w:rsidR="00137F94">
              <w:t xml:space="preserve"> na záchranu a</w:t>
            </w:r>
            <w:r w:rsidR="00891D34">
              <w:t> </w:t>
            </w:r>
            <w:r w:rsidR="00137F94">
              <w:t>obnovu kulturních památek v letech 2019 až 2022</w:t>
            </w:r>
          </w:p>
        </w:tc>
      </w:tr>
      <w:tr w:rsidR="00210D30" w14:paraId="1571414F" w14:textId="77777777" w:rsidTr="00891D34">
        <w:trPr>
          <w:trHeight w:val="1918"/>
        </w:trPr>
        <w:tc>
          <w:tcPr>
            <w:tcW w:w="3231" w:type="dxa"/>
          </w:tcPr>
          <w:p w14:paraId="34C33D3B" w14:textId="77777777" w:rsidR="00AD6513" w:rsidRDefault="006C06F8" w:rsidP="00AD6513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 xml:space="preserve">až </w:t>
            </w:r>
            <w:r w:rsidR="00137F94">
              <w:rPr>
                <w:rStyle w:val="A5"/>
              </w:rPr>
              <w:t>1,5</w:t>
            </w:r>
            <w:r>
              <w:rPr>
                <w:rStyle w:val="A5"/>
              </w:rPr>
              <w:t xml:space="preserve"> </w:t>
            </w:r>
            <w:r w:rsidR="00137F94">
              <w:rPr>
                <w:rStyle w:val="A5"/>
              </w:rPr>
              <w:t>roku</w:t>
            </w:r>
          </w:p>
          <w:p w14:paraId="4110D913" w14:textId="0CE59D4B" w:rsidR="001F27E8" w:rsidRDefault="006C06F8" w:rsidP="00AD6513">
            <w:pPr>
              <w:jc w:val="center"/>
              <w:rPr>
                <w:rStyle w:val="A5"/>
              </w:rPr>
            </w:pPr>
            <w:r>
              <w:t xml:space="preserve">doba od </w:t>
            </w:r>
            <w:r w:rsidR="00137F94">
              <w:t>podání žádosti</w:t>
            </w:r>
            <w:r>
              <w:t xml:space="preserve"> </w:t>
            </w:r>
            <w:r w:rsidR="00805F8A">
              <w:br/>
            </w:r>
            <w:r>
              <w:t xml:space="preserve">do </w:t>
            </w:r>
            <w:r w:rsidR="00137F94">
              <w:t>vydání</w:t>
            </w:r>
            <w:r>
              <w:t xml:space="preserve"> rozhodnutí o</w:t>
            </w:r>
            <w:r w:rsidR="00891D34">
              <w:t> </w:t>
            </w:r>
            <w:r w:rsidRPr="00AD6513">
              <w:t>poskytnutí příspěvku</w:t>
            </w:r>
            <w:r w:rsidR="00805F8A">
              <w:t>;</w:t>
            </w:r>
            <w:r w:rsidR="00513F8C">
              <w:t xml:space="preserve"> tato doba významně překračovala dobu realizac</w:t>
            </w:r>
            <w:r w:rsidR="00A17CDC">
              <w:t>e</w:t>
            </w:r>
            <w:r w:rsidR="00513F8C">
              <w:t xml:space="preserve"> projektů</w:t>
            </w:r>
          </w:p>
        </w:tc>
        <w:tc>
          <w:tcPr>
            <w:tcW w:w="2721" w:type="dxa"/>
          </w:tcPr>
          <w:p w14:paraId="3E64832C" w14:textId="77777777" w:rsidR="00AD6513" w:rsidRDefault="001200A5" w:rsidP="00AD6513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>1</w:t>
            </w:r>
            <w:r w:rsidR="006B4C78">
              <w:rPr>
                <w:rStyle w:val="A5"/>
              </w:rPr>
              <w:t>9,9 %</w:t>
            </w:r>
          </w:p>
          <w:p w14:paraId="3108FD96" w14:textId="77777777" w:rsidR="001F27E8" w:rsidRDefault="001200A5" w:rsidP="00AD6513">
            <w:pPr>
              <w:jc w:val="center"/>
              <w:rPr>
                <w:rStyle w:val="A5"/>
              </w:rPr>
            </w:pPr>
            <w:r>
              <w:t xml:space="preserve">uspokojených peněžních požadavků </w:t>
            </w:r>
            <w:r w:rsidR="00805F8A">
              <w:br/>
            </w:r>
            <w:r w:rsidR="006B4C78">
              <w:t xml:space="preserve">ze všech obdržených žádostí </w:t>
            </w:r>
            <w:r>
              <w:t>v roce 2022</w:t>
            </w:r>
          </w:p>
        </w:tc>
        <w:tc>
          <w:tcPr>
            <w:tcW w:w="3231" w:type="dxa"/>
          </w:tcPr>
          <w:p w14:paraId="40F52BB9" w14:textId="77777777" w:rsidR="00AD6513" w:rsidRDefault="006C06F8" w:rsidP="00AD6513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>1987</w:t>
            </w:r>
          </w:p>
          <w:p w14:paraId="189B35F2" w14:textId="77777777" w:rsidR="001F27E8" w:rsidRDefault="006C06F8" w:rsidP="00AD6513">
            <w:pPr>
              <w:jc w:val="center"/>
              <w:rPr>
                <w:b/>
                <w:bCs/>
                <w:sz w:val="40"/>
                <w:szCs w:val="40"/>
              </w:rPr>
            </w:pPr>
            <w:r w:rsidRPr="00AD6513">
              <w:t>rok</w:t>
            </w:r>
            <w:r w:rsidR="00805F8A">
              <w:t>,</w:t>
            </w:r>
            <w:r w:rsidRPr="00AD6513">
              <w:t xml:space="preserve"> od kterého platí </w:t>
            </w:r>
            <w:r w:rsidR="00A17CDC">
              <w:t>zákon o</w:t>
            </w:r>
            <w:r w:rsidR="00891D34">
              <w:t> </w:t>
            </w:r>
            <w:r w:rsidR="00A17CDC">
              <w:t>státní památkové péči</w:t>
            </w:r>
            <w:r w:rsidRPr="00AD6513">
              <w:t xml:space="preserve"> bez </w:t>
            </w:r>
            <w:r w:rsidR="004C19F2">
              <w:t>podstatných</w:t>
            </w:r>
            <w:r w:rsidRPr="00AD6513">
              <w:t xml:space="preserve"> úprav</w:t>
            </w:r>
          </w:p>
        </w:tc>
      </w:tr>
    </w:tbl>
    <w:p w14:paraId="34E3369C" w14:textId="77777777" w:rsidR="00C91C82" w:rsidRDefault="006C06F8">
      <w:pPr>
        <w:spacing w:befor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0BB2E062" w14:textId="77777777" w:rsidR="00E61477" w:rsidRDefault="006C06F8" w:rsidP="00C50C07">
      <w:pPr>
        <w:keepNext/>
        <w:spacing w:before="240" w:after="240"/>
        <w:ind w:left="357"/>
        <w:jc w:val="center"/>
        <w:outlineLvl w:val="0"/>
        <w:rPr>
          <w:b/>
          <w:sz w:val="28"/>
        </w:rPr>
      </w:pPr>
      <w:r w:rsidRPr="00E61477">
        <w:rPr>
          <w:b/>
          <w:sz w:val="28"/>
        </w:rPr>
        <w:lastRenderedPageBreak/>
        <w:t>I. </w:t>
      </w:r>
      <w:r w:rsidR="00C866CB" w:rsidRPr="00E61477">
        <w:rPr>
          <w:b/>
          <w:sz w:val="28"/>
        </w:rPr>
        <w:t>Shrnutí a vyhodnocení</w:t>
      </w:r>
    </w:p>
    <w:p w14:paraId="6856BDAE" w14:textId="5FD00F60" w:rsidR="00E74512" w:rsidRDefault="006C06F8" w:rsidP="00891D34">
      <w:pPr>
        <w:spacing w:before="240" w:after="240"/>
        <w:outlineLvl w:val="0"/>
        <w:rPr>
          <w:rFonts w:asciiTheme="minorHAnsi" w:hAnsiTheme="minorHAnsi" w:cstheme="minorHAnsi"/>
        </w:rPr>
      </w:pPr>
      <w:r w:rsidRPr="00E61477">
        <w:rPr>
          <w:color w:val="000000" w:themeColor="text1"/>
        </w:rPr>
        <w:t xml:space="preserve">Cílem kontroly </w:t>
      </w:r>
      <w:r>
        <w:rPr>
          <w:color w:val="000000" w:themeColor="text1"/>
        </w:rPr>
        <w:t xml:space="preserve">bylo </w:t>
      </w:r>
      <w:r>
        <w:rPr>
          <w:rFonts w:asciiTheme="minorHAnsi" w:hAnsiTheme="minorHAnsi" w:cstheme="minorHAnsi"/>
        </w:rPr>
        <w:t>p</w:t>
      </w:r>
      <w:r w:rsidRPr="00400581">
        <w:rPr>
          <w:rFonts w:asciiTheme="minorHAnsi" w:hAnsiTheme="minorHAnsi" w:cstheme="minorHAnsi"/>
        </w:rPr>
        <w:t>rověřit, zda byly peněžní prostředky státu poskytované na záchranu a</w:t>
      </w:r>
      <w:r w:rsidR="009D486F">
        <w:rPr>
          <w:rFonts w:asciiTheme="minorHAnsi" w:hAnsiTheme="minorHAnsi" w:cstheme="minorHAnsi"/>
        </w:rPr>
        <w:t> </w:t>
      </w:r>
      <w:r w:rsidRPr="00400581">
        <w:rPr>
          <w:rFonts w:asciiTheme="minorHAnsi" w:hAnsiTheme="minorHAnsi" w:cstheme="minorHAnsi"/>
        </w:rPr>
        <w:t xml:space="preserve">obnovu kulturních památek prostřednictvím rozpočtové kapitoly </w:t>
      </w:r>
      <w:r w:rsidRPr="00A93BDA">
        <w:rPr>
          <w:rFonts w:asciiTheme="minorHAnsi" w:hAnsiTheme="minorHAnsi" w:cstheme="minorHAnsi"/>
          <w:i/>
        </w:rPr>
        <w:t>Ministerstvo kultury</w:t>
      </w:r>
      <w:r w:rsidRPr="00400581">
        <w:rPr>
          <w:rFonts w:asciiTheme="minorHAnsi" w:hAnsiTheme="minorHAnsi" w:cstheme="minorHAnsi"/>
        </w:rPr>
        <w:t xml:space="preserve"> vynaloženy účelně a v souladu s právními předpisy</w:t>
      </w:r>
      <w:r>
        <w:rPr>
          <w:rFonts w:asciiTheme="minorHAnsi" w:hAnsiTheme="minorHAnsi" w:cstheme="minorHAnsi"/>
        </w:rPr>
        <w:t xml:space="preserve">. NKÚ kontrolu provedl u Ministerstva kultury (dále také „MK“), které </w:t>
      </w:r>
      <w:r w:rsidR="008344E1">
        <w:rPr>
          <w:rFonts w:asciiTheme="minorHAnsi" w:hAnsiTheme="minorHAnsi" w:cstheme="minorHAnsi"/>
        </w:rPr>
        <w:t>v letech 2019 až 2022 poskytlo</w:t>
      </w:r>
      <w:r>
        <w:rPr>
          <w:rFonts w:asciiTheme="minorHAnsi" w:hAnsiTheme="minorHAnsi" w:cstheme="minorHAnsi"/>
        </w:rPr>
        <w:t xml:space="preserve"> </w:t>
      </w:r>
      <w:r w:rsidR="008344E1">
        <w:rPr>
          <w:rFonts w:asciiTheme="minorHAnsi" w:hAnsiTheme="minorHAnsi" w:cstheme="minorHAnsi"/>
        </w:rPr>
        <w:t xml:space="preserve">v rámci šesti </w:t>
      </w:r>
      <w:r w:rsidR="00BC37FB">
        <w:rPr>
          <w:rFonts w:asciiTheme="minorHAnsi" w:hAnsiTheme="minorHAnsi" w:cstheme="minorHAnsi"/>
        </w:rPr>
        <w:t xml:space="preserve">kontrolovaných </w:t>
      </w:r>
      <w:r w:rsidR="008344E1">
        <w:rPr>
          <w:rFonts w:asciiTheme="minorHAnsi" w:hAnsiTheme="minorHAnsi" w:cstheme="minorHAnsi"/>
        </w:rPr>
        <w:t xml:space="preserve">programů </w:t>
      </w:r>
      <w:r>
        <w:rPr>
          <w:rFonts w:asciiTheme="minorHAnsi" w:hAnsiTheme="minorHAnsi" w:cstheme="minorHAnsi"/>
        </w:rPr>
        <w:t xml:space="preserve">příspěvky </w:t>
      </w:r>
      <w:r w:rsidRPr="00400581">
        <w:rPr>
          <w:rFonts w:asciiTheme="minorHAnsi" w:hAnsiTheme="minorHAnsi" w:cstheme="minorHAnsi"/>
        </w:rPr>
        <w:t>na záchranu a obnovu kulturních památek</w:t>
      </w:r>
      <w:r w:rsidR="008344E1">
        <w:rPr>
          <w:rFonts w:asciiTheme="minorHAnsi" w:hAnsiTheme="minorHAnsi" w:cstheme="minorHAnsi"/>
        </w:rPr>
        <w:t xml:space="preserve"> </w:t>
      </w:r>
      <w:r w:rsidR="00805F8A">
        <w:rPr>
          <w:rFonts w:asciiTheme="minorHAnsi" w:hAnsiTheme="minorHAnsi" w:cstheme="minorHAnsi"/>
        </w:rPr>
        <w:t>v celkové</w:t>
      </w:r>
      <w:r w:rsidR="008344E1">
        <w:rPr>
          <w:rFonts w:asciiTheme="minorHAnsi" w:hAnsiTheme="minorHAnsi" w:cstheme="minorHAnsi"/>
        </w:rPr>
        <w:t xml:space="preserve"> výši 2,6 mld. Kč</w:t>
      </w:r>
      <w:r w:rsidR="00F4634C">
        <w:rPr>
          <w:rFonts w:asciiTheme="minorHAnsi" w:hAnsiTheme="minorHAnsi" w:cstheme="minorHAnsi"/>
        </w:rPr>
        <w:t>.</w:t>
      </w:r>
    </w:p>
    <w:p w14:paraId="62B7B13F" w14:textId="23CEBE2F" w:rsidR="00280484" w:rsidRPr="00546E44" w:rsidRDefault="00086A86" w:rsidP="00891D34">
      <w:pPr>
        <w:spacing w:before="240" w:after="240"/>
        <w:outlineLvl w:val="0"/>
        <w:rPr>
          <w:b/>
        </w:rPr>
      </w:pPr>
      <w:r>
        <w:rPr>
          <w:rFonts w:eastAsia="Calibri" w:cs="Times New Roman"/>
          <w:b/>
          <w:color w:val="auto"/>
        </w:rPr>
        <w:t xml:space="preserve">NKÚ zjistil, že </w:t>
      </w:r>
      <w:r w:rsidR="006C06F8" w:rsidRPr="00280484">
        <w:rPr>
          <w:rFonts w:eastAsia="Calibri" w:cs="Times New Roman"/>
          <w:b/>
          <w:color w:val="auto"/>
        </w:rPr>
        <w:t>MK vynakládalo peněžní prostředky poskytované v šesti kontrolovaných programech</w:t>
      </w:r>
      <w:r w:rsidR="006B06B7">
        <w:rPr>
          <w:rFonts w:eastAsia="Calibri" w:cs="Times New Roman"/>
          <w:b/>
          <w:color w:val="auto"/>
        </w:rPr>
        <w:t xml:space="preserve"> v letech 2019 až 2022, aniž by stanovilo cíle, kter</w:t>
      </w:r>
      <w:r w:rsidR="002325A8">
        <w:rPr>
          <w:rFonts w:eastAsia="Calibri" w:cs="Times New Roman"/>
          <w:b/>
          <w:color w:val="auto"/>
        </w:rPr>
        <w:t>ých</w:t>
      </w:r>
      <w:r w:rsidR="006B06B7">
        <w:rPr>
          <w:rFonts w:eastAsia="Calibri" w:cs="Times New Roman"/>
          <w:b/>
          <w:color w:val="auto"/>
        </w:rPr>
        <w:t xml:space="preserve"> by chtělo v oblasti</w:t>
      </w:r>
      <w:r w:rsidR="006C06F8" w:rsidRPr="00280484">
        <w:rPr>
          <w:rFonts w:eastAsia="Calibri" w:cs="Times New Roman"/>
          <w:b/>
          <w:color w:val="auto"/>
        </w:rPr>
        <w:t xml:space="preserve"> záchrany a obnovy kulturních památek</w:t>
      </w:r>
      <w:r w:rsidR="006B06B7">
        <w:rPr>
          <w:rFonts w:eastAsia="Calibri" w:cs="Times New Roman"/>
          <w:b/>
          <w:color w:val="auto"/>
        </w:rPr>
        <w:t xml:space="preserve"> dosáhnout</w:t>
      </w:r>
      <w:r w:rsidR="006C06F8" w:rsidRPr="00280484">
        <w:rPr>
          <w:rFonts w:eastAsia="Calibri" w:cs="Times New Roman"/>
          <w:b/>
          <w:color w:val="auto"/>
        </w:rPr>
        <w:t xml:space="preserve">. </w:t>
      </w:r>
      <w:r w:rsidR="006B06B7">
        <w:rPr>
          <w:rFonts w:eastAsia="Calibri" w:cs="Times New Roman"/>
          <w:b/>
          <w:color w:val="auto"/>
        </w:rPr>
        <w:t>Vzhledem k abse</w:t>
      </w:r>
      <w:r w:rsidR="00E63F0F">
        <w:rPr>
          <w:rFonts w:eastAsia="Calibri" w:cs="Times New Roman"/>
          <w:b/>
          <w:color w:val="auto"/>
        </w:rPr>
        <w:t>n</w:t>
      </w:r>
      <w:r w:rsidR="006B06B7">
        <w:rPr>
          <w:rFonts w:eastAsia="Calibri" w:cs="Times New Roman"/>
          <w:b/>
          <w:color w:val="auto"/>
        </w:rPr>
        <w:t>ci cílů nelze vyhodnotit, zda byly peněžní prostředky poskytnuty a čerpány účelně.</w:t>
      </w:r>
      <w:r w:rsidR="005B38EC">
        <w:rPr>
          <w:rFonts w:eastAsia="Calibri" w:cs="Times New Roman"/>
          <w:b/>
          <w:color w:val="auto"/>
        </w:rPr>
        <w:t xml:space="preserve"> </w:t>
      </w:r>
      <w:r w:rsidR="006C06F8" w:rsidRPr="00280484">
        <w:rPr>
          <w:rFonts w:eastAsia="Calibri" w:cs="Times New Roman"/>
          <w:b/>
          <w:color w:val="auto"/>
        </w:rPr>
        <w:t>Konkrétní přínosy a dopady vynakládaných prostředků</w:t>
      </w:r>
      <w:r w:rsidR="003E29EC">
        <w:rPr>
          <w:rFonts w:eastAsia="Calibri" w:cs="Times New Roman"/>
          <w:b/>
          <w:color w:val="auto"/>
        </w:rPr>
        <w:t xml:space="preserve"> </w:t>
      </w:r>
      <w:r w:rsidR="006C06F8" w:rsidRPr="00280484">
        <w:rPr>
          <w:rFonts w:eastAsia="Calibri" w:cs="Times New Roman"/>
          <w:b/>
          <w:color w:val="auto"/>
        </w:rPr>
        <w:t xml:space="preserve">MK nevyhodnotilo. </w:t>
      </w:r>
      <w:r w:rsidR="0045778C">
        <w:rPr>
          <w:rFonts w:eastAsia="Calibri" w:cs="Times New Roman"/>
          <w:b/>
          <w:color w:val="auto"/>
        </w:rPr>
        <w:t>U</w:t>
      </w:r>
      <w:r w:rsidR="006C06F8" w:rsidRPr="00280484">
        <w:rPr>
          <w:rFonts w:eastAsia="Calibri" w:cs="Times New Roman"/>
          <w:b/>
          <w:color w:val="auto"/>
        </w:rPr>
        <w:t>vedený</w:t>
      </w:r>
      <w:r w:rsidR="00CE3894">
        <w:rPr>
          <w:rFonts w:eastAsia="Calibri" w:cs="Times New Roman"/>
          <w:b/>
          <w:color w:val="auto"/>
        </w:rPr>
        <w:t>m</w:t>
      </w:r>
      <w:r w:rsidR="006C06F8" w:rsidRPr="00280484">
        <w:rPr>
          <w:rFonts w:eastAsia="Calibri" w:cs="Times New Roman"/>
          <w:b/>
          <w:color w:val="auto"/>
        </w:rPr>
        <w:t xml:space="preserve"> postup</w:t>
      </w:r>
      <w:r w:rsidR="00CE3894">
        <w:rPr>
          <w:rFonts w:eastAsia="Calibri" w:cs="Times New Roman"/>
          <w:b/>
          <w:color w:val="auto"/>
        </w:rPr>
        <w:t>em</w:t>
      </w:r>
      <w:r w:rsidR="006C06F8" w:rsidRPr="00280484">
        <w:rPr>
          <w:rFonts w:eastAsia="Calibri" w:cs="Times New Roman"/>
          <w:b/>
          <w:color w:val="auto"/>
        </w:rPr>
        <w:t xml:space="preserve"> v oblasti nastavení a</w:t>
      </w:r>
      <w:r w:rsidR="009D486F">
        <w:rPr>
          <w:rFonts w:eastAsia="Calibri" w:cs="Times New Roman"/>
          <w:b/>
          <w:color w:val="auto"/>
        </w:rPr>
        <w:t> </w:t>
      </w:r>
      <w:r w:rsidR="006C06F8" w:rsidRPr="00280484">
        <w:rPr>
          <w:rFonts w:eastAsia="Calibri" w:cs="Times New Roman"/>
          <w:b/>
          <w:color w:val="auto"/>
        </w:rPr>
        <w:t xml:space="preserve">následného vyhodnocení záchrany a obnovy kulturních památek </w:t>
      </w:r>
      <w:r w:rsidR="0045778C">
        <w:rPr>
          <w:rFonts w:eastAsia="Calibri" w:cs="Times New Roman"/>
          <w:b/>
          <w:color w:val="auto"/>
        </w:rPr>
        <w:t xml:space="preserve">MK </w:t>
      </w:r>
      <w:r w:rsidR="00CE3894">
        <w:rPr>
          <w:rFonts w:eastAsia="Calibri" w:cs="Times New Roman"/>
          <w:b/>
          <w:color w:val="auto"/>
        </w:rPr>
        <w:t>nesplnilo povinnost</w:t>
      </w:r>
      <w:r w:rsidR="0045778C">
        <w:rPr>
          <w:rFonts w:eastAsia="Calibri" w:cs="Times New Roman"/>
          <w:b/>
          <w:color w:val="auto"/>
        </w:rPr>
        <w:t xml:space="preserve"> </w:t>
      </w:r>
      <w:r w:rsidR="006C06F8" w:rsidRPr="00280484">
        <w:rPr>
          <w:rFonts w:eastAsia="Calibri" w:cs="Times New Roman"/>
          <w:b/>
          <w:color w:val="auto"/>
        </w:rPr>
        <w:t>stanoven</w:t>
      </w:r>
      <w:r w:rsidR="00CE3894">
        <w:rPr>
          <w:rFonts w:eastAsia="Calibri" w:cs="Times New Roman"/>
          <w:b/>
          <w:color w:val="auto"/>
        </w:rPr>
        <w:t>ou</w:t>
      </w:r>
      <w:r w:rsidR="006C06F8" w:rsidRPr="00280484">
        <w:rPr>
          <w:rFonts w:eastAsia="Calibri" w:cs="Times New Roman"/>
          <w:b/>
          <w:color w:val="auto"/>
        </w:rPr>
        <w:t xml:space="preserve"> </w:t>
      </w:r>
      <w:r w:rsidR="00CE3894">
        <w:rPr>
          <w:rFonts w:eastAsia="Calibri" w:cs="Times New Roman"/>
          <w:b/>
          <w:color w:val="auto"/>
        </w:rPr>
        <w:t xml:space="preserve">v </w:t>
      </w:r>
      <w:r w:rsidR="00B30081">
        <w:rPr>
          <w:rFonts w:eastAsia="Calibri" w:cs="Times New Roman"/>
          <w:b/>
          <w:color w:val="auto"/>
        </w:rPr>
        <w:t>rozpočtových pravidlech</w:t>
      </w:r>
      <w:r w:rsidR="00DD0B6A">
        <w:rPr>
          <w:rStyle w:val="Znakapoznpodarou"/>
          <w:rFonts w:eastAsia="Calibri" w:cs="Times New Roman"/>
          <w:b/>
          <w:color w:val="auto"/>
        </w:rPr>
        <w:footnoteReference w:id="2"/>
      </w:r>
      <w:r w:rsidR="006C06F8" w:rsidRPr="00280484">
        <w:rPr>
          <w:rFonts w:eastAsia="Calibri" w:cs="Times New Roman"/>
          <w:b/>
          <w:color w:val="auto"/>
        </w:rPr>
        <w:t xml:space="preserve"> soustavně sledovat a vyhodnocovat hospodárnost, efektivnost a účelnost vynakládání výdajů ve své kapitole.</w:t>
      </w:r>
      <w:r w:rsidR="00B30081">
        <w:rPr>
          <w:rFonts w:eastAsia="Calibri" w:cs="Times New Roman"/>
          <w:b/>
          <w:color w:val="auto"/>
        </w:rPr>
        <w:t xml:space="preserve"> </w:t>
      </w:r>
      <w:r w:rsidR="00184F67">
        <w:rPr>
          <w:rFonts w:eastAsia="Calibri" w:cs="Times New Roman"/>
          <w:b/>
          <w:color w:val="auto"/>
        </w:rPr>
        <w:t xml:space="preserve">Hodnocení a výběr projektů byl u poloviny programů netransparentní. </w:t>
      </w:r>
      <w:r w:rsidR="00B30081">
        <w:rPr>
          <w:rFonts w:eastAsia="Calibri" w:cs="Times New Roman"/>
          <w:b/>
          <w:color w:val="auto"/>
        </w:rPr>
        <w:t>MK</w:t>
      </w:r>
      <w:r w:rsidR="005B38EC">
        <w:rPr>
          <w:rFonts w:eastAsia="Calibri" w:cs="Times New Roman"/>
          <w:b/>
          <w:color w:val="auto"/>
        </w:rPr>
        <w:t xml:space="preserve"> </w:t>
      </w:r>
      <w:r w:rsidR="00B30081">
        <w:rPr>
          <w:rFonts w:eastAsia="Calibri" w:cs="Times New Roman"/>
          <w:b/>
          <w:color w:val="auto"/>
        </w:rPr>
        <w:t xml:space="preserve">rovněž </w:t>
      </w:r>
      <w:r w:rsidR="00B30081" w:rsidRPr="005A50FF">
        <w:rPr>
          <w:b/>
        </w:rPr>
        <w:t>nezpracovalo</w:t>
      </w:r>
      <w:r w:rsidR="003E29EC">
        <w:rPr>
          <w:b/>
        </w:rPr>
        <w:t xml:space="preserve"> </w:t>
      </w:r>
      <w:r w:rsidR="00B30081" w:rsidRPr="00546E44">
        <w:rPr>
          <w:b/>
        </w:rPr>
        <w:t>koncepce rozvoje památkové péče</w:t>
      </w:r>
      <w:r w:rsidR="00821C29">
        <w:rPr>
          <w:b/>
        </w:rPr>
        <w:t>,</w:t>
      </w:r>
      <w:r w:rsidR="00B30081" w:rsidRPr="00546E44">
        <w:rPr>
          <w:b/>
        </w:rPr>
        <w:t xml:space="preserve"> a</w:t>
      </w:r>
      <w:r w:rsidR="00821C29">
        <w:rPr>
          <w:b/>
        </w:rPr>
        <w:t> tedy</w:t>
      </w:r>
      <w:r w:rsidR="00B30081" w:rsidRPr="00546E44">
        <w:rPr>
          <w:b/>
        </w:rPr>
        <w:t xml:space="preserve"> náležitě nedbalo, aby státní památkovou péči zabezpečilo plánovitě, komplexně a v souladu s dlouhodobou koncepcí jejího rozvoje, jak mu to ukládal zákon o</w:t>
      </w:r>
      <w:r w:rsidR="009D486F">
        <w:rPr>
          <w:b/>
        </w:rPr>
        <w:t> </w:t>
      </w:r>
      <w:r w:rsidR="00B30081" w:rsidRPr="00546E44">
        <w:rPr>
          <w:b/>
        </w:rPr>
        <w:t>státní památkové péči</w:t>
      </w:r>
      <w:r w:rsidR="00DD0B6A">
        <w:rPr>
          <w:rStyle w:val="Znakapoznpodarou"/>
          <w:b/>
        </w:rPr>
        <w:footnoteReference w:id="3"/>
      </w:r>
      <w:r w:rsidR="00B30081" w:rsidRPr="00546E44">
        <w:rPr>
          <w:b/>
        </w:rPr>
        <w:t>.</w:t>
      </w:r>
    </w:p>
    <w:p w14:paraId="3C17B373" w14:textId="77777777" w:rsidR="00D71E18" w:rsidRDefault="006C06F8" w:rsidP="00821C29">
      <w:pPr>
        <w:keepNext/>
        <w:spacing w:before="240" w:after="120"/>
        <w:outlineLvl w:val="0"/>
        <w:rPr>
          <w:b/>
          <w:color w:val="auto"/>
        </w:rPr>
      </w:pPr>
      <w:r w:rsidRPr="00546E44">
        <w:rPr>
          <w:b/>
          <w:color w:val="auto"/>
        </w:rPr>
        <w:t>Celkové vyhodnocení vyplývá z následujících skutečností zjištěných kontrolou:</w:t>
      </w:r>
    </w:p>
    <w:p w14:paraId="744C1C64" w14:textId="77777777" w:rsidR="00526E0F" w:rsidRPr="00546E44" w:rsidRDefault="006C06F8" w:rsidP="00821C29">
      <w:pPr>
        <w:keepNext/>
        <w:spacing w:before="240" w:after="120"/>
        <w:outlineLvl w:val="0"/>
        <w:rPr>
          <w:b/>
          <w:color w:val="auto"/>
        </w:rPr>
      </w:pPr>
      <w:r>
        <w:rPr>
          <w:rFonts w:cstheme="minorHAnsi"/>
          <w:b/>
        </w:rPr>
        <w:t xml:space="preserve">1. MK nestanovilo priority ani očekávané přínosy a dopady </w:t>
      </w:r>
      <w:r w:rsidR="006C0477">
        <w:rPr>
          <w:rFonts w:cstheme="minorHAnsi"/>
          <w:b/>
        </w:rPr>
        <w:t xml:space="preserve">poskytování příspěvku </w:t>
      </w:r>
    </w:p>
    <w:p w14:paraId="26EA0B76" w14:textId="77777777" w:rsidR="002E2D8D" w:rsidRDefault="006C06F8" w:rsidP="00526E0F">
      <w:pPr>
        <w:spacing w:before="0" w:after="120"/>
      </w:pPr>
      <w:r w:rsidRPr="00546E44">
        <w:t xml:space="preserve">MK nestanovilo priority a </w:t>
      </w:r>
      <w:r w:rsidR="00526E0F">
        <w:t xml:space="preserve">omezené </w:t>
      </w:r>
      <w:r w:rsidRPr="00546E44">
        <w:t xml:space="preserve">prostředky rozdělovalo zejména s cílem podpořit co největší počet příjemců i za cenu krácení požadovaných příspěvků. Cíle </w:t>
      </w:r>
      <w:r w:rsidR="00574345">
        <w:t xml:space="preserve">čtyř </w:t>
      </w:r>
      <w:r w:rsidRPr="00546E44">
        <w:t xml:space="preserve">programů </w:t>
      </w:r>
      <w:r w:rsidR="00C77B4B">
        <w:t>MK</w:t>
      </w:r>
      <w:r w:rsidR="003E29EC">
        <w:t xml:space="preserve"> </w:t>
      </w:r>
      <w:r w:rsidRPr="00546E44">
        <w:t>stanov</w:t>
      </w:r>
      <w:r w:rsidR="00C77B4B">
        <w:t>ilo</w:t>
      </w:r>
      <w:r w:rsidRPr="00546E44">
        <w:t xml:space="preserve"> obecně bez měřitelných ukazatelů</w:t>
      </w:r>
      <w:r w:rsidR="004C19F2">
        <w:t>.</w:t>
      </w:r>
      <w:r w:rsidRPr="00546E44">
        <w:t xml:space="preserve"> </w:t>
      </w:r>
      <w:r w:rsidR="004C19F2">
        <w:t>U</w:t>
      </w:r>
      <w:r w:rsidRPr="00546E44">
        <w:t xml:space="preserve"> dvou programů</w:t>
      </w:r>
      <w:r w:rsidR="004C19F2">
        <w:t xml:space="preserve"> </w:t>
      </w:r>
      <w:r>
        <w:t xml:space="preserve">nestanovilo </w:t>
      </w:r>
      <w:r w:rsidR="004C19F2">
        <w:t>MK dokonce žádné cíle</w:t>
      </w:r>
      <w:r>
        <w:t xml:space="preserve">. Vyhodnocení jednotlivých programů jako celku </w:t>
      </w:r>
      <w:r w:rsidR="00BC37FB">
        <w:t xml:space="preserve">provedlo MK </w:t>
      </w:r>
      <w:r>
        <w:t>pouze formáln</w:t>
      </w:r>
      <w:r w:rsidR="00CE7EF3">
        <w:t>ě</w:t>
      </w:r>
      <w:r>
        <w:t>.</w:t>
      </w:r>
    </w:p>
    <w:p w14:paraId="7BC66D54" w14:textId="77777777" w:rsidR="00526E0F" w:rsidRPr="00526E0F" w:rsidRDefault="006C06F8" w:rsidP="00821C29">
      <w:pPr>
        <w:keepNext/>
        <w:spacing w:before="240" w:after="120"/>
        <w:rPr>
          <w:color w:val="auto"/>
          <w:lang w:eastAsia="cs-CZ"/>
        </w:rPr>
      </w:pPr>
      <w:r>
        <w:rPr>
          <w:b/>
        </w:rPr>
        <w:t xml:space="preserve">2. MK </w:t>
      </w:r>
      <w:r w:rsidRPr="006C7757">
        <w:rPr>
          <w:b/>
        </w:rPr>
        <w:t>nezpracovalo koncepce rozvoje památkové péče</w:t>
      </w:r>
      <w:r w:rsidR="00EC4D5A">
        <w:rPr>
          <w:b/>
        </w:rPr>
        <w:t xml:space="preserve"> od roku 2021</w:t>
      </w:r>
    </w:p>
    <w:p w14:paraId="065D29F4" w14:textId="63E6E6B1" w:rsidR="002E2D8D" w:rsidRDefault="006C06F8" w:rsidP="00526E0F">
      <w:pPr>
        <w:spacing w:before="0" w:after="120"/>
      </w:pPr>
      <w:r w:rsidRPr="00585A14">
        <w:t>MK má dle zákona o státní památkové péči zabezpečit tuto péči mj. plánovitě a v souladu s</w:t>
      </w:r>
      <w:r w:rsidR="00891D34">
        <w:t> </w:t>
      </w:r>
      <w:r w:rsidRPr="00585A14">
        <w:t xml:space="preserve">dlouhodobou koncepcí jejího rozvoje. V období od roku 2021 do doby ukončení kontroly však byla platná pouze obecná </w:t>
      </w:r>
      <w:r w:rsidRPr="00A93BDA">
        <w:rPr>
          <w:i/>
        </w:rPr>
        <w:t>Státní kulturní politika</w:t>
      </w:r>
      <w:r w:rsidRPr="00585A14">
        <w:t xml:space="preserve">. </w:t>
      </w:r>
      <w:r w:rsidR="0045778C">
        <w:t>Plán implementace</w:t>
      </w:r>
      <w:r w:rsidRPr="00585A14">
        <w:t xml:space="preserve"> </w:t>
      </w:r>
      <w:r w:rsidRPr="00A93BDA">
        <w:rPr>
          <w:i/>
        </w:rPr>
        <w:t>Státní kulturní politiky</w:t>
      </w:r>
      <w:r w:rsidRPr="00585A14">
        <w:t xml:space="preserve"> ani </w:t>
      </w:r>
      <w:r w:rsidR="00384D6D">
        <w:t>k</w:t>
      </w:r>
      <w:r w:rsidRPr="00585A14">
        <w:t xml:space="preserve">oncepci památkové péče, </w:t>
      </w:r>
      <w:r w:rsidR="00384D6D">
        <w:t>v jejichž rámci</w:t>
      </w:r>
      <w:r w:rsidRPr="00585A14">
        <w:t xml:space="preserve"> by MK stanovilo konkrétní opatření a úkoly pro oblast záchrany a obnovy kulturních památek</w:t>
      </w:r>
      <w:r>
        <w:t>,</w:t>
      </w:r>
      <w:r w:rsidRPr="00585A14">
        <w:t xml:space="preserve"> však MK nezpracovalo.</w:t>
      </w:r>
      <w:r w:rsidR="00E46D5E">
        <w:t xml:space="preserve"> MK tak nepostupovalo v souladu se zákonem </w:t>
      </w:r>
      <w:r w:rsidR="00B761F8">
        <w:t xml:space="preserve">o státní památkové péči. </w:t>
      </w:r>
    </w:p>
    <w:p w14:paraId="3F1F21A0" w14:textId="77777777" w:rsidR="00526E0F" w:rsidRPr="00526E0F" w:rsidRDefault="006C06F8" w:rsidP="00821C29">
      <w:pPr>
        <w:keepNext/>
        <w:spacing w:before="240" w:after="120"/>
        <w:rPr>
          <w:color w:val="auto"/>
          <w:lang w:eastAsia="cs-CZ"/>
        </w:rPr>
      </w:pPr>
      <w:r>
        <w:rPr>
          <w:b/>
        </w:rPr>
        <w:t>3. MK neplnilo stanovená opatření a úkoly</w:t>
      </w:r>
    </w:p>
    <w:p w14:paraId="2859C281" w14:textId="2C2CF75C" w:rsidR="00F60597" w:rsidRDefault="006C06F8" w:rsidP="00526E0F">
      <w:pPr>
        <w:spacing w:before="0" w:after="120"/>
        <w:rPr>
          <w:color w:val="auto"/>
          <w:lang w:eastAsia="cs-CZ"/>
        </w:rPr>
      </w:pPr>
      <w:r w:rsidRPr="00526E0F">
        <w:rPr>
          <w:color w:val="auto"/>
          <w:lang w:eastAsia="cs-CZ"/>
        </w:rPr>
        <w:t>MK neplnilo opatření a úkoly v oblasti památkové péče stanovené v koncepčních dokumentech platných do roku 2020. Např</w:t>
      </w:r>
      <w:bookmarkStart w:id="0" w:name="_Hlk140483319"/>
      <w:r w:rsidRPr="00526E0F">
        <w:rPr>
          <w:color w:val="auto"/>
          <w:lang w:eastAsia="cs-CZ"/>
        </w:rPr>
        <w:t>.</w:t>
      </w:r>
      <w:r w:rsidR="0045778C">
        <w:rPr>
          <w:color w:val="auto"/>
          <w:lang w:eastAsia="cs-CZ"/>
        </w:rPr>
        <w:t xml:space="preserve"> </w:t>
      </w:r>
      <w:r w:rsidR="00A17CDC" w:rsidRPr="00A17CDC">
        <w:rPr>
          <w:color w:val="auto"/>
          <w:lang w:eastAsia="cs-CZ"/>
        </w:rPr>
        <w:t>MK deklarovalo potřebu navrhnout novou právní úpravu památkové péče a nahradit tak stávající zákon o státní památkové péči, který je platný od roku 1987</w:t>
      </w:r>
      <w:bookmarkStart w:id="1" w:name="_Hlk140483203"/>
      <w:bookmarkEnd w:id="0"/>
      <w:r w:rsidRPr="00526E0F">
        <w:rPr>
          <w:color w:val="auto"/>
          <w:lang w:eastAsia="cs-CZ"/>
        </w:rPr>
        <w:t xml:space="preserve">. </w:t>
      </w:r>
      <w:bookmarkEnd w:id="1"/>
      <w:r w:rsidR="00EE696F">
        <w:rPr>
          <w:color w:val="auto"/>
          <w:lang w:eastAsia="cs-CZ"/>
        </w:rPr>
        <w:t xml:space="preserve">Návrh zákona, který MK připravilo v roce 2015, nebyl schválen. Od té doby MK žádný návrh památkového zákona nepřipravilo a úkol pouze přenášelo </w:t>
      </w:r>
      <w:r w:rsidR="00EE696F" w:rsidRPr="00EE696F">
        <w:rPr>
          <w:color w:val="auto"/>
          <w:lang w:eastAsia="cs-CZ"/>
        </w:rPr>
        <w:t xml:space="preserve">do nových koncepčních </w:t>
      </w:r>
      <w:r w:rsidR="00EE696F" w:rsidRPr="00EE696F">
        <w:rPr>
          <w:color w:val="auto"/>
          <w:lang w:eastAsia="cs-CZ"/>
        </w:rPr>
        <w:lastRenderedPageBreak/>
        <w:t>dokumentů</w:t>
      </w:r>
      <w:r w:rsidR="00EE696F">
        <w:rPr>
          <w:color w:val="auto"/>
          <w:lang w:eastAsia="cs-CZ"/>
        </w:rPr>
        <w:t xml:space="preserve">. </w:t>
      </w:r>
      <w:r w:rsidRPr="00526E0F">
        <w:rPr>
          <w:color w:val="auto"/>
          <w:lang w:eastAsia="cs-CZ"/>
        </w:rPr>
        <w:t>MK nebylo úspěšné ani v elektronizaci procesu administrace a poskytování příspěvků</w:t>
      </w:r>
      <w:r w:rsidR="001A6011" w:rsidRPr="00526E0F">
        <w:rPr>
          <w:color w:val="auto"/>
          <w:lang w:eastAsia="cs-CZ"/>
        </w:rPr>
        <w:t>.</w:t>
      </w:r>
      <w:r w:rsidRPr="00526E0F">
        <w:rPr>
          <w:color w:val="auto"/>
          <w:lang w:eastAsia="cs-CZ"/>
        </w:rPr>
        <w:t xml:space="preserve"> I přes stanovenou potřebu formulace cílů, kritérií a následného vyhodnocení MK v</w:t>
      </w:r>
      <w:r w:rsidR="009D486F">
        <w:rPr>
          <w:color w:val="auto"/>
          <w:lang w:eastAsia="cs-CZ"/>
        </w:rPr>
        <w:t> </w:t>
      </w:r>
      <w:r w:rsidRPr="00526E0F">
        <w:rPr>
          <w:color w:val="auto"/>
          <w:lang w:eastAsia="cs-CZ"/>
        </w:rPr>
        <w:t>oblasti záchrany a obnovy kulturních památek nestanovilo konkrétní a měřitelné cíle.</w:t>
      </w:r>
    </w:p>
    <w:p w14:paraId="16879E5D" w14:textId="77777777" w:rsidR="00526E0F" w:rsidRPr="00526E0F" w:rsidRDefault="006C06F8" w:rsidP="00821C29">
      <w:pPr>
        <w:keepNext/>
        <w:spacing w:before="240" w:after="120"/>
        <w:rPr>
          <w:color w:val="auto"/>
          <w:lang w:eastAsia="cs-CZ"/>
        </w:rPr>
      </w:pPr>
      <w:r>
        <w:rPr>
          <w:rFonts w:eastAsia="Calibri"/>
          <w:b/>
          <w:color w:val="auto"/>
          <w:lang w:eastAsia="cs-CZ"/>
        </w:rPr>
        <w:t>4</w:t>
      </w:r>
      <w:r w:rsidRPr="00561022">
        <w:rPr>
          <w:rFonts w:eastAsia="Calibri"/>
          <w:b/>
          <w:color w:val="auto"/>
          <w:lang w:eastAsia="cs-CZ"/>
        </w:rPr>
        <w:t xml:space="preserve">. </w:t>
      </w:r>
      <w:r w:rsidRPr="004603F4">
        <w:rPr>
          <w:rFonts w:eastAsia="Calibri"/>
          <w:b/>
          <w:color w:val="auto"/>
          <w:lang w:eastAsia="cs-CZ"/>
        </w:rPr>
        <w:t>Administrace programů byl</w:t>
      </w:r>
      <w:r>
        <w:rPr>
          <w:rFonts w:eastAsia="Calibri"/>
          <w:b/>
          <w:color w:val="auto"/>
          <w:lang w:eastAsia="cs-CZ"/>
        </w:rPr>
        <w:t>a</w:t>
      </w:r>
      <w:r w:rsidRPr="004603F4">
        <w:rPr>
          <w:rFonts w:eastAsia="Calibri"/>
          <w:b/>
          <w:color w:val="auto"/>
          <w:lang w:eastAsia="cs-CZ"/>
        </w:rPr>
        <w:t xml:space="preserve"> komplikovan</w:t>
      </w:r>
      <w:r>
        <w:rPr>
          <w:rFonts w:eastAsia="Calibri"/>
          <w:b/>
          <w:color w:val="auto"/>
          <w:lang w:eastAsia="cs-CZ"/>
        </w:rPr>
        <w:t>á</w:t>
      </w:r>
      <w:r w:rsidRPr="004603F4">
        <w:rPr>
          <w:rFonts w:eastAsia="Calibri"/>
          <w:b/>
          <w:color w:val="auto"/>
          <w:lang w:eastAsia="cs-CZ"/>
        </w:rPr>
        <w:t xml:space="preserve"> a </w:t>
      </w:r>
      <w:r w:rsidR="003D3D72">
        <w:rPr>
          <w:rFonts w:eastAsia="Calibri"/>
          <w:b/>
          <w:color w:val="auto"/>
          <w:lang w:eastAsia="cs-CZ"/>
        </w:rPr>
        <w:t xml:space="preserve">časově náročná </w:t>
      </w:r>
    </w:p>
    <w:p w14:paraId="6BD324E8" w14:textId="742056C5" w:rsidR="001A6011" w:rsidRDefault="006C06F8" w:rsidP="00526E0F">
      <w:pPr>
        <w:spacing w:before="0" w:after="120"/>
        <w:rPr>
          <w:color w:val="auto"/>
          <w:lang w:eastAsia="cs-CZ"/>
        </w:rPr>
      </w:pPr>
      <w:r w:rsidRPr="00526E0F">
        <w:rPr>
          <w:color w:val="auto"/>
          <w:lang w:eastAsia="cs-CZ"/>
        </w:rPr>
        <w:t>MK každoročně obdrželo průměrně přes tři tisíce žádostí o příspěvek</w:t>
      </w:r>
      <w:r w:rsidR="007F7E8F" w:rsidRPr="00526E0F">
        <w:rPr>
          <w:color w:val="auto"/>
          <w:lang w:eastAsia="cs-CZ"/>
        </w:rPr>
        <w:t xml:space="preserve"> na záchranu a obnovu kulturních památek</w:t>
      </w:r>
      <w:r w:rsidRPr="00526E0F">
        <w:rPr>
          <w:color w:val="auto"/>
          <w:lang w:eastAsia="cs-CZ"/>
        </w:rPr>
        <w:t xml:space="preserve">. </w:t>
      </w:r>
      <w:r w:rsidR="004C6B45">
        <w:rPr>
          <w:color w:val="auto"/>
          <w:lang w:eastAsia="cs-CZ"/>
        </w:rPr>
        <w:t xml:space="preserve">Za období 2019 až 2022 podpořilo MK </w:t>
      </w:r>
      <w:r w:rsidR="00384D6D">
        <w:rPr>
          <w:color w:val="auto"/>
          <w:lang w:eastAsia="cs-CZ"/>
        </w:rPr>
        <w:t xml:space="preserve">celkem </w:t>
      </w:r>
      <w:r w:rsidR="004C6B45">
        <w:rPr>
          <w:color w:val="auto"/>
          <w:lang w:eastAsia="cs-CZ"/>
        </w:rPr>
        <w:t xml:space="preserve">7 457 těchto žádostí, tedy téměř dva tisíce každý rok. </w:t>
      </w:r>
      <w:r w:rsidRPr="00526E0F">
        <w:rPr>
          <w:color w:val="auto"/>
          <w:lang w:eastAsia="cs-CZ"/>
        </w:rPr>
        <w:t>Jejich administraci MK realiz</w:t>
      </w:r>
      <w:r w:rsidR="004C6B45">
        <w:rPr>
          <w:color w:val="auto"/>
          <w:lang w:eastAsia="cs-CZ"/>
        </w:rPr>
        <w:t>ovalo</w:t>
      </w:r>
      <w:r w:rsidRPr="00526E0F">
        <w:rPr>
          <w:color w:val="auto"/>
          <w:lang w:eastAsia="cs-CZ"/>
        </w:rPr>
        <w:t xml:space="preserve"> v</w:t>
      </w:r>
      <w:r w:rsidR="003D3D72">
        <w:rPr>
          <w:color w:val="auto"/>
          <w:lang w:eastAsia="cs-CZ"/>
        </w:rPr>
        <w:t xml:space="preserve"> listinné </w:t>
      </w:r>
      <w:r w:rsidRPr="00526E0F">
        <w:rPr>
          <w:color w:val="auto"/>
          <w:lang w:eastAsia="cs-CZ"/>
        </w:rPr>
        <w:t>podobě bez využití informačního systému</w:t>
      </w:r>
      <w:r w:rsidR="00847643">
        <w:rPr>
          <w:color w:val="auto"/>
          <w:lang w:eastAsia="cs-CZ"/>
        </w:rPr>
        <w:t xml:space="preserve"> MK, který </w:t>
      </w:r>
      <w:r w:rsidR="00384D6D">
        <w:rPr>
          <w:color w:val="auto"/>
          <w:lang w:eastAsia="cs-CZ"/>
        </w:rPr>
        <w:t xml:space="preserve">by </w:t>
      </w:r>
      <w:r w:rsidR="00847643">
        <w:rPr>
          <w:color w:val="auto"/>
          <w:lang w:eastAsia="cs-CZ"/>
        </w:rPr>
        <w:t>celou administraci zjednodušil a ulehčil</w:t>
      </w:r>
      <w:r w:rsidRPr="00526E0F">
        <w:rPr>
          <w:color w:val="auto"/>
          <w:lang w:eastAsia="cs-CZ"/>
        </w:rPr>
        <w:t xml:space="preserve">. </w:t>
      </w:r>
      <w:r w:rsidR="007F7E8F" w:rsidRPr="00526E0F">
        <w:rPr>
          <w:color w:val="auto"/>
          <w:lang w:eastAsia="cs-CZ"/>
        </w:rPr>
        <w:t xml:space="preserve">Proces administrace byl mj. i kvůli tomu velmi komplikovaný a </w:t>
      </w:r>
      <w:r w:rsidR="00B761F8">
        <w:rPr>
          <w:color w:val="auto"/>
          <w:lang w:eastAsia="cs-CZ"/>
        </w:rPr>
        <w:t>časově náročný</w:t>
      </w:r>
      <w:r w:rsidR="007F7E8F" w:rsidRPr="00526E0F">
        <w:rPr>
          <w:color w:val="auto"/>
          <w:lang w:eastAsia="cs-CZ"/>
        </w:rPr>
        <w:t xml:space="preserve">. Doba od </w:t>
      </w:r>
      <w:r w:rsidR="004C6B45">
        <w:rPr>
          <w:color w:val="auto"/>
          <w:lang w:eastAsia="cs-CZ"/>
        </w:rPr>
        <w:t>podání žádostí</w:t>
      </w:r>
      <w:r w:rsidR="007F7E8F" w:rsidRPr="00526E0F">
        <w:rPr>
          <w:color w:val="auto"/>
          <w:lang w:eastAsia="cs-CZ"/>
        </w:rPr>
        <w:t xml:space="preserve"> do vydání rozhodnutí o poskytnutí příspěvku </w:t>
      </w:r>
      <w:r w:rsidR="004C6B45">
        <w:rPr>
          <w:color w:val="auto"/>
          <w:lang w:eastAsia="cs-CZ"/>
        </w:rPr>
        <w:t xml:space="preserve">činila až 1,5 roku a </w:t>
      </w:r>
      <w:r w:rsidR="007F7E8F" w:rsidRPr="00526E0F">
        <w:rPr>
          <w:color w:val="auto"/>
          <w:lang w:eastAsia="cs-CZ"/>
        </w:rPr>
        <w:t>významně překračovala dobu realizace projektů, na které MK příspěvek poskytovalo.</w:t>
      </w:r>
    </w:p>
    <w:p w14:paraId="1E3BD14B" w14:textId="77777777" w:rsidR="00526E0F" w:rsidRPr="00526E0F" w:rsidRDefault="006C06F8" w:rsidP="00821C29">
      <w:pPr>
        <w:keepNext/>
        <w:spacing w:before="240" w:after="120"/>
        <w:rPr>
          <w:color w:val="auto"/>
          <w:lang w:eastAsia="cs-CZ"/>
        </w:rPr>
      </w:pPr>
      <w:r>
        <w:rPr>
          <w:rFonts w:cstheme="minorHAnsi"/>
          <w:b/>
        </w:rPr>
        <w:t>5. Hodnocení a výběr projektů byl u poloviny programů netransparentní</w:t>
      </w:r>
    </w:p>
    <w:p w14:paraId="77D8EB35" w14:textId="77777777" w:rsidR="0033644D" w:rsidRDefault="006C06F8" w:rsidP="00526E0F">
      <w:pPr>
        <w:spacing w:before="0" w:after="120"/>
      </w:pPr>
      <w:r w:rsidRPr="00526E0F">
        <w:rPr>
          <w:color w:val="auto"/>
          <w:lang w:eastAsia="cs-CZ"/>
        </w:rPr>
        <w:t xml:space="preserve">MK </w:t>
      </w:r>
      <w:r w:rsidR="00526E0F">
        <w:rPr>
          <w:color w:val="auto"/>
          <w:lang w:eastAsia="cs-CZ"/>
        </w:rPr>
        <w:t>nenastavilo transparentní</w:t>
      </w:r>
      <w:r w:rsidRPr="00526E0F">
        <w:rPr>
          <w:color w:val="auto"/>
          <w:lang w:eastAsia="cs-CZ"/>
        </w:rPr>
        <w:t xml:space="preserve"> způsob hodnocení a výběru projektů u poloviny programů</w:t>
      </w:r>
      <w:r w:rsidR="004C6B45">
        <w:rPr>
          <w:color w:val="auto"/>
          <w:lang w:eastAsia="cs-CZ"/>
        </w:rPr>
        <w:t>.</w:t>
      </w:r>
      <w:r w:rsidR="002F1368">
        <w:rPr>
          <w:color w:val="auto"/>
          <w:lang w:eastAsia="cs-CZ"/>
        </w:rPr>
        <w:t xml:space="preserve"> </w:t>
      </w:r>
      <w:r w:rsidR="004C6B45">
        <w:rPr>
          <w:color w:val="auto"/>
          <w:lang w:eastAsia="cs-CZ"/>
        </w:rPr>
        <w:t>N</w:t>
      </w:r>
      <w:r w:rsidR="002F1368">
        <w:rPr>
          <w:color w:val="auto"/>
          <w:lang w:eastAsia="cs-CZ"/>
        </w:rPr>
        <w:t xml:space="preserve">ebylo </w:t>
      </w:r>
      <w:r w:rsidR="004C6B45">
        <w:rPr>
          <w:color w:val="auto"/>
          <w:lang w:eastAsia="cs-CZ"/>
        </w:rPr>
        <w:t xml:space="preserve">např. </w:t>
      </w:r>
      <w:r w:rsidR="002F1368">
        <w:rPr>
          <w:color w:val="auto"/>
          <w:lang w:eastAsia="cs-CZ"/>
        </w:rPr>
        <w:t>zřejmé</w:t>
      </w:r>
      <w:r w:rsidR="00BB0AA9">
        <w:rPr>
          <w:color w:val="auto"/>
          <w:lang w:eastAsia="cs-CZ"/>
        </w:rPr>
        <w:t>,</w:t>
      </w:r>
      <w:r w:rsidR="002F1368">
        <w:rPr>
          <w:color w:val="auto"/>
          <w:lang w:eastAsia="cs-CZ"/>
        </w:rPr>
        <w:t xml:space="preserve"> jak a na základě jakých kritérií jednotlivé projekty posuzovalo.</w:t>
      </w:r>
      <w:r w:rsidR="00526E0F">
        <w:rPr>
          <w:color w:val="auto"/>
          <w:lang w:eastAsia="cs-CZ"/>
        </w:rPr>
        <w:t xml:space="preserve"> </w:t>
      </w:r>
      <w:r w:rsidRPr="00C060F8">
        <w:t>Netransparentní byl rovněž způsob, jakým MK rozhodovalo o zákazu čerpání příspěvku při porušení podmínek v předchozím roce.</w:t>
      </w:r>
      <w:r w:rsidR="00C060F8" w:rsidRPr="00C060F8">
        <w:t xml:space="preserve"> Tyto podmínky MK zveřejnilo pouze v rámci některých programů a pouze v některých letech</w:t>
      </w:r>
      <w:r w:rsidR="00C060F8" w:rsidRPr="00A70B1A">
        <w:t xml:space="preserve">. </w:t>
      </w:r>
      <w:r w:rsidR="00C060F8">
        <w:t xml:space="preserve">Ve skutečnosti se </w:t>
      </w:r>
      <w:r w:rsidR="00C060F8" w:rsidRPr="00A70B1A">
        <w:t xml:space="preserve">MK uvedenými podmínkami </w:t>
      </w:r>
      <w:r w:rsidR="00C060F8">
        <w:t xml:space="preserve">navíc </w:t>
      </w:r>
      <w:r w:rsidR="00A5404F">
        <w:t xml:space="preserve">ne vždy </w:t>
      </w:r>
      <w:r w:rsidR="00C060F8" w:rsidRPr="00A70B1A">
        <w:t>řídilo</w:t>
      </w:r>
      <w:r w:rsidR="00C060F8">
        <w:t>.</w:t>
      </w:r>
      <w:r w:rsidR="00C060F8" w:rsidRPr="00A70B1A">
        <w:t xml:space="preserve"> Uchazeči o příspěvek </w:t>
      </w:r>
      <w:r w:rsidR="00C060F8">
        <w:t xml:space="preserve">tak </w:t>
      </w:r>
      <w:r w:rsidR="00C060F8" w:rsidRPr="00A70B1A">
        <w:t>neměli k dispozici informace o skutečně aplikovaných podmínkách, jejichž porušení MK vyhodnocovalo jako zákaz poskytnutí příspěvku v</w:t>
      </w:r>
      <w:r w:rsidR="009D486F">
        <w:t> </w:t>
      </w:r>
      <w:r w:rsidR="00C060F8" w:rsidRPr="00A70B1A">
        <w:t>následujícím roce.</w:t>
      </w:r>
    </w:p>
    <w:p w14:paraId="57C43C99" w14:textId="77777777" w:rsidR="00526E0F" w:rsidRPr="00526E0F" w:rsidRDefault="006C06F8" w:rsidP="00821C29">
      <w:pPr>
        <w:keepNext/>
        <w:spacing w:before="240" w:after="120"/>
        <w:rPr>
          <w:color w:val="auto"/>
          <w:lang w:eastAsia="cs-CZ"/>
        </w:rPr>
      </w:pPr>
      <w:r>
        <w:rPr>
          <w:b/>
        </w:rPr>
        <w:t>6</w:t>
      </w:r>
      <w:r w:rsidRPr="004D1F17">
        <w:rPr>
          <w:b/>
        </w:rPr>
        <w:t xml:space="preserve">. </w:t>
      </w:r>
      <w:r>
        <w:rPr>
          <w:b/>
        </w:rPr>
        <w:t>Rozhodnutí MK o poskytnutí příspěvku neumožňují vyhodnocení přínosů</w:t>
      </w:r>
      <w:r w:rsidR="00D55DFC">
        <w:rPr>
          <w:b/>
        </w:rPr>
        <w:t xml:space="preserve"> projektů</w:t>
      </w:r>
    </w:p>
    <w:p w14:paraId="1E55AC99" w14:textId="095FDCC3" w:rsidR="00526E0F" w:rsidRDefault="006C06F8" w:rsidP="00526E0F">
      <w:pPr>
        <w:spacing w:before="0" w:after="120"/>
      </w:pPr>
      <w:r w:rsidRPr="00526E0F">
        <w:rPr>
          <w:color w:val="auto"/>
          <w:lang w:eastAsia="cs-CZ"/>
        </w:rPr>
        <w:t xml:space="preserve">MK nestanovilo </w:t>
      </w:r>
      <w:r w:rsidR="00BE6601" w:rsidRPr="00526E0F">
        <w:rPr>
          <w:color w:val="auto"/>
          <w:lang w:eastAsia="cs-CZ"/>
        </w:rPr>
        <w:t xml:space="preserve">cíle a měřitelné ukazatele projektů, pomocí kterých by mohlo vyhodnotit </w:t>
      </w:r>
      <w:r w:rsidR="00887494" w:rsidRPr="00526E0F">
        <w:rPr>
          <w:color w:val="auto"/>
          <w:lang w:eastAsia="cs-CZ"/>
        </w:rPr>
        <w:t xml:space="preserve">jejich </w:t>
      </w:r>
      <w:r w:rsidR="00BE6601" w:rsidRPr="00526E0F">
        <w:rPr>
          <w:color w:val="auto"/>
          <w:lang w:eastAsia="cs-CZ"/>
        </w:rPr>
        <w:t>přínos k naplnění cílů programu. Rozhodnutí o poskytnutí příspěvku</w:t>
      </w:r>
      <w:r w:rsidR="00887494" w:rsidRPr="00526E0F">
        <w:rPr>
          <w:color w:val="auto"/>
          <w:lang w:eastAsia="cs-CZ"/>
        </w:rPr>
        <w:t xml:space="preserve"> také </w:t>
      </w:r>
      <w:r w:rsidR="00A17CDC" w:rsidRPr="00526E0F">
        <w:rPr>
          <w:color w:val="auto"/>
          <w:lang w:eastAsia="cs-CZ"/>
        </w:rPr>
        <w:t>neobsahoval</w:t>
      </w:r>
      <w:r w:rsidR="00A17CDC">
        <w:rPr>
          <w:color w:val="auto"/>
          <w:lang w:eastAsia="cs-CZ"/>
        </w:rPr>
        <w:t>a</w:t>
      </w:r>
      <w:r w:rsidR="00A17CDC" w:rsidRPr="00526E0F">
        <w:rPr>
          <w:color w:val="auto"/>
          <w:lang w:eastAsia="cs-CZ"/>
        </w:rPr>
        <w:t xml:space="preserve"> </w:t>
      </w:r>
      <w:r w:rsidR="00887494" w:rsidRPr="00526E0F">
        <w:rPr>
          <w:color w:val="auto"/>
          <w:lang w:eastAsia="cs-CZ"/>
        </w:rPr>
        <w:t>závazek realizovat projekty</w:t>
      </w:r>
      <w:r w:rsidR="00BE6601" w:rsidRPr="00A07B25">
        <w:t xml:space="preserve"> v rozsahu a kvalitě, kterou příjemci deklarovali v žádostech a na </w:t>
      </w:r>
      <w:r w:rsidR="00C259E3">
        <w:t xml:space="preserve">jejichž </w:t>
      </w:r>
      <w:r w:rsidR="00BE6601" w:rsidRPr="00A07B25">
        <w:t>základě MK rozhodlo o podpoře.</w:t>
      </w:r>
    </w:p>
    <w:p w14:paraId="57CB3C74" w14:textId="77777777" w:rsidR="00C060F8" w:rsidRPr="00526E0F" w:rsidRDefault="006C06F8" w:rsidP="00821C29">
      <w:pPr>
        <w:keepNext/>
        <w:spacing w:before="240" w:after="120"/>
        <w:rPr>
          <w:color w:val="auto"/>
          <w:lang w:eastAsia="cs-CZ"/>
        </w:rPr>
      </w:pPr>
      <w:r>
        <w:rPr>
          <w:rFonts w:cstheme="minorHAnsi"/>
          <w:b/>
        </w:rPr>
        <w:t>7. MK nepřijalo účinná opatření k</w:t>
      </w:r>
      <w:r w:rsidR="00A204F4">
        <w:rPr>
          <w:rFonts w:cstheme="minorHAnsi"/>
          <w:b/>
        </w:rPr>
        <w:t xml:space="preserve"> odstranění nedostatků zjištěných </w:t>
      </w:r>
      <w:r>
        <w:rPr>
          <w:rFonts w:cstheme="minorHAnsi"/>
          <w:b/>
        </w:rPr>
        <w:t>minul</w:t>
      </w:r>
      <w:r w:rsidR="00A204F4">
        <w:rPr>
          <w:rFonts w:cstheme="minorHAnsi"/>
          <w:b/>
        </w:rPr>
        <w:t>ou</w:t>
      </w:r>
      <w:r>
        <w:rPr>
          <w:rFonts w:cstheme="minorHAnsi"/>
          <w:b/>
        </w:rPr>
        <w:t xml:space="preserve"> kontrol</w:t>
      </w:r>
      <w:r w:rsidR="00A204F4">
        <w:rPr>
          <w:rFonts w:cstheme="minorHAnsi"/>
          <w:b/>
        </w:rPr>
        <w:t>ou</w:t>
      </w:r>
      <w:r w:rsidR="00BE6601" w:rsidRPr="00B04566">
        <w:rPr>
          <w:rFonts w:cstheme="minorHAnsi"/>
          <w:b/>
        </w:rPr>
        <w:t xml:space="preserve"> </w:t>
      </w:r>
      <w:r w:rsidR="00A5404F" w:rsidRPr="00B04566">
        <w:rPr>
          <w:rFonts w:cstheme="minorHAnsi"/>
          <w:b/>
        </w:rPr>
        <w:t>NKÚ</w:t>
      </w:r>
      <w:r w:rsidR="00BE6601" w:rsidRPr="00526E0F">
        <w:rPr>
          <w:color w:val="auto"/>
          <w:lang w:eastAsia="cs-CZ"/>
        </w:rPr>
        <w:t xml:space="preserve"> </w:t>
      </w:r>
    </w:p>
    <w:p w14:paraId="2ADB03EF" w14:textId="77777777" w:rsidR="002E2D8D" w:rsidRPr="00526E0F" w:rsidRDefault="006C06F8" w:rsidP="00526E0F">
      <w:pPr>
        <w:spacing w:before="0" w:after="120"/>
        <w:rPr>
          <w:color w:val="auto"/>
          <w:lang w:eastAsia="cs-CZ"/>
        </w:rPr>
      </w:pPr>
      <w:r>
        <w:t xml:space="preserve">Nedostatky zejména v oblasti nastavení a vyhodnocení nejvýznamnějšího programu </w:t>
      </w:r>
      <w:r w:rsidRPr="00526E0F">
        <w:rPr>
          <w:rFonts w:asciiTheme="minorHAnsi" w:hAnsiTheme="minorHAnsi" w:cstheme="minorHAnsi"/>
        </w:rPr>
        <w:t xml:space="preserve">na záchranu a obnovu kulturních památek zjistil NKÚ již v roce 2017. </w:t>
      </w:r>
      <w:r w:rsidRPr="00A07B25">
        <w:t xml:space="preserve">MK </w:t>
      </w:r>
      <w:r>
        <w:t xml:space="preserve">však </w:t>
      </w:r>
      <w:r w:rsidRPr="00A07B25">
        <w:t>nepřijalo účinná opatření</w:t>
      </w:r>
      <w:r>
        <w:t>, která by vedla k</w:t>
      </w:r>
      <w:r w:rsidRPr="00A07B25">
        <w:t xml:space="preserve"> odstranění </w:t>
      </w:r>
      <w:r>
        <w:t>těchto</w:t>
      </w:r>
      <w:r w:rsidRPr="00A07B25">
        <w:t xml:space="preserve"> nedostatků</w:t>
      </w:r>
      <w:r>
        <w:t>.</w:t>
      </w:r>
    </w:p>
    <w:p w14:paraId="2F32C0D7" w14:textId="77777777" w:rsidR="00E61477" w:rsidRDefault="006C06F8" w:rsidP="00FF2E64">
      <w:pPr>
        <w:keepNext/>
        <w:spacing w:before="600" w:after="240"/>
        <w:ind w:left="357"/>
        <w:jc w:val="center"/>
        <w:outlineLvl w:val="0"/>
        <w:rPr>
          <w:b/>
          <w:color w:val="auto"/>
          <w:sz w:val="28"/>
        </w:rPr>
      </w:pPr>
      <w:r w:rsidRPr="005C620F">
        <w:rPr>
          <w:b/>
          <w:sz w:val="28"/>
        </w:rPr>
        <w:t>II. </w:t>
      </w:r>
      <w:r w:rsidR="00C866CB" w:rsidRPr="005C620F">
        <w:rPr>
          <w:b/>
          <w:sz w:val="28"/>
        </w:rPr>
        <w:t>Informace o kontrolované oblasti</w:t>
      </w:r>
    </w:p>
    <w:p w14:paraId="491CC9DA" w14:textId="77777777" w:rsidR="0052197F" w:rsidRDefault="006C06F8" w:rsidP="00D13CCD">
      <w:pPr>
        <w:spacing w:before="0" w:after="120"/>
        <w:rPr>
          <w:rFonts w:cstheme="minorHAnsi"/>
          <w:szCs w:val="22"/>
        </w:rPr>
      </w:pPr>
      <w:r>
        <w:rPr>
          <w:rFonts w:cstheme="minorHAnsi"/>
          <w:spacing w:val="-6"/>
          <w:szCs w:val="22"/>
        </w:rPr>
        <w:t>MK</w:t>
      </w:r>
      <w:r w:rsidRPr="004251BB">
        <w:rPr>
          <w:rFonts w:cstheme="minorHAnsi"/>
          <w:spacing w:val="-6"/>
          <w:szCs w:val="22"/>
        </w:rPr>
        <w:t xml:space="preserve"> je </w:t>
      </w:r>
      <w:r w:rsidRPr="004251BB">
        <w:rPr>
          <w:rFonts w:cstheme="minorHAnsi"/>
          <w:szCs w:val="22"/>
        </w:rPr>
        <w:t>ústředním orgánem státní správy pro umění, kulturně výchovnou činnost, kulturní památky, pro věci církví a</w:t>
      </w:r>
      <w:r>
        <w:rPr>
          <w:rFonts w:cstheme="minorHAnsi"/>
          <w:szCs w:val="22"/>
        </w:rPr>
        <w:t> </w:t>
      </w:r>
      <w:r w:rsidRPr="004251BB">
        <w:rPr>
          <w:rFonts w:cstheme="minorHAnsi"/>
          <w:szCs w:val="22"/>
        </w:rPr>
        <w:t xml:space="preserve">náboženských společností, pro věci tisku, včetně vydávání neperiodického tisku a jiných informačních prostředků, pro rozhlasové a televizní vysílání, nestanoví-li zvláštní zákon jinak, dále </w:t>
      </w:r>
      <w:r w:rsidRPr="006E27E4">
        <w:rPr>
          <w:rFonts w:cstheme="minorHAnsi"/>
          <w:szCs w:val="22"/>
        </w:rPr>
        <w:t>pro provádění autorského zákona a pro výrobu a obchod v oblasti kultury.</w:t>
      </w:r>
    </w:p>
    <w:p w14:paraId="7078908D" w14:textId="3DA4E7E7" w:rsidR="00280484" w:rsidRDefault="006C06F8" w:rsidP="00D13CCD">
      <w:pPr>
        <w:spacing w:before="0" w:after="120"/>
      </w:pPr>
      <w:r>
        <w:lastRenderedPageBreak/>
        <w:t xml:space="preserve">Záchrana a obnova kulturních památek se řídí zákonem o státní památkové péči a prováděcí </w:t>
      </w:r>
      <w:r w:rsidRPr="007336BA">
        <w:t>vyhláškou.</w:t>
      </w:r>
      <w:r>
        <w:rPr>
          <w:rStyle w:val="Znakapoznpodarou"/>
        </w:rPr>
        <w:footnoteReference w:id="4"/>
      </w:r>
      <w:r w:rsidR="00790627">
        <w:t xml:space="preserve"> </w:t>
      </w:r>
      <w:r w:rsidRPr="007336BA">
        <w:t>Kromě</w:t>
      </w:r>
      <w:r>
        <w:t xml:space="preserve"> </w:t>
      </w:r>
      <w:r w:rsidR="003D3D72">
        <w:t xml:space="preserve">právních předpisů </w:t>
      </w:r>
      <w:r>
        <w:t xml:space="preserve">ČR </w:t>
      </w:r>
      <w:r w:rsidR="003D3D72">
        <w:t xml:space="preserve">je </w:t>
      </w:r>
      <w:r>
        <w:t>ochran</w:t>
      </w:r>
      <w:r w:rsidR="003D3D72">
        <w:t>a</w:t>
      </w:r>
      <w:r>
        <w:t xml:space="preserve"> </w:t>
      </w:r>
      <w:r w:rsidR="003D3D72">
        <w:t xml:space="preserve">hmotného </w:t>
      </w:r>
      <w:r>
        <w:t xml:space="preserve">kulturního dědictví </w:t>
      </w:r>
      <w:r w:rsidR="003D3D72">
        <w:t>upravena</w:t>
      </w:r>
      <w:r>
        <w:t xml:space="preserve"> také </w:t>
      </w:r>
      <w:r w:rsidR="003D3D72">
        <w:t>mezinárodními</w:t>
      </w:r>
      <w:r w:rsidR="003E29EC">
        <w:t xml:space="preserve"> </w:t>
      </w:r>
      <w:r w:rsidR="003D3D72">
        <w:t>úmluvami</w:t>
      </w:r>
      <w:r w:rsidR="00C90D66">
        <w:t>,</w:t>
      </w:r>
      <w:r w:rsidR="003E29EC">
        <w:t xml:space="preserve"> </w:t>
      </w:r>
      <w:r w:rsidR="003D3D72">
        <w:t xml:space="preserve">z nichž plynou pro ČR závazky v této oblasti. </w:t>
      </w:r>
    </w:p>
    <w:p w14:paraId="5C4E61B0" w14:textId="77777777" w:rsidR="00280484" w:rsidRDefault="006C06F8" w:rsidP="00D13CCD">
      <w:pPr>
        <w:spacing w:before="0" w:after="120"/>
        <w:rPr>
          <w:lang w:eastAsia="cs-CZ"/>
        </w:rPr>
      </w:pPr>
      <w:r w:rsidRPr="006E27E4">
        <w:rPr>
          <w:lang w:eastAsia="cs-CZ"/>
        </w:rPr>
        <w:t>MK dle zákona o státní památkové péči</w:t>
      </w:r>
      <w:r>
        <w:rPr>
          <w:lang w:eastAsia="cs-CZ"/>
        </w:rPr>
        <w:t xml:space="preserve"> </w:t>
      </w:r>
      <w:r w:rsidRPr="006E27E4">
        <w:rPr>
          <w:lang w:eastAsia="cs-CZ"/>
        </w:rPr>
        <w:t>mj. zpracovává prognózy, koncepce a návrhy dlouhodobých výhledů rozvoje státní památkové péče a sestavuje, vyhlašuje a provádí programy komplexní péče o kulturní památky a vytváří pro ni všestranné podmínky.</w:t>
      </w:r>
    </w:p>
    <w:p w14:paraId="46068F81" w14:textId="573E916D" w:rsidR="00280484" w:rsidRDefault="006C06F8" w:rsidP="00280484">
      <w:pPr>
        <w:autoSpaceDE w:val="0"/>
        <w:autoSpaceDN w:val="0"/>
        <w:adjustRightInd w:val="0"/>
        <w:spacing w:before="0" w:after="120"/>
        <w:rPr>
          <w:i/>
          <w:lang w:eastAsia="cs-CZ"/>
        </w:rPr>
      </w:pPr>
      <w:r w:rsidRPr="00970DE0">
        <w:rPr>
          <w:lang w:eastAsia="cs-CZ"/>
        </w:rPr>
        <w:t>Základní strategický</w:t>
      </w:r>
      <w:r>
        <w:rPr>
          <w:lang w:eastAsia="cs-CZ"/>
        </w:rPr>
        <w:t xml:space="preserve"> rámec pro celou oblast kultury představovala do roku 2020</w:t>
      </w:r>
      <w:r w:rsidRPr="00970DE0">
        <w:rPr>
          <w:lang w:eastAsia="cs-CZ"/>
        </w:rPr>
        <w:t xml:space="preserve"> </w:t>
      </w:r>
      <w:r w:rsidRPr="00B11EEB">
        <w:rPr>
          <w:i/>
          <w:lang w:eastAsia="cs-CZ"/>
        </w:rPr>
        <w:t>St</w:t>
      </w:r>
      <w:r>
        <w:rPr>
          <w:i/>
          <w:lang w:eastAsia="cs-CZ"/>
        </w:rPr>
        <w:t xml:space="preserve">átní kulturní politika na léta 2015–2020 </w:t>
      </w:r>
      <w:r>
        <w:rPr>
          <w:lang w:eastAsia="cs-CZ"/>
        </w:rPr>
        <w:t xml:space="preserve">(dále také „SKP 2015“) a její </w:t>
      </w:r>
      <w:r w:rsidR="00790627">
        <w:rPr>
          <w:lang w:eastAsia="cs-CZ"/>
        </w:rPr>
        <w:t>p</w:t>
      </w:r>
      <w:r w:rsidR="0045778C">
        <w:rPr>
          <w:lang w:eastAsia="cs-CZ"/>
        </w:rPr>
        <w:t>lán implementace</w:t>
      </w:r>
      <w:r>
        <w:rPr>
          <w:lang w:eastAsia="cs-CZ"/>
        </w:rPr>
        <w:t xml:space="preserve">. Na SKP 2015 navazovala </w:t>
      </w:r>
      <w:r w:rsidRPr="006E6881">
        <w:rPr>
          <w:i/>
          <w:lang w:eastAsia="cs-CZ"/>
        </w:rPr>
        <w:t>Koncepce památkové péče v České republice na léta 2017–</w:t>
      </w:r>
      <w:r w:rsidRPr="004926E6">
        <w:rPr>
          <w:lang w:eastAsia="cs-CZ"/>
        </w:rPr>
        <w:t>2020</w:t>
      </w:r>
      <w:r w:rsidR="004926E6" w:rsidRPr="004926E6">
        <w:rPr>
          <w:lang w:eastAsia="cs-CZ"/>
        </w:rPr>
        <w:t xml:space="preserve"> (dále také “</w:t>
      </w:r>
      <w:r w:rsidR="004926E6" w:rsidRPr="004926E6">
        <w:rPr>
          <w:rFonts w:cs="Times New Roman"/>
          <w:color w:val="auto"/>
          <w:lang w:eastAsia="cs-CZ"/>
        </w:rPr>
        <w:t>KPP</w:t>
      </w:r>
      <w:r w:rsidR="00C815C8">
        <w:rPr>
          <w:rFonts w:cs="Times New Roman"/>
          <w:color w:val="auto"/>
          <w:lang w:eastAsia="cs-CZ"/>
        </w:rPr>
        <w:t> </w:t>
      </w:r>
      <w:r w:rsidR="004926E6" w:rsidRPr="004926E6">
        <w:rPr>
          <w:rFonts w:cs="Times New Roman"/>
          <w:color w:val="auto"/>
          <w:lang w:eastAsia="cs-CZ"/>
        </w:rPr>
        <w:t>2017“)</w:t>
      </w:r>
      <w:r>
        <w:rPr>
          <w:lang w:eastAsia="cs-CZ"/>
        </w:rPr>
        <w:t xml:space="preserve">, která uceleně zpracovávala oblast záchrany a obnovy kulturních památek v ČR. </w:t>
      </w:r>
      <w:r w:rsidRPr="006E6881">
        <w:rPr>
          <w:i/>
          <w:lang w:eastAsia="cs-CZ"/>
        </w:rPr>
        <w:t xml:space="preserve"> </w:t>
      </w:r>
    </w:p>
    <w:p w14:paraId="04BC174B" w14:textId="31562241" w:rsidR="00280484" w:rsidRDefault="006C06F8" w:rsidP="00280484">
      <w:pPr>
        <w:spacing w:before="0" w:after="120"/>
        <w:rPr>
          <w:rFonts w:cstheme="minorHAnsi"/>
          <w:szCs w:val="22"/>
        </w:rPr>
      </w:pPr>
      <w:r>
        <w:rPr>
          <w:lang w:eastAsia="cs-CZ"/>
        </w:rPr>
        <w:t xml:space="preserve">Od roku 2021 je základní strategický dokument </w:t>
      </w:r>
      <w:r w:rsidRPr="00D00F5B">
        <w:rPr>
          <w:i/>
          <w:lang w:eastAsia="cs-CZ"/>
        </w:rPr>
        <w:t>Státní kulturní politika 2021–2025+</w:t>
      </w:r>
      <w:r>
        <w:rPr>
          <w:i/>
          <w:lang w:eastAsia="cs-CZ"/>
        </w:rPr>
        <w:t xml:space="preserve"> </w:t>
      </w:r>
      <w:r>
        <w:rPr>
          <w:lang w:eastAsia="cs-CZ"/>
        </w:rPr>
        <w:t>(dále také „SKP 2021“)</w:t>
      </w:r>
      <w:r>
        <w:rPr>
          <w:i/>
          <w:lang w:eastAsia="cs-CZ"/>
        </w:rPr>
        <w:t xml:space="preserve">, </w:t>
      </w:r>
      <w:r w:rsidR="00790627">
        <w:rPr>
          <w:lang w:eastAsia="cs-CZ"/>
        </w:rPr>
        <w:t>v němž</w:t>
      </w:r>
      <w:r>
        <w:rPr>
          <w:lang w:eastAsia="cs-CZ"/>
        </w:rPr>
        <w:t xml:space="preserve"> MK stanovilo šest hlavních cílů a základní strategické směřování, které by mělo následně realizovat a naplňovat zejména pomocí souvisejících koncepcí a strategií.</w:t>
      </w:r>
    </w:p>
    <w:p w14:paraId="3ED63A0A" w14:textId="506CD5F4" w:rsidR="0052197F" w:rsidRDefault="006C06F8" w:rsidP="00D13CCD">
      <w:pPr>
        <w:autoSpaceDE w:val="0"/>
        <w:autoSpaceDN w:val="0"/>
        <w:adjustRightInd w:val="0"/>
        <w:spacing w:before="0" w:after="120"/>
      </w:pPr>
      <w:r w:rsidRPr="008D4967">
        <w:rPr>
          <w:rFonts w:cstheme="minorHAnsi"/>
        </w:rPr>
        <w:t xml:space="preserve">V rámci památkové péče </w:t>
      </w:r>
      <w:r w:rsidR="00790627" w:rsidRPr="008D4967">
        <w:rPr>
          <w:rFonts w:cstheme="minorHAnsi"/>
        </w:rPr>
        <w:t xml:space="preserve">MK </w:t>
      </w:r>
      <w:r w:rsidRPr="008D4967">
        <w:rPr>
          <w:rFonts w:cstheme="minorHAnsi"/>
        </w:rPr>
        <w:t xml:space="preserve">využívá </w:t>
      </w:r>
      <w:r w:rsidRPr="00A93BDA">
        <w:rPr>
          <w:rFonts w:cstheme="minorHAnsi"/>
          <w:i/>
        </w:rPr>
        <w:t>Ústředního seznamu kulturních památek</w:t>
      </w:r>
      <w:r w:rsidRPr="008D4967">
        <w:rPr>
          <w:rFonts w:cstheme="minorHAnsi"/>
        </w:rPr>
        <w:t xml:space="preserve"> (dále také „Památkový katalog“). Jedná se o evidenční systém movitých i nemovitých památek, památkových rezervací a zón. Památkový katalog eviduje mj. informace o jednotlivých památkách a jejich stavu a také generuje seznamy ohrožených a zachráněných památek. Památkový katalog obsahuje veřejnou část sloužící zejména k vyhledávání a prezentaci údajů a rovněž neveřejnou část určenou pro pracovníky </w:t>
      </w:r>
      <w:r w:rsidRPr="00E66FBD">
        <w:rPr>
          <w:rFonts w:cstheme="minorHAnsi"/>
        </w:rPr>
        <w:t>Národní</w:t>
      </w:r>
      <w:r>
        <w:rPr>
          <w:rFonts w:cstheme="minorHAnsi"/>
        </w:rPr>
        <w:t>ho</w:t>
      </w:r>
      <w:r w:rsidRPr="00E66FBD">
        <w:rPr>
          <w:rFonts w:cstheme="minorHAnsi"/>
        </w:rPr>
        <w:t xml:space="preserve"> památkov</w:t>
      </w:r>
      <w:r>
        <w:rPr>
          <w:rFonts w:cstheme="minorHAnsi"/>
        </w:rPr>
        <w:t>ého</w:t>
      </w:r>
      <w:r w:rsidRPr="00E66FBD">
        <w:rPr>
          <w:rFonts w:cstheme="minorHAnsi"/>
        </w:rPr>
        <w:t xml:space="preserve"> ústav</w:t>
      </w:r>
      <w:r>
        <w:rPr>
          <w:rFonts w:cstheme="minorHAnsi"/>
        </w:rPr>
        <w:t>u (dále také „</w:t>
      </w:r>
      <w:r w:rsidRPr="008D4967">
        <w:rPr>
          <w:rFonts w:cstheme="minorHAnsi"/>
        </w:rPr>
        <w:t>NPÚ</w:t>
      </w:r>
      <w:r>
        <w:rPr>
          <w:rFonts w:cstheme="minorHAnsi"/>
        </w:rPr>
        <w:t>“)</w:t>
      </w:r>
      <w:r w:rsidRPr="008D4967">
        <w:rPr>
          <w:rFonts w:cstheme="minorHAnsi"/>
        </w:rPr>
        <w:t>, MK a ostatních orgánů státní památkové péče a spolupracujících institucí. Památkový katalog vede NPÚ.</w:t>
      </w:r>
    </w:p>
    <w:p w14:paraId="3B7D6866" w14:textId="77777777" w:rsidR="0052197F" w:rsidRDefault="006C06F8" w:rsidP="00FF2E64">
      <w:pPr>
        <w:autoSpaceDE w:val="0"/>
        <w:autoSpaceDN w:val="0"/>
        <w:adjustRightInd w:val="0"/>
        <w:spacing w:before="0"/>
      </w:pPr>
      <w:r w:rsidRPr="00215347">
        <w:t>Za kulturní památky</w:t>
      </w:r>
      <w:r>
        <w:t xml:space="preserve"> </w:t>
      </w:r>
      <w:r w:rsidRPr="00215347">
        <w:t xml:space="preserve">prohlašuje </w:t>
      </w:r>
      <w:r>
        <w:t>MK</w:t>
      </w:r>
      <w:r w:rsidRPr="00215347">
        <w:t xml:space="preserve"> nemovité a movité věci, popřípadě jejich soubory</w:t>
      </w:r>
      <w:r>
        <w:t>,</w:t>
      </w:r>
    </w:p>
    <w:p w14:paraId="551AF7EE" w14:textId="77777777" w:rsidR="0052197F" w:rsidRDefault="006C06F8" w:rsidP="00FF2E6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0"/>
        <w:ind w:left="284" w:hanging="284"/>
      </w:pPr>
      <w:r w:rsidRPr="00215347">
        <w:t xml:space="preserve">které jsou významnými doklady historického vývoje, životního způsobu a prostředí společnosti od nejstarších dob do současnosti, jako </w:t>
      </w:r>
      <w:r w:rsidR="00790627">
        <w:t xml:space="preserve">jsou </w:t>
      </w:r>
      <w:r w:rsidRPr="00215347">
        <w:t>projevy tvůrčích schopností a práce člověka z nejrůznějších oborů lidské činnosti, pro jejich hodnoty revoluční, historické, umělecké, vědecké a technické,</w:t>
      </w:r>
    </w:p>
    <w:p w14:paraId="06A64E5D" w14:textId="77777777" w:rsidR="0052197F" w:rsidRDefault="006C06F8" w:rsidP="00FF2E6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0" w:after="120"/>
        <w:ind w:left="284" w:hanging="284"/>
      </w:pPr>
      <w:r w:rsidRPr="00215347">
        <w:t>které mají přímý vztah k významným osobnostem a historickým událostem.</w:t>
      </w:r>
    </w:p>
    <w:p w14:paraId="351904A7" w14:textId="77777777" w:rsidR="00D13CCD" w:rsidRDefault="006C06F8" w:rsidP="00D13CCD">
      <w:pPr>
        <w:autoSpaceDE w:val="0"/>
        <w:autoSpaceDN w:val="0"/>
        <w:adjustRightInd w:val="0"/>
        <w:spacing w:before="0" w:after="120"/>
      </w:pPr>
      <w:r w:rsidRPr="00215347">
        <w:t xml:space="preserve">Kulturní památky, které tvoří nejvýznamnější součást kulturního bohatství národa, prohlašuje vláda </w:t>
      </w:r>
      <w:r>
        <w:t>ČR</w:t>
      </w:r>
      <w:r w:rsidRPr="00215347">
        <w:t xml:space="preserve"> nařízením za národní kulturní památky</w:t>
      </w:r>
      <w:r>
        <w:t xml:space="preserve">. </w:t>
      </w:r>
      <w:r w:rsidRPr="00215347">
        <w:t xml:space="preserve">Území, jehož charakter a prostředí určuje soubor nemovitých kulturních památek, popřípadě archeologických nálezů, může vláda </w:t>
      </w:r>
      <w:r>
        <w:t>ČR</w:t>
      </w:r>
      <w:r w:rsidRPr="00215347">
        <w:t xml:space="preserve"> nařízením prohlásit jako celek za památkovou rezervaci</w:t>
      </w:r>
      <w:r>
        <w:t xml:space="preserve">. </w:t>
      </w:r>
      <w:r w:rsidRPr="00283BC7">
        <w:t xml:space="preserve">Území sídelního útvaru nebo jeho části s menším podílem kulturních památek, historické prostředí nebo část krajinného celku, které vykazují významné kulturní hodnoty, může </w:t>
      </w:r>
      <w:r>
        <w:t>MK</w:t>
      </w:r>
      <w:r w:rsidRPr="00283BC7">
        <w:t xml:space="preserve"> po projednání krajským úřadem prohlásit opatřením obecné povahy za památkovou zónu</w:t>
      </w:r>
      <w:r>
        <w:t xml:space="preserve">. </w:t>
      </w:r>
    </w:p>
    <w:p w14:paraId="1BD43D5B" w14:textId="7A58D046" w:rsidR="0052197F" w:rsidRDefault="006C06F8" w:rsidP="00D13CCD">
      <w:pPr>
        <w:autoSpaceDE w:val="0"/>
        <w:autoSpaceDN w:val="0"/>
        <w:adjustRightInd w:val="0"/>
        <w:spacing w:before="0" w:after="120"/>
      </w:pPr>
      <w:r>
        <w:rPr>
          <w:rFonts w:cstheme="minorHAnsi"/>
        </w:rPr>
        <w:t>Ke dni 22. 3. 2023 bylo v</w:t>
      </w:r>
      <w:r>
        <w:t> </w:t>
      </w:r>
      <w:r>
        <w:rPr>
          <w:rFonts w:cstheme="minorHAnsi"/>
        </w:rPr>
        <w:t xml:space="preserve">Památkovém katalogu 38 911 aktuálně chráněných nemovitých kulturních památek, 370 chráněných národních kulturních památek, 114 památkových rezervací a 501 památkových </w:t>
      </w:r>
      <w:r w:rsidRPr="00283BC7">
        <w:t>zón</w:t>
      </w:r>
      <w:r>
        <w:t xml:space="preserve">. Většina movitých památek není ve veřejné </w:t>
      </w:r>
      <w:r w:rsidRPr="00667B7A">
        <w:t xml:space="preserve">části z bezpečnostních důvodů uvedena, dle </w:t>
      </w:r>
      <w:r w:rsidR="00790627">
        <w:t>v</w:t>
      </w:r>
      <w:r w:rsidRPr="00667B7A">
        <w:t>ýroční zprávy NPÚ jich k 31. 12. 2021 bylo 48</w:t>
      </w:r>
      <w:r>
        <w:t> </w:t>
      </w:r>
      <w:r w:rsidRPr="00667B7A">
        <w:t>771.</w:t>
      </w:r>
    </w:p>
    <w:p w14:paraId="384298DC" w14:textId="77777777" w:rsidR="008C2D66" w:rsidRDefault="006C06F8" w:rsidP="00D13CCD">
      <w:pPr>
        <w:spacing w:before="0" w:after="120"/>
      </w:pPr>
      <w:r>
        <w:t xml:space="preserve">Příspěvky na záchranu a obnovu památek poskytuje MK </w:t>
      </w:r>
      <w:r w:rsidR="00D13CCD" w:rsidRPr="00673B9A">
        <w:t>podle § 16 odst. 2 zákona o státní památkové péči</w:t>
      </w:r>
      <w:r w:rsidR="00D13CCD">
        <w:t xml:space="preserve">, a to </w:t>
      </w:r>
      <w:r>
        <w:t>prostřednictvím šesti programů.</w:t>
      </w:r>
    </w:p>
    <w:p w14:paraId="6DEF10BA" w14:textId="77777777" w:rsidR="008C2D66" w:rsidRDefault="006C06F8" w:rsidP="00AB1431">
      <w:pPr>
        <w:keepNext/>
        <w:spacing w:before="240" w:after="120"/>
      </w:pPr>
      <w:r>
        <w:rPr>
          <w:b/>
        </w:rPr>
        <w:lastRenderedPageBreak/>
        <w:t>1. Program záchrany architektonického dědictví</w:t>
      </w:r>
      <w:r>
        <w:t> </w:t>
      </w:r>
    </w:p>
    <w:p w14:paraId="0761A37D" w14:textId="77777777" w:rsidR="008C2D66" w:rsidRDefault="006C06F8" w:rsidP="00D13CCD">
      <w:pPr>
        <w:spacing w:before="0" w:after="120"/>
      </w:pPr>
      <w:r>
        <w:t>V </w:t>
      </w:r>
      <w:bookmarkStart w:id="2" w:name="_Hlk119399358"/>
      <w:r w:rsidRPr="00A93BDA">
        <w:rPr>
          <w:i/>
        </w:rPr>
        <w:t>Programu záchrany architektonického dědictví</w:t>
      </w:r>
      <w:bookmarkEnd w:id="2"/>
      <w:r w:rsidRPr="00673B9A">
        <w:t xml:space="preserve"> (dále také „PZAD“) je </w:t>
      </w:r>
      <w:r w:rsidR="00D71E18">
        <w:t xml:space="preserve">od roku 1995 </w:t>
      </w:r>
      <w:r w:rsidRPr="00673B9A">
        <w:t>podporována</w:t>
      </w:r>
      <w:r>
        <w:t xml:space="preserve"> obnova kulturních památek tvořících nejcennější část architektonického dědictví, jako jsou hrady, zámky, kláštery, historické zahrady, kostely, národní kulturní památky a podobně. Zamýšlené práce přitom musejí směřovat k záchraně kulturní památky nebo záchraně těch jejich částí, které tvoří podstatu kulturní památky. </w:t>
      </w:r>
      <w:r w:rsidRPr="00C8034E">
        <w:t xml:space="preserve">Příspěvek je poskytován bez ohledu </w:t>
      </w:r>
      <w:r>
        <w:t>na</w:t>
      </w:r>
      <w:r w:rsidR="003E29EC">
        <w:t xml:space="preserve"> </w:t>
      </w:r>
      <w:r w:rsidR="00F32A09">
        <w:t xml:space="preserve">to, kdo je vlastníkem památky. </w:t>
      </w:r>
    </w:p>
    <w:p w14:paraId="47C9A5E3" w14:textId="77777777" w:rsidR="008C2D66" w:rsidRDefault="006C06F8" w:rsidP="00AB1431">
      <w:pPr>
        <w:keepNext/>
        <w:spacing w:before="240" w:after="120"/>
      </w:pPr>
      <w:r>
        <w:rPr>
          <w:b/>
        </w:rPr>
        <w:t>2. Program regenerace městských památkových rezervací a městských památkových zón</w:t>
      </w:r>
      <w:r w:rsidRPr="009A28DF">
        <w:t xml:space="preserve"> </w:t>
      </w:r>
    </w:p>
    <w:p w14:paraId="1DEDC724" w14:textId="081F9D43" w:rsidR="008C2D66" w:rsidRDefault="006C06F8" w:rsidP="00D13CCD">
      <w:pPr>
        <w:spacing w:before="0" w:after="120"/>
      </w:pPr>
      <w:bookmarkStart w:id="3" w:name="_Hlk119399715"/>
      <w:r w:rsidRPr="00A93BDA">
        <w:rPr>
          <w:i/>
        </w:rPr>
        <w:t>Program regenerace městských památkových rezervací a městských památkových zón</w:t>
      </w:r>
      <w:bookmarkEnd w:id="3"/>
      <w:r w:rsidR="00075CF0">
        <w:t xml:space="preserve"> </w:t>
      </w:r>
      <w:r>
        <w:t xml:space="preserve">(dále také „Městský program“) je </w:t>
      </w:r>
      <w:r w:rsidR="00D71E18">
        <w:t xml:space="preserve">od roku 1992 </w:t>
      </w:r>
      <w:r>
        <w:t xml:space="preserve">nástrojem k obnově kulturních památek nacházejících se v nejcennějších částech historických měst, prohlášených za </w:t>
      </w:r>
      <w:r w:rsidRPr="007E7D8F">
        <w:t>městsk</w:t>
      </w:r>
      <w:r>
        <w:t>é památkové rezervace (dále také „MPR“)</w:t>
      </w:r>
      <w:r w:rsidRPr="007E7D8F">
        <w:t xml:space="preserve"> </w:t>
      </w:r>
      <w:r>
        <w:t xml:space="preserve">a </w:t>
      </w:r>
      <w:r w:rsidRPr="007E7D8F">
        <w:t>městsk</w:t>
      </w:r>
      <w:r>
        <w:t xml:space="preserve">é památkové zóny (dále také „MPZ“). </w:t>
      </w:r>
      <w:r w:rsidRPr="00450511">
        <w:t>V</w:t>
      </w:r>
      <w:r w:rsidR="00AE558F">
        <w:t> </w:t>
      </w:r>
      <w:r w:rsidRPr="00450511">
        <w:t>současné době se na území ČR nachází 4</w:t>
      </w:r>
      <w:r>
        <w:t>4</w:t>
      </w:r>
      <w:r w:rsidRPr="00450511">
        <w:t xml:space="preserve"> MPR</w:t>
      </w:r>
      <w:r>
        <w:t xml:space="preserve"> a</w:t>
      </w:r>
      <w:r w:rsidRPr="00450511">
        <w:t xml:space="preserve"> 25</w:t>
      </w:r>
      <w:r w:rsidR="00415F2A">
        <w:t>8</w:t>
      </w:r>
      <w:r w:rsidRPr="00450511">
        <w:t xml:space="preserve"> MPZ.</w:t>
      </w:r>
      <w:r>
        <w:t xml:space="preserve"> </w:t>
      </w:r>
      <w:r w:rsidRPr="00450511">
        <w:t>Do programu je také zahrnuta</w:t>
      </w:r>
      <w:r w:rsidR="003E29EC">
        <w:t xml:space="preserve"> </w:t>
      </w:r>
      <w:r w:rsidR="00F32A09">
        <w:t>památková rezervace</w:t>
      </w:r>
      <w:r w:rsidRPr="00450511">
        <w:t xml:space="preserve"> Kuks.</w:t>
      </w:r>
      <w:r>
        <w:t xml:space="preserve"> </w:t>
      </w:r>
      <w:r w:rsidR="00F32A09">
        <w:t xml:space="preserve">Peněžní </w:t>
      </w:r>
      <w:r>
        <w:t>příspěvky mohou být z něho poskytovány pouze tehdy, pokud má příslušné město zpracovaný vlastní program regenerace a pokud se zároveň finančně podílí společně s vlastníkem na obnově kulturní památky.</w:t>
      </w:r>
      <w:r w:rsidR="0024632B">
        <w:t xml:space="preserve"> </w:t>
      </w:r>
      <w:r w:rsidR="00F32A09">
        <w:t>Peněžní</w:t>
      </w:r>
      <w:r w:rsidR="003E29EC">
        <w:t xml:space="preserve"> </w:t>
      </w:r>
      <w:r>
        <w:t>prostředky lze využít na obnovu kulturních památek ve vlastnictví měst, církví, jiných právnických osob a</w:t>
      </w:r>
      <w:r w:rsidR="00FF2E64">
        <w:t> </w:t>
      </w:r>
      <w:r>
        <w:t xml:space="preserve">fyzických osob, případně krajů, nikoliv </w:t>
      </w:r>
      <w:r w:rsidRPr="009A28DF">
        <w:t xml:space="preserve">ve vlastnictví </w:t>
      </w:r>
      <w:r>
        <w:t>ČR.</w:t>
      </w:r>
    </w:p>
    <w:p w14:paraId="45FD631B" w14:textId="77777777" w:rsidR="008C2D66" w:rsidRDefault="006C06F8" w:rsidP="00AB1431">
      <w:pPr>
        <w:keepNext/>
        <w:spacing w:before="240" w:after="120"/>
        <w:rPr>
          <w:b/>
        </w:rPr>
      </w:pPr>
      <w:r>
        <w:rPr>
          <w:b/>
        </w:rPr>
        <w:t>3. Podpora obnovy kulturních památek prostřednictvím obcí s rozšířenou působností</w:t>
      </w:r>
    </w:p>
    <w:p w14:paraId="24CFD109" w14:textId="3F937241" w:rsidR="008C2D66" w:rsidRDefault="006C06F8" w:rsidP="00D13CCD">
      <w:pPr>
        <w:spacing w:before="0" w:after="120"/>
      </w:pPr>
      <w:bookmarkStart w:id="4" w:name="_Hlk119400015"/>
      <w:r w:rsidRPr="00EB5EB1">
        <w:t xml:space="preserve">Program </w:t>
      </w:r>
      <w:r w:rsidRPr="00A93BDA">
        <w:rPr>
          <w:i/>
        </w:rPr>
        <w:t>Podpora obnovy kulturních památek prostřednictvím obcí s rozšířenou působností</w:t>
      </w:r>
      <w:r w:rsidRPr="00EB5EB1">
        <w:t xml:space="preserve"> </w:t>
      </w:r>
      <w:bookmarkEnd w:id="4"/>
      <w:r>
        <w:t>(dále také „Program ORP“) byl založen v roce 2008 na obnovu památkového fondu, kde to efektivně a účelně neumožňují jiné programy MK. Finanční prostředky v tomto programu jsou určeny na zachování a obnovu nemovitých kulturních památek, které se nalézají mimo památkové rezervace a zóny, nejsou národními kulturními památkami</w:t>
      </w:r>
      <w:r w:rsidR="0024632B">
        <w:t xml:space="preserve"> </w:t>
      </w:r>
      <w:r>
        <w:t>a které nejsou ve vlastnictví ČR. </w:t>
      </w:r>
    </w:p>
    <w:p w14:paraId="53931205" w14:textId="77777777" w:rsidR="008C2D66" w:rsidRPr="00B80C95" w:rsidRDefault="006C06F8" w:rsidP="00AB1431">
      <w:pPr>
        <w:keepNext/>
        <w:spacing w:before="240" w:after="120"/>
        <w:rPr>
          <w:b/>
        </w:rPr>
      </w:pPr>
      <w:r w:rsidRPr="00B80C95">
        <w:rPr>
          <w:b/>
        </w:rPr>
        <w:t>4. Havarijní program</w:t>
      </w:r>
    </w:p>
    <w:p w14:paraId="4C273C28" w14:textId="1E304D65" w:rsidR="008C2D66" w:rsidRDefault="006C06F8" w:rsidP="00D13CCD">
      <w:pPr>
        <w:spacing w:before="0" w:after="120"/>
      </w:pPr>
      <w:r>
        <w:t>Z tohoto programu poskytuje MK</w:t>
      </w:r>
      <w:r w:rsidR="00D71E18">
        <w:t xml:space="preserve"> od roku 1992</w:t>
      </w:r>
      <w:r>
        <w:t xml:space="preserve"> příspěvky na zajištění nejnaléhavějších oprav nemovitých kulturních památek, zejména na odstranění havarijního stavu střech a nosných konstrukcí staveb.</w:t>
      </w:r>
      <w:r w:rsidR="0024632B">
        <w:t xml:space="preserve"> </w:t>
      </w:r>
      <w:r>
        <w:t>Program je určen pro všechny vlastníky nemovitých kulturních památek</w:t>
      </w:r>
      <w:r w:rsidR="0024632B">
        <w:t>,</w:t>
      </w:r>
      <w:r>
        <w:t xml:space="preserve"> vyjma </w:t>
      </w:r>
      <w:r w:rsidR="00B040B8">
        <w:t>ty</w:t>
      </w:r>
      <w:r>
        <w:t xml:space="preserve"> ve vlastnictví ČR a</w:t>
      </w:r>
      <w:r w:rsidR="0024632B">
        <w:t> t</w:t>
      </w:r>
      <w:r w:rsidR="00B040B8">
        <w:t>y</w:t>
      </w:r>
      <w:r w:rsidR="0024632B">
        <w:t>,</w:t>
      </w:r>
      <w:r>
        <w:t xml:space="preserve"> se kterými je příslušná hospodařit organizační složka státu nebo státní příspěvková organizace.</w:t>
      </w:r>
    </w:p>
    <w:p w14:paraId="183BAB6B" w14:textId="77777777" w:rsidR="008C2D66" w:rsidRDefault="006C06F8" w:rsidP="00AB1431">
      <w:pPr>
        <w:keepNext/>
        <w:spacing w:before="240" w:after="120"/>
        <w:ind w:left="284" w:hanging="284"/>
        <w:jc w:val="left"/>
      </w:pPr>
      <w:r>
        <w:rPr>
          <w:b/>
        </w:rPr>
        <w:t xml:space="preserve">5. </w:t>
      </w:r>
      <w:r w:rsidR="00FF2E64">
        <w:rPr>
          <w:b/>
        </w:rPr>
        <w:tab/>
      </w:r>
      <w:r>
        <w:rPr>
          <w:b/>
        </w:rPr>
        <w:t>Program péče o vesnické památkové rezervace, vesnické památkové zóny a krajinné památkové zóny</w:t>
      </w:r>
      <w:r>
        <w:t> </w:t>
      </w:r>
    </w:p>
    <w:p w14:paraId="442BD607" w14:textId="43943DDA" w:rsidR="008C2D66" w:rsidRDefault="006C06F8" w:rsidP="00D13CCD">
      <w:pPr>
        <w:spacing w:before="0" w:after="120"/>
      </w:pPr>
      <w:r w:rsidRPr="00A93BDA">
        <w:rPr>
          <w:i/>
        </w:rPr>
        <w:t>Program péče o vesnické památkové rezervace, vesnické památkové zóny a krajinné památkové zóny</w:t>
      </w:r>
      <w:r w:rsidRPr="00B80C95">
        <w:t xml:space="preserve"> (dále také „Vesnický program“)</w:t>
      </w:r>
      <w:r>
        <w:t xml:space="preserve"> je v rámci komplexní péče o památkový fond v ČR </w:t>
      </w:r>
      <w:r w:rsidR="00D71E18">
        <w:t xml:space="preserve">od roku 1997 </w:t>
      </w:r>
      <w:r>
        <w:t>určen na podporu obnovy a zachování nemovitých kulturních památek, zejména památek lidové architektury, jakými jsou například zemědělské usedlosti, chalupy, kapličky, boží muka, ale</w:t>
      </w:r>
      <w:r w:rsidR="0024632B">
        <w:t xml:space="preserve"> </w:t>
      </w:r>
      <w:r>
        <w:t xml:space="preserve">i ve prospěch obnovy a zachování venkovských kostelů, zámečků, tvrzí, technických děl, soch a pomníků, zahrad apod., které se nacházejí na území vesnických památkových rezervací a zón a krajinných památkových zón. </w:t>
      </w:r>
      <w:r>
        <w:rPr>
          <w:rFonts w:eastAsia="Calibri"/>
        </w:rPr>
        <w:t>V ČR se nachází 61 vesnických památkových rezervací, 2</w:t>
      </w:r>
      <w:r w:rsidR="00415F2A">
        <w:rPr>
          <w:rFonts w:eastAsia="Calibri"/>
        </w:rPr>
        <w:t>16</w:t>
      </w:r>
      <w:r>
        <w:rPr>
          <w:rFonts w:eastAsia="Calibri"/>
        </w:rPr>
        <w:t xml:space="preserve"> vesnických památkových zón a 27 krajinných památkových zón</w:t>
      </w:r>
      <w:r>
        <w:t xml:space="preserve">. </w:t>
      </w:r>
      <w:r w:rsidR="00A5404F" w:rsidRPr="00A5404F">
        <w:lastRenderedPageBreak/>
        <w:t>Příspěvek lze poskytnout všem vlastníkům kulturních památek vyjma příspěvkov</w:t>
      </w:r>
      <w:r w:rsidR="00B040B8">
        <w:t>é</w:t>
      </w:r>
      <w:r w:rsidR="00A5404F" w:rsidRPr="00A5404F">
        <w:t xml:space="preserve"> organizac</w:t>
      </w:r>
      <w:r w:rsidR="00B040B8">
        <w:t>e</w:t>
      </w:r>
      <w:r w:rsidR="00A5404F" w:rsidRPr="00A5404F">
        <w:t xml:space="preserve"> MK.</w:t>
      </w:r>
    </w:p>
    <w:p w14:paraId="60BEA02F" w14:textId="77777777" w:rsidR="008C2D66" w:rsidRPr="00B80C95" w:rsidRDefault="006C06F8" w:rsidP="00AB1431">
      <w:pPr>
        <w:keepNext/>
        <w:spacing w:before="240" w:after="120"/>
        <w:rPr>
          <w:b/>
        </w:rPr>
      </w:pPr>
      <w:r w:rsidRPr="00B80C95">
        <w:rPr>
          <w:b/>
        </w:rPr>
        <w:t xml:space="preserve">6. </w:t>
      </w:r>
      <w:r>
        <w:rPr>
          <w:b/>
        </w:rPr>
        <w:t>Program restaurování movitých kulturních památek</w:t>
      </w:r>
      <w:r w:rsidRPr="00B80C95">
        <w:rPr>
          <w:b/>
        </w:rPr>
        <w:t> </w:t>
      </w:r>
    </w:p>
    <w:p w14:paraId="0C141C85" w14:textId="77777777" w:rsidR="008C2D66" w:rsidRDefault="006C06F8" w:rsidP="00D13CCD">
      <w:pPr>
        <w:spacing w:before="0" w:after="120"/>
      </w:pPr>
      <w:r>
        <w:t xml:space="preserve">Z </w:t>
      </w:r>
      <w:bookmarkStart w:id="5" w:name="_Hlk119399584"/>
      <w:r w:rsidRPr="00A93BDA">
        <w:rPr>
          <w:i/>
        </w:rPr>
        <w:t>Programu restaurování movitých kulturních památek</w:t>
      </w:r>
      <w:r>
        <w:t xml:space="preserve"> (dále také „</w:t>
      </w:r>
      <w:bookmarkEnd w:id="5"/>
      <w:r>
        <w:t>Movitý program“) jsou</w:t>
      </w:r>
      <w:r w:rsidR="00D71E18">
        <w:t xml:space="preserve"> od roku 1997</w:t>
      </w:r>
      <w:r>
        <w:t xml:space="preserve"> poskytovány příspěvky na obnovu (restaurování) movitých kulturních památek, zejména významných děl výtvarných umění nebo uměleckořemeslných prací umístěných v</w:t>
      </w:r>
      <w:r w:rsidR="009D486F">
        <w:t> </w:t>
      </w:r>
      <w:r>
        <w:t>budovách zpřístupněných veřejnosti pro kulturní, výchovně vzdělávací nebo náboženské účely (například obrazy a sochy v kostelech).</w:t>
      </w:r>
    </w:p>
    <w:p w14:paraId="7A96CDF0" w14:textId="77777777" w:rsidR="008C2D66" w:rsidRPr="008C2D66" w:rsidRDefault="006C06F8" w:rsidP="00D13CCD">
      <w:pPr>
        <w:spacing w:before="0" w:after="120"/>
        <w:rPr>
          <w:color w:val="auto"/>
        </w:rPr>
      </w:pPr>
      <w:r w:rsidRPr="008C2D66">
        <w:rPr>
          <w:color w:val="auto"/>
        </w:rPr>
        <w:t xml:space="preserve">Přehled výdajů MK na záchranu a obnovu kulturních památek v letech 2019 až 2022 zobrazuje tabulka </w:t>
      </w:r>
      <w:r w:rsidRPr="00931ECC">
        <w:rPr>
          <w:color w:val="auto"/>
        </w:rPr>
        <w:t xml:space="preserve">č. </w:t>
      </w:r>
      <w:r w:rsidR="00931ECC" w:rsidRPr="00931ECC">
        <w:rPr>
          <w:color w:val="auto"/>
        </w:rPr>
        <w:t>1</w:t>
      </w:r>
      <w:r w:rsidRPr="00931ECC">
        <w:rPr>
          <w:color w:val="auto"/>
        </w:rPr>
        <w:t>.</w:t>
      </w:r>
    </w:p>
    <w:p w14:paraId="0667762A" w14:textId="28C8EDEB" w:rsidR="008C2D66" w:rsidRPr="00FF2E64" w:rsidRDefault="006C06F8" w:rsidP="00FF2E64">
      <w:pPr>
        <w:keepNext/>
        <w:tabs>
          <w:tab w:val="right" w:pos="9070"/>
        </w:tabs>
        <w:spacing w:before="0"/>
        <w:ind w:left="1276" w:hanging="1276"/>
        <w:rPr>
          <w:b/>
          <w:color w:val="auto"/>
        </w:rPr>
      </w:pPr>
      <w:r w:rsidRPr="00FF2E64">
        <w:rPr>
          <w:b/>
          <w:color w:val="auto"/>
        </w:rPr>
        <w:t xml:space="preserve">Tabulka č. </w:t>
      </w:r>
      <w:r w:rsidR="00931ECC" w:rsidRPr="00FF2E64">
        <w:rPr>
          <w:b/>
          <w:color w:val="auto"/>
        </w:rPr>
        <w:t>1</w:t>
      </w:r>
      <w:r w:rsidRPr="00FF2E64">
        <w:rPr>
          <w:b/>
          <w:color w:val="auto"/>
        </w:rPr>
        <w:t xml:space="preserve">: Přehled výdajů MK na záchranu a obnovu kulturních památek v letech 2019 až 2022 </w:t>
      </w:r>
      <w:r w:rsidR="00FF2E64">
        <w:rPr>
          <w:b/>
          <w:color w:val="auto"/>
        </w:rPr>
        <w:tab/>
      </w:r>
      <w:r w:rsidR="003700F3">
        <w:rPr>
          <w:b/>
          <w:color w:val="auto"/>
        </w:rPr>
        <w:t>(</w:t>
      </w:r>
      <w:r w:rsidRPr="00FF2E64">
        <w:rPr>
          <w:b/>
          <w:color w:val="auto"/>
        </w:rPr>
        <w:t>v tis. Kč</w:t>
      </w:r>
      <w:r w:rsidR="003700F3">
        <w:rPr>
          <w:b/>
          <w:color w:val="auto"/>
        </w:rPr>
        <w:t>)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1134"/>
        <w:gridCol w:w="1228"/>
        <w:gridCol w:w="1247"/>
        <w:gridCol w:w="1077"/>
        <w:gridCol w:w="1294"/>
        <w:gridCol w:w="1134"/>
        <w:gridCol w:w="1134"/>
      </w:tblGrid>
      <w:tr w:rsidR="00C35795" w:rsidRPr="00FF2E64" w14:paraId="65C6F5FB" w14:textId="77777777" w:rsidTr="00C35795">
        <w:trPr>
          <w:trHeight w:val="255"/>
          <w:jc w:val="center"/>
        </w:trPr>
        <w:tc>
          <w:tcPr>
            <w:tcW w:w="814" w:type="dxa"/>
            <w:shd w:val="clear" w:color="auto" w:fill="E5F1FF"/>
            <w:noWrap/>
            <w:vAlign w:val="center"/>
            <w:hideMark/>
          </w:tcPr>
          <w:p w14:paraId="4A2CD40B" w14:textId="77777777" w:rsidR="008C2D66" w:rsidRPr="00FF2E64" w:rsidRDefault="006C06F8" w:rsidP="00C35795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F2E64">
              <w:rPr>
                <w:b/>
                <w:bCs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34" w:type="dxa"/>
            <w:shd w:val="clear" w:color="auto" w:fill="E5F1FF"/>
            <w:vAlign w:val="center"/>
            <w:hideMark/>
          </w:tcPr>
          <w:p w14:paraId="34CF78F9" w14:textId="77777777" w:rsidR="008C2D66" w:rsidRPr="00FF2E64" w:rsidRDefault="006C06F8" w:rsidP="00C35795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F2E64">
              <w:rPr>
                <w:b/>
                <w:bCs/>
                <w:sz w:val="20"/>
                <w:szCs w:val="20"/>
                <w:lang w:eastAsia="cs-CZ"/>
              </w:rPr>
              <w:t>PZAD</w:t>
            </w:r>
          </w:p>
        </w:tc>
        <w:tc>
          <w:tcPr>
            <w:tcW w:w="1228" w:type="dxa"/>
            <w:shd w:val="clear" w:color="auto" w:fill="E5F1FF"/>
            <w:vAlign w:val="center"/>
            <w:hideMark/>
          </w:tcPr>
          <w:p w14:paraId="1660AD2B" w14:textId="77777777" w:rsidR="008C2D66" w:rsidRPr="00FF2E64" w:rsidRDefault="006C06F8" w:rsidP="00C35795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F2E64">
              <w:rPr>
                <w:b/>
                <w:bCs/>
                <w:sz w:val="20"/>
                <w:szCs w:val="20"/>
                <w:lang w:eastAsia="cs-CZ"/>
              </w:rPr>
              <w:t>Městský program</w:t>
            </w:r>
          </w:p>
        </w:tc>
        <w:tc>
          <w:tcPr>
            <w:tcW w:w="1247" w:type="dxa"/>
            <w:shd w:val="clear" w:color="auto" w:fill="E5F1FF"/>
            <w:vAlign w:val="center"/>
            <w:hideMark/>
          </w:tcPr>
          <w:p w14:paraId="15E013C1" w14:textId="77777777" w:rsidR="008C2D66" w:rsidRPr="00FF2E64" w:rsidRDefault="006C06F8" w:rsidP="00C35795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F2E64">
              <w:rPr>
                <w:b/>
                <w:bCs/>
                <w:sz w:val="20"/>
                <w:szCs w:val="20"/>
                <w:lang w:eastAsia="cs-CZ"/>
              </w:rPr>
              <w:t>Program ORP</w:t>
            </w:r>
          </w:p>
        </w:tc>
        <w:tc>
          <w:tcPr>
            <w:tcW w:w="1077" w:type="dxa"/>
            <w:shd w:val="clear" w:color="auto" w:fill="E5F1FF"/>
            <w:vAlign w:val="center"/>
          </w:tcPr>
          <w:p w14:paraId="50629161" w14:textId="77777777" w:rsidR="008C2D66" w:rsidRPr="00FF2E64" w:rsidRDefault="006C06F8" w:rsidP="00C35795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F2E64">
              <w:rPr>
                <w:b/>
                <w:bCs/>
                <w:sz w:val="20"/>
                <w:szCs w:val="20"/>
                <w:lang w:eastAsia="cs-CZ"/>
              </w:rPr>
              <w:t>Havarijní program</w:t>
            </w:r>
          </w:p>
        </w:tc>
        <w:tc>
          <w:tcPr>
            <w:tcW w:w="1294" w:type="dxa"/>
            <w:shd w:val="clear" w:color="auto" w:fill="E5F1FF"/>
            <w:vAlign w:val="center"/>
            <w:hideMark/>
          </w:tcPr>
          <w:p w14:paraId="70700DE7" w14:textId="77777777" w:rsidR="008C2D66" w:rsidRPr="00FF2E64" w:rsidRDefault="006C06F8" w:rsidP="00C35795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F2E64">
              <w:rPr>
                <w:b/>
                <w:bCs/>
                <w:sz w:val="20"/>
                <w:szCs w:val="20"/>
                <w:lang w:eastAsia="cs-CZ"/>
              </w:rPr>
              <w:t>Vesnický program</w:t>
            </w:r>
          </w:p>
        </w:tc>
        <w:tc>
          <w:tcPr>
            <w:tcW w:w="1134" w:type="dxa"/>
            <w:shd w:val="clear" w:color="auto" w:fill="E5F1FF"/>
            <w:vAlign w:val="center"/>
            <w:hideMark/>
          </w:tcPr>
          <w:p w14:paraId="15D244B1" w14:textId="77777777" w:rsidR="008C2D66" w:rsidRPr="00FF2E64" w:rsidRDefault="006C06F8" w:rsidP="00C35795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F2E64">
              <w:rPr>
                <w:b/>
                <w:bCs/>
                <w:sz w:val="20"/>
                <w:szCs w:val="20"/>
                <w:lang w:eastAsia="cs-CZ"/>
              </w:rPr>
              <w:t>Movitý program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3EA1F1D3" w14:textId="77777777" w:rsidR="008C2D66" w:rsidRPr="00FF2E64" w:rsidRDefault="006C06F8" w:rsidP="00C35795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F2E64">
              <w:rPr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210D30" w:rsidRPr="00FF2E64" w14:paraId="524B5092" w14:textId="77777777" w:rsidTr="00C35795">
        <w:trPr>
          <w:trHeight w:val="255"/>
          <w:jc w:val="center"/>
        </w:trPr>
        <w:tc>
          <w:tcPr>
            <w:tcW w:w="814" w:type="dxa"/>
            <w:noWrap/>
            <w:vAlign w:val="bottom"/>
            <w:hideMark/>
          </w:tcPr>
          <w:p w14:paraId="1CD77F38" w14:textId="77777777" w:rsidR="008C2D66" w:rsidRPr="00FF2E64" w:rsidRDefault="006C06F8" w:rsidP="00FF2E64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134" w:type="dxa"/>
            <w:noWrap/>
            <w:vAlign w:val="center"/>
            <w:hideMark/>
          </w:tcPr>
          <w:p w14:paraId="12384370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245 831</w:t>
            </w:r>
          </w:p>
        </w:tc>
        <w:tc>
          <w:tcPr>
            <w:tcW w:w="1228" w:type="dxa"/>
            <w:noWrap/>
            <w:vAlign w:val="center"/>
            <w:hideMark/>
          </w:tcPr>
          <w:p w14:paraId="137FED17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188 162</w:t>
            </w:r>
          </w:p>
        </w:tc>
        <w:tc>
          <w:tcPr>
            <w:tcW w:w="1247" w:type="dxa"/>
            <w:noWrap/>
            <w:vAlign w:val="center"/>
            <w:hideMark/>
          </w:tcPr>
          <w:p w14:paraId="2DB7572F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137 676</w:t>
            </w:r>
          </w:p>
        </w:tc>
        <w:tc>
          <w:tcPr>
            <w:tcW w:w="1077" w:type="dxa"/>
            <w:vAlign w:val="center"/>
          </w:tcPr>
          <w:p w14:paraId="6D987904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83 683</w:t>
            </w:r>
          </w:p>
        </w:tc>
        <w:tc>
          <w:tcPr>
            <w:tcW w:w="1294" w:type="dxa"/>
            <w:noWrap/>
            <w:vAlign w:val="center"/>
            <w:hideMark/>
          </w:tcPr>
          <w:p w14:paraId="0D679195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39 478</w:t>
            </w:r>
          </w:p>
        </w:tc>
        <w:tc>
          <w:tcPr>
            <w:tcW w:w="1134" w:type="dxa"/>
            <w:noWrap/>
            <w:vAlign w:val="center"/>
            <w:hideMark/>
          </w:tcPr>
          <w:p w14:paraId="5948AFCF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34 349</w:t>
            </w:r>
          </w:p>
        </w:tc>
        <w:tc>
          <w:tcPr>
            <w:tcW w:w="1134" w:type="dxa"/>
            <w:vAlign w:val="center"/>
          </w:tcPr>
          <w:p w14:paraId="548D7842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729 179</w:t>
            </w:r>
          </w:p>
        </w:tc>
      </w:tr>
      <w:tr w:rsidR="00210D30" w:rsidRPr="00FF2E64" w14:paraId="661D41D1" w14:textId="77777777" w:rsidTr="00C35795">
        <w:trPr>
          <w:trHeight w:val="255"/>
          <w:jc w:val="center"/>
        </w:trPr>
        <w:tc>
          <w:tcPr>
            <w:tcW w:w="814" w:type="dxa"/>
            <w:noWrap/>
            <w:vAlign w:val="bottom"/>
            <w:hideMark/>
          </w:tcPr>
          <w:p w14:paraId="2E5ECDA7" w14:textId="77777777" w:rsidR="008C2D66" w:rsidRPr="00FF2E64" w:rsidRDefault="006C06F8" w:rsidP="00FF2E64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134" w:type="dxa"/>
            <w:noWrap/>
            <w:vAlign w:val="center"/>
            <w:hideMark/>
          </w:tcPr>
          <w:p w14:paraId="060446A1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234 606</w:t>
            </w:r>
          </w:p>
        </w:tc>
        <w:tc>
          <w:tcPr>
            <w:tcW w:w="1228" w:type="dxa"/>
            <w:noWrap/>
            <w:vAlign w:val="center"/>
            <w:hideMark/>
          </w:tcPr>
          <w:p w14:paraId="6D16427C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164 439</w:t>
            </w:r>
          </w:p>
        </w:tc>
        <w:tc>
          <w:tcPr>
            <w:tcW w:w="1247" w:type="dxa"/>
            <w:noWrap/>
            <w:vAlign w:val="center"/>
            <w:hideMark/>
          </w:tcPr>
          <w:p w14:paraId="0A019180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121 126</w:t>
            </w:r>
          </w:p>
        </w:tc>
        <w:tc>
          <w:tcPr>
            <w:tcW w:w="1077" w:type="dxa"/>
            <w:vAlign w:val="center"/>
          </w:tcPr>
          <w:p w14:paraId="7937981D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82 143</w:t>
            </w:r>
          </w:p>
        </w:tc>
        <w:tc>
          <w:tcPr>
            <w:tcW w:w="1294" w:type="dxa"/>
            <w:noWrap/>
            <w:vAlign w:val="center"/>
            <w:hideMark/>
          </w:tcPr>
          <w:p w14:paraId="64D38EB6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39 980</w:t>
            </w:r>
          </w:p>
        </w:tc>
        <w:tc>
          <w:tcPr>
            <w:tcW w:w="1134" w:type="dxa"/>
            <w:noWrap/>
            <w:vAlign w:val="center"/>
            <w:hideMark/>
          </w:tcPr>
          <w:p w14:paraId="2316D7D3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32 868</w:t>
            </w:r>
          </w:p>
        </w:tc>
        <w:tc>
          <w:tcPr>
            <w:tcW w:w="1134" w:type="dxa"/>
            <w:vAlign w:val="center"/>
          </w:tcPr>
          <w:p w14:paraId="3E628F39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675 162</w:t>
            </w:r>
          </w:p>
        </w:tc>
      </w:tr>
      <w:tr w:rsidR="00210D30" w:rsidRPr="00FF2E64" w14:paraId="5DB9FC35" w14:textId="77777777" w:rsidTr="00C35795">
        <w:trPr>
          <w:trHeight w:val="255"/>
          <w:jc w:val="center"/>
        </w:trPr>
        <w:tc>
          <w:tcPr>
            <w:tcW w:w="814" w:type="dxa"/>
            <w:noWrap/>
            <w:vAlign w:val="bottom"/>
            <w:hideMark/>
          </w:tcPr>
          <w:p w14:paraId="0B72CD0A" w14:textId="77777777" w:rsidR="008C2D66" w:rsidRPr="00FF2E64" w:rsidRDefault="006C06F8" w:rsidP="00FF2E64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134" w:type="dxa"/>
            <w:noWrap/>
            <w:vAlign w:val="center"/>
            <w:hideMark/>
          </w:tcPr>
          <w:p w14:paraId="4E30B181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237 665</w:t>
            </w:r>
          </w:p>
        </w:tc>
        <w:tc>
          <w:tcPr>
            <w:tcW w:w="1228" w:type="dxa"/>
            <w:noWrap/>
            <w:vAlign w:val="center"/>
            <w:hideMark/>
          </w:tcPr>
          <w:p w14:paraId="3D167688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163 425</w:t>
            </w:r>
          </w:p>
        </w:tc>
        <w:tc>
          <w:tcPr>
            <w:tcW w:w="1247" w:type="dxa"/>
            <w:noWrap/>
            <w:vAlign w:val="center"/>
            <w:hideMark/>
          </w:tcPr>
          <w:p w14:paraId="21CE22FD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118 524</w:t>
            </w:r>
          </w:p>
        </w:tc>
        <w:tc>
          <w:tcPr>
            <w:tcW w:w="1077" w:type="dxa"/>
            <w:vAlign w:val="center"/>
          </w:tcPr>
          <w:p w14:paraId="7C2106BE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85 530</w:t>
            </w:r>
          </w:p>
        </w:tc>
        <w:tc>
          <w:tcPr>
            <w:tcW w:w="1294" w:type="dxa"/>
            <w:noWrap/>
            <w:vAlign w:val="center"/>
            <w:hideMark/>
          </w:tcPr>
          <w:p w14:paraId="1A0CA821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41 955</w:t>
            </w:r>
          </w:p>
        </w:tc>
        <w:tc>
          <w:tcPr>
            <w:tcW w:w="1134" w:type="dxa"/>
            <w:noWrap/>
            <w:vAlign w:val="center"/>
            <w:hideMark/>
          </w:tcPr>
          <w:p w14:paraId="729AAC43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34 243</w:t>
            </w:r>
          </w:p>
        </w:tc>
        <w:tc>
          <w:tcPr>
            <w:tcW w:w="1134" w:type="dxa"/>
            <w:vAlign w:val="center"/>
          </w:tcPr>
          <w:p w14:paraId="32CF81F9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681 342</w:t>
            </w:r>
          </w:p>
        </w:tc>
      </w:tr>
      <w:tr w:rsidR="00210D30" w:rsidRPr="00FF2E64" w14:paraId="607ACE6C" w14:textId="77777777" w:rsidTr="00C35795">
        <w:trPr>
          <w:trHeight w:val="255"/>
          <w:jc w:val="center"/>
        </w:trPr>
        <w:tc>
          <w:tcPr>
            <w:tcW w:w="814" w:type="dxa"/>
            <w:noWrap/>
            <w:vAlign w:val="bottom"/>
            <w:hideMark/>
          </w:tcPr>
          <w:p w14:paraId="430D536C" w14:textId="77777777" w:rsidR="008C2D66" w:rsidRPr="00FF2E64" w:rsidRDefault="006C06F8" w:rsidP="00FF2E64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1134" w:type="dxa"/>
            <w:noWrap/>
            <w:vAlign w:val="center"/>
            <w:hideMark/>
          </w:tcPr>
          <w:p w14:paraId="71462BBA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234 027</w:t>
            </w:r>
          </w:p>
        </w:tc>
        <w:tc>
          <w:tcPr>
            <w:tcW w:w="1228" w:type="dxa"/>
            <w:noWrap/>
            <w:vAlign w:val="center"/>
            <w:hideMark/>
          </w:tcPr>
          <w:p w14:paraId="2C086214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113 714</w:t>
            </w:r>
          </w:p>
        </w:tc>
        <w:tc>
          <w:tcPr>
            <w:tcW w:w="1247" w:type="dxa"/>
            <w:noWrap/>
            <w:vAlign w:val="center"/>
            <w:hideMark/>
          </w:tcPr>
          <w:p w14:paraId="58A75522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77" w:type="dxa"/>
            <w:vAlign w:val="center"/>
          </w:tcPr>
          <w:p w14:paraId="2679D836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88 203</w:t>
            </w:r>
          </w:p>
        </w:tc>
        <w:tc>
          <w:tcPr>
            <w:tcW w:w="1294" w:type="dxa"/>
            <w:noWrap/>
            <w:vAlign w:val="center"/>
            <w:hideMark/>
          </w:tcPr>
          <w:p w14:paraId="2B6867CF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38 229</w:t>
            </w:r>
          </w:p>
        </w:tc>
        <w:tc>
          <w:tcPr>
            <w:tcW w:w="1134" w:type="dxa"/>
            <w:noWrap/>
            <w:vAlign w:val="center"/>
            <w:hideMark/>
          </w:tcPr>
          <w:p w14:paraId="5F634205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33 000</w:t>
            </w:r>
          </w:p>
        </w:tc>
        <w:tc>
          <w:tcPr>
            <w:tcW w:w="1134" w:type="dxa"/>
            <w:vAlign w:val="center"/>
          </w:tcPr>
          <w:p w14:paraId="7DE8A124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sz w:val="20"/>
                <w:szCs w:val="20"/>
                <w:lang w:eastAsia="cs-CZ"/>
              </w:rPr>
            </w:pPr>
            <w:r w:rsidRPr="00FF2E64">
              <w:rPr>
                <w:sz w:val="20"/>
                <w:szCs w:val="20"/>
                <w:lang w:eastAsia="cs-CZ"/>
              </w:rPr>
              <w:t>507 173</w:t>
            </w:r>
          </w:p>
        </w:tc>
      </w:tr>
      <w:tr w:rsidR="00210D30" w:rsidRPr="00FF2E64" w14:paraId="49C4B372" w14:textId="77777777" w:rsidTr="00C35795">
        <w:trPr>
          <w:trHeight w:val="255"/>
          <w:jc w:val="center"/>
        </w:trPr>
        <w:tc>
          <w:tcPr>
            <w:tcW w:w="814" w:type="dxa"/>
            <w:shd w:val="clear" w:color="auto" w:fill="F2C6C9"/>
            <w:noWrap/>
            <w:vAlign w:val="center"/>
            <w:hideMark/>
          </w:tcPr>
          <w:p w14:paraId="624DF83F" w14:textId="77777777" w:rsidR="008C2D66" w:rsidRPr="00FF2E64" w:rsidRDefault="006C06F8" w:rsidP="00FF2E64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F2E64">
              <w:rPr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34" w:type="dxa"/>
            <w:shd w:val="clear" w:color="auto" w:fill="F2C6C9"/>
            <w:noWrap/>
            <w:vAlign w:val="center"/>
            <w:hideMark/>
          </w:tcPr>
          <w:p w14:paraId="6439821E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FF2E64">
              <w:rPr>
                <w:b/>
                <w:bCs/>
                <w:sz w:val="20"/>
                <w:szCs w:val="20"/>
              </w:rPr>
              <w:t>952 129</w:t>
            </w:r>
          </w:p>
        </w:tc>
        <w:tc>
          <w:tcPr>
            <w:tcW w:w="1228" w:type="dxa"/>
            <w:shd w:val="clear" w:color="auto" w:fill="F2C6C9"/>
            <w:noWrap/>
            <w:vAlign w:val="center"/>
            <w:hideMark/>
          </w:tcPr>
          <w:p w14:paraId="0D41B50F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FF2E64">
              <w:rPr>
                <w:b/>
                <w:bCs/>
                <w:sz w:val="20"/>
                <w:szCs w:val="20"/>
              </w:rPr>
              <w:t>629 740</w:t>
            </w:r>
          </w:p>
        </w:tc>
        <w:tc>
          <w:tcPr>
            <w:tcW w:w="1247" w:type="dxa"/>
            <w:shd w:val="clear" w:color="auto" w:fill="F2C6C9"/>
            <w:noWrap/>
            <w:vAlign w:val="center"/>
            <w:hideMark/>
          </w:tcPr>
          <w:p w14:paraId="2CCBB31A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FF2E64">
              <w:rPr>
                <w:b/>
                <w:bCs/>
                <w:sz w:val="20"/>
                <w:szCs w:val="20"/>
              </w:rPr>
              <w:t>377 326</w:t>
            </w:r>
          </w:p>
        </w:tc>
        <w:tc>
          <w:tcPr>
            <w:tcW w:w="1077" w:type="dxa"/>
            <w:shd w:val="clear" w:color="auto" w:fill="F2C6C9"/>
            <w:vAlign w:val="center"/>
          </w:tcPr>
          <w:p w14:paraId="1DA2BE32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FF2E64">
              <w:rPr>
                <w:b/>
                <w:bCs/>
                <w:sz w:val="20"/>
                <w:szCs w:val="20"/>
              </w:rPr>
              <w:t>339 559</w:t>
            </w:r>
          </w:p>
        </w:tc>
        <w:tc>
          <w:tcPr>
            <w:tcW w:w="1294" w:type="dxa"/>
            <w:shd w:val="clear" w:color="auto" w:fill="F2C6C9"/>
            <w:noWrap/>
            <w:vAlign w:val="center"/>
            <w:hideMark/>
          </w:tcPr>
          <w:p w14:paraId="07673E2A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FF2E64">
              <w:rPr>
                <w:b/>
                <w:bCs/>
                <w:sz w:val="20"/>
                <w:szCs w:val="20"/>
              </w:rPr>
              <w:t>159 642</w:t>
            </w:r>
          </w:p>
        </w:tc>
        <w:tc>
          <w:tcPr>
            <w:tcW w:w="1134" w:type="dxa"/>
            <w:shd w:val="clear" w:color="auto" w:fill="F2C6C9"/>
            <w:noWrap/>
            <w:vAlign w:val="center"/>
            <w:hideMark/>
          </w:tcPr>
          <w:p w14:paraId="1EC87500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FF2E64">
              <w:rPr>
                <w:b/>
                <w:bCs/>
                <w:sz w:val="20"/>
                <w:szCs w:val="20"/>
              </w:rPr>
              <w:t>134 460</w:t>
            </w:r>
          </w:p>
        </w:tc>
        <w:tc>
          <w:tcPr>
            <w:tcW w:w="1134" w:type="dxa"/>
            <w:shd w:val="clear" w:color="auto" w:fill="F2C6C9"/>
            <w:vAlign w:val="center"/>
          </w:tcPr>
          <w:p w14:paraId="0B3D4D21" w14:textId="77777777" w:rsidR="008C2D66" w:rsidRPr="00FF2E64" w:rsidRDefault="006C06F8" w:rsidP="00C35795">
            <w:pPr>
              <w:keepNext/>
              <w:spacing w:before="0"/>
              <w:ind w:right="57"/>
              <w:jc w:val="right"/>
              <w:rPr>
                <w:b/>
                <w:bCs/>
                <w:sz w:val="20"/>
                <w:szCs w:val="20"/>
              </w:rPr>
            </w:pPr>
            <w:r w:rsidRPr="00FF2E64">
              <w:rPr>
                <w:b/>
                <w:bCs/>
                <w:sz w:val="20"/>
                <w:szCs w:val="20"/>
              </w:rPr>
              <w:t>2 592 856</w:t>
            </w:r>
          </w:p>
        </w:tc>
      </w:tr>
    </w:tbl>
    <w:p w14:paraId="1A24E8B2" w14:textId="1ADC290F" w:rsidR="008C2D66" w:rsidRPr="008C2D66" w:rsidRDefault="006C06F8" w:rsidP="00FF2E64">
      <w:pPr>
        <w:spacing w:before="40" w:after="120"/>
        <w:rPr>
          <w:color w:val="auto"/>
          <w:sz w:val="20"/>
          <w:szCs w:val="20"/>
        </w:rPr>
      </w:pPr>
      <w:r w:rsidRPr="002C6E06">
        <w:rPr>
          <w:b/>
          <w:color w:val="auto"/>
          <w:sz w:val="20"/>
          <w:szCs w:val="20"/>
        </w:rPr>
        <w:t>Zdroj</w:t>
      </w:r>
      <w:r w:rsidRPr="00E73E12">
        <w:rPr>
          <w:color w:val="auto"/>
          <w:sz w:val="20"/>
          <w:szCs w:val="20"/>
        </w:rPr>
        <w:t>:</w:t>
      </w:r>
      <w:r w:rsidRPr="002C6E06">
        <w:rPr>
          <w:b/>
          <w:color w:val="auto"/>
          <w:sz w:val="20"/>
          <w:szCs w:val="20"/>
        </w:rPr>
        <w:t xml:space="preserve"> </w:t>
      </w:r>
      <w:r w:rsidR="004C38BF">
        <w:rPr>
          <w:color w:val="auto"/>
          <w:sz w:val="20"/>
          <w:szCs w:val="20"/>
        </w:rPr>
        <w:t>i</w:t>
      </w:r>
      <w:r w:rsidRPr="008C2D66">
        <w:rPr>
          <w:color w:val="auto"/>
          <w:sz w:val="20"/>
          <w:szCs w:val="20"/>
        </w:rPr>
        <w:t xml:space="preserve">nformace MK, </w:t>
      </w:r>
      <w:r w:rsidR="004C38BF">
        <w:rPr>
          <w:color w:val="auto"/>
          <w:sz w:val="20"/>
          <w:szCs w:val="20"/>
        </w:rPr>
        <w:t>vypracoval NKÚ</w:t>
      </w:r>
      <w:r w:rsidR="009D486F">
        <w:rPr>
          <w:color w:val="auto"/>
          <w:sz w:val="20"/>
          <w:szCs w:val="20"/>
        </w:rPr>
        <w:t>.</w:t>
      </w:r>
    </w:p>
    <w:p w14:paraId="14FFA4B2" w14:textId="77777777" w:rsidR="008C2D66" w:rsidRDefault="00C471C9" w:rsidP="00CC7BBD">
      <w:pPr>
        <w:spacing w:before="0" w:after="120"/>
        <w:rPr>
          <w:rFonts w:cs="Times New Roman"/>
        </w:rPr>
      </w:pPr>
      <w:r>
        <w:rPr>
          <w:rFonts w:cs="Times New Roman"/>
        </w:rPr>
        <w:t xml:space="preserve">V letech 2019 až 2022 vydalo </w:t>
      </w:r>
      <w:r w:rsidR="00076A24">
        <w:rPr>
          <w:rFonts w:cs="Times New Roman"/>
        </w:rPr>
        <w:t>MK</w:t>
      </w:r>
      <w:r>
        <w:rPr>
          <w:rFonts w:cs="Times New Roman"/>
        </w:rPr>
        <w:t xml:space="preserve"> </w:t>
      </w:r>
      <w:r w:rsidRPr="008C2D66">
        <w:rPr>
          <w:color w:val="auto"/>
        </w:rPr>
        <w:t>na</w:t>
      </w:r>
      <w:r w:rsidR="00076A24">
        <w:rPr>
          <w:color w:val="auto"/>
        </w:rPr>
        <w:t xml:space="preserve"> </w:t>
      </w:r>
      <w:r w:rsidRPr="008C2D66">
        <w:rPr>
          <w:color w:val="auto"/>
        </w:rPr>
        <w:t>záchranu a obnovu kulturních památek</w:t>
      </w:r>
      <w:r w:rsidRPr="008C2D66">
        <w:rPr>
          <w:rFonts w:cs="Times New Roman"/>
        </w:rPr>
        <w:t xml:space="preserve"> </w:t>
      </w:r>
      <w:r>
        <w:rPr>
          <w:rFonts w:cs="Times New Roman"/>
        </w:rPr>
        <w:t xml:space="preserve">prostřednictvím šesti programů téměř 2,6 mld. Kč. Jak zobrazuje následující graf, v těchto </w:t>
      </w:r>
      <w:r w:rsidR="00076A24">
        <w:rPr>
          <w:rFonts w:cs="Times New Roman"/>
        </w:rPr>
        <w:t xml:space="preserve">výdajích </w:t>
      </w:r>
      <w:r w:rsidR="006C06F8" w:rsidRPr="008C2D66">
        <w:rPr>
          <w:rFonts w:cs="Times New Roman"/>
        </w:rPr>
        <w:t>je zřejmý sestupný trend. Program ORP nebyl v roce 2022 v rámci úspor vypsán.</w:t>
      </w:r>
      <w:bookmarkStart w:id="6" w:name="_GoBack"/>
      <w:bookmarkEnd w:id="6"/>
    </w:p>
    <w:p w14:paraId="2E5E04B3" w14:textId="4AFD2C86" w:rsidR="00E73E12" w:rsidRPr="00C35795" w:rsidRDefault="00E73E12" w:rsidP="00C35795">
      <w:pPr>
        <w:keepNext/>
        <w:tabs>
          <w:tab w:val="right" w:pos="9070"/>
        </w:tabs>
        <w:rPr>
          <w:rFonts w:cs="Times New Roman"/>
          <w:b/>
        </w:rPr>
      </w:pPr>
      <w:r w:rsidRPr="00C35795">
        <w:rPr>
          <w:rFonts w:cs="Times New Roman"/>
          <w:b/>
        </w:rPr>
        <w:t xml:space="preserve">Graf č. 1: Výdaje na jednotlivé programy v letech 2019 až 2022 </w:t>
      </w:r>
      <w:r w:rsidR="00C35795">
        <w:rPr>
          <w:rFonts w:cs="Times New Roman"/>
          <w:b/>
        </w:rPr>
        <w:tab/>
      </w:r>
      <w:r w:rsidR="004C38BF">
        <w:rPr>
          <w:rFonts w:cs="Times New Roman"/>
          <w:b/>
        </w:rPr>
        <w:t>(</w:t>
      </w:r>
      <w:r w:rsidRPr="00C35795">
        <w:rPr>
          <w:rFonts w:cs="Times New Roman"/>
          <w:b/>
        </w:rPr>
        <w:t>v mil. Kč</w:t>
      </w:r>
      <w:r w:rsidR="004C38BF">
        <w:rPr>
          <w:rFonts w:cs="Times New Roman"/>
          <w:b/>
        </w:rPr>
        <w:t>)</w:t>
      </w:r>
    </w:p>
    <w:p w14:paraId="67E71E2B" w14:textId="77777777" w:rsidR="00076A24" w:rsidRDefault="00E73E12" w:rsidP="00C35795">
      <w:pPr>
        <w:keepNext/>
        <w:spacing w:before="0"/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2526B6A3" wp14:editId="59394A61">
            <wp:extent cx="5356860" cy="3023691"/>
            <wp:effectExtent l="0" t="0" r="0" b="571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4D7DC9DC-4686-47B0-BCE1-B598261213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7D3AFA" w14:textId="6393DAC4" w:rsidR="00076A24" w:rsidRDefault="00E73E12" w:rsidP="00E73E12">
      <w:pPr>
        <w:keepNext/>
        <w:spacing w:before="0" w:after="120"/>
        <w:rPr>
          <w:rFonts w:cs="Times New Roman"/>
        </w:rPr>
      </w:pPr>
      <w:r w:rsidRPr="00E73E12">
        <w:rPr>
          <w:b/>
          <w:color w:val="auto"/>
          <w:sz w:val="20"/>
          <w:szCs w:val="20"/>
        </w:rPr>
        <w:t>Zdroj</w:t>
      </w:r>
      <w:r w:rsidRPr="00E73E12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4C38BF">
        <w:rPr>
          <w:color w:val="auto"/>
          <w:sz w:val="20"/>
          <w:szCs w:val="20"/>
        </w:rPr>
        <w:t>i</w:t>
      </w:r>
      <w:r w:rsidRPr="008C2D66">
        <w:rPr>
          <w:color w:val="auto"/>
          <w:sz w:val="20"/>
          <w:szCs w:val="20"/>
        </w:rPr>
        <w:t xml:space="preserve">nformace MK, </w:t>
      </w:r>
      <w:r w:rsidR="004C38BF">
        <w:rPr>
          <w:color w:val="auto"/>
          <w:sz w:val="20"/>
          <w:szCs w:val="20"/>
        </w:rPr>
        <w:t>vypracoval NKÚ</w:t>
      </w:r>
      <w:r w:rsidR="009D486F">
        <w:rPr>
          <w:color w:val="auto"/>
          <w:sz w:val="20"/>
          <w:szCs w:val="20"/>
        </w:rPr>
        <w:t>.</w:t>
      </w:r>
    </w:p>
    <w:p w14:paraId="674C5D1D" w14:textId="3A3C7934" w:rsidR="00C35795" w:rsidRDefault="006C06F8" w:rsidP="00AB1431">
      <w:pPr>
        <w:spacing w:before="0" w:after="120"/>
        <w:rPr>
          <w:b/>
          <w:sz w:val="28"/>
        </w:rPr>
      </w:pPr>
      <w:r w:rsidRPr="00D7256A">
        <w:rPr>
          <w:rFonts w:cstheme="minorHAnsi"/>
        </w:rPr>
        <w:t xml:space="preserve">O záchranu a obnovu kulturních památek se na </w:t>
      </w:r>
      <w:r w:rsidRPr="00D7256A">
        <w:t>základě vlastnictví stará rovněž stát zejména prostřednictvím NPÚ a jednotlivé obce a kraje prostřednictvím svých rozpočtů a programů. Vlastníci kulturních památek mohou rovněž čerpat prostředky z</w:t>
      </w:r>
      <w:r w:rsidR="006C0477">
        <w:t> jiných veřejných zdrojů.</w:t>
      </w:r>
      <w:r w:rsidR="0045778C">
        <w:t xml:space="preserve"> </w:t>
      </w:r>
      <w:r>
        <w:t xml:space="preserve">Tyto </w:t>
      </w:r>
      <w:r w:rsidR="000B157C">
        <w:t xml:space="preserve">peněžní </w:t>
      </w:r>
      <w:r>
        <w:t>prostředky nebyly předmětem kontrolní akce.</w:t>
      </w:r>
      <w:r w:rsidR="00C35795">
        <w:rPr>
          <w:b/>
          <w:sz w:val="28"/>
        </w:rPr>
        <w:br w:type="page"/>
      </w:r>
    </w:p>
    <w:p w14:paraId="779D08A2" w14:textId="77777777" w:rsidR="000141D2" w:rsidRPr="00C50C07" w:rsidRDefault="006C06F8" w:rsidP="00C35795">
      <w:pPr>
        <w:keepNext/>
        <w:spacing w:before="0" w:after="240"/>
        <w:ind w:left="357"/>
        <w:jc w:val="center"/>
        <w:outlineLvl w:val="0"/>
        <w:rPr>
          <w:b/>
          <w:sz w:val="28"/>
        </w:rPr>
      </w:pPr>
      <w:r w:rsidRPr="005C620F">
        <w:rPr>
          <w:b/>
          <w:sz w:val="28"/>
        </w:rPr>
        <w:lastRenderedPageBreak/>
        <w:t>III. </w:t>
      </w:r>
      <w:r w:rsidR="00C866CB" w:rsidRPr="005C620F">
        <w:rPr>
          <w:b/>
          <w:sz w:val="28"/>
        </w:rPr>
        <w:t>Rozsah kontroly</w:t>
      </w:r>
    </w:p>
    <w:p w14:paraId="5E612CA8" w14:textId="77777777" w:rsidR="00C535A0" w:rsidRDefault="006C06F8" w:rsidP="00C535A0">
      <w:pPr>
        <w:spacing w:before="0" w:after="120"/>
        <w:rPr>
          <w:rFonts w:eastAsiaTheme="minorHAnsi" w:cstheme="minorHAnsi"/>
        </w:rPr>
      </w:pPr>
      <w:r>
        <w:rPr>
          <w:rFonts w:eastAsiaTheme="minorHAnsi" w:cstheme="minorHAnsi"/>
          <w:b/>
        </w:rPr>
        <w:t>Cílem kontroly</w:t>
      </w:r>
      <w:r>
        <w:rPr>
          <w:rFonts w:eastAsiaTheme="minorHAnsi" w:cstheme="minorHAnsi"/>
        </w:rPr>
        <w:t xml:space="preserve"> bylo </w:t>
      </w:r>
      <w:r>
        <w:rPr>
          <w:rFonts w:asciiTheme="minorHAnsi" w:hAnsiTheme="minorHAnsi" w:cstheme="minorHAnsi"/>
        </w:rPr>
        <w:t>prověřit, zda byly peněžní prostředky státu poskytované na záchranu a</w:t>
      </w:r>
      <w:r w:rsidR="009D486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obnovu kulturních památek prostřednictvím rozpočtové kapitoly Ministerstva kultury vynaloženy účelně a v souladu s právními předpisy.</w:t>
      </w:r>
      <w:r>
        <w:rPr>
          <w:rFonts w:eastAsiaTheme="minorHAnsi" w:cstheme="minorHAnsi"/>
        </w:rPr>
        <w:t xml:space="preserve"> </w:t>
      </w:r>
    </w:p>
    <w:p w14:paraId="50FB01F8" w14:textId="77777777" w:rsidR="00C535A0" w:rsidRDefault="006C06F8" w:rsidP="002D5D1F">
      <w:pPr>
        <w:spacing w:after="1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Za </w:t>
      </w:r>
      <w:r>
        <w:rPr>
          <w:rFonts w:asciiTheme="minorHAnsi" w:hAnsiTheme="minorHAnsi" w:cstheme="minorHAnsi"/>
          <w:b/>
          <w:color w:val="auto"/>
        </w:rPr>
        <w:t>účelné</w:t>
      </w:r>
      <w:r>
        <w:rPr>
          <w:rStyle w:val="Znakapoznpodarou"/>
          <w:rFonts w:asciiTheme="minorHAnsi" w:hAnsiTheme="minorHAnsi" w:cstheme="minorHAnsi"/>
          <w:color w:val="auto"/>
        </w:rPr>
        <w:footnoteReference w:id="5"/>
      </w:r>
      <w:r>
        <w:rPr>
          <w:rFonts w:asciiTheme="minorHAnsi" w:hAnsiTheme="minorHAnsi" w:cstheme="minorHAnsi"/>
          <w:color w:val="auto"/>
        </w:rPr>
        <w:t xml:space="preserve"> NKÚ považuje takové použití veřejných prostředků, které zajistí optimální míru dosažení cílů při plnění stanovených úkolů</w:t>
      </w:r>
      <w:r>
        <w:rPr>
          <w:color w:val="auto"/>
        </w:rPr>
        <w:t>.</w:t>
      </w:r>
      <w:r w:rsidR="008344E1">
        <w:rPr>
          <w:color w:val="auto"/>
        </w:rPr>
        <w:t xml:space="preserve"> Posouzení účelnosti </w:t>
      </w:r>
      <w:r w:rsidR="008344E1">
        <w:rPr>
          <w:rFonts w:asciiTheme="minorHAnsi" w:hAnsiTheme="minorHAnsi" w:cstheme="minorHAnsi"/>
        </w:rPr>
        <w:t xml:space="preserve">použití peněžních prostředků vynaložených na záchranu a obnovu kulturních památek spočívalo zejména v </w:t>
      </w:r>
      <w:r w:rsidR="007A01C6">
        <w:rPr>
          <w:rFonts w:asciiTheme="minorHAnsi" w:hAnsiTheme="minorHAnsi" w:cstheme="minorHAnsi"/>
        </w:rPr>
        <w:t>posouzení</w:t>
      </w:r>
      <w:r w:rsidR="008344E1">
        <w:rPr>
          <w:rFonts w:asciiTheme="minorHAnsi" w:hAnsiTheme="minorHAnsi" w:cstheme="minorHAnsi"/>
        </w:rPr>
        <w:t xml:space="preserve"> </w:t>
      </w:r>
      <w:r w:rsidR="0074264C">
        <w:rPr>
          <w:rFonts w:asciiTheme="minorHAnsi" w:hAnsiTheme="minorHAnsi" w:cstheme="minorHAnsi"/>
        </w:rPr>
        <w:t>dosažení stanov</w:t>
      </w:r>
      <w:r w:rsidR="00A17CDC">
        <w:rPr>
          <w:rFonts w:asciiTheme="minorHAnsi" w:hAnsiTheme="minorHAnsi" w:cstheme="minorHAnsi"/>
        </w:rPr>
        <w:t>en</w:t>
      </w:r>
      <w:r w:rsidR="0074264C">
        <w:rPr>
          <w:rFonts w:asciiTheme="minorHAnsi" w:hAnsiTheme="minorHAnsi" w:cstheme="minorHAnsi"/>
        </w:rPr>
        <w:t xml:space="preserve">ých cílů a plnění stanovených úkolů. </w:t>
      </w:r>
    </w:p>
    <w:p w14:paraId="4887783C" w14:textId="77777777" w:rsidR="00C535A0" w:rsidRDefault="006C06F8" w:rsidP="00C535A0">
      <w:pPr>
        <w:spacing w:before="0" w:after="120"/>
        <w:rPr>
          <w:rFonts w:asciiTheme="minorHAnsi" w:hAnsiTheme="minorHAnsi" w:cstheme="minorHAnsi"/>
        </w:rPr>
      </w:pPr>
      <w:r>
        <w:rPr>
          <w:rFonts w:eastAsiaTheme="minorHAnsi" w:cstheme="minorHAnsi"/>
          <w:b/>
        </w:rPr>
        <w:t>Předmětem kontrolní akce</w:t>
      </w:r>
      <w:r>
        <w:rPr>
          <w:rFonts w:eastAsiaTheme="minorHAnsi" w:cstheme="minorHAnsi"/>
        </w:rPr>
        <w:t xml:space="preserve"> byly peněžní prostředky státu poskytované na záchranu a obnovu </w:t>
      </w:r>
      <w:r>
        <w:rPr>
          <w:rFonts w:asciiTheme="minorHAnsi" w:hAnsiTheme="minorHAnsi" w:cstheme="minorHAnsi"/>
        </w:rPr>
        <w:t xml:space="preserve">kulturních památek prostřednictvím rozpočtové kapitoly Ministerstva kultury. </w:t>
      </w:r>
    </w:p>
    <w:p w14:paraId="101C7A47" w14:textId="77777777" w:rsidR="00C535A0" w:rsidRDefault="006C06F8" w:rsidP="00C535A0">
      <w:pPr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Kontrolovanou osobou</w:t>
      </w:r>
      <w:r>
        <w:rPr>
          <w:rFonts w:asciiTheme="minorHAnsi" w:hAnsiTheme="minorHAnsi" w:cstheme="minorHAnsi"/>
        </w:rPr>
        <w:t xml:space="preserve"> bylo MK jakožto poskytova</w:t>
      </w:r>
      <w:r w:rsidR="00C040DB">
        <w:rPr>
          <w:rFonts w:asciiTheme="minorHAnsi" w:hAnsiTheme="minorHAnsi" w:cstheme="minorHAnsi"/>
        </w:rPr>
        <w:t>te</w:t>
      </w:r>
      <w:r>
        <w:rPr>
          <w:rFonts w:asciiTheme="minorHAnsi" w:hAnsiTheme="minorHAnsi" w:cstheme="minorHAnsi"/>
        </w:rPr>
        <w:t xml:space="preserve">l </w:t>
      </w:r>
      <w:r w:rsidR="0074264C">
        <w:rPr>
          <w:rFonts w:asciiTheme="minorHAnsi" w:hAnsiTheme="minorHAnsi" w:cstheme="minorHAnsi"/>
        </w:rPr>
        <w:t>peněžních prostředků státní rozpočtu</w:t>
      </w:r>
      <w:r>
        <w:rPr>
          <w:rFonts w:asciiTheme="minorHAnsi" w:hAnsiTheme="minorHAnsi" w:cstheme="minorHAnsi"/>
        </w:rPr>
        <w:t xml:space="preserve"> na záchranu a obnovu kulturních památek. Kontrola byla provedena </w:t>
      </w:r>
      <w:r w:rsidR="00C040DB">
        <w:rPr>
          <w:rFonts w:asciiTheme="minorHAnsi" w:hAnsiTheme="minorHAnsi" w:cstheme="minorHAnsi"/>
        </w:rPr>
        <w:t>v rámci</w:t>
      </w:r>
      <w:r>
        <w:rPr>
          <w:rFonts w:asciiTheme="minorHAnsi" w:hAnsiTheme="minorHAnsi" w:cstheme="minorHAnsi"/>
        </w:rPr>
        <w:t xml:space="preserve"> šesti program</w:t>
      </w:r>
      <w:r w:rsidR="00C040DB">
        <w:rPr>
          <w:rFonts w:asciiTheme="minorHAnsi" w:hAnsiTheme="minorHAnsi" w:cstheme="minorHAnsi"/>
        </w:rPr>
        <w:t xml:space="preserve">ů, které MK </w:t>
      </w:r>
      <w:r w:rsidR="003A720A">
        <w:rPr>
          <w:rFonts w:asciiTheme="minorHAnsi" w:hAnsiTheme="minorHAnsi" w:cstheme="minorHAnsi"/>
        </w:rPr>
        <w:t xml:space="preserve">na záchranu a obnovu kulturních památek </w:t>
      </w:r>
      <w:r w:rsidR="00C040DB">
        <w:rPr>
          <w:rFonts w:asciiTheme="minorHAnsi" w:hAnsiTheme="minorHAnsi" w:cstheme="minorHAnsi"/>
        </w:rPr>
        <w:t>vyhlásilo</w:t>
      </w:r>
      <w:r>
        <w:rPr>
          <w:rFonts w:asciiTheme="minorHAnsi" w:hAnsiTheme="minorHAnsi" w:cstheme="minorHAnsi"/>
        </w:rPr>
        <w:t xml:space="preserve">. </w:t>
      </w:r>
    </w:p>
    <w:p w14:paraId="2F8BBF86" w14:textId="77777777" w:rsidR="002D5D1F" w:rsidRDefault="006C06F8" w:rsidP="00C535A0">
      <w:pPr>
        <w:spacing w:before="0" w:after="120"/>
        <w:rPr>
          <w:rFonts w:eastAsiaTheme="minorHAnsi" w:cstheme="minorHAnsi"/>
        </w:rPr>
      </w:pPr>
      <w:r>
        <w:rPr>
          <w:rFonts w:eastAsiaTheme="minorHAnsi" w:cstheme="minorHAnsi"/>
          <w:b/>
        </w:rPr>
        <w:t>Kontrolovaným obdobím</w:t>
      </w:r>
      <w:r>
        <w:rPr>
          <w:rFonts w:eastAsiaTheme="minorHAnsi" w:cstheme="minorHAnsi"/>
        </w:rPr>
        <w:t xml:space="preserve"> bylo období </w:t>
      </w:r>
      <w:r w:rsidR="00C040DB">
        <w:rPr>
          <w:rFonts w:eastAsiaTheme="minorHAnsi" w:cstheme="minorHAnsi"/>
        </w:rPr>
        <w:t>od roku</w:t>
      </w:r>
      <w:r>
        <w:rPr>
          <w:rFonts w:eastAsiaTheme="minorHAnsi" w:cstheme="minorHAnsi"/>
        </w:rPr>
        <w:t xml:space="preserve"> 2019 </w:t>
      </w:r>
      <w:r w:rsidR="00C040DB">
        <w:rPr>
          <w:rFonts w:eastAsiaTheme="minorHAnsi" w:cstheme="minorHAnsi"/>
        </w:rPr>
        <w:t>do</w:t>
      </w:r>
      <w:r>
        <w:rPr>
          <w:rFonts w:eastAsiaTheme="minorHAnsi" w:cstheme="minorHAnsi"/>
        </w:rPr>
        <w:t xml:space="preserve"> 2022</w:t>
      </w:r>
      <w:r w:rsidR="00C040DB">
        <w:rPr>
          <w:rFonts w:eastAsiaTheme="minorHAnsi" w:cstheme="minorHAnsi"/>
        </w:rPr>
        <w:t>. V</w:t>
      </w:r>
      <w:r>
        <w:rPr>
          <w:rFonts w:eastAsiaTheme="minorHAnsi" w:cstheme="minorHAnsi"/>
        </w:rPr>
        <w:t> případě věcných souvislostí i</w:t>
      </w:r>
      <w:r w:rsidR="00C35795">
        <w:rPr>
          <w:rFonts w:eastAsiaTheme="minorHAnsi" w:cstheme="minorHAnsi"/>
        </w:rPr>
        <w:t> </w:t>
      </w:r>
      <w:r>
        <w:rPr>
          <w:rFonts w:eastAsiaTheme="minorHAnsi" w:cstheme="minorHAnsi"/>
        </w:rPr>
        <w:t>období předcházející či následující.</w:t>
      </w:r>
    </w:p>
    <w:p w14:paraId="1F3F4755" w14:textId="77777777" w:rsidR="00C535A0" w:rsidRDefault="006C06F8" w:rsidP="00C535A0">
      <w:pPr>
        <w:spacing w:before="0" w:after="120"/>
        <w:rPr>
          <w:rFonts w:eastAsiaTheme="minorHAnsi" w:cstheme="minorHAnsi"/>
        </w:rPr>
      </w:pPr>
      <w:r>
        <w:rPr>
          <w:b/>
        </w:rPr>
        <w:t>Kontrolovaný objem</w:t>
      </w:r>
      <w:r w:rsidR="00C71C04">
        <w:t xml:space="preserve"> </w:t>
      </w:r>
      <w:r>
        <w:t>vychází z výdajů MK na programy na záchranu a obnovu kulturních památek ze státního rozpočtu a za roky 2019 až 2022 činí přibližně 2,6 mld. Kč.</w:t>
      </w:r>
      <w:r w:rsidR="00C040DB">
        <w:t xml:space="preserve"> </w:t>
      </w:r>
      <w:r w:rsidR="00C040DB" w:rsidRPr="00C6784A">
        <w:rPr>
          <w:rFonts w:cstheme="minorHAnsi"/>
        </w:rPr>
        <w:t xml:space="preserve">Z toho </w:t>
      </w:r>
      <w:r w:rsidR="0074264C">
        <w:rPr>
          <w:rFonts w:cstheme="minorHAnsi"/>
        </w:rPr>
        <w:t xml:space="preserve">kontrolovaný vzorek </w:t>
      </w:r>
      <w:r w:rsidR="00C040DB" w:rsidRPr="00C6784A">
        <w:rPr>
          <w:rFonts w:cstheme="minorHAnsi"/>
        </w:rPr>
        <w:t>projektů činí</w:t>
      </w:r>
      <w:r w:rsidR="00C71C04">
        <w:rPr>
          <w:rFonts w:cstheme="minorHAnsi"/>
        </w:rPr>
        <w:t xml:space="preserve"> </w:t>
      </w:r>
      <w:r w:rsidR="00C040DB" w:rsidRPr="005C7A0D">
        <w:rPr>
          <w:rFonts w:cstheme="minorHAnsi"/>
        </w:rPr>
        <w:t>26</w:t>
      </w:r>
      <w:r w:rsidR="00C040DB">
        <w:rPr>
          <w:rFonts w:cstheme="minorHAnsi"/>
        </w:rPr>
        <w:t> </w:t>
      </w:r>
      <w:r w:rsidR="00C040DB" w:rsidRPr="005C7A0D">
        <w:rPr>
          <w:rFonts w:cstheme="minorHAnsi"/>
        </w:rPr>
        <w:t>825</w:t>
      </w:r>
      <w:r w:rsidR="00C040DB">
        <w:rPr>
          <w:rFonts w:cstheme="minorHAnsi"/>
        </w:rPr>
        <w:t> </w:t>
      </w:r>
      <w:r w:rsidR="00C040DB" w:rsidRPr="005C7A0D">
        <w:rPr>
          <w:rFonts w:cstheme="minorHAnsi"/>
        </w:rPr>
        <w:t>000</w:t>
      </w:r>
      <w:r w:rsidR="00C040DB">
        <w:rPr>
          <w:rFonts w:cstheme="minorHAnsi"/>
        </w:rPr>
        <w:t> </w:t>
      </w:r>
      <w:r w:rsidR="00C040DB" w:rsidRPr="00C6784A">
        <w:rPr>
          <w:rFonts w:cstheme="minorHAnsi"/>
        </w:rPr>
        <w:t>Kč.</w:t>
      </w:r>
    </w:p>
    <w:p w14:paraId="59A03E93" w14:textId="77777777" w:rsidR="00C535A0" w:rsidRDefault="006C06F8" w:rsidP="00C35795">
      <w:pPr>
        <w:keepNext/>
        <w:spacing w:before="0"/>
        <w:rPr>
          <w:rFonts w:eastAsiaTheme="minorHAnsi" w:cstheme="minorHAnsi"/>
          <w:b/>
        </w:rPr>
      </w:pPr>
      <w:r>
        <w:rPr>
          <w:rFonts w:eastAsiaTheme="minorHAnsi" w:cstheme="minorHAnsi"/>
          <w:b/>
        </w:rPr>
        <w:t>Kontrola se zaměřila na:</w:t>
      </w:r>
    </w:p>
    <w:p w14:paraId="738D7E2B" w14:textId="7FCC3821" w:rsidR="00C535A0" w:rsidRDefault="006C0477" w:rsidP="00C35795">
      <w:pPr>
        <w:pStyle w:val="Odstavecseseznamem"/>
        <w:numPr>
          <w:ilvl w:val="0"/>
          <w:numId w:val="23"/>
        </w:numPr>
        <w:spacing w:before="0" w:after="120"/>
        <w:ind w:left="284" w:hanging="284"/>
        <w:rPr>
          <w:rFonts w:eastAsiaTheme="minorHAnsi" w:cstheme="minorHAnsi"/>
        </w:rPr>
      </w:pPr>
      <w:r>
        <w:rPr>
          <w:rFonts w:eastAsiaTheme="minorHAnsi" w:cstheme="minorHAnsi"/>
        </w:rPr>
        <w:t>nastavení cílů</w:t>
      </w:r>
      <w:r w:rsidR="004C38BF">
        <w:rPr>
          <w:rFonts w:eastAsiaTheme="minorHAnsi" w:cstheme="minorHAnsi"/>
        </w:rPr>
        <w:t>,</w:t>
      </w:r>
      <w:r>
        <w:rPr>
          <w:rFonts w:eastAsiaTheme="minorHAnsi" w:cstheme="minorHAnsi"/>
        </w:rPr>
        <w:t xml:space="preserve"> </w:t>
      </w:r>
    </w:p>
    <w:p w14:paraId="162E1FA0" w14:textId="58925667" w:rsidR="00DE3F9E" w:rsidRDefault="006C06F8" w:rsidP="00C35795">
      <w:pPr>
        <w:pStyle w:val="Odstavecseseznamem"/>
        <w:numPr>
          <w:ilvl w:val="0"/>
          <w:numId w:val="23"/>
        </w:numPr>
        <w:spacing w:before="0" w:after="120"/>
        <w:ind w:left="284" w:hanging="284"/>
        <w:rPr>
          <w:rFonts w:eastAsiaTheme="minorHAnsi" w:cstheme="minorHAnsi"/>
        </w:rPr>
      </w:pPr>
      <w:r>
        <w:t>způsob monitorování plnění stanovených cílů</w:t>
      </w:r>
      <w:r w:rsidR="004C38BF">
        <w:t>,</w:t>
      </w:r>
    </w:p>
    <w:p w14:paraId="027FF51A" w14:textId="0109968C" w:rsidR="00C535A0" w:rsidRDefault="006C06F8" w:rsidP="00C35795">
      <w:pPr>
        <w:pStyle w:val="Odstavecseseznamem"/>
        <w:numPr>
          <w:ilvl w:val="0"/>
          <w:numId w:val="23"/>
        </w:numPr>
        <w:spacing w:before="0" w:after="120"/>
        <w:ind w:left="284" w:hanging="284"/>
        <w:rPr>
          <w:rFonts w:eastAsiaTheme="minorHAnsi" w:cstheme="minorHAnsi"/>
        </w:rPr>
      </w:pPr>
      <w:r>
        <w:rPr>
          <w:rFonts w:eastAsiaTheme="minorHAnsi" w:cstheme="minorHAnsi"/>
        </w:rPr>
        <w:t>administraci</w:t>
      </w:r>
      <w:r w:rsidR="00DE3F9E">
        <w:rPr>
          <w:rFonts w:eastAsiaTheme="minorHAnsi" w:cstheme="minorHAnsi"/>
        </w:rPr>
        <w:t xml:space="preserve"> poskytovaných příspěvků</w:t>
      </w:r>
      <w:r w:rsidR="004C38BF">
        <w:rPr>
          <w:rFonts w:eastAsiaTheme="minorHAnsi" w:cstheme="minorHAnsi"/>
        </w:rPr>
        <w:t>,</w:t>
      </w:r>
    </w:p>
    <w:p w14:paraId="01EA8DDD" w14:textId="67E12644" w:rsidR="00DE3F9E" w:rsidRPr="00DE3F9E" w:rsidRDefault="006C06F8" w:rsidP="00C35795">
      <w:pPr>
        <w:pStyle w:val="Odstavecseseznamem"/>
        <w:numPr>
          <w:ilvl w:val="0"/>
          <w:numId w:val="23"/>
        </w:numPr>
        <w:spacing w:before="0" w:after="120"/>
        <w:ind w:left="284" w:hanging="284"/>
        <w:rPr>
          <w:rFonts w:eastAsiaTheme="minorHAnsi" w:cstheme="minorHAnsi"/>
          <w:color w:val="auto"/>
        </w:rPr>
      </w:pPr>
      <w:r w:rsidRPr="00DE3F9E">
        <w:rPr>
          <w:rFonts w:eastAsiaTheme="minorHAnsi" w:cstheme="minorHAnsi"/>
          <w:color w:val="auto"/>
        </w:rPr>
        <w:t>transparentnost výběru projektů</w:t>
      </w:r>
      <w:r w:rsidR="004C38BF">
        <w:rPr>
          <w:rFonts w:eastAsiaTheme="minorHAnsi" w:cstheme="minorHAnsi"/>
          <w:color w:val="auto"/>
        </w:rPr>
        <w:t>,</w:t>
      </w:r>
    </w:p>
    <w:p w14:paraId="1E50F93B" w14:textId="4385DB64" w:rsidR="00C535A0" w:rsidRPr="00DE3F9E" w:rsidRDefault="006C06F8" w:rsidP="00C35795">
      <w:pPr>
        <w:pStyle w:val="Odstavecseseznamem"/>
        <w:numPr>
          <w:ilvl w:val="0"/>
          <w:numId w:val="23"/>
        </w:numPr>
        <w:spacing w:before="0" w:after="120"/>
        <w:ind w:left="284" w:hanging="284"/>
        <w:rPr>
          <w:rFonts w:eastAsiaTheme="minorHAnsi" w:cstheme="minorHAnsi"/>
          <w:color w:val="auto"/>
        </w:rPr>
      </w:pPr>
      <w:r w:rsidRPr="00DE3F9E">
        <w:rPr>
          <w:rFonts w:eastAsiaTheme="minorHAnsi" w:cstheme="minorHAnsi"/>
          <w:color w:val="auto"/>
        </w:rPr>
        <w:t>nastavení a realizaci kontrol</w:t>
      </w:r>
      <w:r w:rsidR="00DE3F9E" w:rsidRPr="00DE3F9E">
        <w:rPr>
          <w:rFonts w:eastAsiaTheme="minorHAnsi" w:cstheme="minorHAnsi"/>
          <w:color w:val="auto"/>
        </w:rPr>
        <w:t>ní činnosti</w:t>
      </w:r>
      <w:r w:rsidR="004C38BF">
        <w:rPr>
          <w:rFonts w:eastAsiaTheme="minorHAnsi" w:cstheme="minorHAnsi"/>
          <w:color w:val="auto"/>
        </w:rPr>
        <w:t>,</w:t>
      </w:r>
    </w:p>
    <w:p w14:paraId="237621C6" w14:textId="013E64B9" w:rsidR="00C535A0" w:rsidRPr="00DE3F9E" w:rsidRDefault="006C06F8" w:rsidP="00C35795">
      <w:pPr>
        <w:pStyle w:val="Odstavecseseznamem"/>
        <w:numPr>
          <w:ilvl w:val="0"/>
          <w:numId w:val="23"/>
        </w:numPr>
        <w:spacing w:before="0" w:after="120"/>
        <w:ind w:left="284" w:hanging="284"/>
        <w:rPr>
          <w:rFonts w:eastAsiaTheme="minorHAnsi" w:cstheme="minorHAnsi"/>
          <w:color w:val="auto"/>
        </w:rPr>
      </w:pPr>
      <w:r w:rsidRPr="00DE3F9E">
        <w:rPr>
          <w:rFonts w:eastAsiaTheme="minorHAnsi" w:cstheme="minorHAnsi"/>
          <w:color w:val="auto"/>
        </w:rPr>
        <w:t>vyhodnocení přínosů podpory</w:t>
      </w:r>
      <w:r w:rsidR="004C38BF">
        <w:rPr>
          <w:rFonts w:eastAsiaTheme="minorHAnsi" w:cstheme="minorHAnsi"/>
          <w:color w:val="auto"/>
        </w:rPr>
        <w:t>,</w:t>
      </w:r>
    </w:p>
    <w:p w14:paraId="05FA76DC" w14:textId="51AAB511" w:rsidR="0084419F" w:rsidRPr="00616175" w:rsidRDefault="006C06F8" w:rsidP="00C35795">
      <w:pPr>
        <w:pStyle w:val="Odstavecseseznamem"/>
        <w:numPr>
          <w:ilvl w:val="0"/>
          <w:numId w:val="23"/>
        </w:numPr>
        <w:spacing w:before="0" w:after="120"/>
        <w:ind w:left="284" w:hanging="284"/>
        <w:rPr>
          <w:rFonts w:eastAsiaTheme="minorHAnsi" w:cstheme="minorHAnsi"/>
          <w:color w:val="auto"/>
        </w:rPr>
      </w:pPr>
      <w:r w:rsidRPr="00DE3F9E">
        <w:rPr>
          <w:rFonts w:eastAsiaTheme="minorHAnsi" w:cstheme="minorHAnsi"/>
          <w:color w:val="auto"/>
        </w:rPr>
        <w:t xml:space="preserve">účinnost </w:t>
      </w:r>
      <w:r w:rsidR="00C535A0" w:rsidRPr="00DE3F9E">
        <w:rPr>
          <w:rFonts w:eastAsiaTheme="minorHAnsi" w:cstheme="minorHAnsi"/>
          <w:color w:val="auto"/>
        </w:rPr>
        <w:t xml:space="preserve">opatření </w:t>
      </w:r>
      <w:r w:rsidR="00EF1931">
        <w:rPr>
          <w:rFonts w:eastAsiaTheme="minorHAnsi" w:cstheme="minorHAnsi"/>
          <w:color w:val="auto"/>
        </w:rPr>
        <w:t>k</w:t>
      </w:r>
      <w:r w:rsidR="00FA15E5">
        <w:rPr>
          <w:rFonts w:eastAsiaTheme="minorHAnsi" w:cstheme="minorHAnsi"/>
          <w:color w:val="auto"/>
        </w:rPr>
        <w:t xml:space="preserve"> odstranění </w:t>
      </w:r>
      <w:r w:rsidR="00EF1931">
        <w:rPr>
          <w:rFonts w:eastAsiaTheme="minorHAnsi" w:cstheme="minorHAnsi"/>
          <w:color w:val="auto"/>
        </w:rPr>
        <w:t>nedostatků zjištěný</w:t>
      </w:r>
      <w:r w:rsidR="00FA15E5">
        <w:rPr>
          <w:rFonts w:eastAsiaTheme="minorHAnsi" w:cstheme="minorHAnsi"/>
          <w:color w:val="auto"/>
        </w:rPr>
        <w:t>ch</w:t>
      </w:r>
      <w:r w:rsidR="00EF1931">
        <w:rPr>
          <w:rFonts w:eastAsiaTheme="minorHAnsi" w:cstheme="minorHAnsi"/>
          <w:color w:val="auto"/>
        </w:rPr>
        <w:t xml:space="preserve"> v</w:t>
      </w:r>
      <w:r w:rsidR="00C535A0" w:rsidRPr="00DE3F9E">
        <w:rPr>
          <w:rFonts w:eastAsiaTheme="minorHAnsi" w:cstheme="minorHAnsi"/>
          <w:color w:val="auto"/>
        </w:rPr>
        <w:t> kontrolní akc</w:t>
      </w:r>
      <w:r w:rsidR="00EF1931">
        <w:rPr>
          <w:rFonts w:eastAsiaTheme="minorHAnsi" w:cstheme="minorHAnsi"/>
          <w:color w:val="auto"/>
        </w:rPr>
        <w:t>i</w:t>
      </w:r>
      <w:r w:rsidR="00C535A0" w:rsidRPr="00DE3F9E">
        <w:rPr>
          <w:rFonts w:eastAsiaTheme="minorHAnsi" w:cstheme="minorHAnsi"/>
          <w:color w:val="auto"/>
        </w:rPr>
        <w:t xml:space="preserve"> č. 17/01</w:t>
      </w:r>
      <w:r w:rsidR="004C38BF">
        <w:rPr>
          <w:rFonts w:eastAsiaTheme="minorHAnsi" w:cstheme="minorHAnsi"/>
          <w:color w:val="auto"/>
        </w:rPr>
        <w:t>.</w:t>
      </w:r>
    </w:p>
    <w:p w14:paraId="74AE85CC" w14:textId="6E15F7AF" w:rsidR="0084419F" w:rsidRPr="00C35795" w:rsidRDefault="006C06F8" w:rsidP="00616175">
      <w:pPr>
        <w:spacing w:before="0" w:after="120"/>
        <w:rPr>
          <w:color w:val="auto"/>
          <w:lang w:eastAsia="cs-CZ"/>
        </w:rPr>
      </w:pPr>
      <w:r w:rsidRPr="00616175">
        <w:rPr>
          <w:rFonts w:asciiTheme="minorHAnsi" w:hAnsiTheme="minorHAnsi" w:cstheme="minorHAnsi"/>
        </w:rPr>
        <w:t>Proces administrace, výběr projektů a jejich monitorování byl</w:t>
      </w:r>
      <w:r w:rsidR="004C38BF">
        <w:rPr>
          <w:rFonts w:asciiTheme="minorHAnsi" w:hAnsiTheme="minorHAnsi" w:cstheme="minorHAnsi"/>
        </w:rPr>
        <w:t>y</w:t>
      </w:r>
      <w:r w:rsidRPr="00616175">
        <w:rPr>
          <w:rFonts w:asciiTheme="minorHAnsi" w:hAnsiTheme="minorHAnsi" w:cstheme="minorHAnsi"/>
        </w:rPr>
        <w:t xml:space="preserve"> ověřen</w:t>
      </w:r>
      <w:r w:rsidR="004C38BF">
        <w:rPr>
          <w:rFonts w:asciiTheme="minorHAnsi" w:hAnsiTheme="minorHAnsi" w:cstheme="minorHAnsi"/>
        </w:rPr>
        <w:t>y</w:t>
      </w:r>
      <w:r w:rsidRPr="00616175">
        <w:rPr>
          <w:rFonts w:asciiTheme="minorHAnsi" w:hAnsiTheme="minorHAnsi" w:cstheme="minorHAnsi"/>
        </w:rPr>
        <w:t xml:space="preserve"> rovněž na kontrolním vzorku 30 projektů. Kontrolní vzorek tvořilo pět náhodně vybraných projektů (s přihlédnutím k výši příspěvku) za každý program záchrany a obnovy kulturních p</w:t>
      </w:r>
      <w:r w:rsidRPr="00C35795">
        <w:t>amátek.</w:t>
      </w:r>
      <w:r w:rsidRPr="00C35795">
        <w:rPr>
          <w:color w:val="auto"/>
          <w:lang w:eastAsia="cs-CZ"/>
        </w:rPr>
        <w:t xml:space="preserve"> </w:t>
      </w:r>
    </w:p>
    <w:p w14:paraId="664FE5EF" w14:textId="77777777" w:rsidR="002D5D1F" w:rsidRPr="00C35795" w:rsidRDefault="006C06F8" w:rsidP="004C38BF">
      <w:pPr>
        <w:spacing w:before="360" w:after="120"/>
        <w:ind w:left="567" w:hanging="567"/>
        <w:rPr>
          <w:sz w:val="20"/>
          <w:szCs w:val="20"/>
        </w:rPr>
      </w:pPr>
      <w:r w:rsidRPr="00C35795">
        <w:rPr>
          <w:b/>
          <w:sz w:val="20"/>
          <w:szCs w:val="20"/>
        </w:rPr>
        <w:t>Pozn.:</w:t>
      </w:r>
      <w:r w:rsidRPr="00C35795">
        <w:rPr>
          <w:sz w:val="20"/>
          <w:szCs w:val="20"/>
        </w:rPr>
        <w:t xml:space="preserve"> </w:t>
      </w:r>
      <w:r w:rsidRPr="00C35795">
        <w:rPr>
          <w:sz w:val="20"/>
          <w:szCs w:val="20"/>
        </w:rPr>
        <w:tab/>
        <w:t>Právní předpisy uvedené v tomto kontrolním závěru jsou aplikovány ve znění účinném pro kontrolované období.</w:t>
      </w:r>
    </w:p>
    <w:p w14:paraId="2234E15C" w14:textId="77777777" w:rsidR="00757C61" w:rsidRDefault="006C06F8" w:rsidP="00314CE8">
      <w:pPr>
        <w:keepNext/>
        <w:spacing w:before="600" w:after="240"/>
        <w:ind w:left="357"/>
        <w:jc w:val="center"/>
        <w:outlineLvl w:val="0"/>
        <w:rPr>
          <w:b/>
          <w:sz w:val="28"/>
        </w:rPr>
      </w:pPr>
      <w:r w:rsidRPr="000141D2">
        <w:rPr>
          <w:b/>
          <w:sz w:val="28"/>
        </w:rPr>
        <w:t>IV. Podrobné skutečnosti zjištěné kontrolou</w:t>
      </w:r>
    </w:p>
    <w:p w14:paraId="61B65099" w14:textId="77777777" w:rsidR="00ED3E7A" w:rsidRDefault="006C06F8" w:rsidP="00314CE8">
      <w:pPr>
        <w:keepNext/>
        <w:spacing w:before="0" w:after="120"/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="006C4885">
        <w:rPr>
          <w:rFonts w:cstheme="minorHAnsi"/>
          <w:b/>
        </w:rPr>
        <w:t>MK nestanovilo priority ani očekávané přínosy a dopady poskytování příspěvku</w:t>
      </w:r>
    </w:p>
    <w:p w14:paraId="2A3EF70B" w14:textId="598006C7" w:rsidR="008344E1" w:rsidRDefault="006B4C78" w:rsidP="008344E1">
      <w:pPr>
        <w:spacing w:before="0" w:after="120"/>
      </w:pPr>
      <w:r w:rsidRPr="006B4C78">
        <w:rPr>
          <w:rFonts w:cstheme="minorHAnsi"/>
        </w:rPr>
        <w:t>V roce 2022 schválilo MK příspěvek 49,4</w:t>
      </w:r>
      <w:r>
        <w:rPr>
          <w:rFonts w:cstheme="minorHAnsi"/>
        </w:rPr>
        <w:t> </w:t>
      </w:r>
      <w:r w:rsidRPr="006B4C78">
        <w:rPr>
          <w:rFonts w:cstheme="minorHAnsi"/>
        </w:rPr>
        <w:t>% obdržených žádostí, ale uspokojilo tím jen 19,9</w:t>
      </w:r>
      <w:r>
        <w:rPr>
          <w:rFonts w:cstheme="minorHAnsi"/>
        </w:rPr>
        <w:t> </w:t>
      </w:r>
      <w:r w:rsidRPr="006B4C78">
        <w:rPr>
          <w:rFonts w:cstheme="minorHAnsi"/>
        </w:rPr>
        <w:t>%</w:t>
      </w:r>
      <w:r>
        <w:rPr>
          <w:rFonts w:cstheme="minorHAnsi"/>
        </w:rPr>
        <w:t xml:space="preserve"> </w:t>
      </w:r>
      <w:r w:rsidR="004C38BF">
        <w:rPr>
          <w:rFonts w:cstheme="minorHAnsi"/>
        </w:rPr>
        <w:t xml:space="preserve">objemu </w:t>
      </w:r>
      <w:r w:rsidRPr="006B4C78">
        <w:rPr>
          <w:rFonts w:cstheme="minorHAnsi"/>
        </w:rPr>
        <w:t>peněžních požadavků ze všech obdržených žádostí.</w:t>
      </w:r>
      <w:r w:rsidR="006C06F8">
        <w:rPr>
          <w:rFonts w:cstheme="minorHAnsi"/>
        </w:rPr>
        <w:t xml:space="preserve"> </w:t>
      </w:r>
      <w:r w:rsidR="006C06F8" w:rsidRPr="00A07B25">
        <w:t xml:space="preserve">Vzhledem k omezeným disponibilním prostředkům na záchranu a obnovu kulturních památek MK </w:t>
      </w:r>
      <w:r>
        <w:t>identifikova</w:t>
      </w:r>
      <w:r w:rsidR="006C06F8" w:rsidRPr="00A07B25">
        <w:t xml:space="preserve">lo </w:t>
      </w:r>
      <w:r w:rsidR="006C06F8" w:rsidRPr="00A07B25">
        <w:lastRenderedPageBreak/>
        <w:t xml:space="preserve">potřebu vytvořit priority a </w:t>
      </w:r>
      <w:r w:rsidR="002D1387">
        <w:t xml:space="preserve">vyšší měrou </w:t>
      </w:r>
      <w:r w:rsidR="006C06F8" w:rsidRPr="00A07B25">
        <w:t xml:space="preserve">podpořit zásadní projekty. Priority však MK nevytvořilo a prostředky </w:t>
      </w:r>
      <w:bookmarkStart w:id="7" w:name="_Hlk135137728"/>
      <w:r w:rsidR="006C06F8" w:rsidRPr="00A07B25">
        <w:t>rozdělovalo zejména s cílem podpořit co největší počet příjemců</w:t>
      </w:r>
      <w:r w:rsidR="00486A81">
        <w:t>. Požadované příspěvky tak musely být kráceny</w:t>
      </w:r>
      <w:r w:rsidR="002D1387">
        <w:t xml:space="preserve">. Negativním důsledkem bylo prodlužování doby oprav kulturních památek. </w:t>
      </w:r>
      <w:bookmarkEnd w:id="7"/>
    </w:p>
    <w:p w14:paraId="4C982555" w14:textId="77777777" w:rsidR="008344E1" w:rsidRDefault="006C06F8" w:rsidP="008344E1">
      <w:pPr>
        <w:spacing w:before="0" w:after="120"/>
      </w:pPr>
      <w:r>
        <w:t>I</w:t>
      </w:r>
      <w:r w:rsidRPr="00D129FD">
        <w:t xml:space="preserve">nformace o všech kulturních památkách </w:t>
      </w:r>
      <w:r>
        <w:t xml:space="preserve">obsahuje </w:t>
      </w:r>
      <w:r w:rsidRPr="00D129FD">
        <w:t>Památkový katalog. Tyto informace však MK využívá zejména pro ověření údajů a náležitostí jednotlivých žádostí o příspěvek. Ke stanovení priorit, nastavení, monitorování a vyhodnocování jednotlivých programů MK tyto informace nevyužívá.</w:t>
      </w:r>
    </w:p>
    <w:p w14:paraId="03DCFA89" w14:textId="5D6884F7" w:rsidR="00ED3E7A" w:rsidRPr="00A07B25" w:rsidRDefault="006C06F8" w:rsidP="00ED3E7A">
      <w:pPr>
        <w:spacing w:before="0" w:after="120"/>
      </w:pPr>
      <w:r w:rsidRPr="00A07B25">
        <w:t>Programy, které byly schváleny usnesením</w:t>
      </w:r>
      <w:r w:rsidR="00142754">
        <w:t>i</w:t>
      </w:r>
      <w:r w:rsidRPr="00A07B25">
        <w:t xml:space="preserve"> vlády (PZAD, Městský program a Movitý program), měly v těchto usneseních stanoveny cíle. V případě Programu ORP stanovilo MK cíl programu v příslušných </w:t>
      </w:r>
      <w:r w:rsidR="00095B43">
        <w:t>z</w:t>
      </w:r>
      <w:r w:rsidRPr="00A07B25">
        <w:t>ásadách</w:t>
      </w:r>
      <w:r w:rsidR="00FA15E5">
        <w:rPr>
          <w:rStyle w:val="Znakapoznpodarou"/>
        </w:rPr>
        <w:footnoteReference w:id="6"/>
      </w:r>
      <w:r w:rsidRPr="00A07B25">
        <w:t xml:space="preserve">. U Havarijního a Vesnického programu </w:t>
      </w:r>
      <w:r w:rsidR="00142754">
        <w:t xml:space="preserve">MK nestanovilo </w:t>
      </w:r>
      <w:r w:rsidRPr="00A07B25">
        <w:t>žádné cíle.</w:t>
      </w:r>
    </w:p>
    <w:p w14:paraId="4F840647" w14:textId="77777777" w:rsidR="00797E44" w:rsidRDefault="006C06F8" w:rsidP="00ED3E7A">
      <w:pPr>
        <w:spacing w:before="0" w:after="120"/>
      </w:pPr>
      <w:r w:rsidRPr="00A07B25">
        <w:t xml:space="preserve">Vyhodnocení </w:t>
      </w:r>
      <w:r w:rsidR="009821A6">
        <w:t>všech šesti</w:t>
      </w:r>
      <w:r w:rsidRPr="00A07B25">
        <w:t xml:space="preserve"> programů byla pouze formální</w:t>
      </w:r>
      <w:r w:rsidR="007C3AFD">
        <w:t xml:space="preserve">, </w:t>
      </w:r>
      <w:r w:rsidRPr="00A07B25">
        <w:t>MK uvedlo zejména základní statistická data o udělené podpoře. Vyhodnocení však neměla vazbu na cíle stanovené v</w:t>
      </w:r>
      <w:r w:rsidR="00314CE8">
        <w:t> </w:t>
      </w:r>
      <w:r w:rsidRPr="00A07B25">
        <w:t xml:space="preserve">jednotlivých programech. </w:t>
      </w:r>
      <w:r w:rsidR="007C3AFD">
        <w:t>Tyto cíle byly převážně velmi obecné</w:t>
      </w:r>
      <w:r>
        <w:t xml:space="preserve"> a</w:t>
      </w:r>
      <w:r w:rsidR="007C3AFD">
        <w:t xml:space="preserve"> </w:t>
      </w:r>
      <w:r w:rsidRPr="00A07B25">
        <w:t xml:space="preserve">MK </w:t>
      </w:r>
      <w:r w:rsidR="007C3AFD">
        <w:t>k nim</w:t>
      </w:r>
      <w:r w:rsidRPr="00A07B25">
        <w:t xml:space="preserve"> nestanovilo měřitelné ukazatele</w:t>
      </w:r>
      <w:r>
        <w:t>.</w:t>
      </w:r>
      <w:r w:rsidRPr="00A07B25">
        <w:t xml:space="preserve"> </w:t>
      </w:r>
      <w:r>
        <w:t>V</w:t>
      </w:r>
      <w:r w:rsidRPr="00A07B25">
        <w:t xml:space="preserve"> realizovaných hodnoceních</w:t>
      </w:r>
      <w:r>
        <w:t xml:space="preserve"> MK nebylo schopno vyhodnotit míru plnění stanovených cílů ani </w:t>
      </w:r>
      <w:r w:rsidRPr="00A07B25">
        <w:t>reálné přínosy a dopady jednotlivých programů</w:t>
      </w:r>
      <w:r>
        <w:t>. V konečném důsledku tak MK nevyhodnotilo</w:t>
      </w:r>
      <w:r w:rsidR="002D1387">
        <w:t xml:space="preserve"> účelnost a</w:t>
      </w:r>
      <w:r>
        <w:t xml:space="preserve"> efektivnost vynakládaných prostředků na záchranu a obnovu kulturních památek.</w:t>
      </w:r>
    </w:p>
    <w:tbl>
      <w:tblPr>
        <w:tblStyle w:val="Mkatabulky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60"/>
      </w:tblGrid>
      <w:tr w:rsidR="00210D30" w14:paraId="066408F6" w14:textId="77777777" w:rsidTr="00D55DFC">
        <w:tc>
          <w:tcPr>
            <w:tcW w:w="9060" w:type="dxa"/>
            <w:shd w:val="clear" w:color="auto" w:fill="E5F1FF"/>
          </w:tcPr>
          <w:p w14:paraId="16F1A797" w14:textId="77777777" w:rsidR="00C0327F" w:rsidRPr="00D55DFC" w:rsidRDefault="006C06F8" w:rsidP="00121DB7">
            <w:pPr>
              <w:keepNext/>
              <w:spacing w:before="0" w:after="120"/>
              <w:rPr>
                <w:rFonts w:cstheme="minorHAnsi"/>
                <w:b/>
                <w:color w:val="auto"/>
                <w:highlight w:val="yellow"/>
              </w:rPr>
            </w:pPr>
            <w:r w:rsidRPr="00D55DFC">
              <w:rPr>
                <w:rFonts w:cstheme="minorHAnsi"/>
                <w:b/>
                <w:color w:val="auto"/>
              </w:rPr>
              <w:t>Příklad</w:t>
            </w:r>
            <w:r w:rsidR="00D55DFC" w:rsidRPr="00D55DFC">
              <w:rPr>
                <w:rFonts w:cstheme="minorHAnsi"/>
                <w:b/>
                <w:color w:val="auto"/>
              </w:rPr>
              <w:t xml:space="preserve"> č. 1</w:t>
            </w:r>
          </w:p>
          <w:p w14:paraId="4FB6FE82" w14:textId="77777777" w:rsidR="00C0327F" w:rsidRDefault="006C06F8" w:rsidP="00314CE8">
            <w:pPr>
              <w:spacing w:before="0"/>
            </w:pPr>
            <w:r>
              <w:t>PZAD měl usnesením vlády stanoveny následující cíle:</w:t>
            </w:r>
          </w:p>
          <w:p w14:paraId="3A4E92F9" w14:textId="77777777" w:rsidR="00C0327F" w:rsidRDefault="006C06F8" w:rsidP="00314CE8">
            <w:pPr>
              <w:pStyle w:val="Odstavecseseznamem"/>
              <w:numPr>
                <w:ilvl w:val="0"/>
                <w:numId w:val="26"/>
              </w:numPr>
              <w:spacing w:before="0"/>
              <w:ind w:left="312" w:hanging="284"/>
              <w:contextualSpacing w:val="0"/>
            </w:pPr>
            <w:r>
              <w:t>záchrana ohrožených nemovitých kulturních památek efektivní a rychlou obnovou,</w:t>
            </w:r>
          </w:p>
          <w:p w14:paraId="73693AD0" w14:textId="77777777" w:rsidR="00C0327F" w:rsidRDefault="006C06F8" w:rsidP="00314CE8">
            <w:pPr>
              <w:pStyle w:val="Odstavecseseznamem"/>
              <w:numPr>
                <w:ilvl w:val="0"/>
                <w:numId w:val="26"/>
              </w:numPr>
              <w:ind w:left="311" w:hanging="284"/>
            </w:pPr>
            <w:r>
              <w:t>využití těchto památek ke zvýšení celkové kvality životního prostředí a pro kulturní, společenské, veřejně prospěšné a ekonomické účely,</w:t>
            </w:r>
          </w:p>
          <w:p w14:paraId="27022E08" w14:textId="77777777" w:rsidR="00C0327F" w:rsidRDefault="006C06F8" w:rsidP="00314CE8">
            <w:pPr>
              <w:pStyle w:val="Odstavecseseznamem"/>
              <w:numPr>
                <w:ilvl w:val="0"/>
                <w:numId w:val="26"/>
              </w:numPr>
              <w:ind w:left="311" w:hanging="284"/>
            </w:pPr>
            <w:r>
              <w:t>získání všech zdrojů přicházejících v úvahu a snižování potřeby příspěvku na obnovu kulturních památek ze státního rozpočtu,</w:t>
            </w:r>
          </w:p>
          <w:p w14:paraId="19ACB51C" w14:textId="77777777" w:rsidR="00C0327F" w:rsidRDefault="006C06F8" w:rsidP="00314CE8">
            <w:pPr>
              <w:pStyle w:val="Odstavecseseznamem"/>
              <w:numPr>
                <w:ilvl w:val="0"/>
                <w:numId w:val="26"/>
              </w:numPr>
              <w:spacing w:before="0" w:after="120"/>
              <w:ind w:left="311" w:hanging="284"/>
            </w:pPr>
            <w:r>
              <w:t>zvýšení efektivnosti správy a provozu kulturních památek.</w:t>
            </w:r>
          </w:p>
          <w:p w14:paraId="11ACC299" w14:textId="77777777" w:rsidR="00C0327F" w:rsidRDefault="006C06F8" w:rsidP="00314CE8">
            <w:pPr>
              <w:spacing w:before="0"/>
              <w:rPr>
                <w:bCs/>
                <w:iCs/>
              </w:rPr>
            </w:pPr>
            <w:r>
              <w:rPr>
                <w:bCs/>
                <w:iCs/>
              </w:rPr>
              <w:t xml:space="preserve">Ve vyhodnocení PZAD za rok 2022 MK uvedlo </w:t>
            </w:r>
            <w:r w:rsidR="00452116">
              <w:rPr>
                <w:bCs/>
                <w:iCs/>
              </w:rPr>
              <w:t xml:space="preserve">pouze </w:t>
            </w:r>
            <w:r>
              <w:rPr>
                <w:bCs/>
                <w:iCs/>
              </w:rPr>
              <w:t>následující údaje:</w:t>
            </w:r>
          </w:p>
          <w:p w14:paraId="2BB22FBD" w14:textId="3D029E3A" w:rsidR="00C0327F" w:rsidRDefault="00095B43" w:rsidP="00314CE8">
            <w:pPr>
              <w:pStyle w:val="Odstavecseseznamem"/>
              <w:numPr>
                <w:ilvl w:val="0"/>
                <w:numId w:val="27"/>
              </w:numPr>
              <w:spacing w:before="0" w:after="120"/>
              <w:ind w:left="311" w:hanging="311"/>
              <w:rPr>
                <w:bCs/>
                <w:iCs/>
              </w:rPr>
            </w:pPr>
            <w:r>
              <w:rPr>
                <w:bCs/>
                <w:iCs/>
              </w:rPr>
              <w:t>c</w:t>
            </w:r>
            <w:r w:rsidR="006C06F8" w:rsidRPr="00C0327F">
              <w:rPr>
                <w:bCs/>
                <w:iCs/>
              </w:rPr>
              <w:t>elková alokace příspěvků do jednotlivých krajů</w:t>
            </w:r>
            <w:r>
              <w:rPr>
                <w:bCs/>
                <w:iCs/>
              </w:rPr>
              <w:t>,</w:t>
            </w:r>
          </w:p>
          <w:p w14:paraId="6DDE3C6D" w14:textId="287CE4D9" w:rsidR="00C0327F" w:rsidRPr="00C0327F" w:rsidRDefault="00095B43" w:rsidP="00314CE8">
            <w:pPr>
              <w:pStyle w:val="Odstavecseseznamem"/>
              <w:numPr>
                <w:ilvl w:val="0"/>
                <w:numId w:val="27"/>
              </w:numPr>
              <w:spacing w:before="0" w:after="120"/>
              <w:ind w:left="311" w:hanging="311"/>
              <w:rPr>
                <w:bCs/>
                <w:iCs/>
              </w:rPr>
            </w:pPr>
            <w:r>
              <w:t>p</w:t>
            </w:r>
            <w:r w:rsidR="006C06F8">
              <w:t>říjemci příspěvku dle typu žadatele</w:t>
            </w:r>
            <w:r>
              <w:t>,</w:t>
            </w:r>
          </w:p>
          <w:p w14:paraId="01C1087A" w14:textId="5A642123" w:rsidR="00C0327F" w:rsidRPr="00C0327F" w:rsidRDefault="00095B43" w:rsidP="00314CE8">
            <w:pPr>
              <w:pStyle w:val="Odstavecseseznamem"/>
              <w:numPr>
                <w:ilvl w:val="0"/>
                <w:numId w:val="27"/>
              </w:numPr>
              <w:spacing w:before="0" w:after="120"/>
              <w:ind w:left="311" w:hanging="311"/>
              <w:rPr>
                <w:bCs/>
                <w:iCs/>
              </w:rPr>
            </w:pPr>
            <w:r>
              <w:t>a</w:t>
            </w:r>
            <w:r w:rsidR="006C06F8">
              <w:t>lokace dle typu vlastníka v jednotlivých krajích</w:t>
            </w:r>
            <w:r>
              <w:t>,</w:t>
            </w:r>
          </w:p>
          <w:p w14:paraId="656EF2EE" w14:textId="4E58206B" w:rsidR="00C0327F" w:rsidRPr="00C0327F" w:rsidRDefault="00095B43" w:rsidP="00314CE8">
            <w:pPr>
              <w:pStyle w:val="Odstavecseseznamem"/>
              <w:numPr>
                <w:ilvl w:val="0"/>
                <w:numId w:val="27"/>
              </w:numPr>
              <w:spacing w:before="0" w:after="120"/>
              <w:ind w:left="311" w:hanging="311"/>
              <w:rPr>
                <w:bCs/>
                <w:iCs/>
              </w:rPr>
            </w:pPr>
            <w:r>
              <w:t>c</w:t>
            </w:r>
            <w:r w:rsidR="006C06F8">
              <w:t>elková alokace příspěvků podle typu památky a kraje</w:t>
            </w:r>
            <w:r>
              <w:t>,</w:t>
            </w:r>
          </w:p>
          <w:p w14:paraId="6C6A80A8" w14:textId="25E08782" w:rsidR="00C0327F" w:rsidRDefault="00095B43" w:rsidP="00314CE8">
            <w:pPr>
              <w:pStyle w:val="Odstavecseseznamem"/>
              <w:numPr>
                <w:ilvl w:val="0"/>
                <w:numId w:val="27"/>
              </w:numPr>
              <w:spacing w:before="0" w:after="120"/>
              <w:ind w:left="311" w:hanging="311"/>
              <w:rPr>
                <w:bCs/>
                <w:iCs/>
              </w:rPr>
            </w:pPr>
            <w:r>
              <w:rPr>
                <w:bCs/>
                <w:iCs/>
              </w:rPr>
              <w:t>s</w:t>
            </w:r>
            <w:r w:rsidR="006C06F8">
              <w:rPr>
                <w:bCs/>
                <w:iCs/>
              </w:rPr>
              <w:t>eznam ukončených akcí obnovy</w:t>
            </w:r>
            <w:r>
              <w:rPr>
                <w:bCs/>
                <w:iCs/>
              </w:rPr>
              <w:t>,</w:t>
            </w:r>
          </w:p>
          <w:p w14:paraId="4CD6A8F6" w14:textId="31BB4983" w:rsidR="00C0327F" w:rsidRDefault="00095B43" w:rsidP="00314CE8">
            <w:pPr>
              <w:pStyle w:val="Odstavecseseznamem"/>
              <w:numPr>
                <w:ilvl w:val="0"/>
                <w:numId w:val="27"/>
              </w:numPr>
              <w:spacing w:before="0" w:after="120"/>
              <w:ind w:left="311" w:hanging="311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  <w:r w:rsidR="006C06F8">
              <w:rPr>
                <w:bCs/>
                <w:iCs/>
              </w:rPr>
              <w:t>očty a objemy podaných/uspokojených žádostí a příspěvků</w:t>
            </w:r>
            <w:r>
              <w:rPr>
                <w:bCs/>
                <w:iCs/>
              </w:rPr>
              <w:t>,</w:t>
            </w:r>
          </w:p>
          <w:p w14:paraId="621CCFFD" w14:textId="790004C6" w:rsidR="00452116" w:rsidRPr="00C0327F" w:rsidRDefault="00095B43" w:rsidP="00314CE8">
            <w:pPr>
              <w:pStyle w:val="Odstavecseseznamem"/>
              <w:numPr>
                <w:ilvl w:val="0"/>
                <w:numId w:val="27"/>
              </w:numPr>
              <w:spacing w:before="0" w:after="120"/>
              <w:ind w:left="311" w:hanging="311"/>
              <w:contextualSpacing w:val="0"/>
              <w:rPr>
                <w:bCs/>
                <w:iCs/>
              </w:rPr>
            </w:pPr>
            <w:r>
              <w:rPr>
                <w:bCs/>
                <w:iCs/>
              </w:rPr>
              <w:t>f</w:t>
            </w:r>
            <w:r w:rsidR="006C06F8">
              <w:rPr>
                <w:bCs/>
                <w:iCs/>
              </w:rPr>
              <w:t>otografie z jedné podpořené akce obnovy</w:t>
            </w:r>
            <w:r>
              <w:rPr>
                <w:bCs/>
                <w:iCs/>
              </w:rPr>
              <w:t>.</w:t>
            </w:r>
          </w:p>
        </w:tc>
      </w:tr>
    </w:tbl>
    <w:p w14:paraId="46B875FF" w14:textId="77777777" w:rsidR="00ED3E7A" w:rsidRDefault="006C06F8" w:rsidP="007D0EEF">
      <w:pPr>
        <w:spacing w:after="120"/>
      </w:pPr>
      <w:r w:rsidRPr="00A07B25">
        <w:t>MK nestanovilo výchozí ani cílový stav, kterého by chtělo výdejem peněžních prostředků v</w:t>
      </w:r>
      <w:r w:rsidR="00314CE8">
        <w:t> </w:t>
      </w:r>
      <w:r w:rsidRPr="00A07B25">
        <w:t>oblasti záchrany a obnovy kulturních památek dosáhnout. Konkrétní přínosy a dopady vynakládaných prostředků tak i vzhledem k obecnému nastavení MK nevyhodnotilo.</w:t>
      </w:r>
      <w:r w:rsidR="00E73E12">
        <w:t xml:space="preserve"> </w:t>
      </w:r>
      <w:r w:rsidR="009821A6" w:rsidRPr="009821A6">
        <w:t>MK soustavně nesledovalo a nevyhodnocovalo účelnost, hospodárnost a efektivnost vynakládání výdajů ve své kapitole ve smyslu ustanovení § 39 odst. 3 zákona č. 218/2000 Sb</w:t>
      </w:r>
      <w:r w:rsidR="00BF078D">
        <w:t>.</w:t>
      </w:r>
    </w:p>
    <w:p w14:paraId="2D938D0E" w14:textId="77777777" w:rsidR="006C7757" w:rsidRPr="00B5415D" w:rsidRDefault="006C06F8" w:rsidP="00AB1431">
      <w:pPr>
        <w:keepNext/>
        <w:spacing w:before="240" w:after="120"/>
        <w:rPr>
          <w:b/>
        </w:rPr>
      </w:pPr>
      <w:r>
        <w:rPr>
          <w:b/>
        </w:rPr>
        <w:lastRenderedPageBreak/>
        <w:t xml:space="preserve">2. </w:t>
      </w:r>
      <w:r w:rsidR="006C4885">
        <w:rPr>
          <w:b/>
        </w:rPr>
        <w:t xml:space="preserve">MK </w:t>
      </w:r>
      <w:r w:rsidR="006C4885" w:rsidRPr="006C7757">
        <w:rPr>
          <w:b/>
        </w:rPr>
        <w:t>nezpracovalo</w:t>
      </w:r>
      <w:r w:rsidR="00E63F0F">
        <w:rPr>
          <w:b/>
        </w:rPr>
        <w:t xml:space="preserve"> </w:t>
      </w:r>
      <w:r w:rsidR="006C4885" w:rsidRPr="006C7757">
        <w:rPr>
          <w:b/>
        </w:rPr>
        <w:t>koncepce rozvoje památkové péče</w:t>
      </w:r>
      <w:r w:rsidR="006C4885">
        <w:rPr>
          <w:b/>
        </w:rPr>
        <w:t xml:space="preserve"> od roku 2021</w:t>
      </w:r>
    </w:p>
    <w:p w14:paraId="10972EA0" w14:textId="4B2C16E6" w:rsidR="00FD2B54" w:rsidRDefault="006C06F8" w:rsidP="00314CE8">
      <w:r>
        <w:t xml:space="preserve">Hlavním strategickým dokumentem </w:t>
      </w:r>
      <w:r>
        <w:rPr>
          <w:rFonts w:cs="Times New Roman"/>
        </w:rPr>
        <w:t xml:space="preserve">pro oblast záchrany a obnovy kulturních památek je </w:t>
      </w:r>
      <w:r w:rsidRPr="00A93BDA">
        <w:rPr>
          <w:rFonts w:cs="Times New Roman"/>
          <w:i/>
        </w:rPr>
        <w:t>Stá</w:t>
      </w:r>
      <w:r w:rsidRPr="00A93BDA">
        <w:rPr>
          <w:i/>
        </w:rPr>
        <w:t>tní kulturní politika</w:t>
      </w:r>
      <w:r>
        <w:t xml:space="preserve">. Jedná se o obecný dokument, který měl být následně realizován </w:t>
      </w:r>
      <w:r w:rsidRPr="00D664CE">
        <w:t>zejména pomocí souvisejících koncepcí a strategií. Z tohoto</w:t>
      </w:r>
      <w:r w:rsidRPr="005E23FD">
        <w:t xml:space="preserve"> důvodu</w:t>
      </w:r>
      <w:r>
        <w:t xml:space="preserve"> mělo MK zpracovat </w:t>
      </w:r>
      <w:r w:rsidR="0045778C">
        <w:t xml:space="preserve">plán </w:t>
      </w:r>
      <w:r w:rsidRPr="005E23FD">
        <w:t>její implementa</w:t>
      </w:r>
      <w:r w:rsidR="0045778C">
        <w:t>ce</w:t>
      </w:r>
      <w:r>
        <w:t>, ve kterém</w:t>
      </w:r>
      <w:r w:rsidRPr="005E23FD">
        <w:t xml:space="preserve"> </w:t>
      </w:r>
      <w:r>
        <w:t xml:space="preserve">stanoví </w:t>
      </w:r>
      <w:r w:rsidRPr="005E23FD">
        <w:t>k jednotlivým specifickým cílům návazná opatření</w:t>
      </w:r>
      <w:r>
        <w:t>, d</w:t>
      </w:r>
      <w:r w:rsidRPr="005E23FD">
        <w:t>ílčí činnosti a úkoly</w:t>
      </w:r>
      <w:r>
        <w:t>, a to včetně</w:t>
      </w:r>
      <w:r w:rsidRPr="005E23FD">
        <w:t xml:space="preserve"> vyčíslení </w:t>
      </w:r>
      <w:r>
        <w:t xml:space="preserve">souvisejících </w:t>
      </w:r>
      <w:r w:rsidRPr="005E23FD">
        <w:t>nákladů.</w:t>
      </w:r>
      <w:r>
        <w:t xml:space="preserve"> Ze </w:t>
      </w:r>
      <w:r w:rsidRPr="00A93BDA">
        <w:rPr>
          <w:i/>
        </w:rPr>
        <w:t>Státní kulturní politiky</w:t>
      </w:r>
      <w:r>
        <w:t xml:space="preserve"> jakožto nadřazené strategie měla vycházet také </w:t>
      </w:r>
      <w:r w:rsidR="00F35547">
        <w:t>k</w:t>
      </w:r>
      <w:r>
        <w:t xml:space="preserve">oncepce památkové péče, která by cíle v oblasti záchrany a obnovy kulturních památek rozvíjela. Podle těchto strategických dokumentů mělo MK řídit záchranu a obnovu kulturních památek od roku 2021. </w:t>
      </w:r>
      <w:r w:rsidRPr="00A93BDA">
        <w:rPr>
          <w:i/>
        </w:rPr>
        <w:t>Státní kulturní politik</w:t>
      </w:r>
      <w:r w:rsidR="00F25AC4" w:rsidRPr="00A93BDA">
        <w:rPr>
          <w:i/>
        </w:rPr>
        <w:t>u</w:t>
      </w:r>
      <w:r>
        <w:t xml:space="preserve"> </w:t>
      </w:r>
      <w:r w:rsidR="00F25AC4">
        <w:t>vzala vláda ČR</w:t>
      </w:r>
      <w:r>
        <w:t xml:space="preserve"> </w:t>
      </w:r>
      <w:r w:rsidR="00F25AC4">
        <w:t xml:space="preserve">na vědomí a uložila ministru kultury její realizaci </w:t>
      </w:r>
      <w:r>
        <w:t xml:space="preserve">až usnesením </w:t>
      </w:r>
      <w:r w:rsidR="00DD0B6A">
        <w:t xml:space="preserve">ze dne 27. září 2021 </w:t>
      </w:r>
      <w:r>
        <w:t>č.</w:t>
      </w:r>
      <w:r w:rsidR="00CE0A41">
        <w:t> </w:t>
      </w:r>
      <w:r>
        <w:t xml:space="preserve">843. </w:t>
      </w:r>
      <w:r w:rsidR="00CE0A41">
        <w:t>Plán její implementace</w:t>
      </w:r>
      <w:r>
        <w:t xml:space="preserve"> a </w:t>
      </w:r>
      <w:r w:rsidR="00F35547">
        <w:t>k</w:t>
      </w:r>
      <w:r>
        <w:t xml:space="preserve">oncepci památkové péče do doby ukončení kontroly MK nezpracovalo. </w:t>
      </w:r>
    </w:p>
    <w:p w14:paraId="12E4701E" w14:textId="7EB1B5E7" w:rsidR="00C45971" w:rsidRPr="00C45971" w:rsidRDefault="00B40F8C" w:rsidP="00FD2B54">
      <w:pPr>
        <w:spacing w:after="120"/>
        <w:rPr>
          <w:rFonts w:cs="Times New Roman"/>
        </w:rPr>
      </w:pPr>
      <w:r>
        <w:t xml:space="preserve">MK má na období 2021 až 2025 schválenou </w:t>
      </w:r>
      <w:r w:rsidRPr="00A93BDA">
        <w:rPr>
          <w:i/>
        </w:rPr>
        <w:t>Státní kulturní politiku</w:t>
      </w:r>
      <w:r>
        <w:t xml:space="preserve"> (se zpožděním </w:t>
      </w:r>
      <w:r w:rsidR="001C791C">
        <w:t>devíti</w:t>
      </w:r>
      <w:r>
        <w:t xml:space="preserve"> měsíců), avšak MK stále nemá </w:t>
      </w:r>
      <w:r w:rsidR="00CE0A41">
        <w:t>plán implementace</w:t>
      </w:r>
      <w:r>
        <w:t xml:space="preserve"> a navazující </w:t>
      </w:r>
      <w:r w:rsidR="001C791C">
        <w:t>k</w:t>
      </w:r>
      <w:r>
        <w:t>oncepci památkové péče, i</w:t>
      </w:r>
      <w:r w:rsidR="001C791C">
        <w:t> </w:t>
      </w:r>
      <w:r>
        <w:t xml:space="preserve">když by tyto dokumenty mělo mít </w:t>
      </w:r>
      <w:r w:rsidR="00A5404F">
        <w:t xml:space="preserve">již </w:t>
      </w:r>
      <w:r>
        <w:t>2,5 roku.</w:t>
      </w:r>
      <w:r w:rsidR="00FD2B54">
        <w:t xml:space="preserve"> </w:t>
      </w:r>
      <w:r w:rsidR="00FD2B54" w:rsidRPr="0071192C">
        <w:t>MK tak nepostupovalo v souladu s § 25 odst.</w:t>
      </w:r>
      <w:r w:rsidR="001C791C">
        <w:t> </w:t>
      </w:r>
      <w:r w:rsidR="00FD2B54" w:rsidRPr="0071192C">
        <w:t>3 ve spojení s</w:t>
      </w:r>
      <w:r w:rsidR="00314CE8">
        <w:t> </w:t>
      </w:r>
      <w:r w:rsidR="00FD2B54" w:rsidRPr="0071192C">
        <w:t>§</w:t>
      </w:r>
      <w:r w:rsidR="00AB1431">
        <w:t> </w:t>
      </w:r>
      <w:r w:rsidR="00FD2B54" w:rsidRPr="0071192C">
        <w:t>26 odst. 2, písm. a) zákona o státní památkové péči tím, že nezpracovalo konkrétní koncepce rozvoje památkové péče</w:t>
      </w:r>
      <w:r w:rsidR="001C791C">
        <w:t>,</w:t>
      </w:r>
      <w:r w:rsidR="00FD2B54" w:rsidRPr="0071192C">
        <w:t xml:space="preserve"> a náležitě tak nedbalo, aby státní památkovou péči zabezpečilo plánovitě, komplexně a v souladu s dlouhodobou koncepcí jejího rozvoje</w:t>
      </w:r>
      <w:r w:rsidR="00FD2B54" w:rsidRPr="00B5415D">
        <w:rPr>
          <w:rFonts w:cs="Times New Roman"/>
        </w:rPr>
        <w:t>.</w:t>
      </w:r>
    </w:p>
    <w:p w14:paraId="60ADE705" w14:textId="77777777" w:rsidR="00D85516" w:rsidRDefault="006C06F8" w:rsidP="00AB1431">
      <w:pPr>
        <w:keepNext/>
        <w:spacing w:before="240" w:after="120"/>
        <w:rPr>
          <w:b/>
        </w:rPr>
      </w:pPr>
      <w:r>
        <w:rPr>
          <w:b/>
        </w:rPr>
        <w:t xml:space="preserve">3. MK neplnilo </w:t>
      </w:r>
      <w:r w:rsidR="00780492">
        <w:rPr>
          <w:b/>
        </w:rPr>
        <w:t xml:space="preserve">stanovená </w:t>
      </w:r>
      <w:r>
        <w:rPr>
          <w:b/>
        </w:rPr>
        <w:t>opatření a úkoly</w:t>
      </w:r>
    </w:p>
    <w:p w14:paraId="0A848688" w14:textId="77777777" w:rsidR="002E3935" w:rsidRPr="002E3935" w:rsidRDefault="006C06F8" w:rsidP="0071192C">
      <w:pPr>
        <w:spacing w:before="0" w:after="120"/>
        <w:rPr>
          <w:rFonts w:cs="Times New Roman"/>
        </w:rPr>
      </w:pPr>
      <w:r w:rsidRPr="002E3935">
        <w:rPr>
          <w:rFonts w:cs="Times New Roman"/>
        </w:rPr>
        <w:t>Cíle KPP 2017 stanovilo MK velmi obecně, jedná se spíše o stanovení cílových oblastí. K</w:t>
      </w:r>
      <w:r w:rsidR="009D486F">
        <w:rPr>
          <w:rFonts w:cs="Times New Roman"/>
        </w:rPr>
        <w:t> </w:t>
      </w:r>
      <w:r w:rsidRPr="002E3935">
        <w:rPr>
          <w:rFonts w:cs="Times New Roman"/>
        </w:rPr>
        <w:t xml:space="preserve">jednotlivým cílům MK stanovilo příslušná opatření, která jsou však často </w:t>
      </w:r>
      <w:r w:rsidR="00B40F8C">
        <w:rPr>
          <w:rFonts w:cs="Times New Roman"/>
        </w:rPr>
        <w:t>nekonkrétní</w:t>
      </w:r>
      <w:r w:rsidRPr="002E3935">
        <w:rPr>
          <w:rFonts w:cs="Times New Roman"/>
        </w:rPr>
        <w:t>, např.</w:t>
      </w:r>
      <w:r w:rsidR="00CE0A41">
        <w:rPr>
          <w:rFonts w:cs="Times New Roman"/>
        </w:rPr>
        <w:t xml:space="preserve"> </w:t>
      </w:r>
      <w:r w:rsidRPr="002E3935">
        <w:rPr>
          <w:rFonts w:cs="Times New Roman"/>
        </w:rPr>
        <w:t>pokračování v dřívějších činnostech. MK realizovalo vyhodnocení KPP 2017. Vzhledem k</w:t>
      </w:r>
      <w:r w:rsidR="009D486F">
        <w:rPr>
          <w:rFonts w:cs="Times New Roman"/>
        </w:rPr>
        <w:t> </w:t>
      </w:r>
      <w:r w:rsidRPr="002E3935">
        <w:rPr>
          <w:rFonts w:cs="Times New Roman"/>
        </w:rPr>
        <w:t>obecnému nastavení jednotlivých cílů a souvisejících opatření však nelze určit, zda a do jaké míry MK tyto cíle splnilo.</w:t>
      </w:r>
    </w:p>
    <w:p w14:paraId="1929CF79" w14:textId="029C4B7E" w:rsidR="007C3AFD" w:rsidRDefault="006C06F8" w:rsidP="002E3935">
      <w:pPr>
        <w:spacing w:before="0" w:after="120"/>
        <w:rPr>
          <w:rFonts w:cs="Times New Roman"/>
        </w:rPr>
      </w:pPr>
      <w:r w:rsidRPr="002E3935">
        <w:rPr>
          <w:rFonts w:cs="Times New Roman"/>
        </w:rPr>
        <w:t xml:space="preserve">SKP 2015 vyhodnotilo MK v rámci navazující SKP 2021. Vyhodnocení představuje tabulku s úkoly stanovenými </w:t>
      </w:r>
      <w:r w:rsidR="00CE0A41">
        <w:rPr>
          <w:rFonts w:cs="Times New Roman"/>
        </w:rPr>
        <w:t xml:space="preserve">v </w:t>
      </w:r>
      <w:r w:rsidR="001C791C">
        <w:rPr>
          <w:rFonts w:cs="Times New Roman"/>
        </w:rPr>
        <w:t>p</w:t>
      </w:r>
      <w:r w:rsidR="00CE0A41">
        <w:rPr>
          <w:rFonts w:cs="Times New Roman"/>
        </w:rPr>
        <w:t>lánu implementace SKP 2015</w:t>
      </w:r>
      <w:r w:rsidR="0071192C">
        <w:rPr>
          <w:rFonts w:cs="Times New Roman"/>
        </w:rPr>
        <w:t>, ve které MK uvedlo</w:t>
      </w:r>
      <w:r w:rsidRPr="002E3935">
        <w:rPr>
          <w:rFonts w:cs="Times New Roman"/>
        </w:rPr>
        <w:t>, zda byl daný úkol splněn a související výstupy. Vyhodnocení, zda byly plněním těchto úkolů naplněny i záměry a</w:t>
      </w:r>
      <w:r w:rsidR="00314CE8">
        <w:rPr>
          <w:rFonts w:cs="Times New Roman"/>
        </w:rPr>
        <w:t> </w:t>
      </w:r>
      <w:r w:rsidRPr="002E3935">
        <w:rPr>
          <w:rFonts w:cs="Times New Roman"/>
        </w:rPr>
        <w:t>priority stanovené v SKP 2015</w:t>
      </w:r>
      <w:r w:rsidR="0071192C">
        <w:rPr>
          <w:rFonts w:cs="Times New Roman"/>
        </w:rPr>
        <w:t>,</w:t>
      </w:r>
      <w:r w:rsidRPr="002E3935">
        <w:rPr>
          <w:rFonts w:cs="Times New Roman"/>
        </w:rPr>
        <w:t xml:space="preserve"> MK nerealizovalo.</w:t>
      </w:r>
    </w:p>
    <w:p w14:paraId="7409140B" w14:textId="0BE89FBD" w:rsidR="00D85516" w:rsidRPr="00D85516" w:rsidRDefault="006C06F8" w:rsidP="00314CE8">
      <w:pPr>
        <w:spacing w:before="0"/>
        <w:rPr>
          <w:rFonts w:cs="Times New Roman"/>
        </w:rPr>
      </w:pPr>
      <w:r>
        <w:rPr>
          <w:rFonts w:cs="Times New Roman"/>
        </w:rPr>
        <w:t>O</w:t>
      </w:r>
      <w:r w:rsidRPr="00D85516">
        <w:rPr>
          <w:rFonts w:cs="Times New Roman"/>
        </w:rPr>
        <w:t>patření a úkoly</w:t>
      </w:r>
      <w:r w:rsidR="003E6D4C">
        <w:rPr>
          <w:rFonts w:cs="Times New Roman"/>
        </w:rPr>
        <w:t xml:space="preserve"> stanovené v</w:t>
      </w:r>
      <w:r w:rsidR="00CE0A41">
        <w:rPr>
          <w:rFonts w:cs="Times New Roman"/>
        </w:rPr>
        <w:t> </w:t>
      </w:r>
      <w:r w:rsidR="001C791C">
        <w:rPr>
          <w:rFonts w:cs="Times New Roman"/>
        </w:rPr>
        <w:t>p</w:t>
      </w:r>
      <w:r w:rsidR="00CE0A41">
        <w:rPr>
          <w:rFonts w:cs="Times New Roman"/>
        </w:rPr>
        <w:t>lánu implementace</w:t>
      </w:r>
      <w:r w:rsidR="006C4885">
        <w:rPr>
          <w:rFonts w:cs="Times New Roman"/>
        </w:rPr>
        <w:t xml:space="preserve"> </w:t>
      </w:r>
      <w:r w:rsidR="003E6D4C">
        <w:rPr>
          <w:rFonts w:cs="Times New Roman"/>
        </w:rPr>
        <w:t>SKP 2015</w:t>
      </w:r>
      <w:r w:rsidRPr="00D85516">
        <w:rPr>
          <w:rFonts w:cs="Times New Roman"/>
        </w:rPr>
        <w:t>, které zejména souvisely se záchranou a obnovou kulturních památek, MK neplnilo</w:t>
      </w:r>
      <w:r w:rsidR="002B5329">
        <w:rPr>
          <w:rFonts w:cs="Times New Roman"/>
        </w:rPr>
        <w:t xml:space="preserve">. </w:t>
      </w:r>
      <w:r w:rsidR="006C4885">
        <w:rPr>
          <w:rFonts w:cs="Times New Roman"/>
        </w:rPr>
        <w:t xml:space="preserve">V těchto bodech tak MK neplnilo usnesení vlády ČR ze dne 3. února 2016 č. 81, ve kterém vláda mj. uložila ministru kultury realizovat </w:t>
      </w:r>
      <w:r w:rsidR="001C791C">
        <w:rPr>
          <w:rFonts w:cs="Times New Roman"/>
        </w:rPr>
        <w:t>p</w:t>
      </w:r>
      <w:r w:rsidR="00E63F0F">
        <w:rPr>
          <w:rFonts w:cs="Times New Roman"/>
        </w:rPr>
        <w:t>lán i</w:t>
      </w:r>
      <w:r w:rsidR="006C4885">
        <w:rPr>
          <w:rFonts w:cs="Times New Roman"/>
        </w:rPr>
        <w:t>mplementa</w:t>
      </w:r>
      <w:r w:rsidR="00E63F0F">
        <w:rPr>
          <w:rFonts w:cs="Times New Roman"/>
        </w:rPr>
        <w:t>ce</w:t>
      </w:r>
      <w:r w:rsidR="006C4885">
        <w:rPr>
          <w:rFonts w:cs="Times New Roman"/>
        </w:rPr>
        <w:t xml:space="preserve"> SKP 2015. </w:t>
      </w:r>
      <w:r w:rsidR="002B5329">
        <w:rPr>
          <w:rFonts w:cs="Times New Roman"/>
        </w:rPr>
        <w:t xml:space="preserve">Jedná se zejména o následující opatření a úkoly: </w:t>
      </w:r>
    </w:p>
    <w:p w14:paraId="1B52E7F4" w14:textId="7644BAF9" w:rsidR="00D85516" w:rsidRPr="001C791C" w:rsidRDefault="006C06F8" w:rsidP="00314CE8">
      <w:pPr>
        <w:pStyle w:val="Odstavecseseznamem"/>
        <w:numPr>
          <w:ilvl w:val="0"/>
          <w:numId w:val="22"/>
        </w:numPr>
        <w:spacing w:before="0" w:line="259" w:lineRule="auto"/>
        <w:ind w:left="284" w:hanging="284"/>
        <w:contextualSpacing w:val="0"/>
        <w:rPr>
          <w:rFonts w:asciiTheme="minorHAnsi" w:eastAsiaTheme="minorHAnsi" w:hAnsiTheme="minorHAnsi" w:cstheme="minorBidi"/>
          <w:color w:val="auto"/>
        </w:rPr>
      </w:pPr>
      <w:r>
        <w:rPr>
          <w:rFonts w:cs="Times New Roman"/>
        </w:rPr>
        <w:t xml:space="preserve">MK </w:t>
      </w:r>
      <w:r w:rsidR="005001E8">
        <w:rPr>
          <w:rFonts w:cs="Times New Roman"/>
        </w:rPr>
        <w:t xml:space="preserve">si stanovilo úkol v podobě návrhu </w:t>
      </w:r>
      <w:r w:rsidR="00910CA7">
        <w:rPr>
          <w:rFonts w:cs="Times New Roman"/>
        </w:rPr>
        <w:t xml:space="preserve">nového památkového zákona. Cílem tohoto úkolu bylo </w:t>
      </w:r>
      <w:r w:rsidR="00910CA7" w:rsidRPr="00910CA7">
        <w:rPr>
          <w:rFonts w:cs="Times New Roman"/>
        </w:rPr>
        <w:t xml:space="preserve">schválení </w:t>
      </w:r>
      <w:r w:rsidR="00910CA7">
        <w:rPr>
          <w:rFonts w:cs="Times New Roman"/>
        </w:rPr>
        <w:t>tohoto</w:t>
      </w:r>
      <w:r w:rsidR="00910CA7" w:rsidRPr="00910CA7">
        <w:rPr>
          <w:rFonts w:cs="Times New Roman"/>
        </w:rPr>
        <w:t xml:space="preserve"> zákona Parlamentem</w:t>
      </w:r>
      <w:r w:rsidR="00E63F0F">
        <w:rPr>
          <w:rFonts w:cs="Times New Roman"/>
        </w:rPr>
        <w:t xml:space="preserve"> ČR</w:t>
      </w:r>
      <w:r w:rsidR="00910CA7">
        <w:rPr>
          <w:rFonts w:cs="Times New Roman"/>
        </w:rPr>
        <w:t xml:space="preserve">, </w:t>
      </w:r>
      <w:r w:rsidR="00910CA7" w:rsidRPr="00910CA7">
        <w:rPr>
          <w:rFonts w:cs="Times New Roman"/>
        </w:rPr>
        <w:t>zdůrazn</w:t>
      </w:r>
      <w:r w:rsidR="00910CA7">
        <w:rPr>
          <w:rFonts w:cs="Times New Roman"/>
        </w:rPr>
        <w:t>ění</w:t>
      </w:r>
      <w:r w:rsidR="00910CA7" w:rsidRPr="00910CA7">
        <w:rPr>
          <w:rFonts w:cs="Times New Roman"/>
        </w:rPr>
        <w:t xml:space="preserve"> veřejn</w:t>
      </w:r>
      <w:r w:rsidR="00910CA7">
        <w:rPr>
          <w:rFonts w:cs="Times New Roman"/>
        </w:rPr>
        <w:t>ého</w:t>
      </w:r>
      <w:r w:rsidR="00910CA7" w:rsidRPr="00910CA7">
        <w:rPr>
          <w:rFonts w:cs="Times New Roman"/>
        </w:rPr>
        <w:t xml:space="preserve"> záj</w:t>
      </w:r>
      <w:r w:rsidR="00910CA7">
        <w:rPr>
          <w:rFonts w:cs="Times New Roman"/>
        </w:rPr>
        <w:t>mu</w:t>
      </w:r>
      <w:r w:rsidR="00910CA7" w:rsidRPr="00910CA7">
        <w:rPr>
          <w:rFonts w:cs="Times New Roman"/>
        </w:rPr>
        <w:t xml:space="preserve"> na ochraně památkového fondu</w:t>
      </w:r>
      <w:r w:rsidR="00910CA7">
        <w:rPr>
          <w:rFonts w:cs="Times New Roman"/>
        </w:rPr>
        <w:t xml:space="preserve"> a </w:t>
      </w:r>
      <w:r w:rsidR="00910CA7" w:rsidRPr="00910CA7">
        <w:rPr>
          <w:rFonts w:cs="Times New Roman"/>
        </w:rPr>
        <w:t>vytvoř</w:t>
      </w:r>
      <w:r w:rsidR="00910CA7">
        <w:rPr>
          <w:rFonts w:cs="Times New Roman"/>
        </w:rPr>
        <w:t>ení</w:t>
      </w:r>
      <w:r w:rsidR="00910CA7" w:rsidRPr="00910CA7">
        <w:rPr>
          <w:rFonts w:cs="Times New Roman"/>
        </w:rPr>
        <w:t xml:space="preserve"> podmín</w:t>
      </w:r>
      <w:r w:rsidR="00910CA7">
        <w:rPr>
          <w:rFonts w:cs="Times New Roman"/>
        </w:rPr>
        <w:t>ek</w:t>
      </w:r>
      <w:r w:rsidR="00910CA7" w:rsidRPr="00910CA7">
        <w:rPr>
          <w:rFonts w:cs="Times New Roman"/>
        </w:rPr>
        <w:t xml:space="preserve"> pro péči o tento fond. </w:t>
      </w:r>
      <w:r w:rsidR="00A17CDC">
        <w:t>Zákon o státní památkové péči je platný od roku 1987</w:t>
      </w:r>
      <w:r w:rsidR="002F1368">
        <w:t xml:space="preserve"> a vznikal za podmínek, které se po roce 1989 významně změnily, např. v oblasti soukromého vlastnictví. </w:t>
      </w:r>
      <w:r w:rsidR="002F1368">
        <w:rPr>
          <w:rFonts w:cs="Times New Roman"/>
        </w:rPr>
        <w:t>Nový památkový zákon měl</w:t>
      </w:r>
      <w:r w:rsidRPr="00D85516">
        <w:rPr>
          <w:rFonts w:cs="Times New Roman"/>
        </w:rPr>
        <w:t xml:space="preserve"> mj. zajistit vhodný způsob nakládání s památkovým fondem, posílit právní jistotu v oblasti památkové péče, odstranit zbytečnou administrativní zátěž a zmírnit dopady vznikající z omezování vlastnických práv.</w:t>
      </w:r>
    </w:p>
    <w:p w14:paraId="56993C27" w14:textId="77777777" w:rsidR="00D85516" w:rsidRPr="006B4C78" w:rsidRDefault="006B4C78" w:rsidP="00314CE8">
      <w:pPr>
        <w:spacing w:before="0" w:line="259" w:lineRule="auto"/>
        <w:ind w:left="284"/>
        <w:rPr>
          <w:rFonts w:cs="Times New Roman"/>
        </w:rPr>
      </w:pPr>
      <w:r w:rsidRPr="006B4C78">
        <w:rPr>
          <w:color w:val="auto"/>
          <w:lang w:eastAsia="cs-CZ"/>
        </w:rPr>
        <w:t>Potřebu přijetí nového památkového zákona stanovilo MK již v roce 2008. Tuto potřebu však MK již minimálně 15. rokem pouze přenáší do nových koncepčních dokumentů.</w:t>
      </w:r>
      <w:r w:rsidR="00E73E12">
        <w:rPr>
          <w:color w:val="auto"/>
          <w:lang w:eastAsia="cs-CZ"/>
        </w:rPr>
        <w:t xml:space="preserve"> </w:t>
      </w:r>
      <w:r w:rsidR="00CE0A41">
        <w:rPr>
          <w:color w:val="auto"/>
          <w:lang w:eastAsia="cs-CZ"/>
        </w:rPr>
        <w:t>MK v roce 2015 připravilo návrh zákona, ten ale nebyl Parlamentem ČR schválen.</w:t>
      </w:r>
      <w:r>
        <w:rPr>
          <w:color w:val="auto"/>
          <w:lang w:eastAsia="cs-CZ"/>
        </w:rPr>
        <w:t xml:space="preserve"> Od té doby </w:t>
      </w:r>
      <w:r>
        <w:rPr>
          <w:color w:val="auto"/>
          <w:lang w:eastAsia="cs-CZ"/>
        </w:rPr>
        <w:lastRenderedPageBreak/>
        <w:t xml:space="preserve">MK žádný návrh památkového zákona nepřipravilo a cíle stanoveného úkolu nesplnilo. </w:t>
      </w:r>
      <w:r w:rsidR="006C06F8" w:rsidRPr="006B4C78">
        <w:rPr>
          <w:color w:val="auto"/>
          <w:lang w:eastAsia="cs-CZ"/>
        </w:rPr>
        <w:t xml:space="preserve">Nový památkový zákon MK </w:t>
      </w:r>
      <w:r w:rsidR="00E73E12">
        <w:rPr>
          <w:color w:val="auto"/>
          <w:lang w:eastAsia="cs-CZ"/>
        </w:rPr>
        <w:t xml:space="preserve">ani </w:t>
      </w:r>
      <w:r w:rsidR="006C06F8" w:rsidRPr="006B4C78">
        <w:rPr>
          <w:color w:val="auto"/>
          <w:lang w:eastAsia="cs-CZ"/>
        </w:rPr>
        <w:t>v současné době nepřipravuje.</w:t>
      </w:r>
    </w:p>
    <w:p w14:paraId="4FA58D11" w14:textId="77777777" w:rsidR="00D85516" w:rsidRPr="00D85516" w:rsidRDefault="006C06F8" w:rsidP="00BE0AE3">
      <w:pPr>
        <w:pStyle w:val="Odstavecseseznamem"/>
        <w:numPr>
          <w:ilvl w:val="0"/>
          <w:numId w:val="22"/>
        </w:numPr>
        <w:spacing w:before="0" w:after="120" w:line="259" w:lineRule="auto"/>
        <w:ind w:left="284" w:hanging="284"/>
        <w:rPr>
          <w:rFonts w:cs="Times New Roman"/>
        </w:rPr>
      </w:pPr>
      <w:r w:rsidRPr="00D85516">
        <w:rPr>
          <w:rFonts w:cs="Times New Roman"/>
        </w:rPr>
        <w:t>MK nesplnilo úkol v podobě zavedení elektronického systému pro vyřizování agend a</w:t>
      </w:r>
      <w:r w:rsidR="009D486F">
        <w:rPr>
          <w:rFonts w:cs="Times New Roman"/>
        </w:rPr>
        <w:t> </w:t>
      </w:r>
      <w:r w:rsidRPr="00D85516">
        <w:rPr>
          <w:rFonts w:cs="Times New Roman"/>
        </w:rPr>
        <w:t>poskytování podpory. MK se nedaří zavést elektronický systém ani v rámci dosavadní realizace SKP 2021, kam tento úkol přeneslo</w:t>
      </w:r>
      <w:r w:rsidR="002B5329">
        <w:rPr>
          <w:rFonts w:cs="Times New Roman"/>
        </w:rPr>
        <w:t xml:space="preserve"> (více viz bod 4).</w:t>
      </w:r>
    </w:p>
    <w:p w14:paraId="1D21AA68" w14:textId="77777777" w:rsidR="00D85516" w:rsidRPr="00D85516" w:rsidRDefault="006C06F8" w:rsidP="00BE0AE3">
      <w:pPr>
        <w:pStyle w:val="Odstavecseseznamem"/>
        <w:numPr>
          <w:ilvl w:val="0"/>
          <w:numId w:val="22"/>
        </w:numPr>
        <w:spacing w:before="0" w:after="120" w:line="259" w:lineRule="auto"/>
        <w:ind w:left="284" w:hanging="284"/>
        <w:rPr>
          <w:rFonts w:cs="Times New Roman"/>
        </w:rPr>
      </w:pPr>
      <w:r w:rsidRPr="00D85516">
        <w:rPr>
          <w:rFonts w:cs="Times New Roman"/>
        </w:rPr>
        <w:t>MK nesplnilo úkol v podobě umožnění úplného elektronického podání v procesech evidence památek ve vazbě na Památkový katalog.</w:t>
      </w:r>
    </w:p>
    <w:p w14:paraId="2F931A78" w14:textId="77777777" w:rsidR="00D85516" w:rsidRPr="006B4C78" w:rsidRDefault="006C06F8" w:rsidP="006B4C78">
      <w:pPr>
        <w:pStyle w:val="Odstavecseseznamem"/>
        <w:numPr>
          <w:ilvl w:val="0"/>
          <w:numId w:val="22"/>
        </w:numPr>
        <w:spacing w:before="0" w:after="120" w:line="259" w:lineRule="auto"/>
        <w:ind w:left="284" w:hanging="284"/>
        <w:rPr>
          <w:rFonts w:cs="Times New Roman"/>
        </w:rPr>
      </w:pPr>
      <w:r w:rsidRPr="00D85516">
        <w:rPr>
          <w:rFonts w:cs="Times New Roman"/>
        </w:rPr>
        <w:t xml:space="preserve">MK v SKP 2015 uvedlo důležitost formulace cílů, objektivních kritérií a následného systematického vyhodnocování přínosů podpory a jeho využití při rozhodování o budoucí podpoře. Přesto MK </w:t>
      </w:r>
      <w:r w:rsidR="002F1368">
        <w:rPr>
          <w:rFonts w:cs="Times New Roman"/>
        </w:rPr>
        <w:t>kvůli</w:t>
      </w:r>
      <w:r w:rsidRPr="00D85516">
        <w:rPr>
          <w:rFonts w:cs="Times New Roman"/>
        </w:rPr>
        <w:t xml:space="preserve"> obecnému nastavení příslušných programů i koncepčních dokumentů vyhodnocuje </w:t>
      </w:r>
      <w:r w:rsidR="00BE0AE3">
        <w:rPr>
          <w:rFonts w:cs="Times New Roman"/>
        </w:rPr>
        <w:t>přínosy a dopady</w:t>
      </w:r>
      <w:r w:rsidRPr="00D85516">
        <w:rPr>
          <w:rFonts w:cs="Times New Roman"/>
        </w:rPr>
        <w:t xml:space="preserve"> peněžních prostředků vynaložených na záchranu a obnovu kulturních památek pouze formálně</w:t>
      </w:r>
      <w:r w:rsidR="002B5329">
        <w:rPr>
          <w:rFonts w:cs="Times New Roman"/>
        </w:rPr>
        <w:t xml:space="preserve"> (více viz bod 1).</w:t>
      </w:r>
    </w:p>
    <w:p w14:paraId="396B3A65" w14:textId="77777777" w:rsidR="001A6A74" w:rsidRPr="004603F4" w:rsidRDefault="006C06F8" w:rsidP="00AB1431">
      <w:pPr>
        <w:keepNext/>
        <w:spacing w:before="240" w:after="120"/>
        <w:rPr>
          <w:rFonts w:eastAsia="Calibri"/>
          <w:b/>
          <w:color w:val="auto"/>
          <w:lang w:eastAsia="cs-CZ"/>
        </w:rPr>
      </w:pPr>
      <w:r>
        <w:rPr>
          <w:rFonts w:eastAsia="Calibri"/>
          <w:b/>
          <w:color w:val="auto"/>
          <w:lang w:eastAsia="cs-CZ"/>
        </w:rPr>
        <w:t>4</w:t>
      </w:r>
      <w:r w:rsidR="004603F4" w:rsidRPr="00561022">
        <w:rPr>
          <w:rFonts w:eastAsia="Calibri"/>
          <w:b/>
          <w:color w:val="auto"/>
          <w:lang w:eastAsia="cs-CZ"/>
        </w:rPr>
        <w:t xml:space="preserve">. </w:t>
      </w:r>
      <w:r w:rsidR="004603F4" w:rsidRPr="004603F4">
        <w:rPr>
          <w:rFonts w:eastAsia="Calibri"/>
          <w:b/>
          <w:color w:val="auto"/>
          <w:lang w:eastAsia="cs-CZ"/>
        </w:rPr>
        <w:t>A</w:t>
      </w:r>
      <w:r w:rsidR="00252E3D" w:rsidRPr="004603F4">
        <w:rPr>
          <w:rFonts w:eastAsia="Calibri"/>
          <w:b/>
          <w:color w:val="auto"/>
          <w:lang w:eastAsia="cs-CZ"/>
        </w:rPr>
        <w:t>dministrace</w:t>
      </w:r>
      <w:r w:rsidR="004603F4" w:rsidRPr="004603F4">
        <w:rPr>
          <w:rFonts w:eastAsia="Calibri"/>
          <w:b/>
          <w:color w:val="auto"/>
          <w:lang w:eastAsia="cs-CZ"/>
        </w:rPr>
        <w:t xml:space="preserve"> programů byl</w:t>
      </w:r>
      <w:r w:rsidR="004603F4">
        <w:rPr>
          <w:rFonts w:eastAsia="Calibri"/>
          <w:b/>
          <w:color w:val="auto"/>
          <w:lang w:eastAsia="cs-CZ"/>
        </w:rPr>
        <w:t>a</w:t>
      </w:r>
      <w:r w:rsidR="004603F4" w:rsidRPr="004603F4">
        <w:rPr>
          <w:rFonts w:eastAsia="Calibri"/>
          <w:b/>
          <w:color w:val="auto"/>
          <w:lang w:eastAsia="cs-CZ"/>
        </w:rPr>
        <w:t xml:space="preserve"> komplikovan</w:t>
      </w:r>
      <w:r w:rsidR="004603F4">
        <w:rPr>
          <w:rFonts w:eastAsia="Calibri"/>
          <w:b/>
          <w:color w:val="auto"/>
          <w:lang w:eastAsia="cs-CZ"/>
        </w:rPr>
        <w:t>á</w:t>
      </w:r>
      <w:r w:rsidR="004603F4" w:rsidRPr="004603F4">
        <w:rPr>
          <w:rFonts w:eastAsia="Calibri"/>
          <w:b/>
          <w:color w:val="auto"/>
          <w:lang w:eastAsia="cs-CZ"/>
        </w:rPr>
        <w:t xml:space="preserve"> a </w:t>
      </w:r>
      <w:r w:rsidR="00462631">
        <w:rPr>
          <w:rFonts w:eastAsia="Calibri"/>
          <w:b/>
          <w:color w:val="auto"/>
          <w:lang w:eastAsia="cs-CZ"/>
        </w:rPr>
        <w:t xml:space="preserve">časově náročná </w:t>
      </w:r>
    </w:p>
    <w:p w14:paraId="61AC157F" w14:textId="77777777" w:rsidR="002F50C0" w:rsidRDefault="006C06F8" w:rsidP="004603F4">
      <w:pPr>
        <w:spacing w:before="0" w:after="120"/>
      </w:pPr>
      <w:r w:rsidRPr="004603F4">
        <w:t>Administrace programů na záchranu a obnovu památek není digitalizovaná a nadále probíhá zejména v</w:t>
      </w:r>
      <w:r w:rsidR="00F52485">
        <w:t> listinné podobě</w:t>
      </w:r>
      <w:r w:rsidRPr="004603F4">
        <w:t xml:space="preserve">. </w:t>
      </w:r>
      <w:r>
        <w:t xml:space="preserve">V letech 2019 až 2022 přitom MK </w:t>
      </w:r>
      <w:r w:rsidR="00BE0AE3">
        <w:t>každý rok průměrně</w:t>
      </w:r>
      <w:r>
        <w:t xml:space="preserve"> obdrželo více než tři tisíce žádostí o příspěvek. </w:t>
      </w:r>
      <w:r w:rsidRPr="004603F4">
        <w:t>Příslušné údaje zaměstnanci MK musí ručně přepisovat a evidovat v programech MS Word a MS Excel. Tento způsob administrace je značně náročný jak pro MK, tak pro jednotlivé uchazeče o příspěvek.</w:t>
      </w:r>
    </w:p>
    <w:p w14:paraId="21C19D0E" w14:textId="77777777" w:rsidR="002F50C0" w:rsidRDefault="006C06F8" w:rsidP="004603F4">
      <w:pPr>
        <w:spacing w:before="0" w:after="120"/>
      </w:pPr>
      <w:r w:rsidRPr="006A3D31">
        <w:t xml:space="preserve">Ve všech programech museli žadatelé zpracovávat dvě žádosti o příspěvek, resp. návrh na zařazení do programu. MK vyžadovalo zpracování standardizované žádosti, </w:t>
      </w:r>
      <w:r w:rsidR="00A6714E">
        <w:t>která byla stejná i</w:t>
      </w:r>
      <w:r w:rsidR="00314CE8">
        <w:t> </w:t>
      </w:r>
      <w:r w:rsidR="00A6714E">
        <w:t>pro</w:t>
      </w:r>
      <w:r w:rsidRPr="006A3D31">
        <w:t xml:space="preserve"> </w:t>
      </w:r>
      <w:r w:rsidR="00A6714E">
        <w:t xml:space="preserve">ostatní </w:t>
      </w:r>
      <w:r w:rsidRPr="006A3D31">
        <w:t>program</w:t>
      </w:r>
      <w:r w:rsidR="00A6714E">
        <w:t>y</w:t>
      </w:r>
      <w:r w:rsidRPr="006A3D31">
        <w:t xml:space="preserve"> mimo památkovou péči. Zároveň MK vyžadovalo zpracování žádostí, které byly upraveny pro potřeby jednotlivých programů na záchranu a obnovu kulturních památek. V žádostech tak museli žadatelé uvádět duplicitní informace, jako např. název projektu, název žadatele, adres</w:t>
      </w:r>
      <w:r w:rsidR="003024C3">
        <w:t>u</w:t>
      </w:r>
      <w:r w:rsidRPr="006A3D31">
        <w:t>, jméno kontaktní osoby, statutární</w:t>
      </w:r>
      <w:r w:rsidR="003024C3">
        <w:t>ho</w:t>
      </w:r>
      <w:r w:rsidRPr="006A3D31">
        <w:t xml:space="preserve"> zástupce právnické osoby, charakteristik</w:t>
      </w:r>
      <w:r w:rsidR="003024C3">
        <w:t>u</w:t>
      </w:r>
      <w:r w:rsidRPr="006A3D31">
        <w:t xml:space="preserve"> projektu, celkové náklady, požadovaný příspěvek.</w:t>
      </w:r>
    </w:p>
    <w:p w14:paraId="1BB2D57D" w14:textId="45C5CDD4" w:rsidR="002F50C0" w:rsidRDefault="006C06F8" w:rsidP="004603F4">
      <w:pPr>
        <w:spacing w:before="0" w:after="120"/>
      </w:pPr>
      <w:r w:rsidRPr="002F50C0">
        <w:t xml:space="preserve">Proces administrace jednotlivých programů byl mj. i kvůli jejímu nastavení a nevyužívání </w:t>
      </w:r>
      <w:r w:rsidR="00713B9C">
        <w:t xml:space="preserve">elektronických </w:t>
      </w:r>
      <w:r w:rsidRPr="002F50C0">
        <w:t xml:space="preserve">informačních systémů velmi komplikovaný a dlouhý. Doba od vyhlášení programů do začátku vydávání rozhodnutí o poskytnutí příspěvku a </w:t>
      </w:r>
      <w:r w:rsidR="00026DF1">
        <w:t xml:space="preserve">jejich </w:t>
      </w:r>
      <w:r w:rsidRPr="002F50C0">
        <w:t>následného vyplácení dosahovala u</w:t>
      </w:r>
      <w:r w:rsidR="009D486F">
        <w:t> </w:t>
      </w:r>
      <w:r w:rsidRPr="002F50C0">
        <w:t>některých programů (zejména PZAD, Městský program a Movitý program) téměř jednoho roku</w:t>
      </w:r>
      <w:r w:rsidR="00026DF1">
        <w:t xml:space="preserve"> (včetně 1</w:t>
      </w:r>
      <w:r w:rsidR="00713B9C">
        <w:t>–</w:t>
      </w:r>
      <w:r w:rsidR="00026DF1">
        <w:t>2 měsíců, které měli uchazeči na podání žádostí)</w:t>
      </w:r>
      <w:r w:rsidRPr="002F50C0">
        <w:t>.</w:t>
      </w:r>
      <w:r>
        <w:t xml:space="preserve"> </w:t>
      </w:r>
      <w:r w:rsidRPr="002F50C0">
        <w:t>Dosahovala tak téměř stejné doby jako doba realizace jednotlivých akcí obnovy, na které MK příspěvky poskytovalo.</w:t>
      </w:r>
    </w:p>
    <w:p w14:paraId="36B4E71D" w14:textId="77777777" w:rsidR="002F50C0" w:rsidRDefault="006C06F8" w:rsidP="004603F4">
      <w:pPr>
        <w:spacing w:before="0" w:after="120"/>
      </w:pPr>
      <w:r w:rsidRPr="002F50C0">
        <w:t>Doba do ukončení vydávání rozhodnutí o poskytnutí příspěvk</w:t>
      </w:r>
      <w:r w:rsidR="00026DF1">
        <w:t>ů</w:t>
      </w:r>
      <w:r w:rsidRPr="002F50C0">
        <w:t xml:space="preserve"> a </w:t>
      </w:r>
      <w:r w:rsidR="00026DF1">
        <w:t xml:space="preserve">jejich </w:t>
      </w:r>
      <w:r w:rsidRPr="002F50C0">
        <w:t>následného vyplácení</w:t>
      </w:r>
      <w:r w:rsidR="00026DF1">
        <w:t xml:space="preserve"> </w:t>
      </w:r>
      <w:r w:rsidRPr="002F50C0">
        <w:t xml:space="preserve">byla ještě delší a např. u Movitého programu činila </w:t>
      </w:r>
      <w:r w:rsidR="00026DF1">
        <w:t xml:space="preserve">od doby přijetí žádostí až 18 měsíců a od doby vyhlášení programu </w:t>
      </w:r>
      <w:r w:rsidRPr="002F50C0">
        <w:t xml:space="preserve">až 20 měsíců. Tato doba tak významně překročila i dobu realizace podpořených akcí obnovy. Dlouhá doba </w:t>
      </w:r>
      <w:r w:rsidR="00EC4D5A">
        <w:t xml:space="preserve">od podání žádosti </w:t>
      </w:r>
      <w:r w:rsidRPr="002F50C0">
        <w:t>do vydání rozhodnutí o poskytnutí příspěvku a jeho proplacení mj. prodlužuje dobu nejistoty jednotlivých žadatelů, zda a v jaké výši jim MK příspěvek poskytne.</w:t>
      </w:r>
    </w:p>
    <w:tbl>
      <w:tblPr>
        <w:tblStyle w:val="Mkatabulky"/>
        <w:tblW w:w="0" w:type="auto"/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210D30" w14:paraId="24A0C1E5" w14:textId="77777777" w:rsidTr="00D55DFC">
        <w:tc>
          <w:tcPr>
            <w:tcW w:w="9060" w:type="dxa"/>
            <w:shd w:val="clear" w:color="auto" w:fill="E5F1FF"/>
          </w:tcPr>
          <w:p w14:paraId="5513210B" w14:textId="77777777" w:rsidR="00A6714E" w:rsidRPr="00D55DFC" w:rsidRDefault="006C06F8" w:rsidP="003E6D4C">
            <w:pPr>
              <w:keepNext/>
              <w:spacing w:before="0" w:after="120"/>
              <w:rPr>
                <w:rFonts w:cstheme="minorHAnsi"/>
                <w:b/>
                <w:color w:val="auto"/>
                <w:highlight w:val="yellow"/>
              </w:rPr>
            </w:pPr>
            <w:bookmarkStart w:id="8" w:name="_Hlk134796670"/>
            <w:r w:rsidRPr="00D55DFC">
              <w:rPr>
                <w:rFonts w:cstheme="minorHAnsi"/>
                <w:b/>
                <w:color w:val="auto"/>
              </w:rPr>
              <w:lastRenderedPageBreak/>
              <w:t>Příklad</w:t>
            </w:r>
            <w:r w:rsidR="00D55DFC" w:rsidRPr="00D55DFC">
              <w:rPr>
                <w:rFonts w:cstheme="minorHAnsi"/>
                <w:b/>
                <w:color w:val="auto"/>
              </w:rPr>
              <w:t xml:space="preserve"> č. 2</w:t>
            </w:r>
          </w:p>
          <w:p w14:paraId="59E79735" w14:textId="77777777" w:rsidR="00A6714E" w:rsidRPr="00A6714E" w:rsidRDefault="006C06F8" w:rsidP="00A6714E">
            <w:pPr>
              <w:spacing w:before="0" w:after="120"/>
              <w:rPr>
                <w:bCs/>
                <w:iCs/>
              </w:rPr>
            </w:pPr>
            <w:r w:rsidRPr="002F50C0">
              <w:t>Dlouhá doba administrace byla např. u</w:t>
            </w:r>
            <w:r w:rsidRPr="006A3D31">
              <w:t xml:space="preserve"> akce obnovy barokní knihovny z Kláštera bosých augustiniánů ve Lnářích, ÚSKP 105815.</w:t>
            </w:r>
            <w:r>
              <w:t xml:space="preserve"> </w:t>
            </w:r>
            <w:r w:rsidRPr="006A3D31">
              <w:t>Příslušný Movitý program na rok 2021 vyhlásilo MK dne 20.</w:t>
            </w:r>
            <w:r>
              <w:t> </w:t>
            </w:r>
            <w:r w:rsidRPr="006A3D31">
              <w:t>4.</w:t>
            </w:r>
            <w:r>
              <w:t> </w:t>
            </w:r>
            <w:r w:rsidRPr="006A3D31">
              <w:t xml:space="preserve">2020. Návrh na zařazení akce obnovy movité kulturní památky do </w:t>
            </w:r>
            <w:r w:rsidRPr="00A93BDA">
              <w:rPr>
                <w:i/>
              </w:rPr>
              <w:t>Programu restaurování movitých kulturních památek</w:t>
            </w:r>
            <w:r w:rsidRPr="006A3D31">
              <w:t xml:space="preserve"> na rok 2021 doručil žadatel dne 16. 6. 2020. K</w:t>
            </w:r>
            <w:r w:rsidR="009D486F">
              <w:t> </w:t>
            </w:r>
            <w:r w:rsidRPr="006A3D31">
              <w:t>nabytí právní moci rozhodnutí o poskytnutí příspěvku došlo dne 20. 11. 2021, tj. po více než 17 měsících od podání návrhu na zařazení akce do programu (žádosti) a po 19 měsících od vyhlášení programu. Rozhodnutí o poskytnutí příspěvku nabylo právní moci až téměř na konci realizace akce obnovy, na kterou byl příspěvek určen</w:t>
            </w:r>
            <w:r>
              <w:t>.</w:t>
            </w:r>
          </w:p>
        </w:tc>
      </w:tr>
    </w:tbl>
    <w:bookmarkEnd w:id="8"/>
    <w:p w14:paraId="463B2869" w14:textId="77777777" w:rsidR="00A70B1A" w:rsidRDefault="006C06F8" w:rsidP="00AB1431">
      <w:pPr>
        <w:keepNext/>
        <w:spacing w:before="240" w:after="120"/>
        <w:rPr>
          <w:rFonts w:cstheme="minorHAnsi"/>
          <w:b/>
        </w:rPr>
      </w:pPr>
      <w:r>
        <w:rPr>
          <w:rFonts w:cstheme="minorHAnsi"/>
          <w:b/>
        </w:rPr>
        <w:t>5. Hodnocení a výběr projektů byl u poloviny programů netransparentní</w:t>
      </w:r>
    </w:p>
    <w:p w14:paraId="668A2327" w14:textId="77777777" w:rsidR="00A70B1A" w:rsidRDefault="006C06F8" w:rsidP="00A6714E">
      <w:pPr>
        <w:spacing w:before="0" w:after="120"/>
      </w:pPr>
      <w:r w:rsidRPr="00A70B1A">
        <w:t xml:space="preserve">PZAD a Movitý program, které vznikly na základě usnesení vlády, měly jasně stanovená kritéria hodnocení žádostí, s bodovým hodnocením a váhami a tato kritéria byla známa žadatelům předem. Oproti tomu v Programu ORP, Havarijním a Vesnickém programu nebyla hodnoticí kritéria známá předem. MK je stanovilo pouze interně, a to bez příslušných vah a bodového hodnocení. Navíc MK </w:t>
      </w:r>
      <w:r w:rsidR="00D55DFC">
        <w:t xml:space="preserve">nevytvořilo </w:t>
      </w:r>
      <w:r w:rsidR="002F1368">
        <w:t>žádné záznamy, ze kterých by bylo zřejmé</w:t>
      </w:r>
      <w:r w:rsidRPr="00A70B1A">
        <w:t>, zda a jak podle stanovených kritérií jednotlivé žádosti skutečně posuzovalo. Tento způsob hodnocení a výběru projektů tak byl obtížně přezkoumatelný, netransparentní a nevytvářel rovné podmínky pro jednotlivé uchazeče. V Městském programu byl výběr akcí obnovy v kompetenci jednotlivých měst a obcí, kterým MK poskytovalo dotaci v rámci stanovených finančních kvót.</w:t>
      </w:r>
    </w:p>
    <w:p w14:paraId="5C73754B" w14:textId="77777777" w:rsidR="003024C3" w:rsidRDefault="006C06F8" w:rsidP="004603F4">
      <w:pPr>
        <w:spacing w:before="0" w:after="120"/>
      </w:pPr>
      <w:r>
        <w:t xml:space="preserve">Netransparentní byl rovněž způsob, jakým MK rozhodovalo o zákazu čerpání příspěvku při porušení podmínek v předchozím roce. V </w:t>
      </w:r>
      <w:r w:rsidR="00A70B1A" w:rsidRPr="00A70B1A">
        <w:t>interním příkazu ministryně č. 40/2012 stanovilo MK podmínky, jejichž porušení znamená zákaz poskytnutí příspěvku danému žadateli v roce následujícím. Tyto podmínky však MK zveřejnilo pouze v rámci některých programů a pouze v</w:t>
      </w:r>
      <w:r w:rsidR="009D486F">
        <w:t> </w:t>
      </w:r>
      <w:r w:rsidR="00A70B1A" w:rsidRPr="00A70B1A">
        <w:t xml:space="preserve">některých letech. MK se uvedenými podmínkami neřídilo a v rozporu s nimi vyplatilo příspěvky v letech 2019 až 2021 v celkové výši 15 837 000 Kč. </w:t>
      </w:r>
    </w:p>
    <w:p w14:paraId="5467AE30" w14:textId="77777777" w:rsidR="003024C3" w:rsidRDefault="006C06F8" w:rsidP="003024C3">
      <w:pPr>
        <w:spacing w:before="0" w:after="120"/>
      </w:pPr>
      <w:r w:rsidRPr="00A70B1A">
        <w:t>Podmínky, jejichž porušení vyhodnocovalo MK jako důvod pro zákaz poskytnutí příspěvku v</w:t>
      </w:r>
      <w:r w:rsidR="009D486F">
        <w:t> </w:t>
      </w:r>
      <w:r w:rsidRPr="00A70B1A">
        <w:t xml:space="preserve">následujícím roce, nekorespondovaly s podmínkami danými příkazem ministryně č. 40/2012 a zveřejněnými rovněž ve vyhlášeních některých programů. MK ve skutečnosti zákaz poskytnutí příspěvku vztahovalo nikoliv na žadatele, jak bylo stanoveno v příkazu ministryně č. 40/2012, ale na akci obnovy. </w:t>
      </w:r>
      <w:r>
        <w:t>V</w:t>
      </w:r>
      <w:r w:rsidRPr="00FC487F">
        <w:t xml:space="preserve"> případě jednoho příjemce </w:t>
      </w:r>
      <w:r w:rsidR="00760892">
        <w:t xml:space="preserve">MK udělalo výjimku a </w:t>
      </w:r>
      <w:r w:rsidRPr="00FC487F">
        <w:t>rozšířilo zákaz poskytnutí příspěvku na všechny akce obnovy daného příjemce.</w:t>
      </w:r>
      <w:r>
        <w:t xml:space="preserve"> Z</w:t>
      </w:r>
      <w:r w:rsidRPr="00FC487F">
        <w:t xml:space="preserve">ákaz čerpání příspěvku v následujícím roce </w:t>
      </w:r>
      <w:r>
        <w:t>také MK</w:t>
      </w:r>
      <w:r w:rsidRPr="00FC487F">
        <w:t xml:space="preserve"> nevztah</w:t>
      </w:r>
      <w:r>
        <w:t xml:space="preserve">ovalo </w:t>
      </w:r>
      <w:r w:rsidRPr="00FC487F">
        <w:t>výhradně k porušením uvedeným v příkazu ministryně č. 40/2012, ale vycház</w:t>
      </w:r>
      <w:r>
        <w:t>elo</w:t>
      </w:r>
      <w:r w:rsidRPr="00FC487F">
        <w:t xml:space="preserve"> ze zjištěných porušení</w:t>
      </w:r>
      <w:r w:rsidR="00F52485">
        <w:t xml:space="preserve"> podmínek rozhodnutí</w:t>
      </w:r>
      <w:r w:rsidRPr="00FC487F">
        <w:t xml:space="preserve">, které MK zaslalo na finanční úřad. </w:t>
      </w:r>
      <w:r w:rsidR="004C19F2">
        <w:rPr>
          <w:rStyle w:val="ui-provider"/>
        </w:rPr>
        <w:t>Jedná se mj. o porušení podmínek stanovených v rozhodnutí o</w:t>
      </w:r>
      <w:r w:rsidR="00C06663">
        <w:rPr>
          <w:rStyle w:val="ui-provider"/>
        </w:rPr>
        <w:t> </w:t>
      </w:r>
      <w:r w:rsidR="004C19F2">
        <w:rPr>
          <w:rStyle w:val="ui-provider"/>
        </w:rPr>
        <w:t>poskytnutí příspěvku, která však nutně nemusí představovat porušení podmínek příkazu ministryně č. 40/2012.</w:t>
      </w:r>
      <w:r w:rsidRPr="00FC487F">
        <w:t xml:space="preserve"> </w:t>
      </w:r>
    </w:p>
    <w:p w14:paraId="28924F84" w14:textId="77777777" w:rsidR="000C5628" w:rsidRPr="003024C3" w:rsidRDefault="006C06F8" w:rsidP="004603F4">
      <w:pPr>
        <w:spacing w:before="0" w:after="120"/>
      </w:pPr>
      <w:r w:rsidRPr="00A70B1A">
        <w:t>Uchazeči o příspěvek neměli k dispozici informace o skutečně aplikovaných podmínkách, jejichž porušení MK vyhodnocovalo jako zákaz poskytnutí příspěvku v následujícím roce. Nastavený a aplikovaný systém je velmi nepřehledný, netransparentní a vytváří nerovné podmínky pro jednotlivé uchazeče o příspěvek.</w:t>
      </w:r>
      <w:r w:rsidRPr="003024C3">
        <w:t xml:space="preserve"> </w:t>
      </w:r>
    </w:p>
    <w:p w14:paraId="100139E5" w14:textId="77777777" w:rsidR="00FD37C5" w:rsidRPr="00FD37C5" w:rsidRDefault="006C06F8" w:rsidP="00AB1431">
      <w:pPr>
        <w:keepNext/>
        <w:spacing w:before="240" w:after="120"/>
        <w:rPr>
          <w:b/>
        </w:rPr>
      </w:pPr>
      <w:r>
        <w:rPr>
          <w:b/>
        </w:rPr>
        <w:t>6</w:t>
      </w:r>
      <w:r w:rsidRPr="004D1F17">
        <w:rPr>
          <w:b/>
        </w:rPr>
        <w:t xml:space="preserve">. </w:t>
      </w:r>
      <w:r w:rsidR="00F6680F">
        <w:rPr>
          <w:b/>
        </w:rPr>
        <w:t>R</w:t>
      </w:r>
      <w:r w:rsidR="004D1F17">
        <w:rPr>
          <w:b/>
        </w:rPr>
        <w:t xml:space="preserve">ozhodnutí </w:t>
      </w:r>
      <w:r w:rsidR="00F6680F">
        <w:rPr>
          <w:b/>
        </w:rPr>
        <w:t xml:space="preserve">MK </w:t>
      </w:r>
      <w:r w:rsidR="004D1F17">
        <w:rPr>
          <w:b/>
        </w:rPr>
        <w:t>o poskytnutí příspěvku neumožňují vyhodnocení přínosů</w:t>
      </w:r>
      <w:r w:rsidR="00D55DFC">
        <w:rPr>
          <w:b/>
        </w:rPr>
        <w:t xml:space="preserve"> projektů</w:t>
      </w:r>
    </w:p>
    <w:p w14:paraId="1A16CFD9" w14:textId="77777777" w:rsidR="004D1F17" w:rsidRDefault="006C06F8" w:rsidP="004D1F17">
      <w:r w:rsidRPr="00A07B25">
        <w:t>MK po příjemcích vyžadovalo stanovení cílů projektů, ty však byly stanoveny pouze obecně v</w:t>
      </w:r>
      <w:r w:rsidR="00596E87">
        <w:t> </w:t>
      </w:r>
      <w:r w:rsidRPr="00A07B25">
        <w:t xml:space="preserve">žádosti a následně v rozhodnutí o poskytnutí příspěvku. Detailněji byl popis uveden </w:t>
      </w:r>
      <w:r w:rsidRPr="00A07B25">
        <w:lastRenderedPageBreak/>
        <w:t>v</w:t>
      </w:r>
      <w:r w:rsidR="00596E87">
        <w:t> </w:t>
      </w:r>
      <w:r w:rsidRPr="00A07B25">
        <w:t xml:space="preserve">závazném stanovisku, které </w:t>
      </w:r>
      <w:r w:rsidR="000A7DB8">
        <w:t>neřeš</w:t>
      </w:r>
      <w:r w:rsidR="0072322B">
        <w:t>ilo</w:t>
      </w:r>
      <w:r w:rsidR="000A7DB8">
        <w:t xml:space="preserve"> cíle projektu, ale</w:t>
      </w:r>
      <w:r w:rsidRPr="00A07B25">
        <w:t xml:space="preserve"> pouze stavební a technické stránky</w:t>
      </w:r>
      <w:r w:rsidR="000A7DB8">
        <w:t xml:space="preserve"> jeho realizace</w:t>
      </w:r>
      <w:r w:rsidRPr="00A07B25">
        <w:t xml:space="preserve">. Příjemce příspěvku byl zavázán k plnění cíle dle vydaného rozhodnutí a na něj navázaném závazném stanovisku. </w:t>
      </w:r>
      <w:bookmarkStart w:id="9" w:name="_Hlk135141066"/>
      <w:r w:rsidRPr="00A07B25">
        <w:t>Stanovené cíle podpořených projektů však nebyly provázány s cíli příslušných programů, neměly také stanoveny žádné měřitelné parametry a</w:t>
      </w:r>
      <w:r w:rsidR="00C06663">
        <w:t> </w:t>
      </w:r>
      <w:r w:rsidRPr="00A07B25">
        <w:t xml:space="preserve">ukazatele. Přínos realizace jednotlivých projektů k naplnění cílů programu tak nelze vyhodnotit. </w:t>
      </w:r>
    </w:p>
    <w:p w14:paraId="78308082" w14:textId="50762318" w:rsidR="0054537B" w:rsidRDefault="006C06F8" w:rsidP="00925DC3">
      <w:pPr>
        <w:spacing w:after="120"/>
        <w:rPr>
          <w:rFonts w:eastAsia="Calibri"/>
        </w:rPr>
      </w:pPr>
      <w:r>
        <w:rPr>
          <w:rFonts w:eastAsia="Calibri"/>
        </w:rPr>
        <w:t xml:space="preserve">V rámci charakteristiky navrhované akce obnovy u některých programů uchazeči uváděli v žádostech o příspěvek mj. </w:t>
      </w:r>
      <w:r w:rsidRPr="00CC793A">
        <w:rPr>
          <w:rFonts w:eastAsia="Calibri"/>
        </w:rPr>
        <w:t>informace o využití kulturních památek</w:t>
      </w:r>
      <w:r w:rsidR="00D55DFC">
        <w:rPr>
          <w:rFonts w:eastAsia="Calibri"/>
        </w:rPr>
        <w:t>, viz následující příklad</w:t>
      </w:r>
      <w:r w:rsidR="00713B9C">
        <w:rPr>
          <w:rFonts w:eastAsia="Calibri"/>
        </w:rPr>
        <w:t>:</w:t>
      </w:r>
    </w:p>
    <w:tbl>
      <w:tblPr>
        <w:tblStyle w:val="Mkatabulky"/>
        <w:tblW w:w="0" w:type="auto"/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210D30" w14:paraId="4E719579" w14:textId="77777777" w:rsidTr="00D55DFC">
        <w:tc>
          <w:tcPr>
            <w:tcW w:w="9060" w:type="dxa"/>
            <w:shd w:val="clear" w:color="auto" w:fill="E5F1FF"/>
          </w:tcPr>
          <w:p w14:paraId="77BF02C5" w14:textId="77777777" w:rsidR="0054537B" w:rsidRPr="00C06663" w:rsidRDefault="006C06F8" w:rsidP="00AB5196">
            <w:pPr>
              <w:spacing w:before="0" w:after="120"/>
              <w:rPr>
                <w:rFonts w:cstheme="minorHAnsi"/>
                <w:b/>
                <w:color w:val="000000" w:themeColor="text1"/>
                <w:highlight w:val="yellow"/>
              </w:rPr>
            </w:pPr>
            <w:r w:rsidRPr="00C06663">
              <w:rPr>
                <w:rFonts w:cstheme="minorHAnsi"/>
                <w:b/>
                <w:color w:val="000000" w:themeColor="text1"/>
              </w:rPr>
              <w:t>Příklad</w:t>
            </w:r>
            <w:r w:rsidR="00D55DFC" w:rsidRPr="00C06663">
              <w:rPr>
                <w:rFonts w:cstheme="minorHAnsi"/>
                <w:b/>
                <w:color w:val="000000" w:themeColor="text1"/>
              </w:rPr>
              <w:t xml:space="preserve"> č. 3</w:t>
            </w:r>
          </w:p>
          <w:p w14:paraId="75DA3008" w14:textId="77777777" w:rsidR="0054537B" w:rsidRPr="00A6714E" w:rsidRDefault="006C06F8" w:rsidP="00AB5196">
            <w:pPr>
              <w:spacing w:before="0" w:after="120"/>
              <w:rPr>
                <w:bCs/>
                <w:iCs/>
              </w:rPr>
            </w:pPr>
            <w:r w:rsidRPr="00C06663">
              <w:rPr>
                <w:rFonts w:eastAsia="Calibri"/>
                <w:color w:val="000000" w:themeColor="text1"/>
              </w:rPr>
              <w:t xml:space="preserve">V PZAD uváděli uchazeči údaje o budoucím využití památky či tzv. údaje o společenské efektivitě akce, jako např. </w:t>
            </w:r>
            <w:r w:rsidRPr="00C06663">
              <w:rPr>
                <w:snapToGrid w:val="0"/>
                <w:color w:val="000000" w:themeColor="text1"/>
              </w:rPr>
              <w:t>zvýšení kvality životního prostředí, využití pro kulturní a jiné společenské účely, ekonomické efekty, vytvoření nových trvalých nebo dočasných pracovních míst, přínos pro cestovní ruch, zpřístupnění památky veřejnosti a odhad zvýšení počtu návštěvníků po dokončení akce.</w:t>
            </w:r>
          </w:p>
        </w:tc>
      </w:tr>
    </w:tbl>
    <w:p w14:paraId="76801274" w14:textId="277516D8" w:rsidR="00FD37C5" w:rsidRDefault="006C06F8" w:rsidP="00925DC3">
      <w:pPr>
        <w:spacing w:after="120"/>
      </w:pPr>
      <w:r>
        <w:rPr>
          <w:snapToGrid w:val="0"/>
        </w:rPr>
        <w:t>Tyto údaje byly i součástí kritérií</w:t>
      </w:r>
      <w:r w:rsidR="00D55DFC">
        <w:rPr>
          <w:snapToGrid w:val="0"/>
        </w:rPr>
        <w:t>,</w:t>
      </w:r>
      <w:r>
        <w:rPr>
          <w:snapToGrid w:val="0"/>
        </w:rPr>
        <w:t xml:space="preserve"> na </w:t>
      </w:r>
      <w:r w:rsidR="005B7167">
        <w:rPr>
          <w:snapToGrid w:val="0"/>
        </w:rPr>
        <w:t xml:space="preserve">jejichž </w:t>
      </w:r>
      <w:r>
        <w:rPr>
          <w:snapToGrid w:val="0"/>
        </w:rPr>
        <w:t xml:space="preserve">základě byly jednotlivé návrhy posuzovány v rámci rozhodování o poskytnutí příspěvku. V rozhodnutí o poskytnutí příspěvku však MK příjemce k plnění těchto ukazatelů nezavázalo. </w:t>
      </w:r>
      <w:r w:rsidRPr="00A07B25">
        <w:t xml:space="preserve">Monitorování průběhu realizace jednotlivých podpořených projektů je vzhledem k jejich nastavení </w:t>
      </w:r>
      <w:proofErr w:type="gramStart"/>
      <w:r w:rsidRPr="00A07B25">
        <w:t>obtížné</w:t>
      </w:r>
      <w:proofErr w:type="gramEnd"/>
      <w:r w:rsidRPr="00A07B25">
        <w:t xml:space="preserve"> a navíc vzniká riziko, že schválené projekty nebudou realizovány v rozsahu a kvalitě, kterou příjemci deklarovali v</w:t>
      </w:r>
      <w:r w:rsidR="00596E87">
        <w:t> </w:t>
      </w:r>
      <w:r w:rsidRPr="00A07B25">
        <w:t xml:space="preserve">žádostech a na </w:t>
      </w:r>
      <w:r w:rsidR="00C259E3">
        <w:t xml:space="preserve">jejichž </w:t>
      </w:r>
      <w:r w:rsidRPr="00A07B25">
        <w:t>základě MK rozhodlo o podpoře.</w:t>
      </w:r>
      <w:bookmarkEnd w:id="9"/>
    </w:p>
    <w:p w14:paraId="2A50E1A1" w14:textId="77777777" w:rsidR="00925DC3" w:rsidRDefault="006C06F8" w:rsidP="00AB1431">
      <w:pPr>
        <w:keepNext/>
        <w:spacing w:before="240" w:after="120"/>
        <w:rPr>
          <w:rFonts w:cstheme="minorHAnsi"/>
          <w:b/>
        </w:rPr>
      </w:pPr>
      <w:r>
        <w:rPr>
          <w:rFonts w:cstheme="minorHAnsi"/>
          <w:b/>
        </w:rPr>
        <w:t xml:space="preserve">7. </w:t>
      </w:r>
      <w:r w:rsidR="00A204F4">
        <w:rPr>
          <w:rFonts w:cstheme="minorHAnsi"/>
          <w:b/>
        </w:rPr>
        <w:t>MK nepřijalo účinná opatření k odstranění nedostatků zjištěných minulou kontrolou</w:t>
      </w:r>
      <w:r w:rsidR="00F52485">
        <w:rPr>
          <w:rFonts w:cstheme="minorHAnsi"/>
          <w:b/>
        </w:rPr>
        <w:t xml:space="preserve"> NKÚ</w:t>
      </w:r>
    </w:p>
    <w:p w14:paraId="7BECB021" w14:textId="284893E1" w:rsidR="00925DC3" w:rsidRDefault="006C06F8" w:rsidP="00925DC3">
      <w:pPr>
        <w:spacing w:before="0" w:after="120"/>
      </w:pPr>
      <w:r w:rsidRPr="00C6784A">
        <w:rPr>
          <w:rFonts w:cstheme="minorHAnsi"/>
        </w:rPr>
        <w:t xml:space="preserve">Kontrolu poskytování </w:t>
      </w:r>
      <w:r>
        <w:rPr>
          <w:rFonts w:cstheme="minorHAnsi"/>
        </w:rPr>
        <w:t xml:space="preserve">příspěvků </w:t>
      </w:r>
      <w:r w:rsidRPr="00C6784A">
        <w:rPr>
          <w:rFonts w:cstheme="minorHAnsi"/>
        </w:rPr>
        <w:t>v</w:t>
      </w:r>
      <w:r>
        <w:rPr>
          <w:rFonts w:cstheme="minorHAnsi"/>
        </w:rPr>
        <w:t xml:space="preserve"> PZAD </w:t>
      </w:r>
      <w:r w:rsidRPr="00C6784A">
        <w:rPr>
          <w:rFonts w:cstheme="minorHAnsi"/>
        </w:rPr>
        <w:t>realizoval NKÚ již v roce 201</w:t>
      </w:r>
      <w:r>
        <w:rPr>
          <w:rFonts w:cstheme="minorHAnsi"/>
        </w:rPr>
        <w:t>7</w:t>
      </w:r>
      <w:r w:rsidRPr="00C6784A">
        <w:rPr>
          <w:rFonts w:cstheme="minorHAnsi"/>
        </w:rPr>
        <w:t xml:space="preserve">. </w:t>
      </w:r>
      <w:r>
        <w:rPr>
          <w:rFonts w:cstheme="minorHAnsi"/>
        </w:rPr>
        <w:t>Jednalo se o</w:t>
      </w:r>
      <w:r w:rsidRPr="00C6784A">
        <w:rPr>
          <w:rFonts w:cstheme="minorHAnsi"/>
        </w:rPr>
        <w:t> kontrolní akci č. 1</w:t>
      </w:r>
      <w:r>
        <w:rPr>
          <w:rFonts w:cstheme="minorHAnsi"/>
        </w:rPr>
        <w:t>7</w:t>
      </w:r>
      <w:r w:rsidRPr="00C6784A">
        <w:rPr>
          <w:rFonts w:cstheme="minorHAnsi"/>
        </w:rPr>
        <w:t>/</w:t>
      </w:r>
      <w:r>
        <w:rPr>
          <w:rFonts w:cstheme="minorHAnsi"/>
        </w:rPr>
        <w:t>01</w:t>
      </w:r>
      <w:r w:rsidR="00AB1431">
        <w:rPr>
          <w:rFonts w:cstheme="minorHAnsi"/>
        </w:rPr>
        <w:t xml:space="preserve"> –</w:t>
      </w:r>
      <w:r>
        <w:rPr>
          <w:rFonts w:cstheme="minorHAnsi"/>
        </w:rPr>
        <w:t xml:space="preserve"> </w:t>
      </w:r>
      <w:r w:rsidRPr="00D57852">
        <w:rPr>
          <w:i/>
        </w:rPr>
        <w:t>Peněžní prostředky státu poskytované z Programu záchrany architektonického dědictví na záchranu a obnovu kulturních památek</w:t>
      </w:r>
      <w:r w:rsidRPr="00AC6095">
        <w:t>.</w:t>
      </w:r>
      <w:r w:rsidRPr="00C6784A">
        <w:rPr>
          <w:rFonts w:cstheme="minorHAnsi"/>
        </w:rPr>
        <w:t xml:space="preserve"> </w:t>
      </w:r>
      <w:r w:rsidRPr="00D57852">
        <w:t xml:space="preserve">NKÚ </w:t>
      </w:r>
      <w:r>
        <w:t xml:space="preserve">mj. </w:t>
      </w:r>
      <w:r w:rsidRPr="00D57852">
        <w:t xml:space="preserve">zjistil, že cíle PZAD nastavilo </w:t>
      </w:r>
      <w:r>
        <w:t xml:space="preserve">MK </w:t>
      </w:r>
      <w:r w:rsidRPr="00D57852">
        <w:t>pouze obecně, aniž by závazně stanovilo měřitelné indikátory ve formě předpokládaných cílových hodnot, kterých by měl program ve stanoveném časovém horizontu dosáhnout. MK provádělo pouze formální hodnocení PZAD, které nem</w:t>
      </w:r>
      <w:r>
        <w:t>ělo</w:t>
      </w:r>
      <w:r w:rsidRPr="00D57852">
        <w:t xml:space="preserve"> přímou vazbu na stanovené obecné cíle. Přínos PZAD k záchraně a obnově kulturních památek bez stanovení měřitelných indikátorů a parametrů akcí </w:t>
      </w:r>
      <w:r w:rsidR="00F52485">
        <w:t xml:space="preserve">nebylo možné </w:t>
      </w:r>
      <w:r w:rsidRPr="00D57852">
        <w:t>vyhodnotit.</w:t>
      </w:r>
      <w:r>
        <w:t xml:space="preserve"> Dále NKÚ zjistil, že MK v </w:t>
      </w:r>
      <w:r w:rsidRPr="00FA0F2E">
        <w:t>rozhodnutí</w:t>
      </w:r>
      <w:r>
        <w:t>ch</w:t>
      </w:r>
      <w:r w:rsidRPr="00FA0F2E">
        <w:t xml:space="preserve"> o poskytnutí příspěvku</w:t>
      </w:r>
      <w:r>
        <w:t xml:space="preserve"> nastavilo </w:t>
      </w:r>
      <w:r w:rsidRPr="00FA0F2E">
        <w:t>nejednotné podmínk</w:t>
      </w:r>
      <w:r>
        <w:t>y</w:t>
      </w:r>
      <w:r w:rsidRPr="00FA0F2E">
        <w:t xml:space="preserve"> </w:t>
      </w:r>
      <w:r>
        <w:t xml:space="preserve">a </w:t>
      </w:r>
      <w:r w:rsidRPr="00AC6095">
        <w:t xml:space="preserve">jednoznačně nevymezilo závazné </w:t>
      </w:r>
      <w:r w:rsidRPr="00FA0F2E">
        <w:t>podmínky akcí</w:t>
      </w:r>
      <w:r>
        <w:t>.</w:t>
      </w:r>
    </w:p>
    <w:p w14:paraId="422DEF9A" w14:textId="77777777" w:rsidR="00925DC3" w:rsidRDefault="006C06F8" w:rsidP="00925DC3">
      <w:pPr>
        <w:spacing w:before="0" w:after="120"/>
      </w:pPr>
      <w:r w:rsidRPr="00D57852">
        <w:t xml:space="preserve">MK </w:t>
      </w:r>
      <w:r>
        <w:t xml:space="preserve">předložilo vládě informace </w:t>
      </w:r>
      <w:r w:rsidRPr="00D57852">
        <w:t>o stavu plnění opatření přijatých k odstranění nedostatků uvedených v KA č. 17/01</w:t>
      </w:r>
      <w:r>
        <w:t xml:space="preserve"> </w:t>
      </w:r>
      <w:r w:rsidRPr="00D57852">
        <w:t>dne 17. 12. 2018</w:t>
      </w:r>
      <w:r>
        <w:t>. Zde MK uvedlo, že u všech opatření probíhá jejich plnění, resp. jsou již splněna.</w:t>
      </w:r>
    </w:p>
    <w:p w14:paraId="774DCC78" w14:textId="77777777" w:rsidR="00925DC3" w:rsidRDefault="006C06F8" w:rsidP="00925DC3">
      <w:pPr>
        <w:spacing w:before="0" w:after="120"/>
      </w:pPr>
      <w:r>
        <w:t xml:space="preserve">NKÚ v rámci KA č. 22/22 prověřil účinnost těchto opatření. MK sjednotilo podmínky v rozhodnutí o poskytnutí příspěvku. Jak však vyplývá z předchozích kapitol tohoto kontrolního závěru, přijatá opatření nevedla </w:t>
      </w:r>
      <w:r w:rsidRPr="00D57852">
        <w:t xml:space="preserve">k odstranění </w:t>
      </w:r>
      <w:r>
        <w:t xml:space="preserve">hlavních </w:t>
      </w:r>
      <w:r w:rsidRPr="00D57852">
        <w:t>nedostatků uvedených v KA č. 17/01</w:t>
      </w:r>
      <w:r>
        <w:t xml:space="preserve">. MK nepřijalo účinná opatření v oblasti </w:t>
      </w:r>
      <w:r w:rsidR="0054537B">
        <w:t>nastavení</w:t>
      </w:r>
      <w:r w:rsidRPr="0077138F">
        <w:t xml:space="preserve"> cílů</w:t>
      </w:r>
      <w:r w:rsidR="0054537B">
        <w:t xml:space="preserve">, </w:t>
      </w:r>
      <w:r w:rsidRPr="0077138F">
        <w:t xml:space="preserve">měřitelných ukazatelů </w:t>
      </w:r>
      <w:r w:rsidR="0054537B">
        <w:t xml:space="preserve">jejich </w:t>
      </w:r>
      <w:r w:rsidRPr="0077138F">
        <w:t xml:space="preserve">plnění </w:t>
      </w:r>
      <w:r>
        <w:t xml:space="preserve">ani </w:t>
      </w:r>
      <w:r w:rsidRPr="0077138F">
        <w:t>v oblasti vyhodnocení</w:t>
      </w:r>
      <w:r>
        <w:t>.</w:t>
      </w:r>
    </w:p>
    <w:p w14:paraId="7EAA1C83" w14:textId="035DF908" w:rsidR="001A6A74" w:rsidRPr="00F6680F" w:rsidRDefault="006C06F8" w:rsidP="00FD37C5">
      <w:r w:rsidRPr="00A07B25">
        <w:t>MK nepřijalo účinná opatření vedoucí k odstranění hlavních nedostatků zjištěných u PZAD v</w:t>
      </w:r>
      <w:r w:rsidR="00596E87">
        <w:t> </w:t>
      </w:r>
      <w:r w:rsidR="008D2674">
        <w:t>r</w:t>
      </w:r>
      <w:r w:rsidRPr="00A07B25">
        <w:t>ámci KA č. 17/01. Obdobné nedostatky jako u PZAD vykazují rovněž ostatní programy záchrany a obnovy kulturních památek.</w:t>
      </w:r>
      <w:r>
        <w:rPr>
          <w:rFonts w:cstheme="minorHAnsi"/>
          <w:b/>
        </w:rPr>
        <w:br w:type="page"/>
      </w:r>
    </w:p>
    <w:p w14:paraId="5F14D6C8" w14:textId="77777777" w:rsidR="001702E5" w:rsidRPr="008E30B9" w:rsidRDefault="006C06F8" w:rsidP="00AB1431">
      <w:pPr>
        <w:keepNext/>
        <w:spacing w:before="480" w:after="120"/>
      </w:pPr>
      <w:r w:rsidRPr="000141D2">
        <w:rPr>
          <w:rFonts w:cstheme="minorHAnsi"/>
          <w:b/>
        </w:rPr>
        <w:lastRenderedPageBreak/>
        <w:t>Seznam zkratek</w:t>
      </w:r>
    </w:p>
    <w:p w14:paraId="3D80A6F9" w14:textId="77777777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ČR</w:t>
      </w:r>
      <w:r w:rsidRPr="005C620F">
        <w:rPr>
          <w:rFonts w:cs="Times New Roman"/>
          <w:color w:val="auto"/>
          <w:lang w:eastAsia="cs-CZ"/>
        </w:rPr>
        <w:tab/>
        <w:t>Česká republika</w:t>
      </w:r>
    </w:p>
    <w:p w14:paraId="0B928304" w14:textId="472756A9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KPP 2017</w:t>
      </w:r>
      <w:r w:rsidRPr="005C620F">
        <w:rPr>
          <w:rFonts w:cs="Times New Roman"/>
          <w:color w:val="auto"/>
          <w:lang w:eastAsia="cs-CZ"/>
        </w:rPr>
        <w:tab/>
      </w:r>
      <w:r w:rsidRPr="00A93BDA">
        <w:rPr>
          <w:rFonts w:cs="Times New Roman"/>
          <w:i/>
          <w:color w:val="auto"/>
          <w:lang w:eastAsia="cs-CZ"/>
        </w:rPr>
        <w:t>Koncepce památkové péče v České republice na léta 2017</w:t>
      </w:r>
      <w:r w:rsidR="008D2674" w:rsidRPr="00A93BDA">
        <w:rPr>
          <w:rFonts w:cs="Times New Roman"/>
          <w:i/>
          <w:color w:val="auto"/>
          <w:lang w:eastAsia="cs-CZ"/>
        </w:rPr>
        <w:t>–</w:t>
      </w:r>
      <w:r w:rsidRPr="00A93BDA">
        <w:rPr>
          <w:rFonts w:cs="Times New Roman"/>
          <w:i/>
          <w:color w:val="auto"/>
          <w:lang w:eastAsia="cs-CZ"/>
        </w:rPr>
        <w:t>2020</w:t>
      </w:r>
    </w:p>
    <w:p w14:paraId="0EB8DACA" w14:textId="4B34786C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694" w:hanging="2694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 xml:space="preserve">Městský program </w:t>
      </w:r>
      <w:r w:rsidRPr="005C620F">
        <w:rPr>
          <w:rFonts w:cs="Times New Roman"/>
          <w:color w:val="auto"/>
          <w:lang w:eastAsia="cs-CZ"/>
        </w:rPr>
        <w:tab/>
        <w:t>Program regenerace městských památkových rezervací a</w:t>
      </w:r>
      <w:r w:rsidR="008D2674">
        <w:rPr>
          <w:rFonts w:cs="Times New Roman"/>
          <w:color w:val="auto"/>
          <w:lang w:eastAsia="cs-CZ"/>
        </w:rPr>
        <w:t> </w:t>
      </w:r>
      <w:r w:rsidRPr="005C620F">
        <w:rPr>
          <w:rFonts w:cs="Times New Roman"/>
          <w:color w:val="auto"/>
          <w:lang w:eastAsia="cs-CZ"/>
        </w:rPr>
        <w:t>městských památkových zón</w:t>
      </w:r>
    </w:p>
    <w:p w14:paraId="64AE42E9" w14:textId="77777777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MK</w:t>
      </w:r>
      <w:r w:rsidRPr="005C620F">
        <w:rPr>
          <w:rFonts w:cs="Times New Roman"/>
          <w:color w:val="auto"/>
          <w:lang w:eastAsia="cs-CZ"/>
        </w:rPr>
        <w:tab/>
        <w:t>Ministerstvo kultury</w:t>
      </w:r>
    </w:p>
    <w:p w14:paraId="0C49C215" w14:textId="77777777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 xml:space="preserve">Movitý program </w:t>
      </w:r>
      <w:r w:rsidRPr="005C620F">
        <w:rPr>
          <w:rFonts w:cs="Times New Roman"/>
          <w:color w:val="auto"/>
          <w:lang w:eastAsia="cs-CZ"/>
        </w:rPr>
        <w:tab/>
      </w:r>
      <w:r w:rsidRPr="00A93BDA">
        <w:rPr>
          <w:rFonts w:cs="Times New Roman"/>
          <w:i/>
          <w:color w:val="auto"/>
          <w:lang w:eastAsia="cs-CZ"/>
        </w:rPr>
        <w:t>Program restaurování movitých kulturních památek</w:t>
      </w:r>
      <w:r w:rsidRPr="005C620F">
        <w:rPr>
          <w:rFonts w:cs="Times New Roman"/>
          <w:color w:val="auto"/>
          <w:lang w:eastAsia="cs-CZ"/>
        </w:rPr>
        <w:t xml:space="preserve"> </w:t>
      </w:r>
    </w:p>
    <w:p w14:paraId="04A76684" w14:textId="77777777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MPR</w:t>
      </w:r>
      <w:r w:rsidRPr="005C620F">
        <w:rPr>
          <w:rFonts w:cs="Times New Roman"/>
          <w:color w:val="auto"/>
          <w:lang w:eastAsia="cs-CZ"/>
        </w:rPr>
        <w:tab/>
        <w:t>městská památková rezervace</w:t>
      </w:r>
    </w:p>
    <w:p w14:paraId="251482FD" w14:textId="77777777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MPZ</w:t>
      </w:r>
      <w:r w:rsidRPr="005C620F">
        <w:rPr>
          <w:rFonts w:cs="Times New Roman"/>
          <w:color w:val="auto"/>
          <w:lang w:eastAsia="cs-CZ"/>
        </w:rPr>
        <w:tab/>
        <w:t>městská památková zóna</w:t>
      </w:r>
    </w:p>
    <w:p w14:paraId="1EF1DDC2" w14:textId="77777777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NKÚ</w:t>
      </w:r>
      <w:r w:rsidRPr="005C620F">
        <w:rPr>
          <w:rFonts w:cs="Times New Roman"/>
          <w:color w:val="auto"/>
          <w:lang w:eastAsia="cs-CZ"/>
        </w:rPr>
        <w:tab/>
        <w:t>Nejvyšší kontrolní úřad</w:t>
      </w:r>
    </w:p>
    <w:p w14:paraId="3FD517A5" w14:textId="77777777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NPÚ</w:t>
      </w:r>
      <w:r w:rsidRPr="005C620F">
        <w:rPr>
          <w:rFonts w:cs="Times New Roman"/>
          <w:color w:val="auto"/>
          <w:lang w:eastAsia="cs-CZ"/>
        </w:rPr>
        <w:tab/>
        <w:t>Národní památkový ústav</w:t>
      </w:r>
    </w:p>
    <w:p w14:paraId="6CF8E94F" w14:textId="77777777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 xml:space="preserve">Památkový katalog </w:t>
      </w:r>
      <w:r w:rsidRPr="005C620F">
        <w:rPr>
          <w:rFonts w:cs="Times New Roman"/>
          <w:color w:val="auto"/>
          <w:lang w:eastAsia="cs-CZ"/>
        </w:rPr>
        <w:tab/>
      </w:r>
      <w:r w:rsidRPr="00A93BDA">
        <w:rPr>
          <w:rFonts w:cs="Times New Roman"/>
          <w:i/>
          <w:color w:val="auto"/>
          <w:lang w:eastAsia="cs-CZ"/>
        </w:rPr>
        <w:t>Ústřední seznam kulturních památek</w:t>
      </w:r>
    </w:p>
    <w:p w14:paraId="241B69C5" w14:textId="36FC97B5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694" w:hanging="2694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 xml:space="preserve">Program ORP </w:t>
      </w:r>
      <w:r w:rsidRPr="005C620F">
        <w:rPr>
          <w:rFonts w:cs="Times New Roman"/>
          <w:color w:val="auto"/>
          <w:lang w:eastAsia="cs-CZ"/>
        </w:rPr>
        <w:tab/>
      </w:r>
      <w:r w:rsidR="002D7928">
        <w:rPr>
          <w:rFonts w:cs="Times New Roman"/>
          <w:color w:val="auto"/>
          <w:lang w:eastAsia="cs-CZ"/>
        </w:rPr>
        <w:t>p</w:t>
      </w:r>
      <w:r w:rsidRPr="005C620F">
        <w:rPr>
          <w:rFonts w:cs="Times New Roman"/>
          <w:color w:val="auto"/>
          <w:lang w:eastAsia="cs-CZ"/>
        </w:rPr>
        <w:t xml:space="preserve">rogram </w:t>
      </w:r>
      <w:r w:rsidRPr="00A93BDA">
        <w:rPr>
          <w:rFonts w:cs="Times New Roman"/>
          <w:i/>
          <w:color w:val="auto"/>
          <w:lang w:eastAsia="cs-CZ"/>
        </w:rPr>
        <w:t>Podpora obnovy kulturních památek prostřednictvím obcí s rozšířenou působností</w:t>
      </w:r>
    </w:p>
    <w:p w14:paraId="4AB57DF6" w14:textId="77777777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PZAD</w:t>
      </w:r>
      <w:r w:rsidRPr="005C620F">
        <w:rPr>
          <w:rFonts w:cs="Times New Roman"/>
          <w:color w:val="auto"/>
          <w:lang w:eastAsia="cs-CZ"/>
        </w:rPr>
        <w:tab/>
      </w:r>
      <w:r w:rsidRPr="00A93BDA">
        <w:rPr>
          <w:rFonts w:cs="Times New Roman"/>
          <w:i/>
          <w:color w:val="auto"/>
          <w:lang w:eastAsia="cs-CZ"/>
        </w:rPr>
        <w:t>Program záchrany architektonického dědictví</w:t>
      </w:r>
    </w:p>
    <w:p w14:paraId="2FAE2694" w14:textId="1354D7BE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SKP 2015</w:t>
      </w:r>
      <w:r w:rsidRPr="005C620F">
        <w:rPr>
          <w:rFonts w:cs="Times New Roman"/>
          <w:color w:val="auto"/>
          <w:lang w:eastAsia="cs-CZ"/>
        </w:rPr>
        <w:tab/>
      </w:r>
      <w:r w:rsidRPr="00A93BDA">
        <w:rPr>
          <w:rFonts w:cs="Times New Roman"/>
          <w:i/>
          <w:color w:val="auto"/>
          <w:lang w:eastAsia="cs-CZ"/>
        </w:rPr>
        <w:t>Státní kulturní politika na léta 2015</w:t>
      </w:r>
      <w:r w:rsidR="002D7928" w:rsidRPr="002D7928">
        <w:rPr>
          <w:i/>
          <w:lang w:eastAsia="cs-CZ"/>
        </w:rPr>
        <w:t>–</w:t>
      </w:r>
      <w:r w:rsidRPr="00A93BDA">
        <w:rPr>
          <w:rFonts w:cs="Times New Roman"/>
          <w:i/>
          <w:color w:val="auto"/>
          <w:lang w:eastAsia="cs-CZ"/>
        </w:rPr>
        <w:t>2020</w:t>
      </w:r>
    </w:p>
    <w:p w14:paraId="470AB7EF" w14:textId="38E55776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SKP 2021</w:t>
      </w:r>
      <w:r w:rsidRPr="005C620F">
        <w:rPr>
          <w:rFonts w:cs="Times New Roman"/>
          <w:color w:val="auto"/>
          <w:lang w:eastAsia="cs-CZ"/>
        </w:rPr>
        <w:tab/>
      </w:r>
      <w:r w:rsidRPr="00A93BDA">
        <w:rPr>
          <w:rFonts w:cs="Times New Roman"/>
          <w:i/>
          <w:color w:val="auto"/>
          <w:lang w:eastAsia="cs-CZ"/>
        </w:rPr>
        <w:t>Státní kulturní politika 2021</w:t>
      </w:r>
      <w:r w:rsidR="002D7928" w:rsidRPr="00A93BDA">
        <w:rPr>
          <w:rFonts w:cs="Times New Roman"/>
          <w:i/>
          <w:color w:val="auto"/>
          <w:lang w:eastAsia="cs-CZ"/>
        </w:rPr>
        <w:t>–</w:t>
      </w:r>
      <w:r w:rsidRPr="00A93BDA">
        <w:rPr>
          <w:rFonts w:cs="Times New Roman"/>
          <w:i/>
          <w:color w:val="auto"/>
          <w:lang w:eastAsia="cs-CZ"/>
        </w:rPr>
        <w:t>2025+</w:t>
      </w:r>
    </w:p>
    <w:p w14:paraId="013F2033" w14:textId="51590FA0" w:rsidR="005C620F" w:rsidRPr="005C620F" w:rsidRDefault="006C06F8" w:rsidP="00AB1431">
      <w:pPr>
        <w:tabs>
          <w:tab w:val="left" w:pos="2694"/>
        </w:tabs>
        <w:spacing w:before="60" w:after="60" w:line="264" w:lineRule="auto"/>
        <w:ind w:left="2977" w:hanging="2977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>ÚSKP</w:t>
      </w:r>
      <w:r w:rsidRPr="005C620F">
        <w:rPr>
          <w:rFonts w:cs="Times New Roman"/>
          <w:color w:val="auto"/>
          <w:lang w:eastAsia="cs-CZ"/>
        </w:rPr>
        <w:tab/>
      </w:r>
      <w:r w:rsidR="002D7928">
        <w:rPr>
          <w:rFonts w:cs="Times New Roman"/>
          <w:color w:val="auto"/>
          <w:lang w:eastAsia="cs-CZ"/>
        </w:rPr>
        <w:t>i</w:t>
      </w:r>
      <w:r w:rsidRPr="005C620F">
        <w:rPr>
          <w:rFonts w:cs="Times New Roman"/>
          <w:color w:val="auto"/>
          <w:lang w:eastAsia="cs-CZ"/>
        </w:rPr>
        <w:t>dentifikační údaj dle Ústředního seznamu kulturních památek</w:t>
      </w:r>
    </w:p>
    <w:p w14:paraId="6DC2E5DE" w14:textId="77777777" w:rsidR="009B7157" w:rsidRPr="006B2A93" w:rsidRDefault="006C06F8" w:rsidP="00AB1431">
      <w:pPr>
        <w:tabs>
          <w:tab w:val="left" w:pos="2694"/>
        </w:tabs>
        <w:spacing w:before="60" w:after="60" w:line="264" w:lineRule="auto"/>
        <w:ind w:left="2694" w:hanging="2694"/>
        <w:jc w:val="left"/>
        <w:rPr>
          <w:rFonts w:cs="Times New Roman"/>
          <w:color w:val="auto"/>
          <w:lang w:eastAsia="cs-CZ"/>
        </w:rPr>
      </w:pPr>
      <w:r w:rsidRPr="005C620F">
        <w:rPr>
          <w:rFonts w:cs="Times New Roman"/>
          <w:color w:val="auto"/>
          <w:lang w:eastAsia="cs-CZ"/>
        </w:rPr>
        <w:t xml:space="preserve">Vesnický program </w:t>
      </w:r>
      <w:r w:rsidRPr="005C620F">
        <w:rPr>
          <w:rFonts w:cs="Times New Roman"/>
          <w:color w:val="auto"/>
          <w:lang w:eastAsia="cs-CZ"/>
        </w:rPr>
        <w:tab/>
      </w:r>
      <w:r w:rsidRPr="00A93BDA">
        <w:rPr>
          <w:rFonts w:cs="Times New Roman"/>
          <w:i/>
          <w:color w:val="auto"/>
          <w:lang w:eastAsia="cs-CZ"/>
        </w:rPr>
        <w:t>Program péče o vesnické památkové rezervace, vesnické památkové zóny a krajinné památkové zóny</w:t>
      </w:r>
    </w:p>
    <w:sectPr w:rsidR="009B7157" w:rsidRPr="006B2A93" w:rsidSect="00FC307E"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05DF8" w14:textId="77777777" w:rsidR="0040738E" w:rsidRDefault="0040738E">
      <w:pPr>
        <w:spacing w:before="0"/>
      </w:pPr>
      <w:r>
        <w:separator/>
      </w:r>
    </w:p>
  </w:endnote>
  <w:endnote w:type="continuationSeparator" w:id="0">
    <w:p w14:paraId="5F66200C" w14:textId="77777777" w:rsidR="0040738E" w:rsidRDefault="0040738E">
      <w:pPr>
        <w:spacing w:before="0"/>
      </w:pPr>
      <w:r>
        <w:continuationSeparator/>
      </w:r>
    </w:p>
  </w:endnote>
  <w:endnote w:type="continuationNotice" w:id="1">
    <w:p w14:paraId="6B089741" w14:textId="77777777" w:rsidR="00AE02B8" w:rsidRDefault="00AE02B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E4E03" w14:textId="77777777" w:rsidR="003A6410" w:rsidRPr="001548CB" w:rsidRDefault="006C06F8" w:rsidP="00FC307E">
    <w:pPr>
      <w:pStyle w:val="Zpat"/>
      <w:jc w:val="center"/>
    </w:pPr>
    <w:r w:rsidRPr="001548CB">
      <w:fldChar w:fldCharType="begin"/>
    </w:r>
    <w:r w:rsidRPr="001548CB">
      <w:instrText>PAGE   \* MERGEFORMAT</w:instrText>
    </w:r>
    <w:r w:rsidRPr="001548CB">
      <w:fldChar w:fldCharType="separate"/>
    </w:r>
    <w:r>
      <w:rPr>
        <w:noProof/>
      </w:rPr>
      <w:t>14</w:t>
    </w:r>
    <w:r w:rsidRPr="001548C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FB77" w14:textId="77777777" w:rsidR="0040738E" w:rsidRDefault="0040738E" w:rsidP="00FC307E">
      <w:r>
        <w:separator/>
      </w:r>
    </w:p>
  </w:footnote>
  <w:footnote w:type="continuationSeparator" w:id="0">
    <w:p w14:paraId="03F503EF" w14:textId="77777777" w:rsidR="0040738E" w:rsidRDefault="0040738E" w:rsidP="00FC307E">
      <w:r>
        <w:continuationSeparator/>
      </w:r>
    </w:p>
  </w:footnote>
  <w:footnote w:type="continuationNotice" w:id="1">
    <w:p w14:paraId="57BA6CCB" w14:textId="77777777" w:rsidR="00AE02B8" w:rsidRDefault="00AE02B8">
      <w:pPr>
        <w:spacing w:before="0"/>
      </w:pPr>
    </w:p>
  </w:footnote>
  <w:footnote w:id="2">
    <w:p w14:paraId="1C9B0CD6" w14:textId="77777777" w:rsidR="00DD0B6A" w:rsidRPr="00891D34" w:rsidRDefault="00DD0B6A" w:rsidP="00891D34">
      <w:pPr>
        <w:pStyle w:val="Textpoznpodarou"/>
        <w:ind w:left="284" w:hanging="284"/>
      </w:pPr>
      <w:r w:rsidRPr="00891D34">
        <w:rPr>
          <w:rStyle w:val="Znakapoznpodarou"/>
        </w:rPr>
        <w:footnoteRef/>
      </w:r>
      <w:r w:rsidRPr="00891D34">
        <w:t xml:space="preserve"> </w:t>
      </w:r>
      <w:r w:rsidR="00891D34">
        <w:tab/>
      </w:r>
      <w:r w:rsidRPr="00891D34">
        <w:t>Zákon č. 218/2000 Sb., o rozpočtových pravidlech a o změně některých souvisejících zákonů (rozpočtová pravidla)</w:t>
      </w:r>
      <w:r w:rsidR="009D486F" w:rsidRPr="00891D34">
        <w:t>.</w:t>
      </w:r>
    </w:p>
  </w:footnote>
  <w:footnote w:id="3">
    <w:p w14:paraId="0348383A" w14:textId="77777777" w:rsidR="00DD0B6A" w:rsidRPr="00891D34" w:rsidRDefault="00DD0B6A" w:rsidP="00891D34">
      <w:pPr>
        <w:pStyle w:val="Textpoznpodarou"/>
        <w:ind w:left="284" w:hanging="284"/>
      </w:pPr>
      <w:r w:rsidRPr="00891D34">
        <w:rPr>
          <w:rStyle w:val="Znakapoznpodarou"/>
        </w:rPr>
        <w:footnoteRef/>
      </w:r>
      <w:r w:rsidRPr="00891D34">
        <w:t xml:space="preserve"> </w:t>
      </w:r>
      <w:r w:rsidR="00891D34">
        <w:tab/>
      </w:r>
      <w:r w:rsidRPr="00891D34">
        <w:t>Zákon České národní rady č. 20/1987 Sb., o státní památkové péči</w:t>
      </w:r>
      <w:r w:rsidR="009D486F" w:rsidRPr="00891D34">
        <w:t>.</w:t>
      </w:r>
    </w:p>
  </w:footnote>
  <w:footnote w:id="4">
    <w:p w14:paraId="04A1AB51" w14:textId="77777777" w:rsidR="00280484" w:rsidRPr="004357CA" w:rsidRDefault="006C06F8" w:rsidP="00FF2E64">
      <w:pPr>
        <w:pStyle w:val="Textpoznpodarou"/>
        <w:ind w:left="284" w:hanging="284"/>
        <w:rPr>
          <w:rFonts w:cstheme="minorHAnsi"/>
        </w:rPr>
      </w:pPr>
      <w:r w:rsidRPr="004357CA">
        <w:rPr>
          <w:rStyle w:val="Znakapoznpodarou"/>
          <w:rFonts w:cstheme="minorHAnsi"/>
        </w:rPr>
        <w:footnoteRef/>
      </w:r>
      <w:r w:rsidRPr="004357CA">
        <w:rPr>
          <w:rFonts w:cstheme="minorHAnsi"/>
        </w:rPr>
        <w:t xml:space="preserve"> </w:t>
      </w:r>
      <w:r w:rsidR="00FF2E64">
        <w:rPr>
          <w:rFonts w:cstheme="minorHAnsi"/>
        </w:rPr>
        <w:tab/>
      </w:r>
      <w:r w:rsidRPr="004357CA">
        <w:rPr>
          <w:rFonts w:cstheme="minorHAnsi"/>
        </w:rPr>
        <w:t>Vyhláška č. 66/1988 Sb.</w:t>
      </w:r>
      <w:r w:rsidR="003D3D72">
        <w:rPr>
          <w:rFonts w:cstheme="minorHAnsi"/>
        </w:rPr>
        <w:t>, kterou se provádí zákon České národní rady č. 20/1987 Sb., o státní památkové péči</w:t>
      </w:r>
      <w:r w:rsidR="003A10F3">
        <w:rPr>
          <w:rFonts w:cstheme="minorHAnsi"/>
        </w:rPr>
        <w:t xml:space="preserve">, </w:t>
      </w:r>
    </w:p>
  </w:footnote>
  <w:footnote w:id="5">
    <w:p w14:paraId="4935F647" w14:textId="4B467C56" w:rsidR="00C535A0" w:rsidRPr="00314CE8" w:rsidRDefault="006C06F8" w:rsidP="00314CE8">
      <w:pPr>
        <w:pStyle w:val="Textpoznpodarou"/>
        <w:ind w:left="284" w:hanging="284"/>
        <w:rPr>
          <w:rFonts w:cs="Times New Roman"/>
        </w:rPr>
      </w:pPr>
      <w:r w:rsidRPr="00314CE8">
        <w:rPr>
          <w:rStyle w:val="Znakapoznpodarou"/>
        </w:rPr>
        <w:footnoteRef/>
      </w:r>
      <w:r w:rsidRPr="00314CE8">
        <w:t xml:space="preserve"> </w:t>
      </w:r>
      <w:r w:rsidR="00314CE8">
        <w:tab/>
      </w:r>
      <w:r w:rsidRPr="00314CE8">
        <w:t>Dle ustanovení § 2 písm. o) zákona</w:t>
      </w:r>
      <w:r w:rsidR="003A10F3" w:rsidRPr="00314CE8">
        <w:t xml:space="preserve"> č. 320/2001 Sb.,</w:t>
      </w:r>
      <w:r w:rsidR="003E29EC" w:rsidRPr="00314CE8">
        <w:t xml:space="preserve"> </w:t>
      </w:r>
      <w:r w:rsidRPr="00314CE8">
        <w:t>o finanční kontrole</w:t>
      </w:r>
      <w:r w:rsidR="003A10F3" w:rsidRPr="00314CE8">
        <w:t xml:space="preserve"> ve veřejné správě a o změně některých zákonů</w:t>
      </w:r>
      <w:r w:rsidR="00095B43">
        <w:t xml:space="preserve"> (zákon o finanční kontrole)</w:t>
      </w:r>
      <w:r w:rsidRPr="00314CE8">
        <w:t>.</w:t>
      </w:r>
    </w:p>
  </w:footnote>
  <w:footnote w:id="6">
    <w:p w14:paraId="3635E6F0" w14:textId="2676823D" w:rsidR="00FA15E5" w:rsidRDefault="00FA15E5" w:rsidP="00314CE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314CE8">
        <w:tab/>
      </w:r>
      <w:r>
        <w:t>Zásady k programům s informacemi o nastavení a podmínkách programu</w:t>
      </w:r>
      <w:r w:rsidR="00A21CD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2F9"/>
    <w:multiLevelType w:val="hybridMultilevel"/>
    <w:tmpl w:val="5630F2AC"/>
    <w:lvl w:ilvl="0" w:tplc="5CB63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AF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8D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28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E6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83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AB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46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CFB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5A20"/>
    <w:multiLevelType w:val="hybridMultilevel"/>
    <w:tmpl w:val="A7C4A128"/>
    <w:lvl w:ilvl="0" w:tplc="F2680A3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CA74DA" w:tentative="1">
      <w:start w:val="1"/>
      <w:numFmt w:val="lowerLetter"/>
      <w:lvlText w:val="%2."/>
      <w:lvlJc w:val="left"/>
      <w:pPr>
        <w:ind w:left="1440" w:hanging="360"/>
      </w:pPr>
    </w:lvl>
    <w:lvl w:ilvl="2" w:tplc="3070C010" w:tentative="1">
      <w:start w:val="1"/>
      <w:numFmt w:val="lowerRoman"/>
      <w:lvlText w:val="%3."/>
      <w:lvlJc w:val="right"/>
      <w:pPr>
        <w:ind w:left="2160" w:hanging="180"/>
      </w:pPr>
    </w:lvl>
    <w:lvl w:ilvl="3" w:tplc="C2966F8C" w:tentative="1">
      <w:start w:val="1"/>
      <w:numFmt w:val="decimal"/>
      <w:lvlText w:val="%4."/>
      <w:lvlJc w:val="left"/>
      <w:pPr>
        <w:ind w:left="2880" w:hanging="360"/>
      </w:pPr>
    </w:lvl>
    <w:lvl w:ilvl="4" w:tplc="E63E8C9C" w:tentative="1">
      <w:start w:val="1"/>
      <w:numFmt w:val="lowerLetter"/>
      <w:lvlText w:val="%5."/>
      <w:lvlJc w:val="left"/>
      <w:pPr>
        <w:ind w:left="3600" w:hanging="360"/>
      </w:pPr>
    </w:lvl>
    <w:lvl w:ilvl="5" w:tplc="ACE45258" w:tentative="1">
      <w:start w:val="1"/>
      <w:numFmt w:val="lowerRoman"/>
      <w:lvlText w:val="%6."/>
      <w:lvlJc w:val="right"/>
      <w:pPr>
        <w:ind w:left="4320" w:hanging="180"/>
      </w:pPr>
    </w:lvl>
    <w:lvl w:ilvl="6" w:tplc="6CDA87B0" w:tentative="1">
      <w:start w:val="1"/>
      <w:numFmt w:val="decimal"/>
      <w:lvlText w:val="%7."/>
      <w:lvlJc w:val="left"/>
      <w:pPr>
        <w:ind w:left="5040" w:hanging="360"/>
      </w:pPr>
    </w:lvl>
    <w:lvl w:ilvl="7" w:tplc="FF146002" w:tentative="1">
      <w:start w:val="1"/>
      <w:numFmt w:val="lowerLetter"/>
      <w:lvlText w:val="%8."/>
      <w:lvlJc w:val="left"/>
      <w:pPr>
        <w:ind w:left="5760" w:hanging="360"/>
      </w:pPr>
    </w:lvl>
    <w:lvl w:ilvl="8" w:tplc="9CD06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0BBD"/>
    <w:multiLevelType w:val="hybridMultilevel"/>
    <w:tmpl w:val="FBA0C886"/>
    <w:lvl w:ilvl="0" w:tplc="076C2518">
      <w:start w:val="5"/>
      <w:numFmt w:val="decimal"/>
      <w:lvlText w:val="%1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71089B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16A9CC">
      <w:start w:val="1"/>
      <w:numFmt w:val="lowerRoman"/>
      <w:lvlText w:val="%3."/>
      <w:lvlJc w:val="right"/>
      <w:pPr>
        <w:ind w:left="2160" w:hanging="180"/>
      </w:pPr>
    </w:lvl>
    <w:lvl w:ilvl="3" w:tplc="6858947A" w:tentative="1">
      <w:start w:val="1"/>
      <w:numFmt w:val="decimal"/>
      <w:lvlText w:val="%4."/>
      <w:lvlJc w:val="left"/>
      <w:pPr>
        <w:ind w:left="2880" w:hanging="360"/>
      </w:pPr>
    </w:lvl>
    <w:lvl w:ilvl="4" w:tplc="B588CF8C" w:tentative="1">
      <w:start w:val="1"/>
      <w:numFmt w:val="lowerLetter"/>
      <w:lvlText w:val="%5."/>
      <w:lvlJc w:val="left"/>
      <w:pPr>
        <w:ind w:left="3600" w:hanging="360"/>
      </w:pPr>
    </w:lvl>
    <w:lvl w:ilvl="5" w:tplc="B9E06150" w:tentative="1">
      <w:start w:val="1"/>
      <w:numFmt w:val="lowerRoman"/>
      <w:lvlText w:val="%6."/>
      <w:lvlJc w:val="right"/>
      <w:pPr>
        <w:ind w:left="4320" w:hanging="180"/>
      </w:pPr>
    </w:lvl>
    <w:lvl w:ilvl="6" w:tplc="D5BAD8FC" w:tentative="1">
      <w:start w:val="1"/>
      <w:numFmt w:val="decimal"/>
      <w:lvlText w:val="%7."/>
      <w:lvlJc w:val="left"/>
      <w:pPr>
        <w:ind w:left="5040" w:hanging="360"/>
      </w:pPr>
    </w:lvl>
    <w:lvl w:ilvl="7" w:tplc="BB74DFB2" w:tentative="1">
      <w:start w:val="1"/>
      <w:numFmt w:val="lowerLetter"/>
      <w:lvlText w:val="%8."/>
      <w:lvlJc w:val="left"/>
      <w:pPr>
        <w:ind w:left="5760" w:hanging="360"/>
      </w:pPr>
    </w:lvl>
    <w:lvl w:ilvl="8" w:tplc="3DA65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12A97"/>
    <w:multiLevelType w:val="hybridMultilevel"/>
    <w:tmpl w:val="51129EB6"/>
    <w:lvl w:ilvl="0" w:tplc="92C61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ACC068" w:tentative="1">
      <w:start w:val="1"/>
      <w:numFmt w:val="lowerLetter"/>
      <w:lvlText w:val="%2."/>
      <w:lvlJc w:val="left"/>
      <w:pPr>
        <w:ind w:left="1440" w:hanging="360"/>
      </w:pPr>
    </w:lvl>
    <w:lvl w:ilvl="2" w:tplc="EE34FE16" w:tentative="1">
      <w:start w:val="1"/>
      <w:numFmt w:val="lowerRoman"/>
      <w:lvlText w:val="%3."/>
      <w:lvlJc w:val="right"/>
      <w:pPr>
        <w:ind w:left="2160" w:hanging="180"/>
      </w:pPr>
    </w:lvl>
    <w:lvl w:ilvl="3" w:tplc="52027AD4" w:tentative="1">
      <w:start w:val="1"/>
      <w:numFmt w:val="decimal"/>
      <w:lvlText w:val="%4."/>
      <w:lvlJc w:val="left"/>
      <w:pPr>
        <w:ind w:left="2880" w:hanging="360"/>
      </w:pPr>
    </w:lvl>
    <w:lvl w:ilvl="4" w:tplc="A0322762" w:tentative="1">
      <w:start w:val="1"/>
      <w:numFmt w:val="lowerLetter"/>
      <w:lvlText w:val="%5."/>
      <w:lvlJc w:val="left"/>
      <w:pPr>
        <w:ind w:left="3600" w:hanging="360"/>
      </w:pPr>
    </w:lvl>
    <w:lvl w:ilvl="5" w:tplc="67B02A9C" w:tentative="1">
      <w:start w:val="1"/>
      <w:numFmt w:val="lowerRoman"/>
      <w:lvlText w:val="%6."/>
      <w:lvlJc w:val="right"/>
      <w:pPr>
        <w:ind w:left="4320" w:hanging="180"/>
      </w:pPr>
    </w:lvl>
    <w:lvl w:ilvl="6" w:tplc="17BE3DEC" w:tentative="1">
      <w:start w:val="1"/>
      <w:numFmt w:val="decimal"/>
      <w:lvlText w:val="%7."/>
      <w:lvlJc w:val="left"/>
      <w:pPr>
        <w:ind w:left="5040" w:hanging="360"/>
      </w:pPr>
    </w:lvl>
    <w:lvl w:ilvl="7" w:tplc="0D6A0768" w:tentative="1">
      <w:start w:val="1"/>
      <w:numFmt w:val="lowerLetter"/>
      <w:lvlText w:val="%8."/>
      <w:lvlJc w:val="left"/>
      <w:pPr>
        <w:ind w:left="5760" w:hanging="360"/>
      </w:pPr>
    </w:lvl>
    <w:lvl w:ilvl="8" w:tplc="72A6B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D59F0"/>
    <w:multiLevelType w:val="hybridMultilevel"/>
    <w:tmpl w:val="8E8406BE"/>
    <w:lvl w:ilvl="0" w:tplc="CD609970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D44287EC" w:tentative="1">
      <w:start w:val="1"/>
      <w:numFmt w:val="lowerLetter"/>
      <w:lvlText w:val="%2."/>
      <w:lvlJc w:val="left"/>
      <w:pPr>
        <w:ind w:left="1440" w:hanging="360"/>
      </w:pPr>
    </w:lvl>
    <w:lvl w:ilvl="2" w:tplc="FA623F66" w:tentative="1">
      <w:start w:val="1"/>
      <w:numFmt w:val="lowerRoman"/>
      <w:lvlText w:val="%3."/>
      <w:lvlJc w:val="right"/>
      <w:pPr>
        <w:ind w:left="2160" w:hanging="180"/>
      </w:pPr>
    </w:lvl>
    <w:lvl w:ilvl="3" w:tplc="ACBC215A" w:tentative="1">
      <w:start w:val="1"/>
      <w:numFmt w:val="decimal"/>
      <w:lvlText w:val="%4."/>
      <w:lvlJc w:val="left"/>
      <w:pPr>
        <w:ind w:left="2880" w:hanging="360"/>
      </w:pPr>
    </w:lvl>
    <w:lvl w:ilvl="4" w:tplc="FCEA6A7A" w:tentative="1">
      <w:start w:val="1"/>
      <w:numFmt w:val="lowerLetter"/>
      <w:lvlText w:val="%5."/>
      <w:lvlJc w:val="left"/>
      <w:pPr>
        <w:ind w:left="3600" w:hanging="360"/>
      </w:pPr>
    </w:lvl>
    <w:lvl w:ilvl="5" w:tplc="4614CAA8" w:tentative="1">
      <w:start w:val="1"/>
      <w:numFmt w:val="lowerRoman"/>
      <w:lvlText w:val="%6."/>
      <w:lvlJc w:val="right"/>
      <w:pPr>
        <w:ind w:left="4320" w:hanging="180"/>
      </w:pPr>
    </w:lvl>
    <w:lvl w:ilvl="6" w:tplc="2564CD02" w:tentative="1">
      <w:start w:val="1"/>
      <w:numFmt w:val="decimal"/>
      <w:lvlText w:val="%7."/>
      <w:lvlJc w:val="left"/>
      <w:pPr>
        <w:ind w:left="5040" w:hanging="360"/>
      </w:pPr>
    </w:lvl>
    <w:lvl w:ilvl="7" w:tplc="43E07466" w:tentative="1">
      <w:start w:val="1"/>
      <w:numFmt w:val="lowerLetter"/>
      <w:lvlText w:val="%8."/>
      <w:lvlJc w:val="left"/>
      <w:pPr>
        <w:ind w:left="5760" w:hanging="360"/>
      </w:pPr>
    </w:lvl>
    <w:lvl w:ilvl="8" w:tplc="CD6EB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0099B"/>
    <w:multiLevelType w:val="hybridMultilevel"/>
    <w:tmpl w:val="D364384E"/>
    <w:lvl w:ilvl="0" w:tplc="122EE49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E78A56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5456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10EE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6CD0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D23B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2064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0A0F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7E5D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013C4C"/>
    <w:multiLevelType w:val="multilevel"/>
    <w:tmpl w:val="C1C895D6"/>
    <w:lvl w:ilvl="0">
      <w:start w:val="1"/>
      <w:numFmt w:val="none"/>
      <w:lvlText w:val="5 a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F3129D"/>
    <w:multiLevelType w:val="hybridMultilevel"/>
    <w:tmpl w:val="719E491A"/>
    <w:lvl w:ilvl="0" w:tplc="9E220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87CB0EC" w:tentative="1">
      <w:start w:val="1"/>
      <w:numFmt w:val="lowerLetter"/>
      <w:lvlText w:val="%2."/>
      <w:lvlJc w:val="left"/>
      <w:pPr>
        <w:ind w:left="1440" w:hanging="360"/>
      </w:pPr>
    </w:lvl>
    <w:lvl w:ilvl="2" w:tplc="D7D49BD8" w:tentative="1">
      <w:start w:val="1"/>
      <w:numFmt w:val="lowerRoman"/>
      <w:lvlText w:val="%3."/>
      <w:lvlJc w:val="right"/>
      <w:pPr>
        <w:ind w:left="2160" w:hanging="180"/>
      </w:pPr>
    </w:lvl>
    <w:lvl w:ilvl="3" w:tplc="5AC6F944" w:tentative="1">
      <w:start w:val="1"/>
      <w:numFmt w:val="decimal"/>
      <w:lvlText w:val="%4."/>
      <w:lvlJc w:val="left"/>
      <w:pPr>
        <w:ind w:left="2880" w:hanging="360"/>
      </w:pPr>
    </w:lvl>
    <w:lvl w:ilvl="4" w:tplc="69A4563C" w:tentative="1">
      <w:start w:val="1"/>
      <w:numFmt w:val="lowerLetter"/>
      <w:lvlText w:val="%5."/>
      <w:lvlJc w:val="left"/>
      <w:pPr>
        <w:ind w:left="3600" w:hanging="360"/>
      </w:pPr>
    </w:lvl>
    <w:lvl w:ilvl="5" w:tplc="8BE0902A" w:tentative="1">
      <w:start w:val="1"/>
      <w:numFmt w:val="lowerRoman"/>
      <w:lvlText w:val="%6."/>
      <w:lvlJc w:val="right"/>
      <w:pPr>
        <w:ind w:left="4320" w:hanging="180"/>
      </w:pPr>
    </w:lvl>
    <w:lvl w:ilvl="6" w:tplc="02E69A54" w:tentative="1">
      <w:start w:val="1"/>
      <w:numFmt w:val="decimal"/>
      <w:lvlText w:val="%7."/>
      <w:lvlJc w:val="left"/>
      <w:pPr>
        <w:ind w:left="5040" w:hanging="360"/>
      </w:pPr>
    </w:lvl>
    <w:lvl w:ilvl="7" w:tplc="233C3AF8" w:tentative="1">
      <w:start w:val="1"/>
      <w:numFmt w:val="lowerLetter"/>
      <w:lvlText w:val="%8."/>
      <w:lvlJc w:val="left"/>
      <w:pPr>
        <w:ind w:left="5760" w:hanging="360"/>
      </w:pPr>
    </w:lvl>
    <w:lvl w:ilvl="8" w:tplc="B64AD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01952"/>
    <w:multiLevelType w:val="hybridMultilevel"/>
    <w:tmpl w:val="4F98F5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35BBD"/>
    <w:multiLevelType w:val="hybridMultilevel"/>
    <w:tmpl w:val="34366D68"/>
    <w:lvl w:ilvl="0" w:tplc="51A202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862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4C6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A2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A3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ED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85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84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A6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828DD"/>
    <w:multiLevelType w:val="hybridMultilevel"/>
    <w:tmpl w:val="B482664E"/>
    <w:lvl w:ilvl="0" w:tplc="7C58B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9E1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8D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0F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C4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74E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CA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26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0EC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34BD"/>
    <w:multiLevelType w:val="hybridMultilevel"/>
    <w:tmpl w:val="F904A7D0"/>
    <w:lvl w:ilvl="0" w:tplc="71E00436">
      <w:start w:val="1"/>
      <w:numFmt w:val="lowerLetter"/>
      <w:lvlText w:val="%1)"/>
      <w:lvlJc w:val="left"/>
      <w:pPr>
        <w:ind w:left="720" w:hanging="360"/>
      </w:pPr>
    </w:lvl>
    <w:lvl w:ilvl="1" w:tplc="EBFCBEBA">
      <w:start w:val="1"/>
      <w:numFmt w:val="lowerLetter"/>
      <w:lvlText w:val="%2."/>
      <w:lvlJc w:val="left"/>
      <w:pPr>
        <w:ind w:left="1440" w:hanging="360"/>
      </w:pPr>
    </w:lvl>
    <w:lvl w:ilvl="2" w:tplc="5992A242">
      <w:start w:val="1"/>
      <w:numFmt w:val="lowerRoman"/>
      <w:lvlText w:val="%3."/>
      <w:lvlJc w:val="right"/>
      <w:pPr>
        <w:ind w:left="2160" w:hanging="180"/>
      </w:pPr>
    </w:lvl>
    <w:lvl w:ilvl="3" w:tplc="341A18B6">
      <w:start w:val="1"/>
      <w:numFmt w:val="decimal"/>
      <w:lvlText w:val="%4."/>
      <w:lvlJc w:val="left"/>
      <w:pPr>
        <w:ind w:left="2880" w:hanging="360"/>
      </w:pPr>
    </w:lvl>
    <w:lvl w:ilvl="4" w:tplc="6EEA759C">
      <w:start w:val="1"/>
      <w:numFmt w:val="lowerLetter"/>
      <w:lvlText w:val="%5."/>
      <w:lvlJc w:val="left"/>
      <w:pPr>
        <w:ind w:left="3600" w:hanging="360"/>
      </w:pPr>
    </w:lvl>
    <w:lvl w:ilvl="5" w:tplc="5FCEF578">
      <w:start w:val="1"/>
      <w:numFmt w:val="lowerRoman"/>
      <w:lvlText w:val="%6."/>
      <w:lvlJc w:val="right"/>
      <w:pPr>
        <w:ind w:left="4320" w:hanging="180"/>
      </w:pPr>
    </w:lvl>
    <w:lvl w:ilvl="6" w:tplc="AC0CFC6C">
      <w:start w:val="1"/>
      <w:numFmt w:val="decimal"/>
      <w:lvlText w:val="%7."/>
      <w:lvlJc w:val="left"/>
      <w:pPr>
        <w:ind w:left="5040" w:hanging="360"/>
      </w:pPr>
    </w:lvl>
    <w:lvl w:ilvl="7" w:tplc="5C4C5136">
      <w:start w:val="1"/>
      <w:numFmt w:val="lowerLetter"/>
      <w:lvlText w:val="%8."/>
      <w:lvlJc w:val="left"/>
      <w:pPr>
        <w:ind w:left="5760" w:hanging="360"/>
      </w:pPr>
    </w:lvl>
    <w:lvl w:ilvl="8" w:tplc="02B074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85D9A"/>
    <w:multiLevelType w:val="hybridMultilevel"/>
    <w:tmpl w:val="5AC47F0C"/>
    <w:lvl w:ilvl="0" w:tplc="BD2CEB38">
      <w:start w:val="5"/>
      <w:numFmt w:val="decimal"/>
      <w:lvlText w:val="%1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89BC799A">
      <w:start w:val="1"/>
      <w:numFmt w:val="lowerLetter"/>
      <w:lvlText w:val="%2."/>
      <w:lvlJc w:val="left"/>
      <w:pPr>
        <w:ind w:left="1440" w:hanging="360"/>
      </w:pPr>
    </w:lvl>
    <w:lvl w:ilvl="2" w:tplc="93EC49EA" w:tentative="1">
      <w:start w:val="1"/>
      <w:numFmt w:val="lowerRoman"/>
      <w:lvlText w:val="%3."/>
      <w:lvlJc w:val="right"/>
      <w:pPr>
        <w:ind w:left="2160" w:hanging="180"/>
      </w:pPr>
    </w:lvl>
    <w:lvl w:ilvl="3" w:tplc="F224E3BE" w:tentative="1">
      <w:start w:val="1"/>
      <w:numFmt w:val="decimal"/>
      <w:lvlText w:val="%4."/>
      <w:lvlJc w:val="left"/>
      <w:pPr>
        <w:ind w:left="2880" w:hanging="360"/>
      </w:pPr>
    </w:lvl>
    <w:lvl w:ilvl="4" w:tplc="702E2AB2" w:tentative="1">
      <w:start w:val="1"/>
      <w:numFmt w:val="lowerLetter"/>
      <w:lvlText w:val="%5."/>
      <w:lvlJc w:val="left"/>
      <w:pPr>
        <w:ind w:left="3600" w:hanging="360"/>
      </w:pPr>
    </w:lvl>
    <w:lvl w:ilvl="5" w:tplc="7138CDFC" w:tentative="1">
      <w:start w:val="1"/>
      <w:numFmt w:val="lowerRoman"/>
      <w:lvlText w:val="%6."/>
      <w:lvlJc w:val="right"/>
      <w:pPr>
        <w:ind w:left="4320" w:hanging="180"/>
      </w:pPr>
    </w:lvl>
    <w:lvl w:ilvl="6" w:tplc="E81287D2" w:tentative="1">
      <w:start w:val="1"/>
      <w:numFmt w:val="decimal"/>
      <w:lvlText w:val="%7."/>
      <w:lvlJc w:val="left"/>
      <w:pPr>
        <w:ind w:left="5040" w:hanging="360"/>
      </w:pPr>
    </w:lvl>
    <w:lvl w:ilvl="7" w:tplc="0B40FD70" w:tentative="1">
      <w:start w:val="1"/>
      <w:numFmt w:val="lowerLetter"/>
      <w:lvlText w:val="%8."/>
      <w:lvlJc w:val="left"/>
      <w:pPr>
        <w:ind w:left="5760" w:hanging="360"/>
      </w:pPr>
    </w:lvl>
    <w:lvl w:ilvl="8" w:tplc="49F6B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34B8A"/>
    <w:multiLevelType w:val="hybridMultilevel"/>
    <w:tmpl w:val="6DDC2894"/>
    <w:lvl w:ilvl="0" w:tplc="260E5868">
      <w:start w:val="1"/>
      <w:numFmt w:val="decimal"/>
      <w:lvlText w:val="%1."/>
      <w:lvlJc w:val="left"/>
      <w:pPr>
        <w:ind w:left="720" w:hanging="360"/>
      </w:pPr>
    </w:lvl>
    <w:lvl w:ilvl="1" w:tplc="27961AEC" w:tentative="1">
      <w:start w:val="1"/>
      <w:numFmt w:val="lowerLetter"/>
      <w:lvlText w:val="%2."/>
      <w:lvlJc w:val="left"/>
      <w:pPr>
        <w:ind w:left="1440" w:hanging="360"/>
      </w:pPr>
    </w:lvl>
    <w:lvl w:ilvl="2" w:tplc="123024B4" w:tentative="1">
      <w:start w:val="1"/>
      <w:numFmt w:val="lowerRoman"/>
      <w:lvlText w:val="%3."/>
      <w:lvlJc w:val="right"/>
      <w:pPr>
        <w:ind w:left="2160" w:hanging="180"/>
      </w:pPr>
    </w:lvl>
    <w:lvl w:ilvl="3" w:tplc="6CC8C242" w:tentative="1">
      <w:start w:val="1"/>
      <w:numFmt w:val="decimal"/>
      <w:lvlText w:val="%4."/>
      <w:lvlJc w:val="left"/>
      <w:pPr>
        <w:ind w:left="2880" w:hanging="360"/>
      </w:pPr>
    </w:lvl>
    <w:lvl w:ilvl="4" w:tplc="FE42EC34" w:tentative="1">
      <w:start w:val="1"/>
      <w:numFmt w:val="lowerLetter"/>
      <w:lvlText w:val="%5."/>
      <w:lvlJc w:val="left"/>
      <w:pPr>
        <w:ind w:left="3600" w:hanging="360"/>
      </w:pPr>
    </w:lvl>
    <w:lvl w:ilvl="5" w:tplc="49A2281C" w:tentative="1">
      <w:start w:val="1"/>
      <w:numFmt w:val="lowerRoman"/>
      <w:lvlText w:val="%6."/>
      <w:lvlJc w:val="right"/>
      <w:pPr>
        <w:ind w:left="4320" w:hanging="180"/>
      </w:pPr>
    </w:lvl>
    <w:lvl w:ilvl="6" w:tplc="0DF84DA4" w:tentative="1">
      <w:start w:val="1"/>
      <w:numFmt w:val="decimal"/>
      <w:lvlText w:val="%7."/>
      <w:lvlJc w:val="left"/>
      <w:pPr>
        <w:ind w:left="5040" w:hanging="360"/>
      </w:pPr>
    </w:lvl>
    <w:lvl w:ilvl="7" w:tplc="1338A38A" w:tentative="1">
      <w:start w:val="1"/>
      <w:numFmt w:val="lowerLetter"/>
      <w:lvlText w:val="%8."/>
      <w:lvlJc w:val="left"/>
      <w:pPr>
        <w:ind w:left="5760" w:hanging="360"/>
      </w:pPr>
    </w:lvl>
    <w:lvl w:ilvl="8" w:tplc="8954D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87F52"/>
    <w:multiLevelType w:val="hybridMultilevel"/>
    <w:tmpl w:val="433CA766"/>
    <w:lvl w:ilvl="0" w:tplc="0FE8B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2F4407C" w:tentative="1">
      <w:start w:val="1"/>
      <w:numFmt w:val="lowerLetter"/>
      <w:lvlText w:val="%2."/>
      <w:lvlJc w:val="left"/>
      <w:pPr>
        <w:ind w:left="1080" w:hanging="360"/>
      </w:pPr>
    </w:lvl>
    <w:lvl w:ilvl="2" w:tplc="2086FFB4" w:tentative="1">
      <w:start w:val="1"/>
      <w:numFmt w:val="lowerRoman"/>
      <w:lvlText w:val="%3."/>
      <w:lvlJc w:val="right"/>
      <w:pPr>
        <w:ind w:left="1800" w:hanging="180"/>
      </w:pPr>
    </w:lvl>
    <w:lvl w:ilvl="3" w:tplc="37AE5732" w:tentative="1">
      <w:start w:val="1"/>
      <w:numFmt w:val="decimal"/>
      <w:lvlText w:val="%4."/>
      <w:lvlJc w:val="left"/>
      <w:pPr>
        <w:ind w:left="2520" w:hanging="360"/>
      </w:pPr>
    </w:lvl>
    <w:lvl w:ilvl="4" w:tplc="69E2887A" w:tentative="1">
      <w:start w:val="1"/>
      <w:numFmt w:val="lowerLetter"/>
      <w:lvlText w:val="%5."/>
      <w:lvlJc w:val="left"/>
      <w:pPr>
        <w:ind w:left="3240" w:hanging="360"/>
      </w:pPr>
    </w:lvl>
    <w:lvl w:ilvl="5" w:tplc="1F1484F0" w:tentative="1">
      <w:start w:val="1"/>
      <w:numFmt w:val="lowerRoman"/>
      <w:lvlText w:val="%6."/>
      <w:lvlJc w:val="right"/>
      <w:pPr>
        <w:ind w:left="3960" w:hanging="180"/>
      </w:pPr>
    </w:lvl>
    <w:lvl w:ilvl="6" w:tplc="4A7CEB40" w:tentative="1">
      <w:start w:val="1"/>
      <w:numFmt w:val="decimal"/>
      <w:lvlText w:val="%7."/>
      <w:lvlJc w:val="left"/>
      <w:pPr>
        <w:ind w:left="4680" w:hanging="360"/>
      </w:pPr>
    </w:lvl>
    <w:lvl w:ilvl="7" w:tplc="BF721764" w:tentative="1">
      <w:start w:val="1"/>
      <w:numFmt w:val="lowerLetter"/>
      <w:lvlText w:val="%8."/>
      <w:lvlJc w:val="left"/>
      <w:pPr>
        <w:ind w:left="5400" w:hanging="360"/>
      </w:pPr>
    </w:lvl>
    <w:lvl w:ilvl="8" w:tplc="CDD26C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97483B"/>
    <w:multiLevelType w:val="hybridMultilevel"/>
    <w:tmpl w:val="90A80C38"/>
    <w:lvl w:ilvl="0" w:tplc="EDDCD9BA">
      <w:start w:val="1"/>
      <w:numFmt w:val="lowerLetter"/>
      <w:lvlText w:val="%1)"/>
      <w:lvlJc w:val="left"/>
      <w:pPr>
        <w:ind w:left="720" w:hanging="360"/>
      </w:pPr>
    </w:lvl>
    <w:lvl w:ilvl="1" w:tplc="4AB807F6" w:tentative="1">
      <w:start w:val="1"/>
      <w:numFmt w:val="lowerLetter"/>
      <w:lvlText w:val="%2."/>
      <w:lvlJc w:val="left"/>
      <w:pPr>
        <w:ind w:left="1440" w:hanging="360"/>
      </w:pPr>
    </w:lvl>
    <w:lvl w:ilvl="2" w:tplc="A8C4F7E4" w:tentative="1">
      <w:start w:val="1"/>
      <w:numFmt w:val="lowerRoman"/>
      <w:lvlText w:val="%3."/>
      <w:lvlJc w:val="right"/>
      <w:pPr>
        <w:ind w:left="2160" w:hanging="180"/>
      </w:pPr>
    </w:lvl>
    <w:lvl w:ilvl="3" w:tplc="A8F2BD76" w:tentative="1">
      <w:start w:val="1"/>
      <w:numFmt w:val="decimal"/>
      <w:lvlText w:val="%4."/>
      <w:lvlJc w:val="left"/>
      <w:pPr>
        <w:ind w:left="2880" w:hanging="360"/>
      </w:pPr>
    </w:lvl>
    <w:lvl w:ilvl="4" w:tplc="D5B4D596" w:tentative="1">
      <w:start w:val="1"/>
      <w:numFmt w:val="lowerLetter"/>
      <w:lvlText w:val="%5."/>
      <w:lvlJc w:val="left"/>
      <w:pPr>
        <w:ind w:left="3600" w:hanging="360"/>
      </w:pPr>
    </w:lvl>
    <w:lvl w:ilvl="5" w:tplc="8BEA0BD6" w:tentative="1">
      <w:start w:val="1"/>
      <w:numFmt w:val="lowerRoman"/>
      <w:lvlText w:val="%6."/>
      <w:lvlJc w:val="right"/>
      <w:pPr>
        <w:ind w:left="4320" w:hanging="180"/>
      </w:pPr>
    </w:lvl>
    <w:lvl w:ilvl="6" w:tplc="6472FAB4" w:tentative="1">
      <w:start w:val="1"/>
      <w:numFmt w:val="decimal"/>
      <w:lvlText w:val="%7."/>
      <w:lvlJc w:val="left"/>
      <w:pPr>
        <w:ind w:left="5040" w:hanging="360"/>
      </w:pPr>
    </w:lvl>
    <w:lvl w:ilvl="7" w:tplc="58F67154" w:tentative="1">
      <w:start w:val="1"/>
      <w:numFmt w:val="lowerLetter"/>
      <w:lvlText w:val="%8."/>
      <w:lvlJc w:val="left"/>
      <w:pPr>
        <w:ind w:left="5760" w:hanging="360"/>
      </w:pPr>
    </w:lvl>
    <w:lvl w:ilvl="8" w:tplc="35F0B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B2F7E"/>
    <w:multiLevelType w:val="hybridMultilevel"/>
    <w:tmpl w:val="66183822"/>
    <w:lvl w:ilvl="0" w:tplc="9BB62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AC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F4E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85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21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CAF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28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6C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2C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83762"/>
    <w:multiLevelType w:val="hybridMultilevel"/>
    <w:tmpl w:val="CB0658CE"/>
    <w:lvl w:ilvl="0" w:tplc="DFC644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93EDB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121C41DA" w:tentative="1">
      <w:start w:val="1"/>
      <w:numFmt w:val="lowerRoman"/>
      <w:lvlText w:val="%3."/>
      <w:lvlJc w:val="right"/>
      <w:pPr>
        <w:ind w:left="1800" w:hanging="180"/>
      </w:pPr>
    </w:lvl>
    <w:lvl w:ilvl="3" w:tplc="9D3A243E" w:tentative="1">
      <w:start w:val="1"/>
      <w:numFmt w:val="decimal"/>
      <w:lvlText w:val="%4."/>
      <w:lvlJc w:val="left"/>
      <w:pPr>
        <w:ind w:left="2520" w:hanging="360"/>
      </w:pPr>
    </w:lvl>
    <w:lvl w:ilvl="4" w:tplc="C2BAF4B2">
      <w:start w:val="1"/>
      <w:numFmt w:val="lowerLetter"/>
      <w:lvlText w:val="%5."/>
      <w:lvlJc w:val="left"/>
      <w:pPr>
        <w:ind w:left="3240" w:hanging="360"/>
      </w:pPr>
    </w:lvl>
    <w:lvl w:ilvl="5" w:tplc="EF9E35BE" w:tentative="1">
      <w:start w:val="1"/>
      <w:numFmt w:val="lowerRoman"/>
      <w:lvlText w:val="%6."/>
      <w:lvlJc w:val="right"/>
      <w:pPr>
        <w:ind w:left="3960" w:hanging="180"/>
      </w:pPr>
    </w:lvl>
    <w:lvl w:ilvl="6" w:tplc="4016EAA4" w:tentative="1">
      <w:start w:val="1"/>
      <w:numFmt w:val="decimal"/>
      <w:lvlText w:val="%7."/>
      <w:lvlJc w:val="left"/>
      <w:pPr>
        <w:ind w:left="4680" w:hanging="360"/>
      </w:pPr>
    </w:lvl>
    <w:lvl w:ilvl="7" w:tplc="4962B6FC" w:tentative="1">
      <w:start w:val="1"/>
      <w:numFmt w:val="lowerLetter"/>
      <w:lvlText w:val="%8."/>
      <w:lvlJc w:val="left"/>
      <w:pPr>
        <w:ind w:left="5400" w:hanging="360"/>
      </w:pPr>
    </w:lvl>
    <w:lvl w:ilvl="8" w:tplc="5B58D2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5B52F3"/>
    <w:multiLevelType w:val="hybridMultilevel"/>
    <w:tmpl w:val="0CF43FC6"/>
    <w:lvl w:ilvl="0" w:tplc="4704E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E1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E4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6C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29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AC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EAF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E6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6A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26629"/>
    <w:multiLevelType w:val="hybridMultilevel"/>
    <w:tmpl w:val="155847F6"/>
    <w:lvl w:ilvl="0" w:tplc="57909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ED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08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A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87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6CE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25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A0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08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A1E54"/>
    <w:multiLevelType w:val="hybridMultilevel"/>
    <w:tmpl w:val="772403AE"/>
    <w:lvl w:ilvl="0" w:tplc="010EF16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CE425C74">
      <w:start w:val="1"/>
      <w:numFmt w:val="lowerLetter"/>
      <w:lvlText w:val="%2."/>
      <w:lvlJc w:val="left"/>
      <w:pPr>
        <w:ind w:left="1080" w:hanging="360"/>
      </w:pPr>
    </w:lvl>
    <w:lvl w:ilvl="2" w:tplc="49BC1106" w:tentative="1">
      <w:start w:val="1"/>
      <w:numFmt w:val="lowerRoman"/>
      <w:lvlText w:val="%3."/>
      <w:lvlJc w:val="right"/>
      <w:pPr>
        <w:ind w:left="1800" w:hanging="180"/>
      </w:pPr>
    </w:lvl>
    <w:lvl w:ilvl="3" w:tplc="4EE4E788" w:tentative="1">
      <w:start w:val="1"/>
      <w:numFmt w:val="decimal"/>
      <w:lvlText w:val="%4."/>
      <w:lvlJc w:val="left"/>
      <w:pPr>
        <w:ind w:left="2520" w:hanging="360"/>
      </w:pPr>
    </w:lvl>
    <w:lvl w:ilvl="4" w:tplc="D92E4F6A" w:tentative="1">
      <w:start w:val="1"/>
      <w:numFmt w:val="lowerLetter"/>
      <w:lvlText w:val="%5."/>
      <w:lvlJc w:val="left"/>
      <w:pPr>
        <w:ind w:left="3240" w:hanging="360"/>
      </w:pPr>
    </w:lvl>
    <w:lvl w:ilvl="5" w:tplc="1054C7C6" w:tentative="1">
      <w:start w:val="1"/>
      <w:numFmt w:val="lowerRoman"/>
      <w:lvlText w:val="%6."/>
      <w:lvlJc w:val="right"/>
      <w:pPr>
        <w:ind w:left="3960" w:hanging="180"/>
      </w:pPr>
    </w:lvl>
    <w:lvl w:ilvl="6" w:tplc="696CAF3E" w:tentative="1">
      <w:start w:val="1"/>
      <w:numFmt w:val="decimal"/>
      <w:lvlText w:val="%7."/>
      <w:lvlJc w:val="left"/>
      <w:pPr>
        <w:ind w:left="4680" w:hanging="360"/>
      </w:pPr>
    </w:lvl>
    <w:lvl w:ilvl="7" w:tplc="8D821BBE" w:tentative="1">
      <w:start w:val="1"/>
      <w:numFmt w:val="lowerLetter"/>
      <w:lvlText w:val="%8."/>
      <w:lvlJc w:val="left"/>
      <w:pPr>
        <w:ind w:left="5400" w:hanging="360"/>
      </w:pPr>
    </w:lvl>
    <w:lvl w:ilvl="8" w:tplc="B7863A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647DA2"/>
    <w:multiLevelType w:val="hybridMultilevel"/>
    <w:tmpl w:val="839EC032"/>
    <w:lvl w:ilvl="0" w:tplc="C0089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56FA82" w:tentative="1">
      <w:start w:val="1"/>
      <w:numFmt w:val="lowerLetter"/>
      <w:lvlText w:val="%2."/>
      <w:lvlJc w:val="left"/>
      <w:pPr>
        <w:ind w:left="1440" w:hanging="360"/>
      </w:pPr>
    </w:lvl>
    <w:lvl w:ilvl="2" w:tplc="184A4DC8" w:tentative="1">
      <w:start w:val="1"/>
      <w:numFmt w:val="lowerRoman"/>
      <w:lvlText w:val="%3."/>
      <w:lvlJc w:val="right"/>
      <w:pPr>
        <w:ind w:left="2160" w:hanging="180"/>
      </w:pPr>
    </w:lvl>
    <w:lvl w:ilvl="3" w:tplc="5B60C4EA" w:tentative="1">
      <w:start w:val="1"/>
      <w:numFmt w:val="decimal"/>
      <w:lvlText w:val="%4."/>
      <w:lvlJc w:val="left"/>
      <w:pPr>
        <w:ind w:left="2880" w:hanging="360"/>
      </w:pPr>
    </w:lvl>
    <w:lvl w:ilvl="4" w:tplc="FC6E93C0" w:tentative="1">
      <w:start w:val="1"/>
      <w:numFmt w:val="lowerLetter"/>
      <w:lvlText w:val="%5."/>
      <w:lvlJc w:val="left"/>
      <w:pPr>
        <w:ind w:left="3600" w:hanging="360"/>
      </w:pPr>
    </w:lvl>
    <w:lvl w:ilvl="5" w:tplc="CEFE9FD8" w:tentative="1">
      <w:start w:val="1"/>
      <w:numFmt w:val="lowerRoman"/>
      <w:lvlText w:val="%6."/>
      <w:lvlJc w:val="right"/>
      <w:pPr>
        <w:ind w:left="4320" w:hanging="180"/>
      </w:pPr>
    </w:lvl>
    <w:lvl w:ilvl="6" w:tplc="B1F45934" w:tentative="1">
      <w:start w:val="1"/>
      <w:numFmt w:val="decimal"/>
      <w:lvlText w:val="%7."/>
      <w:lvlJc w:val="left"/>
      <w:pPr>
        <w:ind w:left="5040" w:hanging="360"/>
      </w:pPr>
    </w:lvl>
    <w:lvl w:ilvl="7" w:tplc="7D26A01E" w:tentative="1">
      <w:start w:val="1"/>
      <w:numFmt w:val="lowerLetter"/>
      <w:lvlText w:val="%8."/>
      <w:lvlJc w:val="left"/>
      <w:pPr>
        <w:ind w:left="5760" w:hanging="360"/>
      </w:pPr>
    </w:lvl>
    <w:lvl w:ilvl="8" w:tplc="3FD0A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F0B20"/>
    <w:multiLevelType w:val="hybridMultilevel"/>
    <w:tmpl w:val="E10C2328"/>
    <w:lvl w:ilvl="0" w:tplc="5D143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22068" w:tentative="1">
      <w:start w:val="1"/>
      <w:numFmt w:val="lowerLetter"/>
      <w:lvlText w:val="%2."/>
      <w:lvlJc w:val="left"/>
      <w:pPr>
        <w:ind w:left="1440" w:hanging="360"/>
      </w:pPr>
    </w:lvl>
    <w:lvl w:ilvl="2" w:tplc="BC7ED056" w:tentative="1">
      <w:start w:val="1"/>
      <w:numFmt w:val="lowerRoman"/>
      <w:lvlText w:val="%3."/>
      <w:lvlJc w:val="right"/>
      <w:pPr>
        <w:ind w:left="2160" w:hanging="180"/>
      </w:pPr>
    </w:lvl>
    <w:lvl w:ilvl="3" w:tplc="24566532" w:tentative="1">
      <w:start w:val="1"/>
      <w:numFmt w:val="decimal"/>
      <w:lvlText w:val="%4."/>
      <w:lvlJc w:val="left"/>
      <w:pPr>
        <w:ind w:left="2880" w:hanging="360"/>
      </w:pPr>
    </w:lvl>
    <w:lvl w:ilvl="4" w:tplc="B2E80C02" w:tentative="1">
      <w:start w:val="1"/>
      <w:numFmt w:val="lowerLetter"/>
      <w:lvlText w:val="%5."/>
      <w:lvlJc w:val="left"/>
      <w:pPr>
        <w:ind w:left="3600" w:hanging="360"/>
      </w:pPr>
    </w:lvl>
    <w:lvl w:ilvl="5" w:tplc="E5C08B3A" w:tentative="1">
      <w:start w:val="1"/>
      <w:numFmt w:val="lowerRoman"/>
      <w:lvlText w:val="%6."/>
      <w:lvlJc w:val="right"/>
      <w:pPr>
        <w:ind w:left="4320" w:hanging="180"/>
      </w:pPr>
    </w:lvl>
    <w:lvl w:ilvl="6" w:tplc="A050BF1A" w:tentative="1">
      <w:start w:val="1"/>
      <w:numFmt w:val="decimal"/>
      <w:lvlText w:val="%7."/>
      <w:lvlJc w:val="left"/>
      <w:pPr>
        <w:ind w:left="5040" w:hanging="360"/>
      </w:pPr>
    </w:lvl>
    <w:lvl w:ilvl="7" w:tplc="E462341E" w:tentative="1">
      <w:start w:val="1"/>
      <w:numFmt w:val="lowerLetter"/>
      <w:lvlText w:val="%8."/>
      <w:lvlJc w:val="left"/>
      <w:pPr>
        <w:ind w:left="5760" w:hanging="360"/>
      </w:pPr>
    </w:lvl>
    <w:lvl w:ilvl="8" w:tplc="ACF48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C1045"/>
    <w:multiLevelType w:val="hybridMultilevel"/>
    <w:tmpl w:val="D2DAA4DC"/>
    <w:lvl w:ilvl="0" w:tplc="0E646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8B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803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64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61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728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6C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C7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06B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E4136"/>
    <w:multiLevelType w:val="multilevel"/>
    <w:tmpl w:val="DCD690BA"/>
    <w:lvl w:ilvl="0">
      <w:start w:val="1"/>
      <w:numFmt w:val="decimal"/>
      <w:pStyle w:val="Nadpis2"/>
      <w:lvlText w:val="%1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pStyle w:val="Nadpis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4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2ED2D8D"/>
    <w:multiLevelType w:val="hybridMultilevel"/>
    <w:tmpl w:val="7DD6F198"/>
    <w:lvl w:ilvl="0" w:tplc="5E066A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144F4B4" w:tentative="1">
      <w:start w:val="1"/>
      <w:numFmt w:val="lowerLetter"/>
      <w:lvlText w:val="%2."/>
      <w:lvlJc w:val="left"/>
      <w:pPr>
        <w:ind w:left="1080" w:hanging="360"/>
      </w:pPr>
    </w:lvl>
    <w:lvl w:ilvl="2" w:tplc="51D82BF2" w:tentative="1">
      <w:start w:val="1"/>
      <w:numFmt w:val="lowerRoman"/>
      <w:lvlText w:val="%3."/>
      <w:lvlJc w:val="right"/>
      <w:pPr>
        <w:ind w:left="1800" w:hanging="180"/>
      </w:pPr>
    </w:lvl>
    <w:lvl w:ilvl="3" w:tplc="5D1C5A1E" w:tentative="1">
      <w:start w:val="1"/>
      <w:numFmt w:val="decimal"/>
      <w:lvlText w:val="%4."/>
      <w:lvlJc w:val="left"/>
      <w:pPr>
        <w:ind w:left="2520" w:hanging="360"/>
      </w:pPr>
    </w:lvl>
    <w:lvl w:ilvl="4" w:tplc="A3E61D60" w:tentative="1">
      <w:start w:val="1"/>
      <w:numFmt w:val="lowerLetter"/>
      <w:lvlText w:val="%5."/>
      <w:lvlJc w:val="left"/>
      <w:pPr>
        <w:ind w:left="3240" w:hanging="360"/>
      </w:pPr>
    </w:lvl>
    <w:lvl w:ilvl="5" w:tplc="6186E464" w:tentative="1">
      <w:start w:val="1"/>
      <w:numFmt w:val="lowerRoman"/>
      <w:lvlText w:val="%6."/>
      <w:lvlJc w:val="right"/>
      <w:pPr>
        <w:ind w:left="3960" w:hanging="180"/>
      </w:pPr>
    </w:lvl>
    <w:lvl w:ilvl="6" w:tplc="85AA64C0" w:tentative="1">
      <w:start w:val="1"/>
      <w:numFmt w:val="decimal"/>
      <w:lvlText w:val="%7."/>
      <w:lvlJc w:val="left"/>
      <w:pPr>
        <w:ind w:left="4680" w:hanging="360"/>
      </w:pPr>
    </w:lvl>
    <w:lvl w:ilvl="7" w:tplc="97507BCC" w:tentative="1">
      <w:start w:val="1"/>
      <w:numFmt w:val="lowerLetter"/>
      <w:lvlText w:val="%8."/>
      <w:lvlJc w:val="left"/>
      <w:pPr>
        <w:ind w:left="5400" w:hanging="360"/>
      </w:pPr>
    </w:lvl>
    <w:lvl w:ilvl="8" w:tplc="CB02BB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756B9B"/>
    <w:multiLevelType w:val="hybridMultilevel"/>
    <w:tmpl w:val="BEAE8992"/>
    <w:lvl w:ilvl="0" w:tplc="DF08C16E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452CFA42" w:tentative="1">
      <w:start w:val="1"/>
      <w:numFmt w:val="lowerLetter"/>
      <w:lvlText w:val="%2."/>
      <w:lvlJc w:val="left"/>
      <w:pPr>
        <w:ind w:left="1080" w:hanging="360"/>
      </w:pPr>
    </w:lvl>
    <w:lvl w:ilvl="2" w:tplc="7E2AB5D0" w:tentative="1">
      <w:start w:val="1"/>
      <w:numFmt w:val="lowerRoman"/>
      <w:lvlText w:val="%3."/>
      <w:lvlJc w:val="right"/>
      <w:pPr>
        <w:ind w:left="1800" w:hanging="180"/>
      </w:pPr>
    </w:lvl>
    <w:lvl w:ilvl="3" w:tplc="6EC4B3E4" w:tentative="1">
      <w:start w:val="1"/>
      <w:numFmt w:val="decimal"/>
      <w:lvlText w:val="%4."/>
      <w:lvlJc w:val="left"/>
      <w:pPr>
        <w:ind w:left="2520" w:hanging="360"/>
      </w:pPr>
    </w:lvl>
    <w:lvl w:ilvl="4" w:tplc="C07C03FA" w:tentative="1">
      <w:start w:val="1"/>
      <w:numFmt w:val="lowerLetter"/>
      <w:lvlText w:val="%5."/>
      <w:lvlJc w:val="left"/>
      <w:pPr>
        <w:ind w:left="3240" w:hanging="360"/>
      </w:pPr>
    </w:lvl>
    <w:lvl w:ilvl="5" w:tplc="061EECFA" w:tentative="1">
      <w:start w:val="1"/>
      <w:numFmt w:val="lowerRoman"/>
      <w:lvlText w:val="%6."/>
      <w:lvlJc w:val="right"/>
      <w:pPr>
        <w:ind w:left="3960" w:hanging="180"/>
      </w:pPr>
    </w:lvl>
    <w:lvl w:ilvl="6" w:tplc="FB10301C" w:tentative="1">
      <w:start w:val="1"/>
      <w:numFmt w:val="decimal"/>
      <w:lvlText w:val="%7."/>
      <w:lvlJc w:val="left"/>
      <w:pPr>
        <w:ind w:left="4680" w:hanging="360"/>
      </w:pPr>
    </w:lvl>
    <w:lvl w:ilvl="7" w:tplc="20468766" w:tentative="1">
      <w:start w:val="1"/>
      <w:numFmt w:val="lowerLetter"/>
      <w:lvlText w:val="%8."/>
      <w:lvlJc w:val="left"/>
      <w:pPr>
        <w:ind w:left="5400" w:hanging="360"/>
      </w:pPr>
    </w:lvl>
    <w:lvl w:ilvl="8" w:tplc="BDCCCC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5A2553"/>
    <w:multiLevelType w:val="hybridMultilevel"/>
    <w:tmpl w:val="541C45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23"/>
  </w:num>
  <w:num w:numId="4">
    <w:abstractNumId w:val="17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13"/>
  </w:num>
  <w:num w:numId="10">
    <w:abstractNumId w:val="14"/>
  </w:num>
  <w:num w:numId="11">
    <w:abstractNumId w:val="7"/>
  </w:num>
  <w:num w:numId="12">
    <w:abstractNumId w:val="20"/>
  </w:num>
  <w:num w:numId="13">
    <w:abstractNumId w:val="15"/>
  </w:num>
  <w:num w:numId="14">
    <w:abstractNumId w:val="22"/>
  </w:num>
  <w:num w:numId="15">
    <w:abstractNumId w:val="3"/>
  </w:num>
  <w:num w:numId="16">
    <w:abstractNumId w:val="26"/>
  </w:num>
  <w:num w:numId="17">
    <w:abstractNumId w:val="9"/>
  </w:num>
  <w:num w:numId="18">
    <w:abstractNumId w:val="10"/>
  </w:num>
  <w:num w:numId="19">
    <w:abstractNumId w:val="16"/>
  </w:num>
  <w:num w:numId="20">
    <w:abstractNumId w:val="25"/>
  </w:num>
  <w:num w:numId="21">
    <w:abstractNumId w:val="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9"/>
  </w:num>
  <w:num w:numId="27">
    <w:abstractNumId w:val="0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15"/>
    <w:rsid w:val="00000647"/>
    <w:rsid w:val="00001851"/>
    <w:rsid w:val="0000193F"/>
    <w:rsid w:val="00001B7C"/>
    <w:rsid w:val="00002D40"/>
    <w:rsid w:val="00004C13"/>
    <w:rsid w:val="00005465"/>
    <w:rsid w:val="00005863"/>
    <w:rsid w:val="000061BF"/>
    <w:rsid w:val="00007866"/>
    <w:rsid w:val="000078F9"/>
    <w:rsid w:val="00007E00"/>
    <w:rsid w:val="00010276"/>
    <w:rsid w:val="00010DF6"/>
    <w:rsid w:val="00011741"/>
    <w:rsid w:val="00011C15"/>
    <w:rsid w:val="00012265"/>
    <w:rsid w:val="00012C97"/>
    <w:rsid w:val="000141D2"/>
    <w:rsid w:val="000162CA"/>
    <w:rsid w:val="00016487"/>
    <w:rsid w:val="000214C8"/>
    <w:rsid w:val="00022263"/>
    <w:rsid w:val="000259D6"/>
    <w:rsid w:val="00026DF1"/>
    <w:rsid w:val="00030068"/>
    <w:rsid w:val="00032947"/>
    <w:rsid w:val="00035AAB"/>
    <w:rsid w:val="000378AE"/>
    <w:rsid w:val="00037E1F"/>
    <w:rsid w:val="0004075B"/>
    <w:rsid w:val="000413F5"/>
    <w:rsid w:val="00042150"/>
    <w:rsid w:val="00042694"/>
    <w:rsid w:val="0004428A"/>
    <w:rsid w:val="0004504C"/>
    <w:rsid w:val="00045158"/>
    <w:rsid w:val="00045687"/>
    <w:rsid w:val="000507AB"/>
    <w:rsid w:val="00051801"/>
    <w:rsid w:val="00054247"/>
    <w:rsid w:val="000542C5"/>
    <w:rsid w:val="00054D46"/>
    <w:rsid w:val="00061FA4"/>
    <w:rsid w:val="00064AC5"/>
    <w:rsid w:val="000738F7"/>
    <w:rsid w:val="00074B82"/>
    <w:rsid w:val="00075CF0"/>
    <w:rsid w:val="00076334"/>
    <w:rsid w:val="00076A24"/>
    <w:rsid w:val="0008218A"/>
    <w:rsid w:val="00083211"/>
    <w:rsid w:val="000841C4"/>
    <w:rsid w:val="00085BB9"/>
    <w:rsid w:val="00086422"/>
    <w:rsid w:val="00086A86"/>
    <w:rsid w:val="00092CF3"/>
    <w:rsid w:val="00092E92"/>
    <w:rsid w:val="000930B4"/>
    <w:rsid w:val="000932A2"/>
    <w:rsid w:val="000932AF"/>
    <w:rsid w:val="00093690"/>
    <w:rsid w:val="000946BA"/>
    <w:rsid w:val="00095B43"/>
    <w:rsid w:val="000A03DC"/>
    <w:rsid w:val="000A27C1"/>
    <w:rsid w:val="000A3896"/>
    <w:rsid w:val="000A7DB8"/>
    <w:rsid w:val="000B157C"/>
    <w:rsid w:val="000B2373"/>
    <w:rsid w:val="000B252A"/>
    <w:rsid w:val="000B2A9D"/>
    <w:rsid w:val="000B3209"/>
    <w:rsid w:val="000B4C9C"/>
    <w:rsid w:val="000B4E86"/>
    <w:rsid w:val="000B6941"/>
    <w:rsid w:val="000B699A"/>
    <w:rsid w:val="000B70F1"/>
    <w:rsid w:val="000C0178"/>
    <w:rsid w:val="000C09C6"/>
    <w:rsid w:val="000C1D8A"/>
    <w:rsid w:val="000C3788"/>
    <w:rsid w:val="000C5628"/>
    <w:rsid w:val="000D062D"/>
    <w:rsid w:val="000D2476"/>
    <w:rsid w:val="000D345A"/>
    <w:rsid w:val="000D5136"/>
    <w:rsid w:val="000E0018"/>
    <w:rsid w:val="000E0DDC"/>
    <w:rsid w:val="000E4C90"/>
    <w:rsid w:val="000E4FF8"/>
    <w:rsid w:val="000E7471"/>
    <w:rsid w:val="000F0198"/>
    <w:rsid w:val="000F0940"/>
    <w:rsid w:val="000F09D5"/>
    <w:rsid w:val="000F2666"/>
    <w:rsid w:val="000F2CB2"/>
    <w:rsid w:val="000F4A8D"/>
    <w:rsid w:val="000F6F4C"/>
    <w:rsid w:val="000F7D9C"/>
    <w:rsid w:val="00100351"/>
    <w:rsid w:val="001036A3"/>
    <w:rsid w:val="00103D8C"/>
    <w:rsid w:val="00103ED3"/>
    <w:rsid w:val="00103FD3"/>
    <w:rsid w:val="00104C47"/>
    <w:rsid w:val="001070FC"/>
    <w:rsid w:val="001141B2"/>
    <w:rsid w:val="001146C8"/>
    <w:rsid w:val="0011486B"/>
    <w:rsid w:val="001161AB"/>
    <w:rsid w:val="001167DC"/>
    <w:rsid w:val="001200A5"/>
    <w:rsid w:val="00120621"/>
    <w:rsid w:val="00121DB7"/>
    <w:rsid w:val="0012363D"/>
    <w:rsid w:val="0012463D"/>
    <w:rsid w:val="001249B6"/>
    <w:rsid w:val="00125465"/>
    <w:rsid w:val="00125CBE"/>
    <w:rsid w:val="00130107"/>
    <w:rsid w:val="001350C3"/>
    <w:rsid w:val="001372F3"/>
    <w:rsid w:val="00137F94"/>
    <w:rsid w:val="00140E5B"/>
    <w:rsid w:val="0014186D"/>
    <w:rsid w:val="00141DB6"/>
    <w:rsid w:val="00142754"/>
    <w:rsid w:val="0014349B"/>
    <w:rsid w:val="00145534"/>
    <w:rsid w:val="00145719"/>
    <w:rsid w:val="00147797"/>
    <w:rsid w:val="00151CFB"/>
    <w:rsid w:val="00152AA0"/>
    <w:rsid w:val="00152C9A"/>
    <w:rsid w:val="00153889"/>
    <w:rsid w:val="00153F8F"/>
    <w:rsid w:val="00153FC3"/>
    <w:rsid w:val="001548CB"/>
    <w:rsid w:val="001548D0"/>
    <w:rsid w:val="00155744"/>
    <w:rsid w:val="0015689A"/>
    <w:rsid w:val="0015756E"/>
    <w:rsid w:val="0015791B"/>
    <w:rsid w:val="00160D7C"/>
    <w:rsid w:val="0016636A"/>
    <w:rsid w:val="001702E5"/>
    <w:rsid w:val="00171A01"/>
    <w:rsid w:val="00172DE4"/>
    <w:rsid w:val="00173104"/>
    <w:rsid w:val="00175BAF"/>
    <w:rsid w:val="001803EE"/>
    <w:rsid w:val="001811A7"/>
    <w:rsid w:val="00184F67"/>
    <w:rsid w:val="001860FF"/>
    <w:rsid w:val="0018706E"/>
    <w:rsid w:val="00187DE3"/>
    <w:rsid w:val="00191095"/>
    <w:rsid w:val="001918BE"/>
    <w:rsid w:val="00195731"/>
    <w:rsid w:val="00196B90"/>
    <w:rsid w:val="001A0EED"/>
    <w:rsid w:val="001A1C2F"/>
    <w:rsid w:val="001A2320"/>
    <w:rsid w:val="001A2327"/>
    <w:rsid w:val="001A48AF"/>
    <w:rsid w:val="001A6011"/>
    <w:rsid w:val="001A6A74"/>
    <w:rsid w:val="001A6F82"/>
    <w:rsid w:val="001B0719"/>
    <w:rsid w:val="001B0BB3"/>
    <w:rsid w:val="001B0CA2"/>
    <w:rsid w:val="001B471E"/>
    <w:rsid w:val="001C18FA"/>
    <w:rsid w:val="001C193E"/>
    <w:rsid w:val="001C1C99"/>
    <w:rsid w:val="001C44BF"/>
    <w:rsid w:val="001C4FE7"/>
    <w:rsid w:val="001C5C9C"/>
    <w:rsid w:val="001C73AC"/>
    <w:rsid w:val="001C791C"/>
    <w:rsid w:val="001D02F7"/>
    <w:rsid w:val="001D1678"/>
    <w:rsid w:val="001D1804"/>
    <w:rsid w:val="001D194F"/>
    <w:rsid w:val="001D2FE9"/>
    <w:rsid w:val="001D3954"/>
    <w:rsid w:val="001D539B"/>
    <w:rsid w:val="001D76CB"/>
    <w:rsid w:val="001D7F1A"/>
    <w:rsid w:val="001E47DB"/>
    <w:rsid w:val="001E554A"/>
    <w:rsid w:val="001E6D5D"/>
    <w:rsid w:val="001E79AB"/>
    <w:rsid w:val="001F0CB9"/>
    <w:rsid w:val="001F0FAA"/>
    <w:rsid w:val="001F27E8"/>
    <w:rsid w:val="001F2BE6"/>
    <w:rsid w:val="001F2EDD"/>
    <w:rsid w:val="001F7853"/>
    <w:rsid w:val="001F7A5C"/>
    <w:rsid w:val="00200D7E"/>
    <w:rsid w:val="002019B4"/>
    <w:rsid w:val="002045E7"/>
    <w:rsid w:val="00210D30"/>
    <w:rsid w:val="00212722"/>
    <w:rsid w:val="00214654"/>
    <w:rsid w:val="00215347"/>
    <w:rsid w:val="00215D19"/>
    <w:rsid w:val="00217C82"/>
    <w:rsid w:val="00221AA9"/>
    <w:rsid w:val="0022328E"/>
    <w:rsid w:val="00224B41"/>
    <w:rsid w:val="00224F44"/>
    <w:rsid w:val="00231086"/>
    <w:rsid w:val="002321B2"/>
    <w:rsid w:val="002325A8"/>
    <w:rsid w:val="002334AF"/>
    <w:rsid w:val="00233CBF"/>
    <w:rsid w:val="002369C7"/>
    <w:rsid w:val="00236C18"/>
    <w:rsid w:val="00236E9A"/>
    <w:rsid w:val="00236FC9"/>
    <w:rsid w:val="002377B2"/>
    <w:rsid w:val="0024632B"/>
    <w:rsid w:val="00247A6C"/>
    <w:rsid w:val="00250247"/>
    <w:rsid w:val="00252E3D"/>
    <w:rsid w:val="00257546"/>
    <w:rsid w:val="00257C2A"/>
    <w:rsid w:val="00264FDA"/>
    <w:rsid w:val="002672DC"/>
    <w:rsid w:val="00267A4B"/>
    <w:rsid w:val="00270165"/>
    <w:rsid w:val="00271773"/>
    <w:rsid w:val="002729B7"/>
    <w:rsid w:val="002734DE"/>
    <w:rsid w:val="00273E38"/>
    <w:rsid w:val="00275C25"/>
    <w:rsid w:val="00276F32"/>
    <w:rsid w:val="00276FF8"/>
    <w:rsid w:val="00280484"/>
    <w:rsid w:val="002805A7"/>
    <w:rsid w:val="002834C7"/>
    <w:rsid w:val="00283BC7"/>
    <w:rsid w:val="00283DB5"/>
    <w:rsid w:val="002843EC"/>
    <w:rsid w:val="00285167"/>
    <w:rsid w:val="00286B19"/>
    <w:rsid w:val="00287423"/>
    <w:rsid w:val="0029176C"/>
    <w:rsid w:val="00291812"/>
    <w:rsid w:val="00292B0A"/>
    <w:rsid w:val="00293F6E"/>
    <w:rsid w:val="00296302"/>
    <w:rsid w:val="00297D99"/>
    <w:rsid w:val="002A0BD9"/>
    <w:rsid w:val="002A10E0"/>
    <w:rsid w:val="002A2B5A"/>
    <w:rsid w:val="002A2D3A"/>
    <w:rsid w:val="002A30BE"/>
    <w:rsid w:val="002A44DF"/>
    <w:rsid w:val="002A496D"/>
    <w:rsid w:val="002A7217"/>
    <w:rsid w:val="002A782A"/>
    <w:rsid w:val="002B042F"/>
    <w:rsid w:val="002B2015"/>
    <w:rsid w:val="002B3C12"/>
    <w:rsid w:val="002B5329"/>
    <w:rsid w:val="002B6DF7"/>
    <w:rsid w:val="002B6EC7"/>
    <w:rsid w:val="002C2A5F"/>
    <w:rsid w:val="002C3B65"/>
    <w:rsid w:val="002C6E06"/>
    <w:rsid w:val="002C7C01"/>
    <w:rsid w:val="002C7CA5"/>
    <w:rsid w:val="002D021C"/>
    <w:rsid w:val="002D077F"/>
    <w:rsid w:val="002D1387"/>
    <w:rsid w:val="002D21DE"/>
    <w:rsid w:val="002D27BE"/>
    <w:rsid w:val="002D31C7"/>
    <w:rsid w:val="002D5089"/>
    <w:rsid w:val="002D573D"/>
    <w:rsid w:val="002D5D1F"/>
    <w:rsid w:val="002D7928"/>
    <w:rsid w:val="002E11FC"/>
    <w:rsid w:val="002E18DB"/>
    <w:rsid w:val="002E1A47"/>
    <w:rsid w:val="002E2D8D"/>
    <w:rsid w:val="002E2F80"/>
    <w:rsid w:val="002E3935"/>
    <w:rsid w:val="002E432E"/>
    <w:rsid w:val="002E450A"/>
    <w:rsid w:val="002E4560"/>
    <w:rsid w:val="002E5CE9"/>
    <w:rsid w:val="002E6351"/>
    <w:rsid w:val="002E7D25"/>
    <w:rsid w:val="002E7FA5"/>
    <w:rsid w:val="002F0EB7"/>
    <w:rsid w:val="002F0FCC"/>
    <w:rsid w:val="002F129A"/>
    <w:rsid w:val="002F1368"/>
    <w:rsid w:val="002F33B6"/>
    <w:rsid w:val="002F4DBF"/>
    <w:rsid w:val="002F50C0"/>
    <w:rsid w:val="002F69FD"/>
    <w:rsid w:val="002F7F3E"/>
    <w:rsid w:val="00300E1A"/>
    <w:rsid w:val="00301D51"/>
    <w:rsid w:val="003024C3"/>
    <w:rsid w:val="00303420"/>
    <w:rsid w:val="00303AA1"/>
    <w:rsid w:val="00304901"/>
    <w:rsid w:val="00307442"/>
    <w:rsid w:val="0031038E"/>
    <w:rsid w:val="003113CC"/>
    <w:rsid w:val="00311496"/>
    <w:rsid w:val="003125F7"/>
    <w:rsid w:val="00314774"/>
    <w:rsid w:val="00314BDD"/>
    <w:rsid w:val="00314CE8"/>
    <w:rsid w:val="003164C0"/>
    <w:rsid w:val="00320575"/>
    <w:rsid w:val="00320E86"/>
    <w:rsid w:val="00323E17"/>
    <w:rsid w:val="00325CCA"/>
    <w:rsid w:val="00326B1D"/>
    <w:rsid w:val="00326C2E"/>
    <w:rsid w:val="0033012A"/>
    <w:rsid w:val="003353E1"/>
    <w:rsid w:val="003354C7"/>
    <w:rsid w:val="0033644D"/>
    <w:rsid w:val="00340545"/>
    <w:rsid w:val="00344A7E"/>
    <w:rsid w:val="00346435"/>
    <w:rsid w:val="003467B4"/>
    <w:rsid w:val="003502E0"/>
    <w:rsid w:val="0035373A"/>
    <w:rsid w:val="00354902"/>
    <w:rsid w:val="00355218"/>
    <w:rsid w:val="00355386"/>
    <w:rsid w:val="00357F0D"/>
    <w:rsid w:val="00360936"/>
    <w:rsid w:val="003643BC"/>
    <w:rsid w:val="003645A9"/>
    <w:rsid w:val="00367FE6"/>
    <w:rsid w:val="003700F3"/>
    <w:rsid w:val="0037170A"/>
    <w:rsid w:val="00371D6E"/>
    <w:rsid w:val="00371D9C"/>
    <w:rsid w:val="00372E80"/>
    <w:rsid w:val="003747EA"/>
    <w:rsid w:val="00375A27"/>
    <w:rsid w:val="0037721D"/>
    <w:rsid w:val="00380063"/>
    <w:rsid w:val="00383FAC"/>
    <w:rsid w:val="003840D8"/>
    <w:rsid w:val="003848A8"/>
    <w:rsid w:val="00384D6D"/>
    <w:rsid w:val="00390F3F"/>
    <w:rsid w:val="0039173F"/>
    <w:rsid w:val="0039290F"/>
    <w:rsid w:val="00392CA7"/>
    <w:rsid w:val="003933D0"/>
    <w:rsid w:val="00393A23"/>
    <w:rsid w:val="00396FC2"/>
    <w:rsid w:val="003A038F"/>
    <w:rsid w:val="003A10F3"/>
    <w:rsid w:val="003A1922"/>
    <w:rsid w:val="003A244B"/>
    <w:rsid w:val="003A3218"/>
    <w:rsid w:val="003A4D0D"/>
    <w:rsid w:val="003A5ABD"/>
    <w:rsid w:val="003A6410"/>
    <w:rsid w:val="003A720A"/>
    <w:rsid w:val="003A728F"/>
    <w:rsid w:val="003B0151"/>
    <w:rsid w:val="003B082C"/>
    <w:rsid w:val="003B5E4C"/>
    <w:rsid w:val="003B6BB1"/>
    <w:rsid w:val="003B7759"/>
    <w:rsid w:val="003C0959"/>
    <w:rsid w:val="003C0CC2"/>
    <w:rsid w:val="003C2F74"/>
    <w:rsid w:val="003C34D0"/>
    <w:rsid w:val="003C45EE"/>
    <w:rsid w:val="003C56D8"/>
    <w:rsid w:val="003C6263"/>
    <w:rsid w:val="003D3A23"/>
    <w:rsid w:val="003D3D72"/>
    <w:rsid w:val="003D5936"/>
    <w:rsid w:val="003E04F4"/>
    <w:rsid w:val="003E0AC6"/>
    <w:rsid w:val="003E29EC"/>
    <w:rsid w:val="003E526B"/>
    <w:rsid w:val="003E5B27"/>
    <w:rsid w:val="003E5C43"/>
    <w:rsid w:val="003E5F8C"/>
    <w:rsid w:val="003E683A"/>
    <w:rsid w:val="003E6D4C"/>
    <w:rsid w:val="003E6FCD"/>
    <w:rsid w:val="003F0C70"/>
    <w:rsid w:val="003F1C6B"/>
    <w:rsid w:val="003F1FDA"/>
    <w:rsid w:val="003F254D"/>
    <w:rsid w:val="003F2AE7"/>
    <w:rsid w:val="003F3253"/>
    <w:rsid w:val="003F33A3"/>
    <w:rsid w:val="003F5555"/>
    <w:rsid w:val="003F5802"/>
    <w:rsid w:val="003F5ACE"/>
    <w:rsid w:val="003F5C00"/>
    <w:rsid w:val="00400581"/>
    <w:rsid w:val="00400DB1"/>
    <w:rsid w:val="00402ED6"/>
    <w:rsid w:val="004034A6"/>
    <w:rsid w:val="004050D8"/>
    <w:rsid w:val="00405B98"/>
    <w:rsid w:val="0040738E"/>
    <w:rsid w:val="00410E20"/>
    <w:rsid w:val="00414B9F"/>
    <w:rsid w:val="00415F2A"/>
    <w:rsid w:val="004164C0"/>
    <w:rsid w:val="004177EC"/>
    <w:rsid w:val="00420226"/>
    <w:rsid w:val="00422203"/>
    <w:rsid w:val="004251BB"/>
    <w:rsid w:val="004260CD"/>
    <w:rsid w:val="004265CF"/>
    <w:rsid w:val="00426AB6"/>
    <w:rsid w:val="004336C0"/>
    <w:rsid w:val="00433814"/>
    <w:rsid w:val="00434BB6"/>
    <w:rsid w:val="00435648"/>
    <w:rsid w:val="004357CA"/>
    <w:rsid w:val="00435FE0"/>
    <w:rsid w:val="00437C05"/>
    <w:rsid w:val="004404E6"/>
    <w:rsid w:val="00442170"/>
    <w:rsid w:val="00442250"/>
    <w:rsid w:val="004423D3"/>
    <w:rsid w:val="00443F48"/>
    <w:rsid w:val="004445F1"/>
    <w:rsid w:val="00444F65"/>
    <w:rsid w:val="00446B0C"/>
    <w:rsid w:val="00447016"/>
    <w:rsid w:val="00447202"/>
    <w:rsid w:val="00447E4E"/>
    <w:rsid w:val="00447F4C"/>
    <w:rsid w:val="00450511"/>
    <w:rsid w:val="0045189C"/>
    <w:rsid w:val="00452116"/>
    <w:rsid w:val="004525D0"/>
    <w:rsid w:val="00452A7A"/>
    <w:rsid w:val="004533B9"/>
    <w:rsid w:val="004548EC"/>
    <w:rsid w:val="0045778C"/>
    <w:rsid w:val="004578DE"/>
    <w:rsid w:val="00457CA5"/>
    <w:rsid w:val="004603F4"/>
    <w:rsid w:val="00460C65"/>
    <w:rsid w:val="00462631"/>
    <w:rsid w:val="00463C7C"/>
    <w:rsid w:val="004673BF"/>
    <w:rsid w:val="00472268"/>
    <w:rsid w:val="00472A01"/>
    <w:rsid w:val="004748E6"/>
    <w:rsid w:val="00476F1A"/>
    <w:rsid w:val="00482B5B"/>
    <w:rsid w:val="00482BAF"/>
    <w:rsid w:val="00483098"/>
    <w:rsid w:val="00483BB0"/>
    <w:rsid w:val="00486A81"/>
    <w:rsid w:val="00486F44"/>
    <w:rsid w:val="00490506"/>
    <w:rsid w:val="004926E6"/>
    <w:rsid w:val="004941CB"/>
    <w:rsid w:val="00495546"/>
    <w:rsid w:val="0049663C"/>
    <w:rsid w:val="0049713B"/>
    <w:rsid w:val="00497AF7"/>
    <w:rsid w:val="004A3481"/>
    <w:rsid w:val="004A56EC"/>
    <w:rsid w:val="004A70CA"/>
    <w:rsid w:val="004B05BA"/>
    <w:rsid w:val="004B06B0"/>
    <w:rsid w:val="004B2570"/>
    <w:rsid w:val="004B58B8"/>
    <w:rsid w:val="004B6780"/>
    <w:rsid w:val="004B7FAD"/>
    <w:rsid w:val="004C0338"/>
    <w:rsid w:val="004C19F2"/>
    <w:rsid w:val="004C1A66"/>
    <w:rsid w:val="004C24CB"/>
    <w:rsid w:val="004C26F6"/>
    <w:rsid w:val="004C2A0F"/>
    <w:rsid w:val="004C38BF"/>
    <w:rsid w:val="004C3DD5"/>
    <w:rsid w:val="004C4E25"/>
    <w:rsid w:val="004C6582"/>
    <w:rsid w:val="004C6B45"/>
    <w:rsid w:val="004C7EBA"/>
    <w:rsid w:val="004D1F17"/>
    <w:rsid w:val="004D21E0"/>
    <w:rsid w:val="004D255A"/>
    <w:rsid w:val="004D46B3"/>
    <w:rsid w:val="004E2F9F"/>
    <w:rsid w:val="004E344F"/>
    <w:rsid w:val="004E5727"/>
    <w:rsid w:val="004E5EF1"/>
    <w:rsid w:val="004E6667"/>
    <w:rsid w:val="004E67F2"/>
    <w:rsid w:val="004E69FB"/>
    <w:rsid w:val="004F0071"/>
    <w:rsid w:val="004F10E8"/>
    <w:rsid w:val="004F25A7"/>
    <w:rsid w:val="004F49EB"/>
    <w:rsid w:val="004F52D8"/>
    <w:rsid w:val="004F5930"/>
    <w:rsid w:val="005001E8"/>
    <w:rsid w:val="00500EBA"/>
    <w:rsid w:val="005018A1"/>
    <w:rsid w:val="00503938"/>
    <w:rsid w:val="00505C11"/>
    <w:rsid w:val="00506861"/>
    <w:rsid w:val="005128F0"/>
    <w:rsid w:val="005129EC"/>
    <w:rsid w:val="00513E51"/>
    <w:rsid w:val="00513F8C"/>
    <w:rsid w:val="00515787"/>
    <w:rsid w:val="00515B1E"/>
    <w:rsid w:val="00517420"/>
    <w:rsid w:val="0051758F"/>
    <w:rsid w:val="0052197F"/>
    <w:rsid w:val="00522B04"/>
    <w:rsid w:val="005238CC"/>
    <w:rsid w:val="00526E0F"/>
    <w:rsid w:val="00530032"/>
    <w:rsid w:val="005324B9"/>
    <w:rsid w:val="00535B7E"/>
    <w:rsid w:val="00541617"/>
    <w:rsid w:val="00541DDD"/>
    <w:rsid w:val="005436F9"/>
    <w:rsid w:val="0054386D"/>
    <w:rsid w:val="0054537B"/>
    <w:rsid w:val="00546C43"/>
    <w:rsid w:val="00546E44"/>
    <w:rsid w:val="00547A57"/>
    <w:rsid w:val="00550263"/>
    <w:rsid w:val="00552776"/>
    <w:rsid w:val="0055293A"/>
    <w:rsid w:val="00552D4A"/>
    <w:rsid w:val="0055386F"/>
    <w:rsid w:val="00555758"/>
    <w:rsid w:val="005564EE"/>
    <w:rsid w:val="00561022"/>
    <w:rsid w:val="005610D3"/>
    <w:rsid w:val="00564407"/>
    <w:rsid w:val="005645D5"/>
    <w:rsid w:val="00564B17"/>
    <w:rsid w:val="00564BB3"/>
    <w:rsid w:val="0056536E"/>
    <w:rsid w:val="005658D8"/>
    <w:rsid w:val="00567EBF"/>
    <w:rsid w:val="0057067E"/>
    <w:rsid w:val="00572CA0"/>
    <w:rsid w:val="0057427F"/>
    <w:rsid w:val="00574345"/>
    <w:rsid w:val="00576611"/>
    <w:rsid w:val="0057687C"/>
    <w:rsid w:val="00577578"/>
    <w:rsid w:val="00581593"/>
    <w:rsid w:val="00585A14"/>
    <w:rsid w:val="00587881"/>
    <w:rsid w:val="005908FE"/>
    <w:rsid w:val="00591958"/>
    <w:rsid w:val="0059280A"/>
    <w:rsid w:val="005930A6"/>
    <w:rsid w:val="005940A4"/>
    <w:rsid w:val="00595FB8"/>
    <w:rsid w:val="00596343"/>
    <w:rsid w:val="00596825"/>
    <w:rsid w:val="00596E87"/>
    <w:rsid w:val="005A50FF"/>
    <w:rsid w:val="005A63ED"/>
    <w:rsid w:val="005B0223"/>
    <w:rsid w:val="005B11A9"/>
    <w:rsid w:val="005B16A2"/>
    <w:rsid w:val="005B2A26"/>
    <w:rsid w:val="005B3499"/>
    <w:rsid w:val="005B38EC"/>
    <w:rsid w:val="005B44DE"/>
    <w:rsid w:val="005B5298"/>
    <w:rsid w:val="005B7167"/>
    <w:rsid w:val="005B79CC"/>
    <w:rsid w:val="005C217C"/>
    <w:rsid w:val="005C2BE7"/>
    <w:rsid w:val="005C2F0C"/>
    <w:rsid w:val="005C438C"/>
    <w:rsid w:val="005C51F4"/>
    <w:rsid w:val="005C620F"/>
    <w:rsid w:val="005C7A0D"/>
    <w:rsid w:val="005D0DC3"/>
    <w:rsid w:val="005D52D0"/>
    <w:rsid w:val="005E206E"/>
    <w:rsid w:val="005E23FD"/>
    <w:rsid w:val="005E26AC"/>
    <w:rsid w:val="005E5603"/>
    <w:rsid w:val="005E6CF3"/>
    <w:rsid w:val="005F1AAE"/>
    <w:rsid w:val="005F22D9"/>
    <w:rsid w:val="005F30D7"/>
    <w:rsid w:val="005F337E"/>
    <w:rsid w:val="005F5F76"/>
    <w:rsid w:val="005F622C"/>
    <w:rsid w:val="0060185F"/>
    <w:rsid w:val="00602B85"/>
    <w:rsid w:val="00602F89"/>
    <w:rsid w:val="00605D9A"/>
    <w:rsid w:val="00611A50"/>
    <w:rsid w:val="0061303E"/>
    <w:rsid w:val="00613E56"/>
    <w:rsid w:val="00616175"/>
    <w:rsid w:val="00617156"/>
    <w:rsid w:val="0061733C"/>
    <w:rsid w:val="00620A7A"/>
    <w:rsid w:val="00620E72"/>
    <w:rsid w:val="006218F0"/>
    <w:rsid w:val="00625E67"/>
    <w:rsid w:val="00627244"/>
    <w:rsid w:val="0063173B"/>
    <w:rsid w:val="006336A4"/>
    <w:rsid w:val="00635FE3"/>
    <w:rsid w:val="006360C4"/>
    <w:rsid w:val="00637718"/>
    <w:rsid w:val="00641D2C"/>
    <w:rsid w:val="0064239C"/>
    <w:rsid w:val="0064262C"/>
    <w:rsid w:val="00643B49"/>
    <w:rsid w:val="00652BD5"/>
    <w:rsid w:val="006531EF"/>
    <w:rsid w:val="006555C2"/>
    <w:rsid w:val="006563C7"/>
    <w:rsid w:val="006566E5"/>
    <w:rsid w:val="00657E4F"/>
    <w:rsid w:val="00665AB7"/>
    <w:rsid w:val="00665CDB"/>
    <w:rsid w:val="00667B7A"/>
    <w:rsid w:val="00667EB8"/>
    <w:rsid w:val="00670531"/>
    <w:rsid w:val="00671794"/>
    <w:rsid w:val="006718F8"/>
    <w:rsid w:val="006731EB"/>
    <w:rsid w:val="00673B9A"/>
    <w:rsid w:val="00674E42"/>
    <w:rsid w:val="00676F98"/>
    <w:rsid w:val="00680AB2"/>
    <w:rsid w:val="006838D0"/>
    <w:rsid w:val="00686249"/>
    <w:rsid w:val="00687346"/>
    <w:rsid w:val="00687DF3"/>
    <w:rsid w:val="00692F98"/>
    <w:rsid w:val="00694835"/>
    <w:rsid w:val="0069567B"/>
    <w:rsid w:val="006A1AAF"/>
    <w:rsid w:val="006A3D31"/>
    <w:rsid w:val="006A3ED4"/>
    <w:rsid w:val="006A46A9"/>
    <w:rsid w:val="006A4847"/>
    <w:rsid w:val="006A4E8B"/>
    <w:rsid w:val="006A5D5F"/>
    <w:rsid w:val="006A6710"/>
    <w:rsid w:val="006A79C0"/>
    <w:rsid w:val="006B0642"/>
    <w:rsid w:val="006B06B7"/>
    <w:rsid w:val="006B102B"/>
    <w:rsid w:val="006B2A93"/>
    <w:rsid w:val="006B32A3"/>
    <w:rsid w:val="006B4C78"/>
    <w:rsid w:val="006B5B13"/>
    <w:rsid w:val="006B6B11"/>
    <w:rsid w:val="006B6B71"/>
    <w:rsid w:val="006C0477"/>
    <w:rsid w:val="006C054B"/>
    <w:rsid w:val="006C05CD"/>
    <w:rsid w:val="006C06F8"/>
    <w:rsid w:val="006C3162"/>
    <w:rsid w:val="006C4885"/>
    <w:rsid w:val="006C4DA6"/>
    <w:rsid w:val="006C7757"/>
    <w:rsid w:val="006D0535"/>
    <w:rsid w:val="006D0899"/>
    <w:rsid w:val="006D1EC5"/>
    <w:rsid w:val="006D31EB"/>
    <w:rsid w:val="006D7A2D"/>
    <w:rsid w:val="006D7AA7"/>
    <w:rsid w:val="006D7BED"/>
    <w:rsid w:val="006D7D04"/>
    <w:rsid w:val="006E0454"/>
    <w:rsid w:val="006E27E4"/>
    <w:rsid w:val="006E287E"/>
    <w:rsid w:val="006E382B"/>
    <w:rsid w:val="006E4584"/>
    <w:rsid w:val="006E6164"/>
    <w:rsid w:val="006E6881"/>
    <w:rsid w:val="006E691B"/>
    <w:rsid w:val="006E71F8"/>
    <w:rsid w:val="006E757E"/>
    <w:rsid w:val="006F0C26"/>
    <w:rsid w:val="006F1F00"/>
    <w:rsid w:val="006F234D"/>
    <w:rsid w:val="006F48A3"/>
    <w:rsid w:val="006F57F3"/>
    <w:rsid w:val="00700916"/>
    <w:rsid w:val="00700999"/>
    <w:rsid w:val="00703221"/>
    <w:rsid w:val="00703726"/>
    <w:rsid w:val="00704F25"/>
    <w:rsid w:val="00705E7B"/>
    <w:rsid w:val="0071192C"/>
    <w:rsid w:val="00713125"/>
    <w:rsid w:val="00713A7B"/>
    <w:rsid w:val="00713B9C"/>
    <w:rsid w:val="007143FE"/>
    <w:rsid w:val="00716C0C"/>
    <w:rsid w:val="00720B22"/>
    <w:rsid w:val="0072168B"/>
    <w:rsid w:val="00722AF6"/>
    <w:rsid w:val="0072322B"/>
    <w:rsid w:val="007240EF"/>
    <w:rsid w:val="00730780"/>
    <w:rsid w:val="0073145E"/>
    <w:rsid w:val="00732508"/>
    <w:rsid w:val="00733299"/>
    <w:rsid w:val="007336BA"/>
    <w:rsid w:val="00734522"/>
    <w:rsid w:val="00734B26"/>
    <w:rsid w:val="00736E48"/>
    <w:rsid w:val="007371FF"/>
    <w:rsid w:val="0074083A"/>
    <w:rsid w:val="007412F0"/>
    <w:rsid w:val="00741618"/>
    <w:rsid w:val="00741A66"/>
    <w:rsid w:val="0074264C"/>
    <w:rsid w:val="007440AA"/>
    <w:rsid w:val="00744403"/>
    <w:rsid w:val="00744ADD"/>
    <w:rsid w:val="00745A6D"/>
    <w:rsid w:val="0075209D"/>
    <w:rsid w:val="00754359"/>
    <w:rsid w:val="00755D60"/>
    <w:rsid w:val="00757C61"/>
    <w:rsid w:val="007605E8"/>
    <w:rsid w:val="00760751"/>
    <w:rsid w:val="00760892"/>
    <w:rsid w:val="00761C2F"/>
    <w:rsid w:val="0076216A"/>
    <w:rsid w:val="00762760"/>
    <w:rsid w:val="007633AF"/>
    <w:rsid w:val="00763AF4"/>
    <w:rsid w:val="00764AD0"/>
    <w:rsid w:val="00764C29"/>
    <w:rsid w:val="0076750C"/>
    <w:rsid w:val="0077138F"/>
    <w:rsid w:val="00772445"/>
    <w:rsid w:val="00774C22"/>
    <w:rsid w:val="00777017"/>
    <w:rsid w:val="00780492"/>
    <w:rsid w:val="007823A8"/>
    <w:rsid w:val="00783968"/>
    <w:rsid w:val="00784333"/>
    <w:rsid w:val="00785387"/>
    <w:rsid w:val="00790627"/>
    <w:rsid w:val="00794CE7"/>
    <w:rsid w:val="00795E82"/>
    <w:rsid w:val="00797E44"/>
    <w:rsid w:val="00797E99"/>
    <w:rsid w:val="007A01C6"/>
    <w:rsid w:val="007A1B2E"/>
    <w:rsid w:val="007A38C3"/>
    <w:rsid w:val="007A5A0B"/>
    <w:rsid w:val="007A6E91"/>
    <w:rsid w:val="007B0695"/>
    <w:rsid w:val="007B34C6"/>
    <w:rsid w:val="007B54F5"/>
    <w:rsid w:val="007B6777"/>
    <w:rsid w:val="007B7391"/>
    <w:rsid w:val="007C06FB"/>
    <w:rsid w:val="007C15F1"/>
    <w:rsid w:val="007C19AA"/>
    <w:rsid w:val="007C24E3"/>
    <w:rsid w:val="007C3AFD"/>
    <w:rsid w:val="007C3D73"/>
    <w:rsid w:val="007C4A3B"/>
    <w:rsid w:val="007C5CB6"/>
    <w:rsid w:val="007C5D3A"/>
    <w:rsid w:val="007D00E0"/>
    <w:rsid w:val="007D0418"/>
    <w:rsid w:val="007D09BC"/>
    <w:rsid w:val="007D0EEF"/>
    <w:rsid w:val="007D1A6B"/>
    <w:rsid w:val="007D310E"/>
    <w:rsid w:val="007D4A63"/>
    <w:rsid w:val="007D7317"/>
    <w:rsid w:val="007D7667"/>
    <w:rsid w:val="007E0869"/>
    <w:rsid w:val="007E1ADB"/>
    <w:rsid w:val="007E3339"/>
    <w:rsid w:val="007E336F"/>
    <w:rsid w:val="007E411B"/>
    <w:rsid w:val="007E5151"/>
    <w:rsid w:val="007E7D8F"/>
    <w:rsid w:val="007F1119"/>
    <w:rsid w:val="007F6BB2"/>
    <w:rsid w:val="007F7377"/>
    <w:rsid w:val="007F7A24"/>
    <w:rsid w:val="007F7E8F"/>
    <w:rsid w:val="00801672"/>
    <w:rsid w:val="00802318"/>
    <w:rsid w:val="00802788"/>
    <w:rsid w:val="00804473"/>
    <w:rsid w:val="00805066"/>
    <w:rsid w:val="008059E6"/>
    <w:rsid w:val="00805F8A"/>
    <w:rsid w:val="00812A40"/>
    <w:rsid w:val="0081425D"/>
    <w:rsid w:val="0081487A"/>
    <w:rsid w:val="008175EC"/>
    <w:rsid w:val="00820DFB"/>
    <w:rsid w:val="00821C29"/>
    <w:rsid w:val="00821E6F"/>
    <w:rsid w:val="00822028"/>
    <w:rsid w:val="008239EE"/>
    <w:rsid w:val="00823AD4"/>
    <w:rsid w:val="00824E3F"/>
    <w:rsid w:val="00826A9A"/>
    <w:rsid w:val="00827DE2"/>
    <w:rsid w:val="00831666"/>
    <w:rsid w:val="008344E1"/>
    <w:rsid w:val="008349A3"/>
    <w:rsid w:val="00836929"/>
    <w:rsid w:val="008369B2"/>
    <w:rsid w:val="00840B4E"/>
    <w:rsid w:val="00841957"/>
    <w:rsid w:val="00843EE1"/>
    <w:rsid w:val="00844141"/>
    <w:rsid w:val="0084419F"/>
    <w:rsid w:val="008442E2"/>
    <w:rsid w:val="00847643"/>
    <w:rsid w:val="008506A7"/>
    <w:rsid w:val="00855090"/>
    <w:rsid w:val="00856DB8"/>
    <w:rsid w:val="00856E5C"/>
    <w:rsid w:val="0086088D"/>
    <w:rsid w:val="00860929"/>
    <w:rsid w:val="00862835"/>
    <w:rsid w:val="00863583"/>
    <w:rsid w:val="00864069"/>
    <w:rsid w:val="008664E5"/>
    <w:rsid w:val="00870758"/>
    <w:rsid w:val="00870E7A"/>
    <w:rsid w:val="008711D1"/>
    <w:rsid w:val="0087144E"/>
    <w:rsid w:val="008714E8"/>
    <w:rsid w:val="00871C37"/>
    <w:rsid w:val="00874447"/>
    <w:rsid w:val="00881C11"/>
    <w:rsid w:val="00883CB0"/>
    <w:rsid w:val="008842CB"/>
    <w:rsid w:val="00887494"/>
    <w:rsid w:val="008915E2"/>
    <w:rsid w:val="00891D34"/>
    <w:rsid w:val="00893C3D"/>
    <w:rsid w:val="008A16C6"/>
    <w:rsid w:val="008A29CD"/>
    <w:rsid w:val="008A3357"/>
    <w:rsid w:val="008A4258"/>
    <w:rsid w:val="008A4614"/>
    <w:rsid w:val="008A4EBF"/>
    <w:rsid w:val="008A5677"/>
    <w:rsid w:val="008A5838"/>
    <w:rsid w:val="008B1101"/>
    <w:rsid w:val="008B14FB"/>
    <w:rsid w:val="008B1E18"/>
    <w:rsid w:val="008B36D3"/>
    <w:rsid w:val="008B3B98"/>
    <w:rsid w:val="008B3F99"/>
    <w:rsid w:val="008B4491"/>
    <w:rsid w:val="008B4730"/>
    <w:rsid w:val="008B4FEF"/>
    <w:rsid w:val="008B5C91"/>
    <w:rsid w:val="008C06C6"/>
    <w:rsid w:val="008C0A59"/>
    <w:rsid w:val="008C2D66"/>
    <w:rsid w:val="008C4DFF"/>
    <w:rsid w:val="008C6748"/>
    <w:rsid w:val="008D01B0"/>
    <w:rsid w:val="008D0E54"/>
    <w:rsid w:val="008D2674"/>
    <w:rsid w:val="008D286D"/>
    <w:rsid w:val="008D2A7F"/>
    <w:rsid w:val="008D4967"/>
    <w:rsid w:val="008D4F01"/>
    <w:rsid w:val="008D68A5"/>
    <w:rsid w:val="008D6A33"/>
    <w:rsid w:val="008E035A"/>
    <w:rsid w:val="008E0D57"/>
    <w:rsid w:val="008E1E8C"/>
    <w:rsid w:val="008E30B9"/>
    <w:rsid w:val="008E4AFD"/>
    <w:rsid w:val="008E4F89"/>
    <w:rsid w:val="008E52B9"/>
    <w:rsid w:val="008E66D6"/>
    <w:rsid w:val="008F174B"/>
    <w:rsid w:val="008F1C12"/>
    <w:rsid w:val="008F2E87"/>
    <w:rsid w:val="008F39BF"/>
    <w:rsid w:val="008F466B"/>
    <w:rsid w:val="008F511F"/>
    <w:rsid w:val="008F6593"/>
    <w:rsid w:val="00901281"/>
    <w:rsid w:val="00904341"/>
    <w:rsid w:val="009045E0"/>
    <w:rsid w:val="009047FF"/>
    <w:rsid w:val="00906649"/>
    <w:rsid w:val="00907133"/>
    <w:rsid w:val="00910CA7"/>
    <w:rsid w:val="0091119B"/>
    <w:rsid w:val="00913FFE"/>
    <w:rsid w:val="00914649"/>
    <w:rsid w:val="00916ABD"/>
    <w:rsid w:val="00917097"/>
    <w:rsid w:val="00917867"/>
    <w:rsid w:val="009205D2"/>
    <w:rsid w:val="009208E9"/>
    <w:rsid w:val="00921C34"/>
    <w:rsid w:val="00922307"/>
    <w:rsid w:val="00923263"/>
    <w:rsid w:val="009238A7"/>
    <w:rsid w:val="00925D39"/>
    <w:rsid w:val="00925DC3"/>
    <w:rsid w:val="00930FCC"/>
    <w:rsid w:val="00931ECC"/>
    <w:rsid w:val="0093353B"/>
    <w:rsid w:val="009375CD"/>
    <w:rsid w:val="00940634"/>
    <w:rsid w:val="009425D5"/>
    <w:rsid w:val="00942D64"/>
    <w:rsid w:val="00943532"/>
    <w:rsid w:val="00943DF4"/>
    <w:rsid w:val="0094408C"/>
    <w:rsid w:val="00944967"/>
    <w:rsid w:val="009454BC"/>
    <w:rsid w:val="00945847"/>
    <w:rsid w:val="009465CA"/>
    <w:rsid w:val="00946E08"/>
    <w:rsid w:val="0095021E"/>
    <w:rsid w:val="009506B2"/>
    <w:rsid w:val="00951706"/>
    <w:rsid w:val="00951CBF"/>
    <w:rsid w:val="009526E4"/>
    <w:rsid w:val="0095347E"/>
    <w:rsid w:val="0095616B"/>
    <w:rsid w:val="00956AF3"/>
    <w:rsid w:val="00956E43"/>
    <w:rsid w:val="009601AD"/>
    <w:rsid w:val="0096027B"/>
    <w:rsid w:val="00961150"/>
    <w:rsid w:val="00961C07"/>
    <w:rsid w:val="009622C0"/>
    <w:rsid w:val="00963D73"/>
    <w:rsid w:val="009640CF"/>
    <w:rsid w:val="00964300"/>
    <w:rsid w:val="00965286"/>
    <w:rsid w:val="00970DE0"/>
    <w:rsid w:val="009716E4"/>
    <w:rsid w:val="00971A91"/>
    <w:rsid w:val="0097507B"/>
    <w:rsid w:val="009821A6"/>
    <w:rsid w:val="00982CC2"/>
    <w:rsid w:val="00983C5D"/>
    <w:rsid w:val="00984530"/>
    <w:rsid w:val="0098581E"/>
    <w:rsid w:val="00986BAC"/>
    <w:rsid w:val="00986C26"/>
    <w:rsid w:val="00990161"/>
    <w:rsid w:val="009945DE"/>
    <w:rsid w:val="00994846"/>
    <w:rsid w:val="00996D03"/>
    <w:rsid w:val="00997774"/>
    <w:rsid w:val="009A03B4"/>
    <w:rsid w:val="009A0594"/>
    <w:rsid w:val="009A0997"/>
    <w:rsid w:val="009A1063"/>
    <w:rsid w:val="009A28DF"/>
    <w:rsid w:val="009A28F6"/>
    <w:rsid w:val="009A3A8B"/>
    <w:rsid w:val="009A4928"/>
    <w:rsid w:val="009A582E"/>
    <w:rsid w:val="009B091D"/>
    <w:rsid w:val="009B382F"/>
    <w:rsid w:val="009B4E82"/>
    <w:rsid w:val="009B5871"/>
    <w:rsid w:val="009B6BB2"/>
    <w:rsid w:val="009B7157"/>
    <w:rsid w:val="009C02C1"/>
    <w:rsid w:val="009C14FD"/>
    <w:rsid w:val="009C258F"/>
    <w:rsid w:val="009C543A"/>
    <w:rsid w:val="009C5566"/>
    <w:rsid w:val="009D1207"/>
    <w:rsid w:val="009D4127"/>
    <w:rsid w:val="009D44A7"/>
    <w:rsid w:val="009D486F"/>
    <w:rsid w:val="009D78D4"/>
    <w:rsid w:val="009D7FAF"/>
    <w:rsid w:val="009E169D"/>
    <w:rsid w:val="009E34A4"/>
    <w:rsid w:val="009E506C"/>
    <w:rsid w:val="009E535D"/>
    <w:rsid w:val="009E711F"/>
    <w:rsid w:val="009F0C38"/>
    <w:rsid w:val="009F2686"/>
    <w:rsid w:val="009F2C4C"/>
    <w:rsid w:val="009F46E4"/>
    <w:rsid w:val="009F6479"/>
    <w:rsid w:val="00A0113C"/>
    <w:rsid w:val="00A01642"/>
    <w:rsid w:val="00A02BA7"/>
    <w:rsid w:val="00A0322D"/>
    <w:rsid w:val="00A03A5C"/>
    <w:rsid w:val="00A04F95"/>
    <w:rsid w:val="00A05EA4"/>
    <w:rsid w:val="00A07B25"/>
    <w:rsid w:val="00A10C6F"/>
    <w:rsid w:val="00A11DE0"/>
    <w:rsid w:val="00A14B80"/>
    <w:rsid w:val="00A158E5"/>
    <w:rsid w:val="00A15FD8"/>
    <w:rsid w:val="00A164B0"/>
    <w:rsid w:val="00A17CDC"/>
    <w:rsid w:val="00A204F4"/>
    <w:rsid w:val="00A21418"/>
    <w:rsid w:val="00A21CD4"/>
    <w:rsid w:val="00A235B2"/>
    <w:rsid w:val="00A25467"/>
    <w:rsid w:val="00A255FA"/>
    <w:rsid w:val="00A26C05"/>
    <w:rsid w:val="00A31A7A"/>
    <w:rsid w:val="00A338B0"/>
    <w:rsid w:val="00A3594D"/>
    <w:rsid w:val="00A3619A"/>
    <w:rsid w:val="00A3722A"/>
    <w:rsid w:val="00A37F93"/>
    <w:rsid w:val="00A41184"/>
    <w:rsid w:val="00A419AF"/>
    <w:rsid w:val="00A4378C"/>
    <w:rsid w:val="00A45B70"/>
    <w:rsid w:val="00A47AA2"/>
    <w:rsid w:val="00A50749"/>
    <w:rsid w:val="00A50B77"/>
    <w:rsid w:val="00A5404F"/>
    <w:rsid w:val="00A5460A"/>
    <w:rsid w:val="00A54F4C"/>
    <w:rsid w:val="00A56517"/>
    <w:rsid w:val="00A57CBC"/>
    <w:rsid w:val="00A603CB"/>
    <w:rsid w:val="00A60DBA"/>
    <w:rsid w:val="00A616A8"/>
    <w:rsid w:val="00A62C4E"/>
    <w:rsid w:val="00A63098"/>
    <w:rsid w:val="00A6685B"/>
    <w:rsid w:val="00A6714E"/>
    <w:rsid w:val="00A701AA"/>
    <w:rsid w:val="00A70B1A"/>
    <w:rsid w:val="00A729D6"/>
    <w:rsid w:val="00A72A28"/>
    <w:rsid w:val="00A73C52"/>
    <w:rsid w:val="00A7765A"/>
    <w:rsid w:val="00A777C7"/>
    <w:rsid w:val="00A817BA"/>
    <w:rsid w:val="00A8251F"/>
    <w:rsid w:val="00A8276C"/>
    <w:rsid w:val="00A85146"/>
    <w:rsid w:val="00A86286"/>
    <w:rsid w:val="00A863BB"/>
    <w:rsid w:val="00A86E17"/>
    <w:rsid w:val="00A87409"/>
    <w:rsid w:val="00A90952"/>
    <w:rsid w:val="00A930F2"/>
    <w:rsid w:val="00A93340"/>
    <w:rsid w:val="00A93BDA"/>
    <w:rsid w:val="00A9415A"/>
    <w:rsid w:val="00A9418F"/>
    <w:rsid w:val="00A944CE"/>
    <w:rsid w:val="00A94EC5"/>
    <w:rsid w:val="00A95CF6"/>
    <w:rsid w:val="00AA004D"/>
    <w:rsid w:val="00AA17B4"/>
    <w:rsid w:val="00AA3D90"/>
    <w:rsid w:val="00AA503C"/>
    <w:rsid w:val="00AA55E3"/>
    <w:rsid w:val="00AA7F14"/>
    <w:rsid w:val="00AB1431"/>
    <w:rsid w:val="00AB2381"/>
    <w:rsid w:val="00AB25BA"/>
    <w:rsid w:val="00AB2C62"/>
    <w:rsid w:val="00AB31C0"/>
    <w:rsid w:val="00AB5196"/>
    <w:rsid w:val="00AB553E"/>
    <w:rsid w:val="00AB6C3B"/>
    <w:rsid w:val="00AB79B3"/>
    <w:rsid w:val="00AC07B1"/>
    <w:rsid w:val="00AC0C3E"/>
    <w:rsid w:val="00AC3470"/>
    <w:rsid w:val="00AC3B8A"/>
    <w:rsid w:val="00AC6095"/>
    <w:rsid w:val="00AC6678"/>
    <w:rsid w:val="00AD02D9"/>
    <w:rsid w:val="00AD08D7"/>
    <w:rsid w:val="00AD0A9E"/>
    <w:rsid w:val="00AD1573"/>
    <w:rsid w:val="00AD2791"/>
    <w:rsid w:val="00AD38D2"/>
    <w:rsid w:val="00AD40A4"/>
    <w:rsid w:val="00AD476C"/>
    <w:rsid w:val="00AD4C82"/>
    <w:rsid w:val="00AD51A3"/>
    <w:rsid w:val="00AD6513"/>
    <w:rsid w:val="00AE02B8"/>
    <w:rsid w:val="00AE1C77"/>
    <w:rsid w:val="00AE43EE"/>
    <w:rsid w:val="00AE558F"/>
    <w:rsid w:val="00AE5660"/>
    <w:rsid w:val="00AE71D1"/>
    <w:rsid w:val="00AF2A99"/>
    <w:rsid w:val="00AF4732"/>
    <w:rsid w:val="00AF4957"/>
    <w:rsid w:val="00AF4F85"/>
    <w:rsid w:val="00AF60FD"/>
    <w:rsid w:val="00AF7088"/>
    <w:rsid w:val="00AF73C4"/>
    <w:rsid w:val="00B01A98"/>
    <w:rsid w:val="00B040B8"/>
    <w:rsid w:val="00B04566"/>
    <w:rsid w:val="00B04EF6"/>
    <w:rsid w:val="00B06591"/>
    <w:rsid w:val="00B06A53"/>
    <w:rsid w:val="00B06AEA"/>
    <w:rsid w:val="00B11A9D"/>
    <w:rsid w:val="00B11EEB"/>
    <w:rsid w:val="00B1394D"/>
    <w:rsid w:val="00B15005"/>
    <w:rsid w:val="00B211CB"/>
    <w:rsid w:val="00B22DD7"/>
    <w:rsid w:val="00B251EA"/>
    <w:rsid w:val="00B26243"/>
    <w:rsid w:val="00B30081"/>
    <w:rsid w:val="00B31044"/>
    <w:rsid w:val="00B31A43"/>
    <w:rsid w:val="00B34034"/>
    <w:rsid w:val="00B35387"/>
    <w:rsid w:val="00B35BC5"/>
    <w:rsid w:val="00B36CB0"/>
    <w:rsid w:val="00B374E8"/>
    <w:rsid w:val="00B3759A"/>
    <w:rsid w:val="00B3785D"/>
    <w:rsid w:val="00B40F8C"/>
    <w:rsid w:val="00B4171A"/>
    <w:rsid w:val="00B41984"/>
    <w:rsid w:val="00B42AEC"/>
    <w:rsid w:val="00B43F3A"/>
    <w:rsid w:val="00B4421E"/>
    <w:rsid w:val="00B44B19"/>
    <w:rsid w:val="00B45782"/>
    <w:rsid w:val="00B46221"/>
    <w:rsid w:val="00B46334"/>
    <w:rsid w:val="00B479D1"/>
    <w:rsid w:val="00B5002A"/>
    <w:rsid w:val="00B50B43"/>
    <w:rsid w:val="00B538BF"/>
    <w:rsid w:val="00B5415D"/>
    <w:rsid w:val="00B5501B"/>
    <w:rsid w:val="00B55E95"/>
    <w:rsid w:val="00B578F2"/>
    <w:rsid w:val="00B61CE4"/>
    <w:rsid w:val="00B628A3"/>
    <w:rsid w:val="00B62A92"/>
    <w:rsid w:val="00B638BE"/>
    <w:rsid w:val="00B653A1"/>
    <w:rsid w:val="00B679CF"/>
    <w:rsid w:val="00B761F8"/>
    <w:rsid w:val="00B76562"/>
    <w:rsid w:val="00B769EA"/>
    <w:rsid w:val="00B77989"/>
    <w:rsid w:val="00B80C95"/>
    <w:rsid w:val="00B81E8F"/>
    <w:rsid w:val="00B84A9C"/>
    <w:rsid w:val="00B863F9"/>
    <w:rsid w:val="00B90453"/>
    <w:rsid w:val="00B91791"/>
    <w:rsid w:val="00B9208F"/>
    <w:rsid w:val="00B935F8"/>
    <w:rsid w:val="00B93A93"/>
    <w:rsid w:val="00B9409A"/>
    <w:rsid w:val="00B976F8"/>
    <w:rsid w:val="00B97A55"/>
    <w:rsid w:val="00B97A9F"/>
    <w:rsid w:val="00B97F89"/>
    <w:rsid w:val="00BA4D73"/>
    <w:rsid w:val="00BA5B58"/>
    <w:rsid w:val="00BA6B70"/>
    <w:rsid w:val="00BA7495"/>
    <w:rsid w:val="00BA7E01"/>
    <w:rsid w:val="00BB093D"/>
    <w:rsid w:val="00BB0AA9"/>
    <w:rsid w:val="00BB104E"/>
    <w:rsid w:val="00BB1B4B"/>
    <w:rsid w:val="00BB336A"/>
    <w:rsid w:val="00BB4133"/>
    <w:rsid w:val="00BB745F"/>
    <w:rsid w:val="00BC3225"/>
    <w:rsid w:val="00BC37FB"/>
    <w:rsid w:val="00BC418C"/>
    <w:rsid w:val="00BC609C"/>
    <w:rsid w:val="00BC64D3"/>
    <w:rsid w:val="00BC6983"/>
    <w:rsid w:val="00BD1435"/>
    <w:rsid w:val="00BD1F43"/>
    <w:rsid w:val="00BD3B28"/>
    <w:rsid w:val="00BD7BB6"/>
    <w:rsid w:val="00BE0AE3"/>
    <w:rsid w:val="00BE1FFF"/>
    <w:rsid w:val="00BE35BD"/>
    <w:rsid w:val="00BE36C4"/>
    <w:rsid w:val="00BE6601"/>
    <w:rsid w:val="00BF078D"/>
    <w:rsid w:val="00BF1834"/>
    <w:rsid w:val="00BF20DC"/>
    <w:rsid w:val="00BF2DCF"/>
    <w:rsid w:val="00BF38CD"/>
    <w:rsid w:val="00BF3C67"/>
    <w:rsid w:val="00BF3E71"/>
    <w:rsid w:val="00BF4171"/>
    <w:rsid w:val="00BF5C3A"/>
    <w:rsid w:val="00BF5CBB"/>
    <w:rsid w:val="00BF734C"/>
    <w:rsid w:val="00BF7CD7"/>
    <w:rsid w:val="00C0327F"/>
    <w:rsid w:val="00C040DB"/>
    <w:rsid w:val="00C044BE"/>
    <w:rsid w:val="00C060F8"/>
    <w:rsid w:val="00C06663"/>
    <w:rsid w:val="00C11222"/>
    <w:rsid w:val="00C11B34"/>
    <w:rsid w:val="00C15493"/>
    <w:rsid w:val="00C20166"/>
    <w:rsid w:val="00C20A92"/>
    <w:rsid w:val="00C211B8"/>
    <w:rsid w:val="00C21CB7"/>
    <w:rsid w:val="00C22CF5"/>
    <w:rsid w:val="00C259E3"/>
    <w:rsid w:val="00C27A75"/>
    <w:rsid w:val="00C3263C"/>
    <w:rsid w:val="00C32FDD"/>
    <w:rsid w:val="00C34700"/>
    <w:rsid w:val="00C35795"/>
    <w:rsid w:val="00C41883"/>
    <w:rsid w:val="00C42A80"/>
    <w:rsid w:val="00C433BC"/>
    <w:rsid w:val="00C45971"/>
    <w:rsid w:val="00C471C9"/>
    <w:rsid w:val="00C50C07"/>
    <w:rsid w:val="00C50DA9"/>
    <w:rsid w:val="00C522D2"/>
    <w:rsid w:val="00C526CD"/>
    <w:rsid w:val="00C53488"/>
    <w:rsid w:val="00C535A0"/>
    <w:rsid w:val="00C554BA"/>
    <w:rsid w:val="00C5641D"/>
    <w:rsid w:val="00C57D7E"/>
    <w:rsid w:val="00C6028D"/>
    <w:rsid w:val="00C6129E"/>
    <w:rsid w:val="00C6269B"/>
    <w:rsid w:val="00C6784A"/>
    <w:rsid w:val="00C70763"/>
    <w:rsid w:val="00C71C04"/>
    <w:rsid w:val="00C734CA"/>
    <w:rsid w:val="00C748AD"/>
    <w:rsid w:val="00C77942"/>
    <w:rsid w:val="00C77B4B"/>
    <w:rsid w:val="00C8034E"/>
    <w:rsid w:val="00C8104F"/>
    <w:rsid w:val="00C815C8"/>
    <w:rsid w:val="00C843EC"/>
    <w:rsid w:val="00C84810"/>
    <w:rsid w:val="00C84EC5"/>
    <w:rsid w:val="00C85504"/>
    <w:rsid w:val="00C85FF6"/>
    <w:rsid w:val="00C864A2"/>
    <w:rsid w:val="00C866CB"/>
    <w:rsid w:val="00C87F97"/>
    <w:rsid w:val="00C90BFF"/>
    <w:rsid w:val="00C90D66"/>
    <w:rsid w:val="00C91C82"/>
    <w:rsid w:val="00C92181"/>
    <w:rsid w:val="00C961B0"/>
    <w:rsid w:val="00C96AC6"/>
    <w:rsid w:val="00C979F2"/>
    <w:rsid w:val="00CA0DDF"/>
    <w:rsid w:val="00CA2AEE"/>
    <w:rsid w:val="00CA2E4B"/>
    <w:rsid w:val="00CA4054"/>
    <w:rsid w:val="00CA4F69"/>
    <w:rsid w:val="00CA5268"/>
    <w:rsid w:val="00CB67A2"/>
    <w:rsid w:val="00CB7847"/>
    <w:rsid w:val="00CC0D42"/>
    <w:rsid w:val="00CC3AEB"/>
    <w:rsid w:val="00CC3F0E"/>
    <w:rsid w:val="00CC793A"/>
    <w:rsid w:val="00CC7A36"/>
    <w:rsid w:val="00CC7BBD"/>
    <w:rsid w:val="00CC7E0A"/>
    <w:rsid w:val="00CD072A"/>
    <w:rsid w:val="00CD2B54"/>
    <w:rsid w:val="00CD3058"/>
    <w:rsid w:val="00CD4672"/>
    <w:rsid w:val="00CD4DED"/>
    <w:rsid w:val="00CD5991"/>
    <w:rsid w:val="00CD7777"/>
    <w:rsid w:val="00CE0A41"/>
    <w:rsid w:val="00CE2FC3"/>
    <w:rsid w:val="00CE3894"/>
    <w:rsid w:val="00CE3A67"/>
    <w:rsid w:val="00CE5A76"/>
    <w:rsid w:val="00CE7EF3"/>
    <w:rsid w:val="00CF2E66"/>
    <w:rsid w:val="00CF3418"/>
    <w:rsid w:val="00CF48A1"/>
    <w:rsid w:val="00CF5352"/>
    <w:rsid w:val="00D009FA"/>
    <w:rsid w:val="00D00F5B"/>
    <w:rsid w:val="00D01AC9"/>
    <w:rsid w:val="00D0324F"/>
    <w:rsid w:val="00D03C38"/>
    <w:rsid w:val="00D056E8"/>
    <w:rsid w:val="00D05BF5"/>
    <w:rsid w:val="00D110AE"/>
    <w:rsid w:val="00D115E5"/>
    <w:rsid w:val="00D129FD"/>
    <w:rsid w:val="00D13CCD"/>
    <w:rsid w:val="00D14B7E"/>
    <w:rsid w:val="00D15722"/>
    <w:rsid w:val="00D161D2"/>
    <w:rsid w:val="00D168D5"/>
    <w:rsid w:val="00D1718C"/>
    <w:rsid w:val="00D20208"/>
    <w:rsid w:val="00D24057"/>
    <w:rsid w:val="00D2435F"/>
    <w:rsid w:val="00D247FB"/>
    <w:rsid w:val="00D26745"/>
    <w:rsid w:val="00D3095B"/>
    <w:rsid w:val="00D310F7"/>
    <w:rsid w:val="00D311C0"/>
    <w:rsid w:val="00D32056"/>
    <w:rsid w:val="00D32145"/>
    <w:rsid w:val="00D3314C"/>
    <w:rsid w:val="00D338FD"/>
    <w:rsid w:val="00D3533C"/>
    <w:rsid w:val="00D3593D"/>
    <w:rsid w:val="00D36B30"/>
    <w:rsid w:val="00D42F68"/>
    <w:rsid w:val="00D45725"/>
    <w:rsid w:val="00D46A11"/>
    <w:rsid w:val="00D46E88"/>
    <w:rsid w:val="00D500B2"/>
    <w:rsid w:val="00D516F9"/>
    <w:rsid w:val="00D52E6C"/>
    <w:rsid w:val="00D548B2"/>
    <w:rsid w:val="00D55A39"/>
    <w:rsid w:val="00D55A6E"/>
    <w:rsid w:val="00D55DFC"/>
    <w:rsid w:val="00D5756D"/>
    <w:rsid w:val="00D57852"/>
    <w:rsid w:val="00D60AE9"/>
    <w:rsid w:val="00D611E9"/>
    <w:rsid w:val="00D61E01"/>
    <w:rsid w:val="00D6201E"/>
    <w:rsid w:val="00D646BE"/>
    <w:rsid w:val="00D64AFA"/>
    <w:rsid w:val="00D64C7A"/>
    <w:rsid w:val="00D64FE9"/>
    <w:rsid w:val="00D64FF0"/>
    <w:rsid w:val="00D6528C"/>
    <w:rsid w:val="00D664CE"/>
    <w:rsid w:val="00D66CC5"/>
    <w:rsid w:val="00D6708B"/>
    <w:rsid w:val="00D700B9"/>
    <w:rsid w:val="00D71E04"/>
    <w:rsid w:val="00D71E18"/>
    <w:rsid w:val="00D724BD"/>
    <w:rsid w:val="00D7256A"/>
    <w:rsid w:val="00D74B95"/>
    <w:rsid w:val="00D74DAB"/>
    <w:rsid w:val="00D7519B"/>
    <w:rsid w:val="00D76AF2"/>
    <w:rsid w:val="00D80E13"/>
    <w:rsid w:val="00D81C39"/>
    <w:rsid w:val="00D82FB3"/>
    <w:rsid w:val="00D833B7"/>
    <w:rsid w:val="00D8349A"/>
    <w:rsid w:val="00D83704"/>
    <w:rsid w:val="00D85516"/>
    <w:rsid w:val="00D874F0"/>
    <w:rsid w:val="00D908A5"/>
    <w:rsid w:val="00D9118F"/>
    <w:rsid w:val="00D92F81"/>
    <w:rsid w:val="00D92F8F"/>
    <w:rsid w:val="00D93EE5"/>
    <w:rsid w:val="00D94672"/>
    <w:rsid w:val="00D955A7"/>
    <w:rsid w:val="00D95AF2"/>
    <w:rsid w:val="00D966BE"/>
    <w:rsid w:val="00D97EBC"/>
    <w:rsid w:val="00DA1C01"/>
    <w:rsid w:val="00DA4403"/>
    <w:rsid w:val="00DA513E"/>
    <w:rsid w:val="00DA5458"/>
    <w:rsid w:val="00DA57CB"/>
    <w:rsid w:val="00DA5A17"/>
    <w:rsid w:val="00DB42F1"/>
    <w:rsid w:val="00DB4FFE"/>
    <w:rsid w:val="00DB546A"/>
    <w:rsid w:val="00DB5EF6"/>
    <w:rsid w:val="00DB5F57"/>
    <w:rsid w:val="00DB6486"/>
    <w:rsid w:val="00DB7D6F"/>
    <w:rsid w:val="00DC08EE"/>
    <w:rsid w:val="00DC1FE9"/>
    <w:rsid w:val="00DC44E1"/>
    <w:rsid w:val="00DC5B51"/>
    <w:rsid w:val="00DC7E7F"/>
    <w:rsid w:val="00DD0631"/>
    <w:rsid w:val="00DD0B6A"/>
    <w:rsid w:val="00DD18F5"/>
    <w:rsid w:val="00DD25AC"/>
    <w:rsid w:val="00DD2D0C"/>
    <w:rsid w:val="00DD3BC2"/>
    <w:rsid w:val="00DD4182"/>
    <w:rsid w:val="00DD73F4"/>
    <w:rsid w:val="00DD7C96"/>
    <w:rsid w:val="00DE01E7"/>
    <w:rsid w:val="00DE0746"/>
    <w:rsid w:val="00DE3661"/>
    <w:rsid w:val="00DE3F9E"/>
    <w:rsid w:val="00DE4414"/>
    <w:rsid w:val="00DE4E4E"/>
    <w:rsid w:val="00DE569D"/>
    <w:rsid w:val="00DE7767"/>
    <w:rsid w:val="00DF0A5B"/>
    <w:rsid w:val="00DF1DA9"/>
    <w:rsid w:val="00DF69E8"/>
    <w:rsid w:val="00DF73E2"/>
    <w:rsid w:val="00E004E0"/>
    <w:rsid w:val="00E02E8E"/>
    <w:rsid w:val="00E042F0"/>
    <w:rsid w:val="00E057B8"/>
    <w:rsid w:val="00E07421"/>
    <w:rsid w:val="00E13550"/>
    <w:rsid w:val="00E13F7E"/>
    <w:rsid w:val="00E15639"/>
    <w:rsid w:val="00E1669B"/>
    <w:rsid w:val="00E21873"/>
    <w:rsid w:val="00E23101"/>
    <w:rsid w:val="00E235EE"/>
    <w:rsid w:val="00E23988"/>
    <w:rsid w:val="00E23B7E"/>
    <w:rsid w:val="00E23E64"/>
    <w:rsid w:val="00E270F4"/>
    <w:rsid w:val="00E30D95"/>
    <w:rsid w:val="00E372D0"/>
    <w:rsid w:val="00E37F7E"/>
    <w:rsid w:val="00E41BB0"/>
    <w:rsid w:val="00E421F7"/>
    <w:rsid w:val="00E4426C"/>
    <w:rsid w:val="00E45B68"/>
    <w:rsid w:val="00E465E7"/>
    <w:rsid w:val="00E46D5E"/>
    <w:rsid w:val="00E55446"/>
    <w:rsid w:val="00E566B5"/>
    <w:rsid w:val="00E5718B"/>
    <w:rsid w:val="00E60F0F"/>
    <w:rsid w:val="00E61477"/>
    <w:rsid w:val="00E62370"/>
    <w:rsid w:val="00E63F0F"/>
    <w:rsid w:val="00E6449A"/>
    <w:rsid w:val="00E6510C"/>
    <w:rsid w:val="00E6566C"/>
    <w:rsid w:val="00E666D4"/>
    <w:rsid w:val="00E66FBD"/>
    <w:rsid w:val="00E67300"/>
    <w:rsid w:val="00E67571"/>
    <w:rsid w:val="00E7221A"/>
    <w:rsid w:val="00E72DC9"/>
    <w:rsid w:val="00E737AD"/>
    <w:rsid w:val="00E73E12"/>
    <w:rsid w:val="00E74512"/>
    <w:rsid w:val="00E758A9"/>
    <w:rsid w:val="00E75A2F"/>
    <w:rsid w:val="00E81536"/>
    <w:rsid w:val="00E824A2"/>
    <w:rsid w:val="00E8378A"/>
    <w:rsid w:val="00E83C7D"/>
    <w:rsid w:val="00E85C89"/>
    <w:rsid w:val="00E86338"/>
    <w:rsid w:val="00E875FC"/>
    <w:rsid w:val="00E87F87"/>
    <w:rsid w:val="00E96B96"/>
    <w:rsid w:val="00E97755"/>
    <w:rsid w:val="00EA2BD5"/>
    <w:rsid w:val="00EA46D2"/>
    <w:rsid w:val="00EA501B"/>
    <w:rsid w:val="00EA5678"/>
    <w:rsid w:val="00EA7050"/>
    <w:rsid w:val="00EA7A84"/>
    <w:rsid w:val="00EB0CE2"/>
    <w:rsid w:val="00EB2430"/>
    <w:rsid w:val="00EB3321"/>
    <w:rsid w:val="00EB34B8"/>
    <w:rsid w:val="00EB371E"/>
    <w:rsid w:val="00EB3817"/>
    <w:rsid w:val="00EB4054"/>
    <w:rsid w:val="00EB49FF"/>
    <w:rsid w:val="00EB5EB1"/>
    <w:rsid w:val="00EC1974"/>
    <w:rsid w:val="00EC2608"/>
    <w:rsid w:val="00EC27FB"/>
    <w:rsid w:val="00EC4CCE"/>
    <w:rsid w:val="00EC4D5A"/>
    <w:rsid w:val="00EC6319"/>
    <w:rsid w:val="00EC68AE"/>
    <w:rsid w:val="00EC73A8"/>
    <w:rsid w:val="00ED054D"/>
    <w:rsid w:val="00ED1DAB"/>
    <w:rsid w:val="00ED1FAB"/>
    <w:rsid w:val="00ED2DBC"/>
    <w:rsid w:val="00ED3E55"/>
    <w:rsid w:val="00ED3E7A"/>
    <w:rsid w:val="00ED5287"/>
    <w:rsid w:val="00ED6C1F"/>
    <w:rsid w:val="00ED7B79"/>
    <w:rsid w:val="00EE0E36"/>
    <w:rsid w:val="00EE10E4"/>
    <w:rsid w:val="00EE2386"/>
    <w:rsid w:val="00EE2EE6"/>
    <w:rsid w:val="00EE58B6"/>
    <w:rsid w:val="00EE696F"/>
    <w:rsid w:val="00EE6F1A"/>
    <w:rsid w:val="00EF1931"/>
    <w:rsid w:val="00EF20CA"/>
    <w:rsid w:val="00EF4083"/>
    <w:rsid w:val="00EF440A"/>
    <w:rsid w:val="00EF6214"/>
    <w:rsid w:val="00EF660E"/>
    <w:rsid w:val="00EF7E23"/>
    <w:rsid w:val="00F01649"/>
    <w:rsid w:val="00F02A9E"/>
    <w:rsid w:val="00F03724"/>
    <w:rsid w:val="00F0388E"/>
    <w:rsid w:val="00F04867"/>
    <w:rsid w:val="00F04FD4"/>
    <w:rsid w:val="00F115C8"/>
    <w:rsid w:val="00F116DB"/>
    <w:rsid w:val="00F11A8A"/>
    <w:rsid w:val="00F11B36"/>
    <w:rsid w:val="00F12F32"/>
    <w:rsid w:val="00F13362"/>
    <w:rsid w:val="00F14FED"/>
    <w:rsid w:val="00F15E1B"/>
    <w:rsid w:val="00F17D8B"/>
    <w:rsid w:val="00F2012F"/>
    <w:rsid w:val="00F201ED"/>
    <w:rsid w:val="00F2063E"/>
    <w:rsid w:val="00F2136E"/>
    <w:rsid w:val="00F22783"/>
    <w:rsid w:val="00F22BA3"/>
    <w:rsid w:val="00F25119"/>
    <w:rsid w:val="00F25901"/>
    <w:rsid w:val="00F25AC4"/>
    <w:rsid w:val="00F306AA"/>
    <w:rsid w:val="00F3150F"/>
    <w:rsid w:val="00F317EE"/>
    <w:rsid w:val="00F31CFD"/>
    <w:rsid w:val="00F32A09"/>
    <w:rsid w:val="00F32FE0"/>
    <w:rsid w:val="00F33CA1"/>
    <w:rsid w:val="00F345DE"/>
    <w:rsid w:val="00F351CA"/>
    <w:rsid w:val="00F35547"/>
    <w:rsid w:val="00F36360"/>
    <w:rsid w:val="00F364E9"/>
    <w:rsid w:val="00F37BF8"/>
    <w:rsid w:val="00F41D4B"/>
    <w:rsid w:val="00F423A7"/>
    <w:rsid w:val="00F44698"/>
    <w:rsid w:val="00F45C89"/>
    <w:rsid w:val="00F4634C"/>
    <w:rsid w:val="00F503B5"/>
    <w:rsid w:val="00F50B3E"/>
    <w:rsid w:val="00F52485"/>
    <w:rsid w:val="00F54A5B"/>
    <w:rsid w:val="00F55555"/>
    <w:rsid w:val="00F55CE5"/>
    <w:rsid w:val="00F56697"/>
    <w:rsid w:val="00F56825"/>
    <w:rsid w:val="00F600AA"/>
    <w:rsid w:val="00F6039C"/>
    <w:rsid w:val="00F60597"/>
    <w:rsid w:val="00F6157D"/>
    <w:rsid w:val="00F61977"/>
    <w:rsid w:val="00F6281E"/>
    <w:rsid w:val="00F6680F"/>
    <w:rsid w:val="00F67FD6"/>
    <w:rsid w:val="00F71CDD"/>
    <w:rsid w:val="00F7254C"/>
    <w:rsid w:val="00F72621"/>
    <w:rsid w:val="00F81055"/>
    <w:rsid w:val="00F812A1"/>
    <w:rsid w:val="00F83F78"/>
    <w:rsid w:val="00F84B88"/>
    <w:rsid w:val="00F86206"/>
    <w:rsid w:val="00F867B3"/>
    <w:rsid w:val="00F87B8A"/>
    <w:rsid w:val="00F94C6D"/>
    <w:rsid w:val="00F96319"/>
    <w:rsid w:val="00FA0317"/>
    <w:rsid w:val="00FA0F2E"/>
    <w:rsid w:val="00FA15E5"/>
    <w:rsid w:val="00FA2DBE"/>
    <w:rsid w:val="00FA58A6"/>
    <w:rsid w:val="00FA6C4F"/>
    <w:rsid w:val="00FB03A8"/>
    <w:rsid w:val="00FB1270"/>
    <w:rsid w:val="00FB15E1"/>
    <w:rsid w:val="00FB1896"/>
    <w:rsid w:val="00FB54F4"/>
    <w:rsid w:val="00FB7666"/>
    <w:rsid w:val="00FC2EA6"/>
    <w:rsid w:val="00FC307E"/>
    <w:rsid w:val="00FC456B"/>
    <w:rsid w:val="00FC487F"/>
    <w:rsid w:val="00FC76AC"/>
    <w:rsid w:val="00FD0758"/>
    <w:rsid w:val="00FD248F"/>
    <w:rsid w:val="00FD2A26"/>
    <w:rsid w:val="00FD2B54"/>
    <w:rsid w:val="00FD37C5"/>
    <w:rsid w:val="00FD480C"/>
    <w:rsid w:val="00FD5C08"/>
    <w:rsid w:val="00FD6163"/>
    <w:rsid w:val="00FD7515"/>
    <w:rsid w:val="00FD7AA9"/>
    <w:rsid w:val="00FE5943"/>
    <w:rsid w:val="00FE6C89"/>
    <w:rsid w:val="00FE6CC3"/>
    <w:rsid w:val="00FE6CD9"/>
    <w:rsid w:val="00FE6D9F"/>
    <w:rsid w:val="00FF221C"/>
    <w:rsid w:val="00FF2E64"/>
    <w:rsid w:val="00FF44E7"/>
    <w:rsid w:val="00FF580C"/>
    <w:rsid w:val="00FF6177"/>
    <w:rsid w:val="00FF6688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32AA1"/>
  <w15:docId w15:val="{4E520E98-68C6-4479-A047-724BAD75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327F"/>
    <w:pPr>
      <w:spacing w:before="12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0177B"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AB0657"/>
    <w:pPr>
      <w:numPr>
        <w:numId w:val="1"/>
      </w:numPr>
      <w:ind w:hanging="72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rsid w:val="00EE20B8"/>
    <w:pPr>
      <w:numPr>
        <w:ilvl w:val="1"/>
        <w:numId w:val="1"/>
      </w:numPr>
      <w:ind w:hanging="720"/>
      <w:outlineLvl w:val="2"/>
    </w:pPr>
    <w:rPr>
      <w:b/>
    </w:rPr>
  </w:style>
  <w:style w:type="paragraph" w:styleId="Nadpis4">
    <w:name w:val="heading 4"/>
    <w:basedOn w:val="Odstavecseseznamem"/>
    <w:next w:val="Normln"/>
    <w:qFormat/>
    <w:rsid w:val="00EE20B8"/>
    <w:pPr>
      <w:numPr>
        <w:ilvl w:val="2"/>
        <w:numId w:val="1"/>
      </w:numPr>
      <w:spacing w:after="160"/>
      <w:ind w:left="1434" w:hanging="1434"/>
      <w:jc w:val="left"/>
      <w:outlineLvl w:val="3"/>
    </w:pPr>
  </w:style>
  <w:style w:type="paragraph" w:styleId="Nadpis5">
    <w:name w:val="heading 5"/>
    <w:basedOn w:val="Normln"/>
    <w:next w:val="Normln"/>
    <w:qFormat/>
    <w:rsid w:val="00FC2455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qFormat/>
    <w:rsid w:val="00FC2455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</w:rPr>
  </w:style>
  <w:style w:type="paragraph" w:styleId="Nadpis7">
    <w:name w:val="heading 7"/>
    <w:basedOn w:val="Normln"/>
    <w:next w:val="Normln"/>
    <w:qFormat/>
    <w:rsid w:val="00FC2455"/>
    <w:pPr>
      <w:keepNext/>
      <w:ind w:firstLine="540"/>
      <w:outlineLvl w:val="6"/>
    </w:pPr>
    <w:rPr>
      <w:b/>
      <w:bCs/>
      <w:color w:val="0000F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6EB"/>
    <w:pPr>
      <w:spacing w:before="240" w:after="60"/>
      <w:outlineLvl w:val="7"/>
    </w:pPr>
    <w:rPr>
      <w:rFonts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KZ">
    <w:name w:val="Číslo KZ"/>
    <w:basedOn w:val="Normln"/>
    <w:rsid w:val="00FC2455"/>
    <w:rPr>
      <w:b/>
      <w:bCs/>
      <w:sz w:val="32"/>
      <w:lang w:eastAsia="cs-CZ"/>
    </w:rPr>
  </w:style>
  <w:style w:type="paragraph" w:customStyle="1" w:styleId="odsazen">
    <w:name w:val="odsazený"/>
    <w:basedOn w:val="Normln"/>
    <w:rsid w:val="00FC2455"/>
    <w:pPr>
      <w:ind w:firstLine="567"/>
    </w:pPr>
    <w:rPr>
      <w:iCs/>
      <w:lang w:eastAsia="cs-CZ"/>
    </w:rPr>
  </w:style>
  <w:style w:type="paragraph" w:styleId="Zkladntext">
    <w:name w:val="Body Text"/>
    <w:basedOn w:val="Normln"/>
    <w:semiHidden/>
    <w:rsid w:val="00FC2455"/>
    <w:rPr>
      <w:b/>
      <w:bCs/>
      <w:sz w:val="28"/>
      <w:szCs w:val="28"/>
    </w:rPr>
  </w:style>
  <w:style w:type="paragraph" w:styleId="Zkladntextodsazen2">
    <w:name w:val="Body Text Indent 2"/>
    <w:basedOn w:val="Normln"/>
    <w:semiHidden/>
    <w:rsid w:val="00FC2455"/>
    <w:pPr>
      <w:ind w:left="1080" w:hanging="1080"/>
    </w:pPr>
    <w:rPr>
      <w:sz w:val="20"/>
      <w:szCs w:val="20"/>
    </w:rPr>
  </w:style>
  <w:style w:type="paragraph" w:customStyle="1" w:styleId="vod">
    <w:name w:val="Úvod"/>
    <w:basedOn w:val="Normln"/>
    <w:rsid w:val="00FC2455"/>
    <w:pPr>
      <w:keepNext/>
      <w:spacing w:before="360" w:after="240"/>
      <w:outlineLvl w:val="0"/>
    </w:pPr>
    <w:rPr>
      <w:b/>
      <w:bCs/>
      <w:sz w:val="28"/>
      <w:szCs w:val="28"/>
      <w:lang w:eastAsia="cs-CZ"/>
    </w:rPr>
  </w:style>
  <w:style w:type="paragraph" w:customStyle="1" w:styleId="Prosttext1">
    <w:name w:val="Prostý text1"/>
    <w:basedOn w:val="Normln"/>
    <w:rsid w:val="00FC2455"/>
    <w:rPr>
      <w:rFonts w:ascii="Courier New" w:hAnsi="Courier New"/>
      <w:sz w:val="20"/>
      <w:szCs w:val="20"/>
      <w:lang w:eastAsia="cs-CZ"/>
    </w:rPr>
  </w:style>
  <w:style w:type="paragraph" w:styleId="Zkladntextodsazen">
    <w:name w:val="Body Text Indent"/>
    <w:basedOn w:val="Normln"/>
    <w:semiHidden/>
    <w:rsid w:val="00FC2455"/>
    <w:pPr>
      <w:ind w:firstLine="720"/>
    </w:pPr>
  </w:style>
  <w:style w:type="paragraph" w:styleId="Zkladntext3">
    <w:name w:val="Body Text 3"/>
    <w:basedOn w:val="Normln"/>
    <w:semiHidden/>
    <w:rsid w:val="00FC2455"/>
    <w:pPr>
      <w:keepNext/>
      <w:keepLines/>
    </w:pPr>
    <w:rPr>
      <w:b/>
      <w:bCs/>
    </w:rPr>
  </w:style>
  <w:style w:type="paragraph" w:styleId="Zkladntext2">
    <w:name w:val="Body Text 2"/>
    <w:basedOn w:val="Normln"/>
    <w:semiHidden/>
    <w:rsid w:val="00FC2455"/>
    <w:pPr>
      <w:spacing w:after="120" w:line="480" w:lineRule="auto"/>
    </w:pPr>
  </w:style>
  <w:style w:type="paragraph" w:customStyle="1" w:styleId="BodyText21">
    <w:name w:val="Body Text 21"/>
    <w:basedOn w:val="Normln"/>
    <w:rsid w:val="00FC245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24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C2455"/>
  </w:style>
  <w:style w:type="paragraph" w:styleId="Zhlav">
    <w:name w:val="header"/>
    <w:basedOn w:val="Normln"/>
    <w:link w:val="ZhlavChar"/>
    <w:uiPriority w:val="99"/>
    <w:rsid w:val="00FC2455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FC24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C2455"/>
    <w:rPr>
      <w:sz w:val="20"/>
      <w:szCs w:val="20"/>
    </w:rPr>
  </w:style>
  <w:style w:type="paragraph" w:customStyle="1" w:styleId="Zkladntext21">
    <w:name w:val="Základní text 21"/>
    <w:basedOn w:val="Normln"/>
    <w:rsid w:val="00FC2455"/>
    <w:pPr>
      <w:overflowPunct w:val="0"/>
      <w:autoSpaceDE w:val="0"/>
      <w:autoSpaceDN w:val="0"/>
      <w:adjustRightInd w:val="0"/>
      <w:spacing w:line="240" w:lineRule="atLeast"/>
      <w:ind w:firstLine="425"/>
    </w:pPr>
    <w:rPr>
      <w:color w:val="FF0000"/>
      <w:szCs w:val="20"/>
      <w:lang w:eastAsia="cs-CZ"/>
    </w:rPr>
  </w:style>
  <w:style w:type="paragraph" w:styleId="Titulek">
    <w:name w:val="caption"/>
    <w:basedOn w:val="Normln"/>
    <w:next w:val="Normln"/>
    <w:qFormat/>
    <w:rsid w:val="00FC2455"/>
    <w:rPr>
      <w:rFonts w:ascii="Arial" w:hAnsi="Arial" w:cs="Arial"/>
      <w:i/>
      <w:iCs/>
      <w:sz w:val="18"/>
    </w:rPr>
  </w:style>
  <w:style w:type="paragraph" w:styleId="Zkladntextodsazen3">
    <w:name w:val="Body Text Indent 3"/>
    <w:basedOn w:val="Normln"/>
    <w:semiHidden/>
    <w:rsid w:val="00FC2455"/>
    <w:pPr>
      <w:autoSpaceDE w:val="0"/>
      <w:autoSpaceDN w:val="0"/>
      <w:adjustRightInd w:val="0"/>
      <w:spacing w:line="240" w:lineRule="atLeast"/>
      <w:ind w:left="360" w:hanging="360"/>
    </w:pPr>
  </w:style>
  <w:style w:type="character" w:customStyle="1" w:styleId="ZpatChar">
    <w:name w:val="Zápatí Char"/>
    <w:link w:val="Zpat"/>
    <w:uiPriority w:val="99"/>
    <w:rsid w:val="005E3F4A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8945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5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5D30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aliases w:val="List Paragraph_0,List Paragraph_1,List Paragraph_2,List Paragraph_3,Nad,Nadpis pro KZ,Odstavec cíl se seznamem,Odstavec se seznamem1,Odstavec se seznamem2,Odstavec se seznamem5,Odstavec_muj,_Odstavec se seznamem,můj Nadpis 2,odrážky"/>
    <w:basedOn w:val="Normln"/>
    <w:link w:val="OdstavecseseznamemChar"/>
    <w:uiPriority w:val="34"/>
    <w:qFormat/>
    <w:rsid w:val="00C94B2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3B7"/>
    <w:rPr>
      <w:b/>
      <w:bCs/>
    </w:rPr>
  </w:style>
  <w:style w:type="character" w:customStyle="1" w:styleId="TextkomenteChar">
    <w:name w:val="Text komentáře Char"/>
    <w:link w:val="Textkomente"/>
    <w:semiHidden/>
    <w:rsid w:val="008D73B7"/>
    <w:rPr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8D73B7"/>
    <w:rPr>
      <w:b/>
      <w:bCs/>
      <w:lang w:val="en-US" w:eastAsia="en-US"/>
    </w:rPr>
  </w:style>
  <w:style w:type="paragraph" w:styleId="Textpoznpodarou">
    <w:name w:val="footnote text"/>
    <w:aliases w:val="Boston 10,Font: Geneva 9,Footnote,Fußnotentextf,Geneva 9,Schriftart: 10 pt,Schriftart: 8 pt,Schriftart: 9 pt,Text pozn. pod čarou Char Char,Text pozn. pod čarou Char1 Char,Text pozn. pod čarou Char2,Text poznámky pod čiarou 007,f,fn"/>
    <w:basedOn w:val="Normln"/>
    <w:link w:val="TextpoznpodarouChar"/>
    <w:uiPriority w:val="99"/>
    <w:unhideWhenUsed/>
    <w:qFormat/>
    <w:rsid w:val="00EA73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ootnote Char,Fußnotentextf Char,Geneva 9 Char,Schriftart: 10 pt Char,Schriftart: 8 pt Char,Schriftart: 9 pt Char,Text pozn. pod čarou Char Char Char,Text pozn. pod čarou Char1 Char Char"/>
    <w:link w:val="Textpoznpodarou"/>
    <w:uiPriority w:val="99"/>
    <w:rsid w:val="00EA73F6"/>
    <w:rPr>
      <w:rFonts w:ascii="Calibri" w:hAnsi="Calibri" w:cs="Calibri"/>
      <w:color w:val="000000"/>
      <w:lang w:eastAsia="en-US"/>
    </w:rPr>
  </w:style>
  <w:style w:type="character" w:styleId="Znakapoznpodarou">
    <w:name w:val="footnote reference"/>
    <w:aliases w:val="12 b.,4_G,Appel note de bas de p,Appel note de bas de page,BVI fnr,Char Car Car Car Car,EN Footnote Reference,Footnote Reference Superscript,Footnote symbol,PGI Fußnote Ziffer,PGI Fußnote Ziffer + Times New Roman,Zúžené o ..."/>
    <w:uiPriority w:val="99"/>
    <w:unhideWhenUsed/>
    <w:rsid w:val="00E73CB0"/>
    <w:rPr>
      <w:vertAlign w:val="superscript"/>
    </w:rPr>
  </w:style>
  <w:style w:type="paragraph" w:styleId="Normlnweb">
    <w:name w:val="Normal (Web)"/>
    <w:basedOn w:val="Normln"/>
    <w:uiPriority w:val="99"/>
    <w:rsid w:val="003D6E7E"/>
  </w:style>
  <w:style w:type="character" w:styleId="Zdraznn">
    <w:name w:val="Emphasis"/>
    <w:aliases w:val="běžný text"/>
    <w:uiPriority w:val="20"/>
    <w:qFormat/>
    <w:rsid w:val="003D6E7E"/>
    <w:rPr>
      <w:i/>
      <w:iCs/>
    </w:rPr>
  </w:style>
  <w:style w:type="paragraph" w:customStyle="1" w:styleId="NormlnKZ">
    <w:name w:val="Normální KZ"/>
    <w:basedOn w:val="Normln"/>
    <w:rsid w:val="00AF495B"/>
    <w:pPr>
      <w:spacing w:after="120"/>
      <w:ind w:firstLine="425"/>
    </w:pPr>
    <w:rPr>
      <w:rFonts w:eastAsia="Calibri"/>
      <w:sz w:val="22"/>
      <w:szCs w:val="22"/>
      <w:lang w:eastAsia="cs-CZ"/>
    </w:rPr>
  </w:style>
  <w:style w:type="character" w:customStyle="1" w:styleId="OdstavecseseznamemChar">
    <w:name w:val="Odstavec se seznamem Char"/>
    <w:aliases w:val="List Paragraph_0 Char,List Paragraph_1 Char,List Paragraph_2 Char,List Paragraph_3 Char,Nad Char,Nadpis pro KZ Char,Odstavec cíl se seznamem Char,Odstavec se seznamem1 Char,Odstavec se seznamem2 Char,Odstavec se seznamem5 Char"/>
    <w:link w:val="Odstavecseseznamem"/>
    <w:uiPriority w:val="34"/>
    <w:qFormat/>
    <w:rsid w:val="00B707FC"/>
    <w:rPr>
      <w:sz w:val="24"/>
      <w:szCs w:val="24"/>
      <w:lang w:eastAsia="en-US"/>
    </w:rPr>
  </w:style>
  <w:style w:type="paragraph" w:customStyle="1" w:styleId="Default">
    <w:name w:val="Default"/>
    <w:rsid w:val="00CD75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AB0657"/>
    <w:rPr>
      <w:rFonts w:ascii="Calibri" w:hAnsi="Calibri" w:cs="Calibri"/>
      <w:b/>
      <w:color w:val="000000"/>
      <w:sz w:val="28"/>
      <w:szCs w:val="28"/>
      <w:lang w:eastAsia="en-US"/>
    </w:rPr>
  </w:style>
  <w:style w:type="character" w:customStyle="1" w:styleId="Nadpis8Char">
    <w:name w:val="Nadpis 8 Char"/>
    <w:link w:val="Nadpis8"/>
    <w:uiPriority w:val="9"/>
    <w:semiHidden/>
    <w:rsid w:val="00AA56EB"/>
    <w:rPr>
      <w:rFonts w:ascii="Calibri" w:eastAsia="Times New Roman" w:hAnsi="Calibri" w:cs="Times New Roman"/>
      <w:i/>
      <w:iCs/>
      <w:color w:val="000000"/>
      <w:sz w:val="24"/>
      <w:szCs w:val="24"/>
      <w:lang w:eastAsia="en-US"/>
    </w:rPr>
  </w:style>
  <w:style w:type="paragraph" w:customStyle="1" w:styleId="KZ-normln">
    <w:name w:val="KZ-normální"/>
    <w:basedOn w:val="Normln"/>
    <w:link w:val="KZ-normlnChar"/>
    <w:qFormat/>
    <w:rsid w:val="00304687"/>
    <w:pPr>
      <w:spacing w:after="120"/>
    </w:pPr>
    <w:rPr>
      <w:rFonts w:asciiTheme="minorHAnsi" w:hAnsiTheme="minorHAnsi" w:cs="Arial"/>
      <w:szCs w:val="22"/>
    </w:rPr>
  </w:style>
  <w:style w:type="character" w:customStyle="1" w:styleId="KZ-normlnChar">
    <w:name w:val="KZ-normální Char"/>
    <w:link w:val="KZ-normln"/>
    <w:rsid w:val="00304687"/>
    <w:rPr>
      <w:rFonts w:asciiTheme="minorHAnsi" w:hAnsiTheme="minorHAnsi" w:cs="Arial"/>
      <w:color w:val="000000"/>
      <w:sz w:val="24"/>
      <w:szCs w:val="22"/>
      <w:lang w:eastAsia="en-US"/>
    </w:rPr>
  </w:style>
  <w:style w:type="character" w:styleId="Hypertextovodkaz">
    <w:name w:val="Hyperlink"/>
    <w:uiPriority w:val="99"/>
    <w:rsid w:val="00270B04"/>
    <w:rPr>
      <w:color w:val="0000FF"/>
      <w:u w:val="single"/>
    </w:rPr>
  </w:style>
  <w:style w:type="character" w:styleId="Siln">
    <w:name w:val="Strong"/>
    <w:uiPriority w:val="22"/>
    <w:qFormat/>
    <w:rsid w:val="00FE5478"/>
    <w:rPr>
      <w:b/>
      <w:bCs/>
    </w:rPr>
  </w:style>
  <w:style w:type="paragraph" w:customStyle="1" w:styleId="Pa18">
    <w:name w:val="Pa18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A14">
    <w:name w:val="A14"/>
    <w:uiPriority w:val="99"/>
    <w:rsid w:val="00653E37"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5869C6"/>
    <w:pPr>
      <w:spacing w:before="0"/>
    </w:pPr>
    <w:rPr>
      <w:rFonts w:asciiTheme="minorHAnsi" w:hAnsiTheme="minorHAnsi" w:cs="Times New Roman"/>
      <w:color w:val="auto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C605C"/>
    <w:rPr>
      <w:rFonts w:ascii="Calibri" w:hAnsi="Calibri"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EF20CA"/>
    <w:pPr>
      <w:jc w:val="both"/>
    </w:pPr>
    <w:rPr>
      <w:rFonts w:asciiTheme="minorHAnsi" w:hAnsiTheme="minorHAnsi" w:cs="Arial"/>
      <w:sz w:val="24"/>
      <w:szCs w:val="24"/>
      <w:lang w:eastAsia="en-US"/>
    </w:rPr>
  </w:style>
  <w:style w:type="character" w:customStyle="1" w:styleId="A15">
    <w:name w:val="A15"/>
    <w:uiPriority w:val="99"/>
    <w:rsid w:val="00964300"/>
    <w:rPr>
      <w:color w:val="000000"/>
      <w:sz w:val="36"/>
      <w:szCs w:val="36"/>
    </w:rPr>
  </w:style>
  <w:style w:type="table" w:customStyle="1" w:styleId="Mkatabulky1">
    <w:name w:val="Mřížka tabulky1"/>
    <w:basedOn w:val="Normlntabulka"/>
    <w:next w:val="Mkatabulky"/>
    <w:uiPriority w:val="39"/>
    <w:rsid w:val="005E20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6243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6243"/>
    <w:rPr>
      <w:rFonts w:ascii="Calibri" w:hAnsi="Calibri" w:cs="Calibri"/>
      <w:color w:val="00000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26243"/>
    <w:rPr>
      <w:vertAlign w:val="superscript"/>
    </w:rPr>
  </w:style>
  <w:style w:type="paragraph" w:styleId="Revize">
    <w:name w:val="Revision"/>
    <w:hidden/>
    <w:uiPriority w:val="99"/>
    <w:semiHidden/>
    <w:rsid w:val="003A4D0D"/>
    <w:rPr>
      <w:rFonts w:ascii="Calibri" w:hAnsi="Calibri"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6221"/>
    <w:rPr>
      <w:color w:val="800080" w:themeColor="followedHyperlink"/>
      <w:u w:val="single"/>
    </w:rPr>
  </w:style>
  <w:style w:type="table" w:customStyle="1" w:styleId="Mkatabulky3">
    <w:name w:val="Mřížka tabulky3"/>
    <w:basedOn w:val="Normlntabulka"/>
    <w:next w:val="Mkatabulky"/>
    <w:uiPriority w:val="39"/>
    <w:rsid w:val="00A825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DD0631"/>
    <w:rPr>
      <w:color w:val="000000"/>
      <w:sz w:val="28"/>
      <w:szCs w:val="28"/>
    </w:rPr>
  </w:style>
  <w:style w:type="character" w:customStyle="1" w:styleId="A4">
    <w:name w:val="A4"/>
    <w:uiPriority w:val="99"/>
    <w:rsid w:val="00DD0631"/>
    <w:rPr>
      <w:color w:val="000000"/>
      <w:sz w:val="60"/>
      <w:szCs w:val="60"/>
    </w:rPr>
  </w:style>
  <w:style w:type="character" w:customStyle="1" w:styleId="A5">
    <w:name w:val="A5"/>
    <w:uiPriority w:val="99"/>
    <w:rsid w:val="00DD0631"/>
    <w:rPr>
      <w:b/>
      <w:bCs/>
      <w:color w:val="000000"/>
      <w:sz w:val="40"/>
      <w:szCs w:val="40"/>
    </w:rPr>
  </w:style>
  <w:style w:type="character" w:customStyle="1" w:styleId="ui-provider">
    <w:name w:val="ui-provider"/>
    <w:basedOn w:val="Standardnpsmoodstavce"/>
    <w:rsid w:val="00D3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247594050743664E-2"/>
          <c:y val="7.407407407407407E-2"/>
          <c:w val="0.89019685039370078"/>
          <c:h val="0.62043804070804942"/>
        </c:manualLayout>
      </c:layout>
      <c:lineChart>
        <c:grouping val="standard"/>
        <c:varyColors val="0"/>
        <c:ser>
          <c:idx val="0"/>
          <c:order val="0"/>
          <c:tx>
            <c:strRef>
              <c:f>List1!$C$3</c:f>
              <c:strCache>
                <c:ptCount val="1"/>
                <c:pt idx="0">
                  <c:v>PZAD</c:v>
                </c:pt>
              </c:strCache>
            </c:strRef>
          </c:tx>
          <c:spPr>
            <a:ln w="28575" cap="rnd">
              <a:solidFill>
                <a:srgbClr val="00459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004595"/>
                </a:solidFill>
              </a:ln>
              <a:effectLst/>
            </c:spPr>
          </c:marker>
          <c:cat>
            <c:numRef>
              <c:f>List1!$B$4:$B$7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List1!$C$4:$C$7</c:f>
              <c:numCache>
                <c:formatCode>#,##0</c:formatCode>
                <c:ptCount val="4"/>
                <c:pt idx="0">
                  <c:v>245.83099999999999</c:v>
                </c:pt>
                <c:pt idx="1">
                  <c:v>234.60599999999999</c:v>
                </c:pt>
                <c:pt idx="2">
                  <c:v>237.66499999999999</c:v>
                </c:pt>
                <c:pt idx="3">
                  <c:v>234.02699999999999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F05-4C0C-B56C-451E206D5E28}"/>
            </c:ext>
          </c:extLst>
        </c:ser>
        <c:ser>
          <c:idx val="1"/>
          <c:order val="1"/>
          <c:tx>
            <c:strRef>
              <c:f>List1!$D$3</c:f>
              <c:strCache>
                <c:ptCount val="1"/>
                <c:pt idx="0">
                  <c:v>Městský program</c:v>
                </c:pt>
              </c:strCache>
            </c:strRef>
          </c:tx>
          <c:spPr>
            <a:ln w="28575" cap="rnd">
              <a:solidFill>
                <a:srgbClr val="BD2A3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D2A33"/>
              </a:solidFill>
              <a:ln w="9525">
                <a:solidFill>
                  <a:srgbClr val="BD2A33"/>
                </a:solidFill>
              </a:ln>
              <a:effectLst/>
            </c:spPr>
          </c:marker>
          <c:cat>
            <c:numRef>
              <c:f>List1!$B$4:$B$7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List1!$D$4:$D$7</c:f>
              <c:numCache>
                <c:formatCode>#,##0</c:formatCode>
                <c:ptCount val="4"/>
                <c:pt idx="0">
                  <c:v>188.16200000000001</c:v>
                </c:pt>
                <c:pt idx="1">
                  <c:v>164.43899999999999</c:v>
                </c:pt>
                <c:pt idx="2">
                  <c:v>163.42500000000001</c:v>
                </c:pt>
                <c:pt idx="3">
                  <c:v>113.714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F05-4C0C-B56C-451E206D5E28}"/>
            </c:ext>
          </c:extLst>
        </c:ser>
        <c:ser>
          <c:idx val="2"/>
          <c:order val="2"/>
          <c:tx>
            <c:strRef>
              <c:f>List1!$E$3</c:f>
              <c:strCache>
                <c:ptCount val="1"/>
                <c:pt idx="0">
                  <c:v>Program ORP</c:v>
                </c:pt>
              </c:strCache>
            </c:strRef>
          </c:tx>
          <c:spPr>
            <a:ln w="28575" cap="rnd">
              <a:solidFill>
                <a:srgbClr val="C3C5C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List1!$B$4:$B$7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List1!$E$4:$E$7</c:f>
              <c:numCache>
                <c:formatCode>#,##0</c:formatCode>
                <c:ptCount val="4"/>
                <c:pt idx="0">
                  <c:v>137.67599999999999</c:v>
                </c:pt>
                <c:pt idx="1">
                  <c:v>121.126</c:v>
                </c:pt>
                <c:pt idx="2">
                  <c:v>118.524</c:v>
                </c:pt>
                <c:pt idx="3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F05-4C0C-B56C-451E206D5E28}"/>
            </c:ext>
          </c:extLst>
        </c:ser>
        <c:ser>
          <c:idx val="3"/>
          <c:order val="3"/>
          <c:tx>
            <c:strRef>
              <c:f>List1!$F$3</c:f>
              <c:strCache>
                <c:ptCount val="1"/>
                <c:pt idx="0">
                  <c:v>Vesnický program</c:v>
                </c:pt>
              </c:strCache>
            </c:strRef>
          </c:tx>
          <c:spPr>
            <a:ln w="28575" cap="rnd">
              <a:solidFill>
                <a:srgbClr val="BD2A33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D2A33">
                  <a:alpha val="60000"/>
                </a:srgbClr>
              </a:solidFill>
              <a:ln w="9525">
                <a:solidFill>
                  <a:srgbClr val="BD2A33">
                    <a:alpha val="60000"/>
                  </a:srgbClr>
                </a:solidFill>
              </a:ln>
              <a:effectLst/>
            </c:spPr>
          </c:marker>
          <c:cat>
            <c:numRef>
              <c:f>List1!$B$4:$B$7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List1!$F$4:$F$7</c:f>
              <c:numCache>
                <c:formatCode>#,##0</c:formatCode>
                <c:ptCount val="4"/>
                <c:pt idx="0">
                  <c:v>39.478000000000002</c:v>
                </c:pt>
                <c:pt idx="1">
                  <c:v>39.979999999999997</c:v>
                </c:pt>
                <c:pt idx="2">
                  <c:v>41.954999999999998</c:v>
                </c:pt>
                <c:pt idx="3">
                  <c:v>38.228999999999999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F05-4C0C-B56C-451E206D5E28}"/>
            </c:ext>
          </c:extLst>
        </c:ser>
        <c:ser>
          <c:idx val="4"/>
          <c:order val="4"/>
          <c:tx>
            <c:strRef>
              <c:f>List1!$G$3</c:f>
              <c:strCache>
                <c:ptCount val="1"/>
                <c:pt idx="0">
                  <c:v>Havarijní program</c:v>
                </c:pt>
              </c:strCache>
            </c:strRef>
          </c:tx>
          <c:spPr>
            <a:ln w="28575" cap="rnd">
              <a:solidFill>
                <a:srgbClr val="004595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List1!$B$4:$B$7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List1!$G$4:$G$7</c:f>
              <c:numCache>
                <c:formatCode>#,##0</c:formatCode>
                <c:ptCount val="4"/>
                <c:pt idx="0">
                  <c:v>83.683000000000007</c:v>
                </c:pt>
                <c:pt idx="1">
                  <c:v>82.143000000000001</c:v>
                </c:pt>
                <c:pt idx="2">
                  <c:v>85.53</c:v>
                </c:pt>
                <c:pt idx="3">
                  <c:v>88.203000000000003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F05-4C0C-B56C-451E206D5E28}"/>
            </c:ext>
          </c:extLst>
        </c:ser>
        <c:ser>
          <c:idx val="5"/>
          <c:order val="5"/>
          <c:tx>
            <c:strRef>
              <c:f>List1!$H$3</c:f>
              <c:strCache>
                <c:ptCount val="1"/>
                <c:pt idx="0">
                  <c:v>Movitý program</c:v>
                </c:pt>
              </c:strCache>
            </c:strRef>
          </c:tx>
          <c:spPr>
            <a:ln w="28575" cap="rnd">
              <a:solidFill>
                <a:srgbClr val="C3C5C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3C5C6"/>
              </a:solidFill>
              <a:ln w="9525">
                <a:solidFill>
                  <a:srgbClr val="C3C5C6">
                    <a:alpha val="60000"/>
                  </a:srgbClr>
                </a:solidFill>
              </a:ln>
              <a:effectLst/>
            </c:spPr>
          </c:marker>
          <c:cat>
            <c:numRef>
              <c:f>List1!$B$4:$B$7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List1!$H$4:$H$7</c:f>
              <c:numCache>
                <c:formatCode>#,##0</c:formatCode>
                <c:ptCount val="4"/>
                <c:pt idx="0">
                  <c:v>34.348999999999997</c:v>
                </c:pt>
                <c:pt idx="1">
                  <c:v>32.868000000000002</c:v>
                </c:pt>
                <c:pt idx="2">
                  <c:v>34.243000000000002</c:v>
                </c:pt>
                <c:pt idx="3">
                  <c:v>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F05-4C0C-B56C-451E206D5E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356015"/>
        <c:axId val="1653618063"/>
      </c:lineChart>
      <c:catAx>
        <c:axId val="1641356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53618063"/>
        <c:crosses val="autoZero"/>
        <c:auto val="1"/>
        <c:lblAlgn val="ctr"/>
        <c:lblOffset val="100"/>
        <c:noMultiLvlLbl val="0"/>
      </c:catAx>
      <c:valAx>
        <c:axId val="1653618063"/>
        <c:scaling>
          <c:orientation val="minMax"/>
          <c:max val="25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41356015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18004857323133328"/>
          <c:y val="0.80276248620248525"/>
          <c:w val="0.63990266686081021"/>
          <c:h val="0.178852791492331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A8CE-75D9-4239-BDC1-FED24742B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638AC-E15C-40C1-BF5F-6ACB054EE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0B1BE-EA1C-46FD-BB66-B96F883C31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BEEBC8-6C84-4482-819F-9B61FE15D75C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F74F1B8-84D1-4F11-A993-996377E5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4981</Words>
  <Characters>29798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22/22 - Peněžní prostředky státu poskytované na záchranu a obnovu kulturních památek prostřednictvím rozpočtové kapitoly Ministerstvo kultury</vt:lpstr>
    </vt:vector>
  </TitlesOfParts>
  <Company>NKU</Company>
  <LinksUpToDate>false</LinksUpToDate>
  <CharactersWithSpaces>34710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22/22 - Peněžní prostředky státu poskytované na záchranu a obnovu kulturních památek prostřednictvím rozpočtové kapitoly Ministerstvo kultury</dc:title>
  <dc:subject>Kontrolní závěr z kontrolní akce NKÚ č. 22/22 - Peněžní prostředky státu poskytované na záchranu a obnovu kulturních památek prostřednictvím rozpočtové kapitoly Ministerstvo kultury</dc:subject>
  <dc:creator>Nejvyšší kontrolní úřad</dc:creator>
  <cp:keywords>kontrolní závěr;obnova kulturních památek;kulturní památky</cp:keywords>
  <cp:lastModifiedBy>KOKRDA Daniel</cp:lastModifiedBy>
  <cp:revision>4</cp:revision>
  <cp:lastPrinted>2023-08-01T06:16:00Z</cp:lastPrinted>
  <dcterms:created xsi:type="dcterms:W3CDTF">2023-08-01T06:15:00Z</dcterms:created>
  <dcterms:modified xsi:type="dcterms:W3CDTF">2023-08-01T06:17:00Z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22/22-NKU30/491/23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30/842/22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">
    <vt:lpwstr>Dokument</vt:lpwstr>
  </property>
  <property fmtid="{D5CDD505-2E9C-101B-9397-08002B2CF9AE}" pid="10" name="ContentTypeId">
    <vt:lpwstr>0x0101002F7A625AE9F5AB4A939F92BCAA7FEC02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12.6.2023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&lt;TABLE&gt;&lt;TR&gt;&lt;TD&gt;Č.j.:&lt;/TD&gt;&lt;TD&gt;22/22-NKU30/491/23&lt;/TD&gt;&lt;/TR&gt;&lt;TR&gt;&lt;TD&gt;&lt;/TD&gt;&lt;TD&gt;&lt;/TD&gt;&lt;/TR&gt;&lt;/TABLE&gt;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Členové Úřadu</vt:lpwstr>
  </property>
  <property fmtid="{D5CDD505-2E9C-101B-9397-08002B2CF9AE}" pid="18" name="DisplayName_UserPoriz_Pisemnost">
    <vt:lpwstr>Bc. Monika Hoffmannová, DiS.</vt:lpwstr>
  </property>
  <property fmtid="{D5CDD505-2E9C-101B-9397-08002B2CF9AE}" pid="19" name="DuvodZmeny_SlozkaStupenUtajeniCollection_Slozka_Pisemnost">
    <vt:lpwstr/>
  </property>
  <property fmtid="{D5CDD505-2E9C-101B-9397-08002B2CF9AE}" pid="20" name="EC_Pisemnost">
    <vt:lpwstr>23-7932/NKU</vt:lpwstr>
  </property>
  <property fmtid="{D5CDD505-2E9C-101B-9397-08002B2CF9AE}" pid="21" name="Key_BarCode_Pisemnost">
    <vt:lpwstr>*B000450297*</vt:lpwstr>
  </property>
  <property fmtid="{D5CDD505-2E9C-101B-9397-08002B2CF9AE}" pid="22" name="Key_BarCode_PostaOdes">
    <vt:lpwstr>11101001011</vt:lpwstr>
  </property>
  <property fmtid="{D5CDD505-2E9C-101B-9397-08002B2CF9AE}" pid="23" name="KRukam">
    <vt:lpwstr>{KRukam}</vt:lpwstr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23-7932/NKU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22/22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Návrh kontrolního závěru z KA č. 22/22 do PŘ </vt:lpwstr>
  </property>
  <property fmtid="{D5CDD505-2E9C-101B-9397-08002B2CF9AE}" pid="43" name="Zkratka_SpisovyUzel_PoziceZodpo_Pisemnost">
    <vt:lpwstr>30</vt:lpwstr>
  </property>
</Properties>
</file>