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B331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  <w:bookmarkStart w:id="0" w:name="_GoBack"/>
      <w:bookmarkEnd w:id="0"/>
      <w:r w:rsidRPr="00683C72">
        <w:rPr>
          <w:noProof/>
          <w:highlight w:val="yellow"/>
          <w:lang w:eastAsia="cs-CZ"/>
        </w:rPr>
        <w:drawing>
          <wp:anchor distT="0" distB="0" distL="114300" distR="114300" simplePos="0" relativeHeight="251673600" behindDoc="0" locked="0" layoutInCell="1" allowOverlap="1" wp14:anchorId="0FEB738E" wp14:editId="56BCDA6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982469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0FB9A02C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5F426B29" w14:textId="77777777" w:rsidR="00291417" w:rsidRPr="00920E6B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1215E00F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6C4162F5" w14:textId="77777777" w:rsidR="00EC3A0D" w:rsidRPr="00920E6B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090AB0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090AB0">
        <w:rPr>
          <w:rFonts w:asciiTheme="minorHAnsi" w:eastAsiaTheme="minorHAnsi" w:hAnsiTheme="minorHAnsi" w:cstheme="minorHAnsi"/>
          <w:b/>
          <w:sz w:val="28"/>
          <w:szCs w:val="28"/>
        </w:rPr>
        <w:t>19</w:t>
      </w:r>
    </w:p>
    <w:p w14:paraId="237E4419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3E07268F" w14:textId="77777777" w:rsidR="00937A73" w:rsidRPr="00920E6B" w:rsidRDefault="00090AB0" w:rsidP="00DB6C92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090AB0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C7611A">
        <w:rPr>
          <w:rFonts w:asciiTheme="minorHAnsi" w:eastAsiaTheme="minorHAnsi" w:hAnsiTheme="minorHAnsi" w:cstheme="minorHAnsi"/>
          <w:b/>
          <w:i/>
          <w:sz w:val="28"/>
          <w:szCs w:val="28"/>
        </w:rPr>
        <w:t>Státní úřad pro jadernou bezpečnost</w:t>
      </w:r>
      <w:r w:rsidRPr="00090AB0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2022, účetní závěrka Státního úřadu pro jadernou bezpečnost za rok 2022 a údaje předkládané Státním úřadem pro jadernou bezpečnost pro hodnocení plnění státního rozpočtu za rok 2022</w:t>
      </w:r>
    </w:p>
    <w:p w14:paraId="335F0D9F" w14:textId="77777777" w:rsidR="00937A73" w:rsidRPr="00683C72" w:rsidRDefault="00937A73" w:rsidP="00031FF6">
      <w:pPr>
        <w:spacing w:after="0"/>
        <w:jc w:val="both"/>
        <w:rPr>
          <w:highlight w:val="yellow"/>
        </w:rPr>
      </w:pPr>
    </w:p>
    <w:p w14:paraId="609A6626" w14:textId="77777777" w:rsidR="00E86085" w:rsidRPr="00683C72" w:rsidRDefault="00E86085" w:rsidP="00031FF6">
      <w:pPr>
        <w:spacing w:after="0"/>
        <w:jc w:val="both"/>
        <w:rPr>
          <w:highlight w:val="yellow"/>
        </w:rPr>
      </w:pPr>
    </w:p>
    <w:p w14:paraId="1E4DB465" w14:textId="77777777" w:rsidR="00EC3A0D" w:rsidRPr="00920E6B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Kontrolní akce</w:t>
      </w:r>
      <w:r w:rsidR="000377B3" w:rsidRPr="00920E6B">
        <w:rPr>
          <w:rFonts w:asciiTheme="minorHAnsi" w:eastAsiaTheme="minorHAnsi" w:hAnsiTheme="minorHAnsi" w:cstheme="minorHAnsi"/>
        </w:rPr>
        <w:t xml:space="preserve"> (dále také „KA“)</w:t>
      </w:r>
      <w:r w:rsidRPr="00920E6B">
        <w:rPr>
          <w:rFonts w:asciiTheme="minorHAnsi" w:eastAsiaTheme="minorHAnsi" w:hAnsiTheme="minorHAnsi" w:cstheme="minorHAnsi"/>
        </w:rPr>
        <w:t xml:space="preserve"> byla zařazena do plánu kontrolní činnosti Nejvyššího kontrolního úřadu (dále </w:t>
      </w:r>
      <w:r w:rsidR="007D50B9">
        <w:rPr>
          <w:rFonts w:asciiTheme="minorHAnsi" w:eastAsiaTheme="minorHAnsi" w:hAnsiTheme="minorHAnsi" w:cstheme="minorHAnsi"/>
        </w:rPr>
        <w:t>také</w:t>
      </w:r>
      <w:r w:rsidRPr="00920E6B">
        <w:rPr>
          <w:rFonts w:asciiTheme="minorHAnsi" w:eastAsiaTheme="minorHAnsi" w:hAnsiTheme="minorHAnsi" w:cstheme="minorHAnsi"/>
        </w:rPr>
        <w:t xml:space="preserve"> „NKÚ“) na rok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090AB0">
        <w:rPr>
          <w:rFonts w:asciiTheme="minorHAnsi" w:eastAsiaTheme="minorHAnsi" w:hAnsiTheme="minorHAnsi" w:cstheme="minorHAnsi"/>
        </w:rPr>
        <w:t>2</w:t>
      </w:r>
      <w:r w:rsidR="0000654C" w:rsidRPr="00920E6B">
        <w:rPr>
          <w:rFonts w:asciiTheme="minorHAnsi" w:eastAsiaTheme="minorHAnsi" w:hAnsiTheme="minorHAnsi" w:cstheme="minorHAnsi"/>
        </w:rPr>
        <w:t xml:space="preserve"> pod číslem 2</w:t>
      </w:r>
      <w:r w:rsidR="00090AB0">
        <w:rPr>
          <w:rFonts w:asciiTheme="minorHAnsi" w:eastAsiaTheme="minorHAnsi" w:hAnsiTheme="minorHAnsi" w:cstheme="minorHAnsi"/>
        </w:rPr>
        <w:t>2</w:t>
      </w:r>
      <w:r w:rsidR="0000654C" w:rsidRPr="00920E6B">
        <w:rPr>
          <w:rFonts w:asciiTheme="minorHAnsi" w:eastAsiaTheme="minorHAnsi" w:hAnsiTheme="minorHAnsi" w:cstheme="minorHAnsi"/>
        </w:rPr>
        <w:t>/</w:t>
      </w:r>
      <w:r w:rsidR="00090AB0">
        <w:rPr>
          <w:rFonts w:asciiTheme="minorHAnsi" w:eastAsiaTheme="minorHAnsi" w:hAnsiTheme="minorHAnsi" w:cstheme="minorHAnsi"/>
        </w:rPr>
        <w:t>19</w:t>
      </w:r>
      <w:r w:rsidRPr="00920E6B">
        <w:rPr>
          <w:rFonts w:asciiTheme="minorHAnsi" w:eastAsiaTheme="minorHAnsi" w:hAnsiTheme="minorHAnsi" w:cstheme="minorHAnsi"/>
        </w:rPr>
        <w:t>. Kontrolní akci řídil a</w:t>
      </w:r>
      <w:r w:rsidR="000E2690">
        <w:rPr>
          <w:rFonts w:asciiTheme="minorHAnsi" w:eastAsiaTheme="minorHAnsi" w:hAnsiTheme="minorHAnsi" w:cstheme="minorHAnsi"/>
        </w:rPr>
        <w:t> </w:t>
      </w:r>
      <w:r w:rsidRPr="00920E6B">
        <w:rPr>
          <w:rFonts w:asciiTheme="minorHAnsi" w:eastAsiaTheme="minorHAnsi" w:hAnsiTheme="minorHAnsi" w:cstheme="minorHAnsi"/>
        </w:rPr>
        <w:t xml:space="preserve">kontrolní závěr vypracoval člen NKÚ </w:t>
      </w:r>
      <w:r w:rsidR="00090AB0" w:rsidRPr="00090AB0">
        <w:rPr>
          <w:rFonts w:asciiTheme="minorHAnsi" w:eastAsiaTheme="minorHAnsi" w:hAnsiTheme="minorHAnsi" w:cstheme="minorHAnsi"/>
        </w:rPr>
        <w:t>Ing. Daniel Reisiegel, MPA</w:t>
      </w:r>
      <w:r w:rsidRPr="00920E6B">
        <w:rPr>
          <w:rFonts w:asciiTheme="minorHAnsi" w:eastAsiaTheme="minorHAnsi" w:hAnsiTheme="minorHAnsi" w:cstheme="minorHAnsi"/>
        </w:rPr>
        <w:t>.</w:t>
      </w:r>
    </w:p>
    <w:p w14:paraId="260E5272" w14:textId="77777777" w:rsidR="00031FF6" w:rsidRPr="00920E6B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E7DAB65" w14:textId="77777777" w:rsidR="00CC0706" w:rsidRPr="00920E6B" w:rsidRDefault="00DB6C92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920E6B">
        <w:rPr>
          <w:rFonts w:asciiTheme="minorHAnsi" w:eastAsiaTheme="minorHAnsi" w:hAnsiTheme="minorHAnsi" w:cstheme="minorHAnsi"/>
        </w:rPr>
        <w:t>Cílem kontroly bylo</w:t>
      </w:r>
      <w:r w:rsidR="00090AB0">
        <w:rPr>
          <w:rFonts w:asciiTheme="minorHAnsi" w:eastAsiaTheme="minorHAnsi" w:hAnsiTheme="minorHAnsi" w:cstheme="minorHAnsi"/>
        </w:rPr>
        <w:t xml:space="preserve"> p</w:t>
      </w:r>
      <w:r w:rsidR="00090AB0" w:rsidRPr="00090AB0">
        <w:rPr>
          <w:rFonts w:asciiTheme="minorHAnsi" w:eastAsiaTheme="minorHAnsi" w:hAnsiTheme="minorHAnsi" w:cstheme="minorHAnsi"/>
        </w:rPr>
        <w:t>rověřit, zda Státní úřad pro jadernou bezpečnost při sestavení závěrečného účtu a při vedení účetnictví a sestavení účetní závěrky a předkládání údajů pro</w:t>
      </w:r>
      <w:r w:rsidR="006C672C">
        <w:rPr>
          <w:rFonts w:asciiTheme="minorHAnsi" w:eastAsiaTheme="minorHAnsi" w:hAnsiTheme="minorHAnsi" w:cstheme="minorHAnsi"/>
        </w:rPr>
        <w:t xml:space="preserve"> </w:t>
      </w:r>
      <w:r w:rsidR="00090AB0" w:rsidRPr="00090AB0">
        <w:rPr>
          <w:rFonts w:asciiTheme="minorHAnsi" w:eastAsiaTheme="minorHAnsi" w:hAnsiTheme="minorHAnsi" w:cstheme="minorHAnsi"/>
        </w:rPr>
        <w:t>hodnocení plnění státního rozpočtu za rok 2022 postupoval v souladu s příslušnými právními předpisy.</w:t>
      </w:r>
    </w:p>
    <w:p w14:paraId="0624FC37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53EC7823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31C9AC5C" w14:textId="77777777" w:rsidR="00EC3A0D" w:rsidRPr="00920E6B" w:rsidRDefault="00090AB0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Státní úřad pro jadernou bezpečnost</w:t>
      </w:r>
      <w:r w:rsidR="009A214C">
        <w:rPr>
          <w:rFonts w:asciiTheme="minorHAnsi" w:eastAsiaTheme="minorHAnsi" w:hAnsiTheme="minorHAnsi" w:cstheme="minorHAnsi"/>
        </w:rPr>
        <w:t xml:space="preserve">, Praha </w:t>
      </w:r>
      <w:r w:rsidR="00DB6C92" w:rsidRPr="00920E6B">
        <w:rPr>
          <w:rFonts w:asciiTheme="minorHAnsi" w:eastAsiaTheme="minorHAnsi" w:hAnsiTheme="minorHAnsi" w:cstheme="minorHAnsi"/>
        </w:rPr>
        <w:t>(dále také „</w:t>
      </w:r>
      <w:r>
        <w:rPr>
          <w:rFonts w:asciiTheme="minorHAnsi" w:eastAsiaTheme="minorHAnsi" w:hAnsiTheme="minorHAnsi" w:cstheme="minorHAnsi"/>
        </w:rPr>
        <w:t>SÚJB</w:t>
      </w:r>
      <w:r w:rsidR="00DB6C92" w:rsidRPr="00920E6B">
        <w:rPr>
          <w:rFonts w:asciiTheme="minorHAnsi" w:eastAsiaTheme="minorHAnsi" w:hAnsiTheme="minorHAnsi" w:cstheme="minorHAnsi"/>
        </w:rPr>
        <w:t>“).</w:t>
      </w:r>
    </w:p>
    <w:p w14:paraId="20E61081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513D87D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090AB0">
        <w:rPr>
          <w:rFonts w:asciiTheme="minorHAnsi" w:eastAsiaTheme="minorHAnsi" w:hAnsiTheme="minorHAnsi" w:cstheme="minorHAnsi"/>
        </w:rPr>
        <w:t>2</w:t>
      </w:r>
      <w:r w:rsidR="004E3929" w:rsidRPr="00920E6B">
        <w:rPr>
          <w:rFonts w:asciiTheme="minorHAnsi" w:eastAsiaTheme="minorHAnsi" w:hAnsiTheme="minorHAnsi" w:cstheme="minorHAnsi"/>
        </w:rPr>
        <w:t xml:space="preserve"> včetně</w:t>
      </w:r>
      <w:r w:rsidRPr="00920E6B">
        <w:rPr>
          <w:rFonts w:asciiTheme="minorHAnsi" w:eastAsiaTheme="minorHAnsi" w:hAnsiTheme="minorHAnsi" w:cstheme="minorHAnsi"/>
        </w:rPr>
        <w:t xml:space="preserve"> související</w:t>
      </w:r>
      <w:r w:rsidR="004E3929" w:rsidRPr="00920E6B">
        <w:rPr>
          <w:rFonts w:asciiTheme="minorHAnsi" w:eastAsiaTheme="minorHAnsi" w:hAnsiTheme="minorHAnsi" w:cstheme="minorHAnsi"/>
        </w:rPr>
        <w:t>ch</w:t>
      </w:r>
      <w:r w:rsidRPr="00920E6B">
        <w:rPr>
          <w:rFonts w:asciiTheme="minorHAnsi" w:eastAsiaTheme="minorHAnsi" w:hAnsiTheme="minorHAnsi" w:cstheme="minorHAnsi"/>
        </w:rPr>
        <w:t xml:space="preserve"> skutečnost</w:t>
      </w:r>
      <w:r w:rsidR="004E3929" w:rsidRPr="00920E6B">
        <w:rPr>
          <w:rFonts w:asciiTheme="minorHAnsi" w:eastAsiaTheme="minorHAnsi" w:hAnsiTheme="minorHAnsi" w:cstheme="minorHAnsi"/>
        </w:rPr>
        <w:t>í</w:t>
      </w:r>
      <w:r w:rsidRPr="00920E6B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55651305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19777F7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 w:rsidR="00F946C1">
        <w:rPr>
          <w:rFonts w:asciiTheme="minorHAnsi" w:eastAsiaTheme="minorHAnsi" w:hAnsiTheme="minorHAnsi" w:cstheme="minorHAnsi"/>
        </w:rPr>
        <w:t xml:space="preserve"> </w:t>
      </w:r>
      <w:r w:rsidR="00090AB0">
        <w:rPr>
          <w:rFonts w:asciiTheme="minorHAnsi" w:eastAsiaTheme="minorHAnsi" w:hAnsiTheme="minorHAnsi" w:cstheme="minorHAnsi"/>
        </w:rPr>
        <w:t>srpna</w:t>
      </w:r>
      <w:r w:rsidR="005F2754" w:rsidRPr="00920E6B">
        <w:rPr>
          <w:rFonts w:asciiTheme="minorHAnsi" w:eastAsiaTheme="minorHAnsi" w:hAnsiTheme="minorHAnsi" w:cstheme="minorHAnsi"/>
        </w:rPr>
        <w:t xml:space="preserve">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090AB0">
        <w:rPr>
          <w:rFonts w:asciiTheme="minorHAnsi" w:eastAsiaTheme="minorHAnsi" w:hAnsiTheme="minorHAnsi" w:cstheme="minorHAnsi"/>
        </w:rPr>
        <w:t>2</w:t>
      </w:r>
      <w:r w:rsidR="00DB6C92" w:rsidRPr="00920E6B">
        <w:rPr>
          <w:rFonts w:asciiTheme="minorHAnsi" w:eastAsiaTheme="minorHAnsi" w:hAnsiTheme="minorHAnsi" w:cstheme="minorHAnsi"/>
        </w:rPr>
        <w:t xml:space="preserve"> do</w:t>
      </w:r>
      <w:r w:rsidR="00F946C1">
        <w:rPr>
          <w:rFonts w:asciiTheme="minorHAnsi" w:eastAsiaTheme="minorHAnsi" w:hAnsiTheme="minorHAnsi" w:cstheme="minorHAnsi"/>
        </w:rPr>
        <w:t xml:space="preserve"> </w:t>
      </w:r>
      <w:r w:rsidR="00090AB0">
        <w:rPr>
          <w:rFonts w:asciiTheme="minorHAnsi" w:eastAsiaTheme="minorHAnsi" w:hAnsiTheme="minorHAnsi" w:cstheme="minorHAnsi"/>
        </w:rPr>
        <w:t>dubna</w:t>
      </w:r>
      <w:r w:rsidR="00DB6C92" w:rsidRPr="00920E6B">
        <w:rPr>
          <w:rFonts w:asciiTheme="minorHAnsi" w:eastAsiaTheme="minorHAnsi" w:hAnsiTheme="minorHAnsi" w:cstheme="minorHAnsi"/>
        </w:rPr>
        <w:t xml:space="preserve"> 202</w:t>
      </w:r>
      <w:r w:rsidR="00090AB0">
        <w:rPr>
          <w:rFonts w:asciiTheme="minorHAnsi" w:eastAsiaTheme="minorHAnsi" w:hAnsiTheme="minorHAnsi" w:cstheme="minorHAnsi"/>
        </w:rPr>
        <w:t>3</w:t>
      </w:r>
      <w:r w:rsidRPr="00920E6B">
        <w:rPr>
          <w:rFonts w:asciiTheme="minorHAnsi" w:eastAsiaTheme="minorHAnsi" w:hAnsiTheme="minorHAnsi" w:cstheme="minorHAnsi"/>
        </w:rPr>
        <w:t>.</w:t>
      </w:r>
    </w:p>
    <w:p w14:paraId="4AE20DB4" w14:textId="77777777" w:rsidR="00EC3A0D" w:rsidRPr="00683C72" w:rsidRDefault="00EC3A0D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D349D76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689A75C" w14:textId="77777777" w:rsidR="00EC3A0D" w:rsidRPr="007C389D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7C389D">
        <w:rPr>
          <w:rFonts w:asciiTheme="minorHAnsi" w:eastAsiaTheme="minorHAnsi" w:hAnsiTheme="minorHAnsi" w:cstheme="minorHAnsi"/>
        </w:rPr>
        <w:t xml:space="preserve">   na svém</w:t>
      </w:r>
      <w:r w:rsidR="00CC0706" w:rsidRPr="007C389D">
        <w:rPr>
          <w:rFonts w:asciiTheme="minorHAnsi" w:eastAsiaTheme="minorHAnsi" w:hAnsiTheme="minorHAnsi" w:cstheme="minorHAnsi"/>
        </w:rPr>
        <w:t xml:space="preserve"> </w:t>
      </w:r>
      <w:r w:rsidR="00324C36">
        <w:rPr>
          <w:rFonts w:asciiTheme="minorHAnsi" w:eastAsiaTheme="minorHAnsi" w:hAnsiTheme="minorHAnsi" w:cstheme="minorHAnsi"/>
        </w:rPr>
        <w:t>IX.</w:t>
      </w:r>
      <w:r w:rsidR="009E57D6" w:rsidRPr="007C389D">
        <w:rPr>
          <w:rFonts w:asciiTheme="minorHAnsi" w:eastAsiaTheme="minorHAnsi" w:hAnsiTheme="minorHAnsi" w:cstheme="minorHAnsi"/>
        </w:rPr>
        <w:t xml:space="preserve"> </w:t>
      </w:r>
      <w:r w:rsidRPr="007C389D">
        <w:rPr>
          <w:rFonts w:asciiTheme="minorHAnsi" w:eastAsiaTheme="minorHAnsi" w:hAnsiTheme="minorHAnsi" w:cstheme="minorHAnsi"/>
        </w:rPr>
        <w:t>jednání, které se konalo dne</w:t>
      </w:r>
      <w:r w:rsidR="00243613" w:rsidRPr="007C389D">
        <w:rPr>
          <w:rFonts w:asciiTheme="minorHAnsi" w:eastAsiaTheme="minorHAnsi" w:hAnsiTheme="minorHAnsi" w:cstheme="minorHAnsi"/>
        </w:rPr>
        <w:t xml:space="preserve"> </w:t>
      </w:r>
      <w:r w:rsidR="00324C36">
        <w:rPr>
          <w:rFonts w:asciiTheme="minorHAnsi" w:eastAsiaTheme="minorHAnsi" w:hAnsiTheme="minorHAnsi" w:cstheme="minorHAnsi"/>
        </w:rPr>
        <w:t>5.</w:t>
      </w:r>
      <w:r w:rsidR="00F85EEF" w:rsidRPr="00324C36">
        <w:rPr>
          <w:rFonts w:asciiTheme="minorHAnsi" w:eastAsiaTheme="minorHAnsi" w:hAnsiTheme="minorHAnsi" w:cstheme="minorHAnsi"/>
        </w:rPr>
        <w:t xml:space="preserve"> </w:t>
      </w:r>
      <w:r w:rsidR="00090AB0" w:rsidRPr="00324C36">
        <w:rPr>
          <w:rFonts w:asciiTheme="minorHAnsi" w:eastAsiaTheme="minorHAnsi" w:hAnsiTheme="minorHAnsi" w:cstheme="minorHAnsi"/>
        </w:rPr>
        <w:t>června</w:t>
      </w:r>
      <w:r w:rsidR="00F85EEF" w:rsidRPr="007C389D">
        <w:rPr>
          <w:rFonts w:asciiTheme="minorHAnsi" w:eastAsiaTheme="minorHAnsi" w:hAnsiTheme="minorHAnsi" w:cstheme="minorHAnsi"/>
        </w:rPr>
        <w:t xml:space="preserve"> </w:t>
      </w:r>
      <w:r w:rsidR="009E57D6" w:rsidRPr="007C389D">
        <w:rPr>
          <w:rFonts w:asciiTheme="minorHAnsi" w:eastAsiaTheme="minorHAnsi" w:hAnsiTheme="minorHAnsi" w:cstheme="minorHAnsi"/>
        </w:rPr>
        <w:t>2</w:t>
      </w:r>
      <w:r w:rsidR="00DB6C92" w:rsidRPr="007C389D">
        <w:rPr>
          <w:rFonts w:asciiTheme="minorHAnsi" w:eastAsiaTheme="minorHAnsi" w:hAnsiTheme="minorHAnsi" w:cstheme="minorHAnsi"/>
        </w:rPr>
        <w:t>02</w:t>
      </w:r>
      <w:r w:rsidR="00090AB0">
        <w:rPr>
          <w:rFonts w:asciiTheme="minorHAnsi" w:eastAsiaTheme="minorHAnsi" w:hAnsiTheme="minorHAnsi" w:cstheme="minorHAnsi"/>
        </w:rPr>
        <w:t>3</w:t>
      </w:r>
      <w:r w:rsidRPr="007C389D">
        <w:rPr>
          <w:rFonts w:asciiTheme="minorHAnsi" w:eastAsiaTheme="minorHAnsi" w:hAnsiTheme="minorHAnsi" w:cstheme="minorHAnsi"/>
        </w:rPr>
        <w:t>,</w:t>
      </w:r>
    </w:p>
    <w:p w14:paraId="29E6590D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7C389D">
        <w:rPr>
          <w:rFonts w:asciiTheme="minorHAnsi" w:eastAsiaTheme="minorHAnsi" w:hAnsiTheme="minorHAnsi" w:cstheme="minorHAnsi"/>
        </w:rPr>
        <w:t xml:space="preserve">   usnesením č.</w:t>
      </w:r>
      <w:r w:rsidR="00D17E40">
        <w:rPr>
          <w:rFonts w:asciiTheme="minorHAnsi" w:eastAsiaTheme="minorHAnsi" w:hAnsiTheme="minorHAnsi" w:cstheme="minorHAnsi"/>
        </w:rPr>
        <w:t xml:space="preserve"> </w:t>
      </w:r>
      <w:r w:rsidR="007C2F04">
        <w:rPr>
          <w:rFonts w:asciiTheme="minorHAnsi" w:eastAsiaTheme="minorHAnsi" w:hAnsiTheme="minorHAnsi" w:cstheme="minorHAnsi"/>
        </w:rPr>
        <w:t>6</w:t>
      </w:r>
      <w:r w:rsidR="001842ED" w:rsidRPr="00324C36">
        <w:rPr>
          <w:rFonts w:asciiTheme="minorHAnsi" w:eastAsiaTheme="minorHAnsi" w:hAnsiTheme="minorHAnsi" w:cstheme="minorHAnsi"/>
        </w:rPr>
        <w:t>/</w:t>
      </w:r>
      <w:r w:rsidR="00324C36">
        <w:rPr>
          <w:rFonts w:asciiTheme="minorHAnsi" w:eastAsiaTheme="minorHAnsi" w:hAnsiTheme="minorHAnsi" w:cstheme="minorHAnsi"/>
        </w:rPr>
        <w:t>IX</w:t>
      </w:r>
      <w:r w:rsidRPr="00324C36">
        <w:rPr>
          <w:rFonts w:asciiTheme="minorHAnsi" w:eastAsiaTheme="minorHAnsi" w:hAnsiTheme="minorHAnsi" w:cstheme="minorHAnsi"/>
        </w:rPr>
        <w:t>/</w:t>
      </w:r>
      <w:r w:rsidRPr="007C389D">
        <w:rPr>
          <w:rFonts w:asciiTheme="minorHAnsi" w:eastAsiaTheme="minorHAnsi" w:hAnsiTheme="minorHAnsi" w:cstheme="minorHAnsi"/>
        </w:rPr>
        <w:t>20</w:t>
      </w:r>
      <w:r w:rsidR="00DB6C92" w:rsidRPr="007C389D">
        <w:rPr>
          <w:rFonts w:asciiTheme="minorHAnsi" w:eastAsiaTheme="minorHAnsi" w:hAnsiTheme="minorHAnsi" w:cstheme="minorHAnsi"/>
        </w:rPr>
        <w:t>2</w:t>
      </w:r>
      <w:r w:rsidR="00090AB0">
        <w:rPr>
          <w:rFonts w:asciiTheme="minorHAnsi" w:eastAsiaTheme="minorHAnsi" w:hAnsiTheme="minorHAnsi" w:cstheme="minorHAnsi"/>
        </w:rPr>
        <w:t>3</w:t>
      </w:r>
    </w:p>
    <w:p w14:paraId="04F31F65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20E6B">
        <w:rPr>
          <w:rFonts w:asciiTheme="minorHAnsi" w:eastAsiaTheme="minorHAnsi" w:hAnsiTheme="minorHAnsi" w:cstheme="minorHAnsi"/>
        </w:rPr>
        <w:t xml:space="preserve">   v tomto znění:</w:t>
      </w:r>
    </w:p>
    <w:p w14:paraId="7E0806BB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14F7381C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6B304D88" w14:textId="77777777" w:rsidR="00F129C7" w:rsidRDefault="00CA5B95">
      <w:pPr>
        <w:spacing w:after="160" w:line="259" w:lineRule="auto"/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</w:pPr>
      <w:r w:rsidRPr="00683C72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</w:p>
    <w:p w14:paraId="371B3F8F" w14:textId="77777777" w:rsidR="0062547B" w:rsidRDefault="0062547B" w:rsidP="00250385">
      <w:pPr>
        <w:jc w:val="center"/>
        <w:rPr>
          <w:rFonts w:asciiTheme="minorHAnsi" w:hAnsiTheme="minorHAnsi"/>
          <w:b/>
          <w:sz w:val="32"/>
          <w:szCs w:val="22"/>
        </w:rPr>
      </w:pPr>
      <w:r>
        <w:rPr>
          <w:b/>
          <w:sz w:val="32"/>
        </w:rPr>
        <w:lastRenderedPageBreak/>
        <w:t>Účetní závěrka, výkaz pro hodnocení plnění rozpočtu, závěrečný účet a vnitřní kontrolní systém SÚJB za rok 2022</w:t>
      </w:r>
    </w:p>
    <w:p w14:paraId="2B62332F" w14:textId="77777777" w:rsidR="0062547B" w:rsidRDefault="0062547B" w:rsidP="0062547B"/>
    <w:p w14:paraId="71524A91" w14:textId="77777777" w:rsidR="0062547B" w:rsidRDefault="0062547B" w:rsidP="005C513C">
      <w:pPr>
        <w:jc w:val="both"/>
        <w:rPr>
          <w:b/>
        </w:rPr>
      </w:pPr>
      <w:r>
        <w:rPr>
          <w:b/>
        </w:rPr>
        <w:t xml:space="preserve">NKÚ zahájil kontrolu </w:t>
      </w:r>
      <w:r w:rsidR="007C2F04">
        <w:rPr>
          <w:b/>
        </w:rPr>
        <w:t xml:space="preserve">v průběhu kontrolovaného období </w:t>
      </w:r>
      <w:r>
        <w:rPr>
          <w:b/>
        </w:rPr>
        <w:t>2022. Státní úřad pro jadernou bezpečnost tak mohl zjištěné nedostatky průběžně opravovat.</w:t>
      </w:r>
    </w:p>
    <w:p w14:paraId="7D039B3A" w14:textId="77777777" w:rsidR="0062547B" w:rsidRDefault="0062547B" w:rsidP="0062547B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62547B" w14:paraId="58C7C118" w14:textId="77777777" w:rsidTr="0062547B">
        <w:tc>
          <w:tcPr>
            <w:tcW w:w="2835" w:type="dxa"/>
            <w:vAlign w:val="center"/>
          </w:tcPr>
          <w:p w14:paraId="0E66F855" w14:textId="77777777" w:rsidR="0062547B" w:rsidRDefault="0062547B">
            <w:pPr>
              <w:spacing w:after="0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F519CE3" w14:textId="77777777" w:rsidR="0062547B" w:rsidRDefault="0062547B">
            <w:pPr>
              <w:rPr>
                <w:b/>
              </w:rPr>
            </w:pPr>
          </w:p>
        </w:tc>
        <w:tc>
          <w:tcPr>
            <w:tcW w:w="2405" w:type="dxa"/>
            <w:vAlign w:val="center"/>
            <w:hideMark/>
          </w:tcPr>
          <w:p w14:paraId="18FC794C" w14:textId="77777777" w:rsidR="0062547B" w:rsidRDefault="0062547B">
            <w:pPr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</w:rPr>
              <w:t xml:space="preserve">Opravy v průběhu </w:t>
            </w:r>
            <w:r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28C6215E" w14:textId="77777777" w:rsidR="0062547B" w:rsidRDefault="0062547B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53FAD4EF" w14:textId="77777777" w:rsidR="0062547B" w:rsidRDefault="0062547B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Výsledný stav po provedených opravách</w:t>
            </w:r>
          </w:p>
        </w:tc>
      </w:tr>
    </w:tbl>
    <w:p w14:paraId="0247A19F" w14:textId="77777777" w:rsidR="0062547B" w:rsidRDefault="0062547B" w:rsidP="0062547B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2613E775" wp14:editId="64A329E6">
            <wp:extent cx="5772150" cy="714375"/>
            <wp:effectExtent l="38100" t="0" r="19050" b="28575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10FF375" w14:textId="77777777" w:rsidR="0062547B" w:rsidRDefault="0062547B" w:rsidP="0062547B">
      <w:r>
        <w:rPr>
          <w:noProof/>
        </w:rPr>
        <w:drawing>
          <wp:inline distT="0" distB="0" distL="0" distR="0" wp14:anchorId="628B57CF" wp14:editId="16B498B0">
            <wp:extent cx="5772150" cy="714375"/>
            <wp:effectExtent l="38100" t="0" r="19050" b="2857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BFB86CE" w14:textId="77777777" w:rsidR="0062547B" w:rsidRDefault="0062547B" w:rsidP="0062547B">
      <w:r>
        <w:rPr>
          <w:noProof/>
        </w:rPr>
        <w:drawing>
          <wp:inline distT="0" distB="0" distL="0" distR="0" wp14:anchorId="29524E69" wp14:editId="5596EE01">
            <wp:extent cx="5772150" cy="714375"/>
            <wp:effectExtent l="38100" t="0" r="19050" b="285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6B6F5943" w14:textId="77777777" w:rsidR="0062547B" w:rsidRDefault="0062547B" w:rsidP="0062547B">
      <w:r>
        <w:rPr>
          <w:noProof/>
        </w:rPr>
        <w:drawing>
          <wp:inline distT="0" distB="0" distL="0" distR="0" wp14:anchorId="1A3590BB" wp14:editId="13FE0CC9">
            <wp:extent cx="5772150" cy="714375"/>
            <wp:effectExtent l="38100" t="0" r="19050" b="285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29C043AC" w14:textId="77777777" w:rsidR="0062547B" w:rsidRDefault="0062547B" w:rsidP="0062547B"/>
    <w:p w14:paraId="4FF0D95A" w14:textId="77777777" w:rsidR="00893010" w:rsidRDefault="00893010" w:rsidP="0062547B">
      <w:pPr>
        <w:rPr>
          <w:b/>
        </w:rPr>
      </w:pPr>
    </w:p>
    <w:p w14:paraId="65CF308D" w14:textId="77777777" w:rsidR="00250385" w:rsidRDefault="00250385" w:rsidP="0062547B">
      <w:pPr>
        <w:rPr>
          <w:b/>
        </w:rPr>
      </w:pPr>
    </w:p>
    <w:p w14:paraId="58868FC6" w14:textId="77777777" w:rsidR="0062547B" w:rsidRDefault="0062547B" w:rsidP="00250385">
      <w:pPr>
        <w:ind w:left="142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43D2D00" wp14:editId="09F41266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7703D" id="Obdélník: se zakulacenými rohy 19" o:spid="_x0000_s1026" style="position:absolute;margin-left:-.35pt;margin-top:.15pt;width:14.15pt;height:1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" fillcolor="#2eb3a1" stroked="f" strokeweight="1pt">
                <v:stroke joinstyle="miter"/>
                <w10:wrap type="tight"/>
              </v:roundrect>
            </w:pict>
          </mc:Fallback>
        </mc:AlternateContent>
      </w:r>
      <w:r>
        <w:t xml:space="preserve">  </w:t>
      </w:r>
      <w:r w:rsidR="00913B78">
        <w:tab/>
      </w:r>
      <w:r>
        <w:t>Nebyly zjištěny významné nesprávnosti</w:t>
      </w:r>
      <w:r w:rsidR="00913B78">
        <w:t>/nedostatky</w:t>
      </w:r>
    </w:p>
    <w:p w14:paraId="3D46971D" w14:textId="77777777" w:rsidR="0062547B" w:rsidRDefault="0062547B" w:rsidP="0062547B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3728BC6" wp14:editId="0C691807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4" name="Obdélník: se zakulacenými roh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D3BD0" id="Obdélník: se zakulacenými rohy 14" o:spid="_x0000_s1026" style="position:absolute;margin-left:-.35pt;margin-top:.35pt;width:14.15pt;height:1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" fillcolor="#fdc300" stroked="f" strokeweight="1pt">
                <v:stroke joinstyle="miter"/>
                <w10:wrap type="tight"/>
              </v:roundrect>
            </w:pict>
          </mc:Fallback>
        </mc:AlternateContent>
      </w:r>
      <w:r>
        <w:t xml:space="preserve">  </w:t>
      </w:r>
      <w:r w:rsidR="00913B78">
        <w:tab/>
      </w:r>
      <w:r>
        <w:t>Byly zjištěny významné nesprávnosti</w:t>
      </w:r>
      <w:r w:rsidR="00913B78">
        <w:t>/nedostatky</w:t>
      </w:r>
    </w:p>
    <w:p w14:paraId="58201ADC" w14:textId="77777777" w:rsidR="0062547B" w:rsidRDefault="0062547B" w:rsidP="00250385">
      <w:pPr>
        <w:ind w:left="708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6CB8A01" wp14:editId="397A0A73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3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57ECC" id="Obdélník: se zakulacenými rohy 13" o:spid="_x0000_s1026" style="position:absolute;margin-left:-.35pt;margin-top:-.2pt;width:14.15pt;height:1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" fillcolor="#af1953" stroked="f" strokeweight="1pt">
                <v:stroke joinstyle="miter"/>
                <w10:wrap type="tight"/>
              </v:roundrect>
            </w:pict>
          </mc:Fallback>
        </mc:AlternateContent>
      </w:r>
      <w:r>
        <w:t>Byly zjištěny významné nesprávnosti</w:t>
      </w:r>
      <w:r w:rsidR="00913B78">
        <w:t>/nedostatky</w:t>
      </w:r>
      <w:r>
        <w:t xml:space="preserve"> s rozsáhlým dopadem na oblast kontroly</w:t>
      </w:r>
    </w:p>
    <w:p w14:paraId="62B35644" w14:textId="77777777" w:rsidR="0062547B" w:rsidRDefault="0062547B" w:rsidP="0062547B">
      <w:pPr>
        <w:rPr>
          <w:sz w:val="22"/>
          <w:szCs w:val="22"/>
        </w:rPr>
      </w:pPr>
    </w:p>
    <w:p w14:paraId="15016192" w14:textId="77777777" w:rsidR="00335214" w:rsidRDefault="00335214" w:rsidP="00335214">
      <w:pPr>
        <w:jc w:val="both"/>
        <w:rPr>
          <w:rStyle w:val="A4"/>
          <w:rFonts w:eastAsiaTheme="majorEastAsia"/>
          <w:sz w:val="24"/>
          <w:szCs w:val="24"/>
        </w:rPr>
      </w:pPr>
    </w:p>
    <w:p w14:paraId="7108E2F8" w14:textId="77777777" w:rsidR="00BF14F7" w:rsidRDefault="00BF14F7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7CF8487D" w14:textId="77777777" w:rsidR="0033466E" w:rsidRPr="001A0567" w:rsidRDefault="001A0567" w:rsidP="001A0567">
      <w:pPr>
        <w:spacing w:after="240"/>
        <w:jc w:val="center"/>
        <w:rPr>
          <w:b/>
          <w:sz w:val="28"/>
        </w:rPr>
      </w:pPr>
      <w:r w:rsidRPr="001A0567">
        <w:rPr>
          <w:b/>
          <w:sz w:val="28"/>
        </w:rPr>
        <w:lastRenderedPageBreak/>
        <w:t xml:space="preserve">I. </w:t>
      </w:r>
      <w:r w:rsidR="00A640AE" w:rsidRPr="001A0567">
        <w:rPr>
          <w:b/>
          <w:sz w:val="28"/>
        </w:rPr>
        <w:t>Shrnutí a vyhodnocení</w:t>
      </w:r>
    </w:p>
    <w:p w14:paraId="5C01E21D" w14:textId="77777777" w:rsidR="003E3D74" w:rsidRPr="00920E6B" w:rsidRDefault="003E3D74" w:rsidP="001A0567">
      <w:pPr>
        <w:spacing w:before="120"/>
        <w:jc w:val="both"/>
        <w:rPr>
          <w:rFonts w:asciiTheme="minorHAnsi" w:eastAsiaTheme="minorHAnsi" w:hAnsiTheme="minorHAnsi" w:cstheme="minorHAnsi"/>
          <w:bCs/>
        </w:rPr>
      </w:pPr>
      <w:r w:rsidRPr="00920E6B">
        <w:rPr>
          <w:rFonts w:asciiTheme="minorHAnsi" w:eastAsiaTheme="minorHAnsi" w:hAnsiTheme="minorHAnsi" w:cstheme="minorHAnsi"/>
        </w:rPr>
        <w:t>Cílem kontroly bylo</w:t>
      </w:r>
      <w:r>
        <w:rPr>
          <w:rFonts w:asciiTheme="minorHAnsi" w:eastAsiaTheme="minorHAnsi" w:hAnsiTheme="minorHAnsi" w:cstheme="minorHAnsi"/>
        </w:rPr>
        <w:t xml:space="preserve"> p</w:t>
      </w:r>
      <w:r w:rsidRPr="00090AB0">
        <w:rPr>
          <w:rFonts w:asciiTheme="minorHAnsi" w:eastAsiaTheme="minorHAnsi" w:hAnsiTheme="minorHAnsi" w:cstheme="minorHAnsi"/>
        </w:rPr>
        <w:t>rověřit, zda Státní úřad pro jadernou bezpečnost při sestavení závěrečného účtu</w:t>
      </w:r>
      <w:r w:rsidR="004C26DB">
        <w:rPr>
          <w:rFonts w:asciiTheme="minorHAnsi" w:eastAsiaTheme="minorHAnsi" w:hAnsiTheme="minorHAnsi" w:cstheme="minorHAnsi"/>
        </w:rPr>
        <w:t>,</w:t>
      </w:r>
      <w:r w:rsidR="00D84537">
        <w:rPr>
          <w:rFonts w:asciiTheme="minorHAnsi" w:eastAsiaTheme="minorHAnsi" w:hAnsiTheme="minorHAnsi" w:cstheme="minorHAnsi"/>
        </w:rPr>
        <w:t xml:space="preserve"> </w:t>
      </w:r>
      <w:r w:rsidRPr="00090AB0">
        <w:rPr>
          <w:rFonts w:asciiTheme="minorHAnsi" w:eastAsiaTheme="minorHAnsi" w:hAnsiTheme="minorHAnsi" w:cstheme="minorHAnsi"/>
        </w:rPr>
        <w:t>při vedení účetnictví</w:t>
      </w:r>
      <w:r w:rsidR="004C26DB">
        <w:rPr>
          <w:rFonts w:asciiTheme="minorHAnsi" w:eastAsiaTheme="minorHAnsi" w:hAnsiTheme="minorHAnsi" w:cstheme="minorHAnsi"/>
        </w:rPr>
        <w:t>,</w:t>
      </w:r>
      <w:r w:rsidR="001D7D0D">
        <w:rPr>
          <w:rFonts w:asciiTheme="minorHAnsi" w:eastAsiaTheme="minorHAnsi" w:hAnsiTheme="minorHAnsi" w:cstheme="minorHAnsi"/>
        </w:rPr>
        <w:t xml:space="preserve"> </w:t>
      </w:r>
      <w:r w:rsidRPr="00090AB0">
        <w:rPr>
          <w:rFonts w:asciiTheme="minorHAnsi" w:eastAsiaTheme="minorHAnsi" w:hAnsiTheme="minorHAnsi" w:cstheme="minorHAnsi"/>
        </w:rPr>
        <w:t>sestavení účetní závěrky a předkládání údajů pro</w:t>
      </w:r>
      <w:r w:rsidR="00977A7D">
        <w:rPr>
          <w:rFonts w:asciiTheme="minorHAnsi" w:eastAsiaTheme="minorHAnsi" w:hAnsiTheme="minorHAnsi" w:cstheme="minorHAnsi"/>
        </w:rPr>
        <w:t xml:space="preserve"> </w:t>
      </w:r>
      <w:r w:rsidRPr="00090AB0">
        <w:rPr>
          <w:rFonts w:asciiTheme="minorHAnsi" w:eastAsiaTheme="minorHAnsi" w:hAnsiTheme="minorHAnsi" w:cstheme="minorHAnsi"/>
        </w:rPr>
        <w:t>hodnocení plnění státního rozpočtu za rok 2022 postupoval v souladu s příslušnými právními předpisy.</w:t>
      </w:r>
    </w:p>
    <w:p w14:paraId="4F4C525E" w14:textId="77777777" w:rsidR="001A0567" w:rsidRPr="001A0567" w:rsidRDefault="00EA4390" w:rsidP="001A0567">
      <w:pPr>
        <w:spacing w:before="120"/>
        <w:jc w:val="both"/>
        <w:rPr>
          <w:rFonts w:eastAsiaTheme="minorHAnsi" w:cs="Calibri"/>
        </w:rPr>
      </w:pPr>
      <w:r>
        <w:rPr>
          <w:rFonts w:eastAsiaTheme="minorHAnsi" w:cs="Calibri"/>
        </w:rPr>
        <w:t>KA</w:t>
      </w:r>
      <w:r w:rsidR="00F7140E">
        <w:rPr>
          <w:rFonts w:eastAsiaTheme="minorHAnsi" w:cs="Calibri"/>
        </w:rPr>
        <w:t xml:space="preserve"> byla zahájena v průběhu kontrolovaného účetního a rozpočtového období 202</w:t>
      </w:r>
      <w:r w:rsidR="00BF2EC9">
        <w:rPr>
          <w:rFonts w:eastAsiaTheme="minorHAnsi" w:cs="Calibri"/>
        </w:rPr>
        <w:t>2</w:t>
      </w:r>
      <w:r w:rsidR="00F7140E">
        <w:rPr>
          <w:rFonts w:eastAsiaTheme="minorHAnsi" w:cs="Calibri"/>
        </w:rPr>
        <w:t>.</w:t>
      </w:r>
      <w:r>
        <w:rPr>
          <w:rFonts w:eastAsiaTheme="minorHAnsi" w:cs="Calibri"/>
        </w:rPr>
        <w:t xml:space="preserve"> </w:t>
      </w:r>
    </w:p>
    <w:p w14:paraId="3E00C634" w14:textId="77777777" w:rsidR="0029520A" w:rsidRDefault="00BF14F7" w:rsidP="001A0567">
      <w:pPr>
        <w:pStyle w:val="Styl2"/>
        <w:numPr>
          <w:ilvl w:val="0"/>
          <w:numId w:val="0"/>
        </w:numPr>
        <w:spacing w:before="240" w:after="120"/>
      </w:pPr>
      <w:r>
        <w:t xml:space="preserve">1. </w:t>
      </w:r>
      <w:r w:rsidR="00D966F6" w:rsidRPr="007143E4">
        <w:t>Vedení účetnictví</w:t>
      </w:r>
      <w:r w:rsidR="00FA571D">
        <w:t xml:space="preserve"> a účetní závěrka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0B0387" w:rsidRPr="007D6050" w14:paraId="794EC9B1" w14:textId="77777777" w:rsidTr="00D44A16">
        <w:tc>
          <w:tcPr>
            <w:tcW w:w="9060" w:type="dxa"/>
            <w:shd w:val="clear" w:color="auto" w:fill="E5F1FF"/>
          </w:tcPr>
          <w:p w14:paraId="3EC07B81" w14:textId="77777777" w:rsidR="000B0387" w:rsidRPr="0001778E" w:rsidRDefault="000B0387" w:rsidP="00D44A16">
            <w:pPr>
              <w:jc w:val="both"/>
              <w:rPr>
                <w:rFonts w:eastAsiaTheme="minorHAnsi" w:cs="Calibri"/>
                <w:b/>
              </w:rPr>
            </w:pPr>
            <w:r w:rsidRPr="000B0387">
              <w:rPr>
                <w:rFonts w:eastAsiaTheme="minorHAnsi" w:cs="Calibri"/>
                <w:b/>
              </w:rPr>
              <w:t>Účetní závěrka SÚJB k 31. prosinci 2022 (dále také „ÚZ“)</w:t>
            </w:r>
            <w:r w:rsidR="00BF39B1">
              <w:rPr>
                <w:rStyle w:val="Znakapoznpodarou"/>
                <w:rFonts w:eastAsiaTheme="minorHAnsi" w:cs="Calibri"/>
                <w:b/>
              </w:rPr>
              <w:footnoteReference w:id="2"/>
            </w:r>
            <w:r w:rsidRPr="000B0387">
              <w:rPr>
                <w:rFonts w:eastAsiaTheme="minorHAnsi" w:cs="Calibri"/>
                <w:b/>
              </w:rPr>
              <w:t xml:space="preserve"> podává dle NKÚ ve všech významných ohledech věrný a poctivý obraz předmětu účetnictví a finanční situace účetní jednotky, a to dle účetních předpisů pro některé vybrané účetní jednotky.</w:t>
            </w:r>
          </w:p>
        </w:tc>
      </w:tr>
    </w:tbl>
    <w:p w14:paraId="5E9C9697" w14:textId="27A7CE37" w:rsidR="00911271" w:rsidRDefault="00911271" w:rsidP="000B0387">
      <w:pPr>
        <w:spacing w:before="240"/>
        <w:jc w:val="both"/>
        <w:rPr>
          <w:rFonts w:eastAsiaTheme="minorHAnsi" w:cs="Calibri"/>
        </w:rPr>
      </w:pPr>
      <w:r w:rsidRPr="00911271">
        <w:rPr>
          <w:rFonts w:asciiTheme="minorHAnsi" w:eastAsiaTheme="minorHAnsi" w:hAnsiTheme="minorHAnsi" w:cstheme="minorHAnsi"/>
        </w:rPr>
        <w:t>NKÚ v průběhu kontroly identifikoval nedostatky ve vedení účetnictví, které by měly ve výši 53,6 mil. Kč vliv na zůstatky položek účetní závěrky SÚJB za rok 2022. Tyto nedostatky SÚJB opravil</w:t>
      </w:r>
      <w:r w:rsidR="002A6063">
        <w:rPr>
          <w:rFonts w:asciiTheme="minorHAnsi" w:eastAsiaTheme="minorHAnsi" w:hAnsiTheme="minorHAnsi" w:cstheme="minorHAnsi"/>
        </w:rPr>
        <w:t xml:space="preserve">. Dále SÚJB </w:t>
      </w:r>
      <w:r w:rsidR="00A76EF9">
        <w:rPr>
          <w:rFonts w:eastAsiaTheme="minorHAnsi" w:cs="Calibri"/>
        </w:rPr>
        <w:t>na</w:t>
      </w:r>
      <w:r w:rsidR="0069309F" w:rsidRPr="0069309F">
        <w:rPr>
          <w:rFonts w:eastAsiaTheme="minorHAnsi" w:cs="Calibri"/>
        </w:rPr>
        <w:t xml:space="preserve"> základě upozornění NKÚ poprvé </w:t>
      </w:r>
      <w:r w:rsidR="00676DB0" w:rsidRPr="0069309F">
        <w:rPr>
          <w:rFonts w:eastAsiaTheme="minorHAnsi" w:cs="Calibri"/>
        </w:rPr>
        <w:t>a</w:t>
      </w:r>
      <w:r w:rsidR="00676DB0">
        <w:rPr>
          <w:rFonts w:eastAsiaTheme="minorHAnsi" w:cs="Calibri"/>
        </w:rPr>
        <w:t xml:space="preserve">ž </w:t>
      </w:r>
      <w:r w:rsidR="0069309F" w:rsidRPr="0069309F">
        <w:rPr>
          <w:rFonts w:eastAsiaTheme="minorHAnsi" w:cs="Calibri"/>
        </w:rPr>
        <w:t>v roce 2022 sestavil účetní výkazy přehled o peněžních tocích a přehled o změnách vlastního kapitálu</w:t>
      </w:r>
      <w:r w:rsidR="0069309F">
        <w:rPr>
          <w:rFonts w:eastAsiaTheme="minorHAnsi" w:cs="Calibri"/>
        </w:rPr>
        <w:t xml:space="preserve"> </w:t>
      </w:r>
      <w:r w:rsidR="0069309F" w:rsidRPr="00911271">
        <w:rPr>
          <w:rFonts w:asciiTheme="minorHAnsi" w:eastAsiaTheme="minorHAnsi" w:hAnsiTheme="minorHAnsi" w:cstheme="minorHAnsi"/>
        </w:rPr>
        <w:t>(viz část IV.1.1</w:t>
      </w:r>
      <w:r w:rsidR="00723218">
        <w:rPr>
          <w:rFonts w:asciiTheme="minorHAnsi" w:eastAsiaTheme="minorHAnsi" w:hAnsiTheme="minorHAnsi" w:cstheme="minorHAnsi"/>
        </w:rPr>
        <w:t xml:space="preserve"> tohoto kontrolního závěru</w:t>
      </w:r>
      <w:r w:rsidR="0069309F" w:rsidRPr="00911271">
        <w:rPr>
          <w:rFonts w:asciiTheme="minorHAnsi" w:eastAsiaTheme="minorHAnsi" w:hAnsiTheme="minorHAnsi" w:cstheme="minorHAnsi"/>
        </w:rPr>
        <w:t>)</w:t>
      </w:r>
      <w:r w:rsidR="0069309F" w:rsidRPr="0069309F">
        <w:rPr>
          <w:rFonts w:eastAsiaTheme="minorHAnsi" w:cs="Calibri"/>
        </w:rPr>
        <w:t>.</w:t>
      </w:r>
    </w:p>
    <w:p w14:paraId="384A1278" w14:textId="77777777" w:rsidR="0069309F" w:rsidRPr="000B0387" w:rsidRDefault="000B0387" w:rsidP="000B0387">
      <w:pPr>
        <w:spacing w:before="240"/>
        <w:jc w:val="both"/>
        <w:rPr>
          <w:rFonts w:eastAsiaTheme="minorHAnsi" w:cs="Calibri"/>
          <w:b/>
        </w:rPr>
      </w:pPr>
      <w:r w:rsidRPr="000B0387">
        <w:rPr>
          <w:rFonts w:eastAsiaTheme="minorHAnsi" w:cs="Calibri"/>
          <w:b/>
        </w:rPr>
        <w:t>V důsledku provedení účetních oprav a přijetí všech potřebných opatření k eliminaci systémových nedostatků bylo účetnictví SÚJB vedeno v souladu s příslušnými právními předpisy.</w:t>
      </w:r>
      <w:bookmarkStart w:id="1" w:name="_Hlk105757989"/>
    </w:p>
    <w:p w14:paraId="0CB369DA" w14:textId="77777777" w:rsidR="00FA317B" w:rsidRPr="00723218" w:rsidRDefault="0069309F" w:rsidP="006604DB">
      <w:pPr>
        <w:jc w:val="both"/>
        <w:rPr>
          <w:rFonts w:asciiTheme="minorHAnsi" w:eastAsiaTheme="minorHAnsi" w:hAnsiTheme="minorHAnsi" w:cs="Calibri"/>
        </w:rPr>
      </w:pPr>
      <w:r w:rsidRPr="00723218">
        <w:rPr>
          <w:rFonts w:asciiTheme="minorHAnsi" w:hAnsiTheme="minorHAnsi" w:cstheme="minorHAnsi"/>
        </w:rPr>
        <w:t>Nesprávnosti, které SÚJB neopravil, neměly významný dopad na údaje ÚZ. Jednalo se o údaje za</w:t>
      </w:r>
      <w:r w:rsidR="00723218" w:rsidRPr="00723218">
        <w:rPr>
          <w:rFonts w:asciiTheme="minorHAnsi" w:hAnsiTheme="minorHAnsi" w:cstheme="minorHAnsi"/>
        </w:rPr>
        <w:t xml:space="preserve"> </w:t>
      </w:r>
      <w:r w:rsidRPr="00723218">
        <w:rPr>
          <w:rFonts w:asciiTheme="minorHAnsi" w:hAnsiTheme="minorHAnsi" w:cstheme="minorHAnsi"/>
        </w:rPr>
        <w:t xml:space="preserve">běžné účetní období v celkové výši 1,4 mil. Kč, které SÚJB v ÚZ nevykázal </w:t>
      </w:r>
      <w:r w:rsidRPr="00723218">
        <w:rPr>
          <w:rFonts w:asciiTheme="minorHAnsi" w:hAnsiTheme="minorHAnsi" w:cs="Calibri"/>
        </w:rPr>
        <w:t xml:space="preserve">v </w:t>
      </w:r>
      <w:r w:rsidRPr="00723218">
        <w:rPr>
          <w:rFonts w:asciiTheme="minorHAnsi" w:hAnsiTheme="minorHAnsi" w:cstheme="minorHAnsi"/>
        </w:rPr>
        <w:t xml:space="preserve">souladu s právními </w:t>
      </w:r>
      <w:r w:rsidRPr="00723218">
        <w:rPr>
          <w:rFonts w:asciiTheme="minorHAnsi" w:eastAsiaTheme="minorHAnsi" w:hAnsiTheme="minorHAnsi" w:cs="Calibri"/>
        </w:rPr>
        <w:t>předpisy upravujícími vedení účetnictví (viz část IV.1.2</w:t>
      </w:r>
      <w:r w:rsidR="00723218">
        <w:rPr>
          <w:rFonts w:asciiTheme="minorHAnsi" w:eastAsiaTheme="minorHAnsi" w:hAnsiTheme="minorHAnsi" w:cstheme="minorHAnsi"/>
        </w:rPr>
        <w:t xml:space="preserve"> tohoto kontrolního závěru</w:t>
      </w:r>
      <w:r w:rsidRPr="00723218">
        <w:rPr>
          <w:rFonts w:asciiTheme="minorHAnsi" w:eastAsiaTheme="minorHAnsi" w:hAnsiTheme="minorHAnsi" w:cs="Calibri"/>
        </w:rPr>
        <w:t>).</w:t>
      </w:r>
      <w:bookmarkEnd w:id="1"/>
    </w:p>
    <w:p w14:paraId="59F08505" w14:textId="77777777" w:rsidR="00F37FEB" w:rsidRPr="00447664" w:rsidRDefault="00BF14F7" w:rsidP="001A0567">
      <w:pPr>
        <w:pStyle w:val="Styl2"/>
        <w:numPr>
          <w:ilvl w:val="0"/>
          <w:numId w:val="0"/>
        </w:numPr>
        <w:spacing w:before="240" w:after="120"/>
        <w:ind w:left="284" w:hanging="284"/>
      </w:pPr>
      <w:r>
        <w:t xml:space="preserve">2. </w:t>
      </w:r>
      <w:r>
        <w:tab/>
      </w:r>
      <w:r w:rsidR="00A640AE" w:rsidRPr="00FE4D47">
        <w:t xml:space="preserve">Údaje </w:t>
      </w:r>
      <w:r w:rsidR="002352D7" w:rsidRPr="00FE4D47">
        <w:t xml:space="preserve">předkládané </w:t>
      </w:r>
      <w:r w:rsidR="008C1FA8" w:rsidRPr="00FE4D47">
        <w:t>Státním úřadem pro jadernou bezpečnost</w:t>
      </w:r>
      <w:r w:rsidR="00F94732" w:rsidRPr="00FE4D47">
        <w:t xml:space="preserve"> </w:t>
      </w:r>
      <w:r w:rsidR="00A640AE" w:rsidRPr="00FE4D47">
        <w:t xml:space="preserve">pro hodnocení plnění </w:t>
      </w:r>
      <w:r w:rsidR="0087086A" w:rsidRPr="00FE4D47">
        <w:t xml:space="preserve">státního </w:t>
      </w:r>
      <w:r w:rsidR="00A640AE" w:rsidRPr="00FE4D47">
        <w:t>rozpočtu</w:t>
      </w:r>
    </w:p>
    <w:tbl>
      <w:tblPr>
        <w:tblStyle w:val="Mkatabulky"/>
        <w:tblW w:w="9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28"/>
      </w:tblGrid>
      <w:tr w:rsidR="0047376D" w:rsidRPr="00CC186D" w14:paraId="5F295CF3" w14:textId="77777777" w:rsidTr="008E0B9F">
        <w:trPr>
          <w:trHeight w:val="767"/>
        </w:trPr>
        <w:tc>
          <w:tcPr>
            <w:tcW w:w="9028" w:type="dxa"/>
            <w:shd w:val="clear" w:color="auto" w:fill="E5F1FF"/>
          </w:tcPr>
          <w:p w14:paraId="7B2BECD3" w14:textId="77777777" w:rsidR="0047376D" w:rsidRPr="00FE4D47" w:rsidRDefault="00DD3BA9" w:rsidP="005F04F5">
            <w:pPr>
              <w:jc w:val="both"/>
              <w:rPr>
                <w:rFonts w:eastAsiaTheme="minorHAnsi" w:cs="Calibri"/>
                <w:b/>
              </w:rPr>
            </w:pPr>
            <w:bookmarkStart w:id="2" w:name="_Hlk105757622"/>
            <w:r>
              <w:rPr>
                <w:rFonts w:eastAsiaTheme="minorHAnsi" w:cs="Calibri"/>
                <w:b/>
              </w:rPr>
              <w:t>Dle</w:t>
            </w:r>
            <w:r w:rsidR="0092468E" w:rsidRPr="0092468E">
              <w:rPr>
                <w:rFonts w:eastAsiaTheme="minorHAnsi" w:cs="Calibri"/>
                <w:b/>
              </w:rPr>
              <w:t xml:space="preserve"> </w:t>
            </w:r>
            <w:r w:rsidR="0092468E">
              <w:rPr>
                <w:rFonts w:eastAsiaTheme="minorHAnsi" w:cs="Calibri"/>
                <w:b/>
              </w:rPr>
              <w:t>NKÚ</w:t>
            </w:r>
            <w:r w:rsidR="0092468E" w:rsidRPr="0092468E">
              <w:rPr>
                <w:rFonts w:eastAsiaTheme="minorHAnsi" w:cs="Calibri"/>
                <w:b/>
              </w:rPr>
              <w:t xml:space="preserve"> byl výkaz pro hodnocení plnění rozpočtu </w:t>
            </w:r>
            <w:r w:rsidR="00447664">
              <w:rPr>
                <w:rFonts w:eastAsiaTheme="minorHAnsi" w:cs="Calibri"/>
                <w:b/>
              </w:rPr>
              <w:t>SÚJB sestavený k 31. 12. 2022 (dále také „výkaz FIN 1-12 OSS</w:t>
            </w:r>
            <w:r w:rsidR="00BF39B1">
              <w:rPr>
                <w:rFonts w:eastAsiaTheme="minorHAnsi" w:cs="Calibri"/>
                <w:b/>
              </w:rPr>
              <w:t>“)</w:t>
            </w:r>
            <w:r w:rsidR="00BF39B1" w:rsidRPr="00BF39B1"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  <w:r w:rsidR="00BF39B1" w:rsidRPr="00BF39B1">
              <w:rPr>
                <w:rFonts w:eastAsiaTheme="minorHAnsi" w:cs="Calibri"/>
                <w:b/>
              </w:rPr>
              <w:t xml:space="preserve"> </w:t>
            </w:r>
            <w:r w:rsidR="0092468E" w:rsidRPr="0092468E">
              <w:rPr>
                <w:rFonts w:eastAsiaTheme="minorHAnsi" w:cs="Calibri"/>
                <w:b/>
              </w:rPr>
              <w:t>ve všech významných ohledech sestaven v souladu s příslušnými právními předpisy.</w:t>
            </w:r>
          </w:p>
        </w:tc>
      </w:tr>
    </w:tbl>
    <w:bookmarkEnd w:id="2"/>
    <w:p w14:paraId="50DFD1AF" w14:textId="77777777" w:rsidR="00447664" w:rsidRPr="00530D80" w:rsidRDefault="00447664" w:rsidP="00190F2D">
      <w:pPr>
        <w:spacing w:before="240" w:after="0"/>
        <w:jc w:val="both"/>
        <w:rPr>
          <w:rFonts w:asciiTheme="minorHAnsi" w:hAnsiTheme="minorHAnsi" w:cstheme="minorHAnsi"/>
        </w:rPr>
      </w:pPr>
      <w:r w:rsidRPr="00FE4D47">
        <w:rPr>
          <w:rFonts w:asciiTheme="minorHAnsi" w:hAnsiTheme="minorHAnsi" w:cstheme="minorHAnsi"/>
        </w:rPr>
        <w:t>NKÚ</w:t>
      </w:r>
      <w:r>
        <w:rPr>
          <w:rFonts w:asciiTheme="minorHAnsi" w:hAnsiTheme="minorHAnsi" w:cstheme="minorHAnsi"/>
        </w:rPr>
        <w:t xml:space="preserve"> provedl </w:t>
      </w:r>
      <w:r w:rsidR="00BF39B1">
        <w:rPr>
          <w:rFonts w:asciiTheme="minorHAnsi" w:hAnsiTheme="minorHAnsi" w:cstheme="minorHAnsi"/>
        </w:rPr>
        <w:t xml:space="preserve">ve </w:t>
      </w:r>
      <w:r>
        <w:rPr>
          <w:rFonts w:asciiTheme="minorHAnsi" w:hAnsiTheme="minorHAnsi" w:cstheme="minorHAnsi"/>
        </w:rPr>
        <w:t>výkaz</w:t>
      </w:r>
      <w:r w:rsidR="00BF39B1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FIN 1-12 OSS</w:t>
      </w:r>
      <w:r w:rsidR="00BF39B1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> </w:t>
      </w:r>
      <w:r w:rsidRPr="00F37FEB">
        <w:rPr>
          <w:rFonts w:asciiTheme="minorHAnsi" w:hAnsiTheme="minorHAnsi" w:cstheme="minorHAnsi"/>
        </w:rPr>
        <w:t xml:space="preserve">údajů o příjmech a výdajích ve sloupci skutečnost kontrolu správnosti </w:t>
      </w:r>
      <w:r>
        <w:rPr>
          <w:rFonts w:asciiTheme="minorHAnsi" w:hAnsiTheme="minorHAnsi" w:cstheme="minorHAnsi"/>
        </w:rPr>
        <w:t xml:space="preserve">jejich třídění z hlediska </w:t>
      </w:r>
      <w:r w:rsidRPr="00F37FEB">
        <w:rPr>
          <w:rFonts w:asciiTheme="minorHAnsi" w:hAnsiTheme="minorHAnsi" w:cstheme="minorHAnsi"/>
        </w:rPr>
        <w:t>druhového</w:t>
      </w:r>
      <w:r>
        <w:rPr>
          <w:rFonts w:asciiTheme="minorHAnsi" w:hAnsiTheme="minorHAnsi" w:cstheme="minorHAnsi"/>
        </w:rPr>
        <w:t>,</w:t>
      </w:r>
      <w:r w:rsidRPr="00F37FEB">
        <w:rPr>
          <w:rFonts w:asciiTheme="minorHAnsi" w:hAnsiTheme="minorHAnsi" w:cstheme="minorHAnsi"/>
        </w:rPr>
        <w:t xml:space="preserve"> odvětvového a prostorového dle rozpočtové skladby</w:t>
      </w:r>
      <w:r>
        <w:rPr>
          <w:rFonts w:asciiTheme="minorHAnsi" w:hAnsiTheme="minorHAnsi" w:cstheme="minorHAnsi"/>
        </w:rPr>
        <w:t xml:space="preserve"> (viz část IV.2). </w:t>
      </w:r>
      <w:r w:rsidRPr="00770D65">
        <w:rPr>
          <w:rFonts w:asciiTheme="minorHAnsi" w:hAnsiTheme="minorHAnsi" w:cstheme="minorHAnsi"/>
        </w:rPr>
        <w:t>NKÚ v </w:t>
      </w:r>
      <w:r w:rsidRPr="00913B78">
        <w:rPr>
          <w:rFonts w:asciiTheme="minorHAnsi" w:hAnsiTheme="minorHAnsi" w:cstheme="minorHAnsi"/>
        </w:rPr>
        <w:t xml:space="preserve">průběhu kontroly nezjistil </w:t>
      </w:r>
      <w:r w:rsidRPr="00BF39B1">
        <w:rPr>
          <w:rFonts w:asciiTheme="minorHAnsi" w:hAnsiTheme="minorHAnsi" w:cstheme="minorHAnsi"/>
        </w:rPr>
        <w:t xml:space="preserve">v těchto údajích </w:t>
      </w:r>
      <w:r w:rsidRPr="00770D65">
        <w:rPr>
          <w:rFonts w:asciiTheme="minorHAnsi" w:hAnsiTheme="minorHAnsi" w:cstheme="minorHAnsi"/>
        </w:rPr>
        <w:t>nedostatky</w:t>
      </w:r>
      <w:r w:rsidRPr="00BF39B1">
        <w:rPr>
          <w:rFonts w:asciiTheme="minorHAnsi" w:hAnsiTheme="minorHAnsi" w:cstheme="minorHAnsi"/>
        </w:rPr>
        <w:t>.</w:t>
      </w:r>
    </w:p>
    <w:p w14:paraId="357C06A2" w14:textId="77777777" w:rsidR="00822B34" w:rsidRPr="00190F2D" w:rsidRDefault="001A0567" w:rsidP="001A0567">
      <w:pPr>
        <w:pStyle w:val="Styl2"/>
        <w:numPr>
          <w:ilvl w:val="0"/>
          <w:numId w:val="0"/>
        </w:numPr>
        <w:spacing w:before="240" w:after="120"/>
      </w:pPr>
      <w:r>
        <w:t xml:space="preserve">3. </w:t>
      </w:r>
      <w:r w:rsidR="00865CC2" w:rsidRPr="00CD0A37">
        <w:t xml:space="preserve">Závěrečný účet kapitoly </w:t>
      </w:r>
      <w:r w:rsidR="00723343">
        <w:t xml:space="preserve">státního rozpočtu </w:t>
      </w:r>
      <w:r w:rsidR="00E27D8D">
        <w:t>375</w:t>
      </w:r>
      <w:r w:rsidR="00723343">
        <w:t xml:space="preserve"> </w:t>
      </w:r>
      <w:r w:rsidR="004C5BCF">
        <w:t>–</w:t>
      </w:r>
      <w:r w:rsidR="00723343">
        <w:t xml:space="preserve"> </w:t>
      </w:r>
      <w:r w:rsidR="00E27D8D" w:rsidRPr="00190F2D">
        <w:t>Státní úřad pro jadernou bezpeč</w:t>
      </w:r>
      <w:r w:rsidR="00E86A7F">
        <w:t>nost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6604DB" w:rsidRPr="007D6050" w14:paraId="02697708" w14:textId="77777777" w:rsidTr="00717CA5">
        <w:tc>
          <w:tcPr>
            <w:tcW w:w="9060" w:type="dxa"/>
            <w:shd w:val="clear" w:color="auto" w:fill="E5F1FF"/>
          </w:tcPr>
          <w:p w14:paraId="72174971" w14:textId="77777777" w:rsidR="006604DB" w:rsidRPr="0001778E" w:rsidRDefault="006604DB" w:rsidP="00717CA5">
            <w:pPr>
              <w:jc w:val="both"/>
              <w:rPr>
                <w:rFonts w:eastAsiaTheme="minorHAnsi" w:cs="Calibri"/>
                <w:b/>
              </w:rPr>
            </w:pPr>
            <w:bookmarkStart w:id="3" w:name="_Hlk135915103"/>
            <w:r>
              <w:rPr>
                <w:rFonts w:eastAsiaTheme="minorHAnsi" w:cs="Calibri"/>
                <w:b/>
              </w:rPr>
              <w:t>Dle NKÚ je z</w:t>
            </w:r>
            <w:r w:rsidRPr="0001778E">
              <w:rPr>
                <w:rFonts w:eastAsiaTheme="minorHAnsi" w:cs="Calibri"/>
                <w:b/>
              </w:rPr>
              <w:t>ávěrečn</w:t>
            </w:r>
            <w:r>
              <w:rPr>
                <w:rFonts w:eastAsiaTheme="minorHAnsi" w:cs="Calibri"/>
                <w:b/>
              </w:rPr>
              <w:t>ý</w:t>
            </w:r>
            <w:r w:rsidRPr="0001778E">
              <w:rPr>
                <w:rFonts w:eastAsiaTheme="minorHAnsi" w:cs="Calibri"/>
                <w:b/>
              </w:rPr>
              <w:t xml:space="preserve"> úč</w:t>
            </w:r>
            <w:r>
              <w:rPr>
                <w:rFonts w:eastAsiaTheme="minorHAnsi" w:cs="Calibri"/>
                <w:b/>
              </w:rPr>
              <w:t>et</w:t>
            </w:r>
            <w:r w:rsidRPr="0001778E">
              <w:rPr>
                <w:rFonts w:eastAsiaTheme="minorHAnsi" w:cs="Calibri"/>
                <w:b/>
              </w:rPr>
              <w:t xml:space="preserve"> kapitoly státního rozpočtu </w:t>
            </w:r>
            <w:r>
              <w:rPr>
                <w:rFonts w:eastAsiaTheme="minorHAnsi" w:cs="Calibri"/>
                <w:b/>
              </w:rPr>
              <w:t xml:space="preserve">375 – </w:t>
            </w:r>
            <w:r>
              <w:rPr>
                <w:rFonts w:eastAsiaTheme="minorHAnsi" w:cs="Calibri"/>
                <w:b/>
                <w:i/>
                <w:iCs/>
              </w:rPr>
              <w:t>Státní úřad pro</w:t>
            </w:r>
            <w:r w:rsidR="001A0567">
              <w:rPr>
                <w:rFonts w:eastAsiaTheme="minorHAnsi" w:cs="Calibri"/>
                <w:b/>
                <w:i/>
                <w:iCs/>
              </w:rPr>
              <w:t xml:space="preserve"> </w:t>
            </w:r>
            <w:r>
              <w:rPr>
                <w:rFonts w:eastAsiaTheme="minorHAnsi" w:cs="Calibri"/>
                <w:b/>
                <w:i/>
                <w:iCs/>
              </w:rPr>
              <w:t>jadernou bezpečnost</w:t>
            </w:r>
            <w:r w:rsidRPr="0001778E">
              <w:rPr>
                <w:rFonts w:eastAsiaTheme="minorHAnsi" w:cs="Calibri"/>
                <w:b/>
              </w:rPr>
              <w:t xml:space="preserve"> za</w:t>
            </w:r>
            <w:r w:rsidR="001A0567">
              <w:rPr>
                <w:rFonts w:eastAsiaTheme="minorHAnsi" w:cs="Calibri"/>
                <w:b/>
              </w:rPr>
              <w:t xml:space="preserve"> </w:t>
            </w:r>
            <w:r w:rsidRPr="0001778E">
              <w:rPr>
                <w:rFonts w:eastAsiaTheme="minorHAnsi" w:cs="Calibri"/>
                <w:b/>
              </w:rPr>
              <w:t>rok 202</w:t>
            </w:r>
            <w:r>
              <w:rPr>
                <w:rFonts w:eastAsiaTheme="minorHAnsi" w:cs="Calibri"/>
                <w:b/>
              </w:rPr>
              <w:t>2</w:t>
            </w:r>
            <w:r w:rsidRPr="0001778E">
              <w:rPr>
                <w:rFonts w:eastAsiaTheme="minorHAnsi" w:cs="Calibri"/>
                <w:b/>
              </w:rPr>
              <w:t xml:space="preserve"> </w:t>
            </w:r>
            <w:r w:rsidR="00E86A7F">
              <w:rPr>
                <w:rFonts w:eastAsiaTheme="minorHAnsi" w:cs="Calibri"/>
                <w:b/>
              </w:rPr>
              <w:t xml:space="preserve">(dále také „ZÚ 2022“) </w:t>
            </w:r>
            <w:r>
              <w:rPr>
                <w:rFonts w:eastAsiaTheme="minorHAnsi" w:cs="Calibri"/>
                <w:b/>
              </w:rPr>
              <w:t xml:space="preserve">sestaven v rozsahu dle </w:t>
            </w:r>
            <w:r w:rsidRPr="003F4BD0">
              <w:rPr>
                <w:b/>
                <w:bCs/>
              </w:rPr>
              <w:t>vyhlášk</w:t>
            </w:r>
            <w:r>
              <w:rPr>
                <w:b/>
                <w:bCs/>
              </w:rPr>
              <w:t>y</w:t>
            </w:r>
            <w:r w:rsidRPr="003F4BD0">
              <w:rPr>
                <w:b/>
                <w:bCs/>
              </w:rPr>
              <w:t xml:space="preserve"> </w:t>
            </w:r>
            <w:r w:rsidRPr="003F4BD0">
              <w:rPr>
                <w:b/>
                <w:bCs/>
              </w:rPr>
              <w:lastRenderedPageBreak/>
              <w:t>č.</w:t>
            </w:r>
            <w:r>
              <w:rPr>
                <w:b/>
                <w:bCs/>
              </w:rPr>
              <w:t> </w:t>
            </w:r>
            <w:r w:rsidRPr="003F4BD0">
              <w:rPr>
                <w:b/>
                <w:bCs/>
              </w:rPr>
              <w:t>419/2001</w:t>
            </w:r>
            <w:r w:rsidR="001A0567">
              <w:rPr>
                <w:b/>
                <w:bCs/>
              </w:rPr>
              <w:t> </w:t>
            </w:r>
            <w:r w:rsidRPr="003F4BD0">
              <w:rPr>
                <w:b/>
                <w:bCs/>
              </w:rPr>
              <w:t>Sb.</w:t>
            </w:r>
            <w:r>
              <w:rPr>
                <w:rStyle w:val="Znakapoznpodarou"/>
                <w:b/>
                <w:bCs/>
              </w:rPr>
              <w:footnoteReference w:id="4"/>
            </w:r>
            <w:r w:rsidRPr="003F4BD0">
              <w:rPr>
                <w:b/>
                <w:bCs/>
              </w:rPr>
              <w:t xml:space="preserve"> </w:t>
            </w:r>
            <w:r>
              <w:rPr>
                <w:rFonts w:eastAsiaTheme="minorHAnsi" w:cs="Calibri"/>
                <w:b/>
              </w:rPr>
              <w:t xml:space="preserve"> </w:t>
            </w:r>
            <w:r w:rsidRPr="001B6A9C">
              <w:rPr>
                <w:b/>
              </w:rPr>
              <w:t xml:space="preserve">a informace v něm uvedené </w:t>
            </w:r>
            <w:r>
              <w:rPr>
                <w:b/>
              </w:rPr>
              <w:t xml:space="preserve">odpovídají </w:t>
            </w:r>
            <w:r w:rsidRPr="001B6A9C">
              <w:rPr>
                <w:b/>
              </w:rPr>
              <w:t>údaj</w:t>
            </w:r>
            <w:r>
              <w:rPr>
                <w:b/>
              </w:rPr>
              <w:t xml:space="preserve">ům </w:t>
            </w:r>
            <w:r w:rsidRPr="001B6A9C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1B6A9C">
              <w:rPr>
                <w:b/>
              </w:rPr>
              <w:t>rozpočtovém systému, finanční</w:t>
            </w:r>
            <w:r>
              <w:rPr>
                <w:b/>
              </w:rPr>
              <w:t>m</w:t>
            </w:r>
            <w:r w:rsidRPr="001B6A9C">
              <w:rPr>
                <w:b/>
              </w:rPr>
              <w:t xml:space="preserve"> výkaz</w:t>
            </w:r>
            <w:r>
              <w:rPr>
                <w:b/>
              </w:rPr>
              <w:t>ům</w:t>
            </w:r>
            <w:r w:rsidRPr="001B6A9C">
              <w:rPr>
                <w:b/>
              </w:rPr>
              <w:t xml:space="preserve"> a údaj</w:t>
            </w:r>
            <w:r>
              <w:rPr>
                <w:b/>
              </w:rPr>
              <w:t>ům</w:t>
            </w:r>
            <w:r w:rsidRPr="001B6A9C">
              <w:rPr>
                <w:b/>
              </w:rPr>
              <w:t xml:space="preserve"> </w:t>
            </w:r>
            <w:r>
              <w:rPr>
                <w:b/>
              </w:rPr>
              <w:t>z dalších</w:t>
            </w:r>
            <w:r w:rsidRPr="001B6A9C">
              <w:rPr>
                <w:b/>
              </w:rPr>
              <w:t xml:space="preserve"> </w:t>
            </w:r>
            <w:r w:rsidRPr="009B1E72">
              <w:rPr>
                <w:b/>
              </w:rPr>
              <w:t>evidencí</w:t>
            </w:r>
            <w:r w:rsidRPr="009B1E72">
              <w:rPr>
                <w:rFonts w:eastAsiaTheme="minorHAnsi" w:cs="Calibri"/>
                <w:b/>
              </w:rPr>
              <w:t xml:space="preserve"> </w:t>
            </w:r>
            <w:r w:rsidRPr="009B1E72">
              <w:rPr>
                <w:rFonts w:eastAsiaTheme="minorHAnsi" w:cs="Calibri"/>
                <w:bCs/>
              </w:rPr>
              <w:t>(</w:t>
            </w:r>
            <w:r w:rsidRPr="009B1E72">
              <w:rPr>
                <w:rFonts w:asciiTheme="minorHAnsi" w:hAnsiTheme="minorHAnsi" w:cstheme="minorHAnsi"/>
                <w:bCs/>
                <w:spacing w:val="-2"/>
              </w:rPr>
              <w:t>viz část IV.</w:t>
            </w:r>
            <w:r>
              <w:rPr>
                <w:rFonts w:asciiTheme="minorHAnsi" w:hAnsiTheme="minorHAnsi" w:cstheme="minorHAnsi"/>
                <w:bCs/>
                <w:spacing w:val="-2"/>
              </w:rPr>
              <w:t>3</w:t>
            </w:r>
            <w:r w:rsidR="006E55A6">
              <w:rPr>
                <w:rFonts w:asciiTheme="minorHAnsi" w:eastAsiaTheme="minorHAnsi" w:hAnsiTheme="minorHAnsi" w:cstheme="minorHAnsi"/>
              </w:rPr>
              <w:t xml:space="preserve"> tohoto kontrolního závěru</w:t>
            </w:r>
            <w:r w:rsidRPr="009B1E72">
              <w:rPr>
                <w:rFonts w:asciiTheme="minorHAnsi" w:hAnsiTheme="minorHAnsi" w:cstheme="minorHAnsi"/>
                <w:bCs/>
                <w:spacing w:val="-2"/>
              </w:rPr>
              <w:t>)</w:t>
            </w:r>
            <w:r w:rsidRPr="0037405E">
              <w:rPr>
                <w:rFonts w:eastAsiaTheme="minorHAnsi" w:cs="Calibri"/>
                <w:b/>
              </w:rPr>
              <w:t>.</w:t>
            </w:r>
          </w:p>
        </w:tc>
      </w:tr>
    </w:tbl>
    <w:bookmarkEnd w:id="3"/>
    <w:p w14:paraId="23080E81" w14:textId="77777777" w:rsidR="00822B34" w:rsidRDefault="00190F2D" w:rsidP="00E86A7F">
      <w:pPr>
        <w:spacing w:before="240" w:after="0"/>
        <w:jc w:val="both"/>
        <w:rPr>
          <w:bCs/>
          <w:lang w:eastAsia="cs-CZ"/>
        </w:rPr>
      </w:pPr>
      <w:r w:rsidRPr="00146F9A">
        <w:rPr>
          <w:rFonts w:cs="Calibri"/>
        </w:rPr>
        <w:lastRenderedPageBreak/>
        <w:t xml:space="preserve">NKÚ </w:t>
      </w:r>
      <w:r>
        <w:rPr>
          <w:rFonts w:cs="Calibri"/>
        </w:rPr>
        <w:t xml:space="preserve">v </w:t>
      </w:r>
      <w:r w:rsidRPr="00146F9A">
        <w:rPr>
          <w:rFonts w:cs="Calibri"/>
        </w:rPr>
        <w:t xml:space="preserve">průběhu kontroly </w:t>
      </w:r>
      <w:r>
        <w:rPr>
          <w:rFonts w:cs="Calibri"/>
        </w:rPr>
        <w:t xml:space="preserve">zjistil v návrhu </w:t>
      </w:r>
      <w:r w:rsidR="00E86A7F">
        <w:rPr>
          <w:rFonts w:cs="Calibri"/>
        </w:rPr>
        <w:t xml:space="preserve">ZÚ </w:t>
      </w:r>
      <w:r w:rsidRPr="001E2EE0">
        <w:rPr>
          <w:rFonts w:cs="Calibri"/>
        </w:rPr>
        <w:t xml:space="preserve">2022 </w:t>
      </w:r>
      <w:r>
        <w:rPr>
          <w:rFonts w:cs="Calibri"/>
        </w:rPr>
        <w:t xml:space="preserve">nedostatky, které SÚJB opravil </w:t>
      </w:r>
      <w:r>
        <w:rPr>
          <w:bCs/>
          <w:lang w:eastAsia="cs-CZ"/>
        </w:rPr>
        <w:t>a</w:t>
      </w:r>
      <w:r w:rsidRPr="00146F9A">
        <w:rPr>
          <w:bCs/>
          <w:lang w:eastAsia="cs-CZ"/>
        </w:rPr>
        <w:t xml:space="preserve"> ve finálním ZÚ 2022 </w:t>
      </w:r>
      <w:r>
        <w:rPr>
          <w:bCs/>
          <w:lang w:eastAsia="cs-CZ"/>
        </w:rPr>
        <w:t xml:space="preserve">se </w:t>
      </w:r>
      <w:r w:rsidRPr="00146F9A">
        <w:rPr>
          <w:bCs/>
          <w:lang w:eastAsia="cs-CZ"/>
        </w:rPr>
        <w:t>již nevyskytovaly.</w:t>
      </w:r>
    </w:p>
    <w:p w14:paraId="07211EDF" w14:textId="77777777" w:rsidR="002C0C07" w:rsidRPr="00E86A7F" w:rsidRDefault="001A0567" w:rsidP="001A0567">
      <w:pPr>
        <w:pStyle w:val="Styl2"/>
        <w:numPr>
          <w:ilvl w:val="0"/>
          <w:numId w:val="0"/>
        </w:numPr>
        <w:spacing w:before="240" w:after="120"/>
      </w:pPr>
      <w:r>
        <w:t xml:space="preserve">4. </w:t>
      </w:r>
      <w:r w:rsidR="00495EFA" w:rsidRPr="00495EFA">
        <w:t xml:space="preserve">Vnitřní kontrolní systém </w:t>
      </w:r>
      <w:r w:rsidR="00495EFA">
        <w:t>SÚJB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2C0C07" w:rsidRPr="00D71C60" w14:paraId="3F83F7B7" w14:textId="77777777" w:rsidTr="00717CA5">
        <w:tc>
          <w:tcPr>
            <w:tcW w:w="9060" w:type="dxa"/>
            <w:shd w:val="clear" w:color="auto" w:fill="E5F1FF"/>
          </w:tcPr>
          <w:p w14:paraId="1CA9F761" w14:textId="77777777" w:rsidR="002C0C07" w:rsidRPr="00A21AC3" w:rsidRDefault="002C0C07" w:rsidP="00717CA5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6C25C5">
              <w:rPr>
                <w:b/>
              </w:rPr>
              <w:t xml:space="preserve">Dle </w:t>
            </w:r>
            <w:r>
              <w:rPr>
                <w:b/>
              </w:rPr>
              <w:t>NKÚ</w:t>
            </w:r>
            <w:r w:rsidRPr="006C25C5">
              <w:rPr>
                <w:b/>
              </w:rPr>
              <w:t xml:space="preserve"> lze vnitřní kontrolní systém </w:t>
            </w:r>
            <w:r w:rsidR="00E86A7F">
              <w:rPr>
                <w:b/>
              </w:rPr>
              <w:t xml:space="preserve">(dále také „VKS“) </w:t>
            </w:r>
            <w:r>
              <w:rPr>
                <w:b/>
              </w:rPr>
              <w:t>po opatřeních přijatých</w:t>
            </w:r>
            <w:r w:rsidR="00970754">
              <w:rPr>
                <w:b/>
              </w:rPr>
              <w:t xml:space="preserve"> v průběhu</w:t>
            </w:r>
            <w:r>
              <w:rPr>
                <w:b/>
              </w:rPr>
              <w:t xml:space="preserve"> kontroly </w:t>
            </w:r>
            <w:r w:rsidRPr="006C25C5">
              <w:rPr>
                <w:b/>
              </w:rPr>
              <w:t>považovat v prověřovaných oblastech za</w:t>
            </w:r>
            <w:r>
              <w:rPr>
                <w:b/>
              </w:rPr>
              <w:t> </w:t>
            </w:r>
            <w:r w:rsidRPr="006C25C5">
              <w:rPr>
                <w:b/>
              </w:rPr>
              <w:t>účinný</w:t>
            </w:r>
            <w:r>
              <w:rPr>
                <w:b/>
              </w:rPr>
              <w:t xml:space="preserve"> </w:t>
            </w:r>
            <w:r w:rsidRPr="00334041">
              <w:rPr>
                <w:rFonts w:eastAsiaTheme="minorHAnsi" w:cs="Calibri"/>
              </w:rPr>
              <w:t>(viz část IV.</w:t>
            </w:r>
            <w:r>
              <w:rPr>
                <w:rFonts w:eastAsiaTheme="minorHAnsi" w:cs="Calibri"/>
              </w:rPr>
              <w:t>4</w:t>
            </w:r>
            <w:r w:rsidR="006E55A6">
              <w:rPr>
                <w:rFonts w:asciiTheme="minorHAnsi" w:eastAsiaTheme="minorHAnsi" w:hAnsiTheme="minorHAnsi" w:cstheme="minorHAnsi"/>
              </w:rPr>
              <w:t xml:space="preserve"> tohoto kontrolního závěru</w:t>
            </w:r>
            <w:r w:rsidRPr="00334041">
              <w:rPr>
                <w:rFonts w:eastAsiaTheme="minorHAnsi" w:cs="Calibri"/>
              </w:rPr>
              <w:t>)</w:t>
            </w:r>
            <w:r w:rsidRPr="0037405E">
              <w:rPr>
                <w:rFonts w:eastAsiaTheme="minorHAnsi" w:cs="Calibri"/>
                <w:b/>
              </w:rPr>
              <w:t xml:space="preserve">. </w:t>
            </w:r>
          </w:p>
        </w:tc>
      </w:tr>
    </w:tbl>
    <w:p w14:paraId="44C2F927" w14:textId="77777777" w:rsidR="001A0567" w:rsidRDefault="00E86A7F" w:rsidP="00E86A7F">
      <w:pPr>
        <w:spacing w:before="240" w:after="0"/>
        <w:jc w:val="both"/>
        <w:rPr>
          <w:rFonts w:cs="Calibri"/>
        </w:rPr>
      </w:pPr>
      <w:r>
        <w:rPr>
          <w:rFonts w:cs="Calibri"/>
        </w:rPr>
        <w:t xml:space="preserve">NKÚ </w:t>
      </w:r>
      <w:r w:rsidRPr="00E86A7F">
        <w:rPr>
          <w:rFonts w:cs="Calibri"/>
        </w:rPr>
        <w:t xml:space="preserve">v průběhu kontroly </w:t>
      </w:r>
      <w:r>
        <w:rPr>
          <w:rFonts w:cs="Calibri"/>
        </w:rPr>
        <w:t>zjistil</w:t>
      </w:r>
      <w:r w:rsidRPr="00E86A7F">
        <w:rPr>
          <w:rFonts w:cs="Calibri"/>
        </w:rPr>
        <w:t xml:space="preserve"> významné nedostatky ve vedení účetnictví, které </w:t>
      </w:r>
      <w:r>
        <w:rPr>
          <w:rFonts w:cs="Calibri"/>
        </w:rPr>
        <w:t xml:space="preserve">VKS </w:t>
      </w:r>
      <w:r w:rsidRPr="00E86A7F">
        <w:rPr>
          <w:rFonts w:cs="Calibri"/>
        </w:rPr>
        <w:t xml:space="preserve">neidentifikoval. </w:t>
      </w:r>
      <w:r w:rsidRPr="00E47474">
        <w:rPr>
          <w:rFonts w:cs="Calibri"/>
        </w:rPr>
        <w:t xml:space="preserve">SÚJB </w:t>
      </w:r>
      <w:r>
        <w:rPr>
          <w:rFonts w:cs="Calibri"/>
        </w:rPr>
        <w:t>je opravil</w:t>
      </w:r>
      <w:r w:rsidRPr="00383540">
        <w:rPr>
          <w:rFonts w:cs="Calibri"/>
        </w:rPr>
        <w:t xml:space="preserve"> </w:t>
      </w:r>
      <w:r w:rsidRPr="00E86A7F">
        <w:rPr>
          <w:rFonts w:cs="Calibri"/>
        </w:rPr>
        <w:t>(viz část IV.1.1</w:t>
      </w:r>
      <w:r w:rsidR="006E55A6">
        <w:rPr>
          <w:rFonts w:asciiTheme="minorHAnsi" w:eastAsiaTheme="minorHAnsi" w:hAnsiTheme="minorHAnsi" w:cstheme="minorHAnsi"/>
        </w:rPr>
        <w:t xml:space="preserve"> tohoto kontrolního závěru</w:t>
      </w:r>
      <w:r w:rsidRPr="00E86A7F">
        <w:rPr>
          <w:rFonts w:cs="Calibri"/>
        </w:rPr>
        <w:t xml:space="preserve">) </w:t>
      </w:r>
      <w:r w:rsidRPr="00383540">
        <w:rPr>
          <w:rFonts w:cs="Calibri"/>
        </w:rPr>
        <w:t>a</w:t>
      </w:r>
      <w:r>
        <w:rPr>
          <w:rFonts w:cs="Calibri"/>
        </w:rPr>
        <w:t xml:space="preserve"> </w:t>
      </w:r>
      <w:r w:rsidRPr="00383540">
        <w:rPr>
          <w:rFonts w:cs="Calibri"/>
        </w:rPr>
        <w:t>přij</w:t>
      </w:r>
      <w:r>
        <w:rPr>
          <w:rFonts w:cs="Calibri"/>
        </w:rPr>
        <w:t>al</w:t>
      </w:r>
      <w:r w:rsidRPr="00383540">
        <w:rPr>
          <w:rFonts w:cs="Calibri"/>
        </w:rPr>
        <w:t xml:space="preserve"> </w:t>
      </w:r>
      <w:r>
        <w:rPr>
          <w:rFonts w:cs="Calibri"/>
        </w:rPr>
        <w:t xml:space="preserve">i ve VKS </w:t>
      </w:r>
      <w:r w:rsidRPr="00383540">
        <w:rPr>
          <w:rFonts w:cs="Calibri"/>
        </w:rPr>
        <w:t>opatření k</w:t>
      </w:r>
      <w:r>
        <w:rPr>
          <w:rFonts w:cs="Calibri"/>
        </w:rPr>
        <w:t> </w:t>
      </w:r>
      <w:r w:rsidRPr="00383540">
        <w:rPr>
          <w:rFonts w:cs="Calibri"/>
        </w:rPr>
        <w:t>nápravě systémových nedostatků</w:t>
      </w:r>
      <w:r w:rsidRPr="00646522">
        <w:rPr>
          <w:rFonts w:cs="Calibri"/>
        </w:rPr>
        <w:t>.</w:t>
      </w:r>
    </w:p>
    <w:p w14:paraId="06DD2690" w14:textId="77777777" w:rsidR="00E91FF5" w:rsidRPr="00D10727" w:rsidRDefault="001A0567" w:rsidP="00725D72">
      <w:pPr>
        <w:pStyle w:val="Styl1"/>
        <w:numPr>
          <w:ilvl w:val="0"/>
          <w:numId w:val="0"/>
        </w:numPr>
        <w:spacing w:before="720" w:after="240"/>
      </w:pPr>
      <w:r>
        <w:t xml:space="preserve">II. </w:t>
      </w:r>
      <w:r w:rsidR="00A640AE" w:rsidRPr="00D10727">
        <w:t>Informace o kontrolované oblasti</w:t>
      </w:r>
    </w:p>
    <w:p w14:paraId="6D1D0A2C" w14:textId="77777777" w:rsidR="004C5BCF" w:rsidRPr="00725D72" w:rsidRDefault="00792B0B" w:rsidP="001A0567">
      <w:pPr>
        <w:spacing w:before="120"/>
        <w:jc w:val="both"/>
        <w:rPr>
          <w:rFonts w:asciiTheme="minorHAnsi" w:hAnsiTheme="minorHAnsi" w:cstheme="minorHAnsi"/>
        </w:rPr>
      </w:pPr>
      <w:r w:rsidRPr="00725D72">
        <w:rPr>
          <w:rFonts w:asciiTheme="minorHAnsi" w:hAnsiTheme="minorHAnsi" w:cstheme="minorHAnsi"/>
        </w:rPr>
        <w:t>Státní úřad pro jadernou bezpečnost byl (s účinností od 1. 1. 1993) zřízen zákonem České národní rady č. 21/1993 Sb.</w:t>
      </w:r>
      <w:r w:rsidR="00C87071" w:rsidRPr="00725D72">
        <w:rPr>
          <w:rStyle w:val="Znakapoznpodarou"/>
          <w:rFonts w:asciiTheme="minorHAnsi" w:hAnsiTheme="minorHAnsi" w:cstheme="minorHAnsi"/>
        </w:rPr>
        <w:footnoteReference w:id="5"/>
      </w:r>
      <w:r w:rsidRPr="00725D72">
        <w:rPr>
          <w:rFonts w:asciiTheme="minorHAnsi" w:hAnsiTheme="minorHAnsi" w:cstheme="minorHAnsi"/>
        </w:rPr>
        <w:t xml:space="preserve"> SÚJB </w:t>
      </w:r>
      <w:r w:rsidR="00DD3BA9" w:rsidRPr="00725D72">
        <w:rPr>
          <w:rFonts w:asciiTheme="minorHAnsi" w:hAnsiTheme="minorHAnsi" w:cstheme="minorHAnsi"/>
        </w:rPr>
        <w:t xml:space="preserve">je </w:t>
      </w:r>
      <w:r w:rsidRPr="00725D72">
        <w:rPr>
          <w:rFonts w:asciiTheme="minorHAnsi" w:hAnsiTheme="minorHAnsi" w:cstheme="minorHAnsi"/>
        </w:rPr>
        <w:t>ústředním orgánem státní správy. Působnost SÚJB je dána zákonem č. 263/2016 Sb.</w:t>
      </w:r>
      <w:r w:rsidR="00C87071" w:rsidRPr="00725D72">
        <w:rPr>
          <w:rStyle w:val="Znakapoznpodarou"/>
          <w:rFonts w:asciiTheme="minorHAnsi" w:hAnsiTheme="minorHAnsi" w:cstheme="minorHAnsi"/>
        </w:rPr>
        <w:footnoteReference w:id="6"/>
      </w:r>
      <w:r w:rsidR="00C87071" w:rsidRP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 w:cstheme="minorHAnsi"/>
        </w:rPr>
        <w:t>a zákony č.</w:t>
      </w:r>
      <w:r w:rsidR="00C87071" w:rsidRPr="00725D72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19/1997 Sb.</w:t>
      </w:r>
      <w:r w:rsidR="00A67754" w:rsidRPr="00725D72">
        <w:rPr>
          <w:rStyle w:val="Znakapoznpodarou"/>
          <w:rFonts w:asciiTheme="minorHAnsi" w:hAnsiTheme="minorHAnsi" w:cstheme="minorHAnsi"/>
        </w:rPr>
        <w:footnoteReference w:id="7"/>
      </w:r>
      <w:r w:rsidR="00C87071" w:rsidRP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 w:cstheme="minorHAnsi"/>
        </w:rPr>
        <w:t>a</w:t>
      </w:r>
      <w:r w:rsidR="00C87071" w:rsidRP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 w:cstheme="minorHAnsi"/>
        </w:rPr>
        <w:t>č. 281/2002 Sb.</w:t>
      </w:r>
      <w:r w:rsidR="00C87071" w:rsidRPr="00725D72">
        <w:rPr>
          <w:rStyle w:val="Znakapoznpodarou"/>
          <w:rFonts w:asciiTheme="minorHAnsi" w:hAnsiTheme="minorHAnsi" w:cstheme="minorHAnsi"/>
        </w:rPr>
        <w:footnoteReference w:id="8"/>
      </w:r>
      <w:r w:rsidR="00C87071" w:rsidRP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 w:cstheme="minorHAnsi"/>
        </w:rPr>
        <w:t xml:space="preserve">navazujícími na </w:t>
      </w:r>
      <w:r w:rsidRPr="00C7611A">
        <w:rPr>
          <w:rFonts w:asciiTheme="minorHAnsi" w:hAnsiTheme="minorHAnsi" w:cstheme="minorHAnsi"/>
          <w:i/>
        </w:rPr>
        <w:t>Úmluvu o zákazu vývoje, výroby, hromadění zásob a použití chemických zbraní a jejich zničení</w:t>
      </w:r>
      <w:r w:rsidRP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/>
        </w:rPr>
        <w:t>a</w:t>
      </w:r>
      <w:r w:rsidR="00AF047B" w:rsidRPr="00725D72">
        <w:rPr>
          <w:rFonts w:asciiTheme="minorHAnsi" w:hAnsiTheme="minorHAnsi"/>
        </w:rPr>
        <w:t> </w:t>
      </w:r>
      <w:r w:rsidRPr="00725D72">
        <w:rPr>
          <w:rFonts w:asciiTheme="minorHAnsi" w:hAnsiTheme="minorHAnsi"/>
        </w:rPr>
        <w:t>na</w:t>
      </w:r>
      <w:r w:rsidR="00725D72">
        <w:rPr>
          <w:rFonts w:asciiTheme="minorHAnsi" w:hAnsiTheme="minorHAnsi" w:cstheme="minorHAnsi"/>
        </w:rPr>
        <w:t xml:space="preserve"> </w:t>
      </w:r>
      <w:r w:rsidRPr="00C7611A">
        <w:rPr>
          <w:rFonts w:asciiTheme="minorHAnsi" w:hAnsiTheme="minorHAnsi" w:cstheme="minorHAnsi"/>
          <w:i/>
        </w:rPr>
        <w:t>Úmluvu o zákazu bakteriologických (biologických) a toxinových zbraní</w:t>
      </w:r>
      <w:r w:rsidRPr="00725D72">
        <w:rPr>
          <w:rFonts w:asciiTheme="minorHAnsi" w:hAnsiTheme="minorHAnsi" w:cstheme="minorHAnsi"/>
        </w:rPr>
        <w:t>. V rámci své působnosti SÚJB vykonává zejména státní dozor nad jadernou bezpečností jaderných zařízení a dozor v</w:t>
      </w:r>
      <w:r w:rsidR="00AF047B" w:rsidRPr="00725D72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oblasti ochrany zdraví před ionizujícím zářením, dále zabezpečuje evidenci a kontrolu jaderných materiálů ve</w:t>
      </w:r>
      <w:r w:rsid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 w:cstheme="minorHAnsi"/>
        </w:rPr>
        <w:t>vazbě na</w:t>
      </w:r>
      <w:r w:rsid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 w:cstheme="minorHAnsi"/>
        </w:rPr>
        <w:t>závazky České republiky (dále také „ČR“) plynoucí ze smlouvy o nešíření jaderných zbraní a</w:t>
      </w:r>
      <w:r w:rsidR="00D84537" w:rsidRPr="00725D72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navazující kontrolní režimy, dozor nad bezpečnostní a fyzickou ochranou jaderných zařízení a</w:t>
      </w:r>
      <w:r w:rsidR="00D84537" w:rsidRPr="00725D72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 xml:space="preserve">jaderných materiálů. SÚJB dále koordinuje a zabezpečuje činnosti při plnění úkolů plynoucích z </w:t>
      </w:r>
      <w:r w:rsidRPr="00C7611A">
        <w:rPr>
          <w:rFonts w:asciiTheme="minorHAnsi" w:hAnsiTheme="minorHAnsi" w:cstheme="minorHAnsi"/>
          <w:i/>
        </w:rPr>
        <w:t>Úmluvy o zákazu vývoje, výroby, hromadění zásob a</w:t>
      </w:r>
      <w:r w:rsidR="00AF047B" w:rsidRPr="00C7611A">
        <w:rPr>
          <w:rFonts w:asciiTheme="minorHAnsi" w:hAnsiTheme="minorHAnsi" w:cstheme="minorHAnsi"/>
          <w:i/>
        </w:rPr>
        <w:t> </w:t>
      </w:r>
      <w:r w:rsidRPr="00C7611A">
        <w:rPr>
          <w:rFonts w:asciiTheme="minorHAnsi" w:hAnsiTheme="minorHAnsi" w:cstheme="minorHAnsi"/>
          <w:i/>
        </w:rPr>
        <w:t>použití chemických zbraní a</w:t>
      </w:r>
      <w:r w:rsidR="001F559B" w:rsidRPr="00C7611A">
        <w:rPr>
          <w:rFonts w:asciiTheme="minorHAnsi" w:hAnsiTheme="minorHAnsi" w:cstheme="minorHAnsi"/>
          <w:i/>
        </w:rPr>
        <w:t> </w:t>
      </w:r>
      <w:r w:rsidRPr="00C7611A">
        <w:rPr>
          <w:rFonts w:asciiTheme="minorHAnsi" w:hAnsiTheme="minorHAnsi" w:cstheme="minorHAnsi"/>
          <w:i/>
        </w:rPr>
        <w:t>jejich zničení</w:t>
      </w:r>
      <w:r w:rsidRPr="00725D72">
        <w:rPr>
          <w:rFonts w:asciiTheme="minorHAnsi" w:hAnsiTheme="minorHAnsi" w:cstheme="minorHAnsi"/>
        </w:rPr>
        <w:t xml:space="preserve"> a z </w:t>
      </w:r>
      <w:r w:rsidRPr="00C7611A">
        <w:rPr>
          <w:rFonts w:asciiTheme="minorHAnsi" w:hAnsiTheme="minorHAnsi" w:cstheme="minorHAnsi"/>
          <w:i/>
        </w:rPr>
        <w:t>Úmluvy o zákazu bakteriologických (biologických) a toxinových zbraní</w:t>
      </w:r>
      <w:r w:rsidRPr="00725D72">
        <w:rPr>
          <w:rFonts w:asciiTheme="minorHAnsi" w:hAnsiTheme="minorHAnsi" w:cstheme="minorHAnsi"/>
        </w:rPr>
        <w:t xml:space="preserve"> a plní úkoly</w:t>
      </w:r>
      <w:r w:rsidR="00CA7D0F" w:rsidRPr="00725D72">
        <w:rPr>
          <w:rFonts w:asciiTheme="minorHAnsi" w:hAnsiTheme="minorHAnsi" w:cstheme="minorHAnsi"/>
        </w:rPr>
        <w:t xml:space="preserve"> plynoucí z</w:t>
      </w:r>
      <w:r w:rsidRPr="00725D72">
        <w:rPr>
          <w:rFonts w:asciiTheme="minorHAnsi" w:hAnsiTheme="minorHAnsi" w:cstheme="minorHAnsi"/>
        </w:rPr>
        <w:t xml:space="preserve"> výkonu působnosti národního úřadu podle </w:t>
      </w:r>
      <w:r w:rsidRPr="00C7611A">
        <w:rPr>
          <w:rFonts w:asciiTheme="minorHAnsi" w:hAnsiTheme="minorHAnsi" w:cstheme="minorHAnsi"/>
          <w:i/>
        </w:rPr>
        <w:t>Smlouvy o všeobecném zákazu zkoušek jaderných zbraní</w:t>
      </w:r>
      <w:r w:rsidRPr="00725D72">
        <w:rPr>
          <w:rFonts w:asciiTheme="minorHAnsi" w:hAnsiTheme="minorHAnsi" w:cstheme="minorHAnsi"/>
        </w:rPr>
        <w:t>.</w:t>
      </w:r>
    </w:p>
    <w:p w14:paraId="0E1C2C1B" w14:textId="77777777" w:rsidR="00792B0B" w:rsidRPr="00725D72" w:rsidRDefault="00792B0B" w:rsidP="00435DF4">
      <w:pPr>
        <w:spacing w:before="120" w:after="0"/>
        <w:jc w:val="both"/>
        <w:rPr>
          <w:rFonts w:asciiTheme="minorHAnsi" w:hAnsiTheme="minorHAnsi" w:cstheme="minorHAnsi"/>
        </w:rPr>
      </w:pPr>
      <w:r w:rsidRPr="00725D72">
        <w:rPr>
          <w:rFonts w:asciiTheme="minorHAnsi" w:hAnsiTheme="minorHAnsi" w:cstheme="minorHAnsi"/>
        </w:rPr>
        <w:t>Působnost SÚJB na celém území ČR je zajištěna ústředím v</w:t>
      </w:r>
      <w:r w:rsidR="00B36E66" w:rsidRPr="00725D72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Praze</w:t>
      </w:r>
      <w:r w:rsidR="00B36E66" w:rsidRPr="00725D72">
        <w:rPr>
          <w:rFonts w:asciiTheme="minorHAnsi" w:hAnsiTheme="minorHAnsi" w:cstheme="minorHAnsi"/>
        </w:rPr>
        <w:t>, r</w:t>
      </w:r>
      <w:r w:rsidRPr="00725D72">
        <w:rPr>
          <w:rFonts w:asciiTheme="minorHAnsi" w:hAnsiTheme="minorHAnsi" w:cstheme="minorHAnsi"/>
        </w:rPr>
        <w:t>egionálními centry SÚJB</w:t>
      </w:r>
      <w:r w:rsidR="00524924" w:rsidRPr="00725D72">
        <w:rPr>
          <w:rFonts w:asciiTheme="minorHAnsi" w:hAnsiTheme="minorHAnsi" w:cstheme="minorHAnsi"/>
        </w:rPr>
        <w:t xml:space="preserve"> a </w:t>
      </w:r>
      <w:r w:rsidRPr="00725D72">
        <w:rPr>
          <w:rFonts w:asciiTheme="minorHAnsi" w:hAnsiTheme="minorHAnsi" w:cstheme="minorHAnsi"/>
        </w:rPr>
        <w:t>dvěma lokálními pracovišti v jaderných elektrárnách Dukovany a</w:t>
      </w:r>
      <w:r w:rsidR="001F559B" w:rsidRPr="00725D72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 xml:space="preserve">Temelín. Uvedená </w:t>
      </w:r>
      <w:r w:rsidRPr="00725D72">
        <w:rPr>
          <w:rFonts w:asciiTheme="minorHAnsi" w:hAnsiTheme="minorHAnsi" w:cstheme="minorHAnsi"/>
        </w:rPr>
        <w:lastRenderedPageBreak/>
        <w:t>struktura zajišťuje plnění úkolů SÚJB v přímé vazbě na regiony, v nichž se nacházejí jaderná zařízení a významné zdroje ionizujícího záření. Plnění úkolů SÚJB podporují dvě jím zřízené veřejn</w:t>
      </w:r>
      <w:r w:rsidR="000B7195" w:rsidRPr="00725D72">
        <w:rPr>
          <w:rFonts w:asciiTheme="minorHAnsi" w:hAnsiTheme="minorHAnsi" w:cstheme="minorHAnsi"/>
        </w:rPr>
        <w:t>é</w:t>
      </w:r>
      <w:r w:rsidRPr="00725D72">
        <w:rPr>
          <w:rFonts w:asciiTheme="minorHAnsi" w:hAnsiTheme="minorHAnsi" w:cstheme="minorHAnsi"/>
        </w:rPr>
        <w:t xml:space="preserve"> výzkumné instituce</w:t>
      </w:r>
      <w:r w:rsidR="003D1832" w:rsidRPr="00725D72">
        <w:rPr>
          <w:rFonts w:asciiTheme="minorHAnsi" w:hAnsiTheme="minorHAnsi" w:cstheme="minorHAnsi"/>
        </w:rPr>
        <w:t xml:space="preserve"> (dále také „v.</w:t>
      </w:r>
      <w:r w:rsidR="00155040">
        <w:rPr>
          <w:rFonts w:asciiTheme="minorHAnsi" w:hAnsiTheme="minorHAnsi" w:cstheme="minorHAnsi"/>
        </w:rPr>
        <w:t> </w:t>
      </w:r>
      <w:r w:rsidR="003D1832" w:rsidRPr="00725D72">
        <w:rPr>
          <w:rFonts w:asciiTheme="minorHAnsi" w:hAnsiTheme="minorHAnsi" w:cstheme="minorHAnsi"/>
        </w:rPr>
        <w:t>v.</w:t>
      </w:r>
      <w:r w:rsidR="00155040">
        <w:rPr>
          <w:rFonts w:asciiTheme="minorHAnsi" w:hAnsiTheme="minorHAnsi" w:cstheme="minorHAnsi"/>
        </w:rPr>
        <w:t> </w:t>
      </w:r>
      <w:r w:rsidR="003D1832" w:rsidRPr="00725D72">
        <w:rPr>
          <w:rFonts w:asciiTheme="minorHAnsi" w:hAnsiTheme="minorHAnsi" w:cstheme="minorHAnsi"/>
        </w:rPr>
        <w:t>i.“)</w:t>
      </w:r>
      <w:r w:rsidRPr="00725D72">
        <w:rPr>
          <w:rFonts w:asciiTheme="minorHAnsi" w:hAnsiTheme="minorHAnsi" w:cstheme="minorHAnsi"/>
        </w:rPr>
        <w:t>:</w:t>
      </w:r>
    </w:p>
    <w:p w14:paraId="69D4AD7F" w14:textId="1CF67F7F" w:rsidR="00792B0B" w:rsidRPr="00725D72" w:rsidRDefault="00792B0B" w:rsidP="00431706">
      <w:pPr>
        <w:pStyle w:val="Odstavecseseznamem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725D72">
        <w:rPr>
          <w:rFonts w:asciiTheme="minorHAnsi" w:hAnsiTheme="minorHAnsi" w:cstheme="minorHAnsi"/>
        </w:rPr>
        <w:t>Státní ústav radiační ochrany, v.</w:t>
      </w:r>
      <w:r w:rsidR="004C268B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v.</w:t>
      </w:r>
      <w:r w:rsidR="004C268B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i. (dále také „SÚRO“)</w:t>
      </w:r>
      <w:r w:rsidR="001916B9">
        <w:rPr>
          <w:rFonts w:asciiTheme="minorHAnsi" w:hAnsiTheme="minorHAnsi" w:cstheme="minorHAnsi"/>
        </w:rPr>
        <w:t>,</w:t>
      </w:r>
    </w:p>
    <w:p w14:paraId="1F10C8FD" w14:textId="696F6E9D" w:rsidR="00792B0B" w:rsidRPr="00725D72" w:rsidRDefault="00792B0B" w:rsidP="003C1171">
      <w:pPr>
        <w:pStyle w:val="Odstavecseseznamem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725D72">
        <w:rPr>
          <w:rFonts w:asciiTheme="minorHAnsi" w:hAnsiTheme="minorHAnsi" w:cstheme="minorHAnsi"/>
        </w:rPr>
        <w:t>Státní ústav jaderné, chemické a biologické ochrany, v.</w:t>
      </w:r>
      <w:r w:rsidR="004C268B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v.</w:t>
      </w:r>
      <w:r w:rsidR="004C268B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i. (dále také „SÚJCHBO“)</w:t>
      </w:r>
      <w:r w:rsidR="00524924" w:rsidRPr="00725D72">
        <w:rPr>
          <w:rFonts w:asciiTheme="minorHAnsi" w:hAnsiTheme="minorHAnsi" w:cstheme="minorHAnsi"/>
        </w:rPr>
        <w:t>.</w:t>
      </w:r>
      <w:r w:rsidRPr="00725D72">
        <w:rPr>
          <w:rFonts w:asciiTheme="minorHAnsi" w:hAnsiTheme="minorHAnsi" w:cstheme="minorHAnsi"/>
        </w:rPr>
        <w:t xml:space="preserve"> </w:t>
      </w:r>
    </w:p>
    <w:p w14:paraId="61FB624E" w14:textId="0091706D" w:rsidR="00792B0B" w:rsidRPr="00725D72" w:rsidRDefault="00792B0B" w:rsidP="001A0567">
      <w:pPr>
        <w:spacing w:before="120"/>
        <w:jc w:val="both"/>
        <w:rPr>
          <w:rFonts w:asciiTheme="minorHAnsi" w:hAnsiTheme="minorHAnsi" w:cstheme="minorHAnsi"/>
        </w:rPr>
      </w:pPr>
      <w:r w:rsidRPr="00725D72">
        <w:rPr>
          <w:rFonts w:asciiTheme="minorHAnsi" w:hAnsiTheme="minorHAnsi" w:cstheme="minorHAnsi"/>
        </w:rPr>
        <w:t>SÚJB je dle zákona č. 219/2000 Sb.</w:t>
      </w:r>
      <w:r w:rsidRPr="00725D72">
        <w:rPr>
          <w:rStyle w:val="Znakapoznpodarou"/>
          <w:rFonts w:asciiTheme="minorHAnsi" w:hAnsiTheme="minorHAnsi" w:cstheme="minorHAnsi"/>
        </w:rPr>
        <w:footnoteReference w:id="9"/>
      </w:r>
      <w:r w:rsidRPr="00725D72">
        <w:rPr>
          <w:rFonts w:asciiTheme="minorHAnsi" w:hAnsiTheme="minorHAnsi" w:cstheme="minorHAnsi"/>
        </w:rPr>
        <w:t xml:space="preserve"> organizační složkou státu a dle zákona č. 563/1991 Sb.</w:t>
      </w:r>
      <w:r w:rsidR="006922D0" w:rsidRPr="00725D72">
        <w:rPr>
          <w:rStyle w:val="Znakapoznpodarou"/>
          <w:rFonts w:asciiTheme="minorHAnsi" w:hAnsiTheme="minorHAnsi" w:cstheme="minorHAnsi"/>
        </w:rPr>
        <w:footnoteReference w:id="10"/>
      </w:r>
      <w:r w:rsidRPr="00725D72">
        <w:rPr>
          <w:rFonts w:asciiTheme="minorHAnsi" w:hAnsiTheme="minorHAnsi" w:cstheme="minorHAnsi"/>
        </w:rPr>
        <w:t xml:space="preserve"> vybranou účetní jednotkou. Dle ustanovení § 10 odst. 1 zákona č. 218/2000 Sb.</w:t>
      </w:r>
      <w:r w:rsidR="00630DC4" w:rsidRPr="00725D72">
        <w:rPr>
          <w:rStyle w:val="Znakapoznpodarou"/>
          <w:rFonts w:asciiTheme="minorHAnsi" w:hAnsiTheme="minorHAnsi" w:cstheme="minorHAnsi"/>
        </w:rPr>
        <w:footnoteReference w:id="11"/>
      </w:r>
      <w:r w:rsidRPr="00725D72">
        <w:rPr>
          <w:rFonts w:asciiTheme="minorHAnsi" w:hAnsiTheme="minorHAnsi" w:cstheme="minorHAnsi"/>
        </w:rPr>
        <w:t xml:space="preserve"> je správcem kapitoly </w:t>
      </w:r>
      <w:r w:rsidR="00424DBC" w:rsidRPr="00725D72">
        <w:rPr>
          <w:rFonts w:asciiTheme="minorHAnsi" w:hAnsiTheme="minorHAnsi" w:cstheme="minorHAnsi"/>
        </w:rPr>
        <w:t xml:space="preserve">státního rozpočtu </w:t>
      </w:r>
      <w:r w:rsidRPr="00725D72">
        <w:rPr>
          <w:rFonts w:asciiTheme="minorHAnsi" w:hAnsiTheme="minorHAnsi" w:cstheme="minorHAnsi"/>
        </w:rPr>
        <w:t xml:space="preserve">375 </w:t>
      </w:r>
      <w:r w:rsidR="004C268B">
        <w:rPr>
          <w:rFonts w:asciiTheme="minorHAnsi" w:hAnsiTheme="minorHAnsi" w:cstheme="minorHAnsi"/>
        </w:rPr>
        <w:t>–</w:t>
      </w:r>
      <w:r w:rsidRPr="00725D72">
        <w:rPr>
          <w:rFonts w:asciiTheme="minorHAnsi" w:hAnsiTheme="minorHAnsi" w:cstheme="minorHAnsi"/>
        </w:rPr>
        <w:t xml:space="preserve"> </w:t>
      </w:r>
      <w:r w:rsidRPr="00725D72">
        <w:rPr>
          <w:rFonts w:asciiTheme="minorHAnsi" w:hAnsiTheme="minorHAnsi" w:cstheme="minorHAnsi"/>
          <w:i/>
        </w:rPr>
        <w:t>Státní úřad pro jadernou bezpečnost</w:t>
      </w:r>
      <w:r w:rsidRPr="00725D72">
        <w:rPr>
          <w:rFonts w:asciiTheme="minorHAnsi" w:hAnsiTheme="minorHAnsi" w:cstheme="minorHAnsi"/>
        </w:rPr>
        <w:t>. SÚJB nebyl k</w:t>
      </w:r>
      <w:r w:rsidR="004C268B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31.</w:t>
      </w:r>
      <w:r w:rsidR="004C268B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12.</w:t>
      </w:r>
      <w:r w:rsidR="004C268B">
        <w:rPr>
          <w:rFonts w:asciiTheme="minorHAnsi" w:hAnsiTheme="minorHAnsi" w:cstheme="minorHAnsi"/>
        </w:rPr>
        <w:t> </w:t>
      </w:r>
      <w:r w:rsidRPr="00725D72">
        <w:rPr>
          <w:rFonts w:asciiTheme="minorHAnsi" w:hAnsiTheme="minorHAnsi" w:cstheme="minorHAnsi"/>
        </w:rPr>
        <w:t>2022 zřizovatelem žádné organizační složky státu ani příspěvkové organizace.</w:t>
      </w:r>
    </w:p>
    <w:p w14:paraId="03F746B9" w14:textId="77777777" w:rsidR="005705EE" w:rsidRPr="00725D72" w:rsidRDefault="00A640AE" w:rsidP="00435DF4">
      <w:pPr>
        <w:spacing w:before="120"/>
        <w:jc w:val="both"/>
        <w:rPr>
          <w:rFonts w:asciiTheme="minorHAnsi" w:hAnsiTheme="minorHAnsi" w:cs="Calibri"/>
        </w:rPr>
      </w:pPr>
      <w:r w:rsidRPr="00725D72">
        <w:rPr>
          <w:rFonts w:asciiTheme="minorHAnsi" w:hAnsiTheme="minorHAnsi" w:cs="Calibri"/>
        </w:rPr>
        <w:t>Přehled</w:t>
      </w:r>
      <w:r w:rsidR="00D85D8F" w:rsidRPr="00725D72">
        <w:rPr>
          <w:rFonts w:asciiTheme="minorHAnsi" w:hAnsiTheme="minorHAnsi" w:cs="Calibri"/>
        </w:rPr>
        <w:t xml:space="preserve"> vybraných</w:t>
      </w:r>
      <w:r w:rsidRPr="00725D72">
        <w:rPr>
          <w:rFonts w:asciiTheme="minorHAnsi" w:hAnsiTheme="minorHAnsi" w:cs="Calibri"/>
        </w:rPr>
        <w:t xml:space="preserve"> údajů z </w:t>
      </w:r>
      <w:r w:rsidR="00D37A9B" w:rsidRPr="00725D72">
        <w:rPr>
          <w:rFonts w:asciiTheme="minorHAnsi" w:hAnsiTheme="minorHAnsi" w:cs="Calibri"/>
        </w:rPr>
        <w:t xml:space="preserve">ÚZ </w:t>
      </w:r>
      <w:r w:rsidRPr="00725D72">
        <w:rPr>
          <w:rFonts w:asciiTheme="minorHAnsi" w:hAnsiTheme="minorHAnsi" w:cs="Calibri"/>
        </w:rPr>
        <w:t>a z výkazu FIN 1-12 OSS vygenerovaného z rozpočtového systému</w:t>
      </w:r>
      <w:r w:rsidRPr="00725D72">
        <w:rPr>
          <w:rStyle w:val="Znakapoznpodarou"/>
          <w:rFonts w:asciiTheme="minorHAnsi" w:eastAsiaTheme="minorHAnsi" w:hAnsiTheme="minorHAnsi" w:cs="Calibri"/>
        </w:rPr>
        <w:footnoteReference w:id="12"/>
      </w:r>
      <w:r w:rsidRPr="00725D72">
        <w:rPr>
          <w:rFonts w:asciiTheme="minorHAnsi" w:hAnsiTheme="minorHAnsi" w:cs="Calibri"/>
        </w:rPr>
        <w:t xml:space="preserve"> je uveden v následujících tabulkách.</w:t>
      </w:r>
    </w:p>
    <w:p w14:paraId="4060C867" w14:textId="2C98697B" w:rsidR="00DE6218" w:rsidRDefault="00DE6218" w:rsidP="00435DF4">
      <w:pPr>
        <w:pStyle w:val="Titulek"/>
        <w:spacing w:before="120" w:after="40"/>
      </w:pPr>
      <w:r>
        <w:t xml:space="preserve">Tabulka č. </w:t>
      </w:r>
      <w:fldSimple w:instr=" SEQ Tabulka_č. \* ARABIC ">
        <w:r w:rsidR="000B6570">
          <w:rPr>
            <w:noProof/>
          </w:rPr>
          <w:t>1</w:t>
        </w:r>
      </w:fldSimple>
      <w:r>
        <w:t xml:space="preserve">: </w:t>
      </w:r>
      <w:r w:rsidRPr="00DE6218">
        <w:t>Údaje ÚZ – rozvaha a výkaz zisku a ztráty (údaje za</w:t>
      </w:r>
      <w:r w:rsidR="00424DBC">
        <w:t xml:space="preserve"> rok 2022</w:t>
      </w:r>
      <w:r w:rsidRPr="00DE6218">
        <w:t>)</w:t>
      </w:r>
    </w:p>
    <w:tbl>
      <w:tblPr>
        <w:tblW w:w="907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50080C" w:rsidRPr="00683C72" w14:paraId="106AC78C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E5F1FF"/>
            <w:noWrap/>
            <w:vAlign w:val="center"/>
            <w:hideMark/>
          </w:tcPr>
          <w:p w14:paraId="5BF4DCCD" w14:textId="77777777" w:rsidR="00494B0F" w:rsidRPr="00202AEC" w:rsidRDefault="00A640AE" w:rsidP="001916B9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02AEC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2" w:type="dxa"/>
            <w:shd w:val="clear" w:color="auto" w:fill="E5F1FF"/>
            <w:noWrap/>
            <w:vAlign w:val="center"/>
            <w:hideMark/>
          </w:tcPr>
          <w:p w14:paraId="5BC785F4" w14:textId="77777777" w:rsidR="00494B0F" w:rsidRPr="00202AEC" w:rsidRDefault="00A640AE" w:rsidP="001916B9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02AEC">
              <w:rPr>
                <w:rFonts w:cs="Arial"/>
                <w:b/>
                <w:bCs/>
                <w:sz w:val="20"/>
                <w:szCs w:val="20"/>
              </w:rPr>
              <w:t xml:space="preserve">Částka </w:t>
            </w:r>
            <w:r w:rsidR="004C268B"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00202AEC">
              <w:rPr>
                <w:rFonts w:cs="Arial"/>
                <w:b/>
                <w:bCs/>
                <w:sz w:val="20"/>
                <w:szCs w:val="20"/>
              </w:rPr>
              <w:t>v</w:t>
            </w:r>
            <w:r w:rsidR="0037405E">
              <w:rPr>
                <w:rFonts w:cs="Arial"/>
                <w:b/>
                <w:bCs/>
                <w:sz w:val="20"/>
                <w:szCs w:val="20"/>
              </w:rPr>
              <w:t xml:space="preserve"> mil. </w:t>
            </w:r>
            <w:r w:rsidRPr="00202AEC">
              <w:rPr>
                <w:rFonts w:cs="Arial"/>
                <w:b/>
                <w:bCs/>
                <w:sz w:val="20"/>
                <w:szCs w:val="20"/>
              </w:rPr>
              <w:t>Kč</w:t>
            </w:r>
            <w:r w:rsidR="004C268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D37A9B" w:rsidRPr="00683C72" w14:paraId="681A6DCC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B75FA88" w14:textId="77777777" w:rsidR="00D37A9B" w:rsidRPr="00202AEC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Aktiva netto</w:t>
            </w:r>
            <w:r w:rsidR="00BD266C">
              <w:rPr>
                <w:rFonts w:cs="Arial"/>
                <w:sz w:val="20"/>
                <w:szCs w:val="20"/>
              </w:rPr>
              <w:t>, pasiva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281927D9" w14:textId="77777777" w:rsidR="00D37A9B" w:rsidRPr="00202AEC" w:rsidRDefault="00792B0B" w:rsidP="001916B9">
            <w:pPr>
              <w:keepNext/>
              <w:spacing w:before="20" w:after="20"/>
              <w:ind w:right="1635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792B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297</w:t>
            </w:r>
            <w:r w:rsidR="003740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,4</w:t>
            </w:r>
          </w:p>
        </w:tc>
      </w:tr>
      <w:tr w:rsidR="00D37A9B" w:rsidRPr="00683C72" w14:paraId="581FC087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8F30D44" w14:textId="77777777" w:rsidR="00D37A9B" w:rsidRPr="00202AEC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F50C197" w14:textId="77777777" w:rsidR="00D37A9B" w:rsidRPr="00202AEC" w:rsidRDefault="00792B0B" w:rsidP="001916B9">
            <w:pPr>
              <w:keepNext/>
              <w:spacing w:before="20" w:after="20"/>
              <w:ind w:right="1635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792B0B">
              <w:rPr>
                <w:rFonts w:asciiTheme="minorHAnsi" w:hAnsiTheme="minorHAnsi" w:cstheme="minorHAnsi"/>
                <w:sz w:val="20"/>
                <w:szCs w:val="20"/>
              </w:rPr>
              <w:t>468</w:t>
            </w:r>
            <w:r w:rsidR="0037405E">
              <w:rPr>
                <w:rFonts w:asciiTheme="minorHAnsi" w:hAnsiTheme="minorHAnsi" w:cstheme="minorHAnsi"/>
                <w:sz w:val="20"/>
                <w:szCs w:val="20"/>
              </w:rPr>
              <w:t>,9</w:t>
            </w:r>
          </w:p>
        </w:tc>
      </w:tr>
      <w:tr w:rsidR="00D37A9B" w:rsidRPr="00683C72" w14:paraId="227B0096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529F2DA" w14:textId="77777777" w:rsidR="00D37A9B" w:rsidRPr="00202AEC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556800B" w14:textId="77777777" w:rsidR="00D37A9B" w:rsidRPr="00845827" w:rsidRDefault="00792B0B" w:rsidP="001916B9">
            <w:pPr>
              <w:keepNext/>
              <w:spacing w:before="20" w:after="20"/>
              <w:ind w:right="1635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792B0B">
              <w:rPr>
                <w:rFonts w:asciiTheme="minorHAnsi" w:hAnsiTheme="minorHAnsi" w:cstheme="minorHAnsi"/>
                <w:sz w:val="20"/>
                <w:szCs w:val="20"/>
              </w:rPr>
              <w:t>236</w:t>
            </w:r>
            <w:r w:rsidR="0037405E">
              <w:rPr>
                <w:rFonts w:asciiTheme="minorHAnsi" w:hAnsiTheme="minorHAnsi" w:cstheme="minorHAnsi"/>
                <w:sz w:val="20"/>
                <w:szCs w:val="20"/>
              </w:rPr>
              <w:t>,8</w:t>
            </w:r>
          </w:p>
        </w:tc>
      </w:tr>
      <w:tr w:rsidR="00D37A9B" w:rsidRPr="00683C72" w14:paraId="20D08CCF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vAlign w:val="center"/>
            <w:hideMark/>
          </w:tcPr>
          <w:p w14:paraId="63D2451E" w14:textId="77777777" w:rsidR="00D37A9B" w:rsidRPr="00202AEC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4B28CCF" w14:textId="6692A9C9" w:rsidR="00D37A9B" w:rsidRPr="0061766C" w:rsidRDefault="004C268B" w:rsidP="001916B9">
            <w:pPr>
              <w:keepNext/>
              <w:spacing w:before="20" w:after="20"/>
              <w:ind w:right="1635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−</w:t>
            </w:r>
            <w:r w:rsidR="00792B0B" w:rsidRPr="00792B0B">
              <w:rPr>
                <w:rFonts w:cs="Calibri"/>
                <w:sz w:val="20"/>
                <w:szCs w:val="20"/>
              </w:rPr>
              <w:t>232</w:t>
            </w:r>
            <w:r w:rsidR="0037405E">
              <w:rPr>
                <w:rFonts w:cs="Calibri"/>
                <w:sz w:val="20"/>
                <w:szCs w:val="20"/>
              </w:rPr>
              <w:t>,0</w:t>
            </w:r>
          </w:p>
        </w:tc>
      </w:tr>
    </w:tbl>
    <w:p w14:paraId="7BB6B018" w14:textId="77777777" w:rsidR="00494B0F" w:rsidRPr="00D40705" w:rsidRDefault="00A640AE" w:rsidP="00435DF4">
      <w:pPr>
        <w:keepNext/>
        <w:spacing w:before="40" w:after="0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="000B3825" w:rsidRPr="00D40705">
        <w:rPr>
          <w:rFonts w:cs="Arial"/>
          <w:bCs/>
          <w:sz w:val="20"/>
          <w:szCs w:val="20"/>
        </w:rPr>
        <w:t>ÚZ</w:t>
      </w:r>
      <w:r w:rsidR="003444C4">
        <w:rPr>
          <w:rFonts w:cs="Arial"/>
          <w:bCs/>
          <w:sz w:val="20"/>
          <w:szCs w:val="20"/>
        </w:rPr>
        <w:t>.</w:t>
      </w:r>
    </w:p>
    <w:p w14:paraId="2A8E9330" w14:textId="77777777" w:rsidR="00A94960" w:rsidRDefault="00A640AE" w:rsidP="00A94960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Pozn.:</w:t>
      </w:r>
      <w:r w:rsidR="005705EE" w:rsidRPr="00D40705">
        <w:rPr>
          <w:rFonts w:cs="Arial"/>
          <w:bCs/>
          <w:sz w:val="20"/>
          <w:szCs w:val="20"/>
        </w:rPr>
        <w:t xml:space="preserve"> </w:t>
      </w:r>
      <w:r w:rsidR="00BA2B34">
        <w:rPr>
          <w:rFonts w:cs="Arial"/>
          <w:bCs/>
          <w:sz w:val="20"/>
          <w:szCs w:val="20"/>
        </w:rPr>
        <w:tab/>
      </w:r>
      <w:r w:rsidR="00792B0B">
        <w:rPr>
          <w:rFonts w:cs="Arial"/>
          <w:bCs/>
          <w:sz w:val="20"/>
          <w:szCs w:val="20"/>
        </w:rPr>
        <w:t>SÚJB</w:t>
      </w:r>
      <w:r w:rsidRPr="00D40705">
        <w:rPr>
          <w:rFonts w:cs="Arial"/>
          <w:bCs/>
          <w:sz w:val="20"/>
          <w:szCs w:val="20"/>
        </w:rPr>
        <w:t xml:space="preserve"> v ÚZ vykázal aktiva v hodnotě brutto ve výši</w:t>
      </w:r>
      <w:r w:rsidR="003E5FE8">
        <w:rPr>
          <w:rFonts w:cs="Arial"/>
          <w:bCs/>
          <w:sz w:val="20"/>
          <w:szCs w:val="20"/>
        </w:rPr>
        <w:t xml:space="preserve"> </w:t>
      </w:r>
      <w:r w:rsidR="00792B0B" w:rsidRPr="00792B0B">
        <w:rPr>
          <w:rFonts w:cs="Arial"/>
          <w:bCs/>
          <w:sz w:val="20"/>
          <w:szCs w:val="20"/>
        </w:rPr>
        <w:t>617</w:t>
      </w:r>
      <w:r w:rsidR="0037405E">
        <w:rPr>
          <w:rFonts w:cs="Arial"/>
          <w:bCs/>
          <w:sz w:val="20"/>
          <w:szCs w:val="20"/>
        </w:rPr>
        <w:t>,0 mil.</w:t>
      </w:r>
      <w:r w:rsidR="00792B0B" w:rsidRPr="00792B0B">
        <w:rPr>
          <w:rFonts w:cs="Arial"/>
          <w:bCs/>
          <w:sz w:val="20"/>
          <w:szCs w:val="20"/>
        </w:rPr>
        <w:t xml:space="preserve"> </w:t>
      </w:r>
      <w:r w:rsidR="00D37A9B" w:rsidRPr="00D40705">
        <w:rPr>
          <w:rFonts w:cs="Arial"/>
          <w:bCs/>
          <w:sz w:val="20"/>
          <w:szCs w:val="20"/>
        </w:rPr>
        <w:t>Kč</w:t>
      </w:r>
      <w:r w:rsidRPr="00D40705">
        <w:rPr>
          <w:rFonts w:cs="Arial"/>
          <w:bCs/>
          <w:sz w:val="20"/>
          <w:szCs w:val="20"/>
        </w:rPr>
        <w:t xml:space="preserve"> upravené </w:t>
      </w:r>
      <w:r w:rsidR="000B4B25" w:rsidRPr="00D40705">
        <w:rPr>
          <w:rFonts w:cs="Arial"/>
          <w:bCs/>
          <w:sz w:val="20"/>
          <w:szCs w:val="20"/>
        </w:rPr>
        <w:t>o</w:t>
      </w:r>
      <w:r w:rsidR="00854846">
        <w:rPr>
          <w:rFonts w:cs="Arial"/>
          <w:bCs/>
          <w:sz w:val="20"/>
          <w:szCs w:val="20"/>
        </w:rPr>
        <w:t xml:space="preserve"> </w:t>
      </w:r>
      <w:r w:rsidRPr="00D40705">
        <w:rPr>
          <w:rFonts w:cs="Arial"/>
          <w:bCs/>
          <w:sz w:val="20"/>
          <w:szCs w:val="20"/>
        </w:rPr>
        <w:t>korekce ve výši</w:t>
      </w:r>
      <w:r w:rsidR="00D863FE">
        <w:rPr>
          <w:rFonts w:cs="Arial"/>
          <w:bCs/>
          <w:sz w:val="20"/>
          <w:szCs w:val="20"/>
        </w:rPr>
        <w:t xml:space="preserve"> </w:t>
      </w:r>
      <w:r w:rsidR="00D863FE" w:rsidRPr="00D863FE">
        <w:rPr>
          <w:rFonts w:cs="Arial"/>
          <w:bCs/>
          <w:sz w:val="20"/>
          <w:szCs w:val="20"/>
        </w:rPr>
        <w:t>319</w:t>
      </w:r>
      <w:r w:rsidR="0037405E">
        <w:rPr>
          <w:rFonts w:cs="Arial"/>
          <w:bCs/>
          <w:sz w:val="20"/>
          <w:szCs w:val="20"/>
        </w:rPr>
        <w:t>,6</w:t>
      </w:r>
      <w:r w:rsidR="00581840">
        <w:rPr>
          <w:rFonts w:cs="Arial"/>
          <w:bCs/>
          <w:sz w:val="20"/>
          <w:szCs w:val="20"/>
        </w:rPr>
        <w:t xml:space="preserve"> </w:t>
      </w:r>
      <w:r w:rsidR="0037405E">
        <w:rPr>
          <w:rFonts w:cs="Arial"/>
          <w:bCs/>
          <w:sz w:val="20"/>
          <w:szCs w:val="20"/>
        </w:rPr>
        <w:t xml:space="preserve">mil. </w:t>
      </w:r>
      <w:r w:rsidRPr="00D40705">
        <w:rPr>
          <w:rFonts w:cs="Arial"/>
          <w:bCs/>
          <w:sz w:val="20"/>
          <w:szCs w:val="20"/>
        </w:rPr>
        <w:t>Kč.</w:t>
      </w:r>
    </w:p>
    <w:p w14:paraId="3AB165B0" w14:textId="601E5AD4" w:rsidR="00DE6218" w:rsidRDefault="00DE6218" w:rsidP="002E0D16">
      <w:pPr>
        <w:pStyle w:val="Titulek"/>
        <w:spacing w:after="40"/>
        <w:ind w:left="1418" w:hanging="1418"/>
      </w:pPr>
      <w:r>
        <w:t xml:space="preserve">Tabulka č. </w:t>
      </w:r>
      <w:fldSimple w:instr=" SEQ Tabulka_č. \* ARABIC ">
        <w:r w:rsidR="000B6570">
          <w:rPr>
            <w:noProof/>
          </w:rPr>
          <w:t>2</w:t>
        </w:r>
      </w:fldSimple>
      <w:r>
        <w:t xml:space="preserve">: </w:t>
      </w:r>
      <w:r w:rsidR="002E0D16">
        <w:tab/>
      </w:r>
      <w:r w:rsidRPr="00DE6218">
        <w:t>Údaje ÚZ – informace o stavu účtů v knize podrozvahových účtů (údaje za</w:t>
      </w:r>
      <w:r w:rsidR="00BF63CF">
        <w:t xml:space="preserve"> </w:t>
      </w:r>
      <w:r w:rsidR="00424DBC">
        <w:t>rok 2022</w:t>
      </w:r>
      <w:r w:rsidRPr="00DE6218">
        <w:t>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C12205" w:rsidRPr="00683C72" w14:paraId="775C4CEB" w14:textId="77777777" w:rsidTr="002E0D16">
        <w:trPr>
          <w:trHeight w:val="255"/>
          <w:tblHeader/>
          <w:jc w:val="center"/>
        </w:trPr>
        <w:tc>
          <w:tcPr>
            <w:tcW w:w="4819" w:type="dxa"/>
            <w:shd w:val="clear" w:color="auto" w:fill="E5F1FF"/>
            <w:vAlign w:val="center"/>
          </w:tcPr>
          <w:p w14:paraId="4296F531" w14:textId="77777777" w:rsidR="00C12205" w:rsidRPr="00381DAD" w:rsidRDefault="00C12205" w:rsidP="001916B9">
            <w:pPr>
              <w:spacing w:before="20" w:after="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4252" w:type="dxa"/>
            <w:shd w:val="clear" w:color="auto" w:fill="E5F1FF"/>
            <w:noWrap/>
            <w:vAlign w:val="center"/>
            <w:hideMark/>
          </w:tcPr>
          <w:p w14:paraId="344933FD" w14:textId="77777777" w:rsidR="00C12205" w:rsidRPr="00381DAD" w:rsidRDefault="00C12205" w:rsidP="001916B9">
            <w:pPr>
              <w:spacing w:before="20" w:after="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="004C268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</w:t>
            </w: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 mil. </w:t>
            </w: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Kč</w:t>
            </w:r>
            <w:r w:rsidR="004C268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12205" w:rsidRPr="00D863FE" w14:paraId="4148A71A" w14:textId="77777777" w:rsidTr="002E0D16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2AFFD5AC" w14:textId="238879F6" w:rsidR="00C12205" w:rsidRPr="00D863FE" w:rsidRDefault="00C12205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974 </w:t>
            </w:r>
            <w:r w:rsidR="004C268B">
              <w:rPr>
                <w:rFonts w:eastAsiaTheme="minorHAnsi" w:cstheme="minorHAnsi"/>
                <w:sz w:val="20"/>
                <w:szCs w:val="20"/>
              </w:rPr>
              <w:t>–</w:t>
            </w: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Pr="00D863FE">
              <w:rPr>
                <w:rFonts w:eastAsiaTheme="minorHAnsi" w:cstheme="minorHAnsi"/>
                <w:sz w:val="20"/>
                <w:szCs w:val="20"/>
              </w:rPr>
              <w:t>Dlouhodobé podmíněné závazky z jiných smluv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B4FC87" w14:textId="77777777" w:rsidR="00C12205" w:rsidRPr="00D863FE" w:rsidRDefault="00C12205" w:rsidP="001916B9">
            <w:pPr>
              <w:spacing w:before="20" w:after="20"/>
              <w:ind w:right="1635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63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,5</w:t>
            </w:r>
          </w:p>
        </w:tc>
      </w:tr>
      <w:tr w:rsidR="00C12205" w:rsidRPr="00D863FE" w14:paraId="1E4CF0D9" w14:textId="77777777" w:rsidTr="002E0D16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1B3F650B" w14:textId="45BB8D8F" w:rsidR="00C12205" w:rsidRPr="00D863FE" w:rsidRDefault="00C12205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973 </w:t>
            </w:r>
            <w:r w:rsidR="004C268B">
              <w:rPr>
                <w:rFonts w:eastAsiaTheme="minorHAnsi" w:cstheme="minorHAnsi"/>
                <w:sz w:val="20"/>
                <w:szCs w:val="20"/>
              </w:rPr>
              <w:t>–</w:t>
            </w: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Pr="00D863FE">
              <w:rPr>
                <w:rFonts w:eastAsiaTheme="minorHAnsi" w:cstheme="minorHAnsi"/>
                <w:sz w:val="20"/>
                <w:szCs w:val="20"/>
              </w:rPr>
              <w:t>Krátkodobé podmíněné závazky z jiných smluv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140D3E" w14:textId="77777777" w:rsidR="00C12205" w:rsidRPr="00D863FE" w:rsidRDefault="00C12205" w:rsidP="001916B9">
            <w:pPr>
              <w:spacing w:before="20" w:after="20"/>
              <w:ind w:right="1635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63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,2</w:t>
            </w:r>
          </w:p>
        </w:tc>
      </w:tr>
    </w:tbl>
    <w:p w14:paraId="08C068D6" w14:textId="77777777" w:rsidR="00494B0F" w:rsidRPr="00A94960" w:rsidRDefault="00A640AE" w:rsidP="002E0D16">
      <w:pPr>
        <w:spacing w:before="4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Pr="00D40705">
        <w:rPr>
          <w:bCs/>
          <w:sz w:val="20"/>
          <w:szCs w:val="20"/>
        </w:rPr>
        <w:t xml:space="preserve"> </w:t>
      </w:r>
      <w:r w:rsidR="000B3825" w:rsidRPr="00D40705">
        <w:rPr>
          <w:bCs/>
          <w:sz w:val="20"/>
          <w:szCs w:val="20"/>
        </w:rPr>
        <w:t>ÚZ</w:t>
      </w:r>
      <w:r w:rsidR="003444C4">
        <w:rPr>
          <w:bCs/>
          <w:sz w:val="20"/>
          <w:szCs w:val="20"/>
        </w:rPr>
        <w:t>.</w:t>
      </w:r>
    </w:p>
    <w:p w14:paraId="58828F77" w14:textId="18B8FA97" w:rsidR="00DE6218" w:rsidRDefault="00DE6218" w:rsidP="002E0D16">
      <w:pPr>
        <w:pStyle w:val="Titulek"/>
        <w:spacing w:after="40"/>
      </w:pPr>
      <w:r>
        <w:t xml:space="preserve">Tabulka č. </w:t>
      </w:r>
      <w:fldSimple w:instr=" SEQ Tabulka_č. \* ARABIC ">
        <w:r w:rsidR="000B6570">
          <w:rPr>
            <w:noProof/>
          </w:rPr>
          <w:t>3</w:t>
        </w:r>
      </w:fldSimple>
      <w:r>
        <w:t>:</w:t>
      </w:r>
      <w:r w:rsidRPr="00DE6218">
        <w:t xml:space="preserve"> Údaje z výkazu FIN 1-12 OSS</w:t>
      </w: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50080C" w:rsidRPr="00683C72" w14:paraId="772723C6" w14:textId="77777777" w:rsidTr="00B0770B">
        <w:trPr>
          <w:trHeight w:val="255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C6AB23" w14:textId="77777777" w:rsidR="00494B0F" w:rsidRPr="008B350A" w:rsidRDefault="00A640AE" w:rsidP="001916B9">
            <w:pPr>
              <w:spacing w:before="20" w:after="20"/>
              <w:jc w:val="center"/>
              <w:rPr>
                <w:rFonts w:cs="Arial"/>
                <w:b/>
                <w:bCs/>
                <w:sz w:val="20"/>
              </w:rPr>
            </w:pPr>
            <w:r w:rsidRPr="008B350A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A02E91" w14:textId="77777777" w:rsidR="00494B0F" w:rsidRPr="00683C72" w:rsidRDefault="00A640AE" w:rsidP="001916B9">
            <w:pPr>
              <w:spacing w:before="20" w:after="20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8B350A">
              <w:rPr>
                <w:rFonts w:cs="Arial"/>
                <w:b/>
                <w:bCs/>
                <w:sz w:val="20"/>
              </w:rPr>
              <w:t xml:space="preserve">Částka </w:t>
            </w:r>
            <w:r w:rsidR="004C268B">
              <w:rPr>
                <w:rFonts w:cs="Arial"/>
                <w:b/>
                <w:bCs/>
                <w:sz w:val="20"/>
              </w:rPr>
              <w:t>(</w:t>
            </w:r>
            <w:r w:rsidRPr="008B350A">
              <w:rPr>
                <w:rFonts w:cs="Arial"/>
                <w:b/>
                <w:bCs/>
                <w:sz w:val="20"/>
              </w:rPr>
              <w:t>v</w:t>
            </w:r>
            <w:r w:rsidR="0037405E">
              <w:rPr>
                <w:rFonts w:cs="Arial"/>
                <w:b/>
                <w:bCs/>
                <w:sz w:val="20"/>
              </w:rPr>
              <w:t xml:space="preserve"> mil. </w:t>
            </w:r>
            <w:r w:rsidRPr="008B350A">
              <w:rPr>
                <w:rFonts w:cs="Arial"/>
                <w:b/>
                <w:bCs/>
                <w:sz w:val="20"/>
              </w:rPr>
              <w:t>Kč</w:t>
            </w:r>
            <w:r w:rsidR="004C268B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D16053" w:rsidRPr="00683C72" w14:paraId="4DD9B738" w14:textId="77777777" w:rsidTr="00B0770B">
        <w:trPr>
          <w:trHeight w:val="255"/>
          <w:jc w:val="center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5E7D" w14:textId="77777777" w:rsidR="00D16053" w:rsidRPr="008B350A" w:rsidRDefault="00D16053" w:rsidP="001916B9">
            <w:pPr>
              <w:spacing w:before="20" w:after="20"/>
              <w:rPr>
                <w:rFonts w:cs="Arial"/>
                <w:sz w:val="20"/>
              </w:rPr>
            </w:pPr>
            <w:r w:rsidRPr="008B350A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A91D" w14:textId="77777777" w:rsidR="00D16053" w:rsidRPr="008B350A" w:rsidRDefault="00D863FE" w:rsidP="001916B9">
            <w:pPr>
              <w:spacing w:before="20" w:after="20"/>
              <w:ind w:right="1635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D863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236</w:t>
            </w:r>
            <w:r w:rsidR="003740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,8</w:t>
            </w:r>
          </w:p>
        </w:tc>
      </w:tr>
      <w:tr w:rsidR="00D16053" w:rsidRPr="00683C72" w14:paraId="178156A7" w14:textId="77777777" w:rsidTr="00B0770B">
        <w:trPr>
          <w:trHeight w:val="255"/>
          <w:jc w:val="center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B896" w14:textId="77777777" w:rsidR="00D16053" w:rsidRPr="008B350A" w:rsidRDefault="00D16053" w:rsidP="001916B9">
            <w:pPr>
              <w:spacing w:before="20" w:after="20"/>
              <w:rPr>
                <w:rFonts w:cs="Arial"/>
                <w:sz w:val="20"/>
              </w:rPr>
            </w:pPr>
            <w:r w:rsidRPr="008B350A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12C7" w14:textId="77777777" w:rsidR="00D16053" w:rsidRPr="008B350A" w:rsidRDefault="00D863FE" w:rsidP="001916B9">
            <w:pPr>
              <w:spacing w:before="20" w:after="20"/>
              <w:ind w:right="1635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D863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475</w:t>
            </w:r>
            <w:r w:rsidR="003740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,8</w:t>
            </w:r>
          </w:p>
        </w:tc>
      </w:tr>
    </w:tbl>
    <w:p w14:paraId="57E60FF8" w14:textId="77777777" w:rsidR="00077ACA" w:rsidRPr="00D40705" w:rsidRDefault="00A640AE" w:rsidP="00B0770B">
      <w:pPr>
        <w:spacing w:before="4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="00D16053" w:rsidRPr="00D40705">
        <w:rPr>
          <w:bCs/>
          <w:sz w:val="20"/>
          <w:szCs w:val="20"/>
        </w:rPr>
        <w:t xml:space="preserve"> výkaz FIN 1-12 OSS</w:t>
      </w:r>
      <w:r w:rsidR="003444C4">
        <w:rPr>
          <w:bCs/>
          <w:sz w:val="20"/>
          <w:szCs w:val="20"/>
        </w:rPr>
        <w:t>.</w:t>
      </w:r>
    </w:p>
    <w:p w14:paraId="2FFF8BFD" w14:textId="77777777" w:rsidR="009706C3" w:rsidRDefault="009706C3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79AA3C27" w14:textId="77777777" w:rsidR="0033466E" w:rsidRPr="00B0770B" w:rsidRDefault="00B0770B" w:rsidP="00B0770B">
      <w:pPr>
        <w:spacing w:after="240"/>
        <w:jc w:val="center"/>
        <w:rPr>
          <w:b/>
          <w:sz w:val="28"/>
        </w:rPr>
      </w:pPr>
      <w:r w:rsidRPr="00B0770B">
        <w:rPr>
          <w:b/>
          <w:sz w:val="28"/>
        </w:rPr>
        <w:lastRenderedPageBreak/>
        <w:t xml:space="preserve">III. </w:t>
      </w:r>
      <w:r w:rsidR="00A640AE" w:rsidRPr="00B0770B">
        <w:rPr>
          <w:b/>
          <w:sz w:val="28"/>
        </w:rPr>
        <w:t>Rozsah kontroly</w:t>
      </w:r>
    </w:p>
    <w:p w14:paraId="12D29CCE" w14:textId="77777777" w:rsidR="00BB0827" w:rsidRPr="00683C72" w:rsidRDefault="006662D9" w:rsidP="00B0770B">
      <w:pPr>
        <w:spacing w:before="120"/>
        <w:jc w:val="both"/>
        <w:rPr>
          <w:rFonts w:eastAsiaTheme="minorHAnsi" w:cs="Calibri"/>
          <w:highlight w:val="yellow"/>
        </w:rPr>
      </w:pPr>
      <w:r w:rsidRPr="000443A1">
        <w:rPr>
          <w:rFonts w:cs="Calibri"/>
        </w:rPr>
        <w:t xml:space="preserve">KA byla kontrolou typu finanční audit a jejím cílem bylo </w:t>
      </w:r>
      <w:r w:rsidRPr="000443A1">
        <w:rPr>
          <w:rFonts w:eastAsiaTheme="minorHAnsi" w:cs="Calibri"/>
        </w:rPr>
        <w:t xml:space="preserve">prověřit, zda </w:t>
      </w:r>
      <w:r>
        <w:rPr>
          <w:rFonts w:eastAsiaTheme="minorHAnsi" w:cs="Calibri"/>
        </w:rPr>
        <w:t>SÚJB</w:t>
      </w:r>
      <w:r w:rsidRPr="000443A1">
        <w:rPr>
          <w:rFonts w:eastAsiaTheme="minorHAnsi" w:cs="Calibri"/>
        </w:rPr>
        <w:t xml:space="preserve"> při vedení účetnictví v roce 202</w:t>
      </w:r>
      <w:r>
        <w:rPr>
          <w:rFonts w:eastAsiaTheme="minorHAnsi" w:cs="Calibri"/>
        </w:rPr>
        <w:t>2</w:t>
      </w:r>
      <w:r w:rsidR="00E10672">
        <w:rPr>
          <w:rFonts w:eastAsiaTheme="minorHAnsi" w:cs="Calibri"/>
        </w:rPr>
        <w:t>, při</w:t>
      </w:r>
      <w:r w:rsidR="008B4CF5"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sestavení účetní závěrky k</w:t>
      </w:r>
      <w:r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31.</w:t>
      </w:r>
      <w:r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prosinci 202</w:t>
      </w:r>
      <w:r>
        <w:rPr>
          <w:rFonts w:eastAsiaTheme="minorHAnsi" w:cs="Calibri"/>
        </w:rPr>
        <w:t>2</w:t>
      </w:r>
      <w:r w:rsidRPr="000443A1">
        <w:rPr>
          <w:rFonts w:eastAsiaTheme="minorHAnsi" w:cs="Calibri"/>
        </w:rPr>
        <w:t>, při předkládání údajů pro</w:t>
      </w:r>
      <w:r w:rsidR="00CA780A"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hodnocení plnění státního rozpočtu</w:t>
      </w:r>
      <w:r w:rsidRPr="000443A1">
        <w:rPr>
          <w:rFonts w:eastAsiaTheme="minorHAnsi" w:cs="Calibri"/>
          <w:vertAlign w:val="superscript"/>
        </w:rPr>
        <w:footnoteReference w:id="13"/>
      </w:r>
      <w:r w:rsidRPr="000443A1">
        <w:rPr>
          <w:rFonts w:eastAsiaTheme="minorHAnsi" w:cs="Calibri"/>
        </w:rPr>
        <w:t xml:space="preserve"> a při sestavení závěrečného účtu za rok 202</w:t>
      </w:r>
      <w:r>
        <w:rPr>
          <w:rFonts w:eastAsiaTheme="minorHAnsi" w:cs="Calibri"/>
        </w:rPr>
        <w:t>2</w:t>
      </w:r>
      <w:r w:rsidRPr="000443A1">
        <w:rPr>
          <w:rFonts w:eastAsiaTheme="minorHAnsi" w:cs="Calibri"/>
        </w:rPr>
        <w:t xml:space="preserve"> postupoval v souladu s příslušnými právními předpisy.</w:t>
      </w:r>
    </w:p>
    <w:p w14:paraId="34D64F65" w14:textId="77777777" w:rsidR="00C0657A" w:rsidRPr="00366F60" w:rsidRDefault="006662D9" w:rsidP="00B0770B">
      <w:pPr>
        <w:spacing w:before="120"/>
        <w:jc w:val="both"/>
        <w:rPr>
          <w:rFonts w:cs="Calibri"/>
        </w:rPr>
      </w:pPr>
      <w:r w:rsidRPr="000443A1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</w:t>
      </w:r>
      <w:r>
        <w:rPr>
          <w:rFonts w:cs="Calibri"/>
        </w:rPr>
        <w:t xml:space="preserve">Kontrolovaný objem finančních prostředků v rámci výkazu FIN 1-12 OSS představuje součet celkových příjmů a výdajů ve sloupci </w:t>
      </w:r>
      <w:r w:rsidRPr="0066297E">
        <w:rPr>
          <w:rFonts w:cs="Calibri"/>
          <w:i/>
        </w:rPr>
        <w:t>Skutečnost</w:t>
      </w:r>
      <w:r w:rsidR="005D18DC">
        <w:rPr>
          <w:rFonts w:cs="Calibri"/>
        </w:rPr>
        <w:t xml:space="preserve">, jejichž hodnoty jsou uvedeny </w:t>
      </w:r>
      <w:r>
        <w:rPr>
          <w:rFonts w:cs="Calibri"/>
        </w:rPr>
        <w:t>v tabulce č. 3.</w:t>
      </w:r>
    </w:p>
    <w:p w14:paraId="1CB0B740" w14:textId="77777777" w:rsidR="00C0657A" w:rsidRPr="0077622B" w:rsidRDefault="00A640AE" w:rsidP="00B0770B">
      <w:pPr>
        <w:spacing w:before="120"/>
        <w:jc w:val="both"/>
        <w:rPr>
          <w:rFonts w:cs="Calibri"/>
        </w:rPr>
      </w:pPr>
      <w:r w:rsidRPr="00FF141F">
        <w:rPr>
          <w:rFonts w:cs="Calibri"/>
        </w:rPr>
        <w:t>Kontrola se zaměřila na činnosti a skutečnosti, které byly předmětem účetnictví</w:t>
      </w:r>
      <w:r w:rsidRPr="0077622B">
        <w:rPr>
          <w:vertAlign w:val="superscript"/>
        </w:rPr>
        <w:footnoteReference w:id="14"/>
      </w:r>
      <w:r w:rsidR="00291417" w:rsidRPr="0077622B">
        <w:rPr>
          <w:rFonts w:cs="Calibri"/>
          <w:vertAlign w:val="superscript"/>
        </w:rPr>
        <w:t xml:space="preserve"> </w:t>
      </w:r>
      <w:r w:rsidR="00291417" w:rsidRPr="00FF141F">
        <w:rPr>
          <w:rFonts w:cs="Calibri"/>
        </w:rPr>
        <w:t>a měly vliv 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kontrolovaných významných konečných zůstatků účtů v</w:t>
      </w:r>
      <w:r w:rsidR="00FF141F">
        <w:rPr>
          <w:rFonts w:cs="Calibri"/>
        </w:rPr>
        <w:t xml:space="preserve"> ÚZ</w:t>
      </w:r>
      <w:r w:rsidR="00BA10E7" w:rsidRPr="00FF141F">
        <w:rPr>
          <w:rFonts w:cs="Calibri"/>
        </w:rPr>
        <w:t>,</w:t>
      </w:r>
      <w:r w:rsidR="00FF141F">
        <w:rPr>
          <w:rFonts w:cs="Calibri"/>
        </w:rPr>
        <w:t xml:space="preserve"> </w:t>
      </w:r>
      <w:r w:rsidR="00BA10E7" w:rsidRPr="00FF141F">
        <w:rPr>
          <w:rFonts w:cs="Calibri"/>
        </w:rPr>
        <w:t>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významných údajů předkládaných</w:t>
      </w:r>
      <w:r w:rsidR="00FF141F" w:rsidRPr="00FF141F">
        <w:rPr>
          <w:rFonts w:cs="Calibri"/>
        </w:rPr>
        <w:t xml:space="preserve"> </w:t>
      </w:r>
      <w:r w:rsidRPr="00FF141F">
        <w:rPr>
          <w:rFonts w:cs="Calibri"/>
        </w:rPr>
        <w:t xml:space="preserve">pro hodnocení </w:t>
      </w:r>
      <w:r w:rsidR="005E41D6" w:rsidRPr="00FF141F">
        <w:rPr>
          <w:rFonts w:cs="Calibri"/>
        </w:rPr>
        <w:t>plnění státního rozpočtu za</w:t>
      </w:r>
      <w:r w:rsidR="00BB5BEC" w:rsidRPr="00FF141F">
        <w:rPr>
          <w:rFonts w:cs="Calibri"/>
        </w:rPr>
        <w:t xml:space="preserve"> </w:t>
      </w:r>
      <w:r w:rsidR="001B0BE7" w:rsidRPr="00FF141F">
        <w:rPr>
          <w:rFonts w:cs="Calibri"/>
        </w:rPr>
        <w:t>rok</w:t>
      </w:r>
      <w:r w:rsidR="00854846">
        <w:rPr>
          <w:rFonts w:cs="Calibri"/>
        </w:rPr>
        <w:t xml:space="preserve"> </w:t>
      </w:r>
      <w:r w:rsidR="005322AA" w:rsidRPr="00FF141F">
        <w:rPr>
          <w:rFonts w:cs="Calibri"/>
        </w:rPr>
        <w:t>202</w:t>
      </w:r>
      <w:r w:rsidR="00777EF7">
        <w:rPr>
          <w:rFonts w:cs="Calibri"/>
        </w:rPr>
        <w:t>2</w:t>
      </w:r>
      <w:r w:rsidRPr="00FF141F">
        <w:rPr>
          <w:rFonts w:cs="Calibri"/>
        </w:rPr>
        <w:t xml:space="preserve"> a</w:t>
      </w:r>
      <w:r w:rsidR="000C60A3">
        <w:rPr>
          <w:rFonts w:cs="Calibri"/>
        </w:rPr>
        <w:t> </w:t>
      </w:r>
      <w:r w:rsidRPr="00FF141F">
        <w:rPr>
          <w:rFonts w:cs="Calibri"/>
        </w:rPr>
        <w:t>na</w:t>
      </w:r>
      <w:r w:rsidR="00B0770B">
        <w:rPr>
          <w:rFonts w:cs="Calibri"/>
        </w:rPr>
        <w:t xml:space="preserve"> </w:t>
      </w:r>
      <w:r w:rsidR="000377B3" w:rsidRPr="00FF141F">
        <w:rPr>
          <w:rFonts w:cs="Calibri"/>
        </w:rPr>
        <w:t>ZÚ</w:t>
      </w:r>
      <w:r w:rsidR="000C60A3">
        <w:rPr>
          <w:rFonts w:cs="Calibri"/>
        </w:rPr>
        <w:t> </w:t>
      </w:r>
      <w:r w:rsidR="005322AA" w:rsidRPr="00FF141F">
        <w:rPr>
          <w:rFonts w:cs="Calibri"/>
        </w:rPr>
        <w:t>202</w:t>
      </w:r>
      <w:r w:rsidR="00777EF7">
        <w:rPr>
          <w:rFonts w:cs="Calibri"/>
        </w:rPr>
        <w:t>2</w:t>
      </w:r>
      <w:r w:rsidRPr="0077622B">
        <w:rPr>
          <w:rFonts w:cs="Calibri"/>
        </w:rPr>
        <w:t>.</w:t>
      </w:r>
    </w:p>
    <w:p w14:paraId="4272D8C2" w14:textId="77777777" w:rsidR="00F279C1" w:rsidRPr="0077622B" w:rsidRDefault="00F279C1" w:rsidP="00B0770B">
      <w:pPr>
        <w:spacing w:before="120"/>
        <w:jc w:val="both"/>
        <w:rPr>
          <w:rFonts w:cs="Calibri"/>
        </w:rPr>
      </w:pPr>
      <w:r w:rsidRPr="00A66CE1">
        <w:rPr>
          <w:rFonts w:cs="Calibri"/>
        </w:rPr>
        <w:t>V oblasti vedení účetnictví se kontrola zaměřila na jeho správnost, úplnost, průkaznost a</w:t>
      </w:r>
      <w:r w:rsidR="00B0770B">
        <w:rPr>
          <w:rFonts w:cs="Calibri"/>
        </w:rPr>
        <w:t> </w:t>
      </w:r>
      <w:r w:rsidRPr="00A66CE1">
        <w:rPr>
          <w:rFonts w:cs="Calibri"/>
        </w:rPr>
        <w:t xml:space="preserve">srozumitelnost. </w:t>
      </w:r>
      <w:r w:rsidRPr="00FD03E7">
        <w:rPr>
          <w:rFonts w:cs="Calibri"/>
        </w:rPr>
        <w:t>Prověřila</w:t>
      </w:r>
      <w:r w:rsidR="00FD03E7" w:rsidRPr="00FD03E7">
        <w:rPr>
          <w:rFonts w:cs="Calibri"/>
        </w:rPr>
        <w:t xml:space="preserve"> </w:t>
      </w:r>
      <w:r w:rsidR="00A37324">
        <w:rPr>
          <w:rFonts w:cs="Calibri"/>
        </w:rPr>
        <w:t>dodržování směrné účtové osnovy</w:t>
      </w:r>
      <w:r w:rsidR="00FC5172">
        <w:rPr>
          <w:rFonts w:cs="Calibri"/>
        </w:rPr>
        <w:t xml:space="preserve">, </w:t>
      </w:r>
      <w:r w:rsidRPr="00FD03E7">
        <w:rPr>
          <w:rFonts w:cs="Calibri"/>
        </w:rPr>
        <w:t>správnost použív</w:t>
      </w:r>
      <w:r w:rsidR="00852A7F">
        <w:rPr>
          <w:rFonts w:cs="Calibri"/>
        </w:rPr>
        <w:t>á</w:t>
      </w:r>
      <w:r w:rsidR="00FD03E7" w:rsidRPr="00FD03E7">
        <w:rPr>
          <w:rFonts w:cs="Calibri"/>
        </w:rPr>
        <w:t>n</w:t>
      </w:r>
      <w:r w:rsidR="00424DBC">
        <w:rPr>
          <w:rFonts w:cs="Calibri"/>
        </w:rPr>
        <w:t>í</w:t>
      </w:r>
      <w:r w:rsidRPr="00FD03E7">
        <w:rPr>
          <w:rFonts w:cs="Calibri"/>
        </w:rPr>
        <w:t xml:space="preserve"> účetních metod</w:t>
      </w:r>
      <w:r w:rsidR="00FD03E7" w:rsidRPr="00FD03E7">
        <w:rPr>
          <w:rFonts w:cs="Calibri"/>
        </w:rPr>
        <w:t xml:space="preserve"> a ostatních podmínek vedení účetnictví stanovených </w:t>
      </w:r>
      <w:r w:rsidR="000F4FBC">
        <w:rPr>
          <w:rFonts w:cs="Calibri"/>
        </w:rPr>
        <w:t>zákonem č.</w:t>
      </w:r>
      <w:r w:rsidR="00B0770B">
        <w:rPr>
          <w:rFonts w:cs="Calibri"/>
        </w:rPr>
        <w:t> </w:t>
      </w:r>
      <w:r w:rsidR="000F4FBC">
        <w:rPr>
          <w:rFonts w:cs="Calibri"/>
        </w:rPr>
        <w:t>563/1991</w:t>
      </w:r>
      <w:r w:rsidR="00B0770B">
        <w:rPr>
          <w:rFonts w:cs="Calibri"/>
        </w:rPr>
        <w:t> </w:t>
      </w:r>
      <w:r w:rsidR="000F4FBC">
        <w:rPr>
          <w:rFonts w:cs="Calibri"/>
        </w:rPr>
        <w:t>Sb. a</w:t>
      </w:r>
      <w:r w:rsidR="00F657F7">
        <w:rPr>
          <w:rFonts w:cs="Calibri"/>
        </w:rPr>
        <w:t> </w:t>
      </w:r>
      <w:r w:rsidR="000F4FBC">
        <w:rPr>
          <w:rFonts w:cs="Calibri"/>
        </w:rPr>
        <w:t>vyhláškou č.</w:t>
      </w:r>
      <w:r w:rsidR="00B0770B">
        <w:rPr>
          <w:rFonts w:cs="Calibri"/>
        </w:rPr>
        <w:t> </w:t>
      </w:r>
      <w:r w:rsidR="000F4FBC">
        <w:rPr>
          <w:rFonts w:cs="Calibri"/>
        </w:rPr>
        <w:t>410/2009</w:t>
      </w:r>
      <w:r w:rsidR="00B0770B">
        <w:rPr>
          <w:rFonts w:cs="Calibri"/>
        </w:rPr>
        <w:t> </w:t>
      </w:r>
      <w:r w:rsidR="000F4FBC">
        <w:rPr>
          <w:rFonts w:cs="Calibri"/>
        </w:rPr>
        <w:t>Sb.</w:t>
      </w:r>
      <w:r w:rsidR="000F4FBC" w:rsidRPr="000F4FBC">
        <w:rPr>
          <w:rStyle w:val="Znakapoznpodarou"/>
        </w:rPr>
        <w:t xml:space="preserve"> </w:t>
      </w:r>
      <w:r w:rsidR="000F4FBC">
        <w:rPr>
          <w:rStyle w:val="Znakapoznpodarou"/>
        </w:rPr>
        <w:footnoteReference w:id="15"/>
      </w:r>
      <w:r w:rsidRPr="00FD03E7">
        <w:rPr>
          <w:rFonts w:cs="Calibri"/>
        </w:rPr>
        <w:t xml:space="preserve"> U</w:t>
      </w:r>
      <w:r w:rsidR="001F3453">
        <w:rPr>
          <w:rFonts w:cs="Calibri"/>
        </w:rPr>
        <w:t xml:space="preserve"> </w:t>
      </w:r>
      <w:r w:rsidRPr="00FD03E7">
        <w:rPr>
          <w:rFonts w:cs="Calibri"/>
        </w:rPr>
        <w:t>vybraných účetních případů byla provedena kontrola s cílem prověřit systém účtování a</w:t>
      </w:r>
      <w:r w:rsidR="00B03BEC">
        <w:rPr>
          <w:rFonts w:cs="Calibri"/>
        </w:rPr>
        <w:t> </w:t>
      </w:r>
      <w:r w:rsidRPr="00FD03E7">
        <w:rPr>
          <w:rFonts w:cs="Calibri"/>
        </w:rPr>
        <w:t>vykazování informací o skutečnostech, které jsou předmětem účetnictví.</w:t>
      </w:r>
    </w:p>
    <w:p w14:paraId="4AF26165" w14:textId="77777777" w:rsidR="00801AD6" w:rsidRPr="0077622B" w:rsidRDefault="00A640AE" w:rsidP="00B0770B">
      <w:pPr>
        <w:spacing w:before="120"/>
        <w:jc w:val="both"/>
        <w:rPr>
          <w:rFonts w:cs="Calibri"/>
        </w:rPr>
      </w:pPr>
      <w:r w:rsidRPr="0077622B">
        <w:rPr>
          <w:rFonts w:cs="Calibri"/>
        </w:rPr>
        <w:t xml:space="preserve">V případě údajů předkládaných pro hodnocení plnění státního rozpočtu bylo prověřováno, zda byla dodržena správnost třídění příjmů a výdajů rozpočtovou skladbou </w:t>
      </w:r>
      <w:r w:rsidR="00441800">
        <w:rPr>
          <w:rFonts w:asciiTheme="minorHAnsi" w:hAnsiTheme="minorHAnsi" w:cstheme="minorHAnsi"/>
        </w:rPr>
        <w:t xml:space="preserve">z hlediska </w:t>
      </w:r>
      <w:r w:rsidR="00441800" w:rsidRPr="00F37FEB">
        <w:rPr>
          <w:rFonts w:asciiTheme="minorHAnsi" w:hAnsiTheme="minorHAnsi" w:cstheme="minorHAnsi"/>
        </w:rPr>
        <w:t>druhového</w:t>
      </w:r>
      <w:r w:rsidR="00441800">
        <w:rPr>
          <w:rFonts w:asciiTheme="minorHAnsi" w:hAnsiTheme="minorHAnsi" w:cstheme="minorHAnsi"/>
        </w:rPr>
        <w:t>,</w:t>
      </w:r>
      <w:r w:rsidR="00441800" w:rsidRPr="00F37FEB">
        <w:rPr>
          <w:rFonts w:asciiTheme="minorHAnsi" w:hAnsiTheme="minorHAnsi" w:cstheme="minorHAnsi"/>
        </w:rPr>
        <w:t xml:space="preserve"> odvětvového a prostorového </w:t>
      </w:r>
      <w:r w:rsidRPr="0077622B">
        <w:rPr>
          <w:rFonts w:cs="Calibri"/>
        </w:rPr>
        <w:t xml:space="preserve">dle vyhlášky č. </w:t>
      </w:r>
      <w:r w:rsidR="00777EF7" w:rsidRPr="0077622B">
        <w:rPr>
          <w:rFonts w:cs="Calibri"/>
        </w:rPr>
        <w:t>412/2021</w:t>
      </w:r>
      <w:r w:rsidRPr="0077622B">
        <w:rPr>
          <w:rFonts w:cs="Calibri"/>
        </w:rPr>
        <w:t xml:space="preserve"> Sb.</w:t>
      </w:r>
      <w:r w:rsidR="00410F93" w:rsidRPr="0077622B">
        <w:rPr>
          <w:vertAlign w:val="superscript"/>
        </w:rPr>
        <w:footnoteReference w:id="16"/>
      </w:r>
    </w:p>
    <w:p w14:paraId="4F8F2E24" w14:textId="77777777" w:rsidR="00801AD6" w:rsidRPr="00FD03E7" w:rsidRDefault="00A640AE" w:rsidP="00B0770B">
      <w:pPr>
        <w:spacing w:before="120"/>
        <w:jc w:val="both"/>
        <w:rPr>
          <w:rFonts w:cs="Calibri"/>
        </w:rPr>
      </w:pPr>
      <w:r w:rsidRPr="00FD03E7">
        <w:rPr>
          <w:rFonts w:cs="Calibri"/>
        </w:rPr>
        <w:t xml:space="preserve">Výběr položek účetní závěrky a údajů předkládaných </w:t>
      </w:r>
      <w:r w:rsidR="00777EF7">
        <w:rPr>
          <w:rFonts w:cs="Calibri"/>
        </w:rPr>
        <w:t>Státním úřadem pro jadernou bezpečnost</w:t>
      </w:r>
      <w:r w:rsidRPr="00FD03E7">
        <w:rPr>
          <w:rFonts w:cs="Calibri"/>
        </w:rPr>
        <w:t xml:space="preserve"> pro hodnocení plnění státního rozpočtu proved</w:t>
      </w:r>
      <w:r w:rsidR="00FB15C1" w:rsidRPr="00FD03E7">
        <w:rPr>
          <w:rFonts w:cs="Calibri"/>
        </w:rPr>
        <w:t>l NKÚ</w:t>
      </w:r>
      <w:r w:rsidRPr="00FD03E7">
        <w:rPr>
          <w:rFonts w:cs="Calibri"/>
        </w:rPr>
        <w:t xml:space="preserve"> </w:t>
      </w:r>
      <w:r w:rsidR="00574E94">
        <w:rPr>
          <w:rFonts w:cs="Calibri"/>
        </w:rPr>
        <w:t>s ohledem</w:t>
      </w:r>
      <w:r w:rsidRPr="00FD03E7">
        <w:rPr>
          <w:rFonts w:cs="Calibri"/>
        </w:rPr>
        <w:t xml:space="preserve"> na vyhodnocená rizika nesprávnosti vykázaných údajů.</w:t>
      </w:r>
    </w:p>
    <w:p w14:paraId="42E9FBBC" w14:textId="77777777" w:rsidR="00801AD6" w:rsidRPr="0077622B" w:rsidRDefault="00A640AE" w:rsidP="00B0770B">
      <w:pPr>
        <w:spacing w:before="120"/>
        <w:jc w:val="both"/>
        <w:rPr>
          <w:rFonts w:cs="Calibri"/>
        </w:rPr>
      </w:pPr>
      <w:r w:rsidRPr="0077622B">
        <w:rPr>
          <w:rFonts w:cs="Calibri"/>
        </w:rPr>
        <w:t xml:space="preserve">U </w:t>
      </w:r>
      <w:r w:rsidR="007D0244" w:rsidRPr="0077622B">
        <w:rPr>
          <w:rFonts w:cs="Calibri"/>
        </w:rPr>
        <w:t xml:space="preserve">relevantních </w:t>
      </w:r>
      <w:r w:rsidRPr="0077622B">
        <w:rPr>
          <w:rFonts w:cs="Calibri"/>
        </w:rPr>
        <w:t xml:space="preserve">transakcí byl prověřován soulad </w:t>
      </w:r>
      <w:r w:rsidR="00243906" w:rsidRPr="0077622B">
        <w:rPr>
          <w:rFonts w:cs="Calibri"/>
        </w:rPr>
        <w:t>s</w:t>
      </w:r>
      <w:r w:rsidR="007D0244" w:rsidRPr="0077622B">
        <w:rPr>
          <w:rFonts w:cs="Calibri"/>
        </w:rPr>
        <w:t> vybranými ustanoveními</w:t>
      </w:r>
      <w:r w:rsidRPr="0077622B">
        <w:rPr>
          <w:rFonts w:cs="Calibri"/>
        </w:rPr>
        <w:t xml:space="preserve"> další</w:t>
      </w:r>
      <w:r w:rsidR="007D0244" w:rsidRPr="0077622B">
        <w:rPr>
          <w:rFonts w:cs="Calibri"/>
        </w:rPr>
        <w:t>ch</w:t>
      </w:r>
      <w:r w:rsidRPr="0077622B">
        <w:rPr>
          <w:rFonts w:cs="Calibri"/>
        </w:rPr>
        <w:t xml:space="preserve"> právní</w:t>
      </w:r>
      <w:r w:rsidR="007D0244" w:rsidRPr="0077622B">
        <w:rPr>
          <w:rFonts w:cs="Calibri"/>
        </w:rPr>
        <w:t>ch</w:t>
      </w:r>
      <w:r w:rsidRPr="0077622B">
        <w:rPr>
          <w:rFonts w:cs="Calibri"/>
        </w:rPr>
        <w:t xml:space="preserve"> předpis</w:t>
      </w:r>
      <w:r w:rsidR="007D0244" w:rsidRPr="0077622B">
        <w:rPr>
          <w:rFonts w:cs="Calibri"/>
        </w:rPr>
        <w:t>ů</w:t>
      </w:r>
      <w:r w:rsidR="001F1F57" w:rsidRPr="0077622B">
        <w:rPr>
          <w:rFonts w:cs="Calibri"/>
        </w:rPr>
        <w:t>,</w:t>
      </w:r>
      <w:r w:rsidRPr="0077622B">
        <w:rPr>
          <w:rFonts w:cs="Calibri"/>
        </w:rPr>
        <w:t xml:space="preserve"> a to zejména </w:t>
      </w:r>
      <w:r w:rsidR="00243906" w:rsidRPr="0077622B">
        <w:rPr>
          <w:rFonts w:cs="Calibri"/>
        </w:rPr>
        <w:t>s</w:t>
      </w:r>
      <w:r w:rsidR="001077EB" w:rsidRPr="0077622B">
        <w:rPr>
          <w:rFonts w:cs="Calibri"/>
        </w:rPr>
        <w:t xml:space="preserve"> ustanoveními </w:t>
      </w:r>
      <w:r w:rsidR="00BA2B34" w:rsidRPr="0077622B">
        <w:rPr>
          <w:rFonts w:cs="Calibri"/>
        </w:rPr>
        <w:t>zákona č. 218/2000 Sb.</w:t>
      </w:r>
      <w:r w:rsidR="001077EB" w:rsidRPr="0077622B">
        <w:rPr>
          <w:rFonts w:cs="Calibri"/>
        </w:rPr>
        <w:t xml:space="preserve"> a zákona</w:t>
      </w:r>
      <w:r w:rsidR="00BA2B34" w:rsidRPr="0077622B">
        <w:rPr>
          <w:rFonts w:cs="Calibri"/>
        </w:rPr>
        <w:t xml:space="preserve"> č. 219/2000 Sb</w:t>
      </w:r>
      <w:r w:rsidR="001077EB" w:rsidRPr="0077622B">
        <w:rPr>
          <w:rFonts w:cs="Calibri"/>
        </w:rPr>
        <w:t>.</w:t>
      </w:r>
    </w:p>
    <w:p w14:paraId="256B4147" w14:textId="77777777" w:rsidR="008F46EE" w:rsidRPr="0077622B" w:rsidRDefault="00A640AE" w:rsidP="00B0770B">
      <w:pPr>
        <w:spacing w:before="120"/>
        <w:jc w:val="both"/>
        <w:rPr>
          <w:rFonts w:cs="Calibri"/>
        </w:rPr>
      </w:pPr>
      <w:r w:rsidRPr="0077622B">
        <w:rPr>
          <w:rFonts w:cs="Calibri"/>
        </w:rPr>
        <w:t>V</w:t>
      </w:r>
      <w:r w:rsidR="00E91FF5" w:rsidRPr="0077622B">
        <w:rPr>
          <w:rFonts w:cs="Calibri"/>
        </w:rPr>
        <w:t> </w:t>
      </w:r>
      <w:r w:rsidRPr="0077622B">
        <w:rPr>
          <w:rFonts w:cs="Calibri"/>
        </w:rPr>
        <w:t>případě</w:t>
      </w:r>
      <w:r w:rsidR="00E91FF5" w:rsidRPr="0077622B">
        <w:rPr>
          <w:rFonts w:cs="Calibri"/>
        </w:rPr>
        <w:t xml:space="preserve"> </w:t>
      </w:r>
      <w:r w:rsidR="002902ED" w:rsidRPr="0077622B">
        <w:rPr>
          <w:rFonts w:cs="Calibri"/>
        </w:rPr>
        <w:t>uzavírání</w:t>
      </w:r>
      <w:r w:rsidRPr="0077622B">
        <w:rPr>
          <w:rFonts w:cs="Calibri"/>
        </w:rPr>
        <w:t xml:space="preserve"> smluv </w:t>
      </w:r>
      <w:r w:rsidR="001077EB" w:rsidRPr="0077622B">
        <w:rPr>
          <w:rFonts w:cs="Calibri"/>
        </w:rPr>
        <w:t xml:space="preserve">a objednávek </w:t>
      </w:r>
      <w:r w:rsidRPr="0077622B">
        <w:rPr>
          <w:rFonts w:cs="Calibri"/>
        </w:rPr>
        <w:t xml:space="preserve">bylo </w:t>
      </w:r>
      <w:r w:rsidR="001077EB" w:rsidRPr="0077622B">
        <w:rPr>
          <w:rFonts w:cs="Calibri"/>
        </w:rPr>
        <w:t>prověřováno</w:t>
      </w:r>
      <w:r w:rsidRPr="0077622B">
        <w:rPr>
          <w:rFonts w:cs="Calibri"/>
        </w:rPr>
        <w:t xml:space="preserve"> </w:t>
      </w:r>
      <w:r w:rsidR="00E91FF5" w:rsidRPr="0077622B">
        <w:rPr>
          <w:rFonts w:cs="Calibri"/>
        </w:rPr>
        <w:t>jejich uveřejn</w:t>
      </w:r>
      <w:r w:rsidR="00CD2142" w:rsidRPr="0077622B">
        <w:rPr>
          <w:rFonts w:cs="Calibri"/>
        </w:rPr>
        <w:t>ění v registru smluv dle zák</w:t>
      </w:r>
      <w:r w:rsidR="00F14722" w:rsidRPr="0077622B">
        <w:rPr>
          <w:rFonts w:cs="Calibri"/>
        </w:rPr>
        <w:t>ona</w:t>
      </w:r>
      <w:r w:rsidR="00FB6581" w:rsidRPr="0077622B">
        <w:rPr>
          <w:rFonts w:cs="Calibri"/>
        </w:rPr>
        <w:t xml:space="preserve"> č. 340/2015 Sb.</w:t>
      </w:r>
      <w:r w:rsidR="00BA2B34" w:rsidRPr="005C016A">
        <w:rPr>
          <w:vertAlign w:val="superscript"/>
        </w:rPr>
        <w:footnoteReference w:id="17"/>
      </w:r>
    </w:p>
    <w:p w14:paraId="1EB3FC70" w14:textId="77777777" w:rsidR="00C20965" w:rsidRPr="00B7140B" w:rsidRDefault="00C20965" w:rsidP="00B0770B">
      <w:pPr>
        <w:spacing w:before="120"/>
        <w:jc w:val="both"/>
      </w:pPr>
      <w:r w:rsidRPr="006D4621">
        <w:lastRenderedPageBreak/>
        <w:t xml:space="preserve">NKÚ na základě prověřovaných skutečností vyhodnotil nastavení VKS </w:t>
      </w:r>
      <w:r w:rsidRPr="006D4621">
        <w:rPr>
          <w:bCs/>
        </w:rPr>
        <w:t>v oblasti účetnictví, plnění rozpočtu a závěrečného účtu</w:t>
      </w:r>
      <w:r w:rsidRPr="006D4621">
        <w:t xml:space="preserve"> (vnitřní předpisy, interní audit, účetní doklady, účetní knihy, inventarizace majetku a závazků, účetní závěrka a schvalování účetní závěrky) dle zákonů č. 563/1991 Sb., č. 218/2000 Sb. a dalších právních předpisů a v oblasti řídicí kontroly dle zákona č. 320/2001 Sb.</w:t>
      </w:r>
      <w:r w:rsidR="00F327E8" w:rsidRPr="006D4621">
        <w:rPr>
          <w:rStyle w:val="Znakapoznpodarou"/>
        </w:rPr>
        <w:footnoteReference w:id="18"/>
      </w:r>
      <w:r w:rsidRPr="006D4621">
        <w:t xml:space="preserve"> a vyhlášky č. 416/2004 Sb.</w:t>
      </w:r>
      <w:r w:rsidRPr="006D4621">
        <w:rPr>
          <w:rStyle w:val="Znakapoznpodarou"/>
          <w:rFonts w:eastAsiaTheme="minorHAnsi" w:cs="Calibri"/>
        </w:rPr>
        <w:footnoteReference w:id="19"/>
      </w:r>
      <w:r w:rsidRPr="006D4621">
        <w:t xml:space="preserve"> </w:t>
      </w:r>
      <w:r w:rsidR="006256C8" w:rsidRPr="006D4621">
        <w:t xml:space="preserve">NKÚ dále u prověřovaných operací </w:t>
      </w:r>
      <w:r w:rsidR="006256C8" w:rsidRPr="006D4621">
        <w:rPr>
          <w:bCs/>
        </w:rPr>
        <w:t>v oblasti účetnictví, plnění rozpočtu a závěrečného účtu</w:t>
      </w:r>
      <w:r w:rsidR="006256C8" w:rsidRPr="006D4621">
        <w:t xml:space="preserve"> dle zákonů č. 563/1991 Sb., č. 218/2000 Sb. a dalších právních předpisů a </w:t>
      </w:r>
      <w:r w:rsidR="006256C8" w:rsidRPr="006D4621">
        <w:rPr>
          <w:bCs/>
        </w:rPr>
        <w:t>v oblasti hospodaření s majetkem státu</w:t>
      </w:r>
      <w:r w:rsidR="006256C8" w:rsidRPr="006D4621">
        <w:t xml:space="preserve"> dle zákona č. 219/2000 Sb., </w:t>
      </w:r>
      <w:r w:rsidR="006256C8" w:rsidRPr="006D4621">
        <w:rPr>
          <w:bCs/>
        </w:rPr>
        <w:t>finančního hospodaření</w:t>
      </w:r>
      <w:r w:rsidR="006256C8" w:rsidRPr="006D4621">
        <w:t xml:space="preserve"> dle zákona č. 218/2000 Sb. a dalších právních předpisů (zejména dle zákona č. 340/2015 Sb.) a v oblasti řídicí kontroly dle zákona č.</w:t>
      </w:r>
      <w:r w:rsidR="009A3BD9" w:rsidRPr="006D4621">
        <w:t> </w:t>
      </w:r>
      <w:r w:rsidR="006256C8" w:rsidRPr="006D4621">
        <w:t xml:space="preserve">320/2001 Sb. a vyhlášky č. 416/2004 Sb. </w:t>
      </w:r>
      <w:r w:rsidR="006256C8" w:rsidRPr="006D4621">
        <w:rPr>
          <w:bCs/>
        </w:rPr>
        <w:t>vyhodnotil funkčnost VKS</w:t>
      </w:r>
      <w:r w:rsidR="006256C8" w:rsidRPr="006D4621">
        <w:t>, tj. zda jsou prvky VKS</w:t>
      </w:r>
      <w:r w:rsidR="006256C8" w:rsidRPr="00BF6E9E">
        <w:t xml:space="preserve"> </w:t>
      </w:r>
      <w:r w:rsidR="006256C8">
        <w:t xml:space="preserve">implementovány </w:t>
      </w:r>
      <w:r w:rsidR="006256C8" w:rsidRPr="00BF6E9E">
        <w:t xml:space="preserve">tak, aby bylo zamezeno vzniku nesprávností. </w:t>
      </w:r>
      <w:r w:rsidRPr="00BF6E9E">
        <w:t xml:space="preserve">Kombinace zjištění </w:t>
      </w:r>
      <w:r w:rsidR="00574E94">
        <w:t>týkajících se</w:t>
      </w:r>
      <w:r w:rsidRPr="00BF6E9E">
        <w:t xml:space="preserve"> nastavení a funkčnosti </w:t>
      </w:r>
      <w:r w:rsidR="00574E94">
        <w:t xml:space="preserve">VKS ve </w:t>
      </w:r>
      <w:r w:rsidRPr="00BF6E9E">
        <w:t>výše uvedených oblast</w:t>
      </w:r>
      <w:r w:rsidR="00574E94">
        <w:t>ech</w:t>
      </w:r>
      <w:r w:rsidRPr="00BF6E9E">
        <w:t xml:space="preserve"> pak</w:t>
      </w:r>
      <w:r w:rsidR="00424DBC">
        <w:t xml:space="preserve"> byla</w:t>
      </w:r>
      <w:r w:rsidRPr="00BF6E9E">
        <w:t xml:space="preserve"> podkladem </w:t>
      </w:r>
      <w:r w:rsidR="00574E94">
        <w:t>pro</w:t>
      </w:r>
      <w:r w:rsidR="00CA780A">
        <w:t xml:space="preserve"> </w:t>
      </w:r>
      <w:r w:rsidRPr="00BF6E9E">
        <w:t>hodnocení účinnosti</w:t>
      </w:r>
      <w:r w:rsidR="00574E94">
        <w:t xml:space="preserve"> vnitřního kontrolního systému </w:t>
      </w:r>
      <w:r w:rsidR="00E31313">
        <w:t>SÚJB</w:t>
      </w:r>
      <w:r w:rsidRPr="00BF6E9E">
        <w:t>.</w:t>
      </w:r>
    </w:p>
    <w:p w14:paraId="79E81EA3" w14:textId="77777777" w:rsidR="006256C8" w:rsidRDefault="00A640AE" w:rsidP="00B0770B">
      <w:pPr>
        <w:spacing w:before="120"/>
        <w:jc w:val="both"/>
        <w:rPr>
          <w:lang w:eastAsia="cs-CZ"/>
        </w:rPr>
      </w:pPr>
      <w:r w:rsidRPr="00820AC0">
        <w:rPr>
          <w:rFonts w:cs="Calibri"/>
          <w:lang w:eastAsia="cs-CZ"/>
        </w:rPr>
        <w:t xml:space="preserve">Při kontrole </w:t>
      </w:r>
      <w:r w:rsidR="007102F6" w:rsidRPr="00820AC0">
        <w:rPr>
          <w:rFonts w:cs="Calibri"/>
          <w:lang w:eastAsia="cs-CZ"/>
        </w:rPr>
        <w:t>ZÚ</w:t>
      </w:r>
      <w:r w:rsidRPr="00820AC0">
        <w:rPr>
          <w:rFonts w:cs="Calibri"/>
          <w:lang w:eastAsia="cs-CZ"/>
        </w:rPr>
        <w:t xml:space="preserve"> 20</w:t>
      </w:r>
      <w:r w:rsidR="006347BE" w:rsidRPr="00820AC0">
        <w:rPr>
          <w:rFonts w:cs="Calibri"/>
          <w:lang w:eastAsia="cs-CZ"/>
        </w:rPr>
        <w:t>2</w:t>
      </w:r>
      <w:r w:rsidR="00261144">
        <w:rPr>
          <w:rFonts w:cs="Calibri"/>
          <w:lang w:eastAsia="cs-CZ"/>
        </w:rPr>
        <w:t>2</w:t>
      </w:r>
      <w:r w:rsidR="0093276B" w:rsidRPr="00820AC0">
        <w:rPr>
          <w:rFonts w:cs="Calibri"/>
          <w:lang w:eastAsia="cs-CZ"/>
        </w:rPr>
        <w:t xml:space="preserve"> bylo prověř</w:t>
      </w:r>
      <w:r w:rsidR="00820AC0" w:rsidRPr="00820AC0">
        <w:rPr>
          <w:rFonts w:cs="Calibri"/>
          <w:lang w:eastAsia="cs-CZ"/>
        </w:rPr>
        <w:t>eno</w:t>
      </w:r>
      <w:r w:rsidR="0093276B" w:rsidRPr="00820AC0">
        <w:rPr>
          <w:rFonts w:cs="Calibri"/>
          <w:lang w:eastAsia="cs-CZ"/>
        </w:rPr>
        <w:t xml:space="preserve">, zda je závěrečný účet </w:t>
      </w:r>
      <w:r w:rsidR="00820AC0" w:rsidRPr="00820AC0">
        <w:rPr>
          <w:rFonts w:cs="Calibri"/>
          <w:lang w:eastAsia="cs-CZ"/>
        </w:rPr>
        <w:t xml:space="preserve">sestaven </w:t>
      </w:r>
      <w:r w:rsidR="0093276B" w:rsidRPr="00820AC0">
        <w:rPr>
          <w:rFonts w:cs="Calibri"/>
          <w:lang w:eastAsia="cs-CZ"/>
        </w:rPr>
        <w:t>v souladu s požadavky vyhlášky č. 419/2001 Sb.</w:t>
      </w:r>
      <w:r w:rsidR="00820AC0" w:rsidRPr="00820AC0">
        <w:rPr>
          <w:rFonts w:cs="Calibri"/>
          <w:lang w:eastAsia="cs-CZ"/>
        </w:rPr>
        <w:t xml:space="preserve"> a</w:t>
      </w:r>
      <w:r w:rsidR="0090755D">
        <w:rPr>
          <w:rFonts w:cs="Calibri"/>
          <w:lang w:eastAsia="cs-CZ"/>
        </w:rPr>
        <w:t xml:space="preserve"> </w:t>
      </w:r>
      <w:r w:rsidR="00CE5E3A">
        <w:rPr>
          <w:rFonts w:cs="Calibri"/>
          <w:lang w:eastAsia="cs-CZ"/>
        </w:rPr>
        <w:t xml:space="preserve">zda je </w:t>
      </w:r>
      <w:r w:rsidR="0090755D">
        <w:rPr>
          <w:rFonts w:cs="Calibri"/>
          <w:lang w:eastAsia="cs-CZ"/>
        </w:rPr>
        <w:t>také</w:t>
      </w:r>
      <w:r w:rsidR="00283F9D">
        <w:rPr>
          <w:rFonts w:cs="Calibri"/>
          <w:lang w:eastAsia="cs-CZ"/>
        </w:rPr>
        <w:t xml:space="preserve"> </w:t>
      </w:r>
      <w:r w:rsidR="00A054E6">
        <w:rPr>
          <w:rFonts w:cs="Calibri"/>
          <w:lang w:eastAsia="cs-CZ"/>
        </w:rPr>
        <w:t xml:space="preserve">v souladu </w:t>
      </w:r>
      <w:r w:rsidR="00BA10E7" w:rsidRPr="00820AC0">
        <w:rPr>
          <w:rFonts w:cs="Calibri"/>
          <w:lang w:eastAsia="cs-CZ"/>
        </w:rPr>
        <w:t>se skutečností, t</w:t>
      </w:r>
      <w:r w:rsidR="00B21492">
        <w:rPr>
          <w:rFonts w:cs="Calibri"/>
          <w:lang w:eastAsia="cs-CZ"/>
        </w:rPr>
        <w:t>zn</w:t>
      </w:r>
      <w:r w:rsidR="00820AC0" w:rsidRPr="00820AC0">
        <w:rPr>
          <w:rFonts w:cs="Calibri"/>
          <w:lang w:eastAsia="cs-CZ"/>
        </w:rPr>
        <w:t xml:space="preserve">. </w:t>
      </w:r>
      <w:r w:rsidR="0093276B" w:rsidRPr="00820AC0">
        <w:rPr>
          <w:rFonts w:cs="Calibri"/>
          <w:lang w:eastAsia="cs-CZ"/>
        </w:rPr>
        <w:t>zda vybrané údaje uváděné v závěrečném účtu jsou správné a úplné ve srovnání s finančními výkazy</w:t>
      </w:r>
      <w:r w:rsidR="00B21492">
        <w:rPr>
          <w:rFonts w:cs="Calibri"/>
          <w:lang w:eastAsia="cs-CZ"/>
        </w:rPr>
        <w:t xml:space="preserve"> obsahujícími údaje pro hodnocení plnění rozpočtu</w:t>
      </w:r>
      <w:r w:rsidR="0093276B" w:rsidRPr="00820AC0">
        <w:rPr>
          <w:rFonts w:cs="Calibri"/>
          <w:lang w:eastAsia="cs-CZ"/>
        </w:rPr>
        <w:t>, s údaji v</w:t>
      </w:r>
      <w:r w:rsidRPr="00820AC0">
        <w:rPr>
          <w:rFonts w:cs="Calibri"/>
          <w:lang w:eastAsia="cs-CZ"/>
        </w:rPr>
        <w:t> </w:t>
      </w:r>
      <w:r w:rsidR="0093276B" w:rsidRPr="00820AC0">
        <w:rPr>
          <w:rFonts w:cs="Calibri"/>
          <w:lang w:eastAsia="cs-CZ"/>
        </w:rPr>
        <w:t>účetnictví</w:t>
      </w:r>
      <w:r w:rsidRPr="00820AC0">
        <w:rPr>
          <w:rFonts w:cs="Calibri"/>
          <w:lang w:eastAsia="cs-CZ"/>
        </w:rPr>
        <w:t xml:space="preserve">, s údaji z účetních závěrek </w:t>
      </w:r>
      <w:r w:rsidR="00E31313">
        <w:rPr>
          <w:rFonts w:cs="Calibri"/>
          <w:lang w:eastAsia="cs-CZ"/>
        </w:rPr>
        <w:t>SÚJB</w:t>
      </w:r>
      <w:r w:rsidRPr="00820AC0">
        <w:rPr>
          <w:rFonts w:cs="Calibri"/>
          <w:lang w:eastAsia="cs-CZ"/>
        </w:rPr>
        <w:t xml:space="preserve"> </w:t>
      </w:r>
      <w:r w:rsidR="006256C8">
        <w:rPr>
          <w:rFonts w:cs="Calibri"/>
          <w:lang w:eastAsia="cs-CZ"/>
        </w:rPr>
        <w:t>a</w:t>
      </w:r>
      <w:r w:rsidR="009A3BD9">
        <w:rPr>
          <w:rFonts w:cs="Calibri"/>
          <w:lang w:eastAsia="cs-CZ"/>
        </w:rPr>
        <w:t> </w:t>
      </w:r>
      <w:r w:rsidR="006256C8">
        <w:rPr>
          <w:rFonts w:cs="Calibri"/>
          <w:lang w:eastAsia="cs-CZ"/>
        </w:rPr>
        <w:t>jeho veřejných výzkumných institucí</w:t>
      </w:r>
      <w:r w:rsidR="006256C8" w:rsidRPr="006256C8">
        <w:rPr>
          <w:rFonts w:cs="Calibri"/>
          <w:lang w:eastAsia="cs-CZ"/>
        </w:rPr>
        <w:t>, s podklady jednotlivých věcně příslušných útvarů SÚJB a</w:t>
      </w:r>
      <w:r w:rsidR="006256C8" w:rsidRPr="00820AC0">
        <w:rPr>
          <w:rFonts w:cs="Calibri"/>
          <w:lang w:eastAsia="cs-CZ"/>
        </w:rPr>
        <w:t xml:space="preserve"> s </w:t>
      </w:r>
      <w:r w:rsidR="006256C8" w:rsidRPr="00820AC0">
        <w:rPr>
          <w:lang w:eastAsia="cs-CZ"/>
        </w:rPr>
        <w:t>jinými veřejně dostupnými zdroji, např. usneseními vlády ČR, veřejně přístupnými rejstříky apod.</w:t>
      </w:r>
    </w:p>
    <w:p w14:paraId="58EC5E21" w14:textId="473293D2" w:rsidR="00283F9D" w:rsidRDefault="004F1A2C" w:rsidP="00B0770B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V rámci kontroly byl rovněž proveden rozbor výsledku </w:t>
      </w:r>
      <w:r w:rsidR="000911EF">
        <w:rPr>
          <w:lang w:eastAsia="cs-CZ"/>
        </w:rPr>
        <w:t>hospodaření SÚJB z akruálního a</w:t>
      </w:r>
      <w:r w:rsidR="00D84537">
        <w:rPr>
          <w:lang w:eastAsia="cs-CZ"/>
        </w:rPr>
        <w:t> </w:t>
      </w:r>
      <w:r w:rsidR="000911EF">
        <w:rPr>
          <w:lang w:eastAsia="cs-CZ"/>
        </w:rPr>
        <w:t>peněžního</w:t>
      </w:r>
      <w:r w:rsidR="006D14C1">
        <w:rPr>
          <w:lang w:eastAsia="cs-CZ"/>
        </w:rPr>
        <w:t xml:space="preserve"> pohledu</w:t>
      </w:r>
      <w:r w:rsidR="00DD6C97">
        <w:rPr>
          <w:lang w:eastAsia="cs-CZ"/>
        </w:rPr>
        <w:t>.</w:t>
      </w:r>
      <w:r w:rsidR="00732ADD">
        <w:rPr>
          <w:lang w:eastAsia="cs-CZ"/>
        </w:rPr>
        <w:t xml:space="preserve"> </w:t>
      </w:r>
      <w:r w:rsidR="000911EF">
        <w:rPr>
          <w:lang w:eastAsia="cs-CZ"/>
        </w:rPr>
        <w:t xml:space="preserve">Kontrola </w:t>
      </w:r>
      <w:r w:rsidR="00283F9D">
        <w:rPr>
          <w:lang w:eastAsia="cs-CZ"/>
        </w:rPr>
        <w:t>se</w:t>
      </w:r>
      <w:r w:rsidR="006922D0">
        <w:rPr>
          <w:lang w:eastAsia="cs-CZ"/>
        </w:rPr>
        <w:t xml:space="preserve"> dále</w:t>
      </w:r>
      <w:r w:rsidR="00260562">
        <w:rPr>
          <w:lang w:eastAsia="cs-CZ"/>
        </w:rPr>
        <w:t xml:space="preserve"> </w:t>
      </w:r>
      <w:r w:rsidR="00283F9D">
        <w:rPr>
          <w:lang w:eastAsia="cs-CZ"/>
        </w:rPr>
        <w:t xml:space="preserve">zaměřila </w:t>
      </w:r>
      <w:r w:rsidR="000911EF">
        <w:rPr>
          <w:lang w:eastAsia="cs-CZ"/>
        </w:rPr>
        <w:t xml:space="preserve">na </w:t>
      </w:r>
      <w:r w:rsidR="00283F9D">
        <w:rPr>
          <w:lang w:eastAsia="cs-CZ"/>
        </w:rPr>
        <w:t xml:space="preserve">to, zda a jak </w:t>
      </w:r>
      <w:r w:rsidR="00E31313">
        <w:rPr>
          <w:lang w:eastAsia="cs-CZ"/>
        </w:rPr>
        <w:t>SÚJB</w:t>
      </w:r>
      <w:r w:rsidR="00283F9D">
        <w:rPr>
          <w:lang w:eastAsia="cs-CZ"/>
        </w:rPr>
        <w:t xml:space="preserve"> využívá akruální účetní informace</w:t>
      </w:r>
      <w:r w:rsidR="00576574">
        <w:rPr>
          <w:lang w:eastAsia="cs-CZ"/>
        </w:rPr>
        <w:t xml:space="preserve"> vč</w:t>
      </w:r>
      <w:r w:rsidR="00CA780A">
        <w:rPr>
          <w:lang w:eastAsia="cs-CZ"/>
        </w:rPr>
        <w:t>etně</w:t>
      </w:r>
      <w:r w:rsidR="00576574">
        <w:rPr>
          <w:lang w:eastAsia="cs-CZ"/>
        </w:rPr>
        <w:t xml:space="preserve"> informací vykazovaných na podrozvahových účtech</w:t>
      </w:r>
      <w:r w:rsidR="00930750" w:rsidRPr="00F2449D">
        <w:rPr>
          <w:lang w:eastAsia="cs-CZ"/>
        </w:rPr>
        <w:t>.</w:t>
      </w:r>
    </w:p>
    <w:p w14:paraId="7EE40F32" w14:textId="77777777" w:rsidR="00964179" w:rsidRDefault="00006AE8" w:rsidP="00B0770B">
      <w:pPr>
        <w:spacing w:before="360"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D96ABD">
        <w:rPr>
          <w:rFonts w:asciiTheme="minorHAnsi" w:hAnsiTheme="minorHAnsi" w:cs="Calibri"/>
          <w:b/>
          <w:sz w:val="20"/>
          <w:szCs w:val="20"/>
        </w:rPr>
        <w:t>Pozn.:</w:t>
      </w:r>
      <w:r w:rsidRPr="00D96ABD">
        <w:rPr>
          <w:rFonts w:asciiTheme="minorHAnsi" w:hAnsiTheme="minorHAnsi" w:cs="Calibri"/>
          <w:sz w:val="20"/>
          <w:szCs w:val="20"/>
        </w:rPr>
        <w:t xml:space="preserve"> </w:t>
      </w:r>
      <w:r w:rsidRPr="00D96ABD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0E27F0FF" w14:textId="77777777" w:rsidR="00EC7E5A" w:rsidRDefault="00EC7E5A" w:rsidP="00EC7E5A">
      <w:pPr>
        <w:ind w:left="567"/>
        <w:rPr>
          <w:sz w:val="22"/>
          <w:szCs w:val="22"/>
        </w:rPr>
      </w:pPr>
      <w:r>
        <w:rPr>
          <w:sz w:val="20"/>
          <w:szCs w:val="20"/>
        </w:rPr>
        <w:t>Hodnoty uvedené v tomto kontrolním závěru byly zaokrouhleny, čímž může vzniknout drobný nesoulad v</w:t>
      </w:r>
      <w:r w:rsidR="00CA780A">
        <w:rPr>
          <w:sz w:val="20"/>
          <w:szCs w:val="20"/>
        </w:rPr>
        <w:t> </w:t>
      </w:r>
      <w:r>
        <w:rPr>
          <w:sz w:val="20"/>
          <w:szCs w:val="20"/>
        </w:rPr>
        <w:t>uváděných finančních údajích.</w:t>
      </w:r>
    </w:p>
    <w:p w14:paraId="2D55159E" w14:textId="77777777" w:rsidR="00E31313" w:rsidRDefault="00E31313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42B23F8" w14:textId="77777777" w:rsidR="0033466E" w:rsidRPr="00D10727" w:rsidRDefault="00B0770B" w:rsidP="00B0770B">
      <w:pPr>
        <w:pStyle w:val="Styl1"/>
        <w:numPr>
          <w:ilvl w:val="0"/>
          <w:numId w:val="0"/>
        </w:numPr>
        <w:spacing w:after="240"/>
      </w:pPr>
      <w:r>
        <w:lastRenderedPageBreak/>
        <w:t xml:space="preserve">IV. </w:t>
      </w:r>
      <w:r w:rsidR="00A640AE" w:rsidRPr="00D10727">
        <w:t>Podrobné skutečnosti zjištěné kontrolou</w:t>
      </w:r>
    </w:p>
    <w:p w14:paraId="760FA533" w14:textId="77777777" w:rsidR="00450C19" w:rsidRDefault="00CA70D8" w:rsidP="00CA70D8">
      <w:pPr>
        <w:pStyle w:val="Styl2"/>
        <w:numPr>
          <w:ilvl w:val="0"/>
          <w:numId w:val="0"/>
        </w:numPr>
        <w:spacing w:before="240" w:after="120"/>
        <w:ind w:left="284" w:hanging="284"/>
      </w:pPr>
      <w:r>
        <w:t>1.</w:t>
      </w:r>
      <w:r w:rsidR="00310275">
        <w:t xml:space="preserve"> </w:t>
      </w:r>
      <w:r>
        <w:tab/>
      </w:r>
      <w:r w:rsidR="00450C19" w:rsidRPr="007143E4">
        <w:t>Vedení účetnictví</w:t>
      </w:r>
      <w:r w:rsidR="00450C19">
        <w:t>, ú</w:t>
      </w:r>
      <w:r w:rsidR="00450C19" w:rsidRPr="00C302DE">
        <w:t>četní</w:t>
      </w:r>
      <w:r w:rsidR="00450C19">
        <w:t xml:space="preserve"> opravy realizované SÚJB v průběhu kontroly a spolehlivost údajů ÚZ </w:t>
      </w:r>
    </w:p>
    <w:p w14:paraId="51419A00" w14:textId="77777777" w:rsidR="00450C19" w:rsidRPr="001D3AF5" w:rsidRDefault="00310275" w:rsidP="00310275">
      <w:pPr>
        <w:pStyle w:val="Styl2"/>
        <w:numPr>
          <w:ilvl w:val="0"/>
          <w:numId w:val="0"/>
        </w:numPr>
        <w:spacing w:before="240" w:after="120"/>
      </w:pPr>
      <w:r>
        <w:t xml:space="preserve">1.1 </w:t>
      </w:r>
      <w:r w:rsidR="00450C19" w:rsidRPr="001D3AF5">
        <w:t>Opravy chyb v účetnictví v průběhu účetního období</w:t>
      </w:r>
    </w:p>
    <w:p w14:paraId="5CBDD13C" w14:textId="77777777" w:rsidR="00450C19" w:rsidRDefault="00913B78" w:rsidP="00450C19">
      <w:pPr>
        <w:jc w:val="both"/>
        <w:rPr>
          <w:rFonts w:asciiTheme="minorHAnsi" w:hAnsiTheme="minorHAnsi" w:cs="Calibri"/>
          <w:bCs/>
        </w:rPr>
      </w:pPr>
      <w:r w:rsidRPr="00C2414A">
        <w:rPr>
          <w:rFonts w:asciiTheme="minorHAnsi" w:hAnsiTheme="minorHAnsi" w:cstheme="minorHAnsi"/>
          <w:spacing w:val="-2"/>
        </w:rPr>
        <w:t>NKÚ zahájil k</w:t>
      </w:r>
      <w:r w:rsidR="00450C19" w:rsidRPr="00913B78">
        <w:rPr>
          <w:rFonts w:asciiTheme="minorHAnsi" w:hAnsiTheme="minorHAnsi" w:cstheme="minorHAnsi"/>
          <w:spacing w:val="-2"/>
        </w:rPr>
        <w:t>ontrol</w:t>
      </w:r>
      <w:r w:rsidRPr="00C2414A">
        <w:rPr>
          <w:rFonts w:asciiTheme="minorHAnsi" w:hAnsiTheme="minorHAnsi" w:cstheme="minorHAnsi"/>
          <w:spacing w:val="-2"/>
        </w:rPr>
        <w:t>u</w:t>
      </w:r>
      <w:r w:rsidR="00450C19" w:rsidRPr="00913B78">
        <w:rPr>
          <w:rFonts w:asciiTheme="minorHAnsi" w:hAnsiTheme="minorHAnsi" w:cstheme="minorHAnsi"/>
          <w:spacing w:val="-2"/>
        </w:rPr>
        <w:t xml:space="preserve"> </w:t>
      </w:r>
      <w:r w:rsidRPr="00C2414A">
        <w:rPr>
          <w:rFonts w:asciiTheme="minorHAnsi" w:hAnsiTheme="minorHAnsi" w:cstheme="minorHAnsi"/>
          <w:spacing w:val="-2"/>
        </w:rPr>
        <w:t xml:space="preserve">již </w:t>
      </w:r>
      <w:r w:rsidR="00450C19" w:rsidRPr="00913B78">
        <w:rPr>
          <w:rFonts w:asciiTheme="minorHAnsi" w:hAnsiTheme="minorHAnsi" w:cstheme="minorHAnsi"/>
          <w:spacing w:val="-2"/>
        </w:rPr>
        <w:t>v průběhu účetního</w:t>
      </w:r>
      <w:r w:rsidR="00450C19" w:rsidRPr="009942A4">
        <w:rPr>
          <w:rFonts w:asciiTheme="minorHAnsi" w:hAnsiTheme="minorHAnsi" w:cstheme="minorHAnsi"/>
          <w:spacing w:val="-2"/>
        </w:rPr>
        <w:t xml:space="preserve"> období 202</w:t>
      </w:r>
      <w:r w:rsidR="00450C19">
        <w:rPr>
          <w:rFonts w:asciiTheme="minorHAnsi" w:hAnsiTheme="minorHAnsi" w:cstheme="minorHAnsi"/>
          <w:spacing w:val="-2"/>
        </w:rPr>
        <w:t>2</w:t>
      </w:r>
      <w:r w:rsidR="00450C19" w:rsidRPr="009942A4">
        <w:rPr>
          <w:rFonts w:asciiTheme="minorHAnsi" w:hAnsiTheme="minorHAnsi" w:cstheme="minorHAnsi"/>
          <w:spacing w:val="-2"/>
        </w:rPr>
        <w:t>, což</w:t>
      </w:r>
      <w:r w:rsidR="00450C19">
        <w:rPr>
          <w:rFonts w:asciiTheme="minorHAnsi" w:hAnsiTheme="minorHAnsi" w:cstheme="minorHAnsi"/>
          <w:spacing w:val="-2"/>
        </w:rPr>
        <w:t xml:space="preserve"> umožnilo SÚJB provést opravu nedostatků</w:t>
      </w:r>
      <w:r w:rsidR="00382197">
        <w:rPr>
          <w:rFonts w:asciiTheme="minorHAnsi" w:hAnsiTheme="minorHAnsi" w:cstheme="minorHAnsi"/>
          <w:spacing w:val="-2"/>
        </w:rPr>
        <w:t xml:space="preserve"> identifikovaných</w:t>
      </w:r>
      <w:r w:rsidR="008F0153">
        <w:rPr>
          <w:rFonts w:asciiTheme="minorHAnsi" w:hAnsiTheme="minorHAnsi" w:cstheme="minorHAnsi"/>
          <w:spacing w:val="-2"/>
        </w:rPr>
        <w:t xml:space="preserve"> </w:t>
      </w:r>
      <w:r w:rsidR="00382197">
        <w:rPr>
          <w:rFonts w:asciiTheme="minorHAnsi" w:hAnsiTheme="minorHAnsi" w:cstheme="minorHAnsi"/>
          <w:spacing w:val="-2"/>
        </w:rPr>
        <w:t xml:space="preserve">v účetnictví </w:t>
      </w:r>
      <w:r w:rsidR="00450C19">
        <w:rPr>
          <w:rFonts w:asciiTheme="minorHAnsi" w:hAnsiTheme="minorHAnsi" w:cstheme="minorHAnsi"/>
          <w:spacing w:val="-2"/>
        </w:rPr>
        <w:t>v průběhu kontroly ještě před</w:t>
      </w:r>
      <w:r w:rsidR="00CA780A">
        <w:rPr>
          <w:rFonts w:asciiTheme="minorHAnsi" w:hAnsiTheme="minorHAnsi" w:cstheme="minorHAnsi"/>
          <w:spacing w:val="-2"/>
        </w:rPr>
        <w:t xml:space="preserve"> </w:t>
      </w:r>
      <w:r w:rsidR="00450C19">
        <w:rPr>
          <w:rFonts w:asciiTheme="minorHAnsi" w:hAnsiTheme="minorHAnsi" w:cstheme="minorHAnsi"/>
          <w:spacing w:val="-2"/>
        </w:rPr>
        <w:t>uzavřením účetního období 2022 a sestavením účetní závěrky</w:t>
      </w:r>
      <w:r w:rsidR="00450C19" w:rsidRPr="00730759">
        <w:rPr>
          <w:rFonts w:asciiTheme="minorHAnsi" w:hAnsiTheme="minorHAnsi" w:cstheme="minorHAnsi"/>
          <w:spacing w:val="-2"/>
        </w:rPr>
        <w:t>.</w:t>
      </w:r>
      <w:r w:rsidR="00450C19">
        <w:rPr>
          <w:rFonts w:asciiTheme="minorHAnsi" w:hAnsiTheme="minorHAnsi" w:cstheme="minorHAnsi"/>
          <w:spacing w:val="-2"/>
        </w:rPr>
        <w:t xml:space="preserve"> </w:t>
      </w:r>
      <w:r w:rsidR="00450C19">
        <w:rPr>
          <w:rFonts w:asciiTheme="minorHAnsi" w:hAnsiTheme="minorHAnsi" w:cs="Calibri"/>
          <w:bCs/>
        </w:rPr>
        <w:t xml:space="preserve">SÚJB takto opravil většinu </w:t>
      </w:r>
      <w:r w:rsidR="00DC4E83">
        <w:rPr>
          <w:rFonts w:asciiTheme="minorHAnsi" w:hAnsiTheme="minorHAnsi" w:cs="Calibri"/>
          <w:bCs/>
        </w:rPr>
        <w:t xml:space="preserve">kontrolou </w:t>
      </w:r>
      <w:r w:rsidR="00450C19">
        <w:rPr>
          <w:rFonts w:asciiTheme="minorHAnsi" w:hAnsiTheme="minorHAnsi" w:cs="Calibri"/>
          <w:bCs/>
        </w:rPr>
        <w:t xml:space="preserve">zjištěných </w:t>
      </w:r>
      <w:r w:rsidR="00450C19" w:rsidRPr="008033C3">
        <w:rPr>
          <w:rFonts w:asciiTheme="minorHAnsi" w:hAnsiTheme="minorHAnsi" w:cs="Calibri"/>
          <w:bCs/>
        </w:rPr>
        <w:t>nedostatk</w:t>
      </w:r>
      <w:r w:rsidR="00450C19">
        <w:rPr>
          <w:rFonts w:asciiTheme="minorHAnsi" w:hAnsiTheme="minorHAnsi" w:cs="Calibri"/>
          <w:bCs/>
        </w:rPr>
        <w:t xml:space="preserve">ů. </w:t>
      </w:r>
    </w:p>
    <w:p w14:paraId="7910BF76" w14:textId="77777777" w:rsidR="00450C19" w:rsidRDefault="00450C19" w:rsidP="00450C19">
      <w:pPr>
        <w:jc w:val="both"/>
        <w:rPr>
          <w:rFonts w:asciiTheme="minorHAnsi" w:hAnsiTheme="minorHAnsi" w:cs="Calibri"/>
          <w:bCs/>
        </w:rPr>
      </w:pPr>
      <w:r w:rsidRPr="000F3D33">
        <w:rPr>
          <w:rFonts w:asciiTheme="minorHAnsi" w:hAnsiTheme="minorHAnsi" w:cs="Calibri"/>
          <w:bCs/>
        </w:rPr>
        <w:t xml:space="preserve">Součástí sestavené ÚZ byly v souladu se zákonem č. 563/1991 Sb. i přehled o peněžních tocích a přehled o změnách vlastního kapitálu. SÚJB </w:t>
      </w:r>
      <w:r w:rsidR="008D792E" w:rsidRPr="000F3D33">
        <w:rPr>
          <w:rFonts w:asciiTheme="minorHAnsi" w:hAnsiTheme="minorHAnsi" w:cs="Calibri"/>
          <w:bCs/>
        </w:rPr>
        <w:t xml:space="preserve">poprvé sestavil </w:t>
      </w:r>
      <w:r w:rsidRPr="000F3D33">
        <w:rPr>
          <w:rFonts w:asciiTheme="minorHAnsi" w:hAnsiTheme="minorHAnsi" w:cs="Calibri"/>
          <w:bCs/>
        </w:rPr>
        <w:t xml:space="preserve">oba tyto výkazy </w:t>
      </w:r>
      <w:r w:rsidR="008D792E" w:rsidRPr="000F3D33">
        <w:rPr>
          <w:rFonts w:asciiTheme="minorHAnsi" w:hAnsiTheme="minorHAnsi" w:cs="Calibri"/>
          <w:bCs/>
        </w:rPr>
        <w:t>až</w:t>
      </w:r>
      <w:r w:rsidRPr="000F3D33">
        <w:rPr>
          <w:rFonts w:asciiTheme="minorHAnsi" w:hAnsiTheme="minorHAnsi" w:cs="Calibri"/>
          <w:bCs/>
        </w:rPr>
        <w:t xml:space="preserve"> v roce 2022</w:t>
      </w:r>
      <w:r w:rsidR="008D792E" w:rsidRPr="000F3D33">
        <w:rPr>
          <w:rFonts w:asciiTheme="minorHAnsi" w:hAnsiTheme="minorHAnsi" w:cs="Calibri"/>
          <w:bCs/>
        </w:rPr>
        <w:t xml:space="preserve">, </w:t>
      </w:r>
      <w:r w:rsidR="00030F7B">
        <w:rPr>
          <w:rFonts w:asciiTheme="minorHAnsi" w:hAnsiTheme="minorHAnsi" w:cs="Calibri"/>
          <w:bCs/>
        </w:rPr>
        <w:t xml:space="preserve">a to </w:t>
      </w:r>
      <w:r w:rsidR="008D792E" w:rsidRPr="000F3D33">
        <w:rPr>
          <w:rFonts w:asciiTheme="minorHAnsi" w:hAnsiTheme="minorHAnsi" w:cs="Calibri"/>
          <w:bCs/>
        </w:rPr>
        <w:t>na základě upozornění NKÚ v průběhu kontroly</w:t>
      </w:r>
      <w:r w:rsidRPr="000F3D33">
        <w:rPr>
          <w:rFonts w:asciiTheme="minorHAnsi" w:hAnsiTheme="minorHAnsi" w:cs="Calibri"/>
          <w:bCs/>
        </w:rPr>
        <w:t>.</w:t>
      </w:r>
      <w:r>
        <w:rPr>
          <w:rFonts w:asciiTheme="minorHAnsi" w:hAnsiTheme="minorHAnsi" w:cs="Calibri"/>
          <w:bCs/>
        </w:rPr>
        <w:t xml:space="preserve"> </w:t>
      </w:r>
    </w:p>
    <w:p w14:paraId="128E1BD0" w14:textId="77777777" w:rsidR="00450C19" w:rsidRDefault="00450C19" w:rsidP="00B0770B">
      <w:pPr>
        <w:keepNext/>
        <w:spacing w:after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Některé kontrolou zjištěné nedostatky byly podstatné z hlediska vedení účetnictví, neměly však vliv na vykázané zůstatky položek ÚZ. SÚJB provedl jejich opravy, které spočívaly zejména ve změně systémového nastavení vedení účetnictví a výkaznictví. Jednalo se </w:t>
      </w:r>
      <w:r w:rsidR="006D4621">
        <w:rPr>
          <w:rFonts w:asciiTheme="minorHAnsi" w:hAnsiTheme="minorHAnsi" w:cs="Calibri"/>
          <w:bCs/>
        </w:rPr>
        <w:t>především</w:t>
      </w:r>
      <w:r>
        <w:rPr>
          <w:rFonts w:asciiTheme="minorHAnsi" w:hAnsiTheme="minorHAnsi" w:cs="Calibri"/>
          <w:bCs/>
        </w:rPr>
        <w:t xml:space="preserve"> o následující opravy:</w:t>
      </w:r>
    </w:p>
    <w:p w14:paraId="70CDBD79" w14:textId="77777777" w:rsidR="00450C19" w:rsidRDefault="00450C19" w:rsidP="00B0770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všechny výkazy ÚZ sestavil tak, aby obsahovaly </w:t>
      </w:r>
      <w:r w:rsidRPr="0044743E">
        <w:rPr>
          <w:rFonts w:asciiTheme="minorHAnsi" w:hAnsiTheme="minorHAnsi" w:cs="Calibri"/>
          <w:bCs/>
        </w:rPr>
        <w:t>zákonem stanovené náležitosti</w:t>
      </w:r>
      <w:r w:rsidR="00AD1327">
        <w:rPr>
          <w:rFonts w:asciiTheme="minorHAnsi" w:hAnsiTheme="minorHAnsi" w:cs="Calibri"/>
          <w:bCs/>
        </w:rPr>
        <w:t xml:space="preserve"> (</w:t>
      </w:r>
      <w:r w:rsidR="00A17BE9">
        <w:rPr>
          <w:rFonts w:asciiTheme="minorHAnsi" w:hAnsiTheme="minorHAnsi" w:cs="Calibri"/>
          <w:bCs/>
        </w:rPr>
        <w:t>jedná se např. o uvedení právní formy účetní jednotky, předmětu činnosti apod.)</w:t>
      </w:r>
      <w:r>
        <w:rPr>
          <w:rFonts w:asciiTheme="minorHAnsi" w:hAnsiTheme="minorHAnsi" w:cs="Calibri"/>
          <w:bCs/>
        </w:rPr>
        <w:t>;</w:t>
      </w:r>
    </w:p>
    <w:p w14:paraId="1FEAACAA" w14:textId="77777777" w:rsidR="00450C19" w:rsidRPr="00051D1C" w:rsidRDefault="00450C19" w:rsidP="00B0770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sestavil textovou část přílohy ÚZ </w:t>
      </w:r>
      <w:r w:rsidRPr="001F3CBC">
        <w:rPr>
          <w:rFonts w:cs="Calibri"/>
        </w:rPr>
        <w:t xml:space="preserve">v souladu </w:t>
      </w:r>
      <w:r>
        <w:rPr>
          <w:rFonts w:cs="Calibri"/>
        </w:rPr>
        <w:t xml:space="preserve">se </w:t>
      </w:r>
      <w:r w:rsidRPr="001F3CBC">
        <w:rPr>
          <w:rFonts w:cs="Calibri"/>
        </w:rPr>
        <w:t>zákonnými požadavky</w:t>
      </w:r>
      <w:r>
        <w:rPr>
          <w:rFonts w:cs="Calibri"/>
        </w:rPr>
        <w:t xml:space="preserve"> a uvedl v ní komentář k účetním metodám;</w:t>
      </w:r>
    </w:p>
    <w:p w14:paraId="08EECA35" w14:textId="77777777" w:rsidR="00450C19" w:rsidRDefault="00450C19" w:rsidP="00B0770B">
      <w:pPr>
        <w:pStyle w:val="Odstavecseseznamem"/>
        <w:numPr>
          <w:ilvl w:val="0"/>
          <w:numId w:val="3"/>
        </w:numPr>
        <w:ind w:left="284" w:hanging="284"/>
        <w:jc w:val="both"/>
      </w:pPr>
      <w:r>
        <w:rPr>
          <w:rFonts w:cs="Calibri"/>
        </w:rPr>
        <w:t xml:space="preserve">o transferech, vratkách správních poplatků a o životních náhradách svých zaměstnanců působících v zahraničí přestal účtovat prostřednictvím nesprávného účtu 321 – </w:t>
      </w:r>
      <w:r w:rsidRPr="00683136">
        <w:rPr>
          <w:rFonts w:cs="Calibri"/>
          <w:i/>
        </w:rPr>
        <w:t>Dodavatelé</w:t>
      </w:r>
      <w:r>
        <w:rPr>
          <w:rFonts w:cs="Calibri"/>
        </w:rPr>
        <w:t xml:space="preserve"> a začal o nich účtovat prostřednictvím obsahově vhodn</w:t>
      </w:r>
      <w:r w:rsidR="007654C7">
        <w:rPr>
          <w:rFonts w:cs="Calibri"/>
        </w:rPr>
        <w:t>ých</w:t>
      </w:r>
      <w:r>
        <w:rPr>
          <w:rFonts w:cs="Calibri"/>
        </w:rPr>
        <w:t xml:space="preserve"> účtů;</w:t>
      </w:r>
      <w:r w:rsidRPr="00C34688">
        <w:rPr>
          <w:rFonts w:cs="Calibri"/>
        </w:rPr>
        <w:t xml:space="preserve"> </w:t>
      </w:r>
      <w:r w:rsidRPr="001633CE">
        <w:t xml:space="preserve"> </w:t>
      </w:r>
    </w:p>
    <w:p w14:paraId="4BCFFB91" w14:textId="77777777" w:rsidR="00450C19" w:rsidRPr="006C310C" w:rsidRDefault="00450C19" w:rsidP="00B0770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="Calibri"/>
          <w:bCs/>
          <w:color w:val="000000"/>
          <w:lang w:eastAsia="cs-CZ"/>
        </w:rPr>
      </w:pPr>
      <w:r w:rsidRPr="006C310C">
        <w:rPr>
          <w:rFonts w:cs="Calibri"/>
          <w:bCs/>
          <w:color w:val="000000"/>
          <w:lang w:eastAsia="cs-CZ"/>
        </w:rPr>
        <w:t>o finančních prostředcích určených k</w:t>
      </w:r>
      <w:r w:rsidR="00143DEE">
        <w:rPr>
          <w:rFonts w:cs="Calibri"/>
          <w:bCs/>
          <w:color w:val="000000"/>
          <w:lang w:eastAsia="cs-CZ"/>
        </w:rPr>
        <w:t> </w:t>
      </w:r>
      <w:r w:rsidRPr="006C310C">
        <w:rPr>
          <w:rFonts w:cs="Calibri"/>
          <w:bCs/>
          <w:color w:val="000000"/>
          <w:lang w:eastAsia="cs-CZ"/>
        </w:rPr>
        <w:t>bezhotovostní</w:t>
      </w:r>
      <w:r w:rsidR="00143DEE">
        <w:rPr>
          <w:rFonts w:cs="Calibri"/>
          <w:bCs/>
          <w:color w:val="000000"/>
          <w:lang w:eastAsia="cs-CZ"/>
        </w:rPr>
        <w:t>mu převodu</w:t>
      </w:r>
      <w:r w:rsidRPr="006C310C">
        <w:rPr>
          <w:rFonts w:cs="Calibri"/>
          <w:bCs/>
          <w:color w:val="000000"/>
          <w:lang w:eastAsia="cs-CZ"/>
        </w:rPr>
        <w:t xml:space="preserve"> na bankovní účet zaměstnanců přestal účtovat prostřednictvím</w:t>
      </w:r>
      <w:r>
        <w:rPr>
          <w:rFonts w:cs="Calibri"/>
          <w:bCs/>
          <w:color w:val="000000"/>
          <w:lang w:eastAsia="cs-CZ"/>
        </w:rPr>
        <w:t xml:space="preserve"> nesprávného</w:t>
      </w:r>
      <w:r w:rsidRPr="006C310C">
        <w:rPr>
          <w:rFonts w:cs="Calibri"/>
          <w:bCs/>
          <w:color w:val="000000"/>
          <w:lang w:eastAsia="cs-CZ"/>
        </w:rPr>
        <w:t xml:space="preserve"> účtu 378 – </w:t>
      </w:r>
      <w:r w:rsidRPr="006C310C">
        <w:rPr>
          <w:rFonts w:cs="Calibri"/>
          <w:bCs/>
          <w:i/>
          <w:color w:val="000000"/>
          <w:lang w:eastAsia="cs-CZ"/>
        </w:rPr>
        <w:t>Ostatní krátkodobé závazky</w:t>
      </w:r>
      <w:r w:rsidRPr="006C310C">
        <w:rPr>
          <w:rFonts w:cs="Calibri"/>
          <w:bCs/>
          <w:color w:val="000000"/>
          <w:lang w:eastAsia="cs-CZ"/>
        </w:rPr>
        <w:t xml:space="preserve">, ale začal o těchto závazcích z pracovněprávních vztahů vůči zaměstnancům účtovat prostřednictvím účtu 331 – </w:t>
      </w:r>
      <w:r w:rsidRPr="006C310C">
        <w:rPr>
          <w:rFonts w:cs="Calibri"/>
          <w:bCs/>
          <w:i/>
          <w:color w:val="000000"/>
          <w:lang w:eastAsia="cs-CZ"/>
        </w:rPr>
        <w:t>Zaměstnanci</w:t>
      </w:r>
      <w:r>
        <w:rPr>
          <w:rFonts w:cs="Calibri"/>
          <w:bCs/>
          <w:color w:val="000000"/>
          <w:lang w:eastAsia="cs-CZ"/>
        </w:rPr>
        <w:t>;</w:t>
      </w:r>
    </w:p>
    <w:p w14:paraId="04F2B8E1" w14:textId="77777777" w:rsidR="00450C19" w:rsidRPr="00E459A2" w:rsidRDefault="00450C19" w:rsidP="00B0770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cs="Calibri"/>
        </w:rPr>
        <w:t xml:space="preserve">nastavil správný způsob účtování o základním přídělu do fondu kulturních a sociálních potřeb a </w:t>
      </w:r>
      <w:r w:rsidRPr="001633CE">
        <w:rPr>
          <w:rFonts w:cs="Calibri"/>
          <w:color w:val="000000"/>
        </w:rPr>
        <w:t xml:space="preserve">o </w:t>
      </w:r>
      <w:r>
        <w:rPr>
          <w:rFonts w:cs="Calibri"/>
          <w:color w:val="000000"/>
        </w:rPr>
        <w:t>použití rezervního fondu</w:t>
      </w:r>
      <w:r w:rsidRPr="001633CE">
        <w:rPr>
          <w:rFonts w:cs="Calibri"/>
          <w:color w:val="000000"/>
        </w:rPr>
        <w:t xml:space="preserve"> </w:t>
      </w:r>
      <w:r>
        <w:rPr>
          <w:rFonts w:cs="Calibri"/>
        </w:rPr>
        <w:t>v souladu s příslušnými ustanoveními ČÚS č. 704</w:t>
      </w:r>
      <w:r>
        <w:rPr>
          <w:rStyle w:val="Znakapoznpodarou"/>
          <w:rFonts w:cs="Calibri"/>
        </w:rPr>
        <w:footnoteReference w:id="20"/>
      </w:r>
      <w:r>
        <w:rPr>
          <w:rFonts w:cs="Calibri"/>
        </w:rPr>
        <w:t>.</w:t>
      </w:r>
    </w:p>
    <w:p w14:paraId="6EAB42FD" w14:textId="77777777" w:rsidR="00450C19" w:rsidRDefault="00450C19" w:rsidP="00247F88">
      <w:pPr>
        <w:keepNext/>
        <w:spacing w:before="120" w:after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NKÚ dále při kontrole zjistil nedostatky ve vedení účetnictví, které by v případě jejich neopravení měly významný souhrnný dopad na položky ÚZ, a to ve výši 53,6 mil. Kč</w:t>
      </w:r>
      <w:r w:rsidRPr="00EF25E7">
        <w:rPr>
          <w:rFonts w:asciiTheme="minorHAnsi" w:hAnsiTheme="minorHAnsi" w:cs="Calibri"/>
          <w:bCs/>
        </w:rPr>
        <w:t>. SÚJB do</w:t>
      </w:r>
      <w:r w:rsidR="00247F88">
        <w:rPr>
          <w:rFonts w:asciiTheme="minorHAnsi" w:hAnsiTheme="minorHAnsi" w:cs="Calibri"/>
          <w:bCs/>
        </w:rPr>
        <w:t xml:space="preserve"> </w:t>
      </w:r>
      <w:r w:rsidRPr="00EF25E7">
        <w:rPr>
          <w:rFonts w:asciiTheme="minorHAnsi" w:hAnsiTheme="minorHAnsi" w:cs="Calibri"/>
          <w:bCs/>
        </w:rPr>
        <w:t xml:space="preserve">konce účetního období roku 2022 </w:t>
      </w:r>
      <w:r>
        <w:rPr>
          <w:rFonts w:asciiTheme="minorHAnsi" w:hAnsiTheme="minorHAnsi" w:cs="Calibri"/>
          <w:bCs/>
        </w:rPr>
        <w:t>tyto nedostatky opravil tím, že</w:t>
      </w:r>
      <w:r w:rsidRPr="00EF25E7">
        <w:rPr>
          <w:rFonts w:asciiTheme="minorHAnsi" w:hAnsiTheme="minorHAnsi" w:cs="Calibri"/>
          <w:bCs/>
        </w:rPr>
        <w:t>:</w:t>
      </w:r>
    </w:p>
    <w:p w14:paraId="3B35C70A" w14:textId="77777777" w:rsidR="00450C19" w:rsidRPr="000E49EF" w:rsidRDefault="00450C19" w:rsidP="00247F88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="Calibri"/>
          <w:bCs/>
        </w:rPr>
      </w:pPr>
      <w:r w:rsidRPr="000F3D33">
        <w:rPr>
          <w:rFonts w:asciiTheme="minorHAnsi" w:hAnsiTheme="minorHAnsi" w:cs="Calibri"/>
          <w:bCs/>
        </w:rPr>
        <w:t xml:space="preserve">zaúčtoval do knihy podrozvahových účtů podmíněné závazky ze smluv, u nichž výše plnění k 31. 12. 2022 přesáhla hladinu významnosti </w:t>
      </w:r>
      <w:r w:rsidR="005B4952" w:rsidRPr="000F3D33">
        <w:rPr>
          <w:rFonts w:asciiTheme="minorHAnsi" w:hAnsiTheme="minorHAnsi" w:cs="Calibri"/>
          <w:bCs/>
        </w:rPr>
        <w:t xml:space="preserve">pro účtování o smlouvách, kterou si SÚJB stanovil </w:t>
      </w:r>
      <w:r w:rsidRPr="000F3D33">
        <w:rPr>
          <w:rFonts w:asciiTheme="minorHAnsi" w:hAnsiTheme="minorHAnsi" w:cs="Calibri"/>
          <w:bCs/>
        </w:rPr>
        <w:t>ve výši 1 mil. Kč. Zůstatek</w:t>
      </w:r>
      <w:r w:rsidRPr="000E49EF">
        <w:rPr>
          <w:rFonts w:asciiTheme="minorHAnsi" w:hAnsiTheme="minorHAnsi" w:cs="Calibri"/>
          <w:bCs/>
        </w:rPr>
        <w:t xml:space="preserve"> podrozvahového účtu 973 – </w:t>
      </w:r>
      <w:r w:rsidRPr="000E49EF">
        <w:rPr>
          <w:rFonts w:asciiTheme="minorHAnsi" w:hAnsiTheme="minorHAnsi" w:cs="Calibri"/>
          <w:bCs/>
          <w:i/>
        </w:rPr>
        <w:t>Krátkodobé podmíněné závazky z jiných smluv</w:t>
      </w:r>
      <w:r w:rsidRPr="000E49EF">
        <w:rPr>
          <w:rFonts w:asciiTheme="minorHAnsi" w:hAnsiTheme="minorHAnsi" w:cs="Calibri"/>
          <w:bCs/>
        </w:rPr>
        <w:t xml:space="preserve"> v důsledku toho oproti předchozímu účetnímu období vzrostl z 0 Kč na 8,2 mil. Kč a zůstatek podrozvahového účtu 974 – </w:t>
      </w:r>
      <w:r w:rsidRPr="000E49EF">
        <w:rPr>
          <w:rFonts w:asciiTheme="minorHAnsi" w:hAnsiTheme="minorHAnsi" w:cs="Calibri"/>
          <w:bCs/>
          <w:i/>
        </w:rPr>
        <w:t>Dlouhodobé podmíněné závazky z</w:t>
      </w:r>
      <w:r w:rsidR="00247F88">
        <w:rPr>
          <w:rFonts w:asciiTheme="minorHAnsi" w:hAnsiTheme="minorHAnsi" w:cs="Calibri"/>
          <w:bCs/>
          <w:i/>
        </w:rPr>
        <w:t> </w:t>
      </w:r>
      <w:r w:rsidRPr="000E49EF">
        <w:rPr>
          <w:rFonts w:asciiTheme="minorHAnsi" w:hAnsiTheme="minorHAnsi" w:cs="Calibri"/>
          <w:bCs/>
          <w:i/>
        </w:rPr>
        <w:t>jiných smluv</w:t>
      </w:r>
      <w:r w:rsidRPr="000E49EF">
        <w:rPr>
          <w:rFonts w:asciiTheme="minorHAnsi" w:hAnsiTheme="minorHAnsi" w:cs="Calibri"/>
          <w:bCs/>
        </w:rPr>
        <w:t xml:space="preserve"> vzrostl z 0 Kč na 13,</w:t>
      </w:r>
      <w:r w:rsidR="00E47F48">
        <w:rPr>
          <w:rFonts w:asciiTheme="minorHAnsi" w:hAnsiTheme="minorHAnsi" w:cs="Calibri"/>
          <w:bCs/>
        </w:rPr>
        <w:t>5</w:t>
      </w:r>
      <w:r w:rsidRPr="000E49EF">
        <w:rPr>
          <w:rFonts w:asciiTheme="minorHAnsi" w:hAnsiTheme="minorHAnsi" w:cs="Calibri"/>
          <w:bCs/>
        </w:rPr>
        <w:t xml:space="preserve"> mil. Kč;</w:t>
      </w:r>
    </w:p>
    <w:p w14:paraId="1921B077" w14:textId="77777777" w:rsidR="00450C19" w:rsidRPr="000E49EF" w:rsidRDefault="00450C19" w:rsidP="00247F88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="Calibri"/>
          <w:bCs/>
        </w:rPr>
      </w:pPr>
      <w:r w:rsidRPr="000E49EF">
        <w:rPr>
          <w:rFonts w:asciiTheme="minorHAnsi" w:hAnsiTheme="minorHAnsi" w:cs="Calibri"/>
          <w:bCs/>
        </w:rPr>
        <w:t>odúčtoval z knihy podrozvahových účtů podmíněné pohledávky z důvodu užívání majetku jinou osobou na základě smlouvy o výpůjčce v celkové výši 23,0 mil. Kč</w:t>
      </w:r>
      <w:r>
        <w:rPr>
          <w:rFonts w:asciiTheme="minorHAnsi" w:hAnsiTheme="minorHAnsi" w:cs="Calibri"/>
          <w:bCs/>
        </w:rPr>
        <w:t>;</w:t>
      </w:r>
    </w:p>
    <w:p w14:paraId="3C7B72F0" w14:textId="77777777" w:rsidR="00450C19" w:rsidRPr="00EF25E7" w:rsidRDefault="00450C19" w:rsidP="00247F88">
      <w:pPr>
        <w:pStyle w:val="Odstavecseseznamem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EF25E7">
        <w:rPr>
          <w:rFonts w:asciiTheme="minorHAnsi" w:hAnsiTheme="minorHAnsi" w:cs="Calibri"/>
          <w:bCs/>
        </w:rPr>
        <w:t xml:space="preserve">přeúčtoval majetkové položky nesplňující spodní </w:t>
      </w:r>
      <w:r w:rsidRPr="00EF25E7">
        <w:t xml:space="preserve">hranici ve výši </w:t>
      </w:r>
      <w:r w:rsidRPr="00EF25E7">
        <w:rPr>
          <w:rFonts w:cs="Calibri"/>
        </w:rPr>
        <w:t xml:space="preserve">3 tis. Kč </w:t>
      </w:r>
      <w:r w:rsidRPr="00EF25E7">
        <w:t xml:space="preserve">pro účtování na účet 028 – </w:t>
      </w:r>
      <w:r w:rsidRPr="00EF25E7">
        <w:rPr>
          <w:i/>
        </w:rPr>
        <w:t>Drobný dlouhodobý hmotný majetek</w:t>
      </w:r>
      <w:r w:rsidRPr="00EF25E7">
        <w:t xml:space="preserve"> v celkové částce 3,0 mil. Kč</w:t>
      </w:r>
      <w:r w:rsidRPr="00EF25E7">
        <w:rPr>
          <w:rFonts w:asciiTheme="minorHAnsi" w:hAnsiTheme="minorHAnsi" w:cs="Calibri"/>
          <w:bCs/>
        </w:rPr>
        <w:t xml:space="preserve"> z účtu </w:t>
      </w:r>
      <w:r w:rsidR="00247F88">
        <w:rPr>
          <w:rFonts w:asciiTheme="minorHAnsi" w:hAnsiTheme="minorHAnsi" w:cs="Calibri"/>
          <w:bCs/>
        </w:rPr>
        <w:br/>
      </w:r>
      <w:r w:rsidRPr="00EF25E7">
        <w:rPr>
          <w:rFonts w:asciiTheme="minorHAnsi" w:hAnsiTheme="minorHAnsi" w:cs="Calibri"/>
          <w:bCs/>
        </w:rPr>
        <w:lastRenderedPageBreak/>
        <w:t xml:space="preserve">028 </w:t>
      </w:r>
      <w:r w:rsidRPr="000E49EF">
        <w:rPr>
          <w:rFonts w:asciiTheme="minorHAnsi" w:hAnsiTheme="minorHAnsi" w:cs="Calibri"/>
          <w:bCs/>
        </w:rPr>
        <w:t>–</w:t>
      </w:r>
      <w:r>
        <w:rPr>
          <w:rFonts w:asciiTheme="minorHAnsi" w:hAnsiTheme="minorHAnsi" w:cs="Calibri"/>
          <w:bCs/>
        </w:rPr>
        <w:t xml:space="preserve"> </w:t>
      </w:r>
      <w:r w:rsidRPr="005D4DC9">
        <w:rPr>
          <w:rFonts w:asciiTheme="minorHAnsi" w:hAnsiTheme="minorHAnsi" w:cs="Calibri"/>
          <w:bCs/>
          <w:i/>
        </w:rPr>
        <w:t xml:space="preserve">Drobný dlouhodobý hmotný majetek </w:t>
      </w:r>
      <w:r w:rsidRPr="00EF25E7">
        <w:rPr>
          <w:rFonts w:asciiTheme="minorHAnsi" w:hAnsiTheme="minorHAnsi" w:cs="Calibri"/>
          <w:bCs/>
        </w:rPr>
        <w:t xml:space="preserve">na podrozvahový účet 902 – </w:t>
      </w:r>
      <w:r w:rsidRPr="00EF25E7">
        <w:rPr>
          <w:rFonts w:asciiTheme="minorHAnsi" w:hAnsiTheme="minorHAnsi" w:cs="Calibri"/>
          <w:bCs/>
          <w:i/>
        </w:rPr>
        <w:t>Jiný drobný dlouhodobý hmotný majetek</w:t>
      </w:r>
      <w:r w:rsidRPr="00EF25E7">
        <w:rPr>
          <w:rFonts w:asciiTheme="minorHAnsi" w:hAnsiTheme="minorHAnsi" w:cs="Calibri"/>
          <w:bCs/>
        </w:rPr>
        <w:t>;</w:t>
      </w:r>
    </w:p>
    <w:p w14:paraId="66F53362" w14:textId="77777777" w:rsidR="00450C19" w:rsidRPr="00EF25E7" w:rsidRDefault="00450C19" w:rsidP="00247F88">
      <w:pPr>
        <w:pStyle w:val="Odstavecseseznamem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EF25E7">
        <w:rPr>
          <w:rFonts w:asciiTheme="minorHAnsi" w:hAnsiTheme="minorHAnsi" w:cs="Calibri"/>
          <w:bCs/>
        </w:rPr>
        <w:t xml:space="preserve">přeúčtoval náklady roku </w:t>
      </w:r>
      <w:r w:rsidRPr="00EF25E7">
        <w:rPr>
          <w:rFonts w:asciiTheme="minorHAnsi" w:hAnsiTheme="minorHAnsi" w:cstheme="minorHAnsi"/>
          <w:spacing w:val="-2"/>
        </w:rPr>
        <w:t xml:space="preserve">2023 zaúčtované do roku 2022 v celkové výši 1,9 mil. Kč z účtu </w:t>
      </w:r>
      <w:r w:rsidR="00247F88">
        <w:rPr>
          <w:rFonts w:asciiTheme="minorHAnsi" w:hAnsiTheme="minorHAnsi" w:cstheme="minorHAnsi"/>
          <w:spacing w:val="-2"/>
        </w:rPr>
        <w:br/>
      </w:r>
      <w:r w:rsidRPr="00EF25E7">
        <w:rPr>
          <w:rFonts w:asciiTheme="minorHAnsi" w:hAnsiTheme="minorHAnsi" w:cstheme="minorHAnsi"/>
          <w:spacing w:val="-2"/>
        </w:rPr>
        <w:t>518</w:t>
      </w:r>
      <w:r w:rsidR="00247F88">
        <w:rPr>
          <w:rFonts w:asciiTheme="minorHAnsi" w:hAnsiTheme="minorHAnsi" w:cstheme="minorHAnsi"/>
          <w:spacing w:val="-2"/>
        </w:rPr>
        <w:t> </w:t>
      </w:r>
      <w:r w:rsidRPr="00EF25E7">
        <w:rPr>
          <w:rFonts w:asciiTheme="minorHAnsi" w:hAnsiTheme="minorHAnsi" w:cstheme="minorHAnsi"/>
          <w:spacing w:val="-2"/>
        </w:rPr>
        <w:t xml:space="preserve">– </w:t>
      </w:r>
      <w:r w:rsidRPr="00EF25E7">
        <w:rPr>
          <w:rFonts w:asciiTheme="minorHAnsi" w:hAnsiTheme="minorHAnsi" w:cstheme="minorHAnsi"/>
          <w:i/>
          <w:iCs/>
          <w:spacing w:val="-2"/>
        </w:rPr>
        <w:t>Ostatní služby</w:t>
      </w:r>
      <w:r w:rsidRPr="00EF25E7">
        <w:rPr>
          <w:rFonts w:asciiTheme="minorHAnsi" w:hAnsiTheme="minorHAnsi" w:cstheme="minorHAnsi"/>
          <w:spacing w:val="-2"/>
        </w:rPr>
        <w:t xml:space="preserve"> na účet 381 – </w:t>
      </w:r>
      <w:r w:rsidRPr="00EF25E7">
        <w:rPr>
          <w:rFonts w:asciiTheme="minorHAnsi" w:hAnsiTheme="minorHAnsi" w:cstheme="minorHAnsi"/>
          <w:i/>
          <w:spacing w:val="-2"/>
        </w:rPr>
        <w:t>Náklady příštích období</w:t>
      </w:r>
      <w:r w:rsidRPr="00EF25E7">
        <w:rPr>
          <w:rFonts w:asciiTheme="minorHAnsi" w:hAnsiTheme="minorHAnsi" w:cstheme="minorHAnsi"/>
          <w:spacing w:val="-2"/>
        </w:rPr>
        <w:t xml:space="preserve"> a </w:t>
      </w:r>
      <w:r w:rsidRPr="00EF25E7">
        <w:t xml:space="preserve">upravil hladinu významnosti pro časové rozlišení ve </w:t>
      </w:r>
      <w:r>
        <w:t xml:space="preserve">svém </w:t>
      </w:r>
      <w:r w:rsidRPr="00EF25E7">
        <w:t>vnitřním předpisu;</w:t>
      </w:r>
    </w:p>
    <w:p w14:paraId="67C11A67" w14:textId="77777777" w:rsidR="00450C19" w:rsidRPr="00EF25E7" w:rsidRDefault="00450C19" w:rsidP="00247F88">
      <w:pPr>
        <w:pStyle w:val="Odstavecseseznamem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EF25E7">
        <w:rPr>
          <w:rFonts w:cs="Calibri"/>
        </w:rPr>
        <w:t xml:space="preserve">odúčtoval z účtu 018 – </w:t>
      </w:r>
      <w:r w:rsidRPr="00EF25E7">
        <w:rPr>
          <w:rFonts w:cs="Calibri"/>
          <w:i/>
        </w:rPr>
        <w:t>Drobný dlouhodobý nehmotný majetek</w:t>
      </w:r>
      <w:r w:rsidRPr="00EF25E7">
        <w:rPr>
          <w:rFonts w:cs="Calibri"/>
        </w:rPr>
        <w:t xml:space="preserve"> podlimitní technické zhodnocení v celkové výši 1,1 mil. Kč</w:t>
      </w:r>
      <w:r>
        <w:rPr>
          <w:rFonts w:cs="Calibri"/>
        </w:rPr>
        <w:t>.</w:t>
      </w:r>
    </w:p>
    <w:p w14:paraId="761EDF85" w14:textId="77777777" w:rsidR="00450C19" w:rsidRPr="00677035" w:rsidRDefault="00450C19" w:rsidP="00247F88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SÚJB po provedení uvedených oprav sestavil dne 24. února 2023 </w:t>
      </w:r>
      <w:r w:rsidRPr="00757313">
        <w:rPr>
          <w:rFonts w:asciiTheme="minorHAnsi" w:hAnsiTheme="minorHAnsi" w:cstheme="minorHAnsi"/>
          <w:spacing w:val="-2"/>
        </w:rPr>
        <w:t>účetní závěrk</w:t>
      </w:r>
      <w:r>
        <w:rPr>
          <w:rFonts w:asciiTheme="minorHAnsi" w:hAnsiTheme="minorHAnsi" w:cstheme="minorHAnsi"/>
          <w:spacing w:val="-2"/>
        </w:rPr>
        <w:t>u. V sestavené účetní závěrce kontrola identifikovala nesprávnosti popsané v části IV.1.</w:t>
      </w:r>
      <w:r w:rsidR="00D429A9">
        <w:rPr>
          <w:rFonts w:asciiTheme="minorHAnsi" w:hAnsiTheme="minorHAnsi" w:cstheme="minorHAnsi"/>
          <w:spacing w:val="-2"/>
        </w:rPr>
        <w:t>2</w:t>
      </w:r>
      <w:r>
        <w:rPr>
          <w:rFonts w:asciiTheme="minorHAnsi" w:hAnsiTheme="minorHAnsi" w:cstheme="minorHAnsi"/>
          <w:spacing w:val="-2"/>
        </w:rPr>
        <w:t xml:space="preserve"> tohoto kontrolního závěru. </w:t>
      </w:r>
    </w:p>
    <w:p w14:paraId="1971E60F" w14:textId="77777777" w:rsidR="00F55060" w:rsidRPr="00151EFB" w:rsidRDefault="00310275" w:rsidP="00310275">
      <w:pPr>
        <w:pStyle w:val="Styl2"/>
        <w:numPr>
          <w:ilvl w:val="0"/>
          <w:numId w:val="0"/>
        </w:numPr>
        <w:spacing w:before="240" w:after="120"/>
      </w:pPr>
      <w:r>
        <w:t xml:space="preserve">1.2 </w:t>
      </w:r>
      <w:r w:rsidR="00F55060" w:rsidRPr="00151EFB">
        <w:t xml:space="preserve">Neopravené nesprávnosti v účetnictví </w:t>
      </w:r>
      <w:r w:rsidR="00F117F2" w:rsidRPr="00151EFB">
        <w:t>SÚJB</w:t>
      </w:r>
    </w:p>
    <w:p w14:paraId="419380ED" w14:textId="77777777" w:rsidR="00461F8E" w:rsidRDefault="00FE0BEE" w:rsidP="001D3AF5">
      <w:pPr>
        <w:ind w:right="-103"/>
        <w:jc w:val="both"/>
        <w:rPr>
          <w:rFonts w:asciiTheme="minorHAnsi" w:hAnsiTheme="minorHAnsi" w:cstheme="minorHAnsi"/>
          <w:b/>
          <w:bCs/>
          <w:spacing w:val="-2"/>
        </w:rPr>
      </w:pPr>
      <w:r w:rsidRPr="00B35CB1">
        <w:rPr>
          <w:rFonts w:asciiTheme="minorHAnsi" w:hAnsiTheme="minorHAnsi" w:cstheme="minorHAnsi"/>
          <w:b/>
          <w:bCs/>
          <w:spacing w:val="-2"/>
        </w:rPr>
        <w:t>V</w:t>
      </w:r>
      <w:r w:rsidR="00555820">
        <w:rPr>
          <w:rFonts w:asciiTheme="minorHAnsi" w:hAnsiTheme="minorHAnsi" w:cstheme="minorHAnsi"/>
          <w:b/>
          <w:bCs/>
          <w:spacing w:val="-2"/>
        </w:rPr>
        <w:t xml:space="preserve"> údajích </w:t>
      </w:r>
      <w:r w:rsidRPr="00B35CB1">
        <w:rPr>
          <w:rFonts w:asciiTheme="minorHAnsi" w:hAnsiTheme="minorHAnsi" w:cstheme="minorHAnsi"/>
          <w:b/>
          <w:bCs/>
          <w:spacing w:val="-2"/>
        </w:rPr>
        <w:t>ÚZ</w:t>
      </w:r>
      <w:r w:rsidR="001C492F" w:rsidRPr="00B35CB1">
        <w:rPr>
          <w:rFonts w:cs="Calibri"/>
          <w:b/>
          <w:bCs/>
        </w:rPr>
        <w:t xml:space="preserve"> </w:t>
      </w:r>
      <w:r w:rsidR="00284952">
        <w:rPr>
          <w:rFonts w:asciiTheme="minorHAnsi" w:hAnsiTheme="minorHAnsi" w:cstheme="minorHAnsi"/>
          <w:b/>
          <w:bCs/>
          <w:spacing w:val="-2"/>
        </w:rPr>
        <w:t>kontrola zjistila</w:t>
      </w:r>
      <w:r w:rsidRPr="00B35CB1">
        <w:rPr>
          <w:rFonts w:asciiTheme="minorHAnsi" w:hAnsiTheme="minorHAnsi" w:cstheme="minorHAnsi"/>
          <w:b/>
          <w:bCs/>
          <w:spacing w:val="-2"/>
        </w:rPr>
        <w:t xml:space="preserve">, že některé informace </w:t>
      </w:r>
      <w:r w:rsidR="00461F8E">
        <w:rPr>
          <w:rFonts w:asciiTheme="minorHAnsi" w:hAnsiTheme="minorHAnsi" w:cstheme="minorHAnsi"/>
          <w:b/>
          <w:bCs/>
          <w:spacing w:val="-2"/>
        </w:rPr>
        <w:t>SÚJB</w:t>
      </w:r>
      <w:r w:rsidRPr="00B35CB1">
        <w:rPr>
          <w:rFonts w:asciiTheme="minorHAnsi" w:hAnsiTheme="minorHAnsi" w:cstheme="minorHAnsi"/>
          <w:b/>
          <w:bCs/>
          <w:spacing w:val="-2"/>
        </w:rPr>
        <w:t xml:space="preserve"> nevykázal v souladu s právními předpisy upravujícími vedení účetnictví, a to v údajích za běžné účetní období v celkové výši 1</w:t>
      </w:r>
      <w:r w:rsidR="00461F8E">
        <w:rPr>
          <w:rFonts w:asciiTheme="minorHAnsi" w:hAnsiTheme="minorHAnsi" w:cstheme="minorHAnsi"/>
          <w:b/>
          <w:bCs/>
          <w:spacing w:val="-2"/>
        </w:rPr>
        <w:t>,4</w:t>
      </w:r>
      <w:r w:rsidR="00DD25AF">
        <w:rPr>
          <w:rFonts w:asciiTheme="minorHAnsi" w:hAnsiTheme="minorHAnsi" w:cstheme="minorHAnsi"/>
          <w:b/>
          <w:bCs/>
          <w:spacing w:val="-2"/>
        </w:rPr>
        <w:t> </w:t>
      </w:r>
      <w:r w:rsidRPr="00B35CB1">
        <w:rPr>
          <w:rFonts w:asciiTheme="minorHAnsi" w:hAnsiTheme="minorHAnsi" w:cstheme="minorHAnsi"/>
          <w:b/>
          <w:bCs/>
          <w:spacing w:val="-2"/>
        </w:rPr>
        <w:t>mil. Kč.</w:t>
      </w:r>
      <w:r w:rsidR="00B35CB1" w:rsidRPr="00B35CB1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AE1893">
        <w:rPr>
          <w:rFonts w:asciiTheme="minorHAnsi" w:hAnsiTheme="minorHAnsi" w:cstheme="minorHAnsi"/>
          <w:b/>
          <w:bCs/>
          <w:spacing w:val="-2"/>
        </w:rPr>
        <w:t xml:space="preserve">Tyto nesprávnosti nebyly významné. </w:t>
      </w:r>
    </w:p>
    <w:p w14:paraId="52C5D5C5" w14:textId="77777777" w:rsidR="00AE1893" w:rsidRPr="001C3BC2" w:rsidRDefault="000C5F50" w:rsidP="00305A14">
      <w:pPr>
        <w:ind w:right="-103"/>
        <w:jc w:val="both"/>
        <w:rPr>
          <w:rFonts w:cs="Calibri"/>
          <w:lang w:eastAsia="cs-CZ"/>
        </w:rPr>
      </w:pPr>
      <w:r w:rsidRPr="00451A15">
        <w:rPr>
          <w:rFonts w:eastAsiaTheme="minorHAnsi" w:cs="Calibri"/>
          <w:bCs/>
        </w:rPr>
        <w:t>Nesprávnosti vznikly zejména tím, že SÚJB</w:t>
      </w:r>
      <w:r w:rsidR="008C4812" w:rsidRPr="00451A15">
        <w:rPr>
          <w:rFonts w:eastAsiaTheme="minorHAnsi" w:cs="Calibri"/>
          <w:bCs/>
        </w:rPr>
        <w:t xml:space="preserve"> </w:t>
      </w:r>
      <w:r w:rsidR="00461F8E" w:rsidRPr="00451A15">
        <w:rPr>
          <w:rFonts w:cs="Calibri"/>
          <w:lang w:eastAsia="cs-CZ"/>
        </w:rPr>
        <w:t xml:space="preserve">o hodnotu provedeného technického zhodnocení nenavýšil ocenění majetku, s nímž technické zhodnocení souviselo, ale evidoval </w:t>
      </w:r>
      <w:r w:rsidR="00813DA8" w:rsidRPr="00F92262">
        <w:rPr>
          <w:rFonts w:cs="Calibri"/>
          <w:lang w:eastAsia="cs-CZ"/>
        </w:rPr>
        <w:t>a odpisoval jej</w:t>
      </w:r>
      <w:r w:rsidR="00461F8E" w:rsidRPr="00F92262">
        <w:rPr>
          <w:rFonts w:cs="Calibri"/>
          <w:lang w:eastAsia="cs-CZ"/>
        </w:rPr>
        <w:t xml:space="preserve"> jako samostatný majetek</w:t>
      </w:r>
      <w:r w:rsidR="005B4952" w:rsidRPr="00451A15">
        <w:rPr>
          <w:rStyle w:val="Znakapoznpodarou"/>
          <w:rFonts w:cs="Calibri"/>
          <w:lang w:eastAsia="cs-CZ"/>
        </w:rPr>
        <w:footnoteReference w:id="21"/>
      </w:r>
      <w:r w:rsidR="00813DA8" w:rsidRPr="00451A15">
        <w:rPr>
          <w:rFonts w:cs="Calibri"/>
          <w:lang w:eastAsia="cs-CZ"/>
        </w:rPr>
        <w:t xml:space="preserve"> </w:t>
      </w:r>
      <w:r w:rsidR="00B9040D" w:rsidRPr="00451A15">
        <w:rPr>
          <w:rFonts w:cs="Calibri"/>
          <w:lang w:eastAsia="cs-CZ"/>
        </w:rPr>
        <w:t>(</w:t>
      </w:r>
      <w:r w:rsidR="00D63CBD" w:rsidRPr="00451A15">
        <w:rPr>
          <w:rFonts w:cs="Calibri"/>
          <w:lang w:eastAsia="cs-CZ"/>
        </w:rPr>
        <w:t>viz část IV.1.</w:t>
      </w:r>
      <w:r w:rsidR="00D84537" w:rsidRPr="00451A15">
        <w:rPr>
          <w:rFonts w:cs="Calibri"/>
          <w:lang w:eastAsia="cs-CZ"/>
        </w:rPr>
        <w:t>2</w:t>
      </w:r>
      <w:r w:rsidR="00D63CBD" w:rsidRPr="00451A15">
        <w:rPr>
          <w:rFonts w:cs="Calibri"/>
          <w:lang w:eastAsia="cs-CZ"/>
        </w:rPr>
        <w:t>.1</w:t>
      </w:r>
      <w:r w:rsidR="00030F7B">
        <w:rPr>
          <w:rFonts w:cs="Calibri"/>
          <w:lang w:eastAsia="cs-CZ"/>
        </w:rPr>
        <w:t xml:space="preserve"> tohoto kontrolního závěru</w:t>
      </w:r>
      <w:r w:rsidR="00D63CBD" w:rsidRPr="00451A15">
        <w:rPr>
          <w:rFonts w:cs="Calibri"/>
          <w:lang w:eastAsia="cs-CZ"/>
        </w:rPr>
        <w:t>).</w:t>
      </w:r>
    </w:p>
    <w:p w14:paraId="0AA6BFF6" w14:textId="77777777" w:rsidR="00F77E1F" w:rsidRPr="00813DA8" w:rsidRDefault="00813DA8" w:rsidP="001D3AF5">
      <w:pPr>
        <w:ind w:right="-103"/>
        <w:jc w:val="both"/>
        <w:rPr>
          <w:rFonts w:cs="Calibri"/>
          <w:lang w:eastAsia="cs-CZ"/>
        </w:rPr>
      </w:pPr>
      <w:r w:rsidRPr="00451A15">
        <w:rPr>
          <w:rFonts w:eastAsiaTheme="minorHAnsi" w:cs="Calibri"/>
          <w:bCs/>
        </w:rPr>
        <w:t xml:space="preserve">SÚJB při vedení účetnictví </w:t>
      </w:r>
      <w:r w:rsidR="00D63CBD" w:rsidRPr="00451A15">
        <w:rPr>
          <w:rFonts w:eastAsiaTheme="minorHAnsi" w:cs="Calibri"/>
          <w:bCs/>
        </w:rPr>
        <w:t xml:space="preserve">dále </w:t>
      </w:r>
      <w:r w:rsidRPr="00451A15">
        <w:rPr>
          <w:rFonts w:eastAsiaTheme="minorHAnsi" w:cs="Calibri"/>
          <w:bCs/>
        </w:rPr>
        <w:t>nedodržel obsahové vymezení</w:t>
      </w:r>
      <w:r w:rsidR="005B4952" w:rsidRPr="00451A15">
        <w:rPr>
          <w:rStyle w:val="Znakapoznpodarou"/>
          <w:rFonts w:eastAsiaTheme="minorHAnsi" w:cs="Calibri"/>
          <w:bCs/>
        </w:rPr>
        <w:footnoteReference w:id="22"/>
      </w:r>
      <w:r w:rsidRPr="00451A15">
        <w:rPr>
          <w:rFonts w:eastAsiaTheme="minorHAnsi" w:cs="Calibri"/>
          <w:bCs/>
        </w:rPr>
        <w:t xml:space="preserve"> syntetick</w:t>
      </w:r>
      <w:r w:rsidR="0096120D" w:rsidRPr="00451A15">
        <w:rPr>
          <w:rFonts w:eastAsiaTheme="minorHAnsi" w:cs="Calibri"/>
          <w:bCs/>
        </w:rPr>
        <w:t>ých</w:t>
      </w:r>
      <w:r w:rsidRPr="00451A15">
        <w:rPr>
          <w:rFonts w:eastAsiaTheme="minorHAnsi" w:cs="Calibri"/>
          <w:bCs/>
        </w:rPr>
        <w:t xml:space="preserve"> účt</w:t>
      </w:r>
      <w:r w:rsidR="0096120D" w:rsidRPr="00451A15">
        <w:rPr>
          <w:rFonts w:eastAsiaTheme="minorHAnsi" w:cs="Calibri"/>
          <w:bCs/>
        </w:rPr>
        <w:t>ů</w:t>
      </w:r>
      <w:r w:rsidRPr="00451A15">
        <w:rPr>
          <w:rFonts w:eastAsiaTheme="minorHAnsi" w:cs="Calibri"/>
          <w:bCs/>
        </w:rPr>
        <w:t xml:space="preserve"> 018 – </w:t>
      </w:r>
      <w:r w:rsidRPr="00451A15">
        <w:rPr>
          <w:rFonts w:eastAsiaTheme="minorHAnsi" w:cs="Calibri"/>
          <w:bCs/>
          <w:i/>
        </w:rPr>
        <w:t>Drobný dlouhodobý nehmotný majetek</w:t>
      </w:r>
      <w:r w:rsidRPr="00451A15">
        <w:rPr>
          <w:rFonts w:eastAsiaTheme="minorHAnsi" w:cs="Calibri"/>
          <w:bCs/>
        </w:rPr>
        <w:t xml:space="preserve"> a 028 – </w:t>
      </w:r>
      <w:r w:rsidRPr="00451A15">
        <w:rPr>
          <w:rFonts w:eastAsiaTheme="minorHAnsi" w:cs="Calibri"/>
          <w:bCs/>
          <w:i/>
        </w:rPr>
        <w:t>Drobný dlouhodobý hmotný majetek</w:t>
      </w:r>
      <w:r w:rsidR="00D63CBD" w:rsidRPr="00451A15">
        <w:rPr>
          <w:rFonts w:eastAsiaTheme="minorHAnsi" w:cs="Calibri"/>
          <w:bCs/>
        </w:rPr>
        <w:t xml:space="preserve">, </w:t>
      </w:r>
      <w:r w:rsidRPr="00451A15">
        <w:rPr>
          <w:rFonts w:eastAsiaTheme="minorHAnsi" w:cs="Calibri"/>
          <w:bCs/>
        </w:rPr>
        <w:t xml:space="preserve">tyto nesprávnosti však </w:t>
      </w:r>
      <w:r w:rsidR="00A52C8A" w:rsidRPr="00F92262">
        <w:rPr>
          <w:rFonts w:eastAsiaTheme="minorHAnsi" w:cs="Calibri"/>
          <w:bCs/>
        </w:rPr>
        <w:t>byly</w:t>
      </w:r>
      <w:r w:rsidRPr="00F92262">
        <w:rPr>
          <w:rFonts w:asciiTheme="minorHAnsi" w:hAnsiTheme="minorHAnsi" w:cstheme="minorHAnsi"/>
          <w:bCs/>
          <w:iCs/>
        </w:rPr>
        <w:t xml:space="preserve"> bez vlivu na netto hodnotu </w:t>
      </w:r>
      <w:r w:rsidR="00D63CBD" w:rsidRPr="00F92262">
        <w:rPr>
          <w:rFonts w:asciiTheme="minorHAnsi" w:hAnsiTheme="minorHAnsi" w:cstheme="minorHAnsi"/>
          <w:bCs/>
          <w:iCs/>
        </w:rPr>
        <w:t xml:space="preserve">vykázaných zůstatků </w:t>
      </w:r>
      <w:r w:rsidRPr="00F92262">
        <w:rPr>
          <w:rFonts w:asciiTheme="minorHAnsi" w:hAnsiTheme="minorHAnsi" w:cstheme="minorHAnsi"/>
          <w:bCs/>
          <w:iCs/>
        </w:rPr>
        <w:t>dotčených účtů</w:t>
      </w:r>
      <w:r w:rsidR="00A52C8A" w:rsidRPr="00E82F99">
        <w:rPr>
          <w:rFonts w:asciiTheme="minorHAnsi" w:hAnsiTheme="minorHAnsi" w:cstheme="minorHAnsi"/>
          <w:bCs/>
          <w:iCs/>
        </w:rPr>
        <w:t xml:space="preserve"> v</w:t>
      </w:r>
      <w:r w:rsidR="00D63CBD" w:rsidRPr="00E82F99">
        <w:rPr>
          <w:rFonts w:asciiTheme="minorHAnsi" w:hAnsiTheme="minorHAnsi" w:cstheme="minorHAnsi"/>
          <w:bCs/>
          <w:iCs/>
        </w:rPr>
        <w:t> </w:t>
      </w:r>
      <w:r w:rsidR="00A52C8A" w:rsidRPr="00E82F99">
        <w:rPr>
          <w:rFonts w:asciiTheme="minorHAnsi" w:hAnsiTheme="minorHAnsi" w:cstheme="minorHAnsi"/>
          <w:bCs/>
          <w:iCs/>
        </w:rPr>
        <w:t>ÚZ</w:t>
      </w:r>
      <w:r w:rsidR="00D63CBD" w:rsidRPr="00E82F99">
        <w:rPr>
          <w:rFonts w:asciiTheme="minorHAnsi" w:hAnsiTheme="minorHAnsi" w:cstheme="minorHAnsi"/>
          <w:bCs/>
          <w:iCs/>
        </w:rPr>
        <w:t>.</w:t>
      </w:r>
    </w:p>
    <w:p w14:paraId="3A1EE83B" w14:textId="77777777" w:rsidR="00D97069" w:rsidRPr="0010125A" w:rsidRDefault="00310275" w:rsidP="00310275">
      <w:pPr>
        <w:pStyle w:val="Styl2"/>
        <w:numPr>
          <w:ilvl w:val="0"/>
          <w:numId w:val="0"/>
        </w:numPr>
        <w:spacing w:before="240" w:after="120"/>
      </w:pPr>
      <w:r>
        <w:t xml:space="preserve">1.2.1 </w:t>
      </w:r>
      <w:r w:rsidR="00D63CBD">
        <w:t>Samostatně evidované</w:t>
      </w:r>
      <w:r w:rsidR="000E49EF">
        <w:t xml:space="preserve"> a odpisované</w:t>
      </w:r>
      <w:r w:rsidR="00D63CBD">
        <w:t xml:space="preserve"> technické zhodnocení dlouhodobého majetku</w:t>
      </w:r>
    </w:p>
    <w:p w14:paraId="4EBFEB2F" w14:textId="77777777" w:rsidR="00D63CBD" w:rsidRPr="00D63CBD" w:rsidRDefault="00D63CBD" w:rsidP="00D63CBD">
      <w:pPr>
        <w:widowControl w:val="0"/>
        <w:autoSpaceDE w:val="0"/>
        <w:autoSpaceDN w:val="0"/>
        <w:adjustRightInd w:val="0"/>
        <w:jc w:val="both"/>
        <w:rPr>
          <w:rFonts w:cs="Calibri"/>
          <w:bCs/>
          <w:iCs/>
          <w:szCs w:val="22"/>
          <w:lang w:eastAsia="cs-CZ"/>
        </w:rPr>
      </w:pPr>
      <w:r w:rsidRPr="00D63CBD">
        <w:rPr>
          <w:rFonts w:cs="Calibri"/>
          <w:iCs/>
          <w:szCs w:val="22"/>
          <w:lang w:eastAsia="cs-CZ"/>
        </w:rPr>
        <w:t xml:space="preserve">SÚJB vedl na účtu 021 – </w:t>
      </w:r>
      <w:r w:rsidRPr="00D63CBD">
        <w:rPr>
          <w:rFonts w:cs="Calibri"/>
          <w:i/>
          <w:szCs w:val="22"/>
          <w:lang w:eastAsia="cs-CZ"/>
        </w:rPr>
        <w:t>Stavby</w:t>
      </w:r>
      <w:r w:rsidRPr="00D63CBD">
        <w:rPr>
          <w:rFonts w:cs="Calibri"/>
          <w:iCs/>
          <w:szCs w:val="22"/>
          <w:lang w:eastAsia="cs-CZ"/>
        </w:rPr>
        <w:t xml:space="preserve"> provedená technická zhodnocení budov jako samostatné majetkové položky</w:t>
      </w:r>
      <w:r w:rsidR="00497521">
        <w:rPr>
          <w:rFonts w:cs="Calibri"/>
          <w:iCs/>
          <w:szCs w:val="22"/>
          <w:lang w:eastAsia="cs-CZ"/>
        </w:rPr>
        <w:t xml:space="preserve"> </w:t>
      </w:r>
      <w:r w:rsidRPr="00D63CBD">
        <w:rPr>
          <w:rFonts w:cs="Calibri"/>
          <w:bCs/>
          <w:iCs/>
          <w:szCs w:val="22"/>
          <w:lang w:eastAsia="cs-CZ"/>
        </w:rPr>
        <w:t xml:space="preserve">a samostatně je i odpisoval. </w:t>
      </w:r>
      <w:r w:rsidR="006C59BA">
        <w:rPr>
          <w:rFonts w:cs="Calibri"/>
          <w:bCs/>
          <w:iCs/>
          <w:szCs w:val="22"/>
          <w:lang w:eastAsia="cs-CZ"/>
        </w:rPr>
        <w:t>Roční odpisovou sazbu</w:t>
      </w:r>
      <w:r w:rsidRPr="00D63CBD">
        <w:rPr>
          <w:rFonts w:cs="Calibri"/>
          <w:bCs/>
          <w:iCs/>
          <w:szCs w:val="22"/>
          <w:lang w:eastAsia="cs-CZ"/>
        </w:rPr>
        <w:t xml:space="preserve"> přitom stanovil ve</w:t>
      </w:r>
      <w:r w:rsidR="0000057A">
        <w:rPr>
          <w:rFonts w:cs="Calibri"/>
          <w:bCs/>
          <w:iCs/>
          <w:szCs w:val="22"/>
          <w:lang w:eastAsia="cs-CZ"/>
        </w:rPr>
        <w:t> </w:t>
      </w:r>
      <w:r w:rsidRPr="00D63CBD">
        <w:rPr>
          <w:rFonts w:cs="Calibri"/>
          <w:bCs/>
          <w:iCs/>
          <w:szCs w:val="22"/>
          <w:lang w:eastAsia="cs-CZ"/>
        </w:rPr>
        <w:t>většině případů odlišně</w:t>
      </w:r>
      <w:r w:rsidR="00441800">
        <w:rPr>
          <w:rFonts w:cs="Calibri"/>
          <w:bCs/>
          <w:iCs/>
          <w:szCs w:val="22"/>
          <w:lang w:eastAsia="cs-CZ"/>
        </w:rPr>
        <w:t xml:space="preserve"> od toho, jak </w:t>
      </w:r>
      <w:r w:rsidRPr="00D63CBD">
        <w:rPr>
          <w:rFonts w:cs="Calibri"/>
          <w:bCs/>
          <w:iCs/>
          <w:szCs w:val="22"/>
          <w:lang w:eastAsia="cs-CZ"/>
        </w:rPr>
        <w:t xml:space="preserve">byla nastavena a aplikována u zhodnocovaných budov. </w:t>
      </w:r>
      <w:r w:rsidRPr="00D63CBD">
        <w:rPr>
          <w:rFonts w:cs="Calibri"/>
          <w:iCs/>
          <w:szCs w:val="22"/>
          <w:lang w:eastAsia="cs-CZ"/>
        </w:rPr>
        <w:t xml:space="preserve">SÚJB měl </w:t>
      </w:r>
      <w:r w:rsidRPr="00D63CBD">
        <w:rPr>
          <w:rFonts w:cs="Calibri"/>
          <w:bCs/>
          <w:iCs/>
          <w:szCs w:val="22"/>
          <w:lang w:eastAsia="cs-CZ"/>
        </w:rPr>
        <w:t>navýšit ocenění příslušné budovy o pořizovací cenu provedeného technického zhodnocení a</w:t>
      </w:r>
      <w:r w:rsidR="009A3BD9">
        <w:rPr>
          <w:rFonts w:cs="Calibri"/>
          <w:bCs/>
          <w:iCs/>
          <w:szCs w:val="22"/>
          <w:lang w:eastAsia="cs-CZ"/>
        </w:rPr>
        <w:t> </w:t>
      </w:r>
      <w:r w:rsidRPr="00D63CBD">
        <w:rPr>
          <w:rFonts w:cs="Calibri"/>
          <w:bCs/>
          <w:iCs/>
          <w:szCs w:val="22"/>
          <w:lang w:eastAsia="cs-CZ"/>
        </w:rPr>
        <w:t>jako součást ocenění zhodnocené budovy měl předmětné technické zhodnocení následně odpisovat</w:t>
      </w:r>
      <w:r w:rsidR="0032611A">
        <w:rPr>
          <w:rFonts w:cs="Calibri"/>
          <w:bCs/>
          <w:iCs/>
          <w:szCs w:val="22"/>
          <w:lang w:eastAsia="cs-CZ"/>
        </w:rPr>
        <w:t xml:space="preserve"> po </w:t>
      </w:r>
      <w:r w:rsidR="00547B4C">
        <w:rPr>
          <w:rFonts w:cs="Calibri"/>
          <w:bCs/>
          <w:iCs/>
          <w:szCs w:val="22"/>
          <w:lang w:eastAsia="cs-CZ"/>
        </w:rPr>
        <w:t xml:space="preserve">předpokládanou </w:t>
      </w:r>
      <w:r w:rsidR="0032611A">
        <w:rPr>
          <w:rFonts w:cs="Calibri"/>
          <w:bCs/>
          <w:iCs/>
          <w:szCs w:val="22"/>
          <w:lang w:eastAsia="cs-CZ"/>
        </w:rPr>
        <w:t xml:space="preserve">zbývající </w:t>
      </w:r>
      <w:r w:rsidR="00441800">
        <w:rPr>
          <w:rFonts w:cs="Calibri"/>
          <w:bCs/>
          <w:iCs/>
          <w:szCs w:val="22"/>
          <w:lang w:eastAsia="cs-CZ"/>
        </w:rPr>
        <w:t xml:space="preserve">dobu </w:t>
      </w:r>
      <w:r w:rsidR="00547B4C">
        <w:rPr>
          <w:rFonts w:cs="Calibri"/>
          <w:bCs/>
          <w:iCs/>
          <w:szCs w:val="22"/>
          <w:lang w:eastAsia="cs-CZ"/>
        </w:rPr>
        <w:t>používání</w:t>
      </w:r>
      <w:r w:rsidR="0032611A">
        <w:rPr>
          <w:rFonts w:cs="Calibri"/>
          <w:bCs/>
          <w:iCs/>
          <w:szCs w:val="22"/>
          <w:lang w:eastAsia="cs-CZ"/>
        </w:rPr>
        <w:t xml:space="preserve"> zhodnocené budovy</w:t>
      </w:r>
      <w:r w:rsidRPr="00D63CBD">
        <w:rPr>
          <w:rFonts w:cs="Calibri"/>
          <w:bCs/>
          <w:iCs/>
          <w:szCs w:val="22"/>
          <w:lang w:eastAsia="cs-CZ"/>
        </w:rPr>
        <w:t>. Jednalo se o systémovou nesprávnost.</w:t>
      </w:r>
    </w:p>
    <w:p w14:paraId="33AE5C6A" w14:textId="77777777" w:rsidR="00014D77" w:rsidRPr="009A5C4F" w:rsidRDefault="007A40E2" w:rsidP="001D3AF5">
      <w:pPr>
        <w:jc w:val="both"/>
        <w:rPr>
          <w:rFonts w:cs="Calibri"/>
          <w:bCs/>
          <w:iCs/>
          <w:szCs w:val="22"/>
          <w:lang w:eastAsia="cs-CZ"/>
        </w:rPr>
      </w:pPr>
      <w:r w:rsidRPr="000F3D33">
        <w:rPr>
          <w:rFonts w:cs="Calibri"/>
          <w:bCs/>
          <w:iCs/>
          <w:szCs w:val="22"/>
          <w:lang w:eastAsia="cs-CZ"/>
        </w:rPr>
        <w:t>Uvedené skutečnosti</w:t>
      </w:r>
      <w:r w:rsidR="00014D77" w:rsidRPr="000F3D33">
        <w:rPr>
          <w:rFonts w:cs="Calibri"/>
          <w:bCs/>
          <w:iCs/>
          <w:szCs w:val="22"/>
          <w:lang w:eastAsia="cs-CZ"/>
        </w:rPr>
        <w:t xml:space="preserve"> měl</w:t>
      </w:r>
      <w:r w:rsidRPr="000F3D33">
        <w:rPr>
          <w:rFonts w:cs="Calibri"/>
          <w:bCs/>
          <w:iCs/>
          <w:szCs w:val="22"/>
          <w:lang w:eastAsia="cs-CZ"/>
        </w:rPr>
        <w:t>y</w:t>
      </w:r>
      <w:r w:rsidR="00014D77" w:rsidRPr="000F3D33">
        <w:rPr>
          <w:rFonts w:cs="Calibri"/>
          <w:bCs/>
          <w:iCs/>
          <w:szCs w:val="22"/>
          <w:lang w:eastAsia="cs-CZ"/>
        </w:rPr>
        <w:t xml:space="preserve"> dopad na správnost vykázaných zůstatků </w:t>
      </w:r>
      <w:r w:rsidR="006D15A0" w:rsidRPr="000F3D33">
        <w:rPr>
          <w:rFonts w:cs="Calibri"/>
          <w:bCs/>
          <w:iCs/>
          <w:szCs w:val="22"/>
          <w:lang w:eastAsia="cs-CZ"/>
        </w:rPr>
        <w:t xml:space="preserve">položek účetní závěrky </w:t>
      </w:r>
      <w:r w:rsidR="00014D77" w:rsidRPr="000F3D33">
        <w:rPr>
          <w:rFonts w:cs="Calibri"/>
          <w:bCs/>
          <w:iCs/>
          <w:szCs w:val="22"/>
          <w:lang w:eastAsia="cs-CZ"/>
        </w:rPr>
        <w:t>ve</w:t>
      </w:r>
      <w:r w:rsidR="009A3BD9" w:rsidRPr="000F3D33">
        <w:rPr>
          <w:rFonts w:cs="Calibri"/>
          <w:bCs/>
          <w:iCs/>
          <w:szCs w:val="22"/>
          <w:lang w:eastAsia="cs-CZ"/>
        </w:rPr>
        <w:t> </w:t>
      </w:r>
      <w:r w:rsidR="00014D77" w:rsidRPr="000F3D33">
        <w:rPr>
          <w:rFonts w:cs="Calibri"/>
          <w:bCs/>
          <w:iCs/>
          <w:szCs w:val="22"/>
          <w:lang w:eastAsia="cs-CZ"/>
        </w:rPr>
        <w:t xml:space="preserve">výkazu </w:t>
      </w:r>
      <w:r w:rsidRPr="000F3D33">
        <w:rPr>
          <w:rFonts w:cs="Calibri"/>
          <w:bCs/>
          <w:iCs/>
          <w:szCs w:val="22"/>
          <w:lang w:eastAsia="cs-CZ"/>
        </w:rPr>
        <w:t>r</w:t>
      </w:r>
      <w:r w:rsidR="00014D77" w:rsidRPr="000F3D33">
        <w:rPr>
          <w:rFonts w:cs="Calibri"/>
          <w:bCs/>
          <w:iCs/>
          <w:szCs w:val="22"/>
          <w:lang w:eastAsia="cs-CZ"/>
        </w:rPr>
        <w:t xml:space="preserve">ozvaha a ve </w:t>
      </w:r>
      <w:r w:rsidRPr="000F3D33">
        <w:rPr>
          <w:rFonts w:cs="Calibri"/>
          <w:bCs/>
          <w:iCs/>
          <w:szCs w:val="22"/>
          <w:lang w:eastAsia="cs-CZ"/>
        </w:rPr>
        <w:t>v</w:t>
      </w:r>
      <w:r w:rsidR="00014D77" w:rsidRPr="000F3D33">
        <w:rPr>
          <w:rFonts w:cs="Calibri"/>
          <w:bCs/>
          <w:iCs/>
          <w:szCs w:val="22"/>
          <w:lang w:eastAsia="cs-CZ"/>
        </w:rPr>
        <w:t>ýkazu zisku a ztráty,</w:t>
      </w:r>
      <w:r w:rsidR="00021C4D" w:rsidRPr="000F3D33">
        <w:rPr>
          <w:rFonts w:cs="Calibri"/>
          <w:bCs/>
          <w:iCs/>
          <w:szCs w:val="22"/>
          <w:lang w:eastAsia="cs-CZ"/>
        </w:rPr>
        <w:t xml:space="preserve"> </w:t>
      </w:r>
      <w:r w:rsidRPr="000F3D33">
        <w:rPr>
          <w:rFonts w:cs="Calibri"/>
          <w:bCs/>
          <w:iCs/>
          <w:szCs w:val="22"/>
          <w:lang w:eastAsia="cs-CZ"/>
        </w:rPr>
        <w:t>a to</w:t>
      </w:r>
      <w:r w:rsidR="006D15A0" w:rsidRPr="000F3D33">
        <w:rPr>
          <w:rFonts w:cs="Calibri"/>
          <w:bCs/>
          <w:iCs/>
          <w:szCs w:val="22"/>
          <w:lang w:eastAsia="cs-CZ"/>
        </w:rPr>
        <w:t xml:space="preserve"> syntetických</w:t>
      </w:r>
      <w:r w:rsidR="00014D77" w:rsidRPr="000F3D33">
        <w:rPr>
          <w:rFonts w:cs="Calibri"/>
          <w:bCs/>
          <w:iCs/>
          <w:szCs w:val="22"/>
          <w:lang w:eastAsia="cs-CZ"/>
        </w:rPr>
        <w:t xml:space="preserve"> </w:t>
      </w:r>
      <w:r w:rsidR="00C01B5D" w:rsidRPr="000F3D33">
        <w:rPr>
          <w:rFonts w:cs="Calibri"/>
          <w:bCs/>
          <w:iCs/>
          <w:szCs w:val="22"/>
          <w:lang w:eastAsia="cs-CZ"/>
        </w:rPr>
        <w:t>účtů</w:t>
      </w:r>
      <w:r w:rsidR="00014D77" w:rsidRPr="000F3D33">
        <w:rPr>
          <w:rFonts w:cs="Calibri"/>
          <w:bCs/>
          <w:iCs/>
          <w:szCs w:val="22"/>
          <w:lang w:eastAsia="cs-CZ"/>
        </w:rPr>
        <w:t xml:space="preserve"> 021 – </w:t>
      </w:r>
      <w:r w:rsidR="00014D77" w:rsidRPr="000F3D33">
        <w:rPr>
          <w:rFonts w:cs="Calibri"/>
          <w:bCs/>
          <w:i/>
          <w:szCs w:val="22"/>
          <w:lang w:eastAsia="cs-CZ"/>
        </w:rPr>
        <w:t>Stavby</w:t>
      </w:r>
      <w:r w:rsidRPr="000F3D33">
        <w:rPr>
          <w:rFonts w:cs="Calibri"/>
          <w:bCs/>
          <w:i/>
          <w:szCs w:val="22"/>
          <w:lang w:eastAsia="cs-CZ"/>
        </w:rPr>
        <w:t xml:space="preserve"> </w:t>
      </w:r>
      <w:r w:rsidRPr="000F3D33">
        <w:rPr>
          <w:rFonts w:cs="Calibri"/>
          <w:bCs/>
          <w:szCs w:val="22"/>
          <w:lang w:eastAsia="cs-CZ"/>
        </w:rPr>
        <w:t>(podhodnocen</w:t>
      </w:r>
      <w:r w:rsidR="009A5C4F" w:rsidRPr="000F3D33">
        <w:rPr>
          <w:rFonts w:cs="Calibri"/>
          <w:bCs/>
          <w:szCs w:val="22"/>
          <w:lang w:eastAsia="cs-CZ"/>
        </w:rPr>
        <w:t xml:space="preserve"> </w:t>
      </w:r>
      <w:r w:rsidR="009A5C4F" w:rsidRPr="00444B2B">
        <w:rPr>
          <w:rFonts w:cs="Calibri"/>
          <w:bCs/>
          <w:color w:val="000000" w:themeColor="text1"/>
          <w:szCs w:val="22"/>
          <w:lang w:eastAsia="cs-CZ"/>
        </w:rPr>
        <w:t>o 1,</w:t>
      </w:r>
      <w:r w:rsidR="00CC0311" w:rsidRPr="00444B2B">
        <w:rPr>
          <w:rFonts w:cs="Calibri"/>
          <w:bCs/>
          <w:color w:val="000000" w:themeColor="text1"/>
          <w:szCs w:val="22"/>
          <w:lang w:eastAsia="cs-CZ"/>
        </w:rPr>
        <w:t>4</w:t>
      </w:r>
      <w:r w:rsidR="009A5C4F" w:rsidRPr="00444B2B">
        <w:rPr>
          <w:rFonts w:cs="Calibri"/>
          <w:bCs/>
          <w:color w:val="000000" w:themeColor="text1"/>
          <w:szCs w:val="22"/>
          <w:lang w:eastAsia="cs-CZ"/>
        </w:rPr>
        <w:t xml:space="preserve"> mil</w:t>
      </w:r>
      <w:r w:rsidR="009A5C4F" w:rsidRPr="000F3D33">
        <w:rPr>
          <w:rFonts w:cs="Calibri"/>
          <w:bCs/>
          <w:szCs w:val="22"/>
          <w:lang w:eastAsia="cs-CZ"/>
        </w:rPr>
        <w:t>. Kč)</w:t>
      </w:r>
      <w:r w:rsidR="00C01B5D" w:rsidRPr="000F3D33">
        <w:rPr>
          <w:rFonts w:cs="Calibri"/>
          <w:bCs/>
          <w:iCs/>
          <w:szCs w:val="22"/>
          <w:lang w:eastAsia="cs-CZ"/>
        </w:rPr>
        <w:t xml:space="preserve"> a</w:t>
      </w:r>
      <w:r w:rsidR="00014D77" w:rsidRPr="000F3D33">
        <w:rPr>
          <w:rFonts w:cs="Calibri"/>
          <w:bCs/>
          <w:iCs/>
          <w:szCs w:val="22"/>
          <w:lang w:eastAsia="cs-CZ"/>
        </w:rPr>
        <w:t xml:space="preserve"> 551 – </w:t>
      </w:r>
      <w:r w:rsidR="00014D77" w:rsidRPr="000F3D33">
        <w:rPr>
          <w:rFonts w:cs="Calibri"/>
          <w:bCs/>
          <w:i/>
          <w:iCs/>
          <w:szCs w:val="22"/>
          <w:lang w:eastAsia="cs-CZ"/>
        </w:rPr>
        <w:t>Odpisy dlouhodobého majetku</w:t>
      </w:r>
      <w:r w:rsidR="009A5C4F" w:rsidRPr="000F3D33">
        <w:rPr>
          <w:rFonts w:cs="Calibri"/>
          <w:bCs/>
          <w:i/>
          <w:iCs/>
          <w:szCs w:val="22"/>
          <w:lang w:eastAsia="cs-CZ"/>
        </w:rPr>
        <w:t xml:space="preserve"> </w:t>
      </w:r>
      <w:r w:rsidR="009A5C4F" w:rsidRPr="000F3D33">
        <w:rPr>
          <w:rFonts w:cs="Calibri"/>
          <w:bCs/>
          <w:iCs/>
          <w:szCs w:val="22"/>
          <w:lang w:eastAsia="cs-CZ"/>
        </w:rPr>
        <w:t>(nadhodnocen o</w:t>
      </w:r>
      <w:r w:rsidR="00247F88">
        <w:rPr>
          <w:rFonts w:cs="Calibri"/>
          <w:bCs/>
          <w:iCs/>
          <w:szCs w:val="22"/>
          <w:lang w:eastAsia="cs-CZ"/>
        </w:rPr>
        <w:t> </w:t>
      </w:r>
      <w:r w:rsidR="009A5C4F" w:rsidRPr="000F3D33">
        <w:rPr>
          <w:rFonts w:cs="Calibri"/>
          <w:bCs/>
          <w:iCs/>
          <w:szCs w:val="22"/>
          <w:lang w:eastAsia="cs-CZ"/>
        </w:rPr>
        <w:t>0,3</w:t>
      </w:r>
      <w:r w:rsidR="00247F88">
        <w:rPr>
          <w:rFonts w:cs="Calibri"/>
          <w:bCs/>
          <w:iCs/>
          <w:szCs w:val="22"/>
          <w:lang w:eastAsia="cs-CZ"/>
        </w:rPr>
        <w:t> </w:t>
      </w:r>
      <w:r w:rsidR="009A5C4F" w:rsidRPr="000F3D33">
        <w:rPr>
          <w:rFonts w:cs="Calibri"/>
          <w:bCs/>
          <w:iCs/>
          <w:szCs w:val="22"/>
          <w:lang w:eastAsia="cs-CZ"/>
        </w:rPr>
        <w:t>mil.</w:t>
      </w:r>
      <w:r w:rsidR="00247F88">
        <w:rPr>
          <w:rFonts w:cs="Calibri"/>
          <w:bCs/>
          <w:iCs/>
          <w:szCs w:val="22"/>
          <w:lang w:eastAsia="cs-CZ"/>
        </w:rPr>
        <w:t> </w:t>
      </w:r>
      <w:r w:rsidR="009A5C4F" w:rsidRPr="000F3D33">
        <w:rPr>
          <w:rFonts w:cs="Calibri"/>
          <w:bCs/>
          <w:iCs/>
          <w:szCs w:val="22"/>
          <w:lang w:eastAsia="cs-CZ"/>
        </w:rPr>
        <w:t>Kč)</w:t>
      </w:r>
      <w:r w:rsidR="00014D77" w:rsidRPr="000F3D33">
        <w:rPr>
          <w:rFonts w:cs="Calibri"/>
          <w:bCs/>
          <w:i/>
          <w:iCs/>
          <w:szCs w:val="22"/>
          <w:lang w:eastAsia="cs-CZ"/>
        </w:rPr>
        <w:t xml:space="preserve"> </w:t>
      </w:r>
      <w:r w:rsidR="00014D77" w:rsidRPr="000F3D33">
        <w:rPr>
          <w:rFonts w:cs="Calibri"/>
          <w:bCs/>
          <w:iCs/>
          <w:szCs w:val="22"/>
          <w:lang w:eastAsia="cs-CZ"/>
        </w:rPr>
        <w:t>a účtů výsledků hospodaření, a to jak v účetním období roku 2022</w:t>
      </w:r>
      <w:r w:rsidR="008F6632" w:rsidRPr="000F3D33">
        <w:rPr>
          <w:rFonts w:cs="Calibri"/>
          <w:bCs/>
          <w:iCs/>
          <w:szCs w:val="22"/>
          <w:lang w:eastAsia="cs-CZ"/>
        </w:rPr>
        <w:t xml:space="preserve"> (výsledek hospodaření</w:t>
      </w:r>
      <w:r w:rsidR="008F6632" w:rsidRPr="008F6632">
        <w:rPr>
          <w:rFonts w:cs="Calibri"/>
          <w:bCs/>
          <w:iCs/>
          <w:szCs w:val="22"/>
          <w:lang w:eastAsia="cs-CZ"/>
        </w:rPr>
        <w:t xml:space="preserve"> běžného účetního období </w:t>
      </w:r>
      <w:r w:rsidR="008F6632">
        <w:rPr>
          <w:rFonts w:cs="Calibri"/>
          <w:bCs/>
          <w:iCs/>
          <w:szCs w:val="22"/>
          <w:lang w:eastAsia="cs-CZ"/>
        </w:rPr>
        <w:t xml:space="preserve">podhodnocen </w:t>
      </w:r>
      <w:r w:rsidR="008F6632" w:rsidRPr="008F6632">
        <w:rPr>
          <w:rFonts w:cs="Calibri"/>
          <w:bCs/>
          <w:iCs/>
          <w:szCs w:val="22"/>
          <w:lang w:eastAsia="cs-CZ"/>
        </w:rPr>
        <w:t xml:space="preserve">o </w:t>
      </w:r>
      <w:r w:rsidR="008F6632">
        <w:rPr>
          <w:rFonts w:cs="Calibri"/>
          <w:bCs/>
          <w:iCs/>
          <w:szCs w:val="22"/>
          <w:lang w:eastAsia="cs-CZ"/>
        </w:rPr>
        <w:t>0,3 mil. Kč)</w:t>
      </w:r>
      <w:r w:rsidR="00014D77" w:rsidRPr="009A5C4F">
        <w:rPr>
          <w:rFonts w:cs="Calibri"/>
          <w:bCs/>
          <w:iCs/>
          <w:szCs w:val="22"/>
          <w:lang w:eastAsia="cs-CZ"/>
        </w:rPr>
        <w:t>, tak v předcházejících účetních období</w:t>
      </w:r>
      <w:r w:rsidR="009A5C4F" w:rsidRPr="009A5C4F">
        <w:rPr>
          <w:rFonts w:cs="Calibri"/>
          <w:bCs/>
          <w:iCs/>
          <w:szCs w:val="22"/>
          <w:lang w:eastAsia="cs-CZ"/>
        </w:rPr>
        <w:t xml:space="preserve"> (</w:t>
      </w:r>
      <w:r w:rsidR="006C1A1D">
        <w:rPr>
          <w:rFonts w:cs="Calibri"/>
          <w:bCs/>
          <w:iCs/>
          <w:szCs w:val="22"/>
          <w:lang w:eastAsia="cs-CZ"/>
        </w:rPr>
        <w:t xml:space="preserve">účet </w:t>
      </w:r>
      <w:r w:rsidR="00C01B5D">
        <w:rPr>
          <w:rFonts w:cs="Calibri"/>
          <w:bCs/>
          <w:iCs/>
          <w:szCs w:val="22"/>
          <w:lang w:eastAsia="cs-CZ"/>
        </w:rPr>
        <w:t xml:space="preserve">432 – </w:t>
      </w:r>
      <w:r w:rsidR="00C01B5D" w:rsidRPr="00C01B5D">
        <w:rPr>
          <w:rFonts w:cs="Calibri"/>
          <w:bCs/>
          <w:i/>
          <w:iCs/>
          <w:szCs w:val="22"/>
          <w:lang w:eastAsia="cs-CZ"/>
        </w:rPr>
        <w:t>Výsledek hospodaření předcházejících účetních období</w:t>
      </w:r>
      <w:r w:rsidR="00C01B5D">
        <w:rPr>
          <w:rFonts w:cs="Calibri"/>
          <w:bCs/>
          <w:iCs/>
          <w:szCs w:val="22"/>
          <w:lang w:eastAsia="cs-CZ"/>
        </w:rPr>
        <w:t xml:space="preserve"> </w:t>
      </w:r>
      <w:r w:rsidR="009A5C4F" w:rsidRPr="009A5C4F">
        <w:rPr>
          <w:rFonts w:cs="Calibri"/>
          <w:bCs/>
          <w:iCs/>
          <w:szCs w:val="22"/>
          <w:lang w:eastAsia="cs-CZ"/>
        </w:rPr>
        <w:t>podhodnocen o 1,1 mil. Kč).</w:t>
      </w:r>
    </w:p>
    <w:p w14:paraId="431C2F64" w14:textId="77777777" w:rsidR="00014D77" w:rsidRDefault="007862FE" w:rsidP="00B356B3">
      <w:pPr>
        <w:jc w:val="both"/>
        <w:rPr>
          <w:rFonts w:asciiTheme="minorHAnsi" w:hAnsiTheme="minorHAnsi" w:cstheme="minorHAnsi"/>
          <w:spacing w:val="-2"/>
        </w:rPr>
      </w:pPr>
      <w:r w:rsidRPr="00CC0311">
        <w:rPr>
          <w:rFonts w:cs="Arial"/>
          <w:lang w:eastAsia="cs-CZ"/>
        </w:rPr>
        <w:t>Uvedená nesprávnost byla systémového charakteru</w:t>
      </w:r>
      <w:r w:rsidR="003D49A3" w:rsidRPr="00CC0311">
        <w:rPr>
          <w:rFonts w:cs="Arial"/>
          <w:lang w:eastAsia="cs-CZ"/>
        </w:rPr>
        <w:t>. SÚJB přistoupil k její opravě v</w:t>
      </w:r>
      <w:r w:rsidR="00BD34C8" w:rsidRPr="00CC0311">
        <w:rPr>
          <w:rFonts w:cs="Arial"/>
          <w:lang w:eastAsia="cs-CZ"/>
        </w:rPr>
        <w:t> </w:t>
      </w:r>
      <w:r w:rsidR="003D49A3" w:rsidRPr="00CC0311">
        <w:rPr>
          <w:rFonts w:cs="Arial"/>
          <w:lang w:eastAsia="cs-CZ"/>
        </w:rPr>
        <w:t>účetním</w:t>
      </w:r>
      <w:r w:rsidR="00BD34C8" w:rsidRPr="00CC0311">
        <w:rPr>
          <w:rFonts w:cs="Arial"/>
          <w:lang w:eastAsia="cs-CZ"/>
        </w:rPr>
        <w:t xml:space="preserve"> období roku 2023 </w:t>
      </w:r>
      <w:r w:rsidR="003D49A3" w:rsidRPr="00CC0311">
        <w:rPr>
          <w:rFonts w:cs="Arial"/>
          <w:lang w:eastAsia="cs-CZ"/>
        </w:rPr>
        <w:t>komplexně</w:t>
      </w:r>
      <w:r w:rsidR="00297A1A" w:rsidRPr="00CC0311">
        <w:rPr>
          <w:rFonts w:cs="Arial"/>
          <w:lang w:eastAsia="cs-CZ"/>
        </w:rPr>
        <w:t>, s cílem zamezit jejímu výskytu v dalších obdobích</w:t>
      </w:r>
      <w:r w:rsidR="003D49A3" w:rsidRPr="00CC0311">
        <w:rPr>
          <w:rFonts w:cs="Arial"/>
          <w:lang w:eastAsia="cs-CZ"/>
        </w:rPr>
        <w:t xml:space="preserve">. </w:t>
      </w:r>
    </w:p>
    <w:p w14:paraId="2B52E3D9" w14:textId="77777777" w:rsidR="0090755D" w:rsidRPr="00F67192" w:rsidRDefault="00310275" w:rsidP="00310275">
      <w:pPr>
        <w:pStyle w:val="Styl2"/>
        <w:numPr>
          <w:ilvl w:val="0"/>
          <w:numId w:val="0"/>
        </w:numPr>
        <w:spacing w:before="240" w:after="120"/>
      </w:pPr>
      <w:r>
        <w:lastRenderedPageBreak/>
        <w:t xml:space="preserve">1.3 </w:t>
      </w:r>
      <w:r w:rsidR="003F65AE" w:rsidRPr="00F67192">
        <w:t>S</w:t>
      </w:r>
      <w:r w:rsidR="0090755D" w:rsidRPr="00F67192">
        <w:t>polehlivost údajů ÚZ</w:t>
      </w:r>
    </w:p>
    <w:p w14:paraId="25FBD17A" w14:textId="77777777" w:rsidR="00CB5F84" w:rsidRPr="00CC0311" w:rsidRDefault="00CB5F84" w:rsidP="00247F88">
      <w:pPr>
        <w:spacing w:before="120"/>
        <w:jc w:val="both"/>
        <w:rPr>
          <w:rFonts w:asciiTheme="minorHAnsi" w:hAnsiTheme="minorHAnsi" w:cstheme="minorHAnsi"/>
        </w:rPr>
      </w:pPr>
      <w:r w:rsidRPr="00723C33">
        <w:rPr>
          <w:rFonts w:asciiTheme="minorHAnsi" w:hAnsiTheme="minorHAnsi" w:cstheme="minorHAnsi"/>
        </w:rPr>
        <w:t>Údaje ÚZ byly vykázány v rozvaze,</w:t>
      </w:r>
      <w:r w:rsidR="003D1832">
        <w:rPr>
          <w:rFonts w:asciiTheme="minorHAnsi" w:hAnsiTheme="minorHAnsi" w:cstheme="minorHAnsi"/>
        </w:rPr>
        <w:t xml:space="preserve"> ve</w:t>
      </w:r>
      <w:r w:rsidRPr="00723C33">
        <w:rPr>
          <w:rFonts w:asciiTheme="minorHAnsi" w:hAnsiTheme="minorHAnsi" w:cstheme="minorHAnsi"/>
        </w:rPr>
        <w:t xml:space="preserve"> výkazu zisku a ztráty,</w:t>
      </w:r>
      <w:r w:rsidR="00583C50">
        <w:rPr>
          <w:rFonts w:asciiTheme="minorHAnsi" w:hAnsiTheme="minorHAnsi" w:cstheme="minorHAnsi"/>
        </w:rPr>
        <w:t xml:space="preserve"> v</w:t>
      </w:r>
      <w:r w:rsidRPr="00723C33">
        <w:rPr>
          <w:rFonts w:asciiTheme="minorHAnsi" w:hAnsiTheme="minorHAnsi" w:cstheme="minorHAnsi"/>
        </w:rPr>
        <w:t xml:space="preserve"> přehledu o peněžních tocích, </w:t>
      </w:r>
      <w:r w:rsidR="008349E7">
        <w:rPr>
          <w:rFonts w:asciiTheme="minorHAnsi" w:hAnsiTheme="minorHAnsi" w:cstheme="minorHAnsi"/>
        </w:rPr>
        <w:t>v</w:t>
      </w:r>
      <w:r w:rsidR="008F0153">
        <w:rPr>
          <w:rFonts w:asciiTheme="minorHAnsi" w:hAnsiTheme="minorHAnsi" w:cstheme="minorHAnsi"/>
        </w:rPr>
        <w:t> </w:t>
      </w:r>
      <w:r w:rsidRPr="00CC0311">
        <w:rPr>
          <w:rFonts w:asciiTheme="minorHAnsi" w:hAnsiTheme="minorHAnsi" w:cstheme="minorHAnsi"/>
        </w:rPr>
        <w:t>přehledu o změnách vlastního kapitálu a v příloze.</w:t>
      </w:r>
    </w:p>
    <w:p w14:paraId="48A00066" w14:textId="77777777" w:rsidR="001A391B" w:rsidRPr="00723C33" w:rsidRDefault="001A391B" w:rsidP="00247F88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CC0311">
        <w:rPr>
          <w:rFonts w:cs="Calibri"/>
        </w:rPr>
        <w:t xml:space="preserve">Pro vyhodnocení spolehlivosti údajů ÚZ byla stanovena hladina </w:t>
      </w:r>
      <w:r w:rsidRPr="00FD764C">
        <w:rPr>
          <w:rFonts w:cs="Calibri"/>
        </w:rPr>
        <w:t>významnosti</w:t>
      </w:r>
      <w:r w:rsidR="00904246" w:rsidRPr="00CC0311">
        <w:rPr>
          <w:rStyle w:val="Znakapoznpodarou"/>
          <w:rFonts w:cs="Calibri"/>
        </w:rPr>
        <w:footnoteReference w:id="23"/>
      </w:r>
      <w:r w:rsidRPr="00CC0311">
        <w:rPr>
          <w:rFonts w:cs="Calibri"/>
        </w:rPr>
        <w:t xml:space="preserve"> ve výši 9,5</w:t>
      </w:r>
      <w:r w:rsidR="00767853" w:rsidRPr="00CC0311">
        <w:rPr>
          <w:rFonts w:cs="Calibri"/>
        </w:rPr>
        <w:t> </w:t>
      </w:r>
      <w:r w:rsidRPr="00CC0311">
        <w:rPr>
          <w:rFonts w:cs="Calibri"/>
        </w:rPr>
        <w:t>mil.</w:t>
      </w:r>
      <w:r w:rsidR="00767853" w:rsidRPr="00CC0311">
        <w:rPr>
          <w:rFonts w:cs="Calibri"/>
        </w:rPr>
        <w:t> </w:t>
      </w:r>
      <w:r w:rsidRPr="00CC0311">
        <w:rPr>
          <w:rFonts w:cs="Calibri"/>
        </w:rPr>
        <w:t>Kč</w:t>
      </w:r>
      <w:r w:rsidR="00904246" w:rsidRPr="00CC0311">
        <w:rPr>
          <w:rStyle w:val="Znakapoznpodarou"/>
          <w:rFonts w:cs="Calibri"/>
        </w:rPr>
        <w:footnoteReference w:id="24"/>
      </w:r>
      <w:r w:rsidRPr="00CC0311">
        <w:rPr>
          <w:rFonts w:cs="Calibri"/>
        </w:rPr>
        <w:t>.</w:t>
      </w:r>
    </w:p>
    <w:p w14:paraId="3D3C230B" w14:textId="77777777" w:rsidR="002C44C1" w:rsidRPr="001B4D88" w:rsidRDefault="00350785" w:rsidP="00247F88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872B70">
        <w:rPr>
          <w:rFonts w:asciiTheme="minorHAnsi" w:hAnsiTheme="minorHAnsi" w:cstheme="minorHAnsi"/>
          <w:spacing w:val="-2"/>
        </w:rPr>
        <w:t>V</w:t>
      </w:r>
      <w:r w:rsidR="00CF05CF" w:rsidRPr="00872B70">
        <w:rPr>
          <w:rFonts w:asciiTheme="minorHAnsi" w:hAnsiTheme="minorHAnsi" w:cstheme="minorHAnsi"/>
          <w:spacing w:val="-2"/>
        </w:rPr>
        <w:t> účetní závěrce</w:t>
      </w:r>
      <w:r w:rsidRPr="00872B70">
        <w:rPr>
          <w:rFonts w:eastAsia="Calibri" w:cs="Calibri"/>
        </w:rPr>
        <w:t xml:space="preserve"> </w:t>
      </w:r>
      <w:r w:rsidR="00EE2D5D" w:rsidRPr="00872B70">
        <w:rPr>
          <w:rFonts w:eastAsia="Calibri" w:cs="Calibri"/>
        </w:rPr>
        <w:t>sestavené po provedení oprav</w:t>
      </w:r>
      <w:r w:rsidR="00CB5F84" w:rsidRPr="00872B70">
        <w:rPr>
          <w:rFonts w:eastAsia="Calibri" w:cs="Calibri"/>
        </w:rPr>
        <w:t xml:space="preserve"> </w:t>
      </w:r>
      <w:r w:rsidR="00583C50" w:rsidRPr="005F7787">
        <w:rPr>
          <w:rFonts w:eastAsia="Calibri" w:cs="Calibri"/>
        </w:rPr>
        <w:t>(</w:t>
      </w:r>
      <w:r w:rsidR="00CB5F84" w:rsidRPr="005F7787">
        <w:rPr>
          <w:rFonts w:eastAsia="Calibri" w:cs="Calibri"/>
        </w:rPr>
        <w:t>uvedených v části IV.</w:t>
      </w:r>
      <w:r w:rsidR="00D429A9">
        <w:rPr>
          <w:rFonts w:eastAsia="Calibri" w:cs="Calibri"/>
        </w:rPr>
        <w:t>1.1</w:t>
      </w:r>
      <w:r w:rsidR="000975DE">
        <w:rPr>
          <w:rFonts w:eastAsia="Calibri" w:cs="Calibri"/>
        </w:rPr>
        <w:t xml:space="preserve"> tohoto kontrolního závěru</w:t>
      </w:r>
      <w:r w:rsidR="00583C50" w:rsidRPr="005F7787">
        <w:rPr>
          <w:rFonts w:eastAsia="Calibri" w:cs="Calibri"/>
        </w:rPr>
        <w:t>)</w:t>
      </w:r>
      <w:r w:rsidR="004E0006" w:rsidRPr="005F7787">
        <w:rPr>
          <w:rFonts w:eastAsia="Calibri" w:cs="Calibri"/>
        </w:rPr>
        <w:t xml:space="preserve"> </w:t>
      </w:r>
      <w:r w:rsidR="003F4DEB" w:rsidRPr="005F7787">
        <w:rPr>
          <w:rFonts w:eastAsia="Calibri" w:cs="Calibri"/>
        </w:rPr>
        <w:t>kontrola</w:t>
      </w:r>
      <w:r w:rsidR="003F4DEB" w:rsidRPr="00872B70">
        <w:rPr>
          <w:rFonts w:eastAsia="Calibri" w:cs="Calibri"/>
        </w:rPr>
        <w:t xml:space="preserve"> zjistila</w:t>
      </w:r>
      <w:r w:rsidRPr="00872B70">
        <w:rPr>
          <w:rFonts w:asciiTheme="minorHAnsi" w:hAnsiTheme="minorHAnsi" w:cstheme="minorHAnsi"/>
          <w:spacing w:val="-2"/>
        </w:rPr>
        <w:t>, že</w:t>
      </w:r>
      <w:r w:rsidR="00284952">
        <w:rPr>
          <w:rFonts w:asciiTheme="minorHAnsi" w:hAnsiTheme="minorHAnsi" w:cstheme="minorHAnsi"/>
          <w:spacing w:val="-2"/>
        </w:rPr>
        <w:t xml:space="preserve"> SÚJB nevykázal</w:t>
      </w:r>
      <w:r w:rsidRPr="00872B70">
        <w:rPr>
          <w:rFonts w:asciiTheme="minorHAnsi" w:hAnsiTheme="minorHAnsi" w:cstheme="minorHAnsi"/>
          <w:spacing w:val="-2"/>
        </w:rPr>
        <w:t xml:space="preserve"> některé informace </w:t>
      </w:r>
      <w:r w:rsidR="003F4DEB" w:rsidRPr="00872B70">
        <w:rPr>
          <w:rFonts w:asciiTheme="minorHAnsi" w:hAnsiTheme="minorHAnsi" w:cstheme="minorHAnsi"/>
          <w:spacing w:val="-2"/>
        </w:rPr>
        <w:t>v</w:t>
      </w:r>
      <w:r w:rsidR="00AC7770">
        <w:rPr>
          <w:rFonts w:asciiTheme="minorHAnsi" w:hAnsiTheme="minorHAnsi" w:cstheme="minorHAnsi"/>
          <w:spacing w:val="-2"/>
        </w:rPr>
        <w:t xml:space="preserve"> </w:t>
      </w:r>
      <w:r w:rsidR="003F4DEB" w:rsidRPr="00872B70">
        <w:rPr>
          <w:rFonts w:asciiTheme="minorHAnsi" w:hAnsiTheme="minorHAnsi" w:cstheme="minorHAnsi"/>
          <w:spacing w:val="-2"/>
        </w:rPr>
        <w:t xml:space="preserve">údajích ÚZ </w:t>
      </w:r>
      <w:r w:rsidRPr="00872B70">
        <w:rPr>
          <w:rFonts w:asciiTheme="minorHAnsi" w:hAnsiTheme="minorHAnsi" w:cstheme="minorHAnsi"/>
          <w:spacing w:val="-2"/>
        </w:rPr>
        <w:t>v</w:t>
      </w:r>
      <w:r w:rsidR="00AC7770">
        <w:rPr>
          <w:rFonts w:asciiTheme="minorHAnsi" w:hAnsiTheme="minorHAnsi" w:cstheme="minorHAnsi"/>
          <w:spacing w:val="-2"/>
        </w:rPr>
        <w:t xml:space="preserve"> </w:t>
      </w:r>
      <w:r w:rsidRPr="00872B70">
        <w:rPr>
          <w:rFonts w:asciiTheme="minorHAnsi" w:hAnsiTheme="minorHAnsi" w:cstheme="minorHAnsi"/>
          <w:spacing w:val="-2"/>
        </w:rPr>
        <w:t>souladu s</w:t>
      </w:r>
      <w:r w:rsidR="00AC7770">
        <w:rPr>
          <w:rFonts w:asciiTheme="minorHAnsi" w:hAnsiTheme="minorHAnsi" w:cstheme="minorHAnsi"/>
          <w:spacing w:val="-2"/>
        </w:rPr>
        <w:t xml:space="preserve"> </w:t>
      </w:r>
      <w:r w:rsidRPr="00872B70">
        <w:rPr>
          <w:rFonts w:asciiTheme="minorHAnsi" w:hAnsiTheme="minorHAnsi" w:cstheme="minorHAnsi"/>
          <w:spacing w:val="-2"/>
        </w:rPr>
        <w:t>právními předpisy upravujícími vedení účetnictví</w:t>
      </w:r>
      <w:r w:rsidR="008F6632">
        <w:rPr>
          <w:rFonts w:asciiTheme="minorHAnsi" w:hAnsiTheme="minorHAnsi" w:cstheme="minorHAnsi"/>
          <w:spacing w:val="-2"/>
        </w:rPr>
        <w:t xml:space="preserve"> (viz část IV.1.2</w:t>
      </w:r>
      <w:r w:rsidR="00FD5461">
        <w:rPr>
          <w:rFonts w:eastAsia="Calibri" w:cs="Calibri"/>
        </w:rPr>
        <w:t xml:space="preserve"> tohoto kontrolního závěru</w:t>
      </w:r>
      <w:r w:rsidR="008F6632">
        <w:rPr>
          <w:rFonts w:asciiTheme="minorHAnsi" w:hAnsiTheme="minorHAnsi" w:cstheme="minorHAnsi"/>
          <w:spacing w:val="-2"/>
        </w:rPr>
        <w:t>)</w:t>
      </w:r>
      <w:r w:rsidR="00284952">
        <w:rPr>
          <w:rFonts w:asciiTheme="minorHAnsi" w:hAnsiTheme="minorHAnsi" w:cstheme="minorHAnsi"/>
          <w:spacing w:val="-2"/>
        </w:rPr>
        <w:t>. Jednalo se</w:t>
      </w:r>
      <w:r w:rsidRPr="00872B70">
        <w:rPr>
          <w:rFonts w:asciiTheme="minorHAnsi" w:hAnsiTheme="minorHAnsi" w:cstheme="minorHAnsi"/>
          <w:spacing w:val="-2"/>
        </w:rPr>
        <w:t xml:space="preserve"> </w:t>
      </w:r>
      <w:r w:rsidR="00284952">
        <w:rPr>
          <w:rFonts w:asciiTheme="minorHAnsi" w:hAnsiTheme="minorHAnsi" w:cstheme="minorHAnsi"/>
          <w:spacing w:val="-2"/>
        </w:rPr>
        <w:t>o</w:t>
      </w:r>
      <w:r w:rsidRPr="00872B70">
        <w:rPr>
          <w:rFonts w:asciiTheme="minorHAnsi" w:hAnsiTheme="minorHAnsi" w:cstheme="minorHAnsi"/>
          <w:spacing w:val="-2"/>
        </w:rPr>
        <w:t> údaj</w:t>
      </w:r>
      <w:r w:rsidR="00284952">
        <w:rPr>
          <w:rFonts w:asciiTheme="minorHAnsi" w:hAnsiTheme="minorHAnsi" w:cstheme="minorHAnsi"/>
          <w:spacing w:val="-2"/>
        </w:rPr>
        <w:t>e</w:t>
      </w:r>
      <w:r w:rsidRPr="00872B70">
        <w:rPr>
          <w:rFonts w:asciiTheme="minorHAnsi" w:hAnsiTheme="minorHAnsi" w:cstheme="minorHAnsi"/>
          <w:spacing w:val="-2"/>
        </w:rPr>
        <w:t xml:space="preserve"> za běžné účetní období v celkové výši 1</w:t>
      </w:r>
      <w:r w:rsidR="00F67192">
        <w:rPr>
          <w:rFonts w:asciiTheme="minorHAnsi" w:hAnsiTheme="minorHAnsi" w:cstheme="minorHAnsi"/>
          <w:spacing w:val="-2"/>
        </w:rPr>
        <w:t>,4</w:t>
      </w:r>
      <w:r w:rsidR="00DD25AF">
        <w:rPr>
          <w:rFonts w:asciiTheme="minorHAnsi" w:hAnsiTheme="minorHAnsi" w:cstheme="minorHAnsi"/>
          <w:spacing w:val="-2"/>
        </w:rPr>
        <w:t> </w:t>
      </w:r>
      <w:r w:rsidRPr="00872B70">
        <w:rPr>
          <w:rFonts w:asciiTheme="minorHAnsi" w:hAnsiTheme="minorHAnsi" w:cstheme="minorHAnsi"/>
          <w:spacing w:val="-2"/>
        </w:rPr>
        <w:t>mil. Kč v rozsahu uvedeném v následující tabulce</w:t>
      </w:r>
      <w:r w:rsidRPr="001B4D88">
        <w:rPr>
          <w:rFonts w:asciiTheme="minorHAnsi" w:hAnsiTheme="minorHAnsi" w:cstheme="minorHAnsi"/>
          <w:spacing w:val="-2"/>
        </w:rPr>
        <w:t>.</w:t>
      </w:r>
    </w:p>
    <w:p w14:paraId="47193C9B" w14:textId="2A4AA013" w:rsidR="00DE6218" w:rsidRDefault="00DE6218" w:rsidP="00247F88">
      <w:pPr>
        <w:pStyle w:val="Titulek"/>
        <w:tabs>
          <w:tab w:val="right" w:pos="9070"/>
        </w:tabs>
        <w:spacing w:after="40"/>
      </w:pPr>
      <w:r>
        <w:t xml:space="preserve">Tabulka č. </w:t>
      </w:r>
      <w:fldSimple w:instr=" SEQ Tabulka_č. \* ARABIC ">
        <w:r w:rsidR="000B6570">
          <w:rPr>
            <w:noProof/>
          </w:rPr>
          <w:t>4</w:t>
        </w:r>
      </w:fldSimple>
      <w:r>
        <w:t xml:space="preserve">: </w:t>
      </w:r>
      <w:r w:rsidRPr="00DE6218">
        <w:t>Přehled vyčíslených nesprávností zjištěných v údajích ÚZ</w:t>
      </w:r>
      <w:r>
        <w:t xml:space="preserve"> </w:t>
      </w:r>
      <w:r w:rsidR="00247F88">
        <w:tab/>
      </w:r>
      <w:r w:rsidRPr="00DE6218">
        <w:t xml:space="preserve">(v </w:t>
      </w:r>
      <w:r w:rsidR="00CE6B21">
        <w:t xml:space="preserve">mil. </w:t>
      </w:r>
      <w:r w:rsidRPr="00DE6218">
        <w:t>Kč)</w:t>
      </w:r>
    </w:p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842"/>
      </w:tblGrid>
      <w:tr w:rsidR="00F67192" w:rsidRPr="00F67192" w14:paraId="251AF4D3" w14:textId="77777777" w:rsidTr="009C20EE">
        <w:trPr>
          <w:trHeight w:val="255"/>
          <w:tblHeader/>
          <w:jc w:val="center"/>
        </w:trPr>
        <w:tc>
          <w:tcPr>
            <w:tcW w:w="3823" w:type="dxa"/>
            <w:vMerge w:val="restar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6D775" w14:textId="77777777" w:rsidR="00F67192" w:rsidRPr="00F67192" w:rsidRDefault="00F67192" w:rsidP="005C513C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výkaz</w:t>
            </w:r>
          </w:p>
        </w:tc>
        <w:tc>
          <w:tcPr>
            <w:tcW w:w="3402" w:type="dxa"/>
            <w:gridSpan w:val="2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4727B" w14:textId="77777777" w:rsidR="00F67192" w:rsidRPr="00F67192" w:rsidRDefault="00F67192" w:rsidP="005C513C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Hodnotová chyba</w:t>
            </w:r>
          </w:p>
        </w:tc>
        <w:tc>
          <w:tcPr>
            <w:tcW w:w="1842" w:type="dxa"/>
            <w:vMerge w:val="restar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89D65" w14:textId="77777777" w:rsidR="00F67192" w:rsidRPr="00F67192" w:rsidRDefault="00F67192" w:rsidP="005C513C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Celková započtená nesprávnost</w:t>
            </w:r>
          </w:p>
        </w:tc>
      </w:tr>
      <w:tr w:rsidR="00F67192" w:rsidRPr="00F67192" w14:paraId="48CBABC6" w14:textId="77777777" w:rsidTr="009C20EE">
        <w:trPr>
          <w:trHeight w:val="255"/>
          <w:tblHeader/>
          <w:jc w:val="center"/>
        </w:trPr>
        <w:tc>
          <w:tcPr>
            <w:tcW w:w="3823" w:type="dxa"/>
            <w:vMerge/>
            <w:vAlign w:val="center"/>
            <w:hideMark/>
          </w:tcPr>
          <w:p w14:paraId="162F00EC" w14:textId="77777777" w:rsidR="00F67192" w:rsidRPr="00F67192" w:rsidRDefault="00F67192" w:rsidP="005C513C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30F0A" w14:textId="7A5DB634" w:rsidR="00F67192" w:rsidRPr="00F67192" w:rsidRDefault="00FD5461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F67192" w:rsidRPr="00F67192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adhodnocení</w:t>
            </w:r>
          </w:p>
        </w:tc>
        <w:tc>
          <w:tcPr>
            <w:tcW w:w="1701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4BA0A" w14:textId="7823DDB3" w:rsidR="00F67192" w:rsidRPr="00F67192" w:rsidRDefault="00FD5461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F67192" w:rsidRPr="00F67192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odhodnocení</w:t>
            </w:r>
          </w:p>
        </w:tc>
        <w:tc>
          <w:tcPr>
            <w:tcW w:w="1842" w:type="dxa"/>
            <w:vMerge/>
            <w:vAlign w:val="center"/>
            <w:hideMark/>
          </w:tcPr>
          <w:p w14:paraId="3981EF72" w14:textId="77777777" w:rsidR="00F67192" w:rsidRPr="00F67192" w:rsidRDefault="00F67192" w:rsidP="005C513C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67192" w:rsidRPr="00F67192" w14:paraId="15FE1F40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9B015" w14:textId="77777777" w:rsidR="00F67192" w:rsidRPr="00F67192" w:rsidRDefault="00F67192" w:rsidP="005C513C">
            <w:pPr>
              <w:spacing w:before="20" w:after="20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b/>
                <w:sz w:val="20"/>
                <w:szCs w:val="20"/>
              </w:rPr>
              <w:t>Celková nesprávnost vykázaných hodnot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4F7B5" w14:textId="77777777" w:rsidR="00F67192" w:rsidRPr="00F67192" w:rsidRDefault="00CE6B21" w:rsidP="005C513C">
            <w:pPr>
              <w:spacing w:before="20" w:after="20"/>
              <w:ind w:right="351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FD20A" w14:textId="77777777" w:rsidR="00F67192" w:rsidRPr="00F67192" w:rsidRDefault="00CE6B21" w:rsidP="005C513C">
            <w:pPr>
              <w:spacing w:before="20" w:after="20"/>
              <w:ind w:right="351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</w:rPr>
              <w:t>2,4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9AA11" w14:textId="77777777" w:rsidR="00F67192" w:rsidRPr="00F67192" w:rsidRDefault="00CE6B21" w:rsidP="005C513C">
            <w:pPr>
              <w:spacing w:before="20" w:after="20"/>
              <w:ind w:right="603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</w:tr>
      <w:tr w:rsidR="00F67192" w:rsidRPr="00F67192" w14:paraId="7F055CCD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1A241" w14:textId="77777777" w:rsidR="00F67192" w:rsidRPr="00F67192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color w:val="000000"/>
                <w:sz w:val="20"/>
                <w:szCs w:val="20"/>
                <w:lang w:eastAsia="cs-CZ"/>
              </w:rPr>
              <w:t>Rozvaha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A86CF" w14:textId="77777777" w:rsidR="00F67192" w:rsidRPr="00F67192" w:rsidRDefault="00CE6B21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27BF4" w14:textId="77777777" w:rsidR="00F67192" w:rsidRPr="00F67192" w:rsidRDefault="00CE6B21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A27CB" w14:textId="77777777" w:rsidR="00F67192" w:rsidRPr="00F67192" w:rsidRDefault="00CE6B21" w:rsidP="005C513C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1,2</w:t>
            </w:r>
          </w:p>
        </w:tc>
      </w:tr>
      <w:tr w:rsidR="00F67192" w:rsidRPr="00F67192" w14:paraId="6D2AF90D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61E4F" w14:textId="77777777" w:rsidR="00F67192" w:rsidRPr="00F67192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color w:val="000000"/>
                <w:sz w:val="20"/>
                <w:szCs w:val="20"/>
                <w:lang w:eastAsia="cs-CZ"/>
              </w:rPr>
              <w:t>Výkaz zisku a ztráty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57DA9" w14:textId="77777777" w:rsidR="00F67192" w:rsidRPr="00F67192" w:rsidRDefault="00CE6B21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2A8BD" w14:textId="77777777" w:rsidR="00F67192" w:rsidRPr="00F67192" w:rsidRDefault="00BD34C4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04D86" w14:textId="77777777" w:rsidR="00F67192" w:rsidRPr="00F67192" w:rsidRDefault="00CE6B21" w:rsidP="005C513C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0,1</w:t>
            </w:r>
          </w:p>
        </w:tc>
      </w:tr>
      <w:tr w:rsidR="00F67192" w:rsidRPr="00F67192" w14:paraId="48E646E3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14CCE" w14:textId="77777777" w:rsidR="00F67192" w:rsidRPr="00F67192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peněžních tocích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C2FA9" w14:textId="77777777" w:rsidR="00F67192" w:rsidRPr="00F67192" w:rsidRDefault="00CE6B21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D4267" w14:textId="77777777" w:rsidR="00F67192" w:rsidRPr="00F67192" w:rsidRDefault="00BD34C4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96BB8" w14:textId="77777777" w:rsidR="00F67192" w:rsidRPr="00F67192" w:rsidRDefault="00BD34C4" w:rsidP="005C513C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F67192" w:rsidRPr="00F67192" w14:paraId="4085D014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A5286" w14:textId="77777777" w:rsidR="00F67192" w:rsidRPr="00F67192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změnách vlastního kapitálu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CB346" w14:textId="77777777" w:rsidR="00F67192" w:rsidRPr="00F67192" w:rsidRDefault="00CE6B21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6610A" w14:textId="77777777" w:rsidR="00F67192" w:rsidRPr="00F67192" w:rsidRDefault="00BD34C4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5A9F4" w14:textId="77777777" w:rsidR="00F67192" w:rsidRPr="00F67192" w:rsidRDefault="00BD34C4" w:rsidP="005C513C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F67192" w:rsidRPr="00F67192" w14:paraId="61677520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C7252" w14:textId="77777777" w:rsidR="00F67192" w:rsidRPr="00F67192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67192">
              <w:rPr>
                <w:rFonts w:cs="Calibri"/>
                <w:color w:val="000000"/>
                <w:sz w:val="20"/>
                <w:szCs w:val="20"/>
                <w:lang w:eastAsia="cs-CZ"/>
              </w:rPr>
              <w:t>Příloha účetní závěrky (podrozvahové účty)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A9292" w14:textId="77777777" w:rsidR="00F67192" w:rsidRPr="00F67192" w:rsidRDefault="00BD34C4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5E2A1" w14:textId="77777777" w:rsidR="00F67192" w:rsidRPr="00F67192" w:rsidRDefault="00BD34C4" w:rsidP="005C513C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3EA12" w14:textId="77777777" w:rsidR="00F67192" w:rsidRPr="00F67192" w:rsidRDefault="00BD34C4" w:rsidP="005C513C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14:paraId="59053C7E" w14:textId="77777777" w:rsidR="00350785" w:rsidRDefault="00350785" w:rsidP="009C20EE">
      <w:pPr>
        <w:spacing w:before="40" w:after="0"/>
        <w:rPr>
          <w:rFonts w:asciiTheme="minorHAnsi" w:eastAsiaTheme="minorHAnsi" w:hAnsiTheme="minorHAnsi" w:cs="Calibri"/>
          <w:bCs/>
          <w:sz w:val="20"/>
          <w:szCs w:val="20"/>
        </w:rPr>
      </w:pPr>
      <w:r w:rsidRPr="00D40705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>ýpočet provedl NKÚ na základě dat získaných kontrolou.</w:t>
      </w:r>
    </w:p>
    <w:p w14:paraId="38EE8EE2" w14:textId="77777777" w:rsidR="002809B1" w:rsidRDefault="001130AB" w:rsidP="008B4CF5">
      <w:pPr>
        <w:spacing w:after="0"/>
        <w:ind w:left="567" w:hanging="567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 w:rsidRPr="00B76C7C">
        <w:rPr>
          <w:rFonts w:asciiTheme="minorHAnsi" w:eastAsiaTheme="minorHAnsi" w:hAnsiTheme="minorHAnsi" w:cs="Calibri"/>
          <w:b/>
          <w:sz w:val="20"/>
          <w:szCs w:val="20"/>
        </w:rPr>
        <w:t>Pozn.:</w:t>
      </w:r>
      <w:r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  <w:r w:rsidR="00583C50">
        <w:rPr>
          <w:rFonts w:asciiTheme="minorHAnsi" w:eastAsiaTheme="minorHAnsi" w:hAnsiTheme="minorHAnsi" w:cs="Calibri"/>
          <w:b/>
          <w:sz w:val="20"/>
          <w:szCs w:val="20"/>
        </w:rPr>
        <w:tab/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>V případě souvztažných pochybení v 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„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r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>ozvaze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“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a 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„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ýkazu zisku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 xml:space="preserve">a 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>ztráty</w:t>
      </w:r>
      <w:r w:rsidR="00303BD9">
        <w:rPr>
          <w:rFonts w:asciiTheme="minorHAnsi" w:eastAsiaTheme="minorHAnsi" w:hAnsiTheme="minorHAnsi" w:cs="Calibri"/>
          <w:bCs/>
          <w:sz w:val="20"/>
          <w:szCs w:val="20"/>
        </w:rPr>
        <w:t>“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je pro </w:t>
      </w:r>
      <w:r w:rsidR="00E23B2E">
        <w:rPr>
          <w:rFonts w:asciiTheme="minorHAnsi" w:eastAsiaTheme="minorHAnsi" w:hAnsiTheme="minorHAnsi" w:cs="Calibri"/>
          <w:bCs/>
          <w:sz w:val="20"/>
          <w:szCs w:val="20"/>
        </w:rPr>
        <w:t>účely vyčíslení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celkových nesprávností</w:t>
      </w:r>
      <w:r w:rsidR="00034564">
        <w:rPr>
          <w:rFonts w:asciiTheme="minorHAnsi" w:eastAsiaTheme="minorHAnsi" w:hAnsiTheme="minorHAnsi" w:cs="Calibri"/>
          <w:bCs/>
          <w:sz w:val="20"/>
          <w:szCs w:val="20"/>
        </w:rPr>
        <w:t xml:space="preserve"> v ÚZ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započtena z každého výkazu polovina </w:t>
      </w:r>
      <w:r w:rsidR="00364649">
        <w:rPr>
          <w:rFonts w:asciiTheme="minorHAnsi" w:eastAsiaTheme="minorHAnsi" w:hAnsiTheme="minorHAnsi" w:cs="Calibri"/>
          <w:bCs/>
          <w:sz w:val="20"/>
          <w:szCs w:val="20"/>
        </w:rPr>
        <w:t>hodnotové chyby.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Smyslem údaje o celkové započtené nesprávnosti je vyjádřit výši nesprávnosti jedním číslem pro potřeby porovnání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se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 xml:space="preserve">stanovenou 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 xml:space="preserve">hladinou 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>významnost</w:t>
      </w:r>
      <w:r w:rsidR="00583C50">
        <w:rPr>
          <w:rFonts w:asciiTheme="minorHAnsi" w:eastAsiaTheme="minorHAnsi" w:hAnsiTheme="minorHAnsi" w:cs="Calibri"/>
          <w:bCs/>
          <w:sz w:val="20"/>
          <w:szCs w:val="20"/>
        </w:rPr>
        <w:t>i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>.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</w:p>
    <w:p w14:paraId="32EC372A" w14:textId="77777777" w:rsidR="00EF713B" w:rsidRPr="00C2414A" w:rsidRDefault="00D63F70" w:rsidP="009C20EE">
      <w:pPr>
        <w:ind w:left="567"/>
        <w:jc w:val="both"/>
        <w:rPr>
          <w:rFonts w:asciiTheme="minorHAnsi" w:hAnsiTheme="minorHAnsi" w:cstheme="minorHAnsi"/>
          <w:spacing w:val="-2"/>
        </w:rPr>
      </w:pPr>
      <w:r w:rsidRPr="00D96ABD">
        <w:rPr>
          <w:rFonts w:asciiTheme="minorHAnsi" w:eastAsiaTheme="minorHAnsi" w:hAnsiTheme="minorHAnsi" w:cs="Calibri"/>
          <w:bCs/>
          <w:sz w:val="20"/>
          <w:szCs w:val="20"/>
        </w:rPr>
        <w:t>Z důvodu zaokrouhlování číselných údajů nemusí vždy souč</w:t>
      </w:r>
      <w:r w:rsidR="00583C50" w:rsidRPr="00D96ABD">
        <w:rPr>
          <w:rFonts w:asciiTheme="minorHAnsi" w:eastAsiaTheme="minorHAnsi" w:hAnsiTheme="minorHAnsi" w:cs="Calibri"/>
          <w:bCs/>
          <w:sz w:val="20"/>
          <w:szCs w:val="20"/>
        </w:rPr>
        <w:t>e</w:t>
      </w:r>
      <w:r w:rsidRPr="00D96ABD">
        <w:rPr>
          <w:rFonts w:asciiTheme="minorHAnsi" w:eastAsiaTheme="minorHAnsi" w:hAnsiTheme="minorHAnsi" w:cs="Calibri"/>
          <w:bCs/>
          <w:sz w:val="20"/>
          <w:szCs w:val="20"/>
        </w:rPr>
        <w:t xml:space="preserve">t dílčích údajů </w:t>
      </w:r>
      <w:r w:rsidR="00583C50" w:rsidRPr="00D96ABD">
        <w:rPr>
          <w:rFonts w:asciiTheme="minorHAnsi" w:eastAsiaTheme="minorHAnsi" w:hAnsiTheme="minorHAnsi" w:cs="Calibri"/>
          <w:bCs/>
          <w:sz w:val="20"/>
          <w:szCs w:val="20"/>
        </w:rPr>
        <w:t>odpovídat částce celkové nesprávnosti</w:t>
      </w:r>
      <w:r w:rsidRPr="00D96ABD">
        <w:rPr>
          <w:rFonts w:asciiTheme="minorHAnsi" w:eastAsiaTheme="minorHAnsi" w:hAnsiTheme="minorHAnsi" w:cs="Calibri"/>
          <w:bCs/>
          <w:sz w:val="20"/>
          <w:szCs w:val="20"/>
        </w:rPr>
        <w:t>.</w:t>
      </w:r>
      <w:r w:rsidR="001130AB" w:rsidRPr="00D96ABD"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</w:p>
    <w:p w14:paraId="2B0D0F8A" w14:textId="77777777" w:rsidR="004E1935" w:rsidRPr="001B4D88" w:rsidRDefault="00914FA0" w:rsidP="009C20EE">
      <w:pPr>
        <w:spacing w:before="120"/>
        <w:jc w:val="both"/>
        <w:rPr>
          <w:rFonts w:cs="Calibri"/>
        </w:rPr>
      </w:pPr>
      <w:r w:rsidRPr="00872B70">
        <w:rPr>
          <w:rFonts w:cs="Calibri"/>
        </w:rPr>
        <w:t xml:space="preserve">Celková </w:t>
      </w:r>
      <w:r w:rsidR="00A93504">
        <w:rPr>
          <w:rFonts w:cs="Calibri"/>
        </w:rPr>
        <w:t>výše</w:t>
      </w:r>
      <w:r w:rsidRPr="00872B70">
        <w:rPr>
          <w:rFonts w:cs="Calibri"/>
        </w:rPr>
        <w:t xml:space="preserve"> nesprávností</w:t>
      </w:r>
      <w:r w:rsidRPr="001B4D88">
        <w:rPr>
          <w:rFonts w:cs="Calibri"/>
        </w:rPr>
        <w:t>, které</w:t>
      </w:r>
      <w:r w:rsidR="00DB2241">
        <w:rPr>
          <w:rFonts w:cs="Calibri"/>
        </w:rPr>
        <w:t xml:space="preserve"> kontrola</w:t>
      </w:r>
      <w:r w:rsidRPr="001B4D88">
        <w:rPr>
          <w:rFonts w:cs="Calibri"/>
        </w:rPr>
        <w:t xml:space="preserve"> v</w:t>
      </w:r>
      <w:r w:rsidR="00CB5F84" w:rsidRPr="001B4D88">
        <w:rPr>
          <w:rFonts w:cs="Calibri"/>
        </w:rPr>
        <w:t xml:space="preserve"> údajích </w:t>
      </w:r>
      <w:r w:rsidRPr="001B4D88">
        <w:rPr>
          <w:rFonts w:cs="Calibri"/>
        </w:rPr>
        <w:t>ÚZ zji</w:t>
      </w:r>
      <w:r w:rsidR="00DB2241">
        <w:rPr>
          <w:rFonts w:cs="Calibri"/>
        </w:rPr>
        <w:t>stila</w:t>
      </w:r>
      <w:r w:rsidRPr="001B4D88">
        <w:rPr>
          <w:rFonts w:cs="Calibri"/>
        </w:rPr>
        <w:t xml:space="preserve"> a vyčís</w:t>
      </w:r>
      <w:r w:rsidR="00DB2241">
        <w:rPr>
          <w:rFonts w:cs="Calibri"/>
        </w:rPr>
        <w:t>lila</w:t>
      </w:r>
      <w:r w:rsidRPr="001B4D88">
        <w:rPr>
          <w:rFonts w:cs="Calibri"/>
        </w:rPr>
        <w:t>,</w:t>
      </w:r>
      <w:r w:rsidR="00CB5F84" w:rsidRPr="001B4D88">
        <w:rPr>
          <w:rFonts w:cs="Calibri"/>
        </w:rPr>
        <w:t xml:space="preserve"> </w:t>
      </w:r>
      <w:r w:rsidR="00CB5F84" w:rsidRPr="00872B70">
        <w:rPr>
          <w:rFonts w:cs="Calibri"/>
        </w:rPr>
        <w:t>není</w:t>
      </w:r>
      <w:r w:rsidRPr="00872B70">
        <w:rPr>
          <w:rFonts w:cs="Calibri"/>
        </w:rPr>
        <w:t xml:space="preserve"> významná</w:t>
      </w:r>
      <w:r w:rsidRPr="001B4D88">
        <w:rPr>
          <w:rFonts w:cs="Calibri"/>
        </w:rPr>
        <w:t>.</w:t>
      </w:r>
    </w:p>
    <w:p w14:paraId="2F19ED56" w14:textId="77777777" w:rsidR="00914FA0" w:rsidRDefault="00850AE5" w:rsidP="009C20EE">
      <w:pPr>
        <w:spacing w:before="120"/>
        <w:jc w:val="both"/>
        <w:rPr>
          <w:rFonts w:cs="Calibri"/>
        </w:rPr>
      </w:pPr>
      <w:r>
        <w:rPr>
          <w:rFonts w:asciiTheme="minorHAnsi" w:hAnsiTheme="minorHAnsi" w:cs="Calibri"/>
          <w:b/>
        </w:rPr>
        <w:t>Dle</w:t>
      </w:r>
      <w:r w:rsidR="00983C54">
        <w:rPr>
          <w:rFonts w:asciiTheme="minorHAnsi" w:hAnsiTheme="minorHAnsi" w:cs="Calibri"/>
          <w:b/>
        </w:rPr>
        <w:t xml:space="preserve"> NKÚ účetní závěrka </w:t>
      </w:r>
      <w:r w:rsidR="00F67192">
        <w:rPr>
          <w:rFonts w:asciiTheme="minorHAnsi" w:hAnsiTheme="minorHAnsi" w:cs="Calibri"/>
          <w:b/>
        </w:rPr>
        <w:t>SÚJB</w:t>
      </w:r>
      <w:r w:rsidR="00983C54">
        <w:rPr>
          <w:rFonts w:asciiTheme="minorHAnsi" w:hAnsiTheme="minorHAnsi" w:cs="Calibri"/>
          <w:b/>
        </w:rPr>
        <w:t xml:space="preserve"> sestavená k 31. prosinci 202</w:t>
      </w:r>
      <w:r w:rsidR="00F67192">
        <w:rPr>
          <w:rFonts w:asciiTheme="minorHAnsi" w:hAnsiTheme="minorHAnsi" w:cs="Calibri"/>
          <w:b/>
        </w:rPr>
        <w:t>2</w:t>
      </w:r>
      <w:r w:rsidR="00983C54">
        <w:rPr>
          <w:rFonts w:asciiTheme="minorHAnsi" w:hAnsiTheme="minorHAnsi" w:cs="Calibri"/>
          <w:b/>
        </w:rPr>
        <w:t xml:space="preserve"> </w:t>
      </w:r>
      <w:r w:rsidR="001B4D88">
        <w:rPr>
          <w:rFonts w:asciiTheme="minorHAnsi" w:hAnsiTheme="minorHAnsi" w:cs="Calibri"/>
          <w:b/>
        </w:rPr>
        <w:t xml:space="preserve">podává </w:t>
      </w:r>
      <w:r w:rsidR="00983C54"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  <w:r w:rsidR="00583B04">
        <w:rPr>
          <w:rFonts w:cs="Calibri"/>
        </w:rPr>
        <w:t xml:space="preserve"> </w:t>
      </w:r>
    </w:p>
    <w:p w14:paraId="10B2CBAB" w14:textId="74BD3402" w:rsidR="00E45413" w:rsidRDefault="00E45413" w:rsidP="009C20EE">
      <w:pPr>
        <w:spacing w:before="120"/>
        <w:jc w:val="both"/>
        <w:rPr>
          <w:iCs/>
        </w:rPr>
      </w:pPr>
      <w:r w:rsidRPr="00E45413">
        <w:rPr>
          <w:iCs/>
        </w:rPr>
        <w:t xml:space="preserve">Spolehlivé informace účetní závěrky mají dle </w:t>
      </w:r>
      <w:r w:rsidR="001A2B2C">
        <w:rPr>
          <w:iCs/>
        </w:rPr>
        <w:t>ustanovení</w:t>
      </w:r>
      <w:r w:rsidRPr="00E45413">
        <w:rPr>
          <w:iCs/>
        </w:rPr>
        <w:t xml:space="preserve"> § 7 zákona č. 563/1991 Sb. umožnit jejím uživatelům činit ekonomická rozhodnutí. </w:t>
      </w:r>
      <w:r w:rsidR="00DB2241">
        <w:rPr>
          <w:iCs/>
        </w:rPr>
        <w:t>NKÚ</w:t>
      </w:r>
      <w:r w:rsidR="00DB2241" w:rsidRPr="00E45413">
        <w:rPr>
          <w:iCs/>
        </w:rPr>
        <w:t xml:space="preserve"> </w:t>
      </w:r>
      <w:r w:rsidRPr="00E45413">
        <w:rPr>
          <w:iCs/>
        </w:rPr>
        <w:t>proved</w:t>
      </w:r>
      <w:r w:rsidR="00DB2241">
        <w:rPr>
          <w:iCs/>
        </w:rPr>
        <w:t>l</w:t>
      </w:r>
      <w:r w:rsidRPr="00E45413">
        <w:rPr>
          <w:iCs/>
        </w:rPr>
        <w:t xml:space="preserve"> </w:t>
      </w:r>
      <w:r w:rsidR="00DB2241">
        <w:rPr>
          <w:iCs/>
        </w:rPr>
        <w:t xml:space="preserve">v rámci kontroly </w:t>
      </w:r>
      <w:r w:rsidRPr="00E45413">
        <w:rPr>
          <w:iCs/>
        </w:rPr>
        <w:t>rozbor výsledku hospodaření SÚJB z pohledu akruálního (účetního) a peněžního (plnění rozpočtu)</w:t>
      </w:r>
      <w:r w:rsidR="00FD5461">
        <w:rPr>
          <w:iCs/>
        </w:rPr>
        <w:t> –</w:t>
      </w:r>
      <w:r w:rsidR="005E7AAA">
        <w:rPr>
          <w:iCs/>
        </w:rPr>
        <w:t xml:space="preserve"> viz příloha č. 1</w:t>
      </w:r>
      <w:r w:rsidR="00FD5461">
        <w:rPr>
          <w:rFonts w:eastAsia="Calibri" w:cs="Calibri"/>
        </w:rPr>
        <w:t xml:space="preserve"> tohoto kontrolního závěru</w:t>
      </w:r>
      <w:r w:rsidR="002961B1">
        <w:rPr>
          <w:iCs/>
        </w:rPr>
        <w:t xml:space="preserve"> </w:t>
      </w:r>
      <w:r w:rsidR="002961B1" w:rsidRPr="00E45413">
        <w:rPr>
          <w:iCs/>
        </w:rPr>
        <w:t>(</w:t>
      </w:r>
      <w:r w:rsidR="00FD5461">
        <w:rPr>
          <w:iCs/>
        </w:rPr>
        <w:t>„</w:t>
      </w:r>
      <w:r w:rsidR="002961B1" w:rsidRPr="008349E7">
        <w:rPr>
          <w:iCs/>
        </w:rPr>
        <w:t>Rozdíl mezi saldem peněžních toků a výsledkem hospodaření SÚJB</w:t>
      </w:r>
      <w:r w:rsidR="00FD5461">
        <w:rPr>
          <w:iCs/>
        </w:rPr>
        <w:t>“</w:t>
      </w:r>
      <w:r w:rsidR="002961B1" w:rsidRPr="00E45413">
        <w:rPr>
          <w:iCs/>
        </w:rPr>
        <w:t>)</w:t>
      </w:r>
      <w:r w:rsidR="00FD5461" w:rsidRPr="00FD5461">
        <w:rPr>
          <w:iCs/>
        </w:rPr>
        <w:t xml:space="preserve"> </w:t>
      </w:r>
      <w:r w:rsidR="00FD5461">
        <w:rPr>
          <w:iCs/>
        </w:rPr>
        <w:t>–</w:t>
      </w:r>
      <w:r w:rsidR="005E7AAA" w:rsidRPr="00E45413">
        <w:rPr>
          <w:iCs/>
        </w:rPr>
        <w:t xml:space="preserve"> </w:t>
      </w:r>
      <w:r w:rsidRPr="00E45413">
        <w:rPr>
          <w:iCs/>
        </w:rPr>
        <w:t>a pops</w:t>
      </w:r>
      <w:r w:rsidR="002961B1">
        <w:rPr>
          <w:iCs/>
        </w:rPr>
        <w:t>al</w:t>
      </w:r>
      <w:r w:rsidRPr="00E45413">
        <w:rPr>
          <w:iCs/>
        </w:rPr>
        <w:t>, zda a jak SÚJB využívá akruální účetní informace vč. informací vykazovaných na podrozvahových účtech</w:t>
      </w:r>
      <w:r w:rsidR="00FD5461" w:rsidRPr="00FD5461">
        <w:rPr>
          <w:iCs/>
        </w:rPr>
        <w:t xml:space="preserve"> </w:t>
      </w:r>
      <w:r w:rsidR="00FD5461">
        <w:rPr>
          <w:iCs/>
        </w:rPr>
        <w:t>–</w:t>
      </w:r>
      <w:r w:rsidRPr="00E45413">
        <w:rPr>
          <w:iCs/>
        </w:rPr>
        <w:t xml:space="preserve"> viz příloha č. 2 (</w:t>
      </w:r>
      <w:r w:rsidR="00FD5461">
        <w:rPr>
          <w:iCs/>
        </w:rPr>
        <w:t>„</w:t>
      </w:r>
      <w:r w:rsidR="008349E7" w:rsidRPr="008349E7">
        <w:rPr>
          <w:iCs/>
        </w:rPr>
        <w:t>Využívání účetních informací v podmínkách SÚJB</w:t>
      </w:r>
      <w:r w:rsidR="008349E7">
        <w:rPr>
          <w:iCs/>
        </w:rPr>
        <w:t xml:space="preserve"> a i</w:t>
      </w:r>
      <w:r w:rsidR="008349E7" w:rsidRPr="008349E7">
        <w:rPr>
          <w:iCs/>
        </w:rPr>
        <w:t>nformace vykazované na podrozvahových účtech</w:t>
      </w:r>
      <w:r w:rsidR="00FD5461">
        <w:rPr>
          <w:iCs/>
        </w:rPr>
        <w:t>“</w:t>
      </w:r>
      <w:r w:rsidRPr="00E45413">
        <w:rPr>
          <w:iCs/>
        </w:rPr>
        <w:t>) tohoto kontrolního závěru.</w:t>
      </w:r>
    </w:p>
    <w:p w14:paraId="363C2747" w14:textId="77777777" w:rsidR="00A75011" w:rsidRPr="00535BDF" w:rsidRDefault="00535BDF" w:rsidP="00535BDF">
      <w:pPr>
        <w:ind w:left="284" w:hanging="284"/>
        <w:rPr>
          <w:b/>
        </w:rPr>
      </w:pPr>
      <w:r w:rsidRPr="00535BDF">
        <w:rPr>
          <w:b/>
        </w:rPr>
        <w:lastRenderedPageBreak/>
        <w:t xml:space="preserve">2. </w:t>
      </w:r>
      <w:r>
        <w:rPr>
          <w:b/>
        </w:rPr>
        <w:tab/>
      </w:r>
      <w:r w:rsidR="00A75011" w:rsidRPr="00535BDF">
        <w:rPr>
          <w:b/>
        </w:rPr>
        <w:t xml:space="preserve">Údaje předkládané </w:t>
      </w:r>
      <w:r w:rsidR="005C5441" w:rsidRPr="00535BDF">
        <w:rPr>
          <w:b/>
        </w:rPr>
        <w:t>Státním úřadem pro jadernou bezpečnost</w:t>
      </w:r>
      <w:r w:rsidR="00F11CA7" w:rsidRPr="00535BDF">
        <w:rPr>
          <w:b/>
        </w:rPr>
        <w:t xml:space="preserve"> pro hodnocení plnění </w:t>
      </w:r>
      <w:r w:rsidR="00F95077" w:rsidRPr="00535BDF">
        <w:rPr>
          <w:b/>
        </w:rPr>
        <w:t xml:space="preserve">státního </w:t>
      </w:r>
      <w:r w:rsidR="00F11CA7" w:rsidRPr="00535BDF">
        <w:rPr>
          <w:b/>
        </w:rPr>
        <w:t>rozpočtu</w:t>
      </w:r>
      <w:r w:rsidR="00A75011" w:rsidRPr="00535BDF">
        <w:rPr>
          <w:b/>
        </w:rPr>
        <w:t xml:space="preserve"> za rok 202</w:t>
      </w:r>
      <w:r w:rsidR="005C5441" w:rsidRPr="00535BDF">
        <w:rPr>
          <w:b/>
        </w:rPr>
        <w:t>2</w:t>
      </w:r>
    </w:p>
    <w:p w14:paraId="3CBBA58F" w14:textId="77777777" w:rsidR="00034564" w:rsidRPr="00034564" w:rsidRDefault="00034564" w:rsidP="009C20EE">
      <w:pPr>
        <w:spacing w:before="120"/>
        <w:jc w:val="both"/>
        <w:rPr>
          <w:b/>
          <w:bCs/>
        </w:rPr>
      </w:pPr>
      <w:r>
        <w:t>Pro posouzení významnosti zjištěných nesprávností v údajích předkládaných pro hodnocení plnění</w:t>
      </w:r>
      <w:r w:rsidR="00F95077">
        <w:t xml:space="preserve"> </w:t>
      </w:r>
      <w:r>
        <w:t xml:space="preserve">rozpočtu byla stanovena </w:t>
      </w:r>
      <w:r w:rsidR="009C3CD0">
        <w:t xml:space="preserve">hladina </w:t>
      </w:r>
      <w:r>
        <w:t>významnost</w:t>
      </w:r>
      <w:r w:rsidR="009C3CD0">
        <w:t>i</w:t>
      </w:r>
      <w:r>
        <w:t xml:space="preserve"> ve výši </w:t>
      </w:r>
      <w:r w:rsidR="005C5441">
        <w:t xml:space="preserve">9,5 </w:t>
      </w:r>
      <w:r>
        <w:t>mil. Kč</w:t>
      </w:r>
      <w:r w:rsidR="00E45ADC">
        <w:rPr>
          <w:rStyle w:val="Znakapoznpodarou"/>
        </w:rPr>
        <w:footnoteReference w:id="25"/>
      </w:r>
      <w:r>
        <w:t>.</w:t>
      </w:r>
    </w:p>
    <w:p w14:paraId="05CB45D4" w14:textId="77777777" w:rsidR="00690CEB" w:rsidRDefault="00A14AEE" w:rsidP="009C20EE">
      <w:pPr>
        <w:spacing w:before="120"/>
        <w:jc w:val="both"/>
      </w:pPr>
      <w:r w:rsidRPr="00FE4D47">
        <w:rPr>
          <w:rFonts w:asciiTheme="minorHAnsi" w:hAnsiTheme="minorHAnsi" w:cstheme="minorHAnsi"/>
        </w:rPr>
        <w:t>NKÚ</w:t>
      </w:r>
      <w:r>
        <w:rPr>
          <w:rFonts w:asciiTheme="minorHAnsi" w:hAnsiTheme="minorHAnsi" w:cstheme="minorHAnsi"/>
        </w:rPr>
        <w:t xml:space="preserve"> provedl </w:t>
      </w:r>
      <w:r w:rsidRPr="00F37FEB">
        <w:rPr>
          <w:rFonts w:asciiTheme="minorHAnsi" w:hAnsiTheme="minorHAnsi" w:cstheme="minorHAnsi"/>
        </w:rPr>
        <w:t>ve výkazu pro hodnocení plnění rozpočtu SÚJB sestavené</w:t>
      </w:r>
      <w:r w:rsidR="00E3390A">
        <w:rPr>
          <w:rFonts w:asciiTheme="minorHAnsi" w:hAnsiTheme="minorHAnsi" w:cstheme="minorHAnsi"/>
        </w:rPr>
        <w:t>m</w:t>
      </w:r>
      <w:r w:rsidRPr="00F37FEB">
        <w:rPr>
          <w:rFonts w:asciiTheme="minorHAnsi" w:hAnsiTheme="minorHAnsi" w:cstheme="minorHAnsi"/>
        </w:rPr>
        <w:t xml:space="preserve"> k 31. 12. 2022 u</w:t>
      </w:r>
      <w:r w:rsidR="00E3390A">
        <w:rPr>
          <w:rFonts w:asciiTheme="minorHAnsi" w:hAnsiTheme="minorHAnsi" w:cstheme="minorHAnsi"/>
        </w:rPr>
        <w:t> </w:t>
      </w:r>
      <w:r w:rsidRPr="00F37FEB">
        <w:rPr>
          <w:rFonts w:asciiTheme="minorHAnsi" w:hAnsiTheme="minorHAnsi" w:cstheme="minorHAnsi"/>
        </w:rPr>
        <w:t>údajů o příjmech a výdajích ve sloupci skutečnost kontrolu správnosti jejich druhového</w:t>
      </w:r>
      <w:r w:rsidR="001A391B">
        <w:rPr>
          <w:rFonts w:asciiTheme="minorHAnsi" w:hAnsiTheme="minorHAnsi" w:cstheme="minorHAnsi"/>
        </w:rPr>
        <w:t>,</w:t>
      </w:r>
      <w:r w:rsidRPr="00F37FEB">
        <w:rPr>
          <w:rFonts w:asciiTheme="minorHAnsi" w:hAnsiTheme="minorHAnsi" w:cstheme="minorHAnsi"/>
        </w:rPr>
        <w:t xml:space="preserve"> odvětvového </w:t>
      </w:r>
      <w:r w:rsidR="001A391B">
        <w:rPr>
          <w:rFonts w:asciiTheme="minorHAnsi" w:hAnsiTheme="minorHAnsi" w:cstheme="minorHAnsi"/>
        </w:rPr>
        <w:t>a prostorového třídění</w:t>
      </w:r>
      <w:r w:rsidRPr="00F37FEB">
        <w:rPr>
          <w:rFonts w:asciiTheme="minorHAnsi" w:hAnsiTheme="minorHAnsi" w:cstheme="minorHAnsi"/>
        </w:rPr>
        <w:t xml:space="preserve"> dle rozpočtové skladby</w:t>
      </w:r>
      <w:r>
        <w:rPr>
          <w:rFonts w:asciiTheme="minorHAnsi" w:hAnsiTheme="minorHAnsi" w:cstheme="minorHAnsi"/>
        </w:rPr>
        <w:t>.</w:t>
      </w:r>
    </w:p>
    <w:p w14:paraId="6242988D" w14:textId="77777777" w:rsidR="002500C2" w:rsidRPr="00BC4092" w:rsidRDefault="00850AE5" w:rsidP="009C20EE">
      <w:pPr>
        <w:spacing w:before="120"/>
        <w:jc w:val="both"/>
        <w:rPr>
          <w:rFonts w:asciiTheme="minorHAnsi" w:hAnsiTheme="minorHAnsi" w:cs="Calibri"/>
          <w:b/>
        </w:rPr>
      </w:pPr>
      <w:r>
        <w:rPr>
          <w:rFonts w:eastAsiaTheme="minorHAnsi" w:cs="Calibri"/>
          <w:b/>
        </w:rPr>
        <w:t>Dle</w:t>
      </w:r>
      <w:r w:rsidR="00A14AEE" w:rsidRPr="0092468E">
        <w:rPr>
          <w:rFonts w:eastAsiaTheme="minorHAnsi" w:cs="Calibri"/>
          <w:b/>
        </w:rPr>
        <w:t xml:space="preserve"> </w:t>
      </w:r>
      <w:r w:rsidR="00A14AEE">
        <w:rPr>
          <w:rFonts w:eastAsiaTheme="minorHAnsi" w:cs="Calibri"/>
          <w:b/>
        </w:rPr>
        <w:t>NKÚ</w:t>
      </w:r>
      <w:r w:rsidR="00A14AEE" w:rsidRPr="0092468E">
        <w:rPr>
          <w:rFonts w:eastAsiaTheme="minorHAnsi" w:cs="Calibri"/>
          <w:b/>
        </w:rPr>
        <w:t xml:space="preserve"> byl uvedený výkaz pro hodnocení plnění rozpočtu ve všech významných ohledech sestaven v souladu s příslušnými právními předpisy</w:t>
      </w:r>
      <w:r w:rsidR="004B1E4C" w:rsidRPr="008E0CE6">
        <w:rPr>
          <w:rFonts w:asciiTheme="minorHAnsi" w:hAnsiTheme="minorHAnsi" w:cs="Calibri"/>
          <w:b/>
        </w:rPr>
        <w:t>.</w:t>
      </w:r>
    </w:p>
    <w:p w14:paraId="2FE33E74" w14:textId="77777777" w:rsidR="00943B97" w:rsidRDefault="00E57955" w:rsidP="009C20EE">
      <w:pPr>
        <w:spacing w:before="120"/>
        <w:jc w:val="both"/>
        <w:rPr>
          <w:rFonts w:eastAsia="Calibri"/>
          <w:szCs w:val="22"/>
          <w:highlight w:val="yellow"/>
        </w:rPr>
      </w:pPr>
      <w:r w:rsidRPr="00690CEB">
        <w:rPr>
          <w:rFonts w:cs="Calibri"/>
          <w:lang w:eastAsia="cs-CZ"/>
        </w:rPr>
        <w:t>V údajích před</w:t>
      </w:r>
      <w:r>
        <w:rPr>
          <w:rFonts w:cs="Calibri"/>
          <w:lang w:eastAsia="cs-CZ"/>
        </w:rPr>
        <w:t>kládaných</w:t>
      </w:r>
      <w:r w:rsidRPr="00690CEB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SÚJB</w:t>
      </w:r>
      <w:r w:rsidRPr="00690CEB">
        <w:rPr>
          <w:rFonts w:cs="Calibri"/>
          <w:lang w:eastAsia="cs-CZ"/>
        </w:rPr>
        <w:t xml:space="preserve"> </w:t>
      </w:r>
      <w:r w:rsidRPr="00690CEB">
        <w:t>pro hodnocení plnění státního rozpočtu</w:t>
      </w:r>
      <w:r>
        <w:t xml:space="preserve"> </w:t>
      </w:r>
      <w:r w:rsidRPr="00690CEB">
        <w:t>za rok 202</w:t>
      </w:r>
      <w:r>
        <w:t>2</w:t>
      </w:r>
      <w:r w:rsidRPr="00690CEB">
        <w:t xml:space="preserve"> </w:t>
      </w:r>
      <w:r w:rsidR="00AF3B26" w:rsidRPr="00690CEB">
        <w:t>ne</w:t>
      </w:r>
      <w:r w:rsidR="00AF3B26">
        <w:t>zjistil NKÚ</w:t>
      </w:r>
      <w:r w:rsidR="00AF3B26" w:rsidRPr="00690CEB">
        <w:t xml:space="preserve"> </w:t>
      </w:r>
      <w:r>
        <w:t>žádn</w:t>
      </w:r>
      <w:r w:rsidR="00AF3B26">
        <w:t>ou</w:t>
      </w:r>
      <w:r>
        <w:t xml:space="preserve"> </w:t>
      </w:r>
      <w:r w:rsidRPr="00690CEB">
        <w:t>nesprávnost.</w:t>
      </w:r>
    </w:p>
    <w:p w14:paraId="3BDFAAD4" w14:textId="77777777" w:rsidR="00431706" w:rsidRDefault="00310275" w:rsidP="00310275">
      <w:pPr>
        <w:pStyle w:val="Styl2"/>
        <w:numPr>
          <w:ilvl w:val="0"/>
          <w:numId w:val="0"/>
        </w:numPr>
        <w:spacing w:before="240" w:after="120"/>
      </w:pPr>
      <w:r>
        <w:t xml:space="preserve">3. </w:t>
      </w:r>
      <w:r w:rsidR="00A75011" w:rsidRPr="009B3540">
        <w:t>Závěrečný</w:t>
      </w:r>
      <w:r w:rsidR="00A75011" w:rsidRPr="00CD0A37">
        <w:t xml:space="preserve"> účet kapitoly 3</w:t>
      </w:r>
      <w:r w:rsidR="004369BF">
        <w:t>75</w:t>
      </w:r>
      <w:r w:rsidR="004B1E4C">
        <w:t xml:space="preserve"> </w:t>
      </w:r>
      <w:r w:rsidR="006B5348">
        <w:t>–</w:t>
      </w:r>
      <w:r w:rsidR="004B1E4C">
        <w:t xml:space="preserve"> </w:t>
      </w:r>
      <w:r w:rsidR="004369BF" w:rsidRPr="000973C5">
        <w:rPr>
          <w:i/>
        </w:rPr>
        <w:t>Státní úřad pro jadernou bezpečnost</w:t>
      </w:r>
      <w:r w:rsidR="00A75011" w:rsidRPr="00CD0A37">
        <w:t xml:space="preserve"> za rok 202</w:t>
      </w:r>
      <w:r w:rsidR="004369BF">
        <w:t>2</w:t>
      </w:r>
    </w:p>
    <w:p w14:paraId="0EA953D2" w14:textId="77777777" w:rsidR="00FB0C28" w:rsidRPr="00FB0C28" w:rsidRDefault="004369BF" w:rsidP="009C20EE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SÚJB</w:t>
      </w:r>
      <w:r w:rsidR="00333F86">
        <w:rPr>
          <w:rFonts w:asciiTheme="minorHAnsi" w:hAnsiTheme="minorHAnsi" w:cstheme="minorHAnsi"/>
          <w:spacing w:val="-2"/>
        </w:rPr>
        <w:t xml:space="preserve"> v</w:t>
      </w:r>
      <w:r w:rsidR="00FB0C28">
        <w:rPr>
          <w:rFonts w:asciiTheme="minorHAnsi" w:hAnsiTheme="minorHAnsi" w:cstheme="minorHAnsi"/>
          <w:spacing w:val="-2"/>
        </w:rPr>
        <w:t> průběhu kontroly</w:t>
      </w:r>
      <w:r w:rsidR="00333F86">
        <w:rPr>
          <w:rFonts w:asciiTheme="minorHAnsi" w:hAnsiTheme="minorHAnsi" w:cstheme="minorHAnsi"/>
          <w:spacing w:val="-2"/>
        </w:rPr>
        <w:t xml:space="preserve"> doplnil na základě upozornění NKÚ </w:t>
      </w:r>
      <w:r>
        <w:rPr>
          <w:rFonts w:asciiTheme="minorHAnsi" w:hAnsiTheme="minorHAnsi" w:cstheme="minorHAnsi"/>
          <w:spacing w:val="-2"/>
        </w:rPr>
        <w:t xml:space="preserve">do </w:t>
      </w:r>
      <w:r w:rsidRPr="009D087A">
        <w:rPr>
          <w:rFonts w:asciiTheme="minorHAnsi" w:hAnsiTheme="minorHAnsi" w:cstheme="minorHAnsi"/>
        </w:rPr>
        <w:t>ZÚ 2022 informaci o vlivu legislativních změn</w:t>
      </w:r>
      <w:r w:rsidR="007C19C4">
        <w:rPr>
          <w:rFonts w:asciiTheme="minorHAnsi" w:hAnsiTheme="minorHAnsi" w:cstheme="minorHAnsi"/>
        </w:rPr>
        <w:t xml:space="preserve"> na příjmy a výdaje kapitoly. </w:t>
      </w:r>
      <w:r>
        <w:rPr>
          <w:rFonts w:asciiTheme="minorHAnsi" w:hAnsiTheme="minorHAnsi" w:cstheme="minorHAnsi"/>
          <w:spacing w:val="-2"/>
        </w:rPr>
        <w:t>Jedná se o nový požadavek</w:t>
      </w:r>
      <w:r w:rsidR="009B06B3">
        <w:rPr>
          <w:rFonts w:asciiTheme="minorHAnsi" w:hAnsiTheme="minorHAnsi" w:cstheme="minorHAnsi"/>
          <w:spacing w:val="-2"/>
        </w:rPr>
        <w:t>,</w:t>
      </w:r>
      <w:r>
        <w:rPr>
          <w:rFonts w:asciiTheme="minorHAnsi" w:hAnsiTheme="minorHAnsi" w:cstheme="minorHAnsi"/>
          <w:spacing w:val="-2"/>
        </w:rPr>
        <w:t xml:space="preserve"> </w:t>
      </w:r>
      <w:r w:rsidR="007C19C4">
        <w:rPr>
          <w:rFonts w:asciiTheme="minorHAnsi" w:hAnsiTheme="minorHAnsi" w:cstheme="minorHAnsi"/>
          <w:spacing w:val="-2"/>
        </w:rPr>
        <w:t>obsažený v</w:t>
      </w:r>
      <w:r w:rsidR="009A3BD9">
        <w:rPr>
          <w:rFonts w:asciiTheme="minorHAnsi" w:hAnsiTheme="minorHAnsi" w:cstheme="minorHAnsi"/>
          <w:spacing w:val="-2"/>
        </w:rPr>
        <w:t> </w:t>
      </w:r>
      <w:r>
        <w:rPr>
          <w:rFonts w:asciiTheme="minorHAnsi" w:hAnsiTheme="minorHAnsi" w:cstheme="minorHAnsi"/>
          <w:spacing w:val="-2"/>
        </w:rPr>
        <w:t>novelizované vyhláš</w:t>
      </w:r>
      <w:r w:rsidR="007C19C4">
        <w:rPr>
          <w:rFonts w:asciiTheme="minorHAnsi" w:hAnsiTheme="minorHAnsi" w:cstheme="minorHAnsi"/>
          <w:spacing w:val="-2"/>
        </w:rPr>
        <w:t>ce</w:t>
      </w:r>
      <w:r>
        <w:rPr>
          <w:rFonts w:asciiTheme="minorHAnsi" w:hAnsiTheme="minorHAnsi" w:cstheme="minorHAnsi"/>
          <w:spacing w:val="-2"/>
        </w:rPr>
        <w:t xml:space="preserve"> č. 419/2001 Sb., s účinností již pro </w:t>
      </w:r>
      <w:r w:rsidR="002A130C">
        <w:rPr>
          <w:rFonts w:asciiTheme="minorHAnsi" w:hAnsiTheme="minorHAnsi" w:cstheme="minorHAnsi"/>
          <w:spacing w:val="-2"/>
        </w:rPr>
        <w:t>závěrečné účty</w:t>
      </w:r>
      <w:r>
        <w:rPr>
          <w:rFonts w:asciiTheme="minorHAnsi" w:hAnsiTheme="minorHAnsi" w:cstheme="minorHAnsi"/>
          <w:spacing w:val="-2"/>
        </w:rPr>
        <w:t xml:space="preserve"> sestavované za rok 2022. </w:t>
      </w:r>
    </w:p>
    <w:p w14:paraId="110159BC" w14:textId="538D8BEA" w:rsidR="004369BF" w:rsidRDefault="00E47F48" w:rsidP="009C20EE">
      <w:pPr>
        <w:spacing w:before="120"/>
        <w:jc w:val="both"/>
        <w:rPr>
          <w:bCs/>
          <w:lang w:eastAsia="cs-CZ"/>
        </w:rPr>
      </w:pPr>
      <w:r>
        <w:rPr>
          <w:bCs/>
          <w:lang w:eastAsia="cs-CZ"/>
        </w:rPr>
        <w:t>NKÚ zjistil</w:t>
      </w:r>
      <w:r w:rsidR="008A1FF1" w:rsidRPr="008A1FF1">
        <w:rPr>
          <w:bCs/>
          <w:lang w:eastAsia="cs-CZ"/>
        </w:rPr>
        <w:t xml:space="preserve">, že </w:t>
      </w:r>
      <w:r w:rsidR="004369BF">
        <w:rPr>
          <w:bCs/>
          <w:lang w:eastAsia="cs-CZ"/>
        </w:rPr>
        <w:t xml:space="preserve">SÚJB </w:t>
      </w:r>
      <w:r w:rsidR="00A0371D">
        <w:rPr>
          <w:bCs/>
          <w:lang w:eastAsia="cs-CZ"/>
        </w:rPr>
        <w:t xml:space="preserve">v předloženém </w:t>
      </w:r>
      <w:r w:rsidR="004369BF">
        <w:rPr>
          <w:bCs/>
          <w:lang w:eastAsia="cs-CZ"/>
        </w:rPr>
        <w:t>návrhu ZÚ</w:t>
      </w:r>
      <w:r w:rsidR="002A130C">
        <w:rPr>
          <w:bCs/>
          <w:lang w:eastAsia="cs-CZ"/>
        </w:rPr>
        <w:t xml:space="preserve"> </w:t>
      </w:r>
      <w:r w:rsidR="004369BF">
        <w:rPr>
          <w:bCs/>
          <w:lang w:eastAsia="cs-CZ"/>
        </w:rPr>
        <w:t>2022</w:t>
      </w:r>
      <w:r w:rsidR="00A0371D">
        <w:rPr>
          <w:bCs/>
          <w:lang w:eastAsia="cs-CZ"/>
        </w:rPr>
        <w:t xml:space="preserve"> v části </w:t>
      </w:r>
      <w:r w:rsidR="00A0371D" w:rsidRPr="00A0371D">
        <w:rPr>
          <w:bCs/>
          <w:i/>
          <w:lang w:eastAsia="cs-CZ"/>
        </w:rPr>
        <w:t>Průvodní zpráva</w:t>
      </w:r>
      <w:r w:rsidR="004369BF">
        <w:rPr>
          <w:bCs/>
          <w:lang w:eastAsia="cs-CZ"/>
        </w:rPr>
        <w:t xml:space="preserve"> </w:t>
      </w:r>
      <w:r w:rsidR="008A1FF1" w:rsidRPr="008A1FF1">
        <w:rPr>
          <w:bCs/>
          <w:lang w:eastAsia="cs-CZ"/>
        </w:rPr>
        <w:t>neuvedl</w:t>
      </w:r>
      <w:r w:rsidR="004369BF">
        <w:rPr>
          <w:bCs/>
          <w:lang w:eastAsia="cs-CZ"/>
        </w:rPr>
        <w:t xml:space="preserve"> </w:t>
      </w:r>
      <w:r w:rsidR="008A1FF1" w:rsidRPr="008A1FF1">
        <w:rPr>
          <w:bCs/>
          <w:lang w:eastAsia="cs-CZ"/>
        </w:rPr>
        <w:t>některé skutečnosti správně</w:t>
      </w:r>
      <w:r w:rsidR="000A4C07">
        <w:rPr>
          <w:bCs/>
          <w:lang w:eastAsia="cs-CZ"/>
        </w:rPr>
        <w:t>, vě</w:t>
      </w:r>
      <w:r w:rsidR="007C19C4">
        <w:rPr>
          <w:bCs/>
          <w:lang w:eastAsia="cs-CZ"/>
        </w:rPr>
        <w:t xml:space="preserve">tšina </w:t>
      </w:r>
      <w:r w:rsidR="00E57955">
        <w:rPr>
          <w:bCs/>
          <w:lang w:eastAsia="cs-CZ"/>
        </w:rPr>
        <w:t xml:space="preserve">z těchto </w:t>
      </w:r>
      <w:r w:rsidR="007C19C4">
        <w:rPr>
          <w:bCs/>
          <w:lang w:eastAsia="cs-CZ"/>
        </w:rPr>
        <w:t xml:space="preserve">nedostatků vznikla z důvodu matematické nesprávnosti výpočtů, u některých byl zjištěn nesoulad údajů </w:t>
      </w:r>
      <w:r w:rsidR="00CB3C84">
        <w:rPr>
          <w:bCs/>
          <w:lang w:eastAsia="cs-CZ"/>
        </w:rPr>
        <w:t xml:space="preserve">s </w:t>
      </w:r>
      <w:r w:rsidR="007C19C4">
        <w:rPr>
          <w:bCs/>
          <w:lang w:eastAsia="cs-CZ"/>
        </w:rPr>
        <w:t>dostupn</w:t>
      </w:r>
      <w:r w:rsidR="00CB3C84">
        <w:rPr>
          <w:bCs/>
          <w:lang w:eastAsia="cs-CZ"/>
        </w:rPr>
        <w:t>ými</w:t>
      </w:r>
      <w:r w:rsidR="007C19C4">
        <w:rPr>
          <w:bCs/>
          <w:lang w:eastAsia="cs-CZ"/>
        </w:rPr>
        <w:t xml:space="preserve"> podklady</w:t>
      </w:r>
      <w:r w:rsidR="008F6632">
        <w:rPr>
          <w:bCs/>
          <w:lang w:eastAsia="cs-CZ"/>
        </w:rPr>
        <w:t xml:space="preserve"> (např. výkaz FIN 1-12 OSS, ÚZ apod.)</w:t>
      </w:r>
      <w:r w:rsidR="007C19C4">
        <w:rPr>
          <w:bCs/>
          <w:lang w:eastAsia="cs-CZ"/>
        </w:rPr>
        <w:t xml:space="preserve">. </w:t>
      </w:r>
      <w:r w:rsidR="007C19C4" w:rsidRPr="00F04FF0">
        <w:rPr>
          <w:rFonts w:cs="Calibri"/>
          <w:lang w:eastAsia="cs-CZ"/>
        </w:rPr>
        <w:t>Dále byl</w:t>
      </w:r>
      <w:r w:rsidR="007C19C4">
        <w:rPr>
          <w:rFonts w:cs="Calibri"/>
          <w:lang w:eastAsia="cs-CZ"/>
        </w:rPr>
        <w:t>y některé nesprávné údaje</w:t>
      </w:r>
      <w:r w:rsidR="007C19C4" w:rsidRPr="00F04FF0">
        <w:rPr>
          <w:rFonts w:cs="Calibri"/>
          <w:lang w:eastAsia="cs-CZ"/>
        </w:rPr>
        <w:t xml:space="preserve"> zjištěn</w:t>
      </w:r>
      <w:r w:rsidR="007C19C4">
        <w:rPr>
          <w:rFonts w:cs="Calibri"/>
          <w:lang w:eastAsia="cs-CZ"/>
        </w:rPr>
        <w:t xml:space="preserve">y i </w:t>
      </w:r>
      <w:r w:rsidR="007C19C4" w:rsidRPr="00F04FF0">
        <w:rPr>
          <w:rFonts w:cs="Calibri"/>
          <w:lang w:eastAsia="cs-CZ"/>
        </w:rPr>
        <w:t>v tabulkov</w:t>
      </w:r>
      <w:r w:rsidR="007C19C4">
        <w:rPr>
          <w:rFonts w:cs="Calibri"/>
          <w:lang w:eastAsia="cs-CZ"/>
        </w:rPr>
        <w:t>é</w:t>
      </w:r>
      <w:r w:rsidR="007C19C4" w:rsidRPr="00F04FF0">
        <w:rPr>
          <w:rFonts w:cs="Calibri"/>
          <w:lang w:eastAsia="cs-CZ"/>
        </w:rPr>
        <w:t xml:space="preserve"> přílo</w:t>
      </w:r>
      <w:r w:rsidR="007C19C4">
        <w:rPr>
          <w:rFonts w:cs="Calibri"/>
          <w:lang w:eastAsia="cs-CZ"/>
        </w:rPr>
        <w:t>ze</w:t>
      </w:r>
      <w:r w:rsidR="007C19C4" w:rsidRPr="00F04FF0">
        <w:rPr>
          <w:rFonts w:cs="Calibri"/>
          <w:lang w:eastAsia="cs-CZ"/>
        </w:rPr>
        <w:t xml:space="preserve"> č. 8</w:t>
      </w:r>
      <w:r w:rsidR="007C19C4">
        <w:rPr>
          <w:rFonts w:cs="Calibri"/>
          <w:lang w:eastAsia="cs-CZ"/>
        </w:rPr>
        <w:t xml:space="preserve"> (</w:t>
      </w:r>
      <w:r w:rsidR="007C19C4" w:rsidRPr="007C19C4">
        <w:rPr>
          <w:rFonts w:cs="Calibri"/>
          <w:i/>
          <w:lang w:eastAsia="cs-CZ"/>
        </w:rPr>
        <w:t>Rozbor zaměstnanosti a čerpání prostředků na platy, ostatní platby za provedenou práci</w:t>
      </w:r>
      <w:r w:rsidR="00E020E5">
        <w:rPr>
          <w:rFonts w:cs="Calibri"/>
          <w:i/>
          <w:lang w:eastAsia="cs-CZ"/>
        </w:rPr>
        <w:t xml:space="preserve"> </w:t>
      </w:r>
      <w:r w:rsidR="007C19C4" w:rsidRPr="007C19C4">
        <w:rPr>
          <w:rFonts w:cs="Calibri"/>
          <w:i/>
          <w:lang w:eastAsia="cs-CZ"/>
        </w:rPr>
        <w:t>/</w:t>
      </w:r>
      <w:r w:rsidR="00E020E5">
        <w:rPr>
          <w:rFonts w:cs="Calibri"/>
          <w:i/>
          <w:lang w:eastAsia="cs-CZ"/>
        </w:rPr>
        <w:t xml:space="preserve"> </w:t>
      </w:r>
      <w:r w:rsidR="007C19C4" w:rsidRPr="007C19C4">
        <w:rPr>
          <w:rFonts w:cs="Calibri"/>
          <w:i/>
          <w:lang w:eastAsia="cs-CZ"/>
        </w:rPr>
        <w:t>ostatní osobní náklady za rok 2022</w:t>
      </w:r>
      <w:r w:rsidR="007C19C4" w:rsidRPr="007C19C4">
        <w:rPr>
          <w:rFonts w:cs="Calibri"/>
          <w:lang w:eastAsia="cs-CZ"/>
        </w:rPr>
        <w:t>)</w:t>
      </w:r>
      <w:r w:rsidR="007C19C4">
        <w:rPr>
          <w:rFonts w:cs="Calibri"/>
          <w:lang w:eastAsia="cs-CZ"/>
        </w:rPr>
        <w:t>.</w:t>
      </w:r>
    </w:p>
    <w:p w14:paraId="7BDC4ED8" w14:textId="77777777" w:rsidR="006E07E8" w:rsidRDefault="006E07E8" w:rsidP="009C20EE">
      <w:pPr>
        <w:spacing w:before="120"/>
        <w:jc w:val="both"/>
        <w:rPr>
          <w:bCs/>
          <w:lang w:eastAsia="cs-CZ"/>
        </w:rPr>
      </w:pPr>
      <w:bookmarkStart w:id="4" w:name="_Toc105083305"/>
      <w:r>
        <w:rPr>
          <w:bCs/>
          <w:lang w:eastAsia="cs-CZ"/>
        </w:rPr>
        <w:t>Všechny zjištěné nedostatky SÚJB</w:t>
      </w:r>
      <w:r w:rsidR="002500C2">
        <w:rPr>
          <w:bCs/>
          <w:lang w:eastAsia="cs-CZ"/>
        </w:rPr>
        <w:t xml:space="preserve"> v průběhu kontroly</w:t>
      </w:r>
      <w:r>
        <w:rPr>
          <w:bCs/>
          <w:lang w:eastAsia="cs-CZ"/>
        </w:rPr>
        <w:t xml:space="preserve"> opravil a ve finálním ZÚ 2022 se již nevyskyt</w:t>
      </w:r>
      <w:r w:rsidR="00E30E14">
        <w:rPr>
          <w:bCs/>
          <w:lang w:eastAsia="cs-CZ"/>
        </w:rPr>
        <w:t>ovaly</w:t>
      </w:r>
      <w:r w:rsidR="00A63FE6">
        <w:rPr>
          <w:bCs/>
          <w:lang w:eastAsia="cs-CZ"/>
        </w:rPr>
        <w:t>.</w:t>
      </w:r>
    </w:p>
    <w:p w14:paraId="4DC9B498" w14:textId="77777777" w:rsidR="004C26CF" w:rsidRDefault="00E57955" w:rsidP="009C20EE">
      <w:pPr>
        <w:spacing w:before="120"/>
        <w:jc w:val="both"/>
        <w:rPr>
          <w:bCs/>
          <w:lang w:eastAsia="cs-CZ"/>
        </w:rPr>
      </w:pPr>
      <w:r>
        <w:rPr>
          <w:b/>
          <w:bCs/>
        </w:rPr>
        <w:t xml:space="preserve">Dle názoru </w:t>
      </w:r>
      <w:r w:rsidR="003F4BD0" w:rsidRPr="003F4BD0">
        <w:rPr>
          <w:b/>
          <w:bCs/>
        </w:rPr>
        <w:t>NKÚ</w:t>
      </w:r>
      <w:r>
        <w:rPr>
          <w:b/>
          <w:bCs/>
        </w:rPr>
        <w:t xml:space="preserve"> j</w:t>
      </w:r>
      <w:r w:rsidR="003F4BD0" w:rsidRPr="003F4BD0">
        <w:rPr>
          <w:b/>
          <w:bCs/>
        </w:rPr>
        <w:t>e závěrečný úče</w:t>
      </w:r>
      <w:r w:rsidR="00147CF6">
        <w:rPr>
          <w:b/>
          <w:bCs/>
        </w:rPr>
        <w:t>t</w:t>
      </w:r>
      <w:r w:rsidR="003F4BD0" w:rsidRPr="003F4BD0">
        <w:rPr>
          <w:b/>
          <w:bCs/>
        </w:rPr>
        <w:t xml:space="preserve"> kapitoly státního rozpočtu 3</w:t>
      </w:r>
      <w:r w:rsidR="002500C2">
        <w:rPr>
          <w:b/>
          <w:bCs/>
        </w:rPr>
        <w:t>75</w:t>
      </w:r>
      <w:r w:rsidR="00883298">
        <w:rPr>
          <w:b/>
          <w:bCs/>
        </w:rPr>
        <w:t xml:space="preserve"> </w:t>
      </w:r>
      <w:r w:rsidR="00FC3B7E">
        <w:rPr>
          <w:b/>
          <w:bCs/>
        </w:rPr>
        <w:t>–</w:t>
      </w:r>
      <w:r w:rsidR="00883298">
        <w:rPr>
          <w:b/>
          <w:bCs/>
        </w:rPr>
        <w:t xml:space="preserve"> </w:t>
      </w:r>
      <w:r w:rsidR="002500C2">
        <w:rPr>
          <w:b/>
          <w:bCs/>
          <w:i/>
          <w:iCs/>
        </w:rPr>
        <w:t>Státní úřad pro jadernou bezpečnost</w:t>
      </w:r>
      <w:r w:rsidR="003F4BD0" w:rsidRPr="003F4BD0">
        <w:rPr>
          <w:b/>
          <w:bCs/>
        </w:rPr>
        <w:t xml:space="preserve"> za rok 202</w:t>
      </w:r>
      <w:r w:rsidR="002500C2">
        <w:rPr>
          <w:b/>
          <w:bCs/>
        </w:rPr>
        <w:t>2</w:t>
      </w:r>
      <w:r w:rsidR="003F4BD0" w:rsidRPr="003F4BD0">
        <w:rPr>
          <w:b/>
          <w:bCs/>
        </w:rPr>
        <w:t xml:space="preserve"> sestaven v</w:t>
      </w:r>
      <w:r w:rsidR="009C20EE">
        <w:rPr>
          <w:b/>
          <w:bCs/>
        </w:rPr>
        <w:t> </w:t>
      </w:r>
      <w:r>
        <w:rPr>
          <w:b/>
          <w:bCs/>
        </w:rPr>
        <w:t>rozsahu</w:t>
      </w:r>
      <w:r w:rsidR="009C20EE">
        <w:rPr>
          <w:b/>
          <w:bCs/>
        </w:rPr>
        <w:t xml:space="preserve"> </w:t>
      </w:r>
      <w:r>
        <w:rPr>
          <w:b/>
          <w:bCs/>
        </w:rPr>
        <w:t xml:space="preserve">dle </w:t>
      </w:r>
      <w:r w:rsidR="003F4BD0" w:rsidRPr="003F4BD0">
        <w:rPr>
          <w:b/>
          <w:bCs/>
        </w:rPr>
        <w:t>vyhlášk</w:t>
      </w:r>
      <w:r>
        <w:rPr>
          <w:b/>
          <w:bCs/>
        </w:rPr>
        <w:t>y</w:t>
      </w:r>
      <w:r w:rsidR="003F4BD0" w:rsidRPr="003F4BD0">
        <w:rPr>
          <w:b/>
          <w:bCs/>
        </w:rPr>
        <w:t xml:space="preserve"> č.</w:t>
      </w:r>
      <w:r w:rsidR="002A130C">
        <w:rPr>
          <w:b/>
          <w:bCs/>
        </w:rPr>
        <w:t> </w:t>
      </w:r>
      <w:r w:rsidR="003F4BD0" w:rsidRPr="003F4BD0">
        <w:rPr>
          <w:b/>
          <w:bCs/>
        </w:rPr>
        <w:t>419/2001</w:t>
      </w:r>
      <w:r w:rsidR="009C20EE">
        <w:rPr>
          <w:b/>
          <w:bCs/>
        </w:rPr>
        <w:t> </w:t>
      </w:r>
      <w:r w:rsidR="003F4BD0" w:rsidRPr="003F4BD0">
        <w:rPr>
          <w:b/>
          <w:bCs/>
        </w:rPr>
        <w:t xml:space="preserve">Sb. </w:t>
      </w:r>
      <w:r>
        <w:rPr>
          <w:b/>
          <w:bCs/>
        </w:rPr>
        <w:t>a</w:t>
      </w:r>
      <w:r w:rsidR="003F4BD0" w:rsidRPr="003F4BD0">
        <w:rPr>
          <w:b/>
          <w:bCs/>
        </w:rPr>
        <w:t xml:space="preserve"> informace v něm uvedené </w:t>
      </w:r>
      <w:r w:rsidR="00A258CC">
        <w:rPr>
          <w:b/>
          <w:bCs/>
        </w:rPr>
        <w:t>odpovídají</w:t>
      </w:r>
      <w:r w:rsidR="003F4BD0" w:rsidRPr="003F4BD0">
        <w:rPr>
          <w:b/>
          <w:bCs/>
        </w:rPr>
        <w:t xml:space="preserve"> údaj</w:t>
      </w:r>
      <w:r w:rsidR="00A258CC">
        <w:rPr>
          <w:b/>
          <w:bCs/>
        </w:rPr>
        <w:t>ům</w:t>
      </w:r>
      <w:r w:rsidR="003F4BD0" w:rsidRPr="003F4BD0">
        <w:rPr>
          <w:b/>
          <w:bCs/>
        </w:rPr>
        <w:t xml:space="preserve"> v rozpočtovém systému, finanční</w:t>
      </w:r>
      <w:r>
        <w:rPr>
          <w:b/>
          <w:bCs/>
        </w:rPr>
        <w:t>m</w:t>
      </w:r>
      <w:r w:rsidR="003F4BD0" w:rsidRPr="003F4BD0">
        <w:rPr>
          <w:b/>
          <w:bCs/>
        </w:rPr>
        <w:t xml:space="preserve"> výkaz</w:t>
      </w:r>
      <w:r w:rsidR="00A258CC">
        <w:rPr>
          <w:b/>
          <w:bCs/>
        </w:rPr>
        <w:t>ům</w:t>
      </w:r>
      <w:r w:rsidR="003F4BD0" w:rsidRPr="003F4BD0">
        <w:rPr>
          <w:b/>
          <w:bCs/>
        </w:rPr>
        <w:t xml:space="preserve"> a</w:t>
      </w:r>
      <w:r w:rsidR="00FC3B7E">
        <w:rPr>
          <w:b/>
          <w:bCs/>
        </w:rPr>
        <w:t> </w:t>
      </w:r>
      <w:r w:rsidR="003F4BD0" w:rsidRPr="003F4BD0">
        <w:rPr>
          <w:b/>
          <w:bCs/>
        </w:rPr>
        <w:t>údaj</w:t>
      </w:r>
      <w:r w:rsidR="00A258CC">
        <w:rPr>
          <w:b/>
          <w:bCs/>
        </w:rPr>
        <w:t>ům</w:t>
      </w:r>
      <w:r w:rsidR="003F4BD0" w:rsidRPr="003F4BD0">
        <w:rPr>
          <w:b/>
          <w:bCs/>
        </w:rPr>
        <w:t xml:space="preserve"> </w:t>
      </w:r>
      <w:r w:rsidR="004B4E05">
        <w:rPr>
          <w:b/>
          <w:bCs/>
        </w:rPr>
        <w:t>z dalších</w:t>
      </w:r>
      <w:r w:rsidR="003F4BD0" w:rsidRPr="003F4BD0">
        <w:rPr>
          <w:b/>
          <w:bCs/>
        </w:rPr>
        <w:t xml:space="preserve"> evidencí.</w:t>
      </w:r>
      <w:bookmarkEnd w:id="4"/>
    </w:p>
    <w:p w14:paraId="4E221C6F" w14:textId="77777777" w:rsidR="001C2037" w:rsidRPr="001C2037" w:rsidRDefault="00310275" w:rsidP="00310275">
      <w:pPr>
        <w:pStyle w:val="Styl2"/>
        <w:numPr>
          <w:ilvl w:val="0"/>
          <w:numId w:val="0"/>
        </w:numPr>
        <w:spacing w:before="240" w:after="120"/>
      </w:pPr>
      <w:bookmarkStart w:id="5" w:name="_Hlk135982539"/>
      <w:bookmarkStart w:id="6" w:name="_Hlk134556443"/>
      <w:r>
        <w:t xml:space="preserve">4. </w:t>
      </w:r>
      <w:r w:rsidR="00F53F58" w:rsidRPr="005263BF">
        <w:t>Vnitřní kontrolní systém SÚJB</w:t>
      </w:r>
    </w:p>
    <w:p w14:paraId="0DA9B9C6" w14:textId="19811D4D" w:rsidR="00B83AD1" w:rsidRDefault="00B83AD1" w:rsidP="009C20EE">
      <w:pPr>
        <w:spacing w:before="120"/>
        <w:jc w:val="both"/>
        <w:rPr>
          <w:rFonts w:asciiTheme="minorHAnsi" w:hAnsiTheme="minorHAnsi" w:cstheme="minorHAnsi"/>
        </w:rPr>
      </w:pPr>
      <w:r w:rsidRPr="00C4158D">
        <w:rPr>
          <w:rFonts w:asciiTheme="minorHAnsi" w:hAnsiTheme="minorHAnsi" w:cstheme="minorHAnsi"/>
        </w:rPr>
        <w:t xml:space="preserve">NKÚ v </w:t>
      </w:r>
      <w:r w:rsidR="00F53F58" w:rsidRPr="00C4158D">
        <w:rPr>
          <w:rFonts w:asciiTheme="minorHAnsi" w:hAnsiTheme="minorHAnsi" w:cstheme="minorHAnsi"/>
        </w:rPr>
        <w:t xml:space="preserve">průběhu kontroly zjistil </w:t>
      </w:r>
      <w:r w:rsidR="00F85ED7" w:rsidRPr="00C4158D">
        <w:rPr>
          <w:rFonts w:asciiTheme="minorHAnsi" w:hAnsiTheme="minorHAnsi" w:cstheme="minorHAnsi"/>
        </w:rPr>
        <w:t xml:space="preserve">významné </w:t>
      </w:r>
      <w:r w:rsidR="00F53F58" w:rsidRPr="00C4158D">
        <w:rPr>
          <w:rFonts w:asciiTheme="minorHAnsi" w:hAnsiTheme="minorHAnsi" w:cstheme="minorHAnsi"/>
        </w:rPr>
        <w:t>nedostatky ve vedení účetnictví</w:t>
      </w:r>
      <w:r w:rsidR="0023690B" w:rsidRPr="00C4158D">
        <w:rPr>
          <w:rFonts w:asciiTheme="minorHAnsi" w:hAnsiTheme="minorHAnsi" w:cstheme="minorHAnsi"/>
        </w:rPr>
        <w:t>, které VKS SÚJB neidentifikoval</w:t>
      </w:r>
      <w:r w:rsidRPr="00C4158D">
        <w:rPr>
          <w:rFonts w:asciiTheme="minorHAnsi" w:hAnsiTheme="minorHAnsi" w:cstheme="minorHAnsi"/>
        </w:rPr>
        <w:t xml:space="preserve">. </w:t>
      </w:r>
      <w:r w:rsidR="00A2225E" w:rsidRPr="00C4158D">
        <w:rPr>
          <w:rFonts w:asciiTheme="minorHAnsi" w:hAnsiTheme="minorHAnsi" w:cstheme="minorHAnsi"/>
        </w:rPr>
        <w:t xml:space="preserve">Tyto </w:t>
      </w:r>
      <w:r w:rsidR="0023690B" w:rsidRPr="00C4158D">
        <w:rPr>
          <w:rFonts w:asciiTheme="minorHAnsi" w:hAnsiTheme="minorHAnsi" w:cstheme="minorHAnsi"/>
        </w:rPr>
        <w:t>nedostatk</w:t>
      </w:r>
      <w:r w:rsidR="00A2225E" w:rsidRPr="00C4158D">
        <w:rPr>
          <w:rFonts w:asciiTheme="minorHAnsi" w:hAnsiTheme="minorHAnsi" w:cstheme="minorHAnsi"/>
        </w:rPr>
        <w:t>y</w:t>
      </w:r>
      <w:r w:rsidR="0023690B" w:rsidRPr="00C4158D">
        <w:rPr>
          <w:rFonts w:asciiTheme="minorHAnsi" w:hAnsiTheme="minorHAnsi" w:cstheme="minorHAnsi"/>
        </w:rPr>
        <w:t>, jejichž</w:t>
      </w:r>
      <w:r w:rsidR="00F53F58" w:rsidRPr="00C4158D">
        <w:rPr>
          <w:rFonts w:asciiTheme="minorHAnsi" w:hAnsiTheme="minorHAnsi" w:cstheme="minorHAnsi"/>
        </w:rPr>
        <w:t xml:space="preserve"> </w:t>
      </w:r>
      <w:r w:rsidR="00FB75E3" w:rsidRPr="00C4158D">
        <w:rPr>
          <w:rFonts w:asciiTheme="minorHAnsi" w:hAnsiTheme="minorHAnsi" w:cstheme="minorHAnsi"/>
        </w:rPr>
        <w:t>souhrnný dopad</w:t>
      </w:r>
      <w:r w:rsidR="00A14AEE" w:rsidRPr="00C4158D">
        <w:rPr>
          <w:rFonts w:asciiTheme="minorHAnsi" w:hAnsiTheme="minorHAnsi" w:cstheme="minorHAnsi"/>
        </w:rPr>
        <w:t xml:space="preserve"> na </w:t>
      </w:r>
      <w:r w:rsidR="001416E0" w:rsidRPr="00C4158D">
        <w:rPr>
          <w:rFonts w:asciiTheme="minorHAnsi" w:hAnsiTheme="minorHAnsi" w:cstheme="minorHAnsi"/>
        </w:rPr>
        <w:t xml:space="preserve">zůstatky položek </w:t>
      </w:r>
      <w:r w:rsidR="00A14AEE" w:rsidRPr="00C4158D">
        <w:rPr>
          <w:rFonts w:asciiTheme="minorHAnsi" w:hAnsiTheme="minorHAnsi" w:cstheme="minorHAnsi"/>
        </w:rPr>
        <w:t>ÚZ</w:t>
      </w:r>
      <w:r w:rsidR="00F53F58" w:rsidRPr="00C4158D">
        <w:rPr>
          <w:rFonts w:asciiTheme="minorHAnsi" w:hAnsiTheme="minorHAnsi" w:cstheme="minorHAnsi"/>
        </w:rPr>
        <w:t xml:space="preserve"> </w:t>
      </w:r>
      <w:r w:rsidR="0023690B" w:rsidRPr="00C4158D">
        <w:rPr>
          <w:rFonts w:asciiTheme="minorHAnsi" w:hAnsiTheme="minorHAnsi" w:cstheme="minorHAnsi"/>
        </w:rPr>
        <w:t xml:space="preserve">byl </w:t>
      </w:r>
      <w:r w:rsidR="00A14AEE" w:rsidRPr="00C4158D">
        <w:rPr>
          <w:rFonts w:asciiTheme="minorHAnsi" w:hAnsiTheme="minorHAnsi" w:cstheme="minorHAnsi"/>
        </w:rPr>
        <w:t xml:space="preserve">ve </w:t>
      </w:r>
      <w:r w:rsidR="00F53F58" w:rsidRPr="00C4158D">
        <w:rPr>
          <w:rFonts w:asciiTheme="minorHAnsi" w:hAnsiTheme="minorHAnsi" w:cstheme="minorHAnsi"/>
        </w:rPr>
        <w:t xml:space="preserve">výši </w:t>
      </w:r>
      <w:r w:rsidR="00A14AEE" w:rsidRPr="00C4158D">
        <w:rPr>
          <w:rFonts w:asciiTheme="minorHAnsi" w:hAnsiTheme="minorHAnsi" w:cstheme="minorHAnsi"/>
        </w:rPr>
        <w:t>53</w:t>
      </w:r>
      <w:r w:rsidR="00F53F58" w:rsidRPr="00C4158D">
        <w:rPr>
          <w:rFonts w:asciiTheme="minorHAnsi" w:hAnsiTheme="minorHAnsi" w:cstheme="minorHAnsi"/>
        </w:rPr>
        <w:t>,6 mil. Kč</w:t>
      </w:r>
      <w:r w:rsidR="0023690B" w:rsidRPr="00C4158D">
        <w:rPr>
          <w:rFonts w:asciiTheme="minorHAnsi" w:hAnsiTheme="minorHAnsi" w:cstheme="minorHAnsi"/>
        </w:rPr>
        <w:t>, však</w:t>
      </w:r>
      <w:r w:rsidR="00F53F58" w:rsidRPr="00C4158D">
        <w:rPr>
          <w:rFonts w:asciiTheme="minorHAnsi" w:hAnsiTheme="minorHAnsi" w:cstheme="minorHAnsi"/>
        </w:rPr>
        <w:t xml:space="preserve"> SÚJB následně v průběhu kontroly </w:t>
      </w:r>
      <w:r w:rsidR="00F53F58" w:rsidRPr="0079780E">
        <w:rPr>
          <w:rFonts w:asciiTheme="minorHAnsi" w:hAnsiTheme="minorHAnsi" w:cstheme="minorHAnsi"/>
        </w:rPr>
        <w:t>opravil</w:t>
      </w:r>
      <w:r w:rsidRPr="0079780E">
        <w:rPr>
          <w:rFonts w:asciiTheme="minorHAnsi" w:hAnsiTheme="minorHAnsi" w:cstheme="minorHAnsi"/>
        </w:rPr>
        <w:t xml:space="preserve"> </w:t>
      </w:r>
      <w:r w:rsidR="00F85ED7" w:rsidRPr="000C21A6">
        <w:rPr>
          <w:rFonts w:asciiTheme="minorHAnsi" w:hAnsiTheme="minorHAnsi" w:cstheme="minorHAnsi"/>
        </w:rPr>
        <w:t>a přijal takov</w:t>
      </w:r>
      <w:r w:rsidR="0072375E" w:rsidRPr="000C21A6">
        <w:rPr>
          <w:rFonts w:asciiTheme="minorHAnsi" w:hAnsiTheme="minorHAnsi" w:cstheme="minorHAnsi"/>
        </w:rPr>
        <w:t>á systémová opatření</w:t>
      </w:r>
      <w:r w:rsidR="001A1C93" w:rsidRPr="000C21A6">
        <w:rPr>
          <w:rFonts w:asciiTheme="minorHAnsi" w:hAnsiTheme="minorHAnsi" w:cstheme="minorHAnsi"/>
        </w:rPr>
        <w:t xml:space="preserve"> ve VKS</w:t>
      </w:r>
      <w:r w:rsidR="0072375E" w:rsidRPr="000C21A6">
        <w:rPr>
          <w:rFonts w:asciiTheme="minorHAnsi" w:hAnsiTheme="minorHAnsi" w:cstheme="minorHAnsi"/>
        </w:rPr>
        <w:t xml:space="preserve">, aby k nim nadále nedocházelo </w:t>
      </w:r>
      <w:r w:rsidR="00F53F58" w:rsidRPr="000C21A6">
        <w:rPr>
          <w:rFonts w:asciiTheme="minorHAnsi" w:hAnsiTheme="minorHAnsi" w:cstheme="minorHAnsi"/>
        </w:rPr>
        <w:t>(viz část IV.</w:t>
      </w:r>
      <w:r w:rsidR="00D429A9" w:rsidRPr="000C21A6">
        <w:rPr>
          <w:rFonts w:asciiTheme="minorHAnsi" w:hAnsiTheme="minorHAnsi" w:cstheme="minorHAnsi"/>
        </w:rPr>
        <w:t>1.1</w:t>
      </w:r>
      <w:r w:rsidR="009B06B3">
        <w:rPr>
          <w:rFonts w:asciiTheme="minorHAnsi" w:hAnsiTheme="minorHAnsi" w:cstheme="minorHAnsi"/>
        </w:rPr>
        <w:t xml:space="preserve"> tohoto kontrolního závěru</w:t>
      </w:r>
      <w:r w:rsidR="00F53F58" w:rsidRPr="000C21A6">
        <w:rPr>
          <w:rFonts w:asciiTheme="minorHAnsi" w:hAnsiTheme="minorHAnsi" w:cstheme="minorHAnsi"/>
        </w:rPr>
        <w:t>)</w:t>
      </w:r>
      <w:r w:rsidR="00CB0EEE" w:rsidRPr="000C21A6">
        <w:rPr>
          <w:rFonts w:asciiTheme="minorHAnsi" w:hAnsiTheme="minorHAnsi" w:cstheme="minorHAnsi"/>
        </w:rPr>
        <w:t xml:space="preserve">. </w:t>
      </w:r>
    </w:p>
    <w:bookmarkEnd w:id="5"/>
    <w:p w14:paraId="4348A68A" w14:textId="094DCE18" w:rsidR="003E1B2F" w:rsidRPr="00451A15" w:rsidRDefault="003E1B2F" w:rsidP="009C20EE">
      <w:pPr>
        <w:spacing w:before="120"/>
        <w:jc w:val="both"/>
        <w:rPr>
          <w:rFonts w:asciiTheme="minorHAnsi" w:hAnsiTheme="minorHAnsi" w:cstheme="minorHAnsi"/>
        </w:rPr>
      </w:pPr>
      <w:r w:rsidRPr="00451A15">
        <w:rPr>
          <w:rFonts w:cs="Calibri"/>
        </w:rPr>
        <w:t>V případě údajů</w:t>
      </w:r>
      <w:r w:rsidRPr="00F92262">
        <w:rPr>
          <w:rFonts w:cs="Calibri"/>
        </w:rPr>
        <w:t xml:space="preserve"> předkládaných Státním úřadem pro jadernou bezpečnost pro hodnocení plnění státního rozpočtu za rok 2022 </w:t>
      </w:r>
      <w:r w:rsidRPr="00451A15">
        <w:rPr>
          <w:rFonts w:cs="Calibri"/>
        </w:rPr>
        <w:t>zjistil</w:t>
      </w:r>
      <w:r w:rsidR="009B06B3" w:rsidRPr="009B06B3">
        <w:rPr>
          <w:rFonts w:cs="Calibri"/>
        </w:rPr>
        <w:t xml:space="preserve"> </w:t>
      </w:r>
      <w:r w:rsidR="009B06B3" w:rsidRPr="00451A15">
        <w:rPr>
          <w:rFonts w:cs="Calibri"/>
        </w:rPr>
        <w:t>NKÚ</w:t>
      </w:r>
      <w:r w:rsidRPr="00451A15">
        <w:rPr>
          <w:rFonts w:cs="Calibri"/>
        </w:rPr>
        <w:t>, že jsou tříděny ve všech významných ohledech v souladu s vyhláškou č. 412/2021 Sb.</w:t>
      </w:r>
      <w:r w:rsidRPr="00451A15">
        <w:rPr>
          <w:rFonts w:asciiTheme="minorHAnsi" w:hAnsiTheme="minorHAnsi" w:cstheme="minorHAnsi"/>
        </w:rPr>
        <w:t xml:space="preserve"> </w:t>
      </w:r>
      <w:r w:rsidR="00F53F58" w:rsidRPr="00451A15">
        <w:rPr>
          <w:rFonts w:asciiTheme="minorHAnsi" w:hAnsiTheme="minorHAnsi" w:cstheme="minorHAnsi"/>
        </w:rPr>
        <w:t>(viz část IV.</w:t>
      </w:r>
      <w:r w:rsidR="005832EF" w:rsidRPr="00451A15">
        <w:rPr>
          <w:rFonts w:asciiTheme="minorHAnsi" w:hAnsiTheme="minorHAnsi" w:cstheme="minorHAnsi"/>
        </w:rPr>
        <w:t>2</w:t>
      </w:r>
      <w:r w:rsidR="009B06B3">
        <w:rPr>
          <w:rFonts w:asciiTheme="minorHAnsi" w:hAnsiTheme="minorHAnsi" w:cstheme="minorHAnsi"/>
        </w:rPr>
        <w:t xml:space="preserve"> tohoto kontrolního závěru</w:t>
      </w:r>
      <w:r w:rsidR="00F53F58" w:rsidRPr="00451A15">
        <w:rPr>
          <w:rFonts w:asciiTheme="minorHAnsi" w:hAnsiTheme="minorHAnsi" w:cstheme="minorHAnsi"/>
        </w:rPr>
        <w:t>).</w:t>
      </w:r>
    </w:p>
    <w:p w14:paraId="5529CC28" w14:textId="77777777" w:rsidR="00A5140C" w:rsidRPr="003D1832" w:rsidRDefault="001416E0" w:rsidP="009C20EE">
      <w:pPr>
        <w:spacing w:before="120"/>
        <w:jc w:val="both"/>
      </w:pPr>
      <w:r w:rsidRPr="00451A15">
        <w:rPr>
          <w:bCs/>
        </w:rPr>
        <w:lastRenderedPageBreak/>
        <w:t>NKÚ dále zjistil</w:t>
      </w:r>
      <w:r w:rsidR="00286E63" w:rsidRPr="00451A15">
        <w:rPr>
          <w:bCs/>
        </w:rPr>
        <w:t>, ž</w:t>
      </w:r>
      <w:r w:rsidRPr="00451A15">
        <w:rPr>
          <w:bCs/>
        </w:rPr>
        <w:t xml:space="preserve">e závěrečný účet kapitoly státního rozpočtu 375 – </w:t>
      </w:r>
      <w:r w:rsidRPr="00451A15">
        <w:rPr>
          <w:bCs/>
          <w:i/>
          <w:iCs/>
        </w:rPr>
        <w:t>Státní úřad pro jadernou bezpečnost</w:t>
      </w:r>
      <w:r w:rsidRPr="00451A15">
        <w:rPr>
          <w:bCs/>
        </w:rPr>
        <w:t xml:space="preserve"> za rok 2022 </w:t>
      </w:r>
      <w:r w:rsidR="00286E63" w:rsidRPr="00451A15">
        <w:rPr>
          <w:bCs/>
        </w:rPr>
        <w:t xml:space="preserve">byl </w:t>
      </w:r>
      <w:r w:rsidRPr="00451A15">
        <w:rPr>
          <w:bCs/>
        </w:rPr>
        <w:t>sestaven v</w:t>
      </w:r>
      <w:r w:rsidR="009B06B3">
        <w:rPr>
          <w:bCs/>
        </w:rPr>
        <w:t> </w:t>
      </w:r>
      <w:r w:rsidRPr="00451A15">
        <w:rPr>
          <w:bCs/>
        </w:rPr>
        <w:t>rozsahu</w:t>
      </w:r>
      <w:r w:rsidR="009B06B3">
        <w:rPr>
          <w:bCs/>
        </w:rPr>
        <w:t xml:space="preserve"> </w:t>
      </w:r>
      <w:r w:rsidRPr="00451A15">
        <w:rPr>
          <w:bCs/>
        </w:rPr>
        <w:t xml:space="preserve">dle vyhlášky č. 419/2001 Sb. a informace v něm uvedené </w:t>
      </w:r>
      <w:r w:rsidR="001A4AB7" w:rsidRPr="00451A15">
        <w:rPr>
          <w:bCs/>
        </w:rPr>
        <w:t>odpovídají</w:t>
      </w:r>
      <w:r w:rsidRPr="00451A15">
        <w:rPr>
          <w:bCs/>
        </w:rPr>
        <w:t xml:space="preserve"> údaj</w:t>
      </w:r>
      <w:r w:rsidR="001A4AB7" w:rsidRPr="00451A15">
        <w:rPr>
          <w:bCs/>
        </w:rPr>
        <w:t xml:space="preserve">ům </w:t>
      </w:r>
      <w:r w:rsidRPr="00451A15">
        <w:rPr>
          <w:bCs/>
        </w:rPr>
        <w:t>v rozpočtovém systému, finančním výkaz</w:t>
      </w:r>
      <w:r w:rsidR="001A4AB7" w:rsidRPr="00451A15">
        <w:rPr>
          <w:bCs/>
        </w:rPr>
        <w:t>ům</w:t>
      </w:r>
      <w:r w:rsidRPr="00451A15">
        <w:rPr>
          <w:bCs/>
        </w:rPr>
        <w:t xml:space="preserve"> a údaj</w:t>
      </w:r>
      <w:r w:rsidR="001A4AB7" w:rsidRPr="00451A15">
        <w:rPr>
          <w:bCs/>
        </w:rPr>
        <w:t>ům</w:t>
      </w:r>
      <w:r w:rsidRPr="00451A15">
        <w:rPr>
          <w:bCs/>
        </w:rPr>
        <w:t xml:space="preserve"> z dalších evidencí</w:t>
      </w:r>
      <w:r w:rsidRPr="00451A15" w:rsidDel="001416E0">
        <w:rPr>
          <w:bCs/>
        </w:rPr>
        <w:t xml:space="preserve"> </w:t>
      </w:r>
      <w:r w:rsidR="00F53F58" w:rsidRPr="00451A15">
        <w:t>(viz část IV.</w:t>
      </w:r>
      <w:r w:rsidR="005832EF" w:rsidRPr="00451A15">
        <w:t>3</w:t>
      </w:r>
      <w:r w:rsidR="009B06B3">
        <w:t xml:space="preserve"> tohoto kontrolního závěru</w:t>
      </w:r>
      <w:r w:rsidR="00F53F58" w:rsidRPr="00451A15">
        <w:t>).</w:t>
      </w:r>
    </w:p>
    <w:p w14:paraId="3F89F412" w14:textId="77777777" w:rsidR="00956FA4" w:rsidRPr="00DB2241" w:rsidRDefault="00CB3C84" w:rsidP="009C20EE">
      <w:pPr>
        <w:spacing w:before="120"/>
        <w:jc w:val="both"/>
        <w:rPr>
          <w:rFonts w:eastAsia="Calibri" w:cstheme="minorHAnsi"/>
          <w:color w:val="000000" w:themeColor="text1"/>
        </w:rPr>
      </w:pPr>
      <w:r w:rsidRPr="00DB2241">
        <w:rPr>
          <w:rFonts w:eastAsia="Calibri" w:cstheme="minorHAnsi"/>
          <w:color w:val="000000" w:themeColor="text1"/>
        </w:rPr>
        <w:t>V prověřovaných případech nezjistil NKÚ porušení právních předpisů upravujících hospodaření s majetkem státu a řídicí kontrolu při řízení veřejných příjmů a výdajů.</w:t>
      </w:r>
    </w:p>
    <w:p w14:paraId="2A6532B4" w14:textId="77777777" w:rsidR="00F53F58" w:rsidRDefault="00F53F58" w:rsidP="009C20EE">
      <w:pPr>
        <w:spacing w:before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 </w:t>
      </w:r>
      <w:r w:rsidR="00347144">
        <w:rPr>
          <w:rFonts w:asciiTheme="minorHAnsi" w:hAnsiTheme="minorHAnsi" w:cstheme="minorHAnsi"/>
          <w:b/>
          <w:bCs/>
        </w:rPr>
        <w:t xml:space="preserve">opatřeních přijatých </w:t>
      </w:r>
      <w:r w:rsidR="001F6995">
        <w:rPr>
          <w:rFonts w:asciiTheme="minorHAnsi" w:hAnsiTheme="minorHAnsi" w:cstheme="minorHAnsi"/>
          <w:b/>
          <w:bCs/>
        </w:rPr>
        <w:t>ve VKS</w:t>
      </w:r>
      <w:r w:rsidR="00DB746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mohl NKÚ konstatovat</w:t>
      </w:r>
      <w:r w:rsidRPr="002A454B">
        <w:rPr>
          <w:rFonts w:asciiTheme="minorHAnsi" w:hAnsiTheme="minorHAnsi" w:cstheme="minorHAnsi"/>
          <w:b/>
          <w:bCs/>
        </w:rPr>
        <w:t xml:space="preserve">, že vnitřní kontrolní systém </w:t>
      </w:r>
      <w:r>
        <w:rPr>
          <w:rFonts w:asciiTheme="minorHAnsi" w:hAnsiTheme="minorHAnsi" w:cstheme="minorHAnsi"/>
          <w:b/>
          <w:bCs/>
        </w:rPr>
        <w:t xml:space="preserve">SÚJB </w:t>
      </w:r>
      <w:r w:rsidR="00923278">
        <w:rPr>
          <w:rFonts w:asciiTheme="minorHAnsi" w:hAnsiTheme="minorHAnsi" w:cstheme="minorHAnsi"/>
          <w:b/>
          <w:bCs/>
        </w:rPr>
        <w:t xml:space="preserve">lze </w:t>
      </w:r>
      <w:r w:rsidRPr="002A454B">
        <w:rPr>
          <w:rFonts w:asciiTheme="minorHAnsi" w:hAnsiTheme="minorHAnsi" w:cstheme="minorHAnsi"/>
          <w:b/>
          <w:bCs/>
        </w:rPr>
        <w:t xml:space="preserve">v prověřovaných oblastech </w:t>
      </w:r>
      <w:r w:rsidR="00923278">
        <w:rPr>
          <w:rFonts w:asciiTheme="minorHAnsi" w:hAnsiTheme="minorHAnsi" w:cstheme="minorHAnsi"/>
          <w:b/>
          <w:bCs/>
        </w:rPr>
        <w:t>považovat za</w:t>
      </w:r>
      <w:r>
        <w:rPr>
          <w:rFonts w:asciiTheme="minorHAnsi" w:hAnsiTheme="minorHAnsi" w:cstheme="minorHAnsi"/>
          <w:b/>
          <w:bCs/>
        </w:rPr>
        <w:t xml:space="preserve"> </w:t>
      </w:r>
      <w:r w:rsidRPr="002A454B">
        <w:rPr>
          <w:rFonts w:asciiTheme="minorHAnsi" w:hAnsiTheme="minorHAnsi" w:cstheme="minorHAnsi"/>
          <w:b/>
          <w:bCs/>
        </w:rPr>
        <w:t>účinný.</w:t>
      </w:r>
    </w:p>
    <w:bookmarkEnd w:id="6"/>
    <w:p w14:paraId="0756E6E8" w14:textId="77777777" w:rsidR="00112642" w:rsidRPr="00E41EAE" w:rsidRDefault="00A640AE" w:rsidP="00281392">
      <w:pPr>
        <w:pStyle w:val="Nadpis1"/>
        <w:keepNext/>
        <w:spacing w:before="600" w:after="120" w:line="240" w:lineRule="auto"/>
        <w:jc w:val="left"/>
        <w:rPr>
          <w:sz w:val="24"/>
        </w:rPr>
      </w:pPr>
      <w:r w:rsidRPr="00E41EAE">
        <w:rPr>
          <w:sz w:val="24"/>
        </w:rPr>
        <w:t>Seznam zkratek</w:t>
      </w:r>
    </w:p>
    <w:p w14:paraId="2BE4F8A5" w14:textId="77777777" w:rsidR="0091440A" w:rsidRDefault="00155F56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8D4B68">
        <w:rPr>
          <w:rFonts w:asciiTheme="minorHAnsi" w:eastAsiaTheme="minorHAnsi" w:hAnsiTheme="minorHAnsi" w:cstheme="minorHAnsi"/>
        </w:rPr>
        <w:t>ČR</w:t>
      </w:r>
      <w:r w:rsidRPr="008D4B68">
        <w:rPr>
          <w:rFonts w:asciiTheme="minorHAnsi" w:eastAsiaTheme="minorHAnsi" w:hAnsiTheme="minorHAnsi" w:cstheme="minorHAnsi"/>
        </w:rPr>
        <w:tab/>
        <w:t>Česká republika</w:t>
      </w:r>
    </w:p>
    <w:p w14:paraId="0A23ABC9" w14:textId="08E82E43" w:rsidR="00CB3C84" w:rsidRDefault="003D1832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ČÚS</w:t>
      </w:r>
      <w:r>
        <w:rPr>
          <w:rFonts w:asciiTheme="minorHAnsi" w:eastAsiaTheme="minorHAnsi" w:hAnsiTheme="minorHAnsi" w:cstheme="minorHAnsi"/>
        </w:rPr>
        <w:tab/>
      </w:r>
      <w:r w:rsidR="009B06B3">
        <w:rPr>
          <w:rFonts w:asciiTheme="minorHAnsi" w:eastAsiaTheme="minorHAnsi" w:hAnsiTheme="minorHAnsi" w:cstheme="minorHAnsi"/>
        </w:rPr>
        <w:t>č</w:t>
      </w:r>
      <w:r w:rsidRPr="00372B71">
        <w:rPr>
          <w:rFonts w:asciiTheme="minorHAnsi" w:eastAsiaTheme="minorHAnsi" w:hAnsiTheme="minorHAnsi" w:cstheme="minorHAnsi"/>
        </w:rPr>
        <w:t>eský účetní standard pro některé vybrané účetní jednotky</w:t>
      </w:r>
    </w:p>
    <w:p w14:paraId="1581E955" w14:textId="77777777" w:rsidR="00155F56" w:rsidRPr="000206ED" w:rsidRDefault="00155F56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KA</w:t>
      </w:r>
      <w:r w:rsidRPr="000206ED">
        <w:rPr>
          <w:rFonts w:asciiTheme="minorHAnsi" w:eastAsiaTheme="minorHAnsi" w:hAnsiTheme="minorHAnsi" w:cstheme="minorHAnsi"/>
        </w:rPr>
        <w:tab/>
      </w:r>
      <w:r w:rsidR="003B23D8" w:rsidRPr="000206ED">
        <w:rPr>
          <w:rFonts w:asciiTheme="minorHAnsi" w:eastAsiaTheme="minorHAnsi" w:hAnsiTheme="minorHAnsi" w:cstheme="minorHAnsi"/>
        </w:rPr>
        <w:t>k</w:t>
      </w:r>
      <w:r w:rsidRPr="000206ED">
        <w:rPr>
          <w:rFonts w:asciiTheme="minorHAnsi" w:eastAsiaTheme="minorHAnsi" w:hAnsiTheme="minorHAnsi" w:cstheme="minorHAnsi"/>
        </w:rPr>
        <w:t>ontrolní akce</w:t>
      </w:r>
      <w:r w:rsidR="003B23D8" w:rsidRPr="000206ED">
        <w:rPr>
          <w:rFonts w:asciiTheme="minorHAnsi" w:eastAsiaTheme="minorHAnsi" w:hAnsiTheme="minorHAnsi" w:cstheme="minorHAnsi"/>
        </w:rPr>
        <w:t xml:space="preserve"> </w:t>
      </w:r>
    </w:p>
    <w:p w14:paraId="33E114E8" w14:textId="77777777" w:rsidR="0019652C" w:rsidRDefault="0019652C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kapitola 3</w:t>
      </w:r>
      <w:r w:rsidR="009F2808">
        <w:rPr>
          <w:rFonts w:asciiTheme="minorHAnsi" w:eastAsiaTheme="minorHAnsi" w:hAnsiTheme="minorHAnsi" w:cstheme="minorHAnsi"/>
        </w:rPr>
        <w:t>75</w:t>
      </w:r>
      <w:r w:rsidRPr="000206ED">
        <w:rPr>
          <w:rFonts w:asciiTheme="minorHAnsi" w:eastAsiaTheme="minorHAnsi" w:hAnsiTheme="minorHAnsi" w:cstheme="minorHAnsi"/>
        </w:rPr>
        <w:tab/>
        <w:t>kapitola státního rozpočtu 3</w:t>
      </w:r>
      <w:r w:rsidR="009F2808">
        <w:rPr>
          <w:rFonts w:asciiTheme="minorHAnsi" w:eastAsiaTheme="minorHAnsi" w:hAnsiTheme="minorHAnsi" w:cstheme="minorHAnsi"/>
        </w:rPr>
        <w:t>75</w:t>
      </w:r>
      <w:r w:rsidRPr="000206ED">
        <w:rPr>
          <w:rFonts w:asciiTheme="minorHAnsi" w:eastAsiaTheme="minorHAnsi" w:hAnsiTheme="minorHAnsi" w:cstheme="minorHAnsi"/>
        </w:rPr>
        <w:t xml:space="preserve"> – </w:t>
      </w:r>
      <w:r w:rsidR="009F2808">
        <w:rPr>
          <w:rFonts w:asciiTheme="minorHAnsi" w:eastAsiaTheme="minorHAnsi" w:hAnsiTheme="minorHAnsi" w:cstheme="minorHAnsi"/>
          <w:i/>
          <w:iCs/>
        </w:rPr>
        <w:t>Státní úřad pro jadernou bezpečnost</w:t>
      </w:r>
      <w:r w:rsidRPr="000206ED">
        <w:rPr>
          <w:rFonts w:asciiTheme="minorHAnsi" w:eastAsiaTheme="minorHAnsi" w:hAnsiTheme="minorHAnsi" w:cstheme="minorHAnsi"/>
        </w:rPr>
        <w:t xml:space="preserve"> </w:t>
      </w:r>
    </w:p>
    <w:p w14:paraId="5CEBD681" w14:textId="77777777" w:rsidR="00155F56" w:rsidRPr="000206ED" w:rsidRDefault="00155F56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NKÚ</w:t>
      </w:r>
      <w:r w:rsidRPr="000206ED">
        <w:rPr>
          <w:rFonts w:asciiTheme="minorHAnsi" w:eastAsiaTheme="minorHAnsi" w:hAnsiTheme="minorHAnsi" w:cstheme="minorHAnsi"/>
        </w:rPr>
        <w:tab/>
        <w:t>Nejvyšší kontrolní úřad</w:t>
      </w:r>
    </w:p>
    <w:p w14:paraId="5E9104FA" w14:textId="77A16738" w:rsidR="00155F56" w:rsidRDefault="00155F56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OSS</w:t>
      </w:r>
      <w:r w:rsidRPr="000206ED">
        <w:rPr>
          <w:rFonts w:asciiTheme="minorHAnsi" w:eastAsiaTheme="minorHAnsi" w:hAnsiTheme="minorHAnsi" w:cstheme="minorHAnsi"/>
        </w:rPr>
        <w:tab/>
        <w:t>organizační složka státu</w:t>
      </w:r>
    </w:p>
    <w:p w14:paraId="7C78DD28" w14:textId="77777777" w:rsidR="0096120D" w:rsidRDefault="0096120D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SÚJB</w:t>
      </w:r>
      <w:r>
        <w:rPr>
          <w:rFonts w:asciiTheme="minorHAnsi" w:eastAsiaTheme="minorHAnsi" w:hAnsiTheme="minorHAnsi" w:cstheme="minorHAnsi"/>
        </w:rPr>
        <w:tab/>
        <w:t>Státní úřad pro jadernou bezpečnost</w:t>
      </w:r>
    </w:p>
    <w:p w14:paraId="43C94EC7" w14:textId="0601C9EE" w:rsidR="0091440A" w:rsidRDefault="0091440A" w:rsidP="00281392">
      <w:pPr>
        <w:keepNext/>
        <w:tabs>
          <w:tab w:val="left" w:pos="2268"/>
        </w:tabs>
        <w:spacing w:after="60"/>
        <w:ind w:left="2268" w:hanging="2268"/>
        <w:rPr>
          <w:rFonts w:cs="Calibri"/>
        </w:rPr>
      </w:pPr>
      <w:r w:rsidRPr="006A0084">
        <w:rPr>
          <w:rFonts w:cs="Calibri"/>
        </w:rPr>
        <w:t>SÚRO</w:t>
      </w:r>
      <w:r w:rsidR="003E1E3D">
        <w:rPr>
          <w:rFonts w:cs="Calibri"/>
        </w:rPr>
        <w:tab/>
      </w:r>
      <w:r w:rsidR="003E1E3D" w:rsidRPr="00922BAA">
        <w:rPr>
          <w:rFonts w:asciiTheme="minorHAnsi" w:hAnsiTheme="minorHAnsi" w:cstheme="minorHAnsi"/>
        </w:rPr>
        <w:t>Státní ústav radiační ochrany</w:t>
      </w:r>
      <w:r w:rsidR="003E1E3D">
        <w:rPr>
          <w:rFonts w:asciiTheme="minorHAnsi" w:hAnsiTheme="minorHAnsi" w:cstheme="minorHAnsi"/>
        </w:rPr>
        <w:t>, v.</w:t>
      </w:r>
      <w:r w:rsidR="004C268B">
        <w:rPr>
          <w:rFonts w:asciiTheme="minorHAnsi" w:hAnsiTheme="minorHAnsi" w:cstheme="minorHAnsi"/>
        </w:rPr>
        <w:t> </w:t>
      </w:r>
      <w:r w:rsidR="003E1E3D">
        <w:rPr>
          <w:rFonts w:asciiTheme="minorHAnsi" w:hAnsiTheme="minorHAnsi" w:cstheme="minorHAnsi"/>
        </w:rPr>
        <w:t>v.</w:t>
      </w:r>
      <w:r w:rsidR="004C268B">
        <w:rPr>
          <w:rFonts w:asciiTheme="minorHAnsi" w:hAnsiTheme="minorHAnsi" w:cstheme="minorHAnsi"/>
        </w:rPr>
        <w:t> </w:t>
      </w:r>
      <w:r w:rsidR="003E1E3D">
        <w:rPr>
          <w:rFonts w:asciiTheme="minorHAnsi" w:hAnsiTheme="minorHAnsi" w:cstheme="minorHAnsi"/>
        </w:rPr>
        <w:t>i.</w:t>
      </w:r>
    </w:p>
    <w:p w14:paraId="1CDFFCE4" w14:textId="0DAC693C" w:rsidR="0091440A" w:rsidRPr="000206ED" w:rsidRDefault="0091440A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6A0084">
        <w:rPr>
          <w:rFonts w:cs="Calibri"/>
        </w:rPr>
        <w:t>SÚJCHBO</w:t>
      </w:r>
      <w:r w:rsidR="003E1E3D">
        <w:rPr>
          <w:rFonts w:cs="Calibri"/>
        </w:rPr>
        <w:tab/>
      </w:r>
      <w:r w:rsidR="003E1E3D" w:rsidRPr="002E5B86">
        <w:rPr>
          <w:rFonts w:asciiTheme="minorHAnsi" w:hAnsiTheme="minorHAnsi" w:cstheme="minorHAnsi"/>
        </w:rPr>
        <w:t>Státní ústav jaderné, chemické a biologické ochrany, v.</w:t>
      </w:r>
      <w:r w:rsidR="004C268B">
        <w:rPr>
          <w:rFonts w:asciiTheme="minorHAnsi" w:hAnsiTheme="minorHAnsi" w:cstheme="minorHAnsi"/>
        </w:rPr>
        <w:t> </w:t>
      </w:r>
      <w:r w:rsidR="003E1E3D" w:rsidRPr="002E5B86">
        <w:rPr>
          <w:rFonts w:asciiTheme="minorHAnsi" w:hAnsiTheme="minorHAnsi" w:cstheme="minorHAnsi"/>
        </w:rPr>
        <w:t>v.</w:t>
      </w:r>
      <w:r w:rsidR="004C268B">
        <w:rPr>
          <w:rFonts w:asciiTheme="minorHAnsi" w:hAnsiTheme="minorHAnsi" w:cstheme="minorHAnsi"/>
        </w:rPr>
        <w:t> </w:t>
      </w:r>
      <w:r w:rsidR="003E1E3D" w:rsidRPr="002E5B86">
        <w:rPr>
          <w:rFonts w:asciiTheme="minorHAnsi" w:hAnsiTheme="minorHAnsi" w:cstheme="minorHAnsi"/>
        </w:rPr>
        <w:t>i.</w:t>
      </w:r>
    </w:p>
    <w:p w14:paraId="57F56D13" w14:textId="77777777" w:rsidR="00155F56" w:rsidRDefault="00155F56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ÚZ</w:t>
      </w:r>
      <w:r w:rsidRPr="000206ED">
        <w:rPr>
          <w:rFonts w:asciiTheme="minorHAnsi" w:eastAsiaTheme="minorHAnsi" w:hAnsiTheme="minorHAnsi" w:cstheme="minorHAnsi"/>
        </w:rPr>
        <w:tab/>
        <w:t xml:space="preserve">účetní závěrka </w:t>
      </w:r>
      <w:r w:rsidR="0096120D">
        <w:rPr>
          <w:rFonts w:asciiTheme="minorHAnsi" w:eastAsiaTheme="minorHAnsi" w:hAnsiTheme="minorHAnsi" w:cstheme="minorHAnsi"/>
        </w:rPr>
        <w:t>Státního úřadu pro jadernou bezpečnost</w:t>
      </w:r>
      <w:r w:rsidRPr="000206ED">
        <w:rPr>
          <w:rFonts w:asciiTheme="minorHAnsi" w:eastAsiaTheme="minorHAnsi" w:hAnsiTheme="minorHAnsi" w:cstheme="minorHAnsi"/>
        </w:rPr>
        <w:t xml:space="preserve"> k 31.</w:t>
      </w:r>
      <w:r w:rsidR="009F66D1">
        <w:rPr>
          <w:rFonts w:asciiTheme="minorHAnsi" w:eastAsiaTheme="minorHAnsi" w:hAnsiTheme="minorHAnsi" w:cstheme="minorHAnsi"/>
        </w:rPr>
        <w:t> </w:t>
      </w:r>
      <w:r w:rsidRPr="000206ED">
        <w:rPr>
          <w:rFonts w:asciiTheme="minorHAnsi" w:eastAsiaTheme="minorHAnsi" w:hAnsiTheme="minorHAnsi" w:cstheme="minorHAnsi"/>
        </w:rPr>
        <w:t>prosinci 20</w:t>
      </w:r>
      <w:r w:rsidR="00842B22" w:rsidRPr="000206ED">
        <w:rPr>
          <w:rFonts w:asciiTheme="minorHAnsi" w:eastAsiaTheme="minorHAnsi" w:hAnsiTheme="minorHAnsi" w:cstheme="minorHAnsi"/>
        </w:rPr>
        <w:t>2</w:t>
      </w:r>
      <w:r w:rsidR="0096120D">
        <w:rPr>
          <w:rFonts w:asciiTheme="minorHAnsi" w:eastAsiaTheme="minorHAnsi" w:hAnsiTheme="minorHAnsi" w:cstheme="minorHAnsi"/>
        </w:rPr>
        <w:t>2</w:t>
      </w:r>
    </w:p>
    <w:p w14:paraId="7D665F38" w14:textId="77777777" w:rsidR="00A045AE" w:rsidRDefault="00A045AE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VKS</w:t>
      </w:r>
      <w:r w:rsidRPr="000206ED">
        <w:rPr>
          <w:rFonts w:asciiTheme="minorHAnsi" w:eastAsiaTheme="minorHAnsi" w:hAnsiTheme="minorHAnsi" w:cstheme="minorHAnsi"/>
        </w:rPr>
        <w:tab/>
        <w:t>vnitřní kont</w:t>
      </w:r>
      <w:r w:rsidR="0096120D">
        <w:rPr>
          <w:rFonts w:asciiTheme="minorHAnsi" w:eastAsiaTheme="minorHAnsi" w:hAnsiTheme="minorHAnsi" w:cstheme="minorHAnsi"/>
        </w:rPr>
        <w:t xml:space="preserve">rolní systém </w:t>
      </w:r>
    </w:p>
    <w:p w14:paraId="5B5FE812" w14:textId="07642A21" w:rsidR="00361F4B" w:rsidRPr="000206ED" w:rsidRDefault="00361F4B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v.</w:t>
      </w:r>
      <w:r w:rsidR="00746FFD">
        <w:rPr>
          <w:rFonts w:asciiTheme="minorHAnsi" w:eastAsiaTheme="minorHAnsi" w:hAnsiTheme="minorHAnsi" w:cstheme="minorHAnsi"/>
        </w:rPr>
        <w:t> </w:t>
      </w:r>
      <w:r>
        <w:rPr>
          <w:rFonts w:asciiTheme="minorHAnsi" w:eastAsiaTheme="minorHAnsi" w:hAnsiTheme="minorHAnsi" w:cstheme="minorHAnsi"/>
        </w:rPr>
        <w:t>v.</w:t>
      </w:r>
      <w:r w:rsidR="00746FFD">
        <w:rPr>
          <w:rFonts w:asciiTheme="minorHAnsi" w:eastAsiaTheme="minorHAnsi" w:hAnsiTheme="minorHAnsi" w:cstheme="minorHAnsi"/>
        </w:rPr>
        <w:t> </w:t>
      </w:r>
      <w:r>
        <w:rPr>
          <w:rFonts w:asciiTheme="minorHAnsi" w:eastAsiaTheme="minorHAnsi" w:hAnsiTheme="minorHAnsi" w:cstheme="minorHAnsi"/>
        </w:rPr>
        <w:t>i.</w:t>
      </w:r>
      <w:r>
        <w:rPr>
          <w:rFonts w:asciiTheme="minorHAnsi" w:eastAsiaTheme="minorHAnsi" w:hAnsiTheme="minorHAnsi" w:cstheme="minorHAnsi"/>
        </w:rPr>
        <w:tab/>
        <w:t>veřejn</w:t>
      </w:r>
      <w:r w:rsidR="009B06B3">
        <w:rPr>
          <w:rFonts w:asciiTheme="minorHAnsi" w:eastAsiaTheme="minorHAnsi" w:hAnsiTheme="minorHAnsi" w:cstheme="minorHAnsi"/>
        </w:rPr>
        <w:t>á</w:t>
      </w:r>
      <w:r>
        <w:rPr>
          <w:rFonts w:asciiTheme="minorHAnsi" w:eastAsiaTheme="minorHAnsi" w:hAnsiTheme="minorHAnsi" w:cstheme="minorHAnsi"/>
        </w:rPr>
        <w:t xml:space="preserve"> výzkumn</w:t>
      </w:r>
      <w:r w:rsidR="009B06B3">
        <w:rPr>
          <w:rFonts w:asciiTheme="minorHAnsi" w:eastAsiaTheme="minorHAnsi" w:hAnsiTheme="minorHAnsi" w:cstheme="minorHAnsi"/>
        </w:rPr>
        <w:t>á</w:t>
      </w:r>
      <w:r>
        <w:rPr>
          <w:rFonts w:asciiTheme="minorHAnsi" w:eastAsiaTheme="minorHAnsi" w:hAnsiTheme="minorHAnsi" w:cstheme="minorHAnsi"/>
        </w:rPr>
        <w:t xml:space="preserve"> instituce</w:t>
      </w:r>
    </w:p>
    <w:p w14:paraId="0956D6C8" w14:textId="28B0FB52" w:rsidR="00B53D75" w:rsidRPr="000206ED" w:rsidRDefault="00155F56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výkaz FIN 1-12 OSS</w:t>
      </w:r>
      <w:r w:rsidRPr="000206ED">
        <w:rPr>
          <w:rFonts w:asciiTheme="minorHAnsi" w:eastAsiaTheme="minorHAnsi" w:hAnsiTheme="minorHAnsi" w:cstheme="minorHAnsi"/>
        </w:rPr>
        <w:tab/>
      </w:r>
      <w:r w:rsidR="009B06B3">
        <w:rPr>
          <w:rFonts w:asciiTheme="minorHAnsi" w:eastAsiaTheme="minorHAnsi" w:hAnsiTheme="minorHAnsi" w:cstheme="minorHAnsi"/>
        </w:rPr>
        <w:t>v</w:t>
      </w:r>
      <w:r w:rsidRPr="000206ED">
        <w:rPr>
          <w:rFonts w:asciiTheme="minorHAnsi" w:eastAsiaTheme="minorHAnsi" w:hAnsiTheme="minorHAnsi" w:cstheme="minorHAnsi"/>
        </w:rPr>
        <w:t>ýkaz pro hodnocení plnění rozpočtu správců kapitol a organizačních složek státu</w:t>
      </w:r>
      <w:r w:rsidR="00927ABA" w:rsidRPr="000206ED">
        <w:rPr>
          <w:rFonts w:asciiTheme="minorHAnsi" w:eastAsiaTheme="minorHAnsi" w:hAnsiTheme="minorHAnsi" w:cstheme="minorHAnsi"/>
        </w:rPr>
        <w:t xml:space="preserve"> </w:t>
      </w:r>
      <w:r w:rsidR="00786390" w:rsidRPr="000206ED">
        <w:rPr>
          <w:rFonts w:asciiTheme="minorHAnsi" w:eastAsiaTheme="minorHAnsi" w:hAnsiTheme="minorHAnsi" w:cstheme="minorHAnsi"/>
        </w:rPr>
        <w:t xml:space="preserve">za rok </w:t>
      </w:r>
      <w:r w:rsidR="00842B22" w:rsidRPr="000206ED">
        <w:rPr>
          <w:rFonts w:asciiTheme="minorHAnsi" w:eastAsiaTheme="minorHAnsi" w:hAnsiTheme="minorHAnsi" w:cstheme="minorHAnsi"/>
        </w:rPr>
        <w:t>202</w:t>
      </w:r>
      <w:r w:rsidR="0096120D">
        <w:rPr>
          <w:rFonts w:asciiTheme="minorHAnsi" w:eastAsiaTheme="minorHAnsi" w:hAnsiTheme="minorHAnsi" w:cstheme="minorHAnsi"/>
        </w:rPr>
        <w:t>2</w:t>
      </w:r>
    </w:p>
    <w:p w14:paraId="637A5AC5" w14:textId="28A64FA2" w:rsidR="005F3E85" w:rsidRDefault="005F3E85" w:rsidP="00281392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0206ED">
        <w:rPr>
          <w:rFonts w:asciiTheme="minorHAnsi" w:eastAsiaTheme="minorHAnsi" w:hAnsiTheme="minorHAnsi" w:cstheme="minorHAnsi"/>
        </w:rPr>
        <w:t>ZÚ 202</w:t>
      </w:r>
      <w:r w:rsidR="0096120D">
        <w:rPr>
          <w:rFonts w:asciiTheme="minorHAnsi" w:eastAsiaTheme="minorHAnsi" w:hAnsiTheme="minorHAnsi" w:cstheme="minorHAnsi"/>
        </w:rPr>
        <w:t>2</w:t>
      </w:r>
      <w:r w:rsidRPr="000206ED">
        <w:rPr>
          <w:rFonts w:asciiTheme="minorHAnsi" w:eastAsiaTheme="minorHAnsi" w:hAnsiTheme="minorHAnsi" w:cstheme="minorHAnsi"/>
        </w:rPr>
        <w:tab/>
      </w:r>
      <w:r w:rsidR="009B06B3">
        <w:rPr>
          <w:rFonts w:asciiTheme="minorHAnsi" w:eastAsiaTheme="minorHAnsi" w:hAnsiTheme="minorHAnsi" w:cstheme="minorHAnsi"/>
        </w:rPr>
        <w:t>z</w:t>
      </w:r>
      <w:r w:rsidRPr="000206ED">
        <w:rPr>
          <w:rFonts w:asciiTheme="minorHAnsi" w:eastAsiaTheme="minorHAnsi" w:hAnsiTheme="minorHAnsi" w:cstheme="minorHAnsi"/>
        </w:rPr>
        <w:t xml:space="preserve">ávěrečný účet kapitoly </w:t>
      </w:r>
      <w:r w:rsidR="0019652C" w:rsidRPr="000206ED">
        <w:rPr>
          <w:rFonts w:asciiTheme="minorHAnsi" w:eastAsiaTheme="minorHAnsi" w:hAnsiTheme="minorHAnsi" w:cstheme="minorHAnsi"/>
        </w:rPr>
        <w:t xml:space="preserve">státního rozpočtu </w:t>
      </w:r>
      <w:r w:rsidRPr="000206ED">
        <w:rPr>
          <w:rFonts w:asciiTheme="minorHAnsi" w:eastAsiaTheme="minorHAnsi" w:hAnsiTheme="minorHAnsi" w:cstheme="minorHAnsi"/>
        </w:rPr>
        <w:t>3</w:t>
      </w:r>
      <w:r w:rsidR="0096120D">
        <w:rPr>
          <w:rFonts w:asciiTheme="minorHAnsi" w:eastAsiaTheme="minorHAnsi" w:hAnsiTheme="minorHAnsi" w:cstheme="minorHAnsi"/>
        </w:rPr>
        <w:t>75</w:t>
      </w:r>
      <w:r w:rsidR="00583902">
        <w:rPr>
          <w:rFonts w:asciiTheme="minorHAnsi" w:eastAsiaTheme="minorHAnsi" w:hAnsiTheme="minorHAnsi" w:cstheme="minorHAnsi"/>
        </w:rPr>
        <w:t xml:space="preserve"> </w:t>
      </w:r>
      <w:r w:rsidRPr="000206ED">
        <w:rPr>
          <w:rFonts w:asciiTheme="minorHAnsi" w:eastAsiaTheme="minorHAnsi" w:hAnsiTheme="minorHAnsi" w:cstheme="minorHAnsi"/>
        </w:rPr>
        <w:t>–</w:t>
      </w:r>
      <w:r w:rsidR="0096120D">
        <w:rPr>
          <w:rFonts w:asciiTheme="minorHAnsi" w:eastAsiaTheme="minorHAnsi" w:hAnsiTheme="minorHAnsi" w:cstheme="minorHAnsi"/>
        </w:rPr>
        <w:t xml:space="preserve"> </w:t>
      </w:r>
      <w:r w:rsidR="0096120D" w:rsidRPr="00C7611A">
        <w:rPr>
          <w:rFonts w:asciiTheme="minorHAnsi" w:eastAsiaTheme="minorHAnsi" w:hAnsiTheme="minorHAnsi" w:cstheme="minorHAnsi"/>
          <w:i/>
        </w:rPr>
        <w:t>Státní úřad pro jadernou bezpečnost</w:t>
      </w:r>
      <w:r w:rsidRPr="000206ED">
        <w:rPr>
          <w:rFonts w:asciiTheme="minorHAnsi" w:eastAsiaTheme="minorHAnsi" w:hAnsiTheme="minorHAnsi" w:cstheme="minorHAnsi"/>
        </w:rPr>
        <w:t xml:space="preserve"> za rok 202</w:t>
      </w:r>
      <w:r w:rsidR="0096120D">
        <w:rPr>
          <w:rFonts w:asciiTheme="minorHAnsi" w:eastAsiaTheme="minorHAnsi" w:hAnsiTheme="minorHAnsi" w:cstheme="minorHAnsi"/>
        </w:rPr>
        <w:t>2</w:t>
      </w:r>
    </w:p>
    <w:p w14:paraId="67F92688" w14:textId="77777777" w:rsidR="00281392" w:rsidRPr="000206ED" w:rsidRDefault="00281392" w:rsidP="0028139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</w:p>
    <w:p w14:paraId="5C482FFB" w14:textId="77777777" w:rsidR="000D791D" w:rsidRDefault="000D791D" w:rsidP="00124170">
      <w:pPr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</w:p>
    <w:p w14:paraId="5865A4B2" w14:textId="77777777" w:rsidR="00DC4A58" w:rsidRPr="00F86B28" w:rsidRDefault="00DC4A58" w:rsidP="00F86B28">
      <w:pPr>
        <w:spacing w:after="160" w:line="259" w:lineRule="auto"/>
        <w:rPr>
          <w:rFonts w:cstheme="minorHAnsi"/>
          <w:b/>
          <w:bCs/>
        </w:rPr>
        <w:sectPr w:rsidR="00DC4A58" w:rsidRPr="00F86B28" w:rsidSect="005B3ED7">
          <w:headerReference w:type="default" r:id="rId32"/>
          <w:footerReference w:type="default" r:id="rId33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E6C2BD0" w14:textId="77777777" w:rsidR="00281392" w:rsidRPr="00281392" w:rsidRDefault="00281392" w:rsidP="00281392">
      <w:pPr>
        <w:pStyle w:val="Zhlav"/>
        <w:spacing w:after="120"/>
        <w:jc w:val="right"/>
        <w:rPr>
          <w:b/>
        </w:rPr>
      </w:pPr>
      <w:bookmarkStart w:id="7" w:name="_Hlk135727274"/>
      <w:bookmarkStart w:id="8" w:name="_Hlk132983729"/>
      <w:r w:rsidRPr="00281392">
        <w:rPr>
          <w:b/>
        </w:rPr>
        <w:lastRenderedPageBreak/>
        <w:t>Příloha č. 1</w:t>
      </w:r>
    </w:p>
    <w:p w14:paraId="26D99AAA" w14:textId="77777777" w:rsidR="00423B1E" w:rsidRPr="00E356D2" w:rsidRDefault="00BB6830" w:rsidP="00281392">
      <w:pPr>
        <w:pStyle w:val="Styl4"/>
        <w:spacing w:after="120"/>
      </w:pPr>
      <w:r w:rsidRPr="00E356D2">
        <w:t>R</w:t>
      </w:r>
      <w:r w:rsidR="00AC218C" w:rsidRPr="00E356D2">
        <w:t>ozdíl mezi saldem peněžních toků a výsledkem hospodaření SÚJB</w:t>
      </w:r>
      <w:bookmarkEnd w:id="7"/>
      <w:r w:rsidR="00AC218C" w:rsidRPr="00E356D2">
        <w:t xml:space="preserve"> </w:t>
      </w:r>
      <w:bookmarkEnd w:id="8"/>
    </w:p>
    <w:p w14:paraId="050F25E8" w14:textId="1B8ABEA9" w:rsidR="00D34D8D" w:rsidRPr="00232D4C" w:rsidRDefault="00D34D8D" w:rsidP="00281392">
      <w:pPr>
        <w:spacing w:before="120"/>
        <w:jc w:val="both"/>
        <w:rPr>
          <w:rFonts w:asciiTheme="minorHAnsi" w:hAnsiTheme="minorHAnsi" w:cstheme="minorHAnsi"/>
        </w:rPr>
      </w:pPr>
      <w:r w:rsidRPr="00B65057">
        <w:rPr>
          <w:rFonts w:asciiTheme="minorHAnsi" w:hAnsiTheme="minorHAnsi" w:cstheme="minorHAnsi"/>
        </w:rPr>
        <w:t>K hlavním úkolům SÚJB mj. patří povolování výkonu činností podle zákona</w:t>
      </w:r>
      <w:r>
        <w:rPr>
          <w:rFonts w:asciiTheme="minorHAnsi" w:hAnsiTheme="minorHAnsi" w:cstheme="minorHAnsi"/>
        </w:rPr>
        <w:t xml:space="preserve"> č. 263/2016 Sb., </w:t>
      </w:r>
      <w:r w:rsidRPr="00F37C12">
        <w:rPr>
          <w:rFonts w:cs="Calibri"/>
        </w:rPr>
        <w:t>např. k umísťování a provozu jaderného zařízení a pracoviště s velmi významnými zdroji ionizujícího záření, nakládání se zdroji ionizujícího záření a radioaktivním odpadem, přepravě</w:t>
      </w:r>
      <w:r>
        <w:rPr>
          <w:rFonts w:cs="Calibri"/>
        </w:rPr>
        <w:t xml:space="preserve"> </w:t>
      </w:r>
      <w:r w:rsidRPr="00F37C12">
        <w:rPr>
          <w:rFonts w:cs="Calibri"/>
        </w:rPr>
        <w:t>jaderných materiálů a radionuklidových zdrojů</w:t>
      </w:r>
      <w:r>
        <w:rPr>
          <w:rFonts w:cs="Calibri"/>
        </w:rPr>
        <w:t xml:space="preserve">. </w:t>
      </w:r>
      <w:r>
        <w:rPr>
          <w:rFonts w:asciiTheme="minorHAnsi" w:hAnsiTheme="minorHAnsi" w:cstheme="minorHAnsi"/>
        </w:rPr>
        <w:t>S </w:t>
      </w:r>
      <w:r w:rsidR="00CA1E04">
        <w:rPr>
          <w:rFonts w:asciiTheme="minorHAnsi" w:hAnsiTheme="minorHAnsi" w:cstheme="minorHAnsi"/>
        </w:rPr>
        <w:t>těmi</w:t>
      </w:r>
      <w:r>
        <w:rPr>
          <w:rFonts w:asciiTheme="minorHAnsi" w:hAnsiTheme="minorHAnsi" w:cstheme="minorHAnsi"/>
        </w:rPr>
        <w:t>to činnost</w:t>
      </w:r>
      <w:r w:rsidR="00CA1E04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 xml:space="preserve"> souvisí výběr poplatků, jak na odbornou činnost, tak správních spjatých s podáváním žádostí. </w:t>
      </w:r>
      <w:r w:rsidR="003D1832">
        <w:rPr>
          <w:rFonts w:asciiTheme="minorHAnsi" w:hAnsiTheme="minorHAnsi" w:cstheme="minorHAnsi"/>
        </w:rPr>
        <w:t xml:space="preserve">Příslušné </w:t>
      </w:r>
      <w:r>
        <w:rPr>
          <w:rFonts w:asciiTheme="minorHAnsi" w:hAnsiTheme="minorHAnsi" w:cstheme="minorHAnsi"/>
        </w:rPr>
        <w:t xml:space="preserve">výnosy vykázal SÚJB na účtu 605 – </w:t>
      </w:r>
      <w:r w:rsidRPr="000049A1">
        <w:rPr>
          <w:rFonts w:asciiTheme="minorHAnsi" w:hAnsiTheme="minorHAnsi" w:cstheme="minorHAnsi"/>
          <w:i/>
        </w:rPr>
        <w:t>Výnosy ze správních poplatků</w:t>
      </w:r>
      <w:r>
        <w:rPr>
          <w:rFonts w:asciiTheme="minorHAnsi" w:hAnsiTheme="minorHAnsi" w:cstheme="minorHAnsi"/>
        </w:rPr>
        <w:t xml:space="preserve"> ve výši 235,3 mil. Kč.</w:t>
      </w:r>
    </w:p>
    <w:p w14:paraId="312DE6F6" w14:textId="5E783BCC" w:rsidR="00D34D8D" w:rsidRDefault="00D34D8D" w:rsidP="00281392">
      <w:pPr>
        <w:spacing w:before="120"/>
        <w:jc w:val="both"/>
        <w:rPr>
          <w:rFonts w:asciiTheme="minorHAnsi" w:hAnsiTheme="minorHAnsi" w:cs="Calibr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SÚJB poskytuje transfery </w:t>
      </w:r>
      <w:r w:rsidRPr="00232D4C">
        <w:rPr>
          <w:rFonts w:asciiTheme="minorHAnsi" w:hAnsiTheme="minorHAnsi" w:cs="Calibri"/>
          <w:color w:val="000000"/>
          <w:shd w:val="clear" w:color="auto" w:fill="FFFFFF"/>
        </w:rPr>
        <w:t>veřejn</w:t>
      </w:r>
      <w:r w:rsidR="000B7195">
        <w:rPr>
          <w:rFonts w:asciiTheme="minorHAnsi" w:hAnsiTheme="minorHAnsi" w:cs="Calibri"/>
          <w:color w:val="000000"/>
          <w:shd w:val="clear" w:color="auto" w:fill="FFFFFF"/>
        </w:rPr>
        <w:t>ým</w:t>
      </w:r>
      <w:r w:rsidRPr="00232D4C">
        <w:rPr>
          <w:rFonts w:asciiTheme="minorHAnsi" w:hAnsiTheme="minorHAnsi" w:cs="Calibri"/>
          <w:color w:val="000000"/>
          <w:shd w:val="clear" w:color="auto" w:fill="FFFFFF"/>
        </w:rPr>
        <w:t xml:space="preserve"> výzkumný</w:t>
      </w:r>
      <w:r>
        <w:rPr>
          <w:rFonts w:asciiTheme="minorHAnsi" w:hAnsiTheme="minorHAnsi" w:cs="Calibri"/>
          <w:color w:val="000000"/>
          <w:shd w:val="clear" w:color="auto" w:fill="FFFFFF"/>
        </w:rPr>
        <w:t>m</w:t>
      </w:r>
      <w:r w:rsidRPr="00232D4C">
        <w:rPr>
          <w:rFonts w:asciiTheme="minorHAnsi" w:hAnsiTheme="minorHAnsi" w:cs="Calibri"/>
          <w:color w:val="000000"/>
          <w:shd w:val="clear" w:color="auto" w:fill="FFFFFF"/>
        </w:rPr>
        <w:t xml:space="preserve"> institucí</w:t>
      </w:r>
      <w:r>
        <w:rPr>
          <w:rFonts w:asciiTheme="minorHAnsi" w:hAnsiTheme="minorHAnsi" w:cs="Calibri"/>
          <w:color w:val="000000"/>
          <w:shd w:val="clear" w:color="auto" w:fill="FFFFFF"/>
        </w:rPr>
        <w:t xml:space="preserve">m </w:t>
      </w:r>
      <w:r>
        <w:rPr>
          <w:rFonts w:asciiTheme="minorHAnsi" w:hAnsiTheme="minorHAnsi" w:cs="Calibri"/>
          <w:color w:val="000000"/>
        </w:rPr>
        <w:t>SÚRO</w:t>
      </w:r>
      <w:r w:rsidRPr="00232D4C">
        <w:rPr>
          <w:rFonts w:asciiTheme="minorHAnsi" w:hAnsiTheme="minorHAnsi" w:cs="Calibri"/>
          <w:color w:val="000000"/>
          <w:shd w:val="clear" w:color="auto" w:fill="FFFFFF"/>
        </w:rPr>
        <w:t> a </w:t>
      </w:r>
      <w:r>
        <w:rPr>
          <w:rFonts w:asciiTheme="minorHAnsi" w:hAnsiTheme="minorHAnsi" w:cs="Calibri"/>
          <w:color w:val="000000"/>
        </w:rPr>
        <w:t>SÚJCHBO</w:t>
      </w:r>
      <w:r w:rsidR="00F04792">
        <w:rPr>
          <w:rFonts w:asciiTheme="minorHAnsi" w:hAnsiTheme="minorHAnsi" w:cs="Calibri"/>
          <w:color w:val="000000"/>
          <w:shd w:val="clear" w:color="auto" w:fill="FFFFFF"/>
        </w:rPr>
        <w:t xml:space="preserve">, a to </w:t>
      </w:r>
      <w:r w:rsidRPr="00232D4C">
        <w:rPr>
          <w:rFonts w:asciiTheme="minorHAnsi" w:hAnsiTheme="minorHAnsi" w:cs="Calibri"/>
          <w:color w:val="000000"/>
          <w:shd w:val="clear" w:color="auto" w:fill="FFFFFF"/>
        </w:rPr>
        <w:t>zejména na jejich provoz</w:t>
      </w:r>
      <w:r w:rsidR="00F04792">
        <w:rPr>
          <w:rFonts w:asciiTheme="minorHAnsi" w:hAnsiTheme="minorHAnsi" w:cs="Calibri"/>
          <w:color w:val="000000"/>
          <w:shd w:val="clear" w:color="auto" w:fill="FFFFFF"/>
        </w:rPr>
        <w:t>.</w:t>
      </w:r>
      <w:r w:rsidRPr="00232D4C">
        <w:rPr>
          <w:rFonts w:asciiTheme="minorHAnsi" w:hAnsiTheme="minorHAnsi" w:cs="Calibri"/>
          <w:color w:val="000000"/>
          <w:shd w:val="clear" w:color="auto" w:fill="FFFFFF"/>
        </w:rPr>
        <w:t xml:space="preserve"> </w:t>
      </w:r>
      <w:r w:rsidR="003D1832">
        <w:rPr>
          <w:rFonts w:asciiTheme="minorHAnsi" w:hAnsiTheme="minorHAnsi" w:cs="Calibri"/>
          <w:color w:val="000000"/>
          <w:shd w:val="clear" w:color="auto" w:fill="FFFFFF"/>
        </w:rPr>
        <w:t>N</w:t>
      </w:r>
      <w:r>
        <w:rPr>
          <w:rFonts w:asciiTheme="minorHAnsi" w:hAnsiTheme="minorHAnsi" w:cs="Calibri"/>
          <w:color w:val="000000"/>
          <w:shd w:val="clear" w:color="auto" w:fill="FFFFFF"/>
        </w:rPr>
        <w:t xml:space="preserve">áklady na transfery vykázal SÚJB na účtu 571 – </w:t>
      </w:r>
      <w:r w:rsidRPr="000049A1">
        <w:rPr>
          <w:rFonts w:asciiTheme="minorHAnsi" w:hAnsiTheme="minorHAnsi" w:cs="Calibri"/>
          <w:i/>
          <w:color w:val="000000"/>
          <w:shd w:val="clear" w:color="auto" w:fill="FFFFFF"/>
        </w:rPr>
        <w:t>Náklady vybraných ústředních vládních institucí na transfery</w:t>
      </w:r>
      <w:r>
        <w:rPr>
          <w:rFonts w:asciiTheme="minorHAnsi" w:hAnsiTheme="minorHAnsi" w:cs="Calibri"/>
          <w:color w:val="000000"/>
          <w:shd w:val="clear" w:color="auto" w:fill="FFFFFF"/>
        </w:rPr>
        <w:t xml:space="preserve"> ve výši 167,4 mil. Kč.</w:t>
      </w:r>
    </w:p>
    <w:p w14:paraId="49022F41" w14:textId="77777777" w:rsidR="00D34D8D" w:rsidRDefault="00D34D8D" w:rsidP="00281392">
      <w:pPr>
        <w:spacing w:before="120" w:after="0"/>
        <w:jc w:val="both"/>
      </w:pPr>
      <w:r>
        <w:t>Na hospodaření SÚJB lze nahlížet přes dva různé druhy výkaznictví:</w:t>
      </w:r>
    </w:p>
    <w:p w14:paraId="73DB99D1" w14:textId="77777777" w:rsidR="00D34D8D" w:rsidRDefault="00D34D8D" w:rsidP="00281392">
      <w:pPr>
        <w:pStyle w:val="Odstavecseseznamem"/>
        <w:numPr>
          <w:ilvl w:val="0"/>
          <w:numId w:val="24"/>
        </w:numPr>
        <w:ind w:left="284" w:hanging="284"/>
        <w:jc w:val="both"/>
      </w:pPr>
      <w:r>
        <w:t>hospodaření založené na sledování plnění rozpočtu, tj. na peněžní bázi</w:t>
      </w:r>
      <w:r>
        <w:rPr>
          <w:rStyle w:val="Znakapoznpodarou"/>
        </w:rPr>
        <w:footnoteReference w:id="26"/>
      </w:r>
      <w:r>
        <w:t>,</w:t>
      </w:r>
    </w:p>
    <w:p w14:paraId="4AA8D286" w14:textId="77777777" w:rsidR="00D34D8D" w:rsidRDefault="00D34D8D" w:rsidP="00281392">
      <w:pPr>
        <w:pStyle w:val="Odstavecseseznamem"/>
        <w:numPr>
          <w:ilvl w:val="0"/>
          <w:numId w:val="24"/>
        </w:numPr>
        <w:ind w:left="284" w:hanging="284"/>
        <w:jc w:val="both"/>
      </w:pPr>
      <w:r>
        <w:t>hospodaření založené na sledování údajů z účetnictví, tj. na akruální bázi</w:t>
      </w:r>
      <w:r>
        <w:rPr>
          <w:rStyle w:val="Znakapoznpodarou"/>
        </w:rPr>
        <w:footnoteReference w:id="27"/>
      </w:r>
      <w:r>
        <w:t>.</w:t>
      </w:r>
    </w:p>
    <w:p w14:paraId="49A13239" w14:textId="77777777" w:rsidR="00D34D8D" w:rsidRDefault="00D34D8D" w:rsidP="00281392">
      <w:pPr>
        <w:spacing w:before="120"/>
        <w:jc w:val="both"/>
        <w:rPr>
          <w:rFonts w:eastAsia="Calibri" w:cs="Calibri"/>
        </w:rPr>
      </w:pPr>
      <w:r w:rsidRPr="00E05B63">
        <w:rPr>
          <w:rFonts w:cs="Calibri"/>
          <w:bCs/>
        </w:rPr>
        <w:t xml:space="preserve">Porovnáním výsledku rozpočtového hospodaření SÚJB za rok 2022 hodnoceného na bázi peněžních toků </w:t>
      </w:r>
      <w:r>
        <w:rPr>
          <w:rFonts w:cs="Calibri"/>
          <w:bCs/>
        </w:rPr>
        <w:t xml:space="preserve">dle finančního výkazu (deficit 239,0 mil. Kč) </w:t>
      </w:r>
      <w:r w:rsidRPr="00E05B63">
        <w:rPr>
          <w:rFonts w:cs="Calibri"/>
          <w:bCs/>
        </w:rPr>
        <w:t>a výsledku dle akruální báze</w:t>
      </w:r>
      <w:r>
        <w:rPr>
          <w:rFonts w:cs="Calibri"/>
          <w:bCs/>
        </w:rPr>
        <w:t>, tj.</w:t>
      </w:r>
      <w:r w:rsidR="00281392">
        <w:rPr>
          <w:rFonts w:cs="Calibri"/>
          <w:bCs/>
        </w:rPr>
        <w:t> </w:t>
      </w:r>
      <w:r>
        <w:rPr>
          <w:rFonts w:cs="Calibri"/>
          <w:bCs/>
        </w:rPr>
        <w:t>výsledku hospodaření běžného účetního období dle výkazu zisku a ztráty (ztráta 232,0</w:t>
      </w:r>
      <w:r w:rsidR="00281392">
        <w:rPr>
          <w:rFonts w:cs="Calibri"/>
          <w:bCs/>
        </w:rPr>
        <w:t> </w:t>
      </w:r>
      <w:r>
        <w:rPr>
          <w:rFonts w:cs="Calibri"/>
          <w:bCs/>
        </w:rPr>
        <w:t>mil.</w:t>
      </w:r>
      <w:r w:rsidR="00281392">
        <w:rPr>
          <w:rFonts w:cs="Calibri"/>
          <w:bCs/>
        </w:rPr>
        <w:t> </w:t>
      </w:r>
      <w:r>
        <w:rPr>
          <w:rFonts w:cs="Calibri"/>
          <w:bCs/>
        </w:rPr>
        <w:t xml:space="preserve">Kč), </w:t>
      </w:r>
      <w:r w:rsidRPr="00E05B63">
        <w:rPr>
          <w:rFonts w:cs="Calibri"/>
          <w:bCs/>
        </w:rPr>
        <w:t>byl zjištěn rozdíl ve výši 7 mil. Kč.</w:t>
      </w:r>
      <w:r w:rsidRPr="00E05B63">
        <w:rPr>
          <w:rFonts w:cs="Calibri"/>
        </w:rPr>
        <w:t xml:space="preserve"> </w:t>
      </w:r>
    </w:p>
    <w:p w14:paraId="4810A2DA" w14:textId="77777777" w:rsidR="00D34D8D" w:rsidRPr="006963EA" w:rsidRDefault="00D34D8D" w:rsidP="00281392">
      <w:pPr>
        <w:spacing w:before="120"/>
        <w:jc w:val="both"/>
        <w:rPr>
          <w:rFonts w:cs="Calibri"/>
          <w:bCs/>
          <w:lang w:eastAsia="cs-CZ"/>
        </w:rPr>
      </w:pPr>
      <w:r>
        <w:rPr>
          <w:rFonts w:cs="Calibri"/>
        </w:rPr>
        <w:t xml:space="preserve">Rozdíl vznikl mj. tím, že SÚJB </w:t>
      </w:r>
      <w:r w:rsidRPr="006963EA">
        <w:rPr>
          <w:rFonts w:cs="Calibri"/>
        </w:rPr>
        <w:t>vykázal v roce 202</w:t>
      </w:r>
      <w:r>
        <w:rPr>
          <w:rFonts w:cs="Calibri"/>
        </w:rPr>
        <w:t>2</w:t>
      </w:r>
      <w:r w:rsidRPr="006963EA">
        <w:rPr>
          <w:rFonts w:cs="Calibri"/>
        </w:rPr>
        <w:t xml:space="preserve"> náklady bez realizace související</w:t>
      </w:r>
      <w:r>
        <w:rPr>
          <w:rFonts w:cs="Calibri"/>
        </w:rPr>
        <w:t>ch</w:t>
      </w:r>
      <w:r w:rsidRPr="006963EA">
        <w:rPr>
          <w:rFonts w:cs="Calibri"/>
        </w:rPr>
        <w:t xml:space="preserve"> výdaj</w:t>
      </w:r>
      <w:r>
        <w:rPr>
          <w:rFonts w:cs="Calibri"/>
        </w:rPr>
        <w:t>ů (</w:t>
      </w:r>
      <w:r w:rsidRPr="006963EA">
        <w:rPr>
          <w:rFonts w:cs="Calibri"/>
        </w:rPr>
        <w:t xml:space="preserve">zejména </w:t>
      </w:r>
      <w:r w:rsidRPr="006963EA">
        <w:rPr>
          <w:rFonts w:asciiTheme="minorHAnsi" w:hAnsiTheme="minorHAnsi" w:cstheme="minorHAnsi"/>
        </w:rPr>
        <w:t>náklady na odpisy dlouhodobého majetku ve</w:t>
      </w:r>
      <w:r>
        <w:rPr>
          <w:rFonts w:asciiTheme="minorHAnsi" w:hAnsiTheme="minorHAnsi" w:cstheme="minorHAnsi"/>
        </w:rPr>
        <w:t> </w:t>
      </w:r>
      <w:r w:rsidRPr="006963EA">
        <w:rPr>
          <w:rFonts w:asciiTheme="minorHAnsi" w:hAnsiTheme="minorHAnsi" w:cstheme="minorHAnsi"/>
        </w:rPr>
        <w:t xml:space="preserve">výši </w:t>
      </w:r>
      <w:r>
        <w:rPr>
          <w:rFonts w:asciiTheme="minorHAnsi" w:hAnsiTheme="minorHAnsi" w:cstheme="minorHAnsi"/>
        </w:rPr>
        <w:t>18,4</w:t>
      </w:r>
      <w:r w:rsidRPr="006963EA">
        <w:rPr>
          <w:rFonts w:asciiTheme="minorHAnsi" w:hAnsiTheme="minorHAnsi" w:cstheme="minorHAnsi"/>
        </w:rPr>
        <w:t xml:space="preserve"> mil. Kč</w:t>
      </w:r>
      <w:r>
        <w:rPr>
          <w:rFonts w:asciiTheme="minorHAnsi" w:hAnsiTheme="minorHAnsi" w:cstheme="minorHAnsi"/>
        </w:rPr>
        <w:t>) a výdaje bez souvisejících nákladů (zejména</w:t>
      </w:r>
      <w:r w:rsidRPr="008027B8">
        <w:t xml:space="preserve"> </w:t>
      </w:r>
      <w:r w:rsidRPr="008027B8">
        <w:rPr>
          <w:rFonts w:asciiTheme="minorHAnsi" w:hAnsiTheme="minorHAnsi" w:cstheme="minorHAnsi"/>
        </w:rPr>
        <w:t>výdaje na</w:t>
      </w:r>
      <w:r>
        <w:rPr>
          <w:rFonts w:asciiTheme="minorHAnsi" w:hAnsiTheme="minorHAnsi" w:cstheme="minorHAnsi"/>
        </w:rPr>
        <w:t> </w:t>
      </w:r>
      <w:r w:rsidRPr="008027B8">
        <w:rPr>
          <w:rFonts w:asciiTheme="minorHAnsi" w:hAnsiTheme="minorHAnsi" w:cstheme="minorHAnsi"/>
        </w:rPr>
        <w:t>pořízení dlouhodobého majetku ve výši 25,5 mil. Kč</w:t>
      </w:r>
      <w:r>
        <w:rPr>
          <w:rFonts w:asciiTheme="minorHAnsi" w:hAnsiTheme="minorHAnsi" w:cstheme="minorHAnsi"/>
        </w:rPr>
        <w:t>).</w:t>
      </w:r>
    </w:p>
    <w:p w14:paraId="41445F7C" w14:textId="77777777" w:rsidR="00D34D8D" w:rsidRDefault="00D34D8D" w:rsidP="00281392">
      <w:pPr>
        <w:spacing w:before="120"/>
        <w:jc w:val="both"/>
        <w:rPr>
          <w:rFonts w:cs="Calibri"/>
        </w:rPr>
      </w:pPr>
      <w:r w:rsidRPr="00E05B63">
        <w:rPr>
          <w:rFonts w:cs="Calibri"/>
        </w:rPr>
        <w:t xml:space="preserve">Další hlavní důvody vzniku rozdílu mezi saldem peněžních toků a hospodářským výsledkem běžného účetního období jsou uvedeny v </w:t>
      </w:r>
      <w:r>
        <w:rPr>
          <w:rFonts w:cs="Calibri"/>
        </w:rPr>
        <w:t>následující tabulce</w:t>
      </w:r>
      <w:r w:rsidRPr="00E05B63">
        <w:rPr>
          <w:rFonts w:cs="Calibri"/>
        </w:rPr>
        <w:t>.</w:t>
      </w:r>
    </w:p>
    <w:p w14:paraId="770FED2A" w14:textId="77777777" w:rsidR="00BB6830" w:rsidRDefault="00BB6830" w:rsidP="00CB2DAF">
      <w:pPr>
        <w:pStyle w:val="Titulek"/>
        <w:spacing w:after="40"/>
        <w:ind w:left="1276" w:hanging="1276"/>
      </w:pPr>
      <w:r>
        <w:t>Tabulka č.</w:t>
      </w:r>
      <w:r w:rsidR="00AF4CF7">
        <w:t xml:space="preserve"> 1</w:t>
      </w:r>
      <w:r>
        <w:t xml:space="preserve">: </w:t>
      </w:r>
      <w:r w:rsidRPr="00BB6830">
        <w:t>Významné účetní operace</w:t>
      </w:r>
      <w:r w:rsidR="007A6842">
        <w:t xml:space="preserve">, které </w:t>
      </w:r>
      <w:r w:rsidR="007008FF">
        <w:t>mají</w:t>
      </w:r>
      <w:r w:rsidR="007A6842">
        <w:t xml:space="preserve"> vliv na </w:t>
      </w:r>
      <w:r w:rsidRPr="00BB6830">
        <w:t>rozdíl mezi saldem peněžních toků a</w:t>
      </w:r>
      <w:r w:rsidR="00767631">
        <w:t> </w:t>
      </w:r>
      <w:r w:rsidRPr="00BB6830">
        <w:t>výsledkem hospodaření SÚJB k 31. 12. 2022 (v mil. Kč</w:t>
      </w:r>
      <w:r>
        <w:t>)</w:t>
      </w:r>
    </w:p>
    <w:tbl>
      <w:tblPr>
        <w:tblW w:w="906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2"/>
        <w:gridCol w:w="1417"/>
        <w:gridCol w:w="1418"/>
        <w:gridCol w:w="835"/>
      </w:tblGrid>
      <w:tr w:rsidR="00AC218C" w:rsidRPr="00047B55" w14:paraId="5AF70011" w14:textId="77777777" w:rsidTr="00CB2DAF">
        <w:trPr>
          <w:trHeight w:val="255"/>
        </w:trPr>
        <w:tc>
          <w:tcPr>
            <w:tcW w:w="9062" w:type="dxa"/>
            <w:gridSpan w:val="4"/>
            <w:shd w:val="clear" w:color="auto" w:fill="E5F1FF"/>
            <w:noWrap/>
            <w:vAlign w:val="center"/>
            <w:hideMark/>
          </w:tcPr>
          <w:p w14:paraId="390A4B49" w14:textId="77777777" w:rsidR="00AC218C" w:rsidRPr="00047B55" w:rsidRDefault="00AC218C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  <w:r w:rsidR="007A6842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, které m</w:t>
            </w:r>
            <w:r w:rsidR="007008FF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ají</w:t>
            </w:r>
            <w:r w:rsidR="007A6842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vliv na</w:t>
            </w: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rozdíl mezi výdaji a náklady</w:t>
            </w:r>
          </w:p>
        </w:tc>
      </w:tr>
      <w:tr w:rsidR="00AC218C" w:rsidRPr="00047B55" w14:paraId="25EED248" w14:textId="77777777" w:rsidTr="00CB2DAF">
        <w:trPr>
          <w:trHeight w:val="255"/>
        </w:trPr>
        <w:tc>
          <w:tcPr>
            <w:tcW w:w="5392" w:type="dxa"/>
            <w:shd w:val="clear" w:color="auto" w:fill="E5F1FF"/>
            <w:noWrap/>
            <w:vAlign w:val="center"/>
            <w:hideMark/>
          </w:tcPr>
          <w:p w14:paraId="50CA7021" w14:textId="77777777" w:rsidR="00AC218C" w:rsidRPr="00047B55" w:rsidRDefault="00AC218C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17" w:type="dxa"/>
            <w:shd w:val="clear" w:color="auto" w:fill="E5F1FF"/>
            <w:noWrap/>
            <w:vAlign w:val="center"/>
            <w:hideMark/>
          </w:tcPr>
          <w:p w14:paraId="013C87AC" w14:textId="77777777" w:rsidR="00AC218C" w:rsidRPr="00047B55" w:rsidRDefault="00AC218C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418" w:type="dxa"/>
            <w:shd w:val="clear" w:color="auto" w:fill="E5F1FF"/>
            <w:noWrap/>
            <w:vAlign w:val="center"/>
            <w:hideMark/>
          </w:tcPr>
          <w:p w14:paraId="0A2D7142" w14:textId="77777777" w:rsidR="00AC218C" w:rsidRPr="00047B55" w:rsidRDefault="00AC218C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835" w:type="dxa"/>
            <w:shd w:val="clear" w:color="auto" w:fill="E5F1FF"/>
            <w:vAlign w:val="center"/>
            <w:hideMark/>
          </w:tcPr>
          <w:p w14:paraId="0C5EA50E" w14:textId="77777777" w:rsidR="00AC218C" w:rsidRPr="00047B55" w:rsidRDefault="00AC218C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AC218C" w:rsidRPr="00047B55" w14:paraId="31C74201" w14:textId="77777777" w:rsidTr="00CB2DAF">
        <w:trPr>
          <w:trHeight w:val="255"/>
        </w:trPr>
        <w:tc>
          <w:tcPr>
            <w:tcW w:w="5392" w:type="dxa"/>
            <w:noWrap/>
            <w:vAlign w:val="center"/>
            <w:hideMark/>
          </w:tcPr>
          <w:p w14:paraId="5605DB3A" w14:textId="77777777" w:rsidR="00AC218C" w:rsidRPr="00047B55" w:rsidRDefault="00AC218C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Odpisy dlouhodobého majetku</w:t>
            </w:r>
          </w:p>
        </w:tc>
        <w:tc>
          <w:tcPr>
            <w:tcW w:w="1417" w:type="dxa"/>
            <w:noWrap/>
            <w:vAlign w:val="center"/>
            <w:hideMark/>
          </w:tcPr>
          <w:p w14:paraId="39B811B5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658C0F70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835" w:type="dxa"/>
            <w:noWrap/>
            <w:vAlign w:val="center"/>
            <w:hideMark/>
          </w:tcPr>
          <w:p w14:paraId="49392EDA" w14:textId="459AE3F1" w:rsidR="00AC218C" w:rsidRPr="00047B55" w:rsidRDefault="00351643" w:rsidP="005C513C">
            <w:pPr>
              <w:spacing w:before="20" w:after="20"/>
              <w:ind w:right="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−</w:t>
            </w:r>
            <w:r w:rsidR="00AC218C"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18,4</w:t>
            </w:r>
          </w:p>
        </w:tc>
      </w:tr>
      <w:tr w:rsidR="00AC218C" w:rsidRPr="00047B55" w14:paraId="786C86A2" w14:textId="77777777" w:rsidTr="00CB2DAF">
        <w:trPr>
          <w:trHeight w:val="255"/>
        </w:trPr>
        <w:tc>
          <w:tcPr>
            <w:tcW w:w="5392" w:type="dxa"/>
            <w:vAlign w:val="center"/>
            <w:hideMark/>
          </w:tcPr>
          <w:p w14:paraId="443BEDEA" w14:textId="77777777" w:rsidR="00AC218C" w:rsidRPr="00047B55" w:rsidRDefault="00AC218C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Výdaje příštích období (úklid, ostraha a telekomunikační služby)</w:t>
            </w:r>
          </w:p>
        </w:tc>
        <w:tc>
          <w:tcPr>
            <w:tcW w:w="1417" w:type="dxa"/>
            <w:noWrap/>
            <w:vAlign w:val="center"/>
            <w:hideMark/>
          </w:tcPr>
          <w:p w14:paraId="4A2303C6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C548DA2" w14:textId="77777777" w:rsidR="00AC218C" w:rsidRPr="00047B55" w:rsidRDefault="000E67C5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835" w:type="dxa"/>
            <w:noWrap/>
            <w:vAlign w:val="center"/>
            <w:hideMark/>
          </w:tcPr>
          <w:p w14:paraId="12CA5D5D" w14:textId="77777777" w:rsidR="00AC218C" w:rsidRPr="00047B55" w:rsidRDefault="00AC218C" w:rsidP="005C513C">
            <w:pPr>
              <w:spacing w:before="20" w:after="20"/>
              <w:ind w:right="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-</w:t>
            </w:r>
            <w:r w:rsidR="000E67C5">
              <w:rPr>
                <w:rFonts w:cs="Calibri"/>
                <w:color w:val="000000"/>
                <w:sz w:val="20"/>
                <w:szCs w:val="20"/>
                <w:lang w:eastAsia="cs-CZ"/>
              </w:rPr>
              <w:t>1,0</w:t>
            </w:r>
          </w:p>
        </w:tc>
      </w:tr>
      <w:tr w:rsidR="00AC218C" w:rsidRPr="00047B55" w14:paraId="13426C66" w14:textId="77777777" w:rsidTr="00CB2DAF">
        <w:trPr>
          <w:trHeight w:val="255"/>
        </w:trPr>
        <w:tc>
          <w:tcPr>
            <w:tcW w:w="5392" w:type="dxa"/>
            <w:vAlign w:val="center"/>
          </w:tcPr>
          <w:p w14:paraId="7675EA7C" w14:textId="77777777" w:rsidR="00AC218C" w:rsidRPr="00047B55" w:rsidRDefault="00AC218C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Změna stavu krátkodobých závazků (zvýšení)</w:t>
            </w:r>
          </w:p>
        </w:tc>
        <w:tc>
          <w:tcPr>
            <w:tcW w:w="1417" w:type="dxa"/>
            <w:noWrap/>
            <w:vAlign w:val="center"/>
          </w:tcPr>
          <w:p w14:paraId="24B19E25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D0CB819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835" w:type="dxa"/>
            <w:noWrap/>
            <w:vAlign w:val="center"/>
          </w:tcPr>
          <w:p w14:paraId="7BFF7BEF" w14:textId="62275E6E" w:rsidR="00AC218C" w:rsidRPr="00047B55" w:rsidRDefault="00351643" w:rsidP="005C513C">
            <w:pPr>
              <w:spacing w:before="20" w:after="20"/>
              <w:ind w:right="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−</w:t>
            </w:r>
            <w:r w:rsidR="00AC218C"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2,1</w:t>
            </w:r>
          </w:p>
        </w:tc>
      </w:tr>
      <w:tr w:rsidR="00AC218C" w:rsidRPr="00047B55" w14:paraId="41ABFD5E" w14:textId="77777777" w:rsidTr="00CB2DAF">
        <w:trPr>
          <w:trHeight w:val="255"/>
        </w:trPr>
        <w:tc>
          <w:tcPr>
            <w:tcW w:w="5392" w:type="dxa"/>
            <w:vAlign w:val="center"/>
            <w:hideMark/>
          </w:tcPr>
          <w:p w14:paraId="7645402C" w14:textId="77777777" w:rsidR="00AC218C" w:rsidRPr="00047B55" w:rsidRDefault="00AC218C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Výdaje na pořízení dlouhodobého majetku</w:t>
            </w:r>
          </w:p>
        </w:tc>
        <w:tc>
          <w:tcPr>
            <w:tcW w:w="1417" w:type="dxa"/>
            <w:noWrap/>
            <w:vAlign w:val="center"/>
            <w:hideMark/>
          </w:tcPr>
          <w:p w14:paraId="59BBBDE3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1418" w:type="dxa"/>
            <w:noWrap/>
            <w:vAlign w:val="center"/>
            <w:hideMark/>
          </w:tcPr>
          <w:p w14:paraId="12708881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5" w:type="dxa"/>
            <w:noWrap/>
            <w:vAlign w:val="center"/>
            <w:hideMark/>
          </w:tcPr>
          <w:p w14:paraId="02318AF1" w14:textId="77777777" w:rsidR="00AC218C" w:rsidRPr="00047B55" w:rsidRDefault="00AC218C" w:rsidP="005C513C">
            <w:pPr>
              <w:spacing w:before="20" w:after="20"/>
              <w:ind w:right="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25,5</w:t>
            </w:r>
          </w:p>
        </w:tc>
      </w:tr>
      <w:tr w:rsidR="00AC218C" w:rsidRPr="00047B55" w14:paraId="3DF8299B" w14:textId="77777777" w:rsidTr="00CB2DAF">
        <w:trPr>
          <w:trHeight w:val="255"/>
        </w:trPr>
        <w:tc>
          <w:tcPr>
            <w:tcW w:w="5392" w:type="dxa"/>
            <w:vAlign w:val="center"/>
          </w:tcPr>
          <w:p w14:paraId="7E23D35E" w14:textId="77777777" w:rsidR="00AC218C" w:rsidRPr="00047B55" w:rsidRDefault="00AC218C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Náklady příštích období (předplatné, technická podpora)</w:t>
            </w:r>
          </w:p>
        </w:tc>
        <w:tc>
          <w:tcPr>
            <w:tcW w:w="1417" w:type="dxa"/>
            <w:noWrap/>
            <w:vAlign w:val="center"/>
          </w:tcPr>
          <w:p w14:paraId="3F70B449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1418" w:type="dxa"/>
            <w:noWrap/>
            <w:vAlign w:val="center"/>
          </w:tcPr>
          <w:p w14:paraId="61C1272A" w14:textId="77777777" w:rsidR="00AC218C" w:rsidRPr="00047B55" w:rsidRDefault="00AC218C" w:rsidP="005C513C">
            <w:pPr>
              <w:spacing w:before="20" w:after="20"/>
              <w:ind w:right="45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5" w:type="dxa"/>
            <w:noWrap/>
            <w:vAlign w:val="center"/>
          </w:tcPr>
          <w:p w14:paraId="4A085D82" w14:textId="77777777" w:rsidR="00AC218C" w:rsidRPr="00047B55" w:rsidRDefault="00AC218C" w:rsidP="005C513C">
            <w:pPr>
              <w:spacing w:before="20" w:after="20"/>
              <w:ind w:right="57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color w:val="000000"/>
                <w:sz w:val="20"/>
                <w:szCs w:val="20"/>
                <w:lang w:eastAsia="cs-CZ"/>
              </w:rPr>
              <w:t>3,1</w:t>
            </w:r>
          </w:p>
        </w:tc>
      </w:tr>
      <w:tr w:rsidR="00AC218C" w:rsidRPr="00047B55" w14:paraId="736E593B" w14:textId="77777777" w:rsidTr="00CB2DAF">
        <w:trPr>
          <w:trHeight w:val="255"/>
        </w:trPr>
        <w:tc>
          <w:tcPr>
            <w:tcW w:w="8227" w:type="dxa"/>
            <w:gridSpan w:val="3"/>
            <w:shd w:val="clear" w:color="auto" w:fill="F2C6C9"/>
            <w:noWrap/>
            <w:vAlign w:val="center"/>
            <w:hideMark/>
          </w:tcPr>
          <w:p w14:paraId="7460EFEE" w14:textId="77777777" w:rsidR="00AC218C" w:rsidRPr="00047B55" w:rsidRDefault="00AC218C" w:rsidP="005C513C">
            <w:pPr>
              <w:spacing w:before="20" w:after="2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835" w:type="dxa"/>
            <w:shd w:val="clear" w:color="auto" w:fill="F2C6C9"/>
            <w:noWrap/>
            <w:vAlign w:val="center"/>
            <w:hideMark/>
          </w:tcPr>
          <w:p w14:paraId="45E16862" w14:textId="77777777" w:rsidR="00AC218C" w:rsidRPr="00047B55" w:rsidRDefault="00AC218C" w:rsidP="005C513C">
            <w:pPr>
              <w:spacing w:before="20" w:after="20"/>
              <w:ind w:right="57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7,1</w:t>
            </w:r>
          </w:p>
        </w:tc>
      </w:tr>
      <w:tr w:rsidR="00AC218C" w:rsidRPr="00047B55" w14:paraId="0A1E6FB7" w14:textId="77777777" w:rsidTr="00CB2DAF">
        <w:trPr>
          <w:trHeight w:val="255"/>
        </w:trPr>
        <w:tc>
          <w:tcPr>
            <w:tcW w:w="8227" w:type="dxa"/>
            <w:gridSpan w:val="3"/>
            <w:shd w:val="clear" w:color="auto" w:fill="F2C6C9"/>
            <w:vAlign w:val="center"/>
            <w:hideMark/>
          </w:tcPr>
          <w:p w14:paraId="6B622045" w14:textId="77777777" w:rsidR="00AC218C" w:rsidRPr="00047B55" w:rsidRDefault="00AC218C" w:rsidP="005C513C">
            <w:pPr>
              <w:spacing w:before="20" w:after="2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Rozdíl mezi saldem peněžních toků a výsledkem hospodaření SÚJB za významné operace celkem</w:t>
            </w:r>
          </w:p>
        </w:tc>
        <w:tc>
          <w:tcPr>
            <w:tcW w:w="835" w:type="dxa"/>
            <w:shd w:val="clear" w:color="auto" w:fill="F2C6C9"/>
            <w:noWrap/>
            <w:vAlign w:val="center"/>
            <w:hideMark/>
          </w:tcPr>
          <w:p w14:paraId="2E7CF060" w14:textId="77777777" w:rsidR="00AC218C" w:rsidRPr="00047B55" w:rsidRDefault="00AC218C" w:rsidP="005C513C">
            <w:pPr>
              <w:spacing w:before="20" w:after="20"/>
              <w:ind w:right="57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7B5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7,1</w:t>
            </w:r>
          </w:p>
        </w:tc>
      </w:tr>
    </w:tbl>
    <w:p w14:paraId="4CB074FB" w14:textId="1B5E7F8D" w:rsidR="00840A6E" w:rsidRDefault="00840A6E" w:rsidP="00CB2DAF">
      <w:pPr>
        <w:spacing w:before="40" w:after="0"/>
        <w:rPr>
          <w:rFonts w:eastAsia="Calibri" w:cs="Calibri"/>
          <w:sz w:val="20"/>
          <w:szCs w:val="20"/>
        </w:rPr>
      </w:pPr>
      <w:r w:rsidRPr="000011BF">
        <w:rPr>
          <w:rFonts w:eastAsia="Calibri" w:cs="Calibri"/>
          <w:b/>
          <w:bCs/>
          <w:sz w:val="20"/>
          <w:szCs w:val="20"/>
        </w:rPr>
        <w:t>Zdroj:</w:t>
      </w:r>
      <w:r w:rsidRPr="000011BF">
        <w:rPr>
          <w:rFonts w:eastAsia="Calibri" w:cs="Calibri"/>
          <w:sz w:val="20"/>
          <w:szCs w:val="20"/>
        </w:rPr>
        <w:t xml:space="preserve"> účetní d</w:t>
      </w:r>
      <w:r>
        <w:rPr>
          <w:rFonts w:eastAsia="Calibri" w:cs="Calibri"/>
          <w:sz w:val="20"/>
          <w:szCs w:val="20"/>
        </w:rPr>
        <w:t>ata</w:t>
      </w:r>
      <w:r w:rsidRPr="000011BF">
        <w:rPr>
          <w:rFonts w:eastAsia="Calibri" w:cs="Calibri"/>
          <w:sz w:val="20"/>
          <w:szCs w:val="20"/>
        </w:rPr>
        <w:t xml:space="preserve"> </w:t>
      </w:r>
      <w:r w:rsidR="00AC218C">
        <w:rPr>
          <w:rFonts w:eastAsia="Calibri" w:cs="Calibri"/>
          <w:sz w:val="20"/>
          <w:szCs w:val="20"/>
        </w:rPr>
        <w:t>SÚJB</w:t>
      </w:r>
      <w:r w:rsidRPr="000011BF">
        <w:rPr>
          <w:rFonts w:eastAsia="Calibri" w:cs="Calibri"/>
          <w:sz w:val="20"/>
          <w:szCs w:val="20"/>
        </w:rPr>
        <w:t xml:space="preserve"> za rok 202</w:t>
      </w:r>
      <w:r w:rsidR="00AC218C">
        <w:rPr>
          <w:rFonts w:eastAsia="Calibri" w:cs="Calibri"/>
          <w:sz w:val="20"/>
          <w:szCs w:val="20"/>
        </w:rPr>
        <w:t>2</w:t>
      </w:r>
      <w:r w:rsidRPr="000011BF">
        <w:rPr>
          <w:rFonts w:eastAsia="Calibri" w:cs="Calibri"/>
          <w:sz w:val="20"/>
          <w:szCs w:val="20"/>
        </w:rPr>
        <w:t>, ÚZ</w:t>
      </w:r>
      <w:r w:rsidR="00E211B4">
        <w:rPr>
          <w:rFonts w:eastAsia="Calibri" w:cs="Calibri"/>
          <w:sz w:val="20"/>
          <w:szCs w:val="20"/>
        </w:rPr>
        <w:t>;</w:t>
      </w:r>
      <w:r>
        <w:rPr>
          <w:rFonts w:eastAsia="Calibri" w:cs="Calibri"/>
          <w:sz w:val="20"/>
          <w:szCs w:val="20"/>
        </w:rPr>
        <w:t xml:space="preserve"> </w:t>
      </w:r>
      <w:r w:rsidR="00351643">
        <w:rPr>
          <w:rFonts w:eastAsia="Calibri" w:cs="Calibri"/>
          <w:sz w:val="20"/>
          <w:szCs w:val="20"/>
        </w:rPr>
        <w:t>vypracoval</w:t>
      </w:r>
      <w:r>
        <w:rPr>
          <w:rFonts w:eastAsia="Calibri" w:cs="Calibri"/>
          <w:sz w:val="20"/>
          <w:szCs w:val="20"/>
        </w:rPr>
        <w:t xml:space="preserve"> NKÚ.</w:t>
      </w:r>
    </w:p>
    <w:p w14:paraId="28848F30" w14:textId="77777777" w:rsidR="00F86B28" w:rsidRPr="00AC218C" w:rsidRDefault="00F86B28" w:rsidP="00AC218C">
      <w:pPr>
        <w:spacing w:before="120"/>
        <w:rPr>
          <w:i/>
          <w:szCs w:val="22"/>
        </w:rPr>
      </w:pPr>
    </w:p>
    <w:p w14:paraId="0075DB4A" w14:textId="77777777" w:rsidR="00F86B28" w:rsidRDefault="00F86B28" w:rsidP="00840A6E">
      <w:pPr>
        <w:jc w:val="both"/>
        <w:rPr>
          <w:rFonts w:cstheme="minorHAnsi"/>
        </w:rPr>
        <w:sectPr w:rsidR="00F86B28" w:rsidSect="00BE2CC5">
          <w:headerReference w:type="default" r:id="rId34"/>
          <w:headerReference w:type="first" r:id="rId35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bookmarkStart w:id="9" w:name="_Hlk77770840"/>
    </w:p>
    <w:p w14:paraId="446A57DC" w14:textId="77777777" w:rsidR="00CB2DAF" w:rsidRPr="00CB2DAF" w:rsidRDefault="00CB2DAF" w:rsidP="00CB2DAF">
      <w:pPr>
        <w:pStyle w:val="Zhlav"/>
        <w:spacing w:after="120"/>
        <w:jc w:val="right"/>
        <w:rPr>
          <w:b/>
        </w:rPr>
      </w:pPr>
      <w:bookmarkStart w:id="10" w:name="_Hlk135727300"/>
      <w:r w:rsidRPr="00CB2DAF">
        <w:rPr>
          <w:b/>
        </w:rPr>
        <w:lastRenderedPageBreak/>
        <w:t>Příloha č. 2</w:t>
      </w:r>
    </w:p>
    <w:p w14:paraId="3EB972AF" w14:textId="77777777" w:rsidR="00586CDC" w:rsidRDefault="00310275" w:rsidP="00310275">
      <w:pPr>
        <w:pStyle w:val="Styl2"/>
        <w:numPr>
          <w:ilvl w:val="0"/>
          <w:numId w:val="0"/>
        </w:numPr>
        <w:spacing w:before="240" w:after="120"/>
      </w:pPr>
      <w:r>
        <w:t xml:space="preserve">1. </w:t>
      </w:r>
      <w:r w:rsidR="00586CDC" w:rsidRPr="0069020F">
        <w:t xml:space="preserve">Využívání účetních informací v podmínkách </w:t>
      </w:r>
      <w:r w:rsidR="00586CDC">
        <w:t>SÚJB</w:t>
      </w:r>
    </w:p>
    <w:bookmarkEnd w:id="10"/>
    <w:p w14:paraId="6B7167C2" w14:textId="77777777" w:rsidR="00013CE4" w:rsidRPr="006633B5" w:rsidRDefault="00013CE4" w:rsidP="00CB2DAF">
      <w:pPr>
        <w:spacing w:before="120"/>
        <w:jc w:val="both"/>
        <w:rPr>
          <w:rFonts w:cs="Calibri"/>
        </w:rPr>
      </w:pPr>
      <w:r w:rsidRPr="006633B5">
        <w:rPr>
          <w:rFonts w:cs="Calibri"/>
        </w:rPr>
        <w:t>Účetními informacemi jsou myšleny údaje z účetních závěrek i údaje, na jejichž základě je účetní závěrka sestavena a které mají vazbu na údaje z účetní závěrky (tj. účetní knihy a další z nich vycházející údaje a sestavy).</w:t>
      </w:r>
    </w:p>
    <w:p w14:paraId="78A6628D" w14:textId="27F29088" w:rsidR="00586CDC" w:rsidRDefault="00586CDC" w:rsidP="00CB2DAF">
      <w:pPr>
        <w:spacing w:before="120"/>
        <w:jc w:val="both"/>
        <w:rPr>
          <w:rFonts w:cs="Calibri"/>
        </w:rPr>
      </w:pPr>
      <w:r w:rsidRPr="0069020F">
        <w:rPr>
          <w:rFonts w:cs="Calibri"/>
        </w:rPr>
        <w:t xml:space="preserve">Zákon </w:t>
      </w:r>
      <w:r>
        <w:rPr>
          <w:rFonts w:cs="Calibri"/>
        </w:rPr>
        <w:t>č. 563/1991 Sb.</w:t>
      </w:r>
      <w:r w:rsidRPr="0069020F">
        <w:rPr>
          <w:rFonts w:cs="Calibri"/>
        </w:rPr>
        <w:t xml:space="preserve"> v u</w:t>
      </w:r>
      <w:r>
        <w:rPr>
          <w:rFonts w:cs="Calibri"/>
        </w:rPr>
        <w:t>s</w:t>
      </w:r>
      <w:r w:rsidRPr="0069020F">
        <w:rPr>
          <w:rFonts w:cs="Calibri"/>
        </w:rPr>
        <w:t>tanovení § 7 odst. 1 stanoví požadavek, aby sestavená účetní závěrka mohla uživatelům sloužit k činění ekonomických rozhodnutí. Právní předpisy ovšem nevyžadují, aby organizační složky státu použily informac</w:t>
      </w:r>
      <w:r>
        <w:rPr>
          <w:rFonts w:cs="Calibri"/>
        </w:rPr>
        <w:t>e</w:t>
      </w:r>
      <w:r w:rsidRPr="0069020F">
        <w:rPr>
          <w:rFonts w:cs="Calibri"/>
        </w:rPr>
        <w:t xml:space="preserve"> ze svých účetních závěrek a</w:t>
      </w:r>
      <w:r>
        <w:rPr>
          <w:rFonts w:cs="Calibri"/>
        </w:rPr>
        <w:t> </w:t>
      </w:r>
      <w:r w:rsidRPr="0069020F">
        <w:rPr>
          <w:rFonts w:cs="Calibri"/>
        </w:rPr>
        <w:t xml:space="preserve">účetních dat pro svá konkrétní ekonomická rozhodování. Je </w:t>
      </w:r>
      <w:r>
        <w:rPr>
          <w:rFonts w:cs="Calibri"/>
        </w:rPr>
        <w:t xml:space="preserve">pak </w:t>
      </w:r>
      <w:r w:rsidRPr="0069020F">
        <w:rPr>
          <w:rFonts w:cs="Calibri"/>
        </w:rPr>
        <w:t xml:space="preserve">na účetních jednotkách, zda je pro tyto účely použijí, včetně využití pro plánování – rozpočet. </w:t>
      </w:r>
    </w:p>
    <w:p w14:paraId="221FBCC7" w14:textId="134FF2AE" w:rsidR="00663333" w:rsidRPr="00663333" w:rsidRDefault="00586CDC" w:rsidP="00CB2DAF">
      <w:pPr>
        <w:spacing w:before="120"/>
        <w:jc w:val="both"/>
        <w:rPr>
          <w:rFonts w:cs="Calibri"/>
        </w:rPr>
      </w:pPr>
      <w:r w:rsidRPr="00951DE5">
        <w:rPr>
          <w:rFonts w:cs="Calibri"/>
        </w:rPr>
        <w:t xml:space="preserve">SÚJB používá ekonomický informační systém, který </w:t>
      </w:r>
      <w:r w:rsidRPr="00951DE5">
        <w:rPr>
          <w:rFonts w:asciiTheme="minorHAnsi" w:hAnsiTheme="minorHAnsi" w:cstheme="minorHAnsi"/>
          <w:lang w:eastAsia="cs-CZ"/>
        </w:rPr>
        <w:t xml:space="preserve">podporuje </w:t>
      </w:r>
      <w:r w:rsidRPr="00951DE5">
        <w:rPr>
          <w:rFonts w:asciiTheme="minorHAnsi" w:hAnsiTheme="minorHAnsi" w:cstheme="minorHAnsi"/>
        </w:rPr>
        <w:t>propojení účetního a</w:t>
      </w:r>
      <w:r>
        <w:rPr>
          <w:rFonts w:asciiTheme="minorHAnsi" w:hAnsiTheme="minorHAnsi" w:cstheme="minorHAnsi"/>
        </w:rPr>
        <w:t> </w:t>
      </w:r>
      <w:r w:rsidRPr="00951DE5">
        <w:rPr>
          <w:rFonts w:asciiTheme="minorHAnsi" w:hAnsiTheme="minorHAnsi" w:cstheme="minorHAnsi"/>
        </w:rPr>
        <w:t>rozpočtového pohledu</w:t>
      </w:r>
      <w:r>
        <w:rPr>
          <w:rFonts w:asciiTheme="minorHAnsi" w:hAnsiTheme="minorHAnsi" w:cstheme="minorHAnsi"/>
        </w:rPr>
        <w:t xml:space="preserve">, např. </w:t>
      </w:r>
      <w:r w:rsidRPr="00482FD1">
        <w:rPr>
          <w:rFonts w:cs="Calibri"/>
          <w:bCs/>
        </w:rPr>
        <w:t xml:space="preserve">při </w:t>
      </w:r>
      <w:r>
        <w:rPr>
          <w:rFonts w:cs="Calibri"/>
          <w:bCs/>
        </w:rPr>
        <w:t>přípravě rozpočtu</w:t>
      </w:r>
      <w:r w:rsidRPr="00482FD1">
        <w:rPr>
          <w:rFonts w:cs="Calibri"/>
          <w:bCs/>
        </w:rPr>
        <w:t xml:space="preserve"> </w:t>
      </w:r>
      <w:r>
        <w:rPr>
          <w:rFonts w:cs="Calibri"/>
          <w:bCs/>
        </w:rPr>
        <w:t>SÚJB z</w:t>
      </w:r>
      <w:r w:rsidRPr="00482FD1">
        <w:rPr>
          <w:rFonts w:cs="Calibri"/>
          <w:bCs/>
        </w:rPr>
        <w:t xml:space="preserve">ohledňuje </w:t>
      </w:r>
      <w:r>
        <w:rPr>
          <w:rFonts w:cs="Calibri"/>
          <w:bCs/>
        </w:rPr>
        <w:t xml:space="preserve">mj. </w:t>
      </w:r>
      <w:r w:rsidRPr="00482FD1">
        <w:rPr>
          <w:rFonts w:cs="Calibri"/>
          <w:bCs/>
        </w:rPr>
        <w:t>závazky z dlouhodobých smluv</w:t>
      </w:r>
      <w:r>
        <w:rPr>
          <w:rFonts w:cs="Calibri"/>
          <w:bCs/>
        </w:rPr>
        <w:t>.</w:t>
      </w:r>
      <w:r w:rsidRPr="00C7611A">
        <w:rPr>
          <w:rFonts w:cs="Calibri"/>
        </w:rPr>
        <w:t xml:space="preserve"> </w:t>
      </w:r>
      <w:r w:rsidRPr="006A0084">
        <w:rPr>
          <w:rFonts w:cs="Calibri"/>
        </w:rPr>
        <w:t>Ekonomická data jsou na SÚJB pravidelně vyhodnocována v rámci ekonomického odboru, a</w:t>
      </w:r>
      <w:r>
        <w:rPr>
          <w:rFonts w:cs="Calibri"/>
        </w:rPr>
        <w:t> </w:t>
      </w:r>
      <w:r w:rsidRPr="006A0084">
        <w:rPr>
          <w:rFonts w:cs="Calibri"/>
        </w:rPr>
        <w:t xml:space="preserve">to v měsíčních, </w:t>
      </w:r>
      <w:r>
        <w:rPr>
          <w:rFonts w:cs="Calibri"/>
        </w:rPr>
        <w:t>čtvrtletních</w:t>
      </w:r>
      <w:r w:rsidRPr="006A0084">
        <w:rPr>
          <w:rFonts w:cs="Calibri"/>
        </w:rPr>
        <w:t xml:space="preserve"> a ročních periodách</w:t>
      </w:r>
      <w:r>
        <w:rPr>
          <w:rFonts w:cs="Calibri"/>
        </w:rPr>
        <w:t xml:space="preserve">. Tyto informace jsou </w:t>
      </w:r>
      <w:r w:rsidRPr="006A0084">
        <w:rPr>
          <w:rFonts w:cs="Calibri"/>
        </w:rPr>
        <w:t>prezent</w:t>
      </w:r>
      <w:r>
        <w:rPr>
          <w:rFonts w:cs="Calibri"/>
        </w:rPr>
        <w:t>ovány i </w:t>
      </w:r>
      <w:r w:rsidRPr="006A0084">
        <w:rPr>
          <w:rFonts w:cs="Calibri"/>
        </w:rPr>
        <w:t>na poradách vedení</w:t>
      </w:r>
      <w:r>
        <w:rPr>
          <w:rFonts w:cs="Calibri"/>
        </w:rPr>
        <w:t xml:space="preserve"> SÚJB.</w:t>
      </w:r>
      <w:r w:rsidR="00663333">
        <w:rPr>
          <w:rFonts w:cs="Calibri"/>
        </w:rPr>
        <w:t xml:space="preserve"> </w:t>
      </w:r>
      <w:r w:rsidR="00663333" w:rsidRPr="006A0084">
        <w:rPr>
          <w:rFonts w:cs="Calibri"/>
        </w:rPr>
        <w:t xml:space="preserve">Pro účely vlastního rozhodování a řízení byly nad daty </w:t>
      </w:r>
      <w:r w:rsidR="00663333" w:rsidRPr="00E356D2">
        <w:rPr>
          <w:rFonts w:cs="Calibri"/>
        </w:rPr>
        <w:t>v</w:t>
      </w:r>
      <w:r w:rsidR="00696627" w:rsidRPr="00E356D2">
        <w:rPr>
          <w:rFonts w:cs="Calibri"/>
        </w:rPr>
        <w:t> ekonomickém informačním systému SÚJB</w:t>
      </w:r>
      <w:r w:rsidR="00663333" w:rsidRPr="006A0084">
        <w:rPr>
          <w:rFonts w:cs="Calibri"/>
        </w:rPr>
        <w:t xml:space="preserve"> naprogramovány tzv.</w:t>
      </w:r>
      <w:r w:rsidR="00663333">
        <w:rPr>
          <w:rFonts w:cs="Calibri"/>
        </w:rPr>
        <w:t xml:space="preserve"> </w:t>
      </w:r>
      <w:r w:rsidR="00351643">
        <w:rPr>
          <w:rFonts w:cs="Calibri"/>
        </w:rPr>
        <w:t>m</w:t>
      </w:r>
      <w:r w:rsidR="00663333">
        <w:rPr>
          <w:rFonts w:cs="Calibri"/>
        </w:rPr>
        <w:t xml:space="preserve">anažerské výstupy, které </w:t>
      </w:r>
      <w:r w:rsidR="00663333" w:rsidRPr="006A0084">
        <w:rPr>
          <w:rFonts w:cs="Calibri"/>
        </w:rPr>
        <w:t>jsou přístupné</w:t>
      </w:r>
      <w:r w:rsidR="00663333">
        <w:rPr>
          <w:rFonts w:cs="Calibri"/>
        </w:rPr>
        <w:t xml:space="preserve"> </w:t>
      </w:r>
      <w:r w:rsidR="00663333" w:rsidRPr="006A0084">
        <w:rPr>
          <w:rFonts w:cs="Calibri"/>
        </w:rPr>
        <w:t>předsedkyni</w:t>
      </w:r>
      <w:r w:rsidR="00663333">
        <w:rPr>
          <w:rFonts w:cs="Calibri"/>
        </w:rPr>
        <w:t xml:space="preserve"> SÚJB</w:t>
      </w:r>
      <w:r w:rsidR="00663333" w:rsidRPr="006A0084">
        <w:rPr>
          <w:rFonts w:cs="Calibri"/>
        </w:rPr>
        <w:t>, ředitel</w:t>
      </w:r>
      <w:r w:rsidR="00663333">
        <w:rPr>
          <w:rFonts w:cs="Calibri"/>
        </w:rPr>
        <w:t>ům jednotlivých</w:t>
      </w:r>
      <w:r w:rsidR="00663333" w:rsidRPr="006A0084">
        <w:rPr>
          <w:rFonts w:cs="Calibri"/>
        </w:rPr>
        <w:t xml:space="preserve"> sekcí a</w:t>
      </w:r>
      <w:r w:rsidR="00663333">
        <w:rPr>
          <w:rFonts w:cs="Calibri"/>
        </w:rPr>
        <w:t> </w:t>
      </w:r>
      <w:r w:rsidR="00663333" w:rsidRPr="006A0084">
        <w:rPr>
          <w:rFonts w:cs="Calibri"/>
        </w:rPr>
        <w:t>pracovník</w:t>
      </w:r>
      <w:r w:rsidR="00663333">
        <w:rPr>
          <w:rFonts w:cs="Calibri"/>
        </w:rPr>
        <w:t>ům</w:t>
      </w:r>
      <w:r w:rsidR="00663333" w:rsidRPr="006A0084">
        <w:rPr>
          <w:rFonts w:cs="Calibri"/>
        </w:rPr>
        <w:t xml:space="preserve"> ekonomického odboru.</w:t>
      </w:r>
    </w:p>
    <w:p w14:paraId="3699D404" w14:textId="77777777" w:rsidR="00586CDC" w:rsidRDefault="00586CDC" w:rsidP="00CB2DAF">
      <w:pPr>
        <w:spacing w:before="120"/>
        <w:jc w:val="both"/>
        <w:rPr>
          <w:rFonts w:cs="Calibri"/>
          <w:lang w:eastAsia="cs-CZ"/>
        </w:rPr>
      </w:pPr>
      <w:r w:rsidRPr="006A0084">
        <w:rPr>
          <w:rFonts w:cs="Calibri"/>
        </w:rPr>
        <w:t xml:space="preserve">SÚJB pravidelně analyzuje účetní data </w:t>
      </w:r>
      <w:r>
        <w:rPr>
          <w:rFonts w:cs="Calibri"/>
        </w:rPr>
        <w:t>svých</w:t>
      </w:r>
      <w:r w:rsidRPr="006A0084">
        <w:rPr>
          <w:rFonts w:cs="Calibri"/>
        </w:rPr>
        <w:t xml:space="preserve"> veřejn</w:t>
      </w:r>
      <w:r w:rsidR="000B7195">
        <w:rPr>
          <w:rFonts w:cs="Calibri"/>
        </w:rPr>
        <w:t>ých</w:t>
      </w:r>
      <w:r w:rsidRPr="006A0084">
        <w:rPr>
          <w:rFonts w:cs="Calibri"/>
        </w:rPr>
        <w:t xml:space="preserve"> výzkumných institucí. </w:t>
      </w:r>
      <w:r>
        <w:rPr>
          <w:rFonts w:cs="Calibri"/>
          <w:lang w:eastAsia="cs-CZ"/>
        </w:rPr>
        <w:t>Aktivně</w:t>
      </w:r>
      <w:r w:rsidRPr="006A0084">
        <w:rPr>
          <w:rFonts w:cs="Calibri"/>
          <w:lang w:eastAsia="cs-CZ"/>
        </w:rPr>
        <w:t xml:space="preserve"> se</w:t>
      </w:r>
      <w:r>
        <w:rPr>
          <w:rFonts w:cs="Calibri"/>
          <w:lang w:eastAsia="cs-CZ"/>
        </w:rPr>
        <w:t xml:space="preserve"> </w:t>
      </w:r>
      <w:r w:rsidRPr="006A0084">
        <w:rPr>
          <w:rFonts w:cs="Calibri"/>
          <w:lang w:eastAsia="cs-CZ"/>
        </w:rPr>
        <w:t xml:space="preserve">účastní metodických dnů </w:t>
      </w:r>
      <w:r>
        <w:rPr>
          <w:rFonts w:cs="Calibri"/>
          <w:lang w:eastAsia="cs-CZ"/>
        </w:rPr>
        <w:t>pořádaných Ministerstvem financí</w:t>
      </w:r>
      <w:r w:rsidRPr="006A0084">
        <w:rPr>
          <w:rFonts w:cs="Calibri"/>
          <w:lang w:eastAsia="cs-CZ"/>
        </w:rPr>
        <w:t>, kde má možnost vyměnit si informace a</w:t>
      </w:r>
      <w:r>
        <w:rPr>
          <w:rFonts w:cs="Calibri"/>
          <w:lang w:eastAsia="cs-CZ"/>
        </w:rPr>
        <w:t> </w:t>
      </w:r>
      <w:r w:rsidRPr="006A0084">
        <w:rPr>
          <w:rFonts w:cs="Calibri"/>
          <w:lang w:eastAsia="cs-CZ"/>
        </w:rPr>
        <w:t>zkušenosti s jinými OSS</w:t>
      </w:r>
      <w:r>
        <w:rPr>
          <w:rFonts w:cs="Calibri"/>
          <w:lang w:eastAsia="cs-CZ"/>
        </w:rPr>
        <w:t xml:space="preserve"> podobného typu.</w:t>
      </w:r>
    </w:p>
    <w:p w14:paraId="4667805C" w14:textId="77777777" w:rsidR="00586CDC" w:rsidRDefault="00586CDC" w:rsidP="00CB2DAF">
      <w:pPr>
        <w:spacing w:before="120"/>
        <w:jc w:val="both"/>
        <w:rPr>
          <w:rFonts w:cs="Calibri"/>
        </w:rPr>
      </w:pPr>
      <w:r>
        <w:rPr>
          <w:rFonts w:cs="Calibri"/>
        </w:rPr>
        <w:t xml:space="preserve">Za </w:t>
      </w:r>
      <w:r w:rsidRPr="00C514CE">
        <w:rPr>
          <w:rFonts w:cs="Calibri"/>
        </w:rPr>
        <w:t xml:space="preserve">externího uživatele své účetní závěrky </w:t>
      </w:r>
      <w:r>
        <w:rPr>
          <w:rFonts w:cs="Calibri"/>
        </w:rPr>
        <w:t xml:space="preserve">považuje </w:t>
      </w:r>
      <w:r w:rsidRPr="00C514CE">
        <w:rPr>
          <w:rFonts w:cs="Calibri"/>
        </w:rPr>
        <w:t xml:space="preserve">SÚJB </w:t>
      </w:r>
      <w:r>
        <w:rPr>
          <w:rFonts w:cs="Calibri"/>
        </w:rPr>
        <w:t>zejména Ministerstvo financí</w:t>
      </w:r>
      <w:r w:rsidRPr="00C514CE">
        <w:rPr>
          <w:rFonts w:cs="Calibri"/>
        </w:rPr>
        <w:t>, od</w:t>
      </w:r>
      <w:r w:rsidR="00351643">
        <w:rPr>
          <w:rFonts w:cs="Calibri"/>
        </w:rPr>
        <w:t xml:space="preserve"> </w:t>
      </w:r>
      <w:r w:rsidRPr="00C514CE">
        <w:rPr>
          <w:rFonts w:cs="Calibri"/>
        </w:rPr>
        <w:t xml:space="preserve">něhož má pravidelnou zpětnou vazbu </w:t>
      </w:r>
      <w:r>
        <w:rPr>
          <w:rFonts w:cs="Calibri"/>
        </w:rPr>
        <w:t>ohledně</w:t>
      </w:r>
      <w:r w:rsidRPr="00C514CE">
        <w:rPr>
          <w:rFonts w:cs="Calibri"/>
        </w:rPr>
        <w:t xml:space="preserve"> plnění ukazatelů rozpočtu</w:t>
      </w:r>
      <w:r>
        <w:rPr>
          <w:rFonts w:cs="Calibri"/>
        </w:rPr>
        <w:t>, ale i Český statistický úřad</w:t>
      </w:r>
      <w:r w:rsidR="00351643">
        <w:rPr>
          <w:rFonts w:cs="Calibri"/>
        </w:rPr>
        <w:t xml:space="preserve"> </w:t>
      </w:r>
      <w:r>
        <w:rPr>
          <w:rFonts w:cs="Calibri"/>
        </w:rPr>
        <w:t>či </w:t>
      </w:r>
      <w:r w:rsidRPr="00C71C41">
        <w:rPr>
          <w:rFonts w:cs="Calibri"/>
        </w:rPr>
        <w:t>Úřad pro zastupování státu ve věcech majetkových</w:t>
      </w:r>
      <w:r>
        <w:rPr>
          <w:rFonts w:cs="Calibri"/>
        </w:rPr>
        <w:t>.</w:t>
      </w:r>
    </w:p>
    <w:p w14:paraId="0BB41A46" w14:textId="77777777" w:rsidR="004546DC" w:rsidRPr="00D22F97" w:rsidRDefault="004546DC" w:rsidP="00310275">
      <w:pPr>
        <w:keepNext/>
        <w:spacing w:before="240" w:after="0"/>
        <w:jc w:val="both"/>
        <w:rPr>
          <w:rFonts w:asciiTheme="minorHAnsi" w:hAnsiTheme="minorHAnsi" w:cstheme="minorHAnsi"/>
        </w:rPr>
      </w:pPr>
      <w:r w:rsidRPr="006A0084">
        <w:rPr>
          <w:rFonts w:cs="Calibri"/>
        </w:rPr>
        <w:t xml:space="preserve">Pro účely </w:t>
      </w:r>
      <w:r w:rsidRPr="00D22F97">
        <w:rPr>
          <w:rFonts w:asciiTheme="minorHAnsi" w:hAnsiTheme="minorHAnsi" w:cstheme="minorHAnsi"/>
        </w:rPr>
        <w:t>vlastního rozhodování a řízení využívá SÚJB</w:t>
      </w:r>
      <w:r>
        <w:rPr>
          <w:rFonts w:asciiTheme="minorHAnsi" w:hAnsiTheme="minorHAnsi" w:cstheme="minorHAnsi"/>
        </w:rPr>
        <w:t xml:space="preserve"> zejména</w:t>
      </w:r>
      <w:r w:rsidR="004A4A9D">
        <w:rPr>
          <w:rFonts w:asciiTheme="minorHAnsi" w:hAnsiTheme="minorHAnsi" w:cstheme="minorHAnsi"/>
        </w:rPr>
        <w:t xml:space="preserve"> následující účetní informace</w:t>
      </w:r>
      <w:r w:rsidRPr="00D22F97">
        <w:rPr>
          <w:rFonts w:asciiTheme="minorHAnsi" w:hAnsiTheme="minorHAnsi" w:cstheme="minorHAnsi"/>
        </w:rPr>
        <w:t>:</w:t>
      </w:r>
    </w:p>
    <w:p w14:paraId="1760A289" w14:textId="77777777" w:rsidR="004546DC" w:rsidRDefault="004546DC" w:rsidP="00CB2DAF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22F97">
        <w:rPr>
          <w:rFonts w:asciiTheme="minorHAnsi" w:hAnsiTheme="minorHAnsi" w:cstheme="minorHAnsi"/>
        </w:rPr>
        <w:t>stálá aktiva (dlouhodobý nehmotný majetek, dlouhodobý hmotný majetek, dlouhodobý finanční majetek a dlouhodobé pohledávky)</w:t>
      </w:r>
      <w:r w:rsidR="002C55C8">
        <w:rPr>
          <w:rFonts w:asciiTheme="minorHAnsi" w:hAnsiTheme="minorHAnsi" w:cstheme="minorHAnsi"/>
        </w:rPr>
        <w:t>:</w:t>
      </w:r>
    </w:p>
    <w:p w14:paraId="71481099" w14:textId="77777777" w:rsidR="004546DC" w:rsidRPr="00D22F97" w:rsidRDefault="004546DC" w:rsidP="00CB2DAF">
      <w:pPr>
        <w:pStyle w:val="Odstavecseseznamem"/>
        <w:numPr>
          <w:ilvl w:val="1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i/>
        </w:rPr>
      </w:pPr>
      <w:r w:rsidRPr="00D22F97">
        <w:rPr>
          <w:rFonts w:asciiTheme="minorHAnsi" w:hAnsiTheme="minorHAnsi" w:cstheme="minorHAnsi"/>
        </w:rPr>
        <w:t>pro rozhodování o obnově majetku jak hmotného, tak nehmotného, případně o vyřazení nepotřebného majetku</w:t>
      </w:r>
      <w:r>
        <w:rPr>
          <w:rFonts w:asciiTheme="minorHAnsi" w:hAnsiTheme="minorHAnsi" w:cstheme="minorHAnsi"/>
        </w:rPr>
        <w:t>;</w:t>
      </w:r>
      <w:r w:rsidRPr="00D22F97">
        <w:rPr>
          <w:rFonts w:asciiTheme="minorHAnsi" w:hAnsiTheme="minorHAnsi" w:cstheme="minorHAnsi"/>
        </w:rPr>
        <w:t xml:space="preserve"> </w:t>
      </w:r>
    </w:p>
    <w:p w14:paraId="74B1AB93" w14:textId="77777777" w:rsidR="004546DC" w:rsidRDefault="004546DC" w:rsidP="00CB2DAF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cs="Calibri"/>
        </w:rPr>
      </w:pPr>
      <w:r w:rsidRPr="001744E8">
        <w:rPr>
          <w:rFonts w:cs="Calibri"/>
        </w:rPr>
        <w:t xml:space="preserve">oběžná aktiva (zásoby, </w:t>
      </w:r>
      <w:r>
        <w:rPr>
          <w:rFonts w:cs="Calibri"/>
        </w:rPr>
        <w:t>krátkodobé</w:t>
      </w:r>
      <w:r w:rsidRPr="001744E8">
        <w:rPr>
          <w:rFonts w:cs="Calibri"/>
        </w:rPr>
        <w:t xml:space="preserve"> pohledávky a </w:t>
      </w:r>
      <w:r>
        <w:rPr>
          <w:rFonts w:cs="Calibri"/>
        </w:rPr>
        <w:t>krátkodobý</w:t>
      </w:r>
      <w:r w:rsidRPr="001744E8">
        <w:rPr>
          <w:rFonts w:cs="Calibri"/>
        </w:rPr>
        <w:t xml:space="preserve"> finanční majetek)</w:t>
      </w:r>
      <w:r w:rsidR="002C55C8">
        <w:rPr>
          <w:rFonts w:cs="Calibri"/>
        </w:rPr>
        <w:t>:</w:t>
      </w:r>
    </w:p>
    <w:p w14:paraId="5F10191E" w14:textId="77777777" w:rsidR="00E9761B" w:rsidRDefault="004546DC" w:rsidP="00CB2DAF">
      <w:pPr>
        <w:pStyle w:val="Odstavecseseznamem"/>
        <w:numPr>
          <w:ilvl w:val="1"/>
          <w:numId w:val="27"/>
        </w:numPr>
        <w:spacing w:after="0"/>
        <w:ind w:left="567" w:hanging="283"/>
        <w:jc w:val="both"/>
        <w:rPr>
          <w:rFonts w:cs="Calibri"/>
        </w:rPr>
      </w:pPr>
      <w:r w:rsidRPr="001744E8">
        <w:rPr>
          <w:rFonts w:cs="Calibri"/>
        </w:rPr>
        <w:t>ke sledování obratu a složení zásob</w:t>
      </w:r>
      <w:r w:rsidR="00E9761B">
        <w:rPr>
          <w:rFonts w:cs="Calibri"/>
        </w:rPr>
        <w:t xml:space="preserve"> za účelem jejich řízení;</w:t>
      </w:r>
    </w:p>
    <w:p w14:paraId="07A07156" w14:textId="77777777" w:rsidR="004546DC" w:rsidRDefault="00E9761B" w:rsidP="00CB2DAF">
      <w:pPr>
        <w:pStyle w:val="Odstavecseseznamem"/>
        <w:numPr>
          <w:ilvl w:val="1"/>
          <w:numId w:val="27"/>
        </w:numPr>
        <w:spacing w:after="0"/>
        <w:ind w:left="567" w:hanging="283"/>
        <w:jc w:val="both"/>
        <w:rPr>
          <w:rFonts w:cs="Calibri"/>
        </w:rPr>
      </w:pPr>
      <w:r>
        <w:rPr>
          <w:rFonts w:cs="Calibri"/>
        </w:rPr>
        <w:t xml:space="preserve">ke </w:t>
      </w:r>
      <w:r w:rsidR="004546DC" w:rsidRPr="001744E8">
        <w:rPr>
          <w:rFonts w:cs="Calibri"/>
        </w:rPr>
        <w:t>sledování krátkodobých pohledáve</w:t>
      </w:r>
      <w:r w:rsidR="004546DC">
        <w:rPr>
          <w:rFonts w:cs="Calibri"/>
        </w:rPr>
        <w:t>k</w:t>
      </w:r>
      <w:r>
        <w:rPr>
          <w:rFonts w:cs="Calibri"/>
        </w:rPr>
        <w:t xml:space="preserve"> a jejich splatnosti pro vyhodnocení rizik s nimi spojených</w:t>
      </w:r>
      <w:r w:rsidR="004546DC">
        <w:rPr>
          <w:rFonts w:cs="Calibri"/>
        </w:rPr>
        <w:t>;</w:t>
      </w:r>
    </w:p>
    <w:p w14:paraId="3128B720" w14:textId="77777777" w:rsidR="004546DC" w:rsidRDefault="004546DC" w:rsidP="00CB2DAF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cs="Calibri"/>
        </w:rPr>
      </w:pPr>
      <w:r w:rsidRPr="001744E8">
        <w:rPr>
          <w:rFonts w:cs="Calibri"/>
        </w:rPr>
        <w:t>vlastní kapitál (jmění, fondy, výsledek hospodaření)</w:t>
      </w:r>
      <w:r w:rsidR="002C55C8">
        <w:rPr>
          <w:rFonts w:cs="Calibri"/>
        </w:rPr>
        <w:t>:</w:t>
      </w:r>
    </w:p>
    <w:p w14:paraId="02061A06" w14:textId="77777777" w:rsidR="004546DC" w:rsidRDefault="004546DC" w:rsidP="00CB2DAF">
      <w:pPr>
        <w:pStyle w:val="Odstavecseseznamem"/>
        <w:numPr>
          <w:ilvl w:val="1"/>
          <w:numId w:val="27"/>
        </w:numPr>
        <w:spacing w:after="0"/>
        <w:ind w:left="567" w:hanging="283"/>
        <w:jc w:val="both"/>
        <w:rPr>
          <w:rFonts w:cs="Calibri"/>
        </w:rPr>
      </w:pPr>
      <w:r w:rsidRPr="001744E8">
        <w:rPr>
          <w:rFonts w:cs="Calibri"/>
        </w:rPr>
        <w:t>SÚJB sleduje zejména přehled stavu finančních prostředků na rezervním fondu a FKSP k</w:t>
      </w:r>
      <w:r w:rsidR="00310275">
        <w:rPr>
          <w:rFonts w:cs="Calibri"/>
        </w:rPr>
        <w:t> </w:t>
      </w:r>
      <w:r w:rsidRPr="001744E8">
        <w:rPr>
          <w:rFonts w:cs="Calibri"/>
        </w:rPr>
        <w:t>dalšímu rozhodování příkazců operací, co a v jaké výši se bude z těchto fondů financovat</w:t>
      </w:r>
      <w:r w:rsidR="00B84C69">
        <w:rPr>
          <w:rFonts w:cs="Calibri"/>
        </w:rPr>
        <w:t>;</w:t>
      </w:r>
    </w:p>
    <w:p w14:paraId="3F211206" w14:textId="77777777" w:rsidR="004546DC" w:rsidRDefault="004546DC" w:rsidP="00CB2DAF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cs="Calibri"/>
        </w:rPr>
      </w:pPr>
      <w:r w:rsidRPr="001744E8">
        <w:rPr>
          <w:rFonts w:cs="Calibri"/>
        </w:rPr>
        <w:t xml:space="preserve">cizí zdroje (rezervy, </w:t>
      </w:r>
      <w:r>
        <w:rPr>
          <w:rFonts w:cs="Calibri"/>
        </w:rPr>
        <w:t>dlouhodobé</w:t>
      </w:r>
      <w:r w:rsidRPr="001744E8">
        <w:rPr>
          <w:rFonts w:cs="Calibri"/>
        </w:rPr>
        <w:t xml:space="preserve"> závazky, </w:t>
      </w:r>
      <w:r>
        <w:rPr>
          <w:rFonts w:cs="Calibri"/>
        </w:rPr>
        <w:t>krátkodobé</w:t>
      </w:r>
      <w:r w:rsidRPr="001744E8">
        <w:rPr>
          <w:rFonts w:cs="Calibri"/>
        </w:rPr>
        <w:t xml:space="preserve"> závazky)</w:t>
      </w:r>
      <w:r w:rsidR="002C55C8">
        <w:rPr>
          <w:rFonts w:cs="Calibri"/>
        </w:rPr>
        <w:t>:</w:t>
      </w:r>
    </w:p>
    <w:p w14:paraId="72BD52B6" w14:textId="77777777" w:rsidR="004546DC" w:rsidRDefault="004546DC" w:rsidP="00CB2DAF">
      <w:pPr>
        <w:pStyle w:val="Odstavecseseznamem"/>
        <w:numPr>
          <w:ilvl w:val="1"/>
          <w:numId w:val="27"/>
        </w:numPr>
        <w:spacing w:after="0"/>
        <w:ind w:left="567" w:hanging="283"/>
        <w:jc w:val="both"/>
        <w:rPr>
          <w:rFonts w:cs="Calibri"/>
        </w:rPr>
      </w:pPr>
      <w:r w:rsidRPr="001744E8">
        <w:rPr>
          <w:rFonts w:cs="Calibri"/>
        </w:rPr>
        <w:t>SÚJB průběžně sleduje plnění jak dlouhodobých, tak krátkodobých závazků. V</w:t>
      </w:r>
      <w:r w:rsidR="00B84C69">
        <w:rPr>
          <w:rFonts w:cs="Calibri"/>
        </w:rPr>
        <w:t> </w:t>
      </w:r>
      <w:r w:rsidRPr="001744E8">
        <w:rPr>
          <w:rFonts w:cs="Calibri"/>
        </w:rPr>
        <w:t>případě, že splatnost závazků není dodržena, vyrozumí o tom správce rozpočtu a příkazce operace</w:t>
      </w:r>
      <w:r w:rsidR="00DA31A5">
        <w:rPr>
          <w:rFonts w:cs="Calibri"/>
        </w:rPr>
        <w:t>.</w:t>
      </w:r>
    </w:p>
    <w:p w14:paraId="641AFB7D" w14:textId="77777777" w:rsidR="004546DC" w:rsidRPr="006A0084" w:rsidRDefault="004546DC" w:rsidP="00CB2DAF">
      <w:pPr>
        <w:spacing w:before="120"/>
        <w:jc w:val="both"/>
        <w:rPr>
          <w:rFonts w:cs="Calibri"/>
        </w:rPr>
      </w:pPr>
      <w:r w:rsidRPr="006A0084">
        <w:rPr>
          <w:rFonts w:cs="Calibri"/>
        </w:rPr>
        <w:t>SÚJB dále uvedl, že účetní informace jsou pro něj jedním ze zdrojů informací ke komentáři k</w:t>
      </w:r>
      <w:r>
        <w:rPr>
          <w:rFonts w:cs="Calibri"/>
        </w:rPr>
        <w:t> </w:t>
      </w:r>
      <w:r w:rsidRPr="006A0084">
        <w:rPr>
          <w:rFonts w:cs="Calibri"/>
        </w:rPr>
        <w:t>závěrečnému účtu za kapitolu 375</w:t>
      </w:r>
      <w:r>
        <w:rPr>
          <w:rFonts w:cs="Calibri"/>
        </w:rPr>
        <w:t xml:space="preserve"> – </w:t>
      </w:r>
      <w:r w:rsidRPr="00E356D2">
        <w:rPr>
          <w:rFonts w:cs="Calibri"/>
          <w:i/>
        </w:rPr>
        <w:t>Státní úřad pro jadernou bezpečnost</w:t>
      </w:r>
      <w:r w:rsidRPr="006A0084">
        <w:rPr>
          <w:rFonts w:cs="Calibri"/>
        </w:rPr>
        <w:t xml:space="preserve">. Výstupy </w:t>
      </w:r>
      <w:r w:rsidRPr="006A0084">
        <w:rPr>
          <w:rFonts w:cs="Calibri"/>
        </w:rPr>
        <w:lastRenderedPageBreak/>
        <w:t>z</w:t>
      </w:r>
      <w:r>
        <w:rPr>
          <w:rFonts w:cs="Calibri"/>
        </w:rPr>
        <w:t> </w:t>
      </w:r>
      <w:r w:rsidRPr="006A0084">
        <w:rPr>
          <w:rFonts w:cs="Calibri"/>
        </w:rPr>
        <w:t xml:space="preserve">finančního účetnictví </w:t>
      </w:r>
      <w:r w:rsidR="003E0262">
        <w:rPr>
          <w:rFonts w:cs="Calibri"/>
        </w:rPr>
        <w:t xml:space="preserve">používá </w:t>
      </w:r>
      <w:r w:rsidR="00CA35F4">
        <w:rPr>
          <w:rFonts w:cs="Calibri"/>
        </w:rPr>
        <w:t xml:space="preserve">SÚJB </w:t>
      </w:r>
      <w:r w:rsidR="003E0262">
        <w:rPr>
          <w:rFonts w:cs="Calibri"/>
        </w:rPr>
        <w:t>pro hodnocení</w:t>
      </w:r>
      <w:r w:rsidRPr="006A0084">
        <w:rPr>
          <w:rFonts w:cs="Calibri"/>
        </w:rPr>
        <w:t xml:space="preserve"> </w:t>
      </w:r>
      <w:r w:rsidR="003E0262">
        <w:rPr>
          <w:rFonts w:cs="Calibri"/>
        </w:rPr>
        <w:t>(</w:t>
      </w:r>
      <w:r w:rsidRPr="006A0084">
        <w:rPr>
          <w:rFonts w:cs="Calibri"/>
        </w:rPr>
        <w:t>např. výkonnosti</w:t>
      </w:r>
      <w:r w:rsidR="003E0262">
        <w:rPr>
          <w:rFonts w:cs="Calibri"/>
        </w:rPr>
        <w:t>)</w:t>
      </w:r>
      <w:r w:rsidRPr="006A0084">
        <w:rPr>
          <w:rFonts w:cs="Calibri"/>
        </w:rPr>
        <w:t xml:space="preserve"> a</w:t>
      </w:r>
      <w:r>
        <w:rPr>
          <w:rFonts w:cs="Calibri"/>
        </w:rPr>
        <w:t> </w:t>
      </w:r>
      <w:r w:rsidRPr="006A0084">
        <w:rPr>
          <w:rFonts w:cs="Calibri"/>
        </w:rPr>
        <w:t>pro</w:t>
      </w:r>
      <w:r w:rsidR="002C55C8">
        <w:rPr>
          <w:rFonts w:cs="Calibri"/>
        </w:rPr>
        <w:t xml:space="preserve"> </w:t>
      </w:r>
      <w:r w:rsidRPr="006A0084">
        <w:rPr>
          <w:rFonts w:cs="Calibri"/>
        </w:rPr>
        <w:t>potřeby finančního řízení.</w:t>
      </w:r>
    </w:p>
    <w:p w14:paraId="7A2ECF7C" w14:textId="77777777" w:rsidR="00586CDC" w:rsidRPr="00460BC3" w:rsidRDefault="00310275" w:rsidP="00310275">
      <w:pPr>
        <w:pStyle w:val="Styl2"/>
        <w:numPr>
          <w:ilvl w:val="0"/>
          <w:numId w:val="0"/>
        </w:numPr>
        <w:spacing w:before="240" w:after="120"/>
      </w:pPr>
      <w:bookmarkStart w:id="11" w:name="_Toc130977935"/>
      <w:r>
        <w:t xml:space="preserve">2. </w:t>
      </w:r>
      <w:r w:rsidR="00586CDC">
        <w:t>Informace vykazované na podrozvahových účtech</w:t>
      </w:r>
      <w:bookmarkEnd w:id="11"/>
      <w:r w:rsidR="00586CDC">
        <w:t xml:space="preserve"> </w:t>
      </w:r>
    </w:p>
    <w:p w14:paraId="70DAC985" w14:textId="77777777" w:rsidR="00586CDC" w:rsidRDefault="00586CDC" w:rsidP="00CB2DAF">
      <w:pPr>
        <w:spacing w:before="120"/>
        <w:jc w:val="both"/>
        <w:rPr>
          <w:rFonts w:cs="Calibri"/>
        </w:rPr>
      </w:pPr>
      <w:r w:rsidRPr="008330BF">
        <w:rPr>
          <w:rFonts w:cs="Calibri"/>
        </w:rPr>
        <w:t>Na podrozvahových účtech se účtuje o sk</w:t>
      </w:r>
      <w:r>
        <w:rPr>
          <w:rFonts w:cs="Calibri"/>
        </w:rPr>
        <w:t>ut</w:t>
      </w:r>
      <w:r w:rsidRPr="008330BF">
        <w:rPr>
          <w:rFonts w:cs="Calibri"/>
        </w:rPr>
        <w:t xml:space="preserve">ečnostech, </w:t>
      </w:r>
      <w:r>
        <w:rPr>
          <w:rFonts w:cs="Calibri"/>
        </w:rPr>
        <w:t>o nichž</w:t>
      </w:r>
      <w:r w:rsidRPr="008330BF">
        <w:rPr>
          <w:rFonts w:cs="Calibri"/>
        </w:rPr>
        <w:t xml:space="preserve"> se neúčtuje na rozvahových účtech</w:t>
      </w:r>
      <w:r>
        <w:rPr>
          <w:rFonts w:cs="Calibri"/>
        </w:rPr>
        <w:t xml:space="preserve">. Jedná se </w:t>
      </w:r>
      <w:r w:rsidRPr="008330BF">
        <w:rPr>
          <w:rFonts w:cs="Calibri"/>
        </w:rPr>
        <w:t>o</w:t>
      </w:r>
      <w:r>
        <w:rPr>
          <w:rFonts w:cs="Calibri"/>
        </w:rPr>
        <w:t xml:space="preserve"> tzv.</w:t>
      </w:r>
      <w:r w:rsidRPr="008330BF">
        <w:rPr>
          <w:rFonts w:cs="Calibri"/>
        </w:rPr>
        <w:t xml:space="preserve"> podmíněn</w:t>
      </w:r>
      <w:r>
        <w:rPr>
          <w:rFonts w:cs="Calibri"/>
        </w:rPr>
        <w:t>é</w:t>
      </w:r>
      <w:r w:rsidRPr="008330BF">
        <w:rPr>
          <w:rFonts w:cs="Calibri"/>
        </w:rPr>
        <w:t xml:space="preserve"> pohledávk</w:t>
      </w:r>
      <w:r>
        <w:rPr>
          <w:rFonts w:cs="Calibri"/>
        </w:rPr>
        <w:t>y</w:t>
      </w:r>
      <w:r w:rsidRPr="008330BF">
        <w:rPr>
          <w:rFonts w:cs="Calibri"/>
        </w:rPr>
        <w:t>, podmíněn</w:t>
      </w:r>
      <w:r>
        <w:rPr>
          <w:rFonts w:cs="Calibri"/>
        </w:rPr>
        <w:t>é</w:t>
      </w:r>
      <w:r w:rsidRPr="008330BF">
        <w:rPr>
          <w:rFonts w:cs="Calibri"/>
        </w:rPr>
        <w:t xml:space="preserve"> závaz</w:t>
      </w:r>
      <w:r>
        <w:rPr>
          <w:rFonts w:cs="Calibri"/>
        </w:rPr>
        <w:t>ky</w:t>
      </w:r>
      <w:r w:rsidRPr="008330BF">
        <w:rPr>
          <w:rFonts w:cs="Calibri"/>
        </w:rPr>
        <w:t xml:space="preserve"> a další podrozvahov</w:t>
      </w:r>
      <w:r>
        <w:rPr>
          <w:rFonts w:cs="Calibri"/>
        </w:rPr>
        <w:t>á</w:t>
      </w:r>
      <w:r w:rsidRPr="008330BF">
        <w:rPr>
          <w:rFonts w:cs="Calibri"/>
        </w:rPr>
        <w:t xml:space="preserve"> aktiv</w:t>
      </w:r>
      <w:r>
        <w:rPr>
          <w:rFonts w:cs="Calibri"/>
        </w:rPr>
        <w:t>a</w:t>
      </w:r>
      <w:r w:rsidRPr="008330BF">
        <w:rPr>
          <w:rFonts w:cs="Calibri"/>
        </w:rPr>
        <w:t xml:space="preserve"> a pasiv</w:t>
      </w:r>
      <w:r>
        <w:rPr>
          <w:rFonts w:cs="Calibri"/>
        </w:rPr>
        <w:t>a, která souvisí</w:t>
      </w:r>
      <w:r w:rsidRPr="00223F0D">
        <w:rPr>
          <w:rFonts w:cs="Calibri"/>
        </w:rPr>
        <w:t xml:space="preserve"> s budoucím přírůstkem nebo úbytkem majetku nebo jiného aktiva, závazku nebo jiného pasiva, ke kterému může dojít na základě stanovené podmínky nebo podmínek</w:t>
      </w:r>
      <w:r>
        <w:rPr>
          <w:rFonts w:cs="Calibri"/>
        </w:rPr>
        <w:t xml:space="preserve">. </w:t>
      </w:r>
    </w:p>
    <w:p w14:paraId="1471EEBA" w14:textId="77777777" w:rsidR="00586CDC" w:rsidRDefault="00586CDC" w:rsidP="00CB2DAF">
      <w:pPr>
        <w:spacing w:before="120"/>
        <w:jc w:val="both"/>
        <w:rPr>
          <w:rFonts w:cs="Calibri"/>
        </w:rPr>
      </w:pPr>
      <w:r>
        <w:rPr>
          <w:rFonts w:cs="Calibri"/>
        </w:rPr>
        <w:t>V případě</w:t>
      </w:r>
      <w:r w:rsidRPr="00B80DEB">
        <w:rPr>
          <w:rFonts w:cs="Calibri"/>
        </w:rPr>
        <w:t xml:space="preserve"> SÚJB došlo v průběhu roku 2022 </w:t>
      </w:r>
      <w:r>
        <w:rPr>
          <w:rFonts w:cs="Calibri"/>
        </w:rPr>
        <w:t xml:space="preserve">na základě kontroly NKÚ </w:t>
      </w:r>
      <w:r w:rsidRPr="00B80DEB">
        <w:rPr>
          <w:rFonts w:cs="Calibri"/>
        </w:rPr>
        <w:t>k zásadním změnám nejen v</w:t>
      </w:r>
      <w:r>
        <w:rPr>
          <w:rFonts w:cs="Calibri"/>
        </w:rPr>
        <w:t>e</w:t>
      </w:r>
      <w:r w:rsidR="002C55C8">
        <w:rPr>
          <w:rFonts w:cs="Calibri"/>
        </w:rPr>
        <w:t xml:space="preserve"> </w:t>
      </w:r>
      <w:r>
        <w:rPr>
          <w:rFonts w:cs="Calibri"/>
        </w:rPr>
        <w:t>vykazování</w:t>
      </w:r>
      <w:r w:rsidRPr="00B80DEB">
        <w:rPr>
          <w:rFonts w:cs="Calibri"/>
        </w:rPr>
        <w:t xml:space="preserve"> </w:t>
      </w:r>
      <w:r>
        <w:rPr>
          <w:rFonts w:cs="Calibri"/>
        </w:rPr>
        <w:t xml:space="preserve">skutečností v knize podrozvahových účtů </w:t>
      </w:r>
      <w:r w:rsidRPr="002231D5">
        <w:rPr>
          <w:rFonts w:cs="Calibri"/>
        </w:rPr>
        <w:t>(viz část IV.</w:t>
      </w:r>
      <w:r w:rsidR="008B4CF5">
        <w:rPr>
          <w:rFonts w:cs="Calibri"/>
        </w:rPr>
        <w:t>1.1</w:t>
      </w:r>
      <w:r w:rsidR="002C55C8">
        <w:rPr>
          <w:rFonts w:cs="Calibri"/>
        </w:rPr>
        <w:t xml:space="preserve"> tohoto kontrolního závěru</w:t>
      </w:r>
      <w:r w:rsidRPr="002231D5">
        <w:rPr>
          <w:rFonts w:cs="Calibri"/>
        </w:rPr>
        <w:t>),</w:t>
      </w:r>
      <w:r w:rsidRPr="00B80DEB">
        <w:rPr>
          <w:rFonts w:cs="Calibri"/>
        </w:rPr>
        <w:t xml:space="preserve"> ale hlavně </w:t>
      </w:r>
      <w:r>
        <w:rPr>
          <w:rFonts w:cs="Calibri"/>
        </w:rPr>
        <w:t>v</w:t>
      </w:r>
      <w:r w:rsidR="002C55C8">
        <w:rPr>
          <w:rFonts w:cs="Calibri"/>
        </w:rPr>
        <w:t> </w:t>
      </w:r>
      <w:r>
        <w:rPr>
          <w:rFonts w:cs="Calibri"/>
        </w:rPr>
        <w:t>její</w:t>
      </w:r>
      <w:r w:rsidR="002C55C8">
        <w:rPr>
          <w:rFonts w:cs="Calibri"/>
        </w:rPr>
        <w:t xml:space="preserve"> </w:t>
      </w:r>
      <w:r w:rsidRPr="00B80DEB">
        <w:rPr>
          <w:rFonts w:cs="Calibri"/>
        </w:rPr>
        <w:t>vypovídací schopnosti jako</w:t>
      </w:r>
      <w:r w:rsidR="003E0262">
        <w:rPr>
          <w:rFonts w:cs="Calibri"/>
        </w:rPr>
        <w:t xml:space="preserve"> </w:t>
      </w:r>
      <w:r>
        <w:rPr>
          <w:rFonts w:cs="Calibri"/>
        </w:rPr>
        <w:t>součásti</w:t>
      </w:r>
      <w:r w:rsidR="002C55C8">
        <w:rPr>
          <w:rFonts w:cs="Calibri"/>
        </w:rPr>
        <w:t xml:space="preserve"> </w:t>
      </w:r>
      <w:r w:rsidRPr="00B80DEB">
        <w:rPr>
          <w:rFonts w:cs="Calibri"/>
        </w:rPr>
        <w:t>účetních výkazů.</w:t>
      </w:r>
      <w:r>
        <w:rPr>
          <w:rFonts w:cs="Calibri"/>
        </w:rPr>
        <w:t xml:space="preserve"> Zůstatky vykázané na</w:t>
      </w:r>
      <w:r w:rsidR="00DA31A5">
        <w:rPr>
          <w:rFonts w:cs="Calibri"/>
        </w:rPr>
        <w:t> </w:t>
      </w:r>
      <w:r>
        <w:rPr>
          <w:rFonts w:cs="Calibri"/>
        </w:rPr>
        <w:t>p</w:t>
      </w:r>
      <w:r w:rsidRPr="00B80DEB">
        <w:rPr>
          <w:rFonts w:cs="Calibri"/>
        </w:rPr>
        <w:t>odrozvah</w:t>
      </w:r>
      <w:r>
        <w:rPr>
          <w:rFonts w:cs="Calibri"/>
        </w:rPr>
        <w:t>ových účtech</w:t>
      </w:r>
      <w:r w:rsidRPr="00B80DEB">
        <w:rPr>
          <w:rFonts w:cs="Calibri"/>
        </w:rPr>
        <w:t xml:space="preserve"> SÚJB nyní představuj</w:t>
      </w:r>
      <w:r>
        <w:rPr>
          <w:rFonts w:cs="Calibri"/>
        </w:rPr>
        <w:t>í</w:t>
      </w:r>
      <w:r w:rsidRPr="00B80DEB">
        <w:rPr>
          <w:rFonts w:cs="Calibri"/>
        </w:rPr>
        <w:t xml:space="preserve"> mnohem reálnější pohled na budoucí závazky SÚJB.</w:t>
      </w:r>
      <w:r>
        <w:rPr>
          <w:rFonts w:cs="Calibri"/>
        </w:rPr>
        <w:t xml:space="preserve"> Nově se vykazováním podmíněných závazků ze smluv uživateli ÚZ </w:t>
      </w:r>
      <w:r w:rsidRPr="00B80DEB">
        <w:rPr>
          <w:rFonts w:cs="Calibri"/>
        </w:rPr>
        <w:t xml:space="preserve">dostává informace o výši v podstatě jistých budoucích výdajů SÚJB plynoucích z uzavřených smluv. Podmíněné závazky ze smluv měl SÚJB i v předchozích účetních obdobích, ale tím, že </w:t>
      </w:r>
      <w:r>
        <w:rPr>
          <w:rFonts w:cs="Calibri"/>
        </w:rPr>
        <w:t>je</w:t>
      </w:r>
      <w:r w:rsidRPr="00B80DEB">
        <w:rPr>
          <w:rFonts w:cs="Calibri"/>
        </w:rPr>
        <w:t xml:space="preserve"> </w:t>
      </w:r>
      <w:r>
        <w:rPr>
          <w:rFonts w:cs="Calibri"/>
        </w:rPr>
        <w:t>ve své</w:t>
      </w:r>
      <w:r w:rsidRPr="00B80DEB">
        <w:rPr>
          <w:rFonts w:cs="Calibri"/>
        </w:rPr>
        <w:t xml:space="preserve"> podrozvaze ne</w:t>
      </w:r>
      <w:r>
        <w:rPr>
          <w:rFonts w:cs="Calibri"/>
        </w:rPr>
        <w:t>vykazov</w:t>
      </w:r>
      <w:r w:rsidRPr="00B80DEB">
        <w:rPr>
          <w:rFonts w:cs="Calibri"/>
        </w:rPr>
        <w:t>al, byl pohled na jeho hospodaření zkreslený.</w:t>
      </w:r>
    </w:p>
    <w:p w14:paraId="71E00F56" w14:textId="77777777" w:rsidR="00586CDC" w:rsidRDefault="00FD3D0C" w:rsidP="00CB2DAF">
      <w:pPr>
        <w:spacing w:before="120"/>
        <w:jc w:val="both"/>
        <w:rPr>
          <w:rFonts w:cs="Calibri"/>
        </w:rPr>
      </w:pPr>
      <w:r>
        <w:t xml:space="preserve">Z celkového počtu účetních zápisů, které </w:t>
      </w:r>
      <w:r w:rsidR="00586CDC">
        <w:t xml:space="preserve">SÚJB </w:t>
      </w:r>
      <w:r>
        <w:t xml:space="preserve">v roce 2022 </w:t>
      </w:r>
      <w:r w:rsidR="00586CDC">
        <w:t>zaúčtoval</w:t>
      </w:r>
      <w:r>
        <w:t xml:space="preserve">, se </w:t>
      </w:r>
      <w:r w:rsidR="00586CDC" w:rsidRPr="0059322F">
        <w:rPr>
          <w:b/>
        </w:rPr>
        <w:t>2,2 %</w:t>
      </w:r>
      <w:r w:rsidR="00586CDC">
        <w:t xml:space="preserve"> týkalo podrozvahových účtů</w:t>
      </w:r>
      <w:r>
        <w:rPr>
          <w:rStyle w:val="Znakapoznpodarou"/>
        </w:rPr>
        <w:footnoteReference w:id="28"/>
      </w:r>
      <w:r w:rsidR="00586CDC">
        <w:t xml:space="preserve">. </w:t>
      </w:r>
      <w:r w:rsidR="00DA31A5">
        <w:t xml:space="preserve">Podmíněná aktiva, vykázaná ve výši 5,1 mil. Kč, představovala 1,7 % celkových aktiv (netto) SÚJB. </w:t>
      </w:r>
      <w:r w:rsidR="00586CDC">
        <w:t>Podmíněné závazky, které SÚJB vykázal k 31. 12. 2022, činily 21,7</w:t>
      </w:r>
      <w:r w:rsidR="005E1416">
        <w:t> </w:t>
      </w:r>
      <w:r w:rsidR="00586CDC">
        <w:t>mil.</w:t>
      </w:r>
      <w:r w:rsidR="005E1416">
        <w:t> </w:t>
      </w:r>
      <w:r w:rsidR="00586CDC">
        <w:t>Kč a převyšovaly o 23,9 % hodnotu cizích zdrojů vykázaných v rozvaze. Kategorie podmíněných závazků SÚJB j</w:t>
      </w:r>
      <w:r w:rsidR="00DA31A5">
        <w:t>sou</w:t>
      </w:r>
      <w:r w:rsidR="00586CDC">
        <w:t xml:space="preserve"> uveden</w:t>
      </w:r>
      <w:r w:rsidR="00DA31A5">
        <w:t>y</w:t>
      </w:r>
      <w:r w:rsidR="00586CDC">
        <w:t xml:space="preserve"> v</w:t>
      </w:r>
      <w:r w:rsidR="00DA31A5">
        <w:t xml:space="preserve"> následující </w:t>
      </w:r>
      <w:r w:rsidR="00586CDC">
        <w:t xml:space="preserve">tabulce.  </w:t>
      </w:r>
    </w:p>
    <w:p w14:paraId="3BB9582B" w14:textId="2A44657F" w:rsidR="00586CDC" w:rsidRDefault="00586CDC" w:rsidP="002A117C">
      <w:pPr>
        <w:pStyle w:val="Titulek"/>
        <w:spacing w:after="40"/>
        <w:ind w:left="1304" w:hanging="1304"/>
      </w:pPr>
      <w:r>
        <w:t>Tabulka č.</w:t>
      </w:r>
      <w:r w:rsidR="00DA31A5">
        <w:t xml:space="preserve"> 1</w:t>
      </w:r>
      <w:r>
        <w:t xml:space="preserve">: </w:t>
      </w:r>
      <w:r w:rsidR="002A117C">
        <w:t xml:space="preserve">Přehled podmíněných závazků </w:t>
      </w:r>
      <w:proofErr w:type="spellStart"/>
      <w:r w:rsidR="002A117C">
        <w:t>MZe</w:t>
      </w:r>
      <w:proofErr w:type="spellEnd"/>
      <w:r w:rsidR="002A117C">
        <w:t xml:space="preserve"> k 31. 12. 2022 (v</w:t>
      </w:r>
      <w:r w:rsidR="005C513C">
        <w:t> </w:t>
      </w:r>
      <w:r w:rsidR="002A117C">
        <w:t>členění dle jednotlivých kategorií)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3005"/>
        <w:gridCol w:w="2268"/>
        <w:gridCol w:w="2802"/>
        <w:gridCol w:w="992"/>
      </w:tblGrid>
      <w:tr w:rsidR="00586CDC" w:rsidRPr="003E0262" w14:paraId="4AB7B9A9" w14:textId="77777777" w:rsidTr="005E1416">
        <w:trPr>
          <w:trHeight w:val="255"/>
          <w:tblHeader/>
          <w:jc w:val="center"/>
        </w:trPr>
        <w:tc>
          <w:tcPr>
            <w:tcW w:w="3005" w:type="dxa"/>
            <w:shd w:val="clear" w:color="auto" w:fill="E5F1FF"/>
            <w:vAlign w:val="center"/>
          </w:tcPr>
          <w:p w14:paraId="50784243" w14:textId="77777777" w:rsidR="00586CDC" w:rsidRPr="003E0262" w:rsidRDefault="00586CDC" w:rsidP="005C513C">
            <w:pPr>
              <w:spacing w:before="20" w:after="20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Kategorie podmíněných závazků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3092D99C" w14:textId="77777777" w:rsidR="00586CDC" w:rsidRPr="003E0262" w:rsidRDefault="00586CDC" w:rsidP="005C513C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Výše zůstatku k 31.</w:t>
            </w:r>
            <w:r w:rsidR="005E1416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12.</w:t>
            </w:r>
            <w:r w:rsidR="005E1416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2022 (v </w:t>
            </w:r>
            <w:r w:rsidR="004071E1"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mil. </w:t>
            </w: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Kč)</w:t>
            </w:r>
          </w:p>
        </w:tc>
        <w:tc>
          <w:tcPr>
            <w:tcW w:w="3794" w:type="dxa"/>
            <w:gridSpan w:val="2"/>
            <w:shd w:val="clear" w:color="auto" w:fill="E5F1FF"/>
            <w:vAlign w:val="center"/>
          </w:tcPr>
          <w:p w14:paraId="0CB30446" w14:textId="77777777" w:rsidR="00586CDC" w:rsidRPr="003E0262" w:rsidRDefault="00586CDC" w:rsidP="005C513C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Podrozvahový účet a jeho zůstatek </w:t>
            </w:r>
            <w:r w:rsidR="003E0262"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(</w:t>
            </w: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v</w:t>
            </w:r>
            <w:r w:rsidR="004071E1"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 mil.</w:t>
            </w:r>
            <w:r w:rsidR="00310275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Kč</w:t>
            </w:r>
            <w:r w:rsidR="003E0262" w:rsidRPr="003E026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586CDC" w:rsidRPr="003E0262" w14:paraId="3AD344BE" w14:textId="77777777" w:rsidTr="005E1416">
        <w:trPr>
          <w:trHeight w:val="255"/>
          <w:jc w:val="center"/>
        </w:trPr>
        <w:tc>
          <w:tcPr>
            <w:tcW w:w="3005" w:type="dxa"/>
            <w:vMerge w:val="restart"/>
            <w:vAlign w:val="center"/>
          </w:tcPr>
          <w:p w14:paraId="055A6622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left"/>
              <w:rPr>
                <w:sz w:val="20"/>
                <w:szCs w:val="20"/>
              </w:rPr>
            </w:pPr>
            <w:r w:rsidRPr="003E0262">
              <w:rPr>
                <w:sz w:val="20"/>
                <w:szCs w:val="20"/>
              </w:rPr>
              <w:t>V podstatě jisté a očekávané</w:t>
            </w:r>
            <w:r w:rsidRPr="003E0262">
              <w:rPr>
                <w:rFonts w:eastAsiaTheme="minorHAnsi" w:cstheme="minorHAnsi"/>
                <w:bCs/>
                <w:sz w:val="20"/>
                <w:szCs w:val="20"/>
              </w:rPr>
              <w:t>*</w:t>
            </w:r>
          </w:p>
        </w:tc>
        <w:tc>
          <w:tcPr>
            <w:tcW w:w="2268" w:type="dxa"/>
            <w:vMerge w:val="restart"/>
            <w:vAlign w:val="center"/>
          </w:tcPr>
          <w:p w14:paraId="780CE2BE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ind w:right="775"/>
              <w:jc w:val="right"/>
              <w:rPr>
                <w:sz w:val="20"/>
                <w:szCs w:val="20"/>
              </w:rPr>
            </w:pPr>
            <w:r w:rsidRPr="003E0262">
              <w:rPr>
                <w:b/>
                <w:sz w:val="20"/>
                <w:szCs w:val="20"/>
              </w:rPr>
              <w:t>21</w:t>
            </w:r>
            <w:r w:rsidR="004071E1" w:rsidRPr="003E0262">
              <w:rPr>
                <w:b/>
                <w:sz w:val="20"/>
                <w:szCs w:val="20"/>
              </w:rPr>
              <w:t>,7</w:t>
            </w:r>
          </w:p>
        </w:tc>
        <w:tc>
          <w:tcPr>
            <w:tcW w:w="2802" w:type="dxa"/>
            <w:vAlign w:val="center"/>
          </w:tcPr>
          <w:p w14:paraId="21637C4D" w14:textId="7D1DC85C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left"/>
              <w:rPr>
                <w:sz w:val="20"/>
                <w:szCs w:val="20"/>
              </w:rPr>
            </w:pPr>
            <w:r w:rsidRPr="003E0262">
              <w:rPr>
                <w:sz w:val="20"/>
                <w:szCs w:val="20"/>
              </w:rPr>
              <w:t xml:space="preserve">973 </w:t>
            </w:r>
            <w:r w:rsidR="002C55C8">
              <w:rPr>
                <w:sz w:val="20"/>
                <w:szCs w:val="20"/>
              </w:rPr>
              <w:t>–</w:t>
            </w:r>
            <w:r w:rsidRPr="003E0262">
              <w:rPr>
                <w:sz w:val="20"/>
                <w:szCs w:val="20"/>
              </w:rPr>
              <w:t xml:space="preserve"> </w:t>
            </w:r>
            <w:r w:rsidRPr="003E0262">
              <w:rPr>
                <w:i/>
                <w:iCs/>
                <w:sz w:val="20"/>
                <w:szCs w:val="20"/>
              </w:rPr>
              <w:t>Krátkodobé podmíněné závazky z jiných smluv</w:t>
            </w:r>
            <w:r w:rsidRPr="003E0262" w:rsidDel="00C93B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0A45165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ind w:right="57"/>
              <w:jc w:val="right"/>
              <w:rPr>
                <w:sz w:val="20"/>
                <w:szCs w:val="20"/>
              </w:rPr>
            </w:pPr>
            <w:r w:rsidRPr="003E0262">
              <w:rPr>
                <w:sz w:val="20"/>
                <w:szCs w:val="20"/>
              </w:rPr>
              <w:t>8</w:t>
            </w:r>
            <w:r w:rsidR="004071E1" w:rsidRPr="003E0262">
              <w:rPr>
                <w:sz w:val="20"/>
                <w:szCs w:val="20"/>
              </w:rPr>
              <w:t>,2</w:t>
            </w:r>
          </w:p>
        </w:tc>
      </w:tr>
      <w:tr w:rsidR="00586CDC" w:rsidRPr="003E0262" w14:paraId="7383E39C" w14:textId="77777777" w:rsidTr="005E1416">
        <w:trPr>
          <w:trHeight w:val="255"/>
          <w:jc w:val="center"/>
        </w:trPr>
        <w:tc>
          <w:tcPr>
            <w:tcW w:w="3005" w:type="dxa"/>
            <w:vMerge/>
            <w:vAlign w:val="center"/>
          </w:tcPr>
          <w:p w14:paraId="5600F794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26C3CD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ind w:right="775"/>
              <w:jc w:val="right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303283EA" w14:textId="7A9C78BD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left"/>
              <w:rPr>
                <w:sz w:val="20"/>
                <w:szCs w:val="20"/>
              </w:rPr>
            </w:pPr>
            <w:r w:rsidRPr="003E0262">
              <w:rPr>
                <w:sz w:val="20"/>
                <w:szCs w:val="20"/>
              </w:rPr>
              <w:t xml:space="preserve">974 </w:t>
            </w:r>
            <w:r w:rsidR="002C55C8">
              <w:rPr>
                <w:sz w:val="20"/>
                <w:szCs w:val="20"/>
              </w:rPr>
              <w:t>–</w:t>
            </w:r>
            <w:r w:rsidRPr="003E0262">
              <w:rPr>
                <w:sz w:val="20"/>
                <w:szCs w:val="20"/>
              </w:rPr>
              <w:t xml:space="preserve"> </w:t>
            </w:r>
            <w:r w:rsidRPr="003E0262">
              <w:rPr>
                <w:i/>
                <w:iCs/>
                <w:sz w:val="20"/>
                <w:szCs w:val="20"/>
              </w:rPr>
              <w:t>Dlouhodobé podmíněné závazky z jiných smluv</w:t>
            </w:r>
            <w:r w:rsidRPr="003E0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CFB65FA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ind w:right="57"/>
              <w:jc w:val="right"/>
              <w:rPr>
                <w:sz w:val="20"/>
                <w:szCs w:val="20"/>
              </w:rPr>
            </w:pPr>
            <w:r w:rsidRPr="003E0262">
              <w:rPr>
                <w:sz w:val="20"/>
                <w:szCs w:val="20"/>
              </w:rPr>
              <w:t>13</w:t>
            </w:r>
            <w:r w:rsidR="004071E1" w:rsidRPr="003E0262">
              <w:rPr>
                <w:sz w:val="20"/>
                <w:szCs w:val="20"/>
              </w:rPr>
              <w:t>,</w:t>
            </w:r>
            <w:r w:rsidR="006633B5">
              <w:rPr>
                <w:sz w:val="20"/>
                <w:szCs w:val="20"/>
              </w:rPr>
              <w:t>5</w:t>
            </w:r>
          </w:p>
        </w:tc>
      </w:tr>
      <w:tr w:rsidR="00586CDC" w:rsidRPr="003E0262" w14:paraId="79B9B797" w14:textId="77777777" w:rsidTr="005E1416">
        <w:trPr>
          <w:trHeight w:val="255"/>
          <w:jc w:val="center"/>
        </w:trPr>
        <w:tc>
          <w:tcPr>
            <w:tcW w:w="3005" w:type="dxa"/>
            <w:vAlign w:val="center"/>
          </w:tcPr>
          <w:p w14:paraId="25BFD5EE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left"/>
              <w:rPr>
                <w:sz w:val="20"/>
                <w:szCs w:val="20"/>
              </w:rPr>
            </w:pPr>
            <w:r w:rsidRPr="003E0262">
              <w:rPr>
                <w:sz w:val="20"/>
                <w:szCs w:val="20"/>
              </w:rPr>
              <w:t>Podmíněné specifickým rizikem</w:t>
            </w:r>
            <w:r w:rsidRPr="003E0262">
              <w:rPr>
                <w:rFonts w:eastAsiaTheme="minorHAnsi" w:cstheme="minorHAnsi"/>
                <w:bCs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4B7EC17C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ind w:right="775"/>
              <w:jc w:val="right"/>
              <w:rPr>
                <w:b/>
                <w:sz w:val="20"/>
                <w:szCs w:val="20"/>
              </w:rPr>
            </w:pPr>
            <w:r w:rsidRPr="003E02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794" w:type="dxa"/>
            <w:gridSpan w:val="2"/>
            <w:vAlign w:val="center"/>
          </w:tcPr>
          <w:p w14:paraId="58D18A76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586CDC" w:rsidRPr="003E0262" w14:paraId="2E5506DE" w14:textId="77777777" w:rsidTr="005E1416">
        <w:trPr>
          <w:trHeight w:val="255"/>
          <w:jc w:val="center"/>
        </w:trPr>
        <w:tc>
          <w:tcPr>
            <w:tcW w:w="3005" w:type="dxa"/>
            <w:vAlign w:val="center"/>
          </w:tcPr>
          <w:p w14:paraId="64C51D2E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left"/>
              <w:rPr>
                <w:sz w:val="20"/>
                <w:szCs w:val="20"/>
              </w:rPr>
            </w:pPr>
            <w:r w:rsidRPr="003E0262">
              <w:rPr>
                <w:sz w:val="20"/>
                <w:szCs w:val="20"/>
              </w:rPr>
              <w:t>Nejisté, neočekávané k plnění</w:t>
            </w:r>
            <w:r w:rsidRPr="003E0262">
              <w:rPr>
                <w:rFonts w:eastAsiaTheme="minorHAnsi" w:cstheme="minorHAnsi"/>
                <w:bCs/>
                <w:sz w:val="20"/>
                <w:szCs w:val="20"/>
              </w:rPr>
              <w:t>***</w:t>
            </w:r>
          </w:p>
        </w:tc>
        <w:tc>
          <w:tcPr>
            <w:tcW w:w="2268" w:type="dxa"/>
            <w:vAlign w:val="center"/>
          </w:tcPr>
          <w:p w14:paraId="78FD5B54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ind w:right="775"/>
              <w:jc w:val="right"/>
              <w:rPr>
                <w:b/>
                <w:sz w:val="20"/>
                <w:szCs w:val="20"/>
              </w:rPr>
            </w:pPr>
            <w:r w:rsidRPr="003E02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794" w:type="dxa"/>
            <w:gridSpan w:val="2"/>
            <w:vAlign w:val="center"/>
          </w:tcPr>
          <w:p w14:paraId="2AA59BC1" w14:textId="77777777" w:rsidR="00586CDC" w:rsidRPr="003E0262" w:rsidRDefault="00586CDC" w:rsidP="005C513C">
            <w:pPr>
              <w:pStyle w:val="odrka"/>
              <w:numPr>
                <w:ilvl w:val="0"/>
                <w:numId w:val="0"/>
              </w:numPr>
              <w:spacing w:before="20" w:after="2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0EF53EA1" w14:textId="5FD0ECA9" w:rsidR="00586CDC" w:rsidRDefault="00586CDC" w:rsidP="005E1416">
      <w:pPr>
        <w:spacing w:before="40" w:after="0"/>
        <w:rPr>
          <w:rFonts w:asciiTheme="minorHAnsi" w:eastAsiaTheme="minorHAnsi" w:hAnsiTheme="minorHAnsi" w:cs="Calibri"/>
          <w:bCs/>
          <w:sz w:val="20"/>
          <w:szCs w:val="20"/>
        </w:rPr>
      </w:pPr>
      <w:r w:rsidRPr="00D40705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>ýpočet provedl NKÚ na základě dat získaných kontrolou</w:t>
      </w:r>
      <w:r>
        <w:rPr>
          <w:rFonts w:asciiTheme="minorHAnsi" w:eastAsiaTheme="minorHAnsi" w:hAnsiTheme="minorHAnsi" w:cs="Calibri"/>
          <w:bCs/>
          <w:sz w:val="20"/>
          <w:szCs w:val="20"/>
        </w:rPr>
        <w:t>; členění</w:t>
      </w:r>
      <w:r w:rsidR="002C55C8">
        <w:rPr>
          <w:rFonts w:asciiTheme="minorHAnsi" w:eastAsiaTheme="minorHAnsi" w:hAnsiTheme="minorHAnsi" w:cs="Calibri"/>
          <w:bCs/>
          <w:sz w:val="20"/>
          <w:szCs w:val="20"/>
        </w:rPr>
        <w:t xml:space="preserve"> vy</w:t>
      </w:r>
      <w:r w:rsidR="009F49B6">
        <w:rPr>
          <w:rFonts w:asciiTheme="minorHAnsi" w:eastAsiaTheme="minorHAnsi" w:hAnsiTheme="minorHAnsi" w:cs="Calibri"/>
          <w:bCs/>
          <w:sz w:val="20"/>
          <w:szCs w:val="20"/>
        </w:rPr>
        <w:t>pracov</w:t>
      </w:r>
      <w:r w:rsidR="002C55C8">
        <w:rPr>
          <w:rFonts w:asciiTheme="minorHAnsi" w:eastAsiaTheme="minorHAnsi" w:hAnsiTheme="minorHAnsi" w:cs="Calibri"/>
          <w:bCs/>
          <w:sz w:val="20"/>
          <w:szCs w:val="20"/>
        </w:rPr>
        <w:t>al NKÚ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>.</w:t>
      </w:r>
    </w:p>
    <w:p w14:paraId="71706101" w14:textId="77777777" w:rsidR="00586CDC" w:rsidRDefault="00586CDC" w:rsidP="00586CDC">
      <w:pPr>
        <w:spacing w:after="0"/>
        <w:rPr>
          <w:rFonts w:asciiTheme="minorHAnsi" w:eastAsiaTheme="minorHAnsi" w:hAnsiTheme="minorHAnsi" w:cs="Calibri"/>
          <w:bCs/>
          <w:sz w:val="20"/>
          <w:szCs w:val="20"/>
        </w:rPr>
      </w:pPr>
      <w:r w:rsidRPr="0086791D">
        <w:rPr>
          <w:rFonts w:asciiTheme="minorHAnsi" w:eastAsiaTheme="minorHAnsi" w:hAnsiTheme="minorHAnsi" w:cs="Calibri"/>
          <w:b/>
          <w:sz w:val="20"/>
          <w:szCs w:val="20"/>
        </w:rPr>
        <w:t>Poznámka:</w:t>
      </w:r>
      <w:r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</w:p>
    <w:p w14:paraId="7F465E3E" w14:textId="30C1EAA4" w:rsidR="00586CDC" w:rsidRPr="00676BF0" w:rsidRDefault="00586CDC" w:rsidP="005E1416">
      <w:pPr>
        <w:spacing w:after="0"/>
        <w:ind w:left="426" w:hanging="426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>*</w:t>
      </w:r>
      <w:r w:rsidRPr="00676BF0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5E1416">
        <w:rPr>
          <w:rFonts w:asciiTheme="minorHAnsi" w:eastAsiaTheme="minorHAnsi" w:hAnsiTheme="minorHAnsi" w:cs="Calibri"/>
          <w:bCs/>
          <w:sz w:val="20"/>
          <w:szCs w:val="20"/>
        </w:rPr>
        <w:tab/>
      </w:r>
      <w:r w:rsidR="002C55C8">
        <w:rPr>
          <w:rFonts w:asciiTheme="minorHAnsi" w:eastAsiaTheme="minorHAnsi" w:hAnsiTheme="minorHAnsi" w:cs="Calibri"/>
          <w:bCs/>
          <w:sz w:val="20"/>
          <w:szCs w:val="20"/>
        </w:rPr>
        <w:t>N</w:t>
      </w:r>
      <w:r w:rsidRPr="00676BF0">
        <w:rPr>
          <w:rFonts w:asciiTheme="minorHAnsi" w:eastAsiaTheme="minorHAnsi" w:hAnsiTheme="minorHAnsi" w:cs="Calibri"/>
          <w:bCs/>
          <w:sz w:val="20"/>
          <w:szCs w:val="20"/>
        </w:rPr>
        <w:t>apř. závazky ze smluv na pořízení majetku, na služby; výplata dotací dle vydaných rozhodnutí</w:t>
      </w:r>
      <w:r w:rsidR="005C3870">
        <w:rPr>
          <w:rFonts w:asciiTheme="minorHAnsi" w:eastAsiaTheme="minorHAnsi" w:hAnsiTheme="minorHAnsi" w:cs="Calibri"/>
          <w:bCs/>
          <w:sz w:val="20"/>
          <w:szCs w:val="20"/>
        </w:rPr>
        <w:t>.</w:t>
      </w:r>
    </w:p>
    <w:p w14:paraId="499A6C88" w14:textId="6A39A081" w:rsidR="00586CDC" w:rsidRPr="00676BF0" w:rsidRDefault="00586CDC" w:rsidP="005E1416">
      <w:pPr>
        <w:spacing w:after="0"/>
        <w:ind w:left="426" w:hanging="426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>**</w:t>
      </w:r>
      <w:r w:rsidRPr="00676BF0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5E1416">
        <w:rPr>
          <w:rFonts w:asciiTheme="minorHAnsi" w:eastAsiaTheme="minorHAnsi" w:hAnsiTheme="minorHAnsi" w:cs="Calibri"/>
          <w:bCs/>
          <w:sz w:val="20"/>
          <w:szCs w:val="20"/>
        </w:rPr>
        <w:tab/>
      </w:r>
      <w:r w:rsidR="005C3870">
        <w:rPr>
          <w:rFonts w:asciiTheme="minorHAnsi" w:eastAsiaTheme="minorHAnsi" w:hAnsiTheme="minorHAnsi" w:cs="Calibri"/>
          <w:bCs/>
          <w:sz w:val="20"/>
          <w:szCs w:val="20"/>
        </w:rPr>
        <w:t>R</w:t>
      </w:r>
      <w:r>
        <w:rPr>
          <w:rFonts w:asciiTheme="minorHAnsi" w:eastAsiaTheme="minorHAnsi" w:hAnsiTheme="minorHAnsi" w:cs="Calibri"/>
          <w:bCs/>
          <w:sz w:val="20"/>
          <w:szCs w:val="20"/>
        </w:rPr>
        <w:t>iziko</w:t>
      </w:r>
      <w:r w:rsidRPr="00676BF0">
        <w:rPr>
          <w:rFonts w:asciiTheme="minorHAnsi" w:eastAsiaTheme="minorHAnsi" w:hAnsiTheme="minorHAnsi" w:cs="Calibri"/>
          <w:bCs/>
          <w:sz w:val="20"/>
          <w:szCs w:val="20"/>
        </w:rPr>
        <w:t xml:space="preserve"> není plně pod kontrolou účetní jednotky </w:t>
      </w:r>
      <w:r w:rsidR="005C3870">
        <w:rPr>
          <w:rFonts w:asciiTheme="minorHAnsi" w:eastAsiaTheme="minorHAnsi" w:hAnsiTheme="minorHAnsi" w:cs="Calibri"/>
          <w:bCs/>
          <w:sz w:val="20"/>
          <w:szCs w:val="20"/>
        </w:rPr>
        <w:t>–</w:t>
      </w:r>
      <w:r w:rsidRPr="00676BF0">
        <w:rPr>
          <w:rFonts w:asciiTheme="minorHAnsi" w:eastAsiaTheme="minorHAnsi" w:hAnsiTheme="minorHAnsi" w:cs="Calibri"/>
          <w:bCs/>
          <w:sz w:val="20"/>
          <w:szCs w:val="20"/>
        </w:rPr>
        <w:t xml:space="preserve"> např. soudní spory, záruky</w:t>
      </w:r>
      <w:r w:rsidR="005C3870">
        <w:rPr>
          <w:rFonts w:asciiTheme="minorHAnsi" w:eastAsiaTheme="minorHAnsi" w:hAnsiTheme="minorHAnsi" w:cs="Calibri"/>
          <w:bCs/>
          <w:sz w:val="20"/>
          <w:szCs w:val="20"/>
        </w:rPr>
        <w:t>.</w:t>
      </w:r>
    </w:p>
    <w:p w14:paraId="4442688F" w14:textId="3FCF6ED9" w:rsidR="00586CDC" w:rsidRDefault="00586CDC" w:rsidP="005E1416">
      <w:pPr>
        <w:spacing w:after="0"/>
        <w:ind w:left="426" w:hanging="426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>***</w:t>
      </w:r>
      <w:r w:rsidRPr="00676BF0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5E1416">
        <w:rPr>
          <w:rFonts w:asciiTheme="minorHAnsi" w:eastAsiaTheme="minorHAnsi" w:hAnsiTheme="minorHAnsi" w:cs="Calibri"/>
          <w:bCs/>
          <w:sz w:val="20"/>
          <w:szCs w:val="20"/>
        </w:rPr>
        <w:tab/>
      </w:r>
      <w:r w:rsidR="005C3870">
        <w:rPr>
          <w:rFonts w:asciiTheme="minorHAnsi" w:eastAsiaTheme="minorHAnsi" w:hAnsiTheme="minorHAnsi" w:cs="Calibri"/>
          <w:bCs/>
          <w:sz w:val="20"/>
          <w:szCs w:val="20"/>
        </w:rPr>
        <w:t>N</w:t>
      </w:r>
      <w:r w:rsidRPr="00676BF0">
        <w:rPr>
          <w:rFonts w:asciiTheme="minorHAnsi" w:eastAsiaTheme="minorHAnsi" w:hAnsiTheme="minorHAnsi" w:cs="Calibri"/>
          <w:bCs/>
          <w:sz w:val="20"/>
          <w:szCs w:val="20"/>
        </w:rPr>
        <w:t>apř. podmíněné závazky z možné škody, která by nastala, pokud by se zcela nebo zčásti zničil vypůjčený majetek.</w:t>
      </w:r>
    </w:p>
    <w:p w14:paraId="42B216E8" w14:textId="77777777" w:rsidR="00436C5C" w:rsidRDefault="00436C5C">
      <w:pPr>
        <w:spacing w:after="160" w:line="259" w:lineRule="auto"/>
        <w:rPr>
          <w:rFonts w:asciiTheme="minorHAnsi" w:hAnsiTheme="minorHAnsi" w:cs="Calibri"/>
          <w:szCs w:val="22"/>
        </w:rPr>
      </w:pPr>
      <w:r>
        <w:br w:type="page"/>
      </w:r>
    </w:p>
    <w:p w14:paraId="45259DC5" w14:textId="77777777" w:rsidR="00586CDC" w:rsidRPr="009D3908" w:rsidRDefault="00586CDC" w:rsidP="005E1416">
      <w:pPr>
        <w:pStyle w:val="odrka"/>
        <w:keepNext/>
        <w:numPr>
          <w:ilvl w:val="0"/>
          <w:numId w:val="0"/>
        </w:numPr>
        <w:spacing w:before="240" w:after="120" w:line="240" w:lineRule="auto"/>
        <w:rPr>
          <w:sz w:val="24"/>
        </w:rPr>
      </w:pPr>
      <w:r w:rsidRPr="009D3908">
        <w:rPr>
          <w:sz w:val="24"/>
        </w:rPr>
        <w:lastRenderedPageBreak/>
        <w:t xml:space="preserve">SÚJB </w:t>
      </w:r>
      <w:r>
        <w:rPr>
          <w:sz w:val="24"/>
        </w:rPr>
        <w:t xml:space="preserve">přistupuje </w:t>
      </w:r>
      <w:r w:rsidRPr="009D3908">
        <w:rPr>
          <w:sz w:val="24"/>
        </w:rPr>
        <w:t>k</w:t>
      </w:r>
      <w:r>
        <w:rPr>
          <w:sz w:val="24"/>
        </w:rPr>
        <w:t>e</w:t>
      </w:r>
      <w:r w:rsidRPr="009D3908">
        <w:rPr>
          <w:sz w:val="24"/>
        </w:rPr>
        <w:t xml:space="preserve"> </w:t>
      </w:r>
      <w:r>
        <w:rPr>
          <w:sz w:val="24"/>
        </w:rPr>
        <w:t>k</w:t>
      </w:r>
      <w:r w:rsidRPr="009D3908">
        <w:rPr>
          <w:sz w:val="24"/>
        </w:rPr>
        <w:t xml:space="preserve">líčovým oblastem </w:t>
      </w:r>
      <w:r>
        <w:rPr>
          <w:sz w:val="24"/>
        </w:rPr>
        <w:t xml:space="preserve">týkajícím </w:t>
      </w:r>
      <w:r w:rsidRPr="009D3908">
        <w:rPr>
          <w:sz w:val="24"/>
        </w:rPr>
        <w:t xml:space="preserve">se </w:t>
      </w:r>
      <w:r>
        <w:rPr>
          <w:sz w:val="24"/>
        </w:rPr>
        <w:t>vykazování</w:t>
      </w:r>
      <w:r w:rsidRPr="009D3908">
        <w:rPr>
          <w:sz w:val="24"/>
        </w:rPr>
        <w:t xml:space="preserve"> na podrozvaze</w:t>
      </w:r>
      <w:r>
        <w:rPr>
          <w:sz w:val="24"/>
        </w:rPr>
        <w:t xml:space="preserve"> následovně</w:t>
      </w:r>
      <w:r w:rsidRPr="009D3908">
        <w:rPr>
          <w:sz w:val="24"/>
        </w:rPr>
        <w:t>:</w:t>
      </w:r>
    </w:p>
    <w:p w14:paraId="4F226016" w14:textId="77777777" w:rsidR="00586CDC" w:rsidRPr="00310275" w:rsidRDefault="00310275" w:rsidP="00310275">
      <w:pPr>
        <w:pStyle w:val="odrka"/>
        <w:keepNext/>
        <w:numPr>
          <w:ilvl w:val="0"/>
          <w:numId w:val="0"/>
        </w:numPr>
        <w:spacing w:before="240" w:after="120"/>
        <w:rPr>
          <w:b/>
          <w:sz w:val="24"/>
        </w:rPr>
      </w:pPr>
      <w:r>
        <w:rPr>
          <w:b/>
          <w:sz w:val="24"/>
        </w:rPr>
        <w:t xml:space="preserve">1. </w:t>
      </w:r>
      <w:r w:rsidR="00586CDC" w:rsidRPr="00310275">
        <w:rPr>
          <w:b/>
          <w:sz w:val="24"/>
        </w:rPr>
        <w:t>Významnost</w:t>
      </w:r>
    </w:p>
    <w:p w14:paraId="74CD1DCE" w14:textId="04FFAF4D" w:rsidR="00586CDC" w:rsidRDefault="00586CDC" w:rsidP="00586CDC">
      <w:pPr>
        <w:pStyle w:val="odrka"/>
        <w:numPr>
          <w:ilvl w:val="0"/>
          <w:numId w:val="0"/>
        </w:numPr>
        <w:spacing w:after="120" w:line="240" w:lineRule="auto"/>
        <w:rPr>
          <w:sz w:val="24"/>
          <w:szCs w:val="24"/>
        </w:rPr>
      </w:pPr>
      <w:r w:rsidRPr="00601F9B">
        <w:rPr>
          <w:sz w:val="24"/>
          <w:szCs w:val="24"/>
        </w:rPr>
        <w:t xml:space="preserve">SÚJB </w:t>
      </w:r>
      <w:r>
        <w:rPr>
          <w:sz w:val="24"/>
          <w:szCs w:val="24"/>
        </w:rPr>
        <w:t xml:space="preserve">si </w:t>
      </w:r>
      <w:r w:rsidRPr="00601F9B">
        <w:rPr>
          <w:sz w:val="24"/>
          <w:szCs w:val="24"/>
        </w:rPr>
        <w:t>stanovil hladinu významnosti pro účtování</w:t>
      </w:r>
      <w:r>
        <w:rPr>
          <w:sz w:val="24"/>
          <w:szCs w:val="24"/>
        </w:rPr>
        <w:t xml:space="preserve"> o podmíněných závazcích z jiných smluv</w:t>
      </w:r>
      <w:r w:rsidRPr="00601F9B">
        <w:rPr>
          <w:sz w:val="24"/>
          <w:szCs w:val="24"/>
        </w:rPr>
        <w:t xml:space="preserve"> ve</w:t>
      </w:r>
      <w:r>
        <w:rPr>
          <w:sz w:val="24"/>
          <w:szCs w:val="24"/>
        </w:rPr>
        <w:t> </w:t>
      </w:r>
      <w:r w:rsidRPr="00601F9B">
        <w:rPr>
          <w:sz w:val="24"/>
          <w:szCs w:val="24"/>
        </w:rPr>
        <w:t xml:space="preserve">výši </w:t>
      </w:r>
      <w:r>
        <w:rPr>
          <w:sz w:val="24"/>
          <w:szCs w:val="24"/>
        </w:rPr>
        <w:t>1 mil.</w:t>
      </w:r>
      <w:r w:rsidRPr="00601F9B">
        <w:rPr>
          <w:sz w:val="24"/>
          <w:szCs w:val="24"/>
        </w:rPr>
        <w:t xml:space="preserve"> Kč. Tuto informaci uvedl </w:t>
      </w:r>
      <w:r>
        <w:rPr>
          <w:sz w:val="24"/>
          <w:szCs w:val="24"/>
        </w:rPr>
        <w:t>i v</w:t>
      </w:r>
      <w:r w:rsidRPr="00601F9B">
        <w:rPr>
          <w:sz w:val="24"/>
          <w:szCs w:val="24"/>
        </w:rPr>
        <w:t xml:space="preserve"> </w:t>
      </w:r>
      <w:r w:rsidR="005C3870">
        <w:rPr>
          <w:sz w:val="24"/>
          <w:szCs w:val="24"/>
        </w:rPr>
        <w:t>p</w:t>
      </w:r>
      <w:r w:rsidRPr="00601F9B">
        <w:rPr>
          <w:sz w:val="24"/>
          <w:szCs w:val="24"/>
        </w:rPr>
        <w:t>řílo</w:t>
      </w:r>
      <w:r>
        <w:rPr>
          <w:sz w:val="24"/>
          <w:szCs w:val="24"/>
        </w:rPr>
        <w:t>ze</w:t>
      </w:r>
      <w:r w:rsidRPr="00601F9B">
        <w:rPr>
          <w:sz w:val="24"/>
          <w:szCs w:val="24"/>
        </w:rPr>
        <w:t xml:space="preserve"> ÚZ. </w:t>
      </w:r>
      <w:r>
        <w:rPr>
          <w:sz w:val="24"/>
          <w:szCs w:val="24"/>
        </w:rPr>
        <w:t>Zvolenou výši hladiny významnosti SÚJB bude pravidelně vyhodnocovat a případně aktualizovat. Dále bude posuzovat opodstatněnost hladiny významnosti i pro další potenciální případy podmíněných závazků a pohledávek.</w:t>
      </w:r>
    </w:p>
    <w:p w14:paraId="7BFD64AA" w14:textId="5FF4CC1A" w:rsidR="00586CDC" w:rsidRPr="00310275" w:rsidRDefault="00586CDC" w:rsidP="005C3870">
      <w:pPr>
        <w:pStyle w:val="odrka"/>
        <w:keepNext/>
        <w:numPr>
          <w:ilvl w:val="0"/>
          <w:numId w:val="0"/>
        </w:numPr>
        <w:spacing w:before="240" w:after="120" w:line="240" w:lineRule="auto"/>
        <w:rPr>
          <w:b/>
          <w:sz w:val="24"/>
          <w:szCs w:val="24"/>
        </w:rPr>
      </w:pPr>
      <w:r w:rsidRPr="00310275">
        <w:rPr>
          <w:b/>
          <w:sz w:val="24"/>
          <w:szCs w:val="24"/>
        </w:rPr>
        <w:t>Pohled na krátkodobost/dlouhodobost podmíněných závazků</w:t>
      </w:r>
    </w:p>
    <w:p w14:paraId="430BBF46" w14:textId="77777777" w:rsidR="00586CDC" w:rsidRDefault="00586CDC" w:rsidP="005C3870">
      <w:pPr>
        <w:pStyle w:val="odrka"/>
        <w:numPr>
          <w:ilvl w:val="0"/>
          <w:numId w:val="0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 roku 2023 bude </w:t>
      </w:r>
      <w:r w:rsidRPr="00601F9B">
        <w:rPr>
          <w:sz w:val="24"/>
          <w:szCs w:val="24"/>
        </w:rPr>
        <w:t>S</w:t>
      </w:r>
      <w:r>
        <w:rPr>
          <w:sz w:val="24"/>
          <w:szCs w:val="24"/>
        </w:rPr>
        <w:t>Ú</w:t>
      </w:r>
      <w:r w:rsidRPr="00601F9B">
        <w:rPr>
          <w:sz w:val="24"/>
          <w:szCs w:val="24"/>
        </w:rPr>
        <w:t>JB podmíněné závazky k rozvahové</w:t>
      </w:r>
      <w:r>
        <w:rPr>
          <w:sz w:val="24"/>
          <w:szCs w:val="24"/>
        </w:rPr>
        <w:t>mu</w:t>
      </w:r>
      <w:r w:rsidRPr="00601F9B">
        <w:rPr>
          <w:sz w:val="24"/>
          <w:szCs w:val="24"/>
        </w:rPr>
        <w:t xml:space="preserve"> dni přetřiďovat z dlouhodobých na</w:t>
      </w:r>
      <w:r w:rsidR="005C3870">
        <w:rPr>
          <w:sz w:val="24"/>
          <w:szCs w:val="24"/>
        </w:rPr>
        <w:t xml:space="preserve"> </w:t>
      </w:r>
      <w:r w:rsidRPr="00601F9B">
        <w:rPr>
          <w:sz w:val="24"/>
          <w:szCs w:val="24"/>
        </w:rPr>
        <w:t>krátkodobé za účelem úpravy ocenění k rozvahovému dni ve smyslu § 72 vyhlášky č.</w:t>
      </w:r>
      <w:r>
        <w:rPr>
          <w:sz w:val="24"/>
          <w:szCs w:val="24"/>
        </w:rPr>
        <w:t> </w:t>
      </w:r>
      <w:r w:rsidRPr="00601F9B">
        <w:rPr>
          <w:sz w:val="24"/>
          <w:szCs w:val="24"/>
        </w:rPr>
        <w:t>410/2009 Sb.</w:t>
      </w:r>
      <w:r>
        <w:rPr>
          <w:sz w:val="24"/>
          <w:szCs w:val="24"/>
        </w:rPr>
        <w:t xml:space="preserve"> Danou skutečnost SÚJB upraví </w:t>
      </w:r>
      <w:r w:rsidRPr="00601F9B">
        <w:rPr>
          <w:sz w:val="24"/>
          <w:szCs w:val="24"/>
        </w:rPr>
        <w:t>v</w:t>
      </w:r>
      <w:r>
        <w:rPr>
          <w:sz w:val="24"/>
          <w:szCs w:val="24"/>
        </w:rPr>
        <w:t>e svém vnitřním předpisu.</w:t>
      </w:r>
    </w:p>
    <w:p w14:paraId="34B5C176" w14:textId="77777777" w:rsidR="00586CDC" w:rsidRPr="005E1416" w:rsidRDefault="00310275" w:rsidP="005C3870">
      <w:pPr>
        <w:pStyle w:val="odrka"/>
        <w:keepNext/>
        <w:numPr>
          <w:ilvl w:val="0"/>
          <w:numId w:val="0"/>
        </w:num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86CDC" w:rsidRPr="005E1416">
        <w:rPr>
          <w:b/>
          <w:sz w:val="24"/>
          <w:szCs w:val="24"/>
        </w:rPr>
        <w:t>Ocenění</w:t>
      </w:r>
    </w:p>
    <w:p w14:paraId="3BCBAE53" w14:textId="4D46E4F3" w:rsidR="00586CDC" w:rsidRPr="00601F9B" w:rsidRDefault="00586CDC" w:rsidP="005C3870">
      <w:pPr>
        <w:pStyle w:val="odrka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601F9B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601F9B">
        <w:rPr>
          <w:color w:val="000000"/>
          <w:sz w:val="24"/>
          <w:szCs w:val="24"/>
        </w:rPr>
        <w:t>případě</w:t>
      </w:r>
      <w:r>
        <w:rPr>
          <w:color w:val="000000"/>
          <w:sz w:val="24"/>
          <w:szCs w:val="24"/>
        </w:rPr>
        <w:t xml:space="preserve"> dlouhodobých </w:t>
      </w:r>
      <w:r w:rsidR="00DA31A5">
        <w:rPr>
          <w:color w:val="000000"/>
          <w:sz w:val="24"/>
          <w:szCs w:val="24"/>
        </w:rPr>
        <w:t xml:space="preserve">podmíněných závazků </w:t>
      </w:r>
      <w:r>
        <w:rPr>
          <w:color w:val="000000"/>
          <w:sz w:val="24"/>
          <w:szCs w:val="24"/>
        </w:rPr>
        <w:t>z jiných smluv</w:t>
      </w:r>
      <w:r w:rsidRPr="00601F9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z nichž přímo</w:t>
      </w:r>
      <w:r w:rsidRPr="00601F9B">
        <w:rPr>
          <w:color w:val="000000"/>
          <w:sz w:val="24"/>
          <w:szCs w:val="24"/>
        </w:rPr>
        <w:t xml:space="preserve"> nevyplývá, po</w:t>
      </w:r>
      <w:r w:rsidR="00DD25AF">
        <w:rPr>
          <w:color w:val="000000"/>
          <w:sz w:val="24"/>
          <w:szCs w:val="24"/>
        </w:rPr>
        <w:t> </w:t>
      </w:r>
      <w:r w:rsidRPr="00601F9B">
        <w:rPr>
          <w:color w:val="000000"/>
          <w:sz w:val="24"/>
          <w:szCs w:val="24"/>
        </w:rPr>
        <w:t xml:space="preserve">jakou dobu bude plnění poskytováno, </w:t>
      </w:r>
      <w:r w:rsidR="00FC7323">
        <w:rPr>
          <w:color w:val="000000"/>
          <w:sz w:val="24"/>
          <w:szCs w:val="24"/>
        </w:rPr>
        <w:t>se v roce 2022 SÚJB řídil částkou plnění dané smlouvy uvedenou a zveřejněnou v registru smluv</w:t>
      </w:r>
      <w:r w:rsidR="00DA31A5">
        <w:rPr>
          <w:color w:val="000000"/>
          <w:sz w:val="24"/>
          <w:szCs w:val="24"/>
        </w:rPr>
        <w:t>.</w:t>
      </w:r>
      <w:r w:rsidR="00FC7323" w:rsidRPr="00601F9B" w:rsidDel="00FC7323">
        <w:rPr>
          <w:color w:val="000000"/>
          <w:sz w:val="24"/>
          <w:szCs w:val="24"/>
        </w:rPr>
        <w:t xml:space="preserve"> </w:t>
      </w:r>
      <w:r w:rsidR="005C3870">
        <w:rPr>
          <w:color w:val="000000"/>
          <w:sz w:val="24"/>
          <w:szCs w:val="24"/>
        </w:rPr>
        <w:t>Na konci</w:t>
      </w:r>
      <w:r w:rsidRPr="00601F9B">
        <w:rPr>
          <w:color w:val="000000"/>
          <w:sz w:val="24"/>
          <w:szCs w:val="24"/>
        </w:rPr>
        <w:t xml:space="preserve"> roku 2023 SÚJB </w:t>
      </w:r>
      <w:r>
        <w:rPr>
          <w:color w:val="000000"/>
          <w:sz w:val="24"/>
          <w:szCs w:val="24"/>
        </w:rPr>
        <w:t>tento přístup k</w:t>
      </w:r>
      <w:r w:rsidR="00DD25A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ocenění </w:t>
      </w:r>
      <w:r w:rsidRPr="00601F9B">
        <w:rPr>
          <w:color w:val="000000"/>
          <w:sz w:val="24"/>
          <w:szCs w:val="24"/>
        </w:rPr>
        <w:t>vyhodnotí</w:t>
      </w:r>
      <w:r>
        <w:rPr>
          <w:color w:val="000000"/>
          <w:sz w:val="24"/>
          <w:szCs w:val="24"/>
        </w:rPr>
        <w:t>, popř.</w:t>
      </w:r>
      <w:r w:rsidRPr="00601F9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provede potřebné změny.</w:t>
      </w:r>
      <w:bookmarkEnd w:id="9"/>
    </w:p>
    <w:sectPr w:rsidR="00586CDC" w:rsidRPr="00601F9B" w:rsidSect="00BE2CC5">
      <w:headerReference w:type="default" r:id="rId3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97CF" w14:textId="77777777" w:rsidR="00D44A16" w:rsidRDefault="00D44A16">
      <w:pPr>
        <w:spacing w:after="0"/>
      </w:pPr>
      <w:r>
        <w:separator/>
      </w:r>
    </w:p>
  </w:endnote>
  <w:endnote w:type="continuationSeparator" w:id="0">
    <w:p w14:paraId="2113CC60" w14:textId="77777777" w:rsidR="00D44A16" w:rsidRDefault="00D44A16">
      <w:pPr>
        <w:spacing w:after="0"/>
      </w:pPr>
      <w:r>
        <w:continuationSeparator/>
      </w:r>
    </w:p>
  </w:endnote>
  <w:endnote w:type="continuationNotice" w:id="1">
    <w:p w14:paraId="474A8B1A" w14:textId="77777777" w:rsidR="00D44A16" w:rsidRDefault="00D44A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EndPr/>
    <w:sdtContent>
      <w:p w14:paraId="2D842395" w14:textId="77777777" w:rsidR="00D44A16" w:rsidRDefault="00D44A16" w:rsidP="00BF14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6BAD5" w14:textId="77777777" w:rsidR="00D44A16" w:rsidRDefault="00D44A16" w:rsidP="002B7978">
      <w:pPr>
        <w:spacing w:after="0"/>
      </w:pPr>
      <w:r>
        <w:separator/>
      </w:r>
    </w:p>
  </w:footnote>
  <w:footnote w:type="continuationSeparator" w:id="0">
    <w:p w14:paraId="1C61641A" w14:textId="77777777" w:rsidR="00D44A16" w:rsidRDefault="00D44A16" w:rsidP="002B7978">
      <w:pPr>
        <w:spacing w:after="0"/>
      </w:pPr>
      <w:r>
        <w:continuationSeparator/>
      </w:r>
    </w:p>
  </w:footnote>
  <w:footnote w:type="continuationNotice" w:id="1">
    <w:p w14:paraId="347CEF9A" w14:textId="77777777" w:rsidR="00D44A16" w:rsidRDefault="00D44A16">
      <w:pPr>
        <w:spacing w:after="0"/>
      </w:pPr>
    </w:p>
  </w:footnote>
  <w:footnote w:id="2">
    <w:p w14:paraId="424540EB" w14:textId="77777777" w:rsidR="00D44A16" w:rsidRPr="00BF14F7" w:rsidRDefault="00D44A16" w:rsidP="00BF39B1">
      <w:pPr>
        <w:pStyle w:val="Textpoznpodarou"/>
        <w:ind w:left="284" w:hanging="284"/>
        <w:rPr>
          <w:rStyle w:val="Znakapoznpodarou"/>
          <w:rFonts w:ascii="Calibri" w:hAnsi="Calibri" w:cs="Calibri"/>
        </w:rPr>
      </w:pPr>
      <w:r w:rsidRPr="00BF14F7">
        <w:rPr>
          <w:rStyle w:val="Znakapoznpodarou"/>
          <w:rFonts w:ascii="Calibri" w:hAnsi="Calibri" w:cs="Calibri"/>
        </w:rPr>
        <w:footnoteRef/>
      </w:r>
      <w:r w:rsidRPr="00BF14F7">
        <w:rPr>
          <w:rStyle w:val="Znakapoznpodarou"/>
          <w:rFonts w:ascii="Calibri" w:hAnsi="Calibri" w:cs="Calibri"/>
        </w:rPr>
        <w:t xml:space="preserve"> </w:t>
      </w:r>
      <w:r w:rsidRPr="00BF14F7">
        <w:rPr>
          <w:rFonts w:ascii="Calibri" w:hAnsi="Calibri" w:cs="Calibri"/>
        </w:rPr>
        <w:tab/>
      </w:r>
      <w:r w:rsidRPr="00BF14F7">
        <w:rPr>
          <w:rStyle w:val="Znakapoznpodarou"/>
          <w:rFonts w:ascii="Calibri" w:hAnsi="Calibri" w:cs="Calibri"/>
          <w:i/>
          <w:vertAlign w:val="baseline"/>
        </w:rPr>
        <w:t>Portál MONITOR [online]. Ú</w:t>
      </w:r>
      <w:r w:rsidRPr="00BF14F7">
        <w:rPr>
          <w:rFonts w:ascii="Calibri" w:hAnsi="Calibri" w:cs="Calibri"/>
          <w:i/>
        </w:rPr>
        <w:t>daje výkazů účetní</w:t>
      </w:r>
      <w:r w:rsidRPr="00BF14F7">
        <w:rPr>
          <w:rStyle w:val="Znakapoznpodarou"/>
          <w:rFonts w:ascii="Calibri" w:hAnsi="Calibri" w:cs="Calibri"/>
          <w:i/>
          <w:vertAlign w:val="baseline"/>
        </w:rPr>
        <w:t xml:space="preserve"> závěrk</w:t>
      </w:r>
      <w:r w:rsidRPr="00BF14F7">
        <w:rPr>
          <w:rFonts w:ascii="Calibri" w:hAnsi="Calibri" w:cs="Calibri"/>
          <w:i/>
        </w:rPr>
        <w:t>y</w:t>
      </w:r>
      <w:r w:rsidRPr="00BF14F7">
        <w:rPr>
          <w:rStyle w:val="Znakapoznpodarou"/>
          <w:rFonts w:ascii="Calibri" w:hAnsi="Calibri" w:cs="Calibri"/>
          <w:vertAlign w:val="baseline"/>
        </w:rPr>
        <w:t xml:space="preserve"> [cit. 24.</w:t>
      </w:r>
      <w:r>
        <w:rPr>
          <w:rFonts w:ascii="Calibri" w:hAnsi="Calibri" w:cs="Calibri"/>
        </w:rPr>
        <w:t> </w:t>
      </w:r>
      <w:r w:rsidRPr="00BF14F7">
        <w:rPr>
          <w:rStyle w:val="Znakapoznpodarou"/>
          <w:rFonts w:ascii="Calibri" w:hAnsi="Calibri" w:cs="Calibri"/>
          <w:vertAlign w:val="baseline"/>
        </w:rPr>
        <w:t>5.</w:t>
      </w:r>
      <w:r>
        <w:rPr>
          <w:rFonts w:ascii="Calibri" w:hAnsi="Calibri" w:cs="Calibri"/>
        </w:rPr>
        <w:t> </w:t>
      </w:r>
      <w:r w:rsidRPr="00BF14F7">
        <w:rPr>
          <w:rStyle w:val="Znakapoznpodarou"/>
          <w:rFonts w:ascii="Calibri" w:hAnsi="Calibri" w:cs="Calibri"/>
          <w:vertAlign w:val="baseline"/>
        </w:rPr>
        <w:t xml:space="preserve">2023]. Dostupné z: </w:t>
      </w:r>
      <w:hyperlink r:id="rId1" w:history="1">
        <w:r w:rsidRPr="00DB0FC6">
          <w:rPr>
            <w:rStyle w:val="Hypertextovodkaz"/>
            <w:rFonts w:ascii="Calibri" w:hAnsi="Calibri" w:cs="Calibri"/>
          </w:rPr>
          <w:t>https://monitor.statnipokladna.cz/ucetni-jednotka/48136069/ucetni-zaverka/rozvaha?rad=j&amp;obdobi=2212</w:t>
        </w:r>
      </w:hyperlink>
      <w:r w:rsidRPr="00BF14F7">
        <w:rPr>
          <w:rStyle w:val="Znakapoznpodarou"/>
          <w:rFonts w:ascii="Calibri" w:hAnsi="Calibri" w:cs="Calibri"/>
          <w:vertAlign w:val="baseline"/>
        </w:rPr>
        <w:t>.</w:t>
      </w:r>
    </w:p>
  </w:footnote>
  <w:footnote w:id="3">
    <w:p w14:paraId="75D84645" w14:textId="77777777" w:rsidR="00D44A16" w:rsidRPr="00BF14F7" w:rsidRDefault="00D44A16" w:rsidP="00BF39B1">
      <w:pPr>
        <w:pStyle w:val="Textpoznpodarou"/>
        <w:ind w:left="284" w:hanging="284"/>
        <w:rPr>
          <w:rStyle w:val="Znakapoznpodarou"/>
          <w:rFonts w:ascii="Calibri" w:hAnsi="Calibri" w:cs="Calibri"/>
        </w:rPr>
      </w:pPr>
      <w:r w:rsidRPr="00BF14F7">
        <w:rPr>
          <w:rStyle w:val="Znakapoznpodarou"/>
          <w:rFonts w:ascii="Calibri" w:hAnsi="Calibri" w:cs="Calibri"/>
        </w:rPr>
        <w:footnoteRef/>
      </w:r>
      <w:r w:rsidRPr="00BF14F7">
        <w:rPr>
          <w:rStyle w:val="Znakapoznpodarou"/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F14F7">
        <w:rPr>
          <w:rStyle w:val="Znakapoznpodarou"/>
          <w:rFonts w:ascii="Calibri" w:hAnsi="Calibri" w:cs="Calibri"/>
          <w:i/>
          <w:vertAlign w:val="baseline"/>
        </w:rPr>
        <w:t>Portál</w:t>
      </w:r>
      <w:r w:rsidRPr="00BF14F7">
        <w:rPr>
          <w:rStyle w:val="Znakapoznpodarou"/>
          <w:rFonts w:ascii="Calibri" w:hAnsi="Calibri" w:cs="Calibri"/>
          <w:vertAlign w:val="baseline"/>
        </w:rPr>
        <w:t xml:space="preserve"> </w:t>
      </w:r>
      <w:r w:rsidRPr="00BF14F7">
        <w:rPr>
          <w:rStyle w:val="Znakapoznpodarou"/>
          <w:rFonts w:ascii="Calibri" w:hAnsi="Calibri" w:cs="Calibri"/>
          <w:i/>
          <w:vertAlign w:val="baseline"/>
        </w:rPr>
        <w:t>MONITOR</w:t>
      </w:r>
      <w:r w:rsidRPr="00BF14F7">
        <w:rPr>
          <w:rStyle w:val="Znakapoznpodarou"/>
          <w:rFonts w:ascii="Calibri" w:hAnsi="Calibri" w:cs="Calibri"/>
          <w:vertAlign w:val="baseline"/>
        </w:rPr>
        <w:t xml:space="preserve"> [online]. Výkaz pro hodnocení plnění rozpočtu [cit. 24.</w:t>
      </w:r>
      <w:r>
        <w:rPr>
          <w:rFonts w:ascii="Calibri" w:hAnsi="Calibri" w:cs="Calibri"/>
        </w:rPr>
        <w:t> </w:t>
      </w:r>
      <w:r w:rsidRPr="00BF14F7">
        <w:rPr>
          <w:rStyle w:val="Znakapoznpodarou"/>
          <w:rFonts w:ascii="Calibri" w:hAnsi="Calibri" w:cs="Calibri"/>
          <w:vertAlign w:val="baseline"/>
        </w:rPr>
        <w:t>5.</w:t>
      </w:r>
      <w:r>
        <w:rPr>
          <w:rFonts w:ascii="Calibri" w:hAnsi="Calibri" w:cs="Calibri"/>
        </w:rPr>
        <w:t> </w:t>
      </w:r>
      <w:r w:rsidRPr="00BF14F7">
        <w:rPr>
          <w:rStyle w:val="Znakapoznpodarou"/>
          <w:rFonts w:ascii="Calibri" w:hAnsi="Calibri" w:cs="Calibri"/>
          <w:vertAlign w:val="baseline"/>
        </w:rPr>
        <w:t xml:space="preserve">2023]. Dostupné z: </w:t>
      </w:r>
      <w:hyperlink r:id="rId2" w:history="1">
        <w:r w:rsidRPr="00DB0FC6">
          <w:rPr>
            <w:rStyle w:val="Hypertextovodkaz"/>
            <w:rFonts w:ascii="Calibri" w:hAnsi="Calibri" w:cs="Calibri"/>
          </w:rPr>
          <w:t>https://monitor.statnipokladna.cz/ucetni-jednotka/48136069/rozpocet/souhrnny?rad=j&amp;obdobi=2212</w:t>
        </w:r>
      </w:hyperlink>
      <w:r w:rsidRPr="00BF14F7">
        <w:rPr>
          <w:rStyle w:val="Znakapoznpodarou"/>
          <w:rFonts w:ascii="Calibri" w:hAnsi="Calibri" w:cs="Calibri"/>
          <w:vertAlign w:val="baseline"/>
        </w:rPr>
        <w:t>.</w:t>
      </w:r>
    </w:p>
  </w:footnote>
  <w:footnote w:id="4">
    <w:p w14:paraId="050CA92D" w14:textId="77777777" w:rsidR="00D44A16" w:rsidRPr="0043305F" w:rsidRDefault="00D44A16" w:rsidP="00435DF4">
      <w:pPr>
        <w:pStyle w:val="Textpoznpodarou"/>
        <w:ind w:left="284" w:hanging="284"/>
        <w:rPr>
          <w:rFonts w:asciiTheme="minorHAnsi" w:hAnsiTheme="minorHAnsi" w:cstheme="minorHAnsi"/>
        </w:rPr>
      </w:pPr>
      <w:r w:rsidRPr="0043305F">
        <w:rPr>
          <w:rStyle w:val="Znakapoznpodarou"/>
          <w:rFonts w:asciiTheme="minorHAnsi" w:hAnsiTheme="minorHAnsi" w:cstheme="minorHAnsi"/>
        </w:rPr>
        <w:footnoteRef/>
      </w:r>
      <w:r w:rsidRPr="004330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3305F">
        <w:rPr>
          <w:rFonts w:asciiTheme="minorHAnsi" w:hAnsiTheme="minorHAnsi" w:cstheme="minorHAnsi"/>
        </w:rPr>
        <w:t>Vyhláška č. 419/2001 Sb., o předkládání údajů pro vypracování návrhu státního závěrečného účtu.</w:t>
      </w:r>
    </w:p>
  </w:footnote>
  <w:footnote w:id="5">
    <w:p w14:paraId="51C2CA3C" w14:textId="77777777" w:rsidR="00D44A16" w:rsidRPr="00B87A71" w:rsidRDefault="00D44A16" w:rsidP="00435DF4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</w:t>
      </w:r>
      <w:r w:rsidRPr="00DD3BA9">
        <w:rPr>
          <w:rStyle w:val="Znakapoznpodarou"/>
          <w:rFonts w:asciiTheme="minorHAnsi" w:hAnsiTheme="minorHAnsi" w:cstheme="minorHAnsi"/>
          <w:vertAlign w:val="baseline"/>
        </w:rPr>
        <w:t>ákon České národní rady č. 21/1993 Sb., kterým se mění a doplňuje zákon České národní rady č. 2/1969 Sb., o zřízení ministerstev a jiných ústředních orgánů státní správy České republiky, ve znění pozdějších předpisů, a kterým se provádějí další opatření v soustavě ústředních orgánů státní správy České republiky</w:t>
      </w:r>
      <w:r w:rsidRPr="00B87A71">
        <w:rPr>
          <w:rFonts w:asciiTheme="minorHAnsi" w:hAnsiTheme="minorHAnsi" w:cstheme="minorHAnsi"/>
        </w:rPr>
        <w:t>.</w:t>
      </w:r>
    </w:p>
  </w:footnote>
  <w:footnote w:id="6">
    <w:p w14:paraId="38D5440D" w14:textId="77777777" w:rsidR="00D44A16" w:rsidRPr="006C3785" w:rsidRDefault="00D44A16" w:rsidP="00435DF4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Style w:val="Znakapoznpodarou"/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</w:r>
      <w:r w:rsidRPr="00B87A71">
        <w:rPr>
          <w:rStyle w:val="Znakapoznpodarou"/>
          <w:rFonts w:asciiTheme="minorHAnsi" w:hAnsiTheme="minorHAnsi" w:cstheme="minorHAnsi"/>
          <w:vertAlign w:val="baseline"/>
        </w:rPr>
        <w:t>Zákon č. 263/2016 Sb.</w:t>
      </w:r>
      <w:r w:rsidRPr="00B87A71">
        <w:rPr>
          <w:rFonts w:asciiTheme="minorHAnsi" w:hAnsiTheme="minorHAnsi" w:cstheme="minorHAnsi"/>
        </w:rPr>
        <w:t>, atomový zákon.</w:t>
      </w:r>
    </w:p>
  </w:footnote>
  <w:footnote w:id="7">
    <w:p w14:paraId="68A081E9" w14:textId="77777777" w:rsidR="00D44A16" w:rsidRPr="006C3785" w:rsidRDefault="00D44A16" w:rsidP="00435DF4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ab/>
      </w:r>
      <w:r w:rsidRPr="00B87A71">
        <w:rPr>
          <w:rStyle w:val="Znakapoznpodarou"/>
          <w:rFonts w:asciiTheme="minorHAnsi" w:hAnsiTheme="minorHAnsi" w:cstheme="minorHAnsi"/>
          <w:vertAlign w:val="baseline"/>
        </w:rPr>
        <w:t>Zákon č. 19/1997 Sb., o některých opatřeních souvisejících se zákazem chemických zbraní a o změně a doplnění zákona č. 50/1976 Sb., o územním plánování a stavebním řádu (stavební zákon), ve znění pozdějších předpisů, zákona č. 455/1991 Sb., o živnostenském podnikání (živnostenský zákon), ve znění pozdějších předpisů, a zákona č. 140/1961 Sb., trestní zákon, ve znění pozdějších předpisů</w:t>
      </w:r>
      <w:r w:rsidRPr="00B87A71">
        <w:rPr>
          <w:rFonts w:asciiTheme="minorHAnsi" w:hAnsiTheme="minorHAnsi" w:cstheme="minorHAnsi"/>
        </w:rPr>
        <w:t>.</w:t>
      </w:r>
    </w:p>
  </w:footnote>
  <w:footnote w:id="8">
    <w:p w14:paraId="70A4A3A7" w14:textId="4A383FA8" w:rsidR="00D44A16" w:rsidRPr="006C3785" w:rsidRDefault="00D44A16" w:rsidP="00435DF4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Style w:val="Znakapoznpodarou"/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</w:r>
      <w:r w:rsidRPr="00B87A71">
        <w:rPr>
          <w:rStyle w:val="Znakapoznpodarou"/>
          <w:rFonts w:asciiTheme="minorHAnsi" w:hAnsiTheme="minorHAnsi" w:cstheme="minorHAnsi"/>
          <w:vertAlign w:val="baseline"/>
        </w:rPr>
        <w:t>Zákon č. 281/2002 Sb., o některých opatřeních souvisejících se zákazem bakteriologických (biologických) a toxinových zbraní a o změně živnostenského zákona</w:t>
      </w:r>
      <w:r w:rsidRPr="00B87A71">
        <w:rPr>
          <w:rFonts w:asciiTheme="minorHAnsi" w:hAnsiTheme="minorHAnsi" w:cstheme="minorHAnsi"/>
        </w:rPr>
        <w:t>.</w:t>
      </w:r>
    </w:p>
  </w:footnote>
  <w:footnote w:id="9">
    <w:p w14:paraId="77273FF7" w14:textId="77777777" w:rsidR="00D44A16" w:rsidRPr="00B87A71" w:rsidRDefault="00D44A16" w:rsidP="00B0770B">
      <w:pPr>
        <w:pStyle w:val="Textpoznpodarou"/>
        <w:ind w:left="284" w:hanging="284"/>
        <w:rPr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 xml:space="preserve">Zákon č. 219/2000 Sb., o majetku České republiky a jejím vystupování v právních vztazích. </w:t>
      </w:r>
    </w:p>
  </w:footnote>
  <w:footnote w:id="10">
    <w:p w14:paraId="37CDE223" w14:textId="77777777" w:rsidR="00D44A16" w:rsidRPr="006922D0" w:rsidRDefault="00D44A16" w:rsidP="00B0770B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sz w:val="24"/>
          <w:szCs w:val="24"/>
          <w:vertAlign w:val="baseline"/>
          <w:lang w:eastAsia="en-US"/>
        </w:rPr>
      </w:pPr>
      <w:r w:rsidRPr="006922D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922D0">
        <w:rPr>
          <w:rStyle w:val="Znakapoznpodarou"/>
          <w:rFonts w:asciiTheme="minorHAnsi" w:hAnsiTheme="minorHAnsi" w:cstheme="minorHAnsi"/>
          <w:vertAlign w:val="baseline"/>
        </w:rPr>
        <w:t>Zákon č. 563/1991 Sb., o účetnictví</w:t>
      </w:r>
      <w:r>
        <w:rPr>
          <w:rFonts w:asciiTheme="minorHAnsi" w:hAnsiTheme="minorHAnsi" w:cstheme="minorHAnsi"/>
        </w:rPr>
        <w:t>.</w:t>
      </w:r>
    </w:p>
  </w:footnote>
  <w:footnote w:id="11">
    <w:p w14:paraId="706938D8" w14:textId="77777777" w:rsidR="00D44A16" w:rsidRPr="002B6C93" w:rsidRDefault="00D44A16" w:rsidP="00B0770B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2B6C93">
        <w:rPr>
          <w:rStyle w:val="Znakapoznpodarou"/>
          <w:rFonts w:asciiTheme="minorHAnsi" w:hAnsiTheme="minorHAnsi" w:cstheme="minorHAnsi"/>
        </w:rPr>
        <w:footnoteRef/>
      </w:r>
      <w:r>
        <w:rPr>
          <w:rStyle w:val="Znakapoznpodarou"/>
          <w:rFonts w:asciiTheme="minorHAnsi" w:hAnsiTheme="minorHAnsi" w:cstheme="minorHAnsi"/>
        </w:rPr>
        <w:t xml:space="preserve"> </w:t>
      </w:r>
      <w:r>
        <w:rPr>
          <w:rStyle w:val="Znakapoznpodarou"/>
          <w:rFonts w:asciiTheme="minorHAnsi" w:hAnsiTheme="minorHAnsi" w:cstheme="minorHAnsi"/>
          <w:vertAlign w:val="baseline"/>
        </w:rPr>
        <w:tab/>
      </w:r>
      <w:r w:rsidRPr="002B6C93">
        <w:rPr>
          <w:rStyle w:val="Znakapoznpodarou"/>
          <w:rFonts w:asciiTheme="minorHAnsi" w:hAnsiTheme="minorHAnsi" w:cstheme="minorHAnsi"/>
          <w:vertAlign w:val="baseline"/>
        </w:rPr>
        <w:t>Zákon č. 218/2000 Sb., o rozpočtových pravidlech a o změně některých souvisejících zákonů (rozpočtová pravidla).</w:t>
      </w:r>
    </w:p>
  </w:footnote>
  <w:footnote w:id="12">
    <w:p w14:paraId="0FB6B866" w14:textId="77777777" w:rsidR="00D44A16" w:rsidRPr="00CA1A26" w:rsidRDefault="00D44A16" w:rsidP="00B0770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Dle ustanovení § 3 písm. o) rozpočtových pravidel je rozpočtový systém informačním systémem veřejné správy, v němž se mj. soustřeďují údaje pro hodnocení plnění státního rozpočtu</w:t>
      </w:r>
      <w:r w:rsidRPr="00CA1A26">
        <w:rPr>
          <w:rFonts w:asciiTheme="minorHAnsi" w:hAnsiTheme="minorHAnsi" w:cstheme="minorHAnsi"/>
        </w:rPr>
        <w:t>.</w:t>
      </w:r>
    </w:p>
  </w:footnote>
  <w:footnote w:id="13">
    <w:p w14:paraId="6FCCD354" w14:textId="77777777" w:rsidR="00D44A16" w:rsidRPr="00B0770B" w:rsidRDefault="00D44A16" w:rsidP="006662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Dle ustanovení § 20 odst. 4 zákona č. 218/2000 Sb.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 rozpočtovém systému, ve kterém je z nich následně sestavován výkaz FIN 1-12 OSS.</w:t>
      </w:r>
    </w:p>
  </w:footnote>
  <w:footnote w:id="14">
    <w:p w14:paraId="1FD43926" w14:textId="77777777" w:rsidR="00D44A16" w:rsidRPr="00B0770B" w:rsidRDefault="00D44A16" w:rsidP="0091678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SÚJB je jakožto OSS povinen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5">
    <w:p w14:paraId="2BA1358E" w14:textId="77777777" w:rsidR="00D44A16" w:rsidRPr="00B0770B" w:rsidRDefault="00D44A16" w:rsidP="000F4FBC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</w:rPr>
      </w:pPr>
      <w:r w:rsidRPr="00B0770B">
        <w:rPr>
          <w:rStyle w:val="Znakapoznpodarou"/>
          <w:rFonts w:cs="Calibri"/>
          <w:sz w:val="20"/>
          <w:szCs w:val="20"/>
        </w:rPr>
        <w:footnoteRef/>
      </w:r>
      <w:r w:rsidRPr="00B0770B">
        <w:rPr>
          <w:rStyle w:val="Znakapoznpodarou"/>
          <w:rFonts w:cs="Calibri"/>
          <w:sz w:val="20"/>
          <w:szCs w:val="20"/>
        </w:rPr>
        <w:t xml:space="preserve"> </w:t>
      </w:r>
      <w:r w:rsidRPr="00B0770B">
        <w:rPr>
          <w:rFonts w:cs="Calibri"/>
          <w:sz w:val="20"/>
          <w:szCs w:val="20"/>
        </w:rPr>
        <w:t xml:space="preserve"> </w:t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Vyhláška č. 410/2009 Sb., kterou se provádějí některá ustanovení zákona č. 563/1991 Sb., o účetnictví, ve</w:t>
      </w:r>
      <w:r w:rsidR="00CA780A">
        <w:rPr>
          <w:rFonts w:cs="Calibri"/>
          <w:sz w:val="20"/>
          <w:szCs w:val="20"/>
        </w:rPr>
        <w:t xml:space="preserve"> </w:t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znění</w:t>
      </w:r>
      <w:r w:rsidR="00CA780A">
        <w:rPr>
          <w:rFonts w:cs="Calibri"/>
          <w:sz w:val="20"/>
          <w:szCs w:val="20"/>
        </w:rPr>
        <w:t xml:space="preserve"> </w:t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pozdějších předpisů, pro některé vybrané účetní jednotky</w:t>
      </w:r>
      <w:r w:rsidRPr="00B0770B">
        <w:rPr>
          <w:rFonts w:cs="Calibri"/>
          <w:sz w:val="20"/>
          <w:szCs w:val="20"/>
        </w:rPr>
        <w:t>.</w:t>
      </w:r>
    </w:p>
  </w:footnote>
  <w:footnote w:id="16">
    <w:p w14:paraId="62905EC0" w14:textId="77777777" w:rsidR="00D44A16" w:rsidRPr="00B0770B" w:rsidRDefault="00D44A16" w:rsidP="00410F93">
      <w:pPr>
        <w:pStyle w:val="Textpoznpodarou"/>
        <w:ind w:left="284" w:hanging="284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Vyhláška č. 412/2021 Sb., o rozpočtové skladbě.</w:t>
      </w:r>
    </w:p>
  </w:footnote>
  <w:footnote w:id="17">
    <w:p w14:paraId="578FE79B" w14:textId="77777777" w:rsidR="00D44A16" w:rsidRPr="00B0770B" w:rsidRDefault="00D44A16" w:rsidP="00BA2B3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18">
    <w:p w14:paraId="46B508D0" w14:textId="77777777" w:rsidR="00D44A16" w:rsidRPr="00F327E8" w:rsidRDefault="00D44A16" w:rsidP="00B0770B">
      <w:pPr>
        <w:pStyle w:val="Textpoznpodarou"/>
        <w:ind w:left="284" w:hanging="284"/>
        <w:jc w:val="both"/>
        <w:rPr>
          <w:rStyle w:val="Znakapoznpodarou"/>
        </w:rPr>
      </w:pPr>
      <w:r w:rsidRPr="00F327E8">
        <w:rPr>
          <w:rStyle w:val="Znakapoznpodarou"/>
          <w:rFonts w:asciiTheme="minorHAnsi" w:hAnsiTheme="minorHAnsi" w:cstheme="minorHAnsi"/>
        </w:rPr>
        <w:footnoteRef/>
      </w:r>
      <w:r w:rsidRPr="00F327E8">
        <w:rPr>
          <w:rStyle w:val="Znakapoznpodarou"/>
        </w:rPr>
        <w:t xml:space="preserve"> </w:t>
      </w:r>
      <w:r>
        <w:tab/>
      </w:r>
      <w:r w:rsidRPr="00F327E8">
        <w:rPr>
          <w:rStyle w:val="Znakapoznpodarou"/>
          <w:rFonts w:asciiTheme="minorHAnsi" w:hAnsiTheme="minorHAnsi" w:cstheme="minorHAnsi"/>
          <w:vertAlign w:val="baseline"/>
        </w:rPr>
        <w:t>Zákon č. 320/2001 Sb., o finanční kontrole ve veřejné správě a o změně některých zákonů (zákon o finanční kontrole).</w:t>
      </w:r>
    </w:p>
  </w:footnote>
  <w:footnote w:id="19">
    <w:p w14:paraId="2A1FF5CC" w14:textId="77777777" w:rsidR="00D44A16" w:rsidRPr="00B87A71" w:rsidRDefault="00D44A16" w:rsidP="00B0770B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0">
    <w:p w14:paraId="27254B9B" w14:textId="77777777" w:rsidR="00D44A16" w:rsidRPr="003D1832" w:rsidRDefault="00D44A16" w:rsidP="00B0770B">
      <w:pPr>
        <w:pStyle w:val="Textpoznpodarou"/>
        <w:ind w:left="284" w:hanging="284"/>
        <w:rPr>
          <w:rFonts w:asciiTheme="minorHAnsi" w:hAnsiTheme="minorHAnsi" w:cstheme="minorHAnsi"/>
        </w:rPr>
      </w:pPr>
      <w:r w:rsidRPr="003D1832">
        <w:rPr>
          <w:rStyle w:val="Znakapoznpodarou"/>
          <w:rFonts w:asciiTheme="minorHAnsi" w:hAnsiTheme="minorHAnsi" w:cstheme="minorHAnsi"/>
        </w:rPr>
        <w:footnoteRef/>
      </w:r>
      <w:r w:rsidRPr="003D18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D1832">
        <w:rPr>
          <w:rFonts w:asciiTheme="minorHAnsi" w:hAnsiTheme="minorHAnsi" w:cstheme="minorHAnsi"/>
        </w:rPr>
        <w:t>Český účetní standard pro některé vybrané účetní jednotky č. 704</w:t>
      </w:r>
      <w:r w:rsidR="00030F7B">
        <w:rPr>
          <w:rFonts w:asciiTheme="minorHAnsi" w:hAnsiTheme="minorHAnsi" w:cstheme="minorHAnsi"/>
        </w:rPr>
        <w:t xml:space="preserve"> –</w:t>
      </w:r>
      <w:r w:rsidRPr="003D1832">
        <w:rPr>
          <w:rFonts w:asciiTheme="minorHAnsi" w:hAnsiTheme="minorHAnsi" w:cstheme="minorHAnsi"/>
        </w:rPr>
        <w:t xml:space="preserve"> </w:t>
      </w:r>
      <w:r w:rsidRPr="00C7611A">
        <w:rPr>
          <w:rFonts w:asciiTheme="minorHAnsi" w:hAnsiTheme="minorHAnsi" w:cstheme="minorHAnsi"/>
          <w:i/>
        </w:rPr>
        <w:t>Fondy účetní jednotky</w:t>
      </w:r>
      <w:r w:rsidRPr="003D1832">
        <w:rPr>
          <w:rFonts w:asciiTheme="minorHAnsi" w:hAnsiTheme="minorHAnsi" w:cstheme="minorHAnsi"/>
        </w:rPr>
        <w:t>.</w:t>
      </w:r>
    </w:p>
  </w:footnote>
  <w:footnote w:id="21">
    <w:p w14:paraId="5CD2517F" w14:textId="77777777" w:rsidR="00D44A16" w:rsidRPr="00247F88" w:rsidRDefault="00D44A16" w:rsidP="005B4952">
      <w:pPr>
        <w:pStyle w:val="Textpoznpodarou"/>
        <w:ind w:left="284" w:hanging="284"/>
        <w:jc w:val="both"/>
        <w:rPr>
          <w:rStyle w:val="Znakapoznpodarou"/>
          <w:rFonts w:ascii="Calibri" w:hAnsi="Calibri" w:cs="Calibri"/>
          <w:vertAlign w:val="baseline"/>
        </w:rPr>
      </w:pPr>
      <w:r w:rsidRPr="00247F88">
        <w:rPr>
          <w:rStyle w:val="Znakapoznpodarou"/>
          <w:rFonts w:ascii="Calibri" w:hAnsi="Calibri" w:cs="Calibri"/>
        </w:rPr>
        <w:footnoteRef/>
      </w:r>
      <w:r w:rsidRPr="00247F88">
        <w:rPr>
          <w:rStyle w:val="Znakapoznpodarou"/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47F88">
        <w:rPr>
          <w:rStyle w:val="Znakapoznpodarou"/>
          <w:rFonts w:ascii="Calibri" w:hAnsi="Calibri" w:cs="Calibri"/>
          <w:vertAlign w:val="baseline"/>
        </w:rPr>
        <w:t>SÚJB postupoval v rozporu s ustanovením § 55 odst. 3 vyhlášky č. 410/2009 Sb. ve spojení s ustanovením § 66 odst. 1 vyhlášky č. 410/2009 Sb.</w:t>
      </w:r>
    </w:p>
  </w:footnote>
  <w:footnote w:id="22">
    <w:p w14:paraId="0B8D6D53" w14:textId="77777777" w:rsidR="00D44A16" w:rsidRPr="00247F88" w:rsidRDefault="00D44A16" w:rsidP="005B4952">
      <w:pPr>
        <w:pStyle w:val="Textpoznpodarou"/>
        <w:ind w:left="284" w:hanging="284"/>
        <w:jc w:val="both"/>
        <w:rPr>
          <w:rStyle w:val="Znakapoznpodarou"/>
          <w:rFonts w:ascii="Calibri" w:hAnsi="Calibri" w:cs="Calibri"/>
        </w:rPr>
      </w:pPr>
      <w:r w:rsidRPr="00247F88">
        <w:rPr>
          <w:rStyle w:val="Znakapoznpodarou"/>
          <w:rFonts w:ascii="Calibri" w:hAnsi="Calibri" w:cs="Calibri"/>
        </w:rPr>
        <w:footnoteRef/>
      </w:r>
      <w:r w:rsidRPr="00247F88">
        <w:rPr>
          <w:rStyle w:val="Znakapoznpodarou"/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47F88">
        <w:rPr>
          <w:rStyle w:val="Znakapoznpodarou"/>
          <w:rFonts w:ascii="Calibri" w:hAnsi="Calibri" w:cs="Calibri"/>
          <w:vertAlign w:val="baseline"/>
        </w:rPr>
        <w:t>SÚJB postupoval v rozporu s ustanovením § 11 odst. 6 písm. a) a § 14 odst. 6 vyhlášky č. 410/2009 Sb.</w:t>
      </w:r>
    </w:p>
  </w:footnote>
  <w:footnote w:id="23">
    <w:p w14:paraId="4BA7CA1D" w14:textId="77777777" w:rsidR="00D44A16" w:rsidRPr="007028BF" w:rsidRDefault="00D44A16" w:rsidP="007028BF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 xml:space="preserve">Významnost (materialita) reprezentuje u ÚZ hodnotu nesprávností, jejíž překročení by již mohlo ovlivnit přiměřeně znalého uživatele. Při stanovení významnosti postupuje NKÚ v souladu s </w:t>
      </w:r>
      <w:r w:rsidRPr="00C7611A">
        <w:rPr>
          <w:rStyle w:val="Znakapoznpodarou"/>
          <w:i/>
          <w:sz w:val="20"/>
          <w:szCs w:val="20"/>
          <w:vertAlign w:val="baseline"/>
        </w:rPr>
        <w:t>Kontrolními standardy NKÚ</w:t>
      </w:r>
      <w:r w:rsidRPr="007028BF">
        <w:rPr>
          <w:rStyle w:val="Znakapoznpodarou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4">
    <w:p w14:paraId="7F01A6E1" w14:textId="77777777" w:rsidR="00D44A16" w:rsidRPr="007028BF" w:rsidRDefault="00D44A16" w:rsidP="007028BF">
      <w:pPr>
        <w:spacing w:after="0"/>
        <w:ind w:left="284" w:hanging="284"/>
        <w:jc w:val="both"/>
        <w:rPr>
          <w:rStyle w:val="Znakapoznpodarou"/>
          <w:sz w:val="20"/>
          <w:szCs w:val="20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 xml:space="preserve">Pro posouzení významnosti zjištěných nesprávností v údajích ÚZ byla stanovena hladina významnosti ve výši </w:t>
      </w:r>
      <w:r>
        <w:rPr>
          <w:sz w:val="20"/>
          <w:szCs w:val="20"/>
        </w:rPr>
        <w:t xml:space="preserve">cca </w:t>
      </w:r>
      <w:r w:rsidRPr="007028BF">
        <w:rPr>
          <w:rStyle w:val="Znakapoznpodarou"/>
          <w:sz w:val="20"/>
          <w:szCs w:val="20"/>
          <w:vertAlign w:val="baseline"/>
        </w:rPr>
        <w:t>2 % z celkových nákladů, které byly k 31. 12. 2022 vykázány ve výši 468,9 mil. Kč.</w:t>
      </w:r>
    </w:p>
  </w:footnote>
  <w:footnote w:id="25">
    <w:p w14:paraId="7D6BF89A" w14:textId="77777777" w:rsidR="00D44A16" w:rsidRPr="007028BF" w:rsidRDefault="00D44A16" w:rsidP="00B776F1">
      <w:pPr>
        <w:spacing w:after="0"/>
        <w:ind w:left="284" w:hanging="284"/>
        <w:jc w:val="both"/>
        <w:rPr>
          <w:rStyle w:val="Znakapoznpodarou"/>
          <w:sz w:val="20"/>
          <w:szCs w:val="20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Fonts w:asciiTheme="minorHAnsi" w:hAnsiTheme="minorHAnsi" w:cstheme="minorHAnsi"/>
          <w:sz w:val="20"/>
          <w:szCs w:val="20"/>
          <w:lang w:eastAsia="cs-CZ"/>
        </w:rPr>
        <w:t>Pro posouzení významnosti zjištěných nesprávností v údajích předkládaných pro hodnocení plnění rozpočtu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byla stanovena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hladina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významnost</w:t>
      </w:r>
      <w:r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ve výši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cca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2 % z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celkových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výdajů, které byly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k 31. 12. 2022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vykázány ve</w:t>
      </w:r>
      <w:r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výši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475,8 mil. Kč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.</w:t>
      </w:r>
    </w:p>
    <w:p w14:paraId="322D1752" w14:textId="77777777" w:rsidR="00D44A16" w:rsidRDefault="00D44A16" w:rsidP="00E45ADC">
      <w:pPr>
        <w:spacing w:after="0"/>
        <w:ind w:left="284" w:hanging="284"/>
        <w:jc w:val="both"/>
      </w:pPr>
    </w:p>
  </w:footnote>
  <w:footnote w:id="26">
    <w:p w14:paraId="06E46382" w14:textId="77777777" w:rsidR="00D44A16" w:rsidRPr="00767631" w:rsidRDefault="00D44A16" w:rsidP="00CB2DAF">
      <w:pPr>
        <w:pStyle w:val="Textpoznpodarou"/>
        <w:ind w:left="284" w:hanging="284"/>
        <w:rPr>
          <w:rFonts w:asciiTheme="minorHAnsi" w:hAnsiTheme="minorHAnsi" w:cstheme="minorHAnsi"/>
        </w:rPr>
      </w:pPr>
      <w:r w:rsidRPr="00767631">
        <w:rPr>
          <w:rStyle w:val="Znakapoznpodarou"/>
          <w:rFonts w:asciiTheme="minorHAnsi" w:hAnsiTheme="minorHAnsi" w:cstheme="minorHAnsi"/>
        </w:rPr>
        <w:footnoteRef/>
      </w:r>
      <w:r w:rsidRPr="007676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67631">
        <w:rPr>
          <w:rFonts w:asciiTheme="minorHAnsi" w:hAnsiTheme="minorHAnsi" w:cstheme="minorHAnsi"/>
        </w:rPr>
        <w:t>Peněžní báze zachycuje příjmy a výdaje peněžních prostředků.</w:t>
      </w:r>
    </w:p>
  </w:footnote>
  <w:footnote w:id="27">
    <w:p w14:paraId="02CA26FB" w14:textId="77777777" w:rsidR="00D44A16" w:rsidRPr="00767631" w:rsidRDefault="00D44A16" w:rsidP="00CB2DAF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767631">
        <w:rPr>
          <w:rStyle w:val="Znakapoznpodarou"/>
          <w:sz w:val="20"/>
          <w:szCs w:val="20"/>
        </w:rPr>
        <w:footnoteRef/>
      </w:r>
      <w:r w:rsidRPr="00767631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67631">
        <w:rPr>
          <w:rStyle w:val="Znakapoznpodarou"/>
          <w:sz w:val="20"/>
          <w:szCs w:val="20"/>
          <w:vertAlign w:val="baseline"/>
        </w:rPr>
        <w:t>Akruální báze (nebo také princip, koncept) je jedna ze základních účetních zásad a spočívá v tom, že náklady a výnosy se účtují do období, se kterým věcně a časově souvisejí, aniž by bylo bráno v úvahu, kdy došlo k reálnému pohybu peněz</w:t>
      </w:r>
      <w:r w:rsidR="00351643">
        <w:rPr>
          <w:sz w:val="20"/>
          <w:szCs w:val="20"/>
        </w:rPr>
        <w:t>,</w:t>
      </w:r>
      <w:r w:rsidRPr="00767631">
        <w:rPr>
          <w:rStyle w:val="Znakapoznpodarou"/>
          <w:sz w:val="20"/>
          <w:szCs w:val="20"/>
          <w:vertAlign w:val="baseline"/>
        </w:rPr>
        <w:t xml:space="preserve"> a zároveň se účtuje o nárocích (pohledávkách), závazcích.</w:t>
      </w:r>
    </w:p>
  </w:footnote>
  <w:footnote w:id="28">
    <w:p w14:paraId="204619DE" w14:textId="77777777" w:rsidR="00D44A16" w:rsidRPr="003075BF" w:rsidRDefault="00D44A16" w:rsidP="005E1416">
      <w:pPr>
        <w:pStyle w:val="Textpoznpodarou"/>
        <w:ind w:left="284" w:hanging="284"/>
        <w:rPr>
          <w:rFonts w:asciiTheme="minorHAnsi" w:hAnsiTheme="minorHAnsi" w:cstheme="minorHAnsi"/>
        </w:rPr>
      </w:pPr>
      <w:r w:rsidRPr="003075BF">
        <w:rPr>
          <w:rStyle w:val="Znakapoznpodarou"/>
          <w:rFonts w:asciiTheme="minorHAnsi" w:hAnsiTheme="minorHAnsi" w:cstheme="minorHAnsi"/>
        </w:rPr>
        <w:footnoteRef/>
      </w:r>
      <w:r w:rsidRPr="003075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075BF">
        <w:rPr>
          <w:rFonts w:asciiTheme="minorHAnsi" w:hAnsiTheme="minorHAnsi" w:cstheme="minorHAnsi"/>
        </w:rPr>
        <w:t xml:space="preserve">Z celkových 53 481 řádků v účetním deníku se podrozvahových účtů týkalo 1 184 </w:t>
      </w:r>
      <w:r>
        <w:rPr>
          <w:rFonts w:asciiTheme="minorHAnsi" w:hAnsiTheme="minorHAnsi" w:cstheme="minorHAnsi"/>
        </w:rPr>
        <w:t>řádků.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C2E54" w14:textId="77777777" w:rsidR="00D44A16" w:rsidRPr="00BF14F7" w:rsidRDefault="00D44A16" w:rsidP="00124170">
    <w:pPr>
      <w:pStyle w:val="Zhlav"/>
      <w:tabs>
        <w:tab w:val="clear" w:pos="9072"/>
        <w:tab w:val="right" w:pos="9070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7FE1" w14:textId="77777777" w:rsidR="00D44A16" w:rsidRPr="00281392" w:rsidRDefault="00D44A16" w:rsidP="00124170">
    <w:pPr>
      <w:pStyle w:val="Zhlav"/>
      <w:tabs>
        <w:tab w:val="clear" w:pos="9072"/>
        <w:tab w:val="right" w:pos="9070"/>
      </w:tabs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E904" w14:textId="77777777" w:rsidR="00D44A16" w:rsidRPr="002F5988" w:rsidRDefault="00D44A16" w:rsidP="00DC4A58">
    <w:pPr>
      <w:pStyle w:val="Zhlav"/>
      <w:jc w:val="right"/>
    </w:pPr>
    <w:r>
      <w:t>Příloha č. 2</w:t>
    </w:r>
  </w:p>
  <w:p w14:paraId="3FDB0FE7" w14:textId="77777777" w:rsidR="00D44A16" w:rsidRDefault="00D44A1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0AB02" w14:textId="77777777" w:rsidR="00D44A16" w:rsidRPr="00CB2DAF" w:rsidRDefault="00D44A16" w:rsidP="00CB2DAF">
    <w:pPr>
      <w:pStyle w:val="Zhlav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CA3"/>
    <w:multiLevelType w:val="hybridMultilevel"/>
    <w:tmpl w:val="F51604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BB2A0F"/>
    <w:multiLevelType w:val="hybridMultilevel"/>
    <w:tmpl w:val="AB12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8A9"/>
    <w:multiLevelType w:val="hybridMultilevel"/>
    <w:tmpl w:val="C1A8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1AA0"/>
    <w:multiLevelType w:val="hybridMultilevel"/>
    <w:tmpl w:val="51E4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84800"/>
    <w:multiLevelType w:val="hybridMultilevel"/>
    <w:tmpl w:val="6A00FAE0"/>
    <w:lvl w:ilvl="0" w:tplc="623892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8A1759"/>
    <w:multiLevelType w:val="multilevel"/>
    <w:tmpl w:val="CA34CC30"/>
    <w:lvl w:ilvl="0">
      <w:start w:val="1"/>
      <w:numFmt w:val="decimal"/>
      <w:lvlText w:val="%1"/>
      <w:lvlJc w:val="left"/>
      <w:pPr>
        <w:ind w:left="1248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7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4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7" w15:restartNumberingAfterBreak="0">
    <w:nsid w:val="36EA75D9"/>
    <w:multiLevelType w:val="hybridMultilevel"/>
    <w:tmpl w:val="8AC2A9CC"/>
    <w:lvl w:ilvl="0" w:tplc="8C6C6DB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54090A"/>
    <w:multiLevelType w:val="hybridMultilevel"/>
    <w:tmpl w:val="62408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6D26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1A82"/>
    <w:multiLevelType w:val="multilevel"/>
    <w:tmpl w:val="AA4CA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AD0E06"/>
    <w:multiLevelType w:val="hybridMultilevel"/>
    <w:tmpl w:val="AB12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650FF"/>
    <w:multiLevelType w:val="multilevel"/>
    <w:tmpl w:val="24A676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D25C2F"/>
    <w:multiLevelType w:val="hybridMultilevel"/>
    <w:tmpl w:val="5E988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51D6C"/>
    <w:multiLevelType w:val="hybridMultilevel"/>
    <w:tmpl w:val="97563504"/>
    <w:lvl w:ilvl="0" w:tplc="43C2F70E">
      <w:numFmt w:val="bullet"/>
      <w:lvlText w:val=""/>
      <w:lvlJc w:val="left"/>
      <w:pPr>
        <w:ind w:left="720" w:hanging="360"/>
      </w:pPr>
      <w:rPr>
        <w:rFonts w:ascii="Symbol" w:eastAsiaTheme="majorEastAsia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F6B96"/>
    <w:multiLevelType w:val="hybridMultilevel"/>
    <w:tmpl w:val="2D4E5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2D45"/>
    <w:multiLevelType w:val="hybridMultilevel"/>
    <w:tmpl w:val="88D02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D456A"/>
    <w:multiLevelType w:val="multilevel"/>
    <w:tmpl w:val="A00451DC"/>
    <w:lvl w:ilvl="0">
      <w:start w:val="1"/>
      <w:numFmt w:val="decimal"/>
      <w:lvlText w:val="%1"/>
      <w:lvlJc w:val="left"/>
      <w:pPr>
        <w:ind w:left="680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18" w15:restartNumberingAfterBreak="0">
    <w:nsid w:val="5EF63BA1"/>
    <w:multiLevelType w:val="hybridMultilevel"/>
    <w:tmpl w:val="9C260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C5B1B"/>
    <w:multiLevelType w:val="multilevel"/>
    <w:tmpl w:val="CB225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5114AB"/>
    <w:multiLevelType w:val="hybridMultilevel"/>
    <w:tmpl w:val="0C7AF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336D0"/>
    <w:multiLevelType w:val="multilevel"/>
    <w:tmpl w:val="48126486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</w:rPr>
    </w:lvl>
  </w:abstractNum>
  <w:abstractNum w:abstractNumId="23" w15:restartNumberingAfterBreak="0">
    <w:nsid w:val="6D301D1D"/>
    <w:multiLevelType w:val="hybridMultilevel"/>
    <w:tmpl w:val="443C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B0976"/>
    <w:multiLevelType w:val="hybridMultilevel"/>
    <w:tmpl w:val="308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03799"/>
    <w:multiLevelType w:val="hybridMultilevel"/>
    <w:tmpl w:val="74B25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E3CC0"/>
    <w:multiLevelType w:val="hybridMultilevel"/>
    <w:tmpl w:val="9FE00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9785E"/>
    <w:multiLevelType w:val="hybridMultilevel"/>
    <w:tmpl w:val="0F8EF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D9"/>
    <w:multiLevelType w:val="hybridMultilevel"/>
    <w:tmpl w:val="62C81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FD32904"/>
    <w:multiLevelType w:val="hybridMultilevel"/>
    <w:tmpl w:val="1D222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8"/>
  </w:num>
  <w:num w:numId="5">
    <w:abstractNumId w:val="3"/>
  </w:num>
  <w:num w:numId="6">
    <w:abstractNumId w:val="28"/>
  </w:num>
  <w:num w:numId="7">
    <w:abstractNumId w:val="19"/>
  </w:num>
  <w:num w:numId="8">
    <w:abstractNumId w:val="20"/>
  </w:num>
  <w:num w:numId="9">
    <w:abstractNumId w:val="20"/>
  </w:num>
  <w:num w:numId="10">
    <w:abstractNumId w:val="20"/>
  </w:num>
  <w:num w:numId="11">
    <w:abstractNumId w:val="2"/>
  </w:num>
  <w:num w:numId="12">
    <w:abstractNumId w:val="13"/>
  </w:num>
  <w:num w:numId="13">
    <w:abstractNumId w:val="17"/>
  </w:num>
  <w:num w:numId="14">
    <w:abstractNumId w:val="12"/>
  </w:num>
  <w:num w:numId="15">
    <w:abstractNumId w:val="20"/>
  </w:num>
  <w:num w:numId="16">
    <w:abstractNumId w:val="29"/>
  </w:num>
  <w:num w:numId="17">
    <w:abstractNumId w:val="11"/>
  </w:num>
  <w:num w:numId="18">
    <w:abstractNumId w:val="30"/>
  </w:num>
  <w:num w:numId="19">
    <w:abstractNumId w:val="10"/>
  </w:num>
  <w:num w:numId="20">
    <w:abstractNumId w:val="22"/>
  </w:num>
  <w:num w:numId="21">
    <w:abstractNumId w:val="6"/>
  </w:num>
  <w:num w:numId="22">
    <w:abstractNumId w:val="9"/>
  </w:num>
  <w:num w:numId="23">
    <w:abstractNumId w:val="23"/>
  </w:num>
  <w:num w:numId="24">
    <w:abstractNumId w:val="4"/>
  </w:num>
  <w:num w:numId="25">
    <w:abstractNumId w:val="27"/>
  </w:num>
  <w:num w:numId="26">
    <w:abstractNumId w:val="21"/>
  </w:num>
  <w:num w:numId="27">
    <w:abstractNumId w:val="18"/>
  </w:num>
  <w:num w:numId="28">
    <w:abstractNumId w:val="26"/>
  </w:num>
  <w:num w:numId="29">
    <w:abstractNumId w:val="24"/>
  </w:num>
  <w:num w:numId="30">
    <w:abstractNumId w:val="15"/>
  </w:num>
  <w:num w:numId="31">
    <w:abstractNumId w:val="0"/>
  </w:num>
  <w:num w:numId="32">
    <w:abstractNumId w:val="9"/>
  </w:num>
  <w:num w:numId="33">
    <w:abstractNumId w:val="25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1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14"/>
  </w:num>
  <w:num w:numId="44">
    <w:abstractNumId w:val="29"/>
  </w:num>
  <w:num w:numId="45">
    <w:abstractNumId w:val="29"/>
  </w:num>
  <w:num w:numId="46">
    <w:abstractNumId w:val="7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trackRevisions/>
  <w:doNotTrackMov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57A"/>
    <w:rsid w:val="00000F8C"/>
    <w:rsid w:val="000010CB"/>
    <w:rsid w:val="000015DC"/>
    <w:rsid w:val="00001659"/>
    <w:rsid w:val="00001D77"/>
    <w:rsid w:val="00002562"/>
    <w:rsid w:val="00002B29"/>
    <w:rsid w:val="00002B9A"/>
    <w:rsid w:val="00002F92"/>
    <w:rsid w:val="0000300F"/>
    <w:rsid w:val="000030C9"/>
    <w:rsid w:val="00003812"/>
    <w:rsid w:val="00003878"/>
    <w:rsid w:val="000039E4"/>
    <w:rsid w:val="00003EC4"/>
    <w:rsid w:val="00003F86"/>
    <w:rsid w:val="000042FB"/>
    <w:rsid w:val="00004461"/>
    <w:rsid w:val="000049A1"/>
    <w:rsid w:val="00004DA7"/>
    <w:rsid w:val="00004EF9"/>
    <w:rsid w:val="000050EC"/>
    <w:rsid w:val="00005413"/>
    <w:rsid w:val="0000654C"/>
    <w:rsid w:val="00006589"/>
    <w:rsid w:val="00006AE8"/>
    <w:rsid w:val="00006F9D"/>
    <w:rsid w:val="000102DC"/>
    <w:rsid w:val="000102EF"/>
    <w:rsid w:val="0001038F"/>
    <w:rsid w:val="00010565"/>
    <w:rsid w:val="00010948"/>
    <w:rsid w:val="00010B7B"/>
    <w:rsid w:val="00010BF4"/>
    <w:rsid w:val="000116D6"/>
    <w:rsid w:val="000116ED"/>
    <w:rsid w:val="000118B2"/>
    <w:rsid w:val="000118FB"/>
    <w:rsid w:val="00012047"/>
    <w:rsid w:val="00012090"/>
    <w:rsid w:val="000121C2"/>
    <w:rsid w:val="00012334"/>
    <w:rsid w:val="00012409"/>
    <w:rsid w:val="0001308F"/>
    <w:rsid w:val="000136D6"/>
    <w:rsid w:val="00013900"/>
    <w:rsid w:val="00013CE4"/>
    <w:rsid w:val="00013D01"/>
    <w:rsid w:val="00013F4A"/>
    <w:rsid w:val="00014250"/>
    <w:rsid w:val="00014278"/>
    <w:rsid w:val="000148CF"/>
    <w:rsid w:val="00014D77"/>
    <w:rsid w:val="000150C6"/>
    <w:rsid w:val="0001554C"/>
    <w:rsid w:val="00015BEA"/>
    <w:rsid w:val="00015EAA"/>
    <w:rsid w:val="00015F85"/>
    <w:rsid w:val="0001655D"/>
    <w:rsid w:val="000178C8"/>
    <w:rsid w:val="00017CCE"/>
    <w:rsid w:val="00017D5E"/>
    <w:rsid w:val="00017EA4"/>
    <w:rsid w:val="000205FD"/>
    <w:rsid w:val="000206ED"/>
    <w:rsid w:val="000209B1"/>
    <w:rsid w:val="0002107A"/>
    <w:rsid w:val="00021226"/>
    <w:rsid w:val="00021C4D"/>
    <w:rsid w:val="00022153"/>
    <w:rsid w:val="000221DC"/>
    <w:rsid w:val="000233DE"/>
    <w:rsid w:val="0002359A"/>
    <w:rsid w:val="00024CEB"/>
    <w:rsid w:val="000254A6"/>
    <w:rsid w:val="00025582"/>
    <w:rsid w:val="00025665"/>
    <w:rsid w:val="000263DE"/>
    <w:rsid w:val="0002674F"/>
    <w:rsid w:val="00026B84"/>
    <w:rsid w:val="00026FB4"/>
    <w:rsid w:val="00027067"/>
    <w:rsid w:val="0002708F"/>
    <w:rsid w:val="000274A8"/>
    <w:rsid w:val="00027C18"/>
    <w:rsid w:val="000305CE"/>
    <w:rsid w:val="00030656"/>
    <w:rsid w:val="00030F7B"/>
    <w:rsid w:val="00031611"/>
    <w:rsid w:val="00031DBA"/>
    <w:rsid w:val="00031FF6"/>
    <w:rsid w:val="000325A3"/>
    <w:rsid w:val="00033006"/>
    <w:rsid w:val="000339E8"/>
    <w:rsid w:val="000342EB"/>
    <w:rsid w:val="00034564"/>
    <w:rsid w:val="00034649"/>
    <w:rsid w:val="00034672"/>
    <w:rsid w:val="0003469E"/>
    <w:rsid w:val="000347A9"/>
    <w:rsid w:val="0003552A"/>
    <w:rsid w:val="00035C23"/>
    <w:rsid w:val="000365ED"/>
    <w:rsid w:val="00036961"/>
    <w:rsid w:val="00036B07"/>
    <w:rsid w:val="000370CC"/>
    <w:rsid w:val="000370E9"/>
    <w:rsid w:val="000377B3"/>
    <w:rsid w:val="00037E92"/>
    <w:rsid w:val="000404C7"/>
    <w:rsid w:val="0004116C"/>
    <w:rsid w:val="00041308"/>
    <w:rsid w:val="00041B06"/>
    <w:rsid w:val="00042662"/>
    <w:rsid w:val="000428C2"/>
    <w:rsid w:val="00042F32"/>
    <w:rsid w:val="00042F6E"/>
    <w:rsid w:val="0004311E"/>
    <w:rsid w:val="0004377C"/>
    <w:rsid w:val="00043C6D"/>
    <w:rsid w:val="00043ED9"/>
    <w:rsid w:val="00044446"/>
    <w:rsid w:val="00044496"/>
    <w:rsid w:val="000447A6"/>
    <w:rsid w:val="00044B71"/>
    <w:rsid w:val="00044F4C"/>
    <w:rsid w:val="0004536D"/>
    <w:rsid w:val="000453AD"/>
    <w:rsid w:val="0004554B"/>
    <w:rsid w:val="0004593F"/>
    <w:rsid w:val="00045D1D"/>
    <w:rsid w:val="00045D4B"/>
    <w:rsid w:val="0004614B"/>
    <w:rsid w:val="00046890"/>
    <w:rsid w:val="000473BB"/>
    <w:rsid w:val="00047B94"/>
    <w:rsid w:val="00050275"/>
    <w:rsid w:val="00050674"/>
    <w:rsid w:val="00050BF8"/>
    <w:rsid w:val="00050E07"/>
    <w:rsid w:val="00051A3C"/>
    <w:rsid w:val="00051D1C"/>
    <w:rsid w:val="000521DE"/>
    <w:rsid w:val="000521FD"/>
    <w:rsid w:val="0005245C"/>
    <w:rsid w:val="00052B02"/>
    <w:rsid w:val="00052C46"/>
    <w:rsid w:val="00052EE3"/>
    <w:rsid w:val="0005321F"/>
    <w:rsid w:val="0005356E"/>
    <w:rsid w:val="000535D9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62E0"/>
    <w:rsid w:val="0005659D"/>
    <w:rsid w:val="00056E1C"/>
    <w:rsid w:val="00056E58"/>
    <w:rsid w:val="00056F1A"/>
    <w:rsid w:val="000570C7"/>
    <w:rsid w:val="00057428"/>
    <w:rsid w:val="00057CB7"/>
    <w:rsid w:val="00060485"/>
    <w:rsid w:val="0006081D"/>
    <w:rsid w:val="00060CDE"/>
    <w:rsid w:val="000615D0"/>
    <w:rsid w:val="00061E0F"/>
    <w:rsid w:val="00062738"/>
    <w:rsid w:val="00063109"/>
    <w:rsid w:val="00063528"/>
    <w:rsid w:val="00063906"/>
    <w:rsid w:val="00063C45"/>
    <w:rsid w:val="000641B2"/>
    <w:rsid w:val="000642F0"/>
    <w:rsid w:val="0006539C"/>
    <w:rsid w:val="00065568"/>
    <w:rsid w:val="000663B6"/>
    <w:rsid w:val="00066AC4"/>
    <w:rsid w:val="00066AD0"/>
    <w:rsid w:val="00066F74"/>
    <w:rsid w:val="00067305"/>
    <w:rsid w:val="000679D3"/>
    <w:rsid w:val="0007038C"/>
    <w:rsid w:val="00071B5F"/>
    <w:rsid w:val="00071E3F"/>
    <w:rsid w:val="000721D8"/>
    <w:rsid w:val="0007244A"/>
    <w:rsid w:val="000728F2"/>
    <w:rsid w:val="00072E4C"/>
    <w:rsid w:val="00073218"/>
    <w:rsid w:val="00073F3C"/>
    <w:rsid w:val="0007439D"/>
    <w:rsid w:val="000744FC"/>
    <w:rsid w:val="00074829"/>
    <w:rsid w:val="0007561C"/>
    <w:rsid w:val="00075A94"/>
    <w:rsid w:val="00075BC6"/>
    <w:rsid w:val="00075CF8"/>
    <w:rsid w:val="00076191"/>
    <w:rsid w:val="00076557"/>
    <w:rsid w:val="00076EA6"/>
    <w:rsid w:val="00076F89"/>
    <w:rsid w:val="000773AB"/>
    <w:rsid w:val="00077ACA"/>
    <w:rsid w:val="00080728"/>
    <w:rsid w:val="00080832"/>
    <w:rsid w:val="00080853"/>
    <w:rsid w:val="00080C2B"/>
    <w:rsid w:val="00080C55"/>
    <w:rsid w:val="0008172A"/>
    <w:rsid w:val="00081853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4104"/>
    <w:rsid w:val="0008453D"/>
    <w:rsid w:val="00084BDF"/>
    <w:rsid w:val="00084EA8"/>
    <w:rsid w:val="000851F9"/>
    <w:rsid w:val="00085476"/>
    <w:rsid w:val="000855CD"/>
    <w:rsid w:val="00085C0A"/>
    <w:rsid w:val="00085D01"/>
    <w:rsid w:val="00085F24"/>
    <w:rsid w:val="00086273"/>
    <w:rsid w:val="00086337"/>
    <w:rsid w:val="00086431"/>
    <w:rsid w:val="000867C9"/>
    <w:rsid w:val="000872BF"/>
    <w:rsid w:val="000876CF"/>
    <w:rsid w:val="00090AB0"/>
    <w:rsid w:val="00090DB9"/>
    <w:rsid w:val="00090F01"/>
    <w:rsid w:val="00090FA5"/>
    <w:rsid w:val="000911EF"/>
    <w:rsid w:val="00091342"/>
    <w:rsid w:val="00091AD5"/>
    <w:rsid w:val="0009214F"/>
    <w:rsid w:val="0009232A"/>
    <w:rsid w:val="0009258D"/>
    <w:rsid w:val="00092816"/>
    <w:rsid w:val="00093120"/>
    <w:rsid w:val="000936F4"/>
    <w:rsid w:val="00093B70"/>
    <w:rsid w:val="00094908"/>
    <w:rsid w:val="00094DB4"/>
    <w:rsid w:val="00095418"/>
    <w:rsid w:val="000957EE"/>
    <w:rsid w:val="0009689F"/>
    <w:rsid w:val="00096FA3"/>
    <w:rsid w:val="0009702E"/>
    <w:rsid w:val="000973C5"/>
    <w:rsid w:val="000975DE"/>
    <w:rsid w:val="00097E88"/>
    <w:rsid w:val="000A0E8B"/>
    <w:rsid w:val="000A13E8"/>
    <w:rsid w:val="000A1657"/>
    <w:rsid w:val="000A1E9B"/>
    <w:rsid w:val="000A2941"/>
    <w:rsid w:val="000A2C62"/>
    <w:rsid w:val="000A36E9"/>
    <w:rsid w:val="000A3E7E"/>
    <w:rsid w:val="000A3F7E"/>
    <w:rsid w:val="000A4006"/>
    <w:rsid w:val="000A4749"/>
    <w:rsid w:val="000A49D5"/>
    <w:rsid w:val="000A4C07"/>
    <w:rsid w:val="000A5267"/>
    <w:rsid w:val="000A56F7"/>
    <w:rsid w:val="000A5714"/>
    <w:rsid w:val="000A5A79"/>
    <w:rsid w:val="000A5BDF"/>
    <w:rsid w:val="000A5C4F"/>
    <w:rsid w:val="000A5D44"/>
    <w:rsid w:val="000A5ECA"/>
    <w:rsid w:val="000A5F4A"/>
    <w:rsid w:val="000A61B3"/>
    <w:rsid w:val="000A7032"/>
    <w:rsid w:val="000A7370"/>
    <w:rsid w:val="000A75DF"/>
    <w:rsid w:val="000A78B3"/>
    <w:rsid w:val="000B0387"/>
    <w:rsid w:val="000B08C1"/>
    <w:rsid w:val="000B0B7B"/>
    <w:rsid w:val="000B0C14"/>
    <w:rsid w:val="000B0DBC"/>
    <w:rsid w:val="000B169C"/>
    <w:rsid w:val="000B1794"/>
    <w:rsid w:val="000B2041"/>
    <w:rsid w:val="000B2255"/>
    <w:rsid w:val="000B2425"/>
    <w:rsid w:val="000B25A8"/>
    <w:rsid w:val="000B267A"/>
    <w:rsid w:val="000B3825"/>
    <w:rsid w:val="000B3B5F"/>
    <w:rsid w:val="000B3BAF"/>
    <w:rsid w:val="000B4ABD"/>
    <w:rsid w:val="000B4B25"/>
    <w:rsid w:val="000B4B91"/>
    <w:rsid w:val="000B57EF"/>
    <w:rsid w:val="000B59DC"/>
    <w:rsid w:val="000B63A1"/>
    <w:rsid w:val="000B6570"/>
    <w:rsid w:val="000B69D9"/>
    <w:rsid w:val="000B7195"/>
    <w:rsid w:val="000B78EB"/>
    <w:rsid w:val="000B7B7B"/>
    <w:rsid w:val="000B7E39"/>
    <w:rsid w:val="000B7ED0"/>
    <w:rsid w:val="000C04E6"/>
    <w:rsid w:val="000C06CC"/>
    <w:rsid w:val="000C1D99"/>
    <w:rsid w:val="000C1DDA"/>
    <w:rsid w:val="000C2191"/>
    <w:rsid w:val="000C21A6"/>
    <w:rsid w:val="000C2C88"/>
    <w:rsid w:val="000C3CE9"/>
    <w:rsid w:val="000C3F19"/>
    <w:rsid w:val="000C48B1"/>
    <w:rsid w:val="000C499E"/>
    <w:rsid w:val="000C4CB0"/>
    <w:rsid w:val="000C591E"/>
    <w:rsid w:val="000C5F50"/>
    <w:rsid w:val="000C60A3"/>
    <w:rsid w:val="000C629B"/>
    <w:rsid w:val="000C656B"/>
    <w:rsid w:val="000C69E5"/>
    <w:rsid w:val="000C6C3C"/>
    <w:rsid w:val="000C6DC8"/>
    <w:rsid w:val="000C7BCB"/>
    <w:rsid w:val="000C7DE9"/>
    <w:rsid w:val="000C7E19"/>
    <w:rsid w:val="000D0E97"/>
    <w:rsid w:val="000D1BFE"/>
    <w:rsid w:val="000D1EC1"/>
    <w:rsid w:val="000D22A5"/>
    <w:rsid w:val="000D2D2B"/>
    <w:rsid w:val="000D2F73"/>
    <w:rsid w:val="000D3481"/>
    <w:rsid w:val="000D3C04"/>
    <w:rsid w:val="000D628D"/>
    <w:rsid w:val="000D6F93"/>
    <w:rsid w:val="000D70F7"/>
    <w:rsid w:val="000D72DE"/>
    <w:rsid w:val="000D791D"/>
    <w:rsid w:val="000D7A6A"/>
    <w:rsid w:val="000D7A9E"/>
    <w:rsid w:val="000D7AD0"/>
    <w:rsid w:val="000D7EB0"/>
    <w:rsid w:val="000E044D"/>
    <w:rsid w:val="000E04F4"/>
    <w:rsid w:val="000E0723"/>
    <w:rsid w:val="000E082C"/>
    <w:rsid w:val="000E0A92"/>
    <w:rsid w:val="000E0B18"/>
    <w:rsid w:val="000E12F1"/>
    <w:rsid w:val="000E1EC2"/>
    <w:rsid w:val="000E220A"/>
    <w:rsid w:val="000E25B5"/>
    <w:rsid w:val="000E2690"/>
    <w:rsid w:val="000E2836"/>
    <w:rsid w:val="000E295D"/>
    <w:rsid w:val="000E31D2"/>
    <w:rsid w:val="000E33D6"/>
    <w:rsid w:val="000E3621"/>
    <w:rsid w:val="000E38D3"/>
    <w:rsid w:val="000E49EF"/>
    <w:rsid w:val="000E4E62"/>
    <w:rsid w:val="000E4ED7"/>
    <w:rsid w:val="000E4F78"/>
    <w:rsid w:val="000E5E80"/>
    <w:rsid w:val="000E67C5"/>
    <w:rsid w:val="000E6A8C"/>
    <w:rsid w:val="000E7644"/>
    <w:rsid w:val="000E7694"/>
    <w:rsid w:val="000E7D3E"/>
    <w:rsid w:val="000F09F5"/>
    <w:rsid w:val="000F1ACE"/>
    <w:rsid w:val="000F209F"/>
    <w:rsid w:val="000F2220"/>
    <w:rsid w:val="000F25E0"/>
    <w:rsid w:val="000F2B19"/>
    <w:rsid w:val="000F3D0A"/>
    <w:rsid w:val="000F3D33"/>
    <w:rsid w:val="000F3E30"/>
    <w:rsid w:val="000F41FF"/>
    <w:rsid w:val="000F42EF"/>
    <w:rsid w:val="000F449D"/>
    <w:rsid w:val="000F49CB"/>
    <w:rsid w:val="000F4FBC"/>
    <w:rsid w:val="000F55E2"/>
    <w:rsid w:val="000F5927"/>
    <w:rsid w:val="000F5C65"/>
    <w:rsid w:val="000F635B"/>
    <w:rsid w:val="000F707F"/>
    <w:rsid w:val="000F7A2B"/>
    <w:rsid w:val="000F7AA7"/>
    <w:rsid w:val="00100233"/>
    <w:rsid w:val="00100FAA"/>
    <w:rsid w:val="00101036"/>
    <w:rsid w:val="0010125A"/>
    <w:rsid w:val="00101CB1"/>
    <w:rsid w:val="00101CEF"/>
    <w:rsid w:val="0010292B"/>
    <w:rsid w:val="00103B0E"/>
    <w:rsid w:val="00103B3E"/>
    <w:rsid w:val="00103E92"/>
    <w:rsid w:val="001055C3"/>
    <w:rsid w:val="00105C43"/>
    <w:rsid w:val="00106409"/>
    <w:rsid w:val="00106704"/>
    <w:rsid w:val="001076FC"/>
    <w:rsid w:val="00107771"/>
    <w:rsid w:val="001077EB"/>
    <w:rsid w:val="00107D39"/>
    <w:rsid w:val="001106BD"/>
    <w:rsid w:val="001118F1"/>
    <w:rsid w:val="00111FB1"/>
    <w:rsid w:val="00112642"/>
    <w:rsid w:val="00112DFF"/>
    <w:rsid w:val="001130A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8C5"/>
    <w:rsid w:val="00115AEA"/>
    <w:rsid w:val="00116A85"/>
    <w:rsid w:val="00116DD9"/>
    <w:rsid w:val="00117093"/>
    <w:rsid w:val="0011741A"/>
    <w:rsid w:val="001175F7"/>
    <w:rsid w:val="00120064"/>
    <w:rsid w:val="001202CB"/>
    <w:rsid w:val="00121D77"/>
    <w:rsid w:val="00121D7E"/>
    <w:rsid w:val="0012286C"/>
    <w:rsid w:val="00122BD1"/>
    <w:rsid w:val="00122E3A"/>
    <w:rsid w:val="00122E42"/>
    <w:rsid w:val="001231C4"/>
    <w:rsid w:val="00124170"/>
    <w:rsid w:val="00124183"/>
    <w:rsid w:val="001248DC"/>
    <w:rsid w:val="00124C3F"/>
    <w:rsid w:val="00124CA1"/>
    <w:rsid w:val="00124FA7"/>
    <w:rsid w:val="0012538B"/>
    <w:rsid w:val="001256DB"/>
    <w:rsid w:val="0012623F"/>
    <w:rsid w:val="00126542"/>
    <w:rsid w:val="00126597"/>
    <w:rsid w:val="0012677A"/>
    <w:rsid w:val="001268C7"/>
    <w:rsid w:val="001276E3"/>
    <w:rsid w:val="00127ED5"/>
    <w:rsid w:val="00130CCE"/>
    <w:rsid w:val="001316F9"/>
    <w:rsid w:val="001317BD"/>
    <w:rsid w:val="001318BD"/>
    <w:rsid w:val="0013203D"/>
    <w:rsid w:val="00132357"/>
    <w:rsid w:val="00132721"/>
    <w:rsid w:val="001327CC"/>
    <w:rsid w:val="00133A17"/>
    <w:rsid w:val="00133CBE"/>
    <w:rsid w:val="001343CE"/>
    <w:rsid w:val="001344EE"/>
    <w:rsid w:val="00134B8F"/>
    <w:rsid w:val="00135042"/>
    <w:rsid w:val="00135658"/>
    <w:rsid w:val="00135727"/>
    <w:rsid w:val="00135C1E"/>
    <w:rsid w:val="00136983"/>
    <w:rsid w:val="00136A02"/>
    <w:rsid w:val="00137C89"/>
    <w:rsid w:val="00141652"/>
    <w:rsid w:val="001416E0"/>
    <w:rsid w:val="00141ABF"/>
    <w:rsid w:val="00141F5F"/>
    <w:rsid w:val="001426BF"/>
    <w:rsid w:val="001426DD"/>
    <w:rsid w:val="001433FE"/>
    <w:rsid w:val="00143DEE"/>
    <w:rsid w:val="001441BA"/>
    <w:rsid w:val="00144E09"/>
    <w:rsid w:val="00144E9E"/>
    <w:rsid w:val="00145A5B"/>
    <w:rsid w:val="00145A5E"/>
    <w:rsid w:val="001468C2"/>
    <w:rsid w:val="00146B0E"/>
    <w:rsid w:val="00146F9A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9E4"/>
    <w:rsid w:val="00151EEA"/>
    <w:rsid w:val="00151EFB"/>
    <w:rsid w:val="0015279D"/>
    <w:rsid w:val="00152A8D"/>
    <w:rsid w:val="00152AD3"/>
    <w:rsid w:val="00153444"/>
    <w:rsid w:val="00153EAA"/>
    <w:rsid w:val="00153FEB"/>
    <w:rsid w:val="00154191"/>
    <w:rsid w:val="00154952"/>
    <w:rsid w:val="00154ED5"/>
    <w:rsid w:val="00155040"/>
    <w:rsid w:val="001556C6"/>
    <w:rsid w:val="0015589D"/>
    <w:rsid w:val="00155A2A"/>
    <w:rsid w:val="00155F56"/>
    <w:rsid w:val="001562A9"/>
    <w:rsid w:val="00156820"/>
    <w:rsid w:val="001569F8"/>
    <w:rsid w:val="00157675"/>
    <w:rsid w:val="001579AE"/>
    <w:rsid w:val="00157F5E"/>
    <w:rsid w:val="001601CC"/>
    <w:rsid w:val="001604D9"/>
    <w:rsid w:val="00160F7E"/>
    <w:rsid w:val="00161C6F"/>
    <w:rsid w:val="00161F5E"/>
    <w:rsid w:val="0016246A"/>
    <w:rsid w:val="001629E7"/>
    <w:rsid w:val="00163B83"/>
    <w:rsid w:val="00163BCB"/>
    <w:rsid w:val="00163CD9"/>
    <w:rsid w:val="001645E7"/>
    <w:rsid w:val="00164B81"/>
    <w:rsid w:val="00164D18"/>
    <w:rsid w:val="0016566E"/>
    <w:rsid w:val="001658FB"/>
    <w:rsid w:val="00166481"/>
    <w:rsid w:val="0016709F"/>
    <w:rsid w:val="00167536"/>
    <w:rsid w:val="0016764F"/>
    <w:rsid w:val="00167779"/>
    <w:rsid w:val="00171017"/>
    <w:rsid w:val="00171682"/>
    <w:rsid w:val="00172348"/>
    <w:rsid w:val="001746CB"/>
    <w:rsid w:val="00174F1F"/>
    <w:rsid w:val="001755B0"/>
    <w:rsid w:val="00175789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1225"/>
    <w:rsid w:val="00181402"/>
    <w:rsid w:val="00181725"/>
    <w:rsid w:val="00181B91"/>
    <w:rsid w:val="0018212D"/>
    <w:rsid w:val="0018243E"/>
    <w:rsid w:val="00182811"/>
    <w:rsid w:val="00182A77"/>
    <w:rsid w:val="00182DA3"/>
    <w:rsid w:val="00182ED1"/>
    <w:rsid w:val="00183A42"/>
    <w:rsid w:val="00183D64"/>
    <w:rsid w:val="00183E45"/>
    <w:rsid w:val="001842ED"/>
    <w:rsid w:val="00184895"/>
    <w:rsid w:val="001848D6"/>
    <w:rsid w:val="00184BF9"/>
    <w:rsid w:val="0018590A"/>
    <w:rsid w:val="001866A7"/>
    <w:rsid w:val="00186742"/>
    <w:rsid w:val="00186EEC"/>
    <w:rsid w:val="00186F3C"/>
    <w:rsid w:val="00187814"/>
    <w:rsid w:val="00187AEF"/>
    <w:rsid w:val="00187C99"/>
    <w:rsid w:val="00190F2D"/>
    <w:rsid w:val="001916B9"/>
    <w:rsid w:val="0019218B"/>
    <w:rsid w:val="001922C8"/>
    <w:rsid w:val="0019297D"/>
    <w:rsid w:val="00192BAA"/>
    <w:rsid w:val="001937B5"/>
    <w:rsid w:val="001937CB"/>
    <w:rsid w:val="00193A3D"/>
    <w:rsid w:val="0019444D"/>
    <w:rsid w:val="00194BE1"/>
    <w:rsid w:val="00194BE8"/>
    <w:rsid w:val="00194E00"/>
    <w:rsid w:val="0019650F"/>
    <w:rsid w:val="0019652C"/>
    <w:rsid w:val="001967A4"/>
    <w:rsid w:val="00196D13"/>
    <w:rsid w:val="00197FB2"/>
    <w:rsid w:val="001A0567"/>
    <w:rsid w:val="001A07D1"/>
    <w:rsid w:val="001A1027"/>
    <w:rsid w:val="001A1065"/>
    <w:rsid w:val="001A164B"/>
    <w:rsid w:val="001A1C93"/>
    <w:rsid w:val="001A2699"/>
    <w:rsid w:val="001A2929"/>
    <w:rsid w:val="001A2B2C"/>
    <w:rsid w:val="001A391B"/>
    <w:rsid w:val="001A3920"/>
    <w:rsid w:val="001A3A51"/>
    <w:rsid w:val="001A447E"/>
    <w:rsid w:val="001A4824"/>
    <w:rsid w:val="001A482C"/>
    <w:rsid w:val="001A4AB7"/>
    <w:rsid w:val="001A4B3A"/>
    <w:rsid w:val="001A5200"/>
    <w:rsid w:val="001A58EA"/>
    <w:rsid w:val="001A5FB6"/>
    <w:rsid w:val="001A601C"/>
    <w:rsid w:val="001A6174"/>
    <w:rsid w:val="001A6A35"/>
    <w:rsid w:val="001A6D72"/>
    <w:rsid w:val="001A7309"/>
    <w:rsid w:val="001A730F"/>
    <w:rsid w:val="001A77C1"/>
    <w:rsid w:val="001A79A3"/>
    <w:rsid w:val="001B0329"/>
    <w:rsid w:val="001B06A1"/>
    <w:rsid w:val="001B0BE7"/>
    <w:rsid w:val="001B0D53"/>
    <w:rsid w:val="001B1165"/>
    <w:rsid w:val="001B189F"/>
    <w:rsid w:val="001B19A8"/>
    <w:rsid w:val="001B1CD4"/>
    <w:rsid w:val="001B2E9E"/>
    <w:rsid w:val="001B35DD"/>
    <w:rsid w:val="001B35E0"/>
    <w:rsid w:val="001B3A7D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AD"/>
    <w:rsid w:val="001B67E6"/>
    <w:rsid w:val="001B711C"/>
    <w:rsid w:val="001B76BE"/>
    <w:rsid w:val="001B7A5B"/>
    <w:rsid w:val="001B7E65"/>
    <w:rsid w:val="001C0001"/>
    <w:rsid w:val="001C088A"/>
    <w:rsid w:val="001C0B74"/>
    <w:rsid w:val="001C1977"/>
    <w:rsid w:val="001C19B4"/>
    <w:rsid w:val="001C1C2E"/>
    <w:rsid w:val="001C2037"/>
    <w:rsid w:val="001C2B16"/>
    <w:rsid w:val="001C2F89"/>
    <w:rsid w:val="001C3B96"/>
    <w:rsid w:val="001C3BBD"/>
    <w:rsid w:val="001C3BC2"/>
    <w:rsid w:val="001C456E"/>
    <w:rsid w:val="001C48EB"/>
    <w:rsid w:val="001C492F"/>
    <w:rsid w:val="001C4A63"/>
    <w:rsid w:val="001C4B29"/>
    <w:rsid w:val="001C4BBF"/>
    <w:rsid w:val="001C555C"/>
    <w:rsid w:val="001C5AA7"/>
    <w:rsid w:val="001C649A"/>
    <w:rsid w:val="001C718B"/>
    <w:rsid w:val="001C7DCC"/>
    <w:rsid w:val="001C7E3B"/>
    <w:rsid w:val="001C7EAA"/>
    <w:rsid w:val="001D0A2A"/>
    <w:rsid w:val="001D0B2E"/>
    <w:rsid w:val="001D0C3D"/>
    <w:rsid w:val="001D10FA"/>
    <w:rsid w:val="001D163A"/>
    <w:rsid w:val="001D1680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3AF5"/>
    <w:rsid w:val="001D4050"/>
    <w:rsid w:val="001D4AAF"/>
    <w:rsid w:val="001D4C2D"/>
    <w:rsid w:val="001D5309"/>
    <w:rsid w:val="001D57E4"/>
    <w:rsid w:val="001D73A8"/>
    <w:rsid w:val="001D794A"/>
    <w:rsid w:val="001D7D0D"/>
    <w:rsid w:val="001D7EAE"/>
    <w:rsid w:val="001E0315"/>
    <w:rsid w:val="001E0C8B"/>
    <w:rsid w:val="001E0CB2"/>
    <w:rsid w:val="001E1607"/>
    <w:rsid w:val="001E1956"/>
    <w:rsid w:val="001E1D5A"/>
    <w:rsid w:val="001E2EE0"/>
    <w:rsid w:val="001E2F46"/>
    <w:rsid w:val="001E389E"/>
    <w:rsid w:val="001E416B"/>
    <w:rsid w:val="001E43F6"/>
    <w:rsid w:val="001E453B"/>
    <w:rsid w:val="001E45D2"/>
    <w:rsid w:val="001E4748"/>
    <w:rsid w:val="001E4832"/>
    <w:rsid w:val="001E58E4"/>
    <w:rsid w:val="001E5A98"/>
    <w:rsid w:val="001E5C3B"/>
    <w:rsid w:val="001E5E41"/>
    <w:rsid w:val="001E63C1"/>
    <w:rsid w:val="001E641B"/>
    <w:rsid w:val="001E668D"/>
    <w:rsid w:val="001E68B2"/>
    <w:rsid w:val="001E68F5"/>
    <w:rsid w:val="001E6D4C"/>
    <w:rsid w:val="001E6D9E"/>
    <w:rsid w:val="001E76D5"/>
    <w:rsid w:val="001E79D0"/>
    <w:rsid w:val="001E7AE0"/>
    <w:rsid w:val="001E7D4B"/>
    <w:rsid w:val="001E7FFC"/>
    <w:rsid w:val="001F0066"/>
    <w:rsid w:val="001F0BB9"/>
    <w:rsid w:val="001F0BC1"/>
    <w:rsid w:val="001F1A92"/>
    <w:rsid w:val="001F1F57"/>
    <w:rsid w:val="001F217D"/>
    <w:rsid w:val="001F24A6"/>
    <w:rsid w:val="001F264B"/>
    <w:rsid w:val="001F2AF2"/>
    <w:rsid w:val="001F3453"/>
    <w:rsid w:val="001F396F"/>
    <w:rsid w:val="001F3DD9"/>
    <w:rsid w:val="001F41D0"/>
    <w:rsid w:val="001F4BFD"/>
    <w:rsid w:val="001F4F92"/>
    <w:rsid w:val="001F559B"/>
    <w:rsid w:val="001F5A2A"/>
    <w:rsid w:val="001F6076"/>
    <w:rsid w:val="001F6159"/>
    <w:rsid w:val="001F6607"/>
    <w:rsid w:val="001F68CD"/>
    <w:rsid w:val="001F6995"/>
    <w:rsid w:val="001F711E"/>
    <w:rsid w:val="001F740C"/>
    <w:rsid w:val="001F78DB"/>
    <w:rsid w:val="001F7AB7"/>
    <w:rsid w:val="0020003C"/>
    <w:rsid w:val="0020035A"/>
    <w:rsid w:val="002007B3"/>
    <w:rsid w:val="002008C3"/>
    <w:rsid w:val="002010CA"/>
    <w:rsid w:val="00201480"/>
    <w:rsid w:val="002014C2"/>
    <w:rsid w:val="00201C4F"/>
    <w:rsid w:val="00201CD3"/>
    <w:rsid w:val="00202AEC"/>
    <w:rsid w:val="00202D4D"/>
    <w:rsid w:val="00202E1D"/>
    <w:rsid w:val="00202F91"/>
    <w:rsid w:val="00203788"/>
    <w:rsid w:val="002038B2"/>
    <w:rsid w:val="00203DF0"/>
    <w:rsid w:val="00203F77"/>
    <w:rsid w:val="00204070"/>
    <w:rsid w:val="0020473E"/>
    <w:rsid w:val="0020520F"/>
    <w:rsid w:val="002053F1"/>
    <w:rsid w:val="002055DA"/>
    <w:rsid w:val="002059FD"/>
    <w:rsid w:val="00205C1D"/>
    <w:rsid w:val="00205DE4"/>
    <w:rsid w:val="0020630C"/>
    <w:rsid w:val="002065FA"/>
    <w:rsid w:val="00206C3F"/>
    <w:rsid w:val="00206F66"/>
    <w:rsid w:val="0020705B"/>
    <w:rsid w:val="002072B8"/>
    <w:rsid w:val="002073BC"/>
    <w:rsid w:val="0020792D"/>
    <w:rsid w:val="00207A52"/>
    <w:rsid w:val="00207AE7"/>
    <w:rsid w:val="00207EEB"/>
    <w:rsid w:val="0021020D"/>
    <w:rsid w:val="0021095E"/>
    <w:rsid w:val="00210EA9"/>
    <w:rsid w:val="00211287"/>
    <w:rsid w:val="002112A1"/>
    <w:rsid w:val="00211708"/>
    <w:rsid w:val="00211909"/>
    <w:rsid w:val="00211E0B"/>
    <w:rsid w:val="00212478"/>
    <w:rsid w:val="0021388F"/>
    <w:rsid w:val="002141AD"/>
    <w:rsid w:val="0021422E"/>
    <w:rsid w:val="002142FC"/>
    <w:rsid w:val="00214446"/>
    <w:rsid w:val="002145B6"/>
    <w:rsid w:val="00215612"/>
    <w:rsid w:val="00215974"/>
    <w:rsid w:val="00216E00"/>
    <w:rsid w:val="002202D3"/>
    <w:rsid w:val="0022055C"/>
    <w:rsid w:val="00220657"/>
    <w:rsid w:val="00220FB8"/>
    <w:rsid w:val="00221698"/>
    <w:rsid w:val="002218B8"/>
    <w:rsid w:val="00221B06"/>
    <w:rsid w:val="00221E5F"/>
    <w:rsid w:val="00221ED8"/>
    <w:rsid w:val="002221B4"/>
    <w:rsid w:val="002231D5"/>
    <w:rsid w:val="002239F2"/>
    <w:rsid w:val="00223C06"/>
    <w:rsid w:val="00223E25"/>
    <w:rsid w:val="00223F0D"/>
    <w:rsid w:val="00224178"/>
    <w:rsid w:val="00224342"/>
    <w:rsid w:val="00224417"/>
    <w:rsid w:val="0022512B"/>
    <w:rsid w:val="002251D6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540"/>
    <w:rsid w:val="00227A36"/>
    <w:rsid w:val="00230275"/>
    <w:rsid w:val="00230568"/>
    <w:rsid w:val="00230AA0"/>
    <w:rsid w:val="00230C75"/>
    <w:rsid w:val="00230DA7"/>
    <w:rsid w:val="002310EC"/>
    <w:rsid w:val="00231A23"/>
    <w:rsid w:val="00231E37"/>
    <w:rsid w:val="00232029"/>
    <w:rsid w:val="00232234"/>
    <w:rsid w:val="002322B2"/>
    <w:rsid w:val="0023286D"/>
    <w:rsid w:val="00232A76"/>
    <w:rsid w:val="00232D4C"/>
    <w:rsid w:val="00232F32"/>
    <w:rsid w:val="00233035"/>
    <w:rsid w:val="00233606"/>
    <w:rsid w:val="00233B65"/>
    <w:rsid w:val="00233F17"/>
    <w:rsid w:val="00234399"/>
    <w:rsid w:val="002352D7"/>
    <w:rsid w:val="00235911"/>
    <w:rsid w:val="0023597E"/>
    <w:rsid w:val="0023599C"/>
    <w:rsid w:val="00235BAE"/>
    <w:rsid w:val="00236288"/>
    <w:rsid w:val="00236493"/>
    <w:rsid w:val="00236760"/>
    <w:rsid w:val="0023690B"/>
    <w:rsid w:val="00236DA8"/>
    <w:rsid w:val="00237D37"/>
    <w:rsid w:val="0024097D"/>
    <w:rsid w:val="00241495"/>
    <w:rsid w:val="00241B52"/>
    <w:rsid w:val="00241BCB"/>
    <w:rsid w:val="00241C95"/>
    <w:rsid w:val="0024277A"/>
    <w:rsid w:val="0024291D"/>
    <w:rsid w:val="00243613"/>
    <w:rsid w:val="0024378E"/>
    <w:rsid w:val="00243906"/>
    <w:rsid w:val="00243A2D"/>
    <w:rsid w:val="00243D16"/>
    <w:rsid w:val="00244B9B"/>
    <w:rsid w:val="00245288"/>
    <w:rsid w:val="002454E6"/>
    <w:rsid w:val="00245850"/>
    <w:rsid w:val="002468A1"/>
    <w:rsid w:val="00246FCB"/>
    <w:rsid w:val="00247040"/>
    <w:rsid w:val="00247441"/>
    <w:rsid w:val="0024767F"/>
    <w:rsid w:val="002477D6"/>
    <w:rsid w:val="00247804"/>
    <w:rsid w:val="00247A0D"/>
    <w:rsid w:val="00247A8C"/>
    <w:rsid w:val="00247AFD"/>
    <w:rsid w:val="00247EF9"/>
    <w:rsid w:val="00247F88"/>
    <w:rsid w:val="002500C2"/>
    <w:rsid w:val="0025010E"/>
    <w:rsid w:val="00250115"/>
    <w:rsid w:val="00250385"/>
    <w:rsid w:val="002513FC"/>
    <w:rsid w:val="0025166D"/>
    <w:rsid w:val="002516C5"/>
    <w:rsid w:val="00252262"/>
    <w:rsid w:val="00252999"/>
    <w:rsid w:val="00252CA2"/>
    <w:rsid w:val="00252E43"/>
    <w:rsid w:val="00253B9C"/>
    <w:rsid w:val="00253D78"/>
    <w:rsid w:val="0025480F"/>
    <w:rsid w:val="00254A73"/>
    <w:rsid w:val="002553C7"/>
    <w:rsid w:val="00255EB2"/>
    <w:rsid w:val="002560D8"/>
    <w:rsid w:val="002565D8"/>
    <w:rsid w:val="00256992"/>
    <w:rsid w:val="002576B1"/>
    <w:rsid w:val="00260562"/>
    <w:rsid w:val="00260714"/>
    <w:rsid w:val="00261144"/>
    <w:rsid w:val="002617CD"/>
    <w:rsid w:val="00261A10"/>
    <w:rsid w:val="00261C03"/>
    <w:rsid w:val="00261E6F"/>
    <w:rsid w:val="00261EB6"/>
    <w:rsid w:val="00261F08"/>
    <w:rsid w:val="00263233"/>
    <w:rsid w:val="002633BE"/>
    <w:rsid w:val="00263AF9"/>
    <w:rsid w:val="00263E20"/>
    <w:rsid w:val="00263FC0"/>
    <w:rsid w:val="002640B7"/>
    <w:rsid w:val="00264B64"/>
    <w:rsid w:val="002653B6"/>
    <w:rsid w:val="0026553D"/>
    <w:rsid w:val="0026684F"/>
    <w:rsid w:val="002668D3"/>
    <w:rsid w:val="0026773F"/>
    <w:rsid w:val="00267A31"/>
    <w:rsid w:val="00267DF1"/>
    <w:rsid w:val="0027012B"/>
    <w:rsid w:val="002701E8"/>
    <w:rsid w:val="00270555"/>
    <w:rsid w:val="002705EA"/>
    <w:rsid w:val="002706A7"/>
    <w:rsid w:val="00270CEC"/>
    <w:rsid w:val="00270EFB"/>
    <w:rsid w:val="00271621"/>
    <w:rsid w:val="0027260F"/>
    <w:rsid w:val="00273C0E"/>
    <w:rsid w:val="002748AE"/>
    <w:rsid w:val="00274F84"/>
    <w:rsid w:val="00275193"/>
    <w:rsid w:val="00276907"/>
    <w:rsid w:val="00276D86"/>
    <w:rsid w:val="00276FF1"/>
    <w:rsid w:val="002771EA"/>
    <w:rsid w:val="00277EF8"/>
    <w:rsid w:val="0028022D"/>
    <w:rsid w:val="002806CD"/>
    <w:rsid w:val="00280738"/>
    <w:rsid w:val="002807DA"/>
    <w:rsid w:val="00280913"/>
    <w:rsid w:val="002809B1"/>
    <w:rsid w:val="00280CE6"/>
    <w:rsid w:val="002811B0"/>
    <w:rsid w:val="00281339"/>
    <w:rsid w:val="00281392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4952"/>
    <w:rsid w:val="0028508F"/>
    <w:rsid w:val="002856DF"/>
    <w:rsid w:val="00285731"/>
    <w:rsid w:val="00285B82"/>
    <w:rsid w:val="00285C02"/>
    <w:rsid w:val="00286527"/>
    <w:rsid w:val="00286962"/>
    <w:rsid w:val="00286992"/>
    <w:rsid w:val="00286A25"/>
    <w:rsid w:val="00286B8D"/>
    <w:rsid w:val="00286E63"/>
    <w:rsid w:val="00287651"/>
    <w:rsid w:val="00287DDE"/>
    <w:rsid w:val="00290260"/>
    <w:rsid w:val="002902ED"/>
    <w:rsid w:val="002902F1"/>
    <w:rsid w:val="0029075C"/>
    <w:rsid w:val="00290CBF"/>
    <w:rsid w:val="00291417"/>
    <w:rsid w:val="002914B3"/>
    <w:rsid w:val="002922C5"/>
    <w:rsid w:val="00292355"/>
    <w:rsid w:val="0029287A"/>
    <w:rsid w:val="0029328F"/>
    <w:rsid w:val="0029370C"/>
    <w:rsid w:val="002940F9"/>
    <w:rsid w:val="0029431C"/>
    <w:rsid w:val="00294E64"/>
    <w:rsid w:val="0029520A"/>
    <w:rsid w:val="00295A93"/>
    <w:rsid w:val="00295B5D"/>
    <w:rsid w:val="00295EFC"/>
    <w:rsid w:val="002961B1"/>
    <w:rsid w:val="0029650F"/>
    <w:rsid w:val="00296AA5"/>
    <w:rsid w:val="00297661"/>
    <w:rsid w:val="0029772B"/>
    <w:rsid w:val="00297A1A"/>
    <w:rsid w:val="00297BF1"/>
    <w:rsid w:val="00297D3D"/>
    <w:rsid w:val="002A0082"/>
    <w:rsid w:val="002A0552"/>
    <w:rsid w:val="002A091A"/>
    <w:rsid w:val="002A117C"/>
    <w:rsid w:val="002A130C"/>
    <w:rsid w:val="002A15B1"/>
    <w:rsid w:val="002A1679"/>
    <w:rsid w:val="002A17EA"/>
    <w:rsid w:val="002A18C3"/>
    <w:rsid w:val="002A1F17"/>
    <w:rsid w:val="002A20E9"/>
    <w:rsid w:val="002A2279"/>
    <w:rsid w:val="002A28B1"/>
    <w:rsid w:val="002A2937"/>
    <w:rsid w:val="002A2D90"/>
    <w:rsid w:val="002A39A3"/>
    <w:rsid w:val="002A3A62"/>
    <w:rsid w:val="002A3B98"/>
    <w:rsid w:val="002A4667"/>
    <w:rsid w:val="002A46D6"/>
    <w:rsid w:val="002A4B22"/>
    <w:rsid w:val="002A4CFB"/>
    <w:rsid w:val="002A5276"/>
    <w:rsid w:val="002A6063"/>
    <w:rsid w:val="002A60BD"/>
    <w:rsid w:val="002A6437"/>
    <w:rsid w:val="002A6752"/>
    <w:rsid w:val="002A6C4B"/>
    <w:rsid w:val="002A7059"/>
    <w:rsid w:val="002A706D"/>
    <w:rsid w:val="002A77B5"/>
    <w:rsid w:val="002A7B0C"/>
    <w:rsid w:val="002B0534"/>
    <w:rsid w:val="002B0775"/>
    <w:rsid w:val="002B0C1D"/>
    <w:rsid w:val="002B1337"/>
    <w:rsid w:val="002B25DC"/>
    <w:rsid w:val="002B2D52"/>
    <w:rsid w:val="002B33D1"/>
    <w:rsid w:val="002B33E9"/>
    <w:rsid w:val="002B3F57"/>
    <w:rsid w:val="002B4541"/>
    <w:rsid w:val="002B48A1"/>
    <w:rsid w:val="002B4ACE"/>
    <w:rsid w:val="002B4BE1"/>
    <w:rsid w:val="002B4FE0"/>
    <w:rsid w:val="002B5103"/>
    <w:rsid w:val="002B520E"/>
    <w:rsid w:val="002B593E"/>
    <w:rsid w:val="002B59BC"/>
    <w:rsid w:val="002B5BBD"/>
    <w:rsid w:val="002B5BE9"/>
    <w:rsid w:val="002B5E89"/>
    <w:rsid w:val="002B6311"/>
    <w:rsid w:val="002B6C82"/>
    <w:rsid w:val="002B6C93"/>
    <w:rsid w:val="002B70D5"/>
    <w:rsid w:val="002B738A"/>
    <w:rsid w:val="002B7978"/>
    <w:rsid w:val="002B79CD"/>
    <w:rsid w:val="002B7E11"/>
    <w:rsid w:val="002B7F11"/>
    <w:rsid w:val="002C0371"/>
    <w:rsid w:val="002C06ED"/>
    <w:rsid w:val="002C0C07"/>
    <w:rsid w:val="002C113A"/>
    <w:rsid w:val="002C1255"/>
    <w:rsid w:val="002C1566"/>
    <w:rsid w:val="002C1F2D"/>
    <w:rsid w:val="002C1FF8"/>
    <w:rsid w:val="002C2062"/>
    <w:rsid w:val="002C3AA9"/>
    <w:rsid w:val="002C3C7D"/>
    <w:rsid w:val="002C4053"/>
    <w:rsid w:val="002C44C1"/>
    <w:rsid w:val="002C4512"/>
    <w:rsid w:val="002C45B7"/>
    <w:rsid w:val="002C4FDC"/>
    <w:rsid w:val="002C520F"/>
    <w:rsid w:val="002C55C8"/>
    <w:rsid w:val="002C561D"/>
    <w:rsid w:val="002C58BB"/>
    <w:rsid w:val="002C5952"/>
    <w:rsid w:val="002C5963"/>
    <w:rsid w:val="002C5BF8"/>
    <w:rsid w:val="002C5DFF"/>
    <w:rsid w:val="002C610A"/>
    <w:rsid w:val="002C616D"/>
    <w:rsid w:val="002C6339"/>
    <w:rsid w:val="002C6539"/>
    <w:rsid w:val="002C66A8"/>
    <w:rsid w:val="002C6A7C"/>
    <w:rsid w:val="002C6DBA"/>
    <w:rsid w:val="002C6F17"/>
    <w:rsid w:val="002C7334"/>
    <w:rsid w:val="002C7709"/>
    <w:rsid w:val="002C78CF"/>
    <w:rsid w:val="002D0B15"/>
    <w:rsid w:val="002D0C97"/>
    <w:rsid w:val="002D0F71"/>
    <w:rsid w:val="002D139F"/>
    <w:rsid w:val="002D24CD"/>
    <w:rsid w:val="002D2A4C"/>
    <w:rsid w:val="002D30C7"/>
    <w:rsid w:val="002D3495"/>
    <w:rsid w:val="002D42BE"/>
    <w:rsid w:val="002D454E"/>
    <w:rsid w:val="002D48CE"/>
    <w:rsid w:val="002D5086"/>
    <w:rsid w:val="002D512A"/>
    <w:rsid w:val="002D6C5A"/>
    <w:rsid w:val="002D7DF3"/>
    <w:rsid w:val="002E0571"/>
    <w:rsid w:val="002E090C"/>
    <w:rsid w:val="002E0D16"/>
    <w:rsid w:val="002E0E60"/>
    <w:rsid w:val="002E0FF5"/>
    <w:rsid w:val="002E16B9"/>
    <w:rsid w:val="002E1B90"/>
    <w:rsid w:val="002E1E39"/>
    <w:rsid w:val="002E291B"/>
    <w:rsid w:val="002E2B4E"/>
    <w:rsid w:val="002E2CFA"/>
    <w:rsid w:val="002E324C"/>
    <w:rsid w:val="002E38EF"/>
    <w:rsid w:val="002E391D"/>
    <w:rsid w:val="002E391F"/>
    <w:rsid w:val="002E41BB"/>
    <w:rsid w:val="002E46CB"/>
    <w:rsid w:val="002E4A55"/>
    <w:rsid w:val="002E4D79"/>
    <w:rsid w:val="002E54F7"/>
    <w:rsid w:val="002E55E4"/>
    <w:rsid w:val="002E5A4A"/>
    <w:rsid w:val="002E5FCA"/>
    <w:rsid w:val="002E6687"/>
    <w:rsid w:val="002E71F6"/>
    <w:rsid w:val="002E74EE"/>
    <w:rsid w:val="002E75BF"/>
    <w:rsid w:val="002E78A7"/>
    <w:rsid w:val="002E7E66"/>
    <w:rsid w:val="002F02D9"/>
    <w:rsid w:val="002F03D1"/>
    <w:rsid w:val="002F05A9"/>
    <w:rsid w:val="002F13D4"/>
    <w:rsid w:val="002F196C"/>
    <w:rsid w:val="002F19A3"/>
    <w:rsid w:val="002F222D"/>
    <w:rsid w:val="002F271F"/>
    <w:rsid w:val="002F2E23"/>
    <w:rsid w:val="002F375E"/>
    <w:rsid w:val="002F38D0"/>
    <w:rsid w:val="002F5762"/>
    <w:rsid w:val="002F584E"/>
    <w:rsid w:val="002F62E6"/>
    <w:rsid w:val="002F660E"/>
    <w:rsid w:val="002F6F90"/>
    <w:rsid w:val="002F71C4"/>
    <w:rsid w:val="002F7BA5"/>
    <w:rsid w:val="003008F2"/>
    <w:rsid w:val="00300DE8"/>
    <w:rsid w:val="00301691"/>
    <w:rsid w:val="003026D8"/>
    <w:rsid w:val="00302EA8"/>
    <w:rsid w:val="003033EF"/>
    <w:rsid w:val="00303714"/>
    <w:rsid w:val="0030386D"/>
    <w:rsid w:val="00303AD6"/>
    <w:rsid w:val="00303BD9"/>
    <w:rsid w:val="00303DFA"/>
    <w:rsid w:val="0030463F"/>
    <w:rsid w:val="00304A16"/>
    <w:rsid w:val="003054DE"/>
    <w:rsid w:val="00305A14"/>
    <w:rsid w:val="00305D8F"/>
    <w:rsid w:val="003060FB"/>
    <w:rsid w:val="003061F0"/>
    <w:rsid w:val="003065EB"/>
    <w:rsid w:val="003065F1"/>
    <w:rsid w:val="0030680B"/>
    <w:rsid w:val="00306A28"/>
    <w:rsid w:val="00306CED"/>
    <w:rsid w:val="00306DB7"/>
    <w:rsid w:val="00307089"/>
    <w:rsid w:val="003074CF"/>
    <w:rsid w:val="003075BF"/>
    <w:rsid w:val="00307A16"/>
    <w:rsid w:val="00310273"/>
    <w:rsid w:val="00310275"/>
    <w:rsid w:val="003125AE"/>
    <w:rsid w:val="003135C0"/>
    <w:rsid w:val="00313968"/>
    <w:rsid w:val="0031446D"/>
    <w:rsid w:val="00314558"/>
    <w:rsid w:val="0031459F"/>
    <w:rsid w:val="0031551F"/>
    <w:rsid w:val="00315B0B"/>
    <w:rsid w:val="00315D26"/>
    <w:rsid w:val="00315F85"/>
    <w:rsid w:val="00315FB7"/>
    <w:rsid w:val="0031628A"/>
    <w:rsid w:val="003165D4"/>
    <w:rsid w:val="00316BCB"/>
    <w:rsid w:val="00317CD3"/>
    <w:rsid w:val="003211FC"/>
    <w:rsid w:val="00321595"/>
    <w:rsid w:val="003216DC"/>
    <w:rsid w:val="00323475"/>
    <w:rsid w:val="00323ED7"/>
    <w:rsid w:val="00324328"/>
    <w:rsid w:val="00324C36"/>
    <w:rsid w:val="00325142"/>
    <w:rsid w:val="003252EC"/>
    <w:rsid w:val="00325610"/>
    <w:rsid w:val="00325D2E"/>
    <w:rsid w:val="0032611A"/>
    <w:rsid w:val="00326274"/>
    <w:rsid w:val="00326719"/>
    <w:rsid w:val="00326D70"/>
    <w:rsid w:val="00326FC7"/>
    <w:rsid w:val="003271E7"/>
    <w:rsid w:val="003275F1"/>
    <w:rsid w:val="0032762F"/>
    <w:rsid w:val="00330263"/>
    <w:rsid w:val="003309DF"/>
    <w:rsid w:val="003311E2"/>
    <w:rsid w:val="003319DD"/>
    <w:rsid w:val="003319F8"/>
    <w:rsid w:val="0033247B"/>
    <w:rsid w:val="00333E78"/>
    <w:rsid w:val="00333F86"/>
    <w:rsid w:val="00334041"/>
    <w:rsid w:val="00334289"/>
    <w:rsid w:val="0033466E"/>
    <w:rsid w:val="00334982"/>
    <w:rsid w:val="00334C15"/>
    <w:rsid w:val="00334D28"/>
    <w:rsid w:val="0033503E"/>
    <w:rsid w:val="00335214"/>
    <w:rsid w:val="003356AC"/>
    <w:rsid w:val="00335A64"/>
    <w:rsid w:val="003367E9"/>
    <w:rsid w:val="00336C97"/>
    <w:rsid w:val="00336FCE"/>
    <w:rsid w:val="0033740F"/>
    <w:rsid w:val="00337885"/>
    <w:rsid w:val="00337CCB"/>
    <w:rsid w:val="0034002E"/>
    <w:rsid w:val="003403DF"/>
    <w:rsid w:val="003408F0"/>
    <w:rsid w:val="00340EB1"/>
    <w:rsid w:val="003411FB"/>
    <w:rsid w:val="0034133D"/>
    <w:rsid w:val="003418FD"/>
    <w:rsid w:val="0034190C"/>
    <w:rsid w:val="00341D71"/>
    <w:rsid w:val="00341F93"/>
    <w:rsid w:val="003422CC"/>
    <w:rsid w:val="00342586"/>
    <w:rsid w:val="003426E4"/>
    <w:rsid w:val="003432D5"/>
    <w:rsid w:val="00343AB1"/>
    <w:rsid w:val="00343EC8"/>
    <w:rsid w:val="003444C4"/>
    <w:rsid w:val="00344662"/>
    <w:rsid w:val="00344C6D"/>
    <w:rsid w:val="0034549B"/>
    <w:rsid w:val="00346ADF"/>
    <w:rsid w:val="00346E29"/>
    <w:rsid w:val="00347144"/>
    <w:rsid w:val="00347457"/>
    <w:rsid w:val="00347A93"/>
    <w:rsid w:val="00347EDF"/>
    <w:rsid w:val="003502B3"/>
    <w:rsid w:val="00350785"/>
    <w:rsid w:val="00350CE5"/>
    <w:rsid w:val="00351643"/>
    <w:rsid w:val="0035229C"/>
    <w:rsid w:val="00352670"/>
    <w:rsid w:val="003539A6"/>
    <w:rsid w:val="00354510"/>
    <w:rsid w:val="003546DF"/>
    <w:rsid w:val="00354B16"/>
    <w:rsid w:val="0035533B"/>
    <w:rsid w:val="00355950"/>
    <w:rsid w:val="00355AB0"/>
    <w:rsid w:val="0035677C"/>
    <w:rsid w:val="00356B7D"/>
    <w:rsid w:val="00356C66"/>
    <w:rsid w:val="003570EC"/>
    <w:rsid w:val="00357503"/>
    <w:rsid w:val="00357F64"/>
    <w:rsid w:val="00360D8E"/>
    <w:rsid w:val="0036124F"/>
    <w:rsid w:val="00361537"/>
    <w:rsid w:val="00361C7A"/>
    <w:rsid w:val="00361F4B"/>
    <w:rsid w:val="00362548"/>
    <w:rsid w:val="003634E8"/>
    <w:rsid w:val="003637BB"/>
    <w:rsid w:val="00363867"/>
    <w:rsid w:val="003640D1"/>
    <w:rsid w:val="00364606"/>
    <w:rsid w:val="00364649"/>
    <w:rsid w:val="00364878"/>
    <w:rsid w:val="00364A5C"/>
    <w:rsid w:val="0036510E"/>
    <w:rsid w:val="00365115"/>
    <w:rsid w:val="003652CE"/>
    <w:rsid w:val="00365903"/>
    <w:rsid w:val="00366026"/>
    <w:rsid w:val="0036604E"/>
    <w:rsid w:val="00366204"/>
    <w:rsid w:val="00366365"/>
    <w:rsid w:val="003664A1"/>
    <w:rsid w:val="00366983"/>
    <w:rsid w:val="00366B32"/>
    <w:rsid w:val="00366BC2"/>
    <w:rsid w:val="00366F60"/>
    <w:rsid w:val="0036729E"/>
    <w:rsid w:val="00367CD1"/>
    <w:rsid w:val="00367E2A"/>
    <w:rsid w:val="00370481"/>
    <w:rsid w:val="00370637"/>
    <w:rsid w:val="00370C46"/>
    <w:rsid w:val="00370E6F"/>
    <w:rsid w:val="00371092"/>
    <w:rsid w:val="0037115E"/>
    <w:rsid w:val="003715A0"/>
    <w:rsid w:val="00371BF4"/>
    <w:rsid w:val="00371D47"/>
    <w:rsid w:val="00371E79"/>
    <w:rsid w:val="00372237"/>
    <w:rsid w:val="0037290B"/>
    <w:rsid w:val="00372E24"/>
    <w:rsid w:val="00373044"/>
    <w:rsid w:val="00373721"/>
    <w:rsid w:val="003738A8"/>
    <w:rsid w:val="00373F7B"/>
    <w:rsid w:val="0037405E"/>
    <w:rsid w:val="00374646"/>
    <w:rsid w:val="00375032"/>
    <w:rsid w:val="003759B6"/>
    <w:rsid w:val="00376FAE"/>
    <w:rsid w:val="0037709C"/>
    <w:rsid w:val="00377130"/>
    <w:rsid w:val="0037750C"/>
    <w:rsid w:val="00377C5F"/>
    <w:rsid w:val="00380502"/>
    <w:rsid w:val="0038058B"/>
    <w:rsid w:val="00380685"/>
    <w:rsid w:val="003808DA"/>
    <w:rsid w:val="00380FFF"/>
    <w:rsid w:val="0038145B"/>
    <w:rsid w:val="00381D52"/>
    <w:rsid w:val="00381DAD"/>
    <w:rsid w:val="00382197"/>
    <w:rsid w:val="003823BD"/>
    <w:rsid w:val="00382446"/>
    <w:rsid w:val="00382976"/>
    <w:rsid w:val="00382BBC"/>
    <w:rsid w:val="00382FBD"/>
    <w:rsid w:val="0038314C"/>
    <w:rsid w:val="00383540"/>
    <w:rsid w:val="0038395C"/>
    <w:rsid w:val="00383F1A"/>
    <w:rsid w:val="003841A5"/>
    <w:rsid w:val="0038423C"/>
    <w:rsid w:val="0038445D"/>
    <w:rsid w:val="00385396"/>
    <w:rsid w:val="00385C17"/>
    <w:rsid w:val="003861AF"/>
    <w:rsid w:val="003862F0"/>
    <w:rsid w:val="00387118"/>
    <w:rsid w:val="00387263"/>
    <w:rsid w:val="00387290"/>
    <w:rsid w:val="003873A4"/>
    <w:rsid w:val="00387654"/>
    <w:rsid w:val="003879E9"/>
    <w:rsid w:val="00387A0E"/>
    <w:rsid w:val="00387D65"/>
    <w:rsid w:val="00390044"/>
    <w:rsid w:val="0039075E"/>
    <w:rsid w:val="0039087D"/>
    <w:rsid w:val="00391B34"/>
    <w:rsid w:val="00391C54"/>
    <w:rsid w:val="00391DEF"/>
    <w:rsid w:val="003921D0"/>
    <w:rsid w:val="00392303"/>
    <w:rsid w:val="00392434"/>
    <w:rsid w:val="003929D8"/>
    <w:rsid w:val="00393398"/>
    <w:rsid w:val="003933AB"/>
    <w:rsid w:val="00393A72"/>
    <w:rsid w:val="003948F4"/>
    <w:rsid w:val="00395031"/>
    <w:rsid w:val="00395544"/>
    <w:rsid w:val="003957E2"/>
    <w:rsid w:val="00395ED1"/>
    <w:rsid w:val="0039625C"/>
    <w:rsid w:val="003964D2"/>
    <w:rsid w:val="00396FF7"/>
    <w:rsid w:val="00397517"/>
    <w:rsid w:val="00397AD4"/>
    <w:rsid w:val="00397C78"/>
    <w:rsid w:val="003A00C2"/>
    <w:rsid w:val="003A0216"/>
    <w:rsid w:val="003A04B9"/>
    <w:rsid w:val="003A0501"/>
    <w:rsid w:val="003A0800"/>
    <w:rsid w:val="003A1E97"/>
    <w:rsid w:val="003A21C5"/>
    <w:rsid w:val="003A237C"/>
    <w:rsid w:val="003A2BAB"/>
    <w:rsid w:val="003A2FA5"/>
    <w:rsid w:val="003A3AFF"/>
    <w:rsid w:val="003A4395"/>
    <w:rsid w:val="003A4602"/>
    <w:rsid w:val="003A4862"/>
    <w:rsid w:val="003A4B77"/>
    <w:rsid w:val="003A52C9"/>
    <w:rsid w:val="003A5587"/>
    <w:rsid w:val="003A5F72"/>
    <w:rsid w:val="003A61A5"/>
    <w:rsid w:val="003A6213"/>
    <w:rsid w:val="003A6939"/>
    <w:rsid w:val="003A6C7D"/>
    <w:rsid w:val="003A6E50"/>
    <w:rsid w:val="003A72B7"/>
    <w:rsid w:val="003A73FE"/>
    <w:rsid w:val="003A78E6"/>
    <w:rsid w:val="003B09A2"/>
    <w:rsid w:val="003B0AC7"/>
    <w:rsid w:val="003B0AF7"/>
    <w:rsid w:val="003B0C90"/>
    <w:rsid w:val="003B0E12"/>
    <w:rsid w:val="003B0F9A"/>
    <w:rsid w:val="003B1447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B4F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6FD5"/>
    <w:rsid w:val="003B702B"/>
    <w:rsid w:val="003B7BC4"/>
    <w:rsid w:val="003C023B"/>
    <w:rsid w:val="003C0A57"/>
    <w:rsid w:val="003C1171"/>
    <w:rsid w:val="003C1E0F"/>
    <w:rsid w:val="003C1FEE"/>
    <w:rsid w:val="003C21D3"/>
    <w:rsid w:val="003C2AF9"/>
    <w:rsid w:val="003C30C4"/>
    <w:rsid w:val="003C3550"/>
    <w:rsid w:val="003C3C48"/>
    <w:rsid w:val="003C3F82"/>
    <w:rsid w:val="003C3FA7"/>
    <w:rsid w:val="003C4974"/>
    <w:rsid w:val="003C572F"/>
    <w:rsid w:val="003C5AF5"/>
    <w:rsid w:val="003C6B59"/>
    <w:rsid w:val="003C6C3A"/>
    <w:rsid w:val="003C6E4B"/>
    <w:rsid w:val="003C72BE"/>
    <w:rsid w:val="003C7D04"/>
    <w:rsid w:val="003C7DC0"/>
    <w:rsid w:val="003C7EA9"/>
    <w:rsid w:val="003D0007"/>
    <w:rsid w:val="003D0A7A"/>
    <w:rsid w:val="003D0BF4"/>
    <w:rsid w:val="003D138C"/>
    <w:rsid w:val="003D167A"/>
    <w:rsid w:val="003D1832"/>
    <w:rsid w:val="003D2077"/>
    <w:rsid w:val="003D2240"/>
    <w:rsid w:val="003D22BE"/>
    <w:rsid w:val="003D2549"/>
    <w:rsid w:val="003D2874"/>
    <w:rsid w:val="003D2AEE"/>
    <w:rsid w:val="003D2C17"/>
    <w:rsid w:val="003D3350"/>
    <w:rsid w:val="003D3386"/>
    <w:rsid w:val="003D4130"/>
    <w:rsid w:val="003D43EB"/>
    <w:rsid w:val="003D49A3"/>
    <w:rsid w:val="003D4CF9"/>
    <w:rsid w:val="003D5176"/>
    <w:rsid w:val="003D5825"/>
    <w:rsid w:val="003D5D9E"/>
    <w:rsid w:val="003D6DE1"/>
    <w:rsid w:val="003D730E"/>
    <w:rsid w:val="003D7BCD"/>
    <w:rsid w:val="003D7F0F"/>
    <w:rsid w:val="003E0084"/>
    <w:rsid w:val="003E0262"/>
    <w:rsid w:val="003E0CEF"/>
    <w:rsid w:val="003E0E52"/>
    <w:rsid w:val="003E12C8"/>
    <w:rsid w:val="003E1666"/>
    <w:rsid w:val="003E177A"/>
    <w:rsid w:val="003E1793"/>
    <w:rsid w:val="003E1B2F"/>
    <w:rsid w:val="003E1DB6"/>
    <w:rsid w:val="003E1E3D"/>
    <w:rsid w:val="003E2252"/>
    <w:rsid w:val="003E2779"/>
    <w:rsid w:val="003E298D"/>
    <w:rsid w:val="003E39EB"/>
    <w:rsid w:val="003E3D74"/>
    <w:rsid w:val="003E466F"/>
    <w:rsid w:val="003E4AEB"/>
    <w:rsid w:val="003E4D46"/>
    <w:rsid w:val="003E5981"/>
    <w:rsid w:val="003E5E47"/>
    <w:rsid w:val="003E5F30"/>
    <w:rsid w:val="003E5F6F"/>
    <w:rsid w:val="003E5FE8"/>
    <w:rsid w:val="003E60DB"/>
    <w:rsid w:val="003E71FF"/>
    <w:rsid w:val="003E75D3"/>
    <w:rsid w:val="003E7636"/>
    <w:rsid w:val="003E7A96"/>
    <w:rsid w:val="003F0136"/>
    <w:rsid w:val="003F0198"/>
    <w:rsid w:val="003F0379"/>
    <w:rsid w:val="003F06AC"/>
    <w:rsid w:val="003F0EB8"/>
    <w:rsid w:val="003F0EE8"/>
    <w:rsid w:val="003F12C5"/>
    <w:rsid w:val="003F1BB0"/>
    <w:rsid w:val="003F1D52"/>
    <w:rsid w:val="003F247B"/>
    <w:rsid w:val="003F31C8"/>
    <w:rsid w:val="003F327E"/>
    <w:rsid w:val="003F36CA"/>
    <w:rsid w:val="003F3D5F"/>
    <w:rsid w:val="003F40F6"/>
    <w:rsid w:val="003F4A06"/>
    <w:rsid w:val="003F4B91"/>
    <w:rsid w:val="003F4BD0"/>
    <w:rsid w:val="003F4DEB"/>
    <w:rsid w:val="003F4E76"/>
    <w:rsid w:val="003F5954"/>
    <w:rsid w:val="003F5B61"/>
    <w:rsid w:val="003F65AE"/>
    <w:rsid w:val="003F66C4"/>
    <w:rsid w:val="003F6D54"/>
    <w:rsid w:val="003F709A"/>
    <w:rsid w:val="003F731A"/>
    <w:rsid w:val="003F77EA"/>
    <w:rsid w:val="003F7927"/>
    <w:rsid w:val="003F7C2C"/>
    <w:rsid w:val="00400943"/>
    <w:rsid w:val="00400F8E"/>
    <w:rsid w:val="00401044"/>
    <w:rsid w:val="00401592"/>
    <w:rsid w:val="00401CFF"/>
    <w:rsid w:val="00401DFC"/>
    <w:rsid w:val="00402643"/>
    <w:rsid w:val="004029AD"/>
    <w:rsid w:val="00402B73"/>
    <w:rsid w:val="00402F5B"/>
    <w:rsid w:val="00403262"/>
    <w:rsid w:val="004035F3"/>
    <w:rsid w:val="00403FB0"/>
    <w:rsid w:val="00404927"/>
    <w:rsid w:val="00404F7D"/>
    <w:rsid w:val="00405668"/>
    <w:rsid w:val="0040581E"/>
    <w:rsid w:val="00405CF9"/>
    <w:rsid w:val="00405F08"/>
    <w:rsid w:val="00406CE8"/>
    <w:rsid w:val="00406FE3"/>
    <w:rsid w:val="004071E1"/>
    <w:rsid w:val="00407D50"/>
    <w:rsid w:val="00410562"/>
    <w:rsid w:val="00410963"/>
    <w:rsid w:val="00410F0E"/>
    <w:rsid w:val="00410F93"/>
    <w:rsid w:val="00411296"/>
    <w:rsid w:val="00411527"/>
    <w:rsid w:val="00411630"/>
    <w:rsid w:val="004117CE"/>
    <w:rsid w:val="004123A2"/>
    <w:rsid w:val="004132BA"/>
    <w:rsid w:val="004136E6"/>
    <w:rsid w:val="0041378F"/>
    <w:rsid w:val="004139C8"/>
    <w:rsid w:val="00413AA2"/>
    <w:rsid w:val="00414014"/>
    <w:rsid w:val="004142BC"/>
    <w:rsid w:val="004145B5"/>
    <w:rsid w:val="00414922"/>
    <w:rsid w:val="00415138"/>
    <w:rsid w:val="00415F77"/>
    <w:rsid w:val="00416341"/>
    <w:rsid w:val="004163D3"/>
    <w:rsid w:val="00416B49"/>
    <w:rsid w:val="004173DA"/>
    <w:rsid w:val="00417569"/>
    <w:rsid w:val="00417F82"/>
    <w:rsid w:val="00420B57"/>
    <w:rsid w:val="00420E03"/>
    <w:rsid w:val="004214C1"/>
    <w:rsid w:val="00421551"/>
    <w:rsid w:val="004218DF"/>
    <w:rsid w:val="0042198F"/>
    <w:rsid w:val="004219C5"/>
    <w:rsid w:val="00421C51"/>
    <w:rsid w:val="00421CCE"/>
    <w:rsid w:val="004228A6"/>
    <w:rsid w:val="00422CFF"/>
    <w:rsid w:val="0042309E"/>
    <w:rsid w:val="004232AD"/>
    <w:rsid w:val="004236A2"/>
    <w:rsid w:val="00423B1E"/>
    <w:rsid w:val="00423EA0"/>
    <w:rsid w:val="00423F09"/>
    <w:rsid w:val="004240B5"/>
    <w:rsid w:val="004241CD"/>
    <w:rsid w:val="004245EB"/>
    <w:rsid w:val="0042481C"/>
    <w:rsid w:val="004249DB"/>
    <w:rsid w:val="00424BE4"/>
    <w:rsid w:val="00424DBC"/>
    <w:rsid w:val="00424DE4"/>
    <w:rsid w:val="0042576A"/>
    <w:rsid w:val="00425901"/>
    <w:rsid w:val="00425BA9"/>
    <w:rsid w:val="0042642B"/>
    <w:rsid w:val="00426B40"/>
    <w:rsid w:val="00426C29"/>
    <w:rsid w:val="00426C9B"/>
    <w:rsid w:val="004270B8"/>
    <w:rsid w:val="00427658"/>
    <w:rsid w:val="00427714"/>
    <w:rsid w:val="00427A35"/>
    <w:rsid w:val="00427D98"/>
    <w:rsid w:val="0043045F"/>
    <w:rsid w:val="00430D48"/>
    <w:rsid w:val="0043145D"/>
    <w:rsid w:val="00431706"/>
    <w:rsid w:val="0043187C"/>
    <w:rsid w:val="00431D15"/>
    <w:rsid w:val="00431F30"/>
    <w:rsid w:val="00432127"/>
    <w:rsid w:val="00432615"/>
    <w:rsid w:val="00432855"/>
    <w:rsid w:val="0043303A"/>
    <w:rsid w:val="0043305F"/>
    <w:rsid w:val="00433FFC"/>
    <w:rsid w:val="004340BC"/>
    <w:rsid w:val="004340F7"/>
    <w:rsid w:val="004343FB"/>
    <w:rsid w:val="00434AE7"/>
    <w:rsid w:val="00434F47"/>
    <w:rsid w:val="00435BA9"/>
    <w:rsid w:val="00435DF4"/>
    <w:rsid w:val="004360FE"/>
    <w:rsid w:val="004369BF"/>
    <w:rsid w:val="00436C5C"/>
    <w:rsid w:val="00436F99"/>
    <w:rsid w:val="00436FAE"/>
    <w:rsid w:val="004378C7"/>
    <w:rsid w:val="00437C41"/>
    <w:rsid w:val="004409DB"/>
    <w:rsid w:val="00441288"/>
    <w:rsid w:val="004412F2"/>
    <w:rsid w:val="00441627"/>
    <w:rsid w:val="00441800"/>
    <w:rsid w:val="00441CD7"/>
    <w:rsid w:val="0044274D"/>
    <w:rsid w:val="004429E4"/>
    <w:rsid w:val="00443BAF"/>
    <w:rsid w:val="00444B2B"/>
    <w:rsid w:val="00445147"/>
    <w:rsid w:val="00445738"/>
    <w:rsid w:val="00445900"/>
    <w:rsid w:val="00445CBB"/>
    <w:rsid w:val="00445E50"/>
    <w:rsid w:val="004469C7"/>
    <w:rsid w:val="00446B25"/>
    <w:rsid w:val="00446B75"/>
    <w:rsid w:val="00447180"/>
    <w:rsid w:val="0044736D"/>
    <w:rsid w:val="0044743E"/>
    <w:rsid w:val="00447664"/>
    <w:rsid w:val="00447728"/>
    <w:rsid w:val="00450781"/>
    <w:rsid w:val="00450883"/>
    <w:rsid w:val="004508AB"/>
    <w:rsid w:val="0045093D"/>
    <w:rsid w:val="00450C19"/>
    <w:rsid w:val="00450C45"/>
    <w:rsid w:val="004512E1"/>
    <w:rsid w:val="00451A15"/>
    <w:rsid w:val="00452ACB"/>
    <w:rsid w:val="00452CBF"/>
    <w:rsid w:val="00453B6A"/>
    <w:rsid w:val="004546DC"/>
    <w:rsid w:val="0045474F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D3E"/>
    <w:rsid w:val="00460377"/>
    <w:rsid w:val="00460E30"/>
    <w:rsid w:val="0046154A"/>
    <w:rsid w:val="00461A34"/>
    <w:rsid w:val="00461F8E"/>
    <w:rsid w:val="00462094"/>
    <w:rsid w:val="00462BF9"/>
    <w:rsid w:val="00462E1E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8F8"/>
    <w:rsid w:val="00466905"/>
    <w:rsid w:val="00466BA1"/>
    <w:rsid w:val="00466F8F"/>
    <w:rsid w:val="004670CA"/>
    <w:rsid w:val="0046732E"/>
    <w:rsid w:val="00467C0B"/>
    <w:rsid w:val="004702F1"/>
    <w:rsid w:val="004707B3"/>
    <w:rsid w:val="00470BE0"/>
    <w:rsid w:val="00470CEF"/>
    <w:rsid w:val="00471A12"/>
    <w:rsid w:val="00471CBB"/>
    <w:rsid w:val="004726A3"/>
    <w:rsid w:val="004728E1"/>
    <w:rsid w:val="00473588"/>
    <w:rsid w:val="0047376D"/>
    <w:rsid w:val="004743AC"/>
    <w:rsid w:val="004749DB"/>
    <w:rsid w:val="00474B53"/>
    <w:rsid w:val="00474B60"/>
    <w:rsid w:val="004751E7"/>
    <w:rsid w:val="004751E9"/>
    <w:rsid w:val="004753F9"/>
    <w:rsid w:val="00476545"/>
    <w:rsid w:val="0047654A"/>
    <w:rsid w:val="0047696E"/>
    <w:rsid w:val="00476B20"/>
    <w:rsid w:val="00476FCF"/>
    <w:rsid w:val="004776B3"/>
    <w:rsid w:val="00477F42"/>
    <w:rsid w:val="00480446"/>
    <w:rsid w:val="00480AAF"/>
    <w:rsid w:val="00480BF6"/>
    <w:rsid w:val="00481008"/>
    <w:rsid w:val="0048142A"/>
    <w:rsid w:val="004814C4"/>
    <w:rsid w:val="00481547"/>
    <w:rsid w:val="00481B6E"/>
    <w:rsid w:val="00481E9E"/>
    <w:rsid w:val="00481EF1"/>
    <w:rsid w:val="004825FB"/>
    <w:rsid w:val="00482A55"/>
    <w:rsid w:val="00483085"/>
    <w:rsid w:val="004830A7"/>
    <w:rsid w:val="00483F2C"/>
    <w:rsid w:val="004845A2"/>
    <w:rsid w:val="00484687"/>
    <w:rsid w:val="00484BDB"/>
    <w:rsid w:val="004850D2"/>
    <w:rsid w:val="00485701"/>
    <w:rsid w:val="0048580B"/>
    <w:rsid w:val="00485E1A"/>
    <w:rsid w:val="00485FED"/>
    <w:rsid w:val="004876AD"/>
    <w:rsid w:val="004907BB"/>
    <w:rsid w:val="004907D9"/>
    <w:rsid w:val="00491140"/>
    <w:rsid w:val="00491B61"/>
    <w:rsid w:val="00491E98"/>
    <w:rsid w:val="00492821"/>
    <w:rsid w:val="0049296C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715"/>
    <w:rsid w:val="004957E9"/>
    <w:rsid w:val="00495AA8"/>
    <w:rsid w:val="00495EFA"/>
    <w:rsid w:val="00495EFD"/>
    <w:rsid w:val="004966AD"/>
    <w:rsid w:val="004967CB"/>
    <w:rsid w:val="00496CBE"/>
    <w:rsid w:val="00497521"/>
    <w:rsid w:val="00497D9A"/>
    <w:rsid w:val="00497DD3"/>
    <w:rsid w:val="00497E3E"/>
    <w:rsid w:val="00497F32"/>
    <w:rsid w:val="004A017B"/>
    <w:rsid w:val="004A052B"/>
    <w:rsid w:val="004A0534"/>
    <w:rsid w:val="004A0949"/>
    <w:rsid w:val="004A0ADF"/>
    <w:rsid w:val="004A0E04"/>
    <w:rsid w:val="004A1717"/>
    <w:rsid w:val="004A17E9"/>
    <w:rsid w:val="004A2AAA"/>
    <w:rsid w:val="004A2DEB"/>
    <w:rsid w:val="004A2E8F"/>
    <w:rsid w:val="004A30BA"/>
    <w:rsid w:val="004A31AC"/>
    <w:rsid w:val="004A3606"/>
    <w:rsid w:val="004A3BB1"/>
    <w:rsid w:val="004A43A8"/>
    <w:rsid w:val="004A482D"/>
    <w:rsid w:val="004A4A9D"/>
    <w:rsid w:val="004A4AEB"/>
    <w:rsid w:val="004A4FC0"/>
    <w:rsid w:val="004A4FD6"/>
    <w:rsid w:val="004A5064"/>
    <w:rsid w:val="004A52DD"/>
    <w:rsid w:val="004A5A3E"/>
    <w:rsid w:val="004A60A3"/>
    <w:rsid w:val="004A6ED0"/>
    <w:rsid w:val="004A7344"/>
    <w:rsid w:val="004B022C"/>
    <w:rsid w:val="004B04D2"/>
    <w:rsid w:val="004B0569"/>
    <w:rsid w:val="004B068B"/>
    <w:rsid w:val="004B16DD"/>
    <w:rsid w:val="004B172D"/>
    <w:rsid w:val="004B1E4C"/>
    <w:rsid w:val="004B2913"/>
    <w:rsid w:val="004B3919"/>
    <w:rsid w:val="004B3999"/>
    <w:rsid w:val="004B3D8E"/>
    <w:rsid w:val="004B4069"/>
    <w:rsid w:val="004B45EC"/>
    <w:rsid w:val="004B4AF0"/>
    <w:rsid w:val="004B4E05"/>
    <w:rsid w:val="004B583B"/>
    <w:rsid w:val="004B588D"/>
    <w:rsid w:val="004B5F4D"/>
    <w:rsid w:val="004B645D"/>
    <w:rsid w:val="004B6B24"/>
    <w:rsid w:val="004C08DB"/>
    <w:rsid w:val="004C0A38"/>
    <w:rsid w:val="004C15A4"/>
    <w:rsid w:val="004C1B38"/>
    <w:rsid w:val="004C1EC8"/>
    <w:rsid w:val="004C2048"/>
    <w:rsid w:val="004C25B7"/>
    <w:rsid w:val="004C268B"/>
    <w:rsid w:val="004C26CF"/>
    <w:rsid w:val="004C26DB"/>
    <w:rsid w:val="004C287D"/>
    <w:rsid w:val="004C2AA2"/>
    <w:rsid w:val="004C2AF7"/>
    <w:rsid w:val="004C2E08"/>
    <w:rsid w:val="004C33C8"/>
    <w:rsid w:val="004C3905"/>
    <w:rsid w:val="004C3BD3"/>
    <w:rsid w:val="004C42D1"/>
    <w:rsid w:val="004C5471"/>
    <w:rsid w:val="004C5487"/>
    <w:rsid w:val="004C5793"/>
    <w:rsid w:val="004C5BCF"/>
    <w:rsid w:val="004C5C8D"/>
    <w:rsid w:val="004C6E57"/>
    <w:rsid w:val="004C73BA"/>
    <w:rsid w:val="004C759B"/>
    <w:rsid w:val="004C76A5"/>
    <w:rsid w:val="004D05B3"/>
    <w:rsid w:val="004D0AC8"/>
    <w:rsid w:val="004D1174"/>
    <w:rsid w:val="004D1438"/>
    <w:rsid w:val="004D19E7"/>
    <w:rsid w:val="004D1C8E"/>
    <w:rsid w:val="004D2490"/>
    <w:rsid w:val="004D271D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A4F"/>
    <w:rsid w:val="004D5EA9"/>
    <w:rsid w:val="004D6020"/>
    <w:rsid w:val="004D653C"/>
    <w:rsid w:val="004D6D6E"/>
    <w:rsid w:val="004D7694"/>
    <w:rsid w:val="004E0006"/>
    <w:rsid w:val="004E0283"/>
    <w:rsid w:val="004E0354"/>
    <w:rsid w:val="004E0EF5"/>
    <w:rsid w:val="004E1935"/>
    <w:rsid w:val="004E1DEA"/>
    <w:rsid w:val="004E1F14"/>
    <w:rsid w:val="004E24D7"/>
    <w:rsid w:val="004E2AF6"/>
    <w:rsid w:val="004E2BD6"/>
    <w:rsid w:val="004E2DFE"/>
    <w:rsid w:val="004E2EFE"/>
    <w:rsid w:val="004E326B"/>
    <w:rsid w:val="004E37D7"/>
    <w:rsid w:val="004E3929"/>
    <w:rsid w:val="004E45DC"/>
    <w:rsid w:val="004E47F2"/>
    <w:rsid w:val="004E4F24"/>
    <w:rsid w:val="004E51D8"/>
    <w:rsid w:val="004E5CB5"/>
    <w:rsid w:val="004E5D8A"/>
    <w:rsid w:val="004E5F90"/>
    <w:rsid w:val="004E62D1"/>
    <w:rsid w:val="004E64E1"/>
    <w:rsid w:val="004E681A"/>
    <w:rsid w:val="004E6877"/>
    <w:rsid w:val="004E6DB5"/>
    <w:rsid w:val="004E72C0"/>
    <w:rsid w:val="004E75BD"/>
    <w:rsid w:val="004F0384"/>
    <w:rsid w:val="004F0B43"/>
    <w:rsid w:val="004F0E6A"/>
    <w:rsid w:val="004F153B"/>
    <w:rsid w:val="004F17CC"/>
    <w:rsid w:val="004F1A2C"/>
    <w:rsid w:val="004F2707"/>
    <w:rsid w:val="004F3336"/>
    <w:rsid w:val="004F373C"/>
    <w:rsid w:val="004F37FF"/>
    <w:rsid w:val="004F3C4D"/>
    <w:rsid w:val="004F408E"/>
    <w:rsid w:val="004F4B9C"/>
    <w:rsid w:val="004F5BF8"/>
    <w:rsid w:val="004F5C3B"/>
    <w:rsid w:val="004F5C73"/>
    <w:rsid w:val="004F5E7D"/>
    <w:rsid w:val="004F6213"/>
    <w:rsid w:val="004F66EA"/>
    <w:rsid w:val="004F6901"/>
    <w:rsid w:val="004F719C"/>
    <w:rsid w:val="004F7A10"/>
    <w:rsid w:val="004F7DC0"/>
    <w:rsid w:val="0050080C"/>
    <w:rsid w:val="00500A39"/>
    <w:rsid w:val="00500A46"/>
    <w:rsid w:val="00501308"/>
    <w:rsid w:val="00501406"/>
    <w:rsid w:val="00501719"/>
    <w:rsid w:val="005020D0"/>
    <w:rsid w:val="0050225B"/>
    <w:rsid w:val="005022D7"/>
    <w:rsid w:val="00502856"/>
    <w:rsid w:val="00502A56"/>
    <w:rsid w:val="00502E84"/>
    <w:rsid w:val="005037D0"/>
    <w:rsid w:val="005039D3"/>
    <w:rsid w:val="00503EC8"/>
    <w:rsid w:val="005041A5"/>
    <w:rsid w:val="005042EA"/>
    <w:rsid w:val="00504F77"/>
    <w:rsid w:val="005058AE"/>
    <w:rsid w:val="00505E75"/>
    <w:rsid w:val="0050623D"/>
    <w:rsid w:val="00506710"/>
    <w:rsid w:val="00506EB4"/>
    <w:rsid w:val="00507C05"/>
    <w:rsid w:val="00507F82"/>
    <w:rsid w:val="00510107"/>
    <w:rsid w:val="00510195"/>
    <w:rsid w:val="00510368"/>
    <w:rsid w:val="00510D12"/>
    <w:rsid w:val="00511295"/>
    <w:rsid w:val="005114EC"/>
    <w:rsid w:val="00511B04"/>
    <w:rsid w:val="005121AE"/>
    <w:rsid w:val="0051220C"/>
    <w:rsid w:val="005122C8"/>
    <w:rsid w:val="005127E7"/>
    <w:rsid w:val="00512D9D"/>
    <w:rsid w:val="0051353E"/>
    <w:rsid w:val="005138A0"/>
    <w:rsid w:val="005141FD"/>
    <w:rsid w:val="00514807"/>
    <w:rsid w:val="00514888"/>
    <w:rsid w:val="00514AB2"/>
    <w:rsid w:val="00515564"/>
    <w:rsid w:val="0051663C"/>
    <w:rsid w:val="005167CF"/>
    <w:rsid w:val="005172C4"/>
    <w:rsid w:val="0052081C"/>
    <w:rsid w:val="00521611"/>
    <w:rsid w:val="00521C35"/>
    <w:rsid w:val="00522462"/>
    <w:rsid w:val="005226B4"/>
    <w:rsid w:val="005229EA"/>
    <w:rsid w:val="00522D34"/>
    <w:rsid w:val="00523F3B"/>
    <w:rsid w:val="00523F52"/>
    <w:rsid w:val="0052401E"/>
    <w:rsid w:val="005243D9"/>
    <w:rsid w:val="00524918"/>
    <w:rsid w:val="00524924"/>
    <w:rsid w:val="00524BCD"/>
    <w:rsid w:val="00524C7A"/>
    <w:rsid w:val="0052587D"/>
    <w:rsid w:val="00525D4F"/>
    <w:rsid w:val="00525FE4"/>
    <w:rsid w:val="0052634B"/>
    <w:rsid w:val="005263BF"/>
    <w:rsid w:val="0052665D"/>
    <w:rsid w:val="00526B56"/>
    <w:rsid w:val="00526CA5"/>
    <w:rsid w:val="00526ED1"/>
    <w:rsid w:val="00530D80"/>
    <w:rsid w:val="00531239"/>
    <w:rsid w:val="00531553"/>
    <w:rsid w:val="00531F20"/>
    <w:rsid w:val="00532203"/>
    <w:rsid w:val="005322AA"/>
    <w:rsid w:val="005324BF"/>
    <w:rsid w:val="0053282F"/>
    <w:rsid w:val="00533382"/>
    <w:rsid w:val="005335DE"/>
    <w:rsid w:val="0053413D"/>
    <w:rsid w:val="00534338"/>
    <w:rsid w:val="005346C6"/>
    <w:rsid w:val="00534B79"/>
    <w:rsid w:val="00535BBA"/>
    <w:rsid w:val="00535BDF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3F2"/>
    <w:rsid w:val="005413F5"/>
    <w:rsid w:val="00541808"/>
    <w:rsid w:val="00542098"/>
    <w:rsid w:val="005422BD"/>
    <w:rsid w:val="005425BF"/>
    <w:rsid w:val="005433DB"/>
    <w:rsid w:val="005437E9"/>
    <w:rsid w:val="0054480A"/>
    <w:rsid w:val="005449FF"/>
    <w:rsid w:val="00544F5C"/>
    <w:rsid w:val="0054504D"/>
    <w:rsid w:val="005451C0"/>
    <w:rsid w:val="005452F4"/>
    <w:rsid w:val="005453FA"/>
    <w:rsid w:val="0054565C"/>
    <w:rsid w:val="0054571C"/>
    <w:rsid w:val="00545F54"/>
    <w:rsid w:val="005463C0"/>
    <w:rsid w:val="005465F2"/>
    <w:rsid w:val="005466A4"/>
    <w:rsid w:val="0054674E"/>
    <w:rsid w:val="00546DCA"/>
    <w:rsid w:val="005476E0"/>
    <w:rsid w:val="00547B4C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FD"/>
    <w:rsid w:val="005529DF"/>
    <w:rsid w:val="00552DE6"/>
    <w:rsid w:val="00552E2B"/>
    <w:rsid w:val="00553060"/>
    <w:rsid w:val="005530D4"/>
    <w:rsid w:val="00553238"/>
    <w:rsid w:val="005537E3"/>
    <w:rsid w:val="00554620"/>
    <w:rsid w:val="00554E3B"/>
    <w:rsid w:val="00555345"/>
    <w:rsid w:val="00555820"/>
    <w:rsid w:val="0055653C"/>
    <w:rsid w:val="00556590"/>
    <w:rsid w:val="0055661D"/>
    <w:rsid w:val="00556A45"/>
    <w:rsid w:val="00556BF1"/>
    <w:rsid w:val="00556D1E"/>
    <w:rsid w:val="00557201"/>
    <w:rsid w:val="00557379"/>
    <w:rsid w:val="00557716"/>
    <w:rsid w:val="005604FE"/>
    <w:rsid w:val="00560C7B"/>
    <w:rsid w:val="00560E20"/>
    <w:rsid w:val="0056112E"/>
    <w:rsid w:val="0056134D"/>
    <w:rsid w:val="00561D7A"/>
    <w:rsid w:val="00562411"/>
    <w:rsid w:val="00562690"/>
    <w:rsid w:val="0056281B"/>
    <w:rsid w:val="005630B8"/>
    <w:rsid w:val="00563186"/>
    <w:rsid w:val="00563BD7"/>
    <w:rsid w:val="00563BEB"/>
    <w:rsid w:val="00563D05"/>
    <w:rsid w:val="00563E22"/>
    <w:rsid w:val="00563FEE"/>
    <w:rsid w:val="00564083"/>
    <w:rsid w:val="00564B23"/>
    <w:rsid w:val="00564E8F"/>
    <w:rsid w:val="00565349"/>
    <w:rsid w:val="00565512"/>
    <w:rsid w:val="005655FB"/>
    <w:rsid w:val="00565786"/>
    <w:rsid w:val="00565BC2"/>
    <w:rsid w:val="00566D43"/>
    <w:rsid w:val="00566E34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F58"/>
    <w:rsid w:val="005721CF"/>
    <w:rsid w:val="0057232B"/>
    <w:rsid w:val="0057256E"/>
    <w:rsid w:val="0057330E"/>
    <w:rsid w:val="00573430"/>
    <w:rsid w:val="00573587"/>
    <w:rsid w:val="005735E6"/>
    <w:rsid w:val="00573729"/>
    <w:rsid w:val="00574536"/>
    <w:rsid w:val="005745AB"/>
    <w:rsid w:val="00574826"/>
    <w:rsid w:val="00574E94"/>
    <w:rsid w:val="005759AF"/>
    <w:rsid w:val="00575BE8"/>
    <w:rsid w:val="00575E1B"/>
    <w:rsid w:val="00576574"/>
    <w:rsid w:val="00576C0A"/>
    <w:rsid w:val="00576C81"/>
    <w:rsid w:val="005772E3"/>
    <w:rsid w:val="005773AE"/>
    <w:rsid w:val="005775F0"/>
    <w:rsid w:val="0057798A"/>
    <w:rsid w:val="00577F86"/>
    <w:rsid w:val="0058089B"/>
    <w:rsid w:val="00580947"/>
    <w:rsid w:val="0058153C"/>
    <w:rsid w:val="005816D5"/>
    <w:rsid w:val="00581840"/>
    <w:rsid w:val="00581B21"/>
    <w:rsid w:val="00581BC6"/>
    <w:rsid w:val="00581CE8"/>
    <w:rsid w:val="00581D3A"/>
    <w:rsid w:val="00581D6B"/>
    <w:rsid w:val="00581DF5"/>
    <w:rsid w:val="00581F77"/>
    <w:rsid w:val="00581F8E"/>
    <w:rsid w:val="00582484"/>
    <w:rsid w:val="005825EF"/>
    <w:rsid w:val="005829BA"/>
    <w:rsid w:val="00582C01"/>
    <w:rsid w:val="005832EF"/>
    <w:rsid w:val="005838FC"/>
    <w:rsid w:val="00583902"/>
    <w:rsid w:val="00583B04"/>
    <w:rsid w:val="00583C50"/>
    <w:rsid w:val="00584EF9"/>
    <w:rsid w:val="00584F2C"/>
    <w:rsid w:val="0058538D"/>
    <w:rsid w:val="005858DA"/>
    <w:rsid w:val="00585A06"/>
    <w:rsid w:val="00585DC0"/>
    <w:rsid w:val="00585EF0"/>
    <w:rsid w:val="00585EF8"/>
    <w:rsid w:val="00585F30"/>
    <w:rsid w:val="005863F1"/>
    <w:rsid w:val="005867BA"/>
    <w:rsid w:val="00586C12"/>
    <w:rsid w:val="00586CDC"/>
    <w:rsid w:val="005874C0"/>
    <w:rsid w:val="0058758A"/>
    <w:rsid w:val="00590193"/>
    <w:rsid w:val="0059028E"/>
    <w:rsid w:val="005903C0"/>
    <w:rsid w:val="0059056C"/>
    <w:rsid w:val="00590EDD"/>
    <w:rsid w:val="005913B7"/>
    <w:rsid w:val="00591832"/>
    <w:rsid w:val="00592111"/>
    <w:rsid w:val="00592193"/>
    <w:rsid w:val="00592864"/>
    <w:rsid w:val="005928CF"/>
    <w:rsid w:val="00593273"/>
    <w:rsid w:val="005939A4"/>
    <w:rsid w:val="00593BCE"/>
    <w:rsid w:val="00593BE0"/>
    <w:rsid w:val="005949A4"/>
    <w:rsid w:val="00595357"/>
    <w:rsid w:val="00595A8B"/>
    <w:rsid w:val="00595C6F"/>
    <w:rsid w:val="00595E0E"/>
    <w:rsid w:val="00596B90"/>
    <w:rsid w:val="00596BDB"/>
    <w:rsid w:val="005975ED"/>
    <w:rsid w:val="00597612"/>
    <w:rsid w:val="0059781D"/>
    <w:rsid w:val="005A02C0"/>
    <w:rsid w:val="005A07A0"/>
    <w:rsid w:val="005A0F92"/>
    <w:rsid w:val="005A1156"/>
    <w:rsid w:val="005A1523"/>
    <w:rsid w:val="005A194D"/>
    <w:rsid w:val="005A260B"/>
    <w:rsid w:val="005A26D1"/>
    <w:rsid w:val="005A3F1A"/>
    <w:rsid w:val="005A4DBA"/>
    <w:rsid w:val="005A50CA"/>
    <w:rsid w:val="005A528B"/>
    <w:rsid w:val="005A66F4"/>
    <w:rsid w:val="005A689C"/>
    <w:rsid w:val="005A6A6F"/>
    <w:rsid w:val="005A6EBA"/>
    <w:rsid w:val="005A7100"/>
    <w:rsid w:val="005A7618"/>
    <w:rsid w:val="005B0176"/>
    <w:rsid w:val="005B02BD"/>
    <w:rsid w:val="005B02D0"/>
    <w:rsid w:val="005B02E5"/>
    <w:rsid w:val="005B042E"/>
    <w:rsid w:val="005B0805"/>
    <w:rsid w:val="005B0C0F"/>
    <w:rsid w:val="005B1200"/>
    <w:rsid w:val="005B12F6"/>
    <w:rsid w:val="005B1605"/>
    <w:rsid w:val="005B1FC6"/>
    <w:rsid w:val="005B29AF"/>
    <w:rsid w:val="005B2A02"/>
    <w:rsid w:val="005B2C05"/>
    <w:rsid w:val="005B3644"/>
    <w:rsid w:val="005B379B"/>
    <w:rsid w:val="005B385D"/>
    <w:rsid w:val="005B3C72"/>
    <w:rsid w:val="005B3ED7"/>
    <w:rsid w:val="005B3F29"/>
    <w:rsid w:val="005B41D9"/>
    <w:rsid w:val="005B465E"/>
    <w:rsid w:val="005B4815"/>
    <w:rsid w:val="005B4952"/>
    <w:rsid w:val="005B4970"/>
    <w:rsid w:val="005B4AE9"/>
    <w:rsid w:val="005B4BB8"/>
    <w:rsid w:val="005B4C77"/>
    <w:rsid w:val="005B584C"/>
    <w:rsid w:val="005B5988"/>
    <w:rsid w:val="005B70AC"/>
    <w:rsid w:val="005B73E0"/>
    <w:rsid w:val="005B7807"/>
    <w:rsid w:val="005B7F8B"/>
    <w:rsid w:val="005C016A"/>
    <w:rsid w:val="005C025E"/>
    <w:rsid w:val="005C061D"/>
    <w:rsid w:val="005C0B8E"/>
    <w:rsid w:val="005C1299"/>
    <w:rsid w:val="005C15FF"/>
    <w:rsid w:val="005C25B2"/>
    <w:rsid w:val="005C304C"/>
    <w:rsid w:val="005C3250"/>
    <w:rsid w:val="005C3755"/>
    <w:rsid w:val="005C3870"/>
    <w:rsid w:val="005C3BCA"/>
    <w:rsid w:val="005C3BF4"/>
    <w:rsid w:val="005C3C2B"/>
    <w:rsid w:val="005C411C"/>
    <w:rsid w:val="005C4475"/>
    <w:rsid w:val="005C44A5"/>
    <w:rsid w:val="005C44D1"/>
    <w:rsid w:val="005C451D"/>
    <w:rsid w:val="005C4956"/>
    <w:rsid w:val="005C4963"/>
    <w:rsid w:val="005C4D00"/>
    <w:rsid w:val="005C513C"/>
    <w:rsid w:val="005C519D"/>
    <w:rsid w:val="005C5441"/>
    <w:rsid w:val="005C56B4"/>
    <w:rsid w:val="005C5B58"/>
    <w:rsid w:val="005C5E11"/>
    <w:rsid w:val="005C5EB9"/>
    <w:rsid w:val="005C6382"/>
    <w:rsid w:val="005C65B5"/>
    <w:rsid w:val="005C66C2"/>
    <w:rsid w:val="005C692A"/>
    <w:rsid w:val="005C6CA1"/>
    <w:rsid w:val="005C7088"/>
    <w:rsid w:val="005C70C8"/>
    <w:rsid w:val="005C7D48"/>
    <w:rsid w:val="005D0173"/>
    <w:rsid w:val="005D031D"/>
    <w:rsid w:val="005D033A"/>
    <w:rsid w:val="005D0A4C"/>
    <w:rsid w:val="005D0F32"/>
    <w:rsid w:val="005D1545"/>
    <w:rsid w:val="005D18DC"/>
    <w:rsid w:val="005D207F"/>
    <w:rsid w:val="005D2441"/>
    <w:rsid w:val="005D2E6D"/>
    <w:rsid w:val="005D3033"/>
    <w:rsid w:val="005D39A7"/>
    <w:rsid w:val="005D3ABB"/>
    <w:rsid w:val="005D3F57"/>
    <w:rsid w:val="005D4DC9"/>
    <w:rsid w:val="005D4DD4"/>
    <w:rsid w:val="005D5236"/>
    <w:rsid w:val="005D5D2C"/>
    <w:rsid w:val="005D5D61"/>
    <w:rsid w:val="005D5FF4"/>
    <w:rsid w:val="005D6067"/>
    <w:rsid w:val="005D62FB"/>
    <w:rsid w:val="005D665F"/>
    <w:rsid w:val="005D67D6"/>
    <w:rsid w:val="005D723B"/>
    <w:rsid w:val="005D79F3"/>
    <w:rsid w:val="005D7D07"/>
    <w:rsid w:val="005E09BA"/>
    <w:rsid w:val="005E1329"/>
    <w:rsid w:val="005E1416"/>
    <w:rsid w:val="005E1998"/>
    <w:rsid w:val="005E1B69"/>
    <w:rsid w:val="005E1F6A"/>
    <w:rsid w:val="005E231D"/>
    <w:rsid w:val="005E23AC"/>
    <w:rsid w:val="005E2524"/>
    <w:rsid w:val="005E273E"/>
    <w:rsid w:val="005E2C33"/>
    <w:rsid w:val="005E2F9B"/>
    <w:rsid w:val="005E3857"/>
    <w:rsid w:val="005E387D"/>
    <w:rsid w:val="005E3951"/>
    <w:rsid w:val="005E41D6"/>
    <w:rsid w:val="005E5E30"/>
    <w:rsid w:val="005E6054"/>
    <w:rsid w:val="005E6841"/>
    <w:rsid w:val="005E7924"/>
    <w:rsid w:val="005E7AAA"/>
    <w:rsid w:val="005E7C33"/>
    <w:rsid w:val="005F0312"/>
    <w:rsid w:val="005F04F5"/>
    <w:rsid w:val="005F0A0B"/>
    <w:rsid w:val="005F0BAE"/>
    <w:rsid w:val="005F1C00"/>
    <w:rsid w:val="005F221A"/>
    <w:rsid w:val="005F237A"/>
    <w:rsid w:val="005F2754"/>
    <w:rsid w:val="005F2791"/>
    <w:rsid w:val="005F2A20"/>
    <w:rsid w:val="005F327A"/>
    <w:rsid w:val="005F3BC0"/>
    <w:rsid w:val="005F3DD6"/>
    <w:rsid w:val="005F3E85"/>
    <w:rsid w:val="005F4461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787"/>
    <w:rsid w:val="005F7AE1"/>
    <w:rsid w:val="006005A6"/>
    <w:rsid w:val="0060076C"/>
    <w:rsid w:val="00600884"/>
    <w:rsid w:val="00600E54"/>
    <w:rsid w:val="0060106A"/>
    <w:rsid w:val="006016CF"/>
    <w:rsid w:val="0060227B"/>
    <w:rsid w:val="006023AE"/>
    <w:rsid w:val="006027A3"/>
    <w:rsid w:val="006043BA"/>
    <w:rsid w:val="00604644"/>
    <w:rsid w:val="00604D2C"/>
    <w:rsid w:val="00604FB2"/>
    <w:rsid w:val="00604FC7"/>
    <w:rsid w:val="00605746"/>
    <w:rsid w:val="00606269"/>
    <w:rsid w:val="0060687A"/>
    <w:rsid w:val="00606AFB"/>
    <w:rsid w:val="00607066"/>
    <w:rsid w:val="006070FB"/>
    <w:rsid w:val="00607210"/>
    <w:rsid w:val="00607FF5"/>
    <w:rsid w:val="006102DE"/>
    <w:rsid w:val="0061037D"/>
    <w:rsid w:val="00611102"/>
    <w:rsid w:val="006115F5"/>
    <w:rsid w:val="0061190F"/>
    <w:rsid w:val="0061214E"/>
    <w:rsid w:val="00612151"/>
    <w:rsid w:val="00612A11"/>
    <w:rsid w:val="00612D84"/>
    <w:rsid w:val="00614558"/>
    <w:rsid w:val="00614DD3"/>
    <w:rsid w:val="00614E11"/>
    <w:rsid w:val="00615A72"/>
    <w:rsid w:val="00615B53"/>
    <w:rsid w:val="00615E4C"/>
    <w:rsid w:val="00615F42"/>
    <w:rsid w:val="00616144"/>
    <w:rsid w:val="0061633E"/>
    <w:rsid w:val="00616A11"/>
    <w:rsid w:val="00616FC6"/>
    <w:rsid w:val="00617045"/>
    <w:rsid w:val="00617271"/>
    <w:rsid w:val="0061735F"/>
    <w:rsid w:val="00617556"/>
    <w:rsid w:val="0061766C"/>
    <w:rsid w:val="00617B27"/>
    <w:rsid w:val="00617E2D"/>
    <w:rsid w:val="006202A7"/>
    <w:rsid w:val="006204DA"/>
    <w:rsid w:val="00620640"/>
    <w:rsid w:val="00620AB5"/>
    <w:rsid w:val="006215E1"/>
    <w:rsid w:val="0062177D"/>
    <w:rsid w:val="00621846"/>
    <w:rsid w:val="00621AA5"/>
    <w:rsid w:val="006221B8"/>
    <w:rsid w:val="00622561"/>
    <w:rsid w:val="00622AA1"/>
    <w:rsid w:val="00622DEC"/>
    <w:rsid w:val="00622F49"/>
    <w:rsid w:val="0062404B"/>
    <w:rsid w:val="00624A7F"/>
    <w:rsid w:val="00624F83"/>
    <w:rsid w:val="0062547B"/>
    <w:rsid w:val="006256C8"/>
    <w:rsid w:val="0062642D"/>
    <w:rsid w:val="0062674F"/>
    <w:rsid w:val="006268C3"/>
    <w:rsid w:val="00627021"/>
    <w:rsid w:val="00627EF3"/>
    <w:rsid w:val="00630DC4"/>
    <w:rsid w:val="0063180E"/>
    <w:rsid w:val="00631C8F"/>
    <w:rsid w:val="006325DF"/>
    <w:rsid w:val="00632EB8"/>
    <w:rsid w:val="006335D5"/>
    <w:rsid w:val="006335DD"/>
    <w:rsid w:val="00633830"/>
    <w:rsid w:val="00633C2B"/>
    <w:rsid w:val="006347BE"/>
    <w:rsid w:val="006348B8"/>
    <w:rsid w:val="00634A5E"/>
    <w:rsid w:val="00634CBB"/>
    <w:rsid w:val="0063520C"/>
    <w:rsid w:val="00635224"/>
    <w:rsid w:val="006353AB"/>
    <w:rsid w:val="00635CD5"/>
    <w:rsid w:val="00635D62"/>
    <w:rsid w:val="0063621B"/>
    <w:rsid w:val="006366D4"/>
    <w:rsid w:val="00637284"/>
    <w:rsid w:val="006378F2"/>
    <w:rsid w:val="00637D23"/>
    <w:rsid w:val="00637D90"/>
    <w:rsid w:val="00637E44"/>
    <w:rsid w:val="00640193"/>
    <w:rsid w:val="00640C33"/>
    <w:rsid w:val="0064135C"/>
    <w:rsid w:val="006419A8"/>
    <w:rsid w:val="006421C7"/>
    <w:rsid w:val="0064287A"/>
    <w:rsid w:val="006429DF"/>
    <w:rsid w:val="006432CB"/>
    <w:rsid w:val="006439C2"/>
    <w:rsid w:val="0064527C"/>
    <w:rsid w:val="006453B4"/>
    <w:rsid w:val="006455AD"/>
    <w:rsid w:val="00646522"/>
    <w:rsid w:val="00646D22"/>
    <w:rsid w:val="00646E23"/>
    <w:rsid w:val="0064738D"/>
    <w:rsid w:val="006479F3"/>
    <w:rsid w:val="00650215"/>
    <w:rsid w:val="0065031F"/>
    <w:rsid w:val="00650738"/>
    <w:rsid w:val="0065093F"/>
    <w:rsid w:val="00650CD7"/>
    <w:rsid w:val="00650ED1"/>
    <w:rsid w:val="00651E08"/>
    <w:rsid w:val="00652728"/>
    <w:rsid w:val="00652B25"/>
    <w:rsid w:val="00652BB4"/>
    <w:rsid w:val="00652E21"/>
    <w:rsid w:val="006538FD"/>
    <w:rsid w:val="006548B8"/>
    <w:rsid w:val="00655F71"/>
    <w:rsid w:val="00656961"/>
    <w:rsid w:val="00656B7E"/>
    <w:rsid w:val="00657DE0"/>
    <w:rsid w:val="0066026C"/>
    <w:rsid w:val="006604DB"/>
    <w:rsid w:val="00661742"/>
    <w:rsid w:val="00661868"/>
    <w:rsid w:val="00661E69"/>
    <w:rsid w:val="006621E5"/>
    <w:rsid w:val="0066264E"/>
    <w:rsid w:val="00662E03"/>
    <w:rsid w:val="00663333"/>
    <w:rsid w:val="006633B5"/>
    <w:rsid w:val="00663442"/>
    <w:rsid w:val="00663657"/>
    <w:rsid w:val="00663ED6"/>
    <w:rsid w:val="00664091"/>
    <w:rsid w:val="00664567"/>
    <w:rsid w:val="006645BB"/>
    <w:rsid w:val="006647CF"/>
    <w:rsid w:val="00664A0E"/>
    <w:rsid w:val="00664D24"/>
    <w:rsid w:val="00664DC0"/>
    <w:rsid w:val="006659FE"/>
    <w:rsid w:val="006662D9"/>
    <w:rsid w:val="0066647F"/>
    <w:rsid w:val="00666C8F"/>
    <w:rsid w:val="00666DCA"/>
    <w:rsid w:val="00666FB3"/>
    <w:rsid w:val="0066701C"/>
    <w:rsid w:val="0066717D"/>
    <w:rsid w:val="00667396"/>
    <w:rsid w:val="00667599"/>
    <w:rsid w:val="006678BB"/>
    <w:rsid w:val="00667F99"/>
    <w:rsid w:val="006700B2"/>
    <w:rsid w:val="00671290"/>
    <w:rsid w:val="00671DA0"/>
    <w:rsid w:val="00671F37"/>
    <w:rsid w:val="006722DD"/>
    <w:rsid w:val="0067235D"/>
    <w:rsid w:val="00672F55"/>
    <w:rsid w:val="00672F76"/>
    <w:rsid w:val="00673511"/>
    <w:rsid w:val="00673642"/>
    <w:rsid w:val="00673AEF"/>
    <w:rsid w:val="00673EB8"/>
    <w:rsid w:val="006744AC"/>
    <w:rsid w:val="006744B0"/>
    <w:rsid w:val="006744FD"/>
    <w:rsid w:val="00674982"/>
    <w:rsid w:val="00674FF2"/>
    <w:rsid w:val="00675283"/>
    <w:rsid w:val="00675A11"/>
    <w:rsid w:val="00676B98"/>
    <w:rsid w:val="00676BF0"/>
    <w:rsid w:val="00676DB0"/>
    <w:rsid w:val="00677035"/>
    <w:rsid w:val="0068060F"/>
    <w:rsid w:val="00680AF5"/>
    <w:rsid w:val="00680D51"/>
    <w:rsid w:val="00680E41"/>
    <w:rsid w:val="00680F28"/>
    <w:rsid w:val="00681B87"/>
    <w:rsid w:val="00681C83"/>
    <w:rsid w:val="00681D82"/>
    <w:rsid w:val="0068234C"/>
    <w:rsid w:val="0068234D"/>
    <w:rsid w:val="006823AB"/>
    <w:rsid w:val="0068285B"/>
    <w:rsid w:val="00682A34"/>
    <w:rsid w:val="00682FEA"/>
    <w:rsid w:val="00683136"/>
    <w:rsid w:val="00683507"/>
    <w:rsid w:val="00683651"/>
    <w:rsid w:val="00683C72"/>
    <w:rsid w:val="0068404C"/>
    <w:rsid w:val="006840FC"/>
    <w:rsid w:val="00684623"/>
    <w:rsid w:val="006847C5"/>
    <w:rsid w:val="00684871"/>
    <w:rsid w:val="00684BE4"/>
    <w:rsid w:val="00684F20"/>
    <w:rsid w:val="00684FE1"/>
    <w:rsid w:val="00685420"/>
    <w:rsid w:val="0068552C"/>
    <w:rsid w:val="006855EE"/>
    <w:rsid w:val="00685B79"/>
    <w:rsid w:val="00685C5C"/>
    <w:rsid w:val="00686898"/>
    <w:rsid w:val="00686A98"/>
    <w:rsid w:val="00686CF7"/>
    <w:rsid w:val="00687951"/>
    <w:rsid w:val="00687A4F"/>
    <w:rsid w:val="00687D48"/>
    <w:rsid w:val="00690CC4"/>
    <w:rsid w:val="00690CEB"/>
    <w:rsid w:val="00691047"/>
    <w:rsid w:val="006917CF"/>
    <w:rsid w:val="00691F01"/>
    <w:rsid w:val="0069206B"/>
    <w:rsid w:val="006922D0"/>
    <w:rsid w:val="00692D27"/>
    <w:rsid w:val="0069309F"/>
    <w:rsid w:val="006934D4"/>
    <w:rsid w:val="00693FEF"/>
    <w:rsid w:val="00694594"/>
    <w:rsid w:val="00694BD3"/>
    <w:rsid w:val="00694C70"/>
    <w:rsid w:val="006957FD"/>
    <w:rsid w:val="00695A31"/>
    <w:rsid w:val="006960EB"/>
    <w:rsid w:val="006963EA"/>
    <w:rsid w:val="00696627"/>
    <w:rsid w:val="0069760A"/>
    <w:rsid w:val="006976BB"/>
    <w:rsid w:val="00697969"/>
    <w:rsid w:val="00697C52"/>
    <w:rsid w:val="006A0829"/>
    <w:rsid w:val="006A161C"/>
    <w:rsid w:val="006A2096"/>
    <w:rsid w:val="006A2419"/>
    <w:rsid w:val="006A2890"/>
    <w:rsid w:val="006A3369"/>
    <w:rsid w:val="006A4360"/>
    <w:rsid w:val="006A43E8"/>
    <w:rsid w:val="006A4948"/>
    <w:rsid w:val="006A4E4E"/>
    <w:rsid w:val="006A5B3F"/>
    <w:rsid w:val="006A5F7C"/>
    <w:rsid w:val="006A6565"/>
    <w:rsid w:val="006A7365"/>
    <w:rsid w:val="006A763D"/>
    <w:rsid w:val="006A7CAA"/>
    <w:rsid w:val="006A7E85"/>
    <w:rsid w:val="006B01C7"/>
    <w:rsid w:val="006B05F9"/>
    <w:rsid w:val="006B13FF"/>
    <w:rsid w:val="006B1BCA"/>
    <w:rsid w:val="006B25A0"/>
    <w:rsid w:val="006B270A"/>
    <w:rsid w:val="006B2761"/>
    <w:rsid w:val="006B30AD"/>
    <w:rsid w:val="006B3281"/>
    <w:rsid w:val="006B4171"/>
    <w:rsid w:val="006B4DEB"/>
    <w:rsid w:val="006B5348"/>
    <w:rsid w:val="006B570C"/>
    <w:rsid w:val="006B59F6"/>
    <w:rsid w:val="006B5E4A"/>
    <w:rsid w:val="006B5EF9"/>
    <w:rsid w:val="006B685D"/>
    <w:rsid w:val="006B6A77"/>
    <w:rsid w:val="006B6AD1"/>
    <w:rsid w:val="006B6CF2"/>
    <w:rsid w:val="006B71B6"/>
    <w:rsid w:val="006B739E"/>
    <w:rsid w:val="006B7F5A"/>
    <w:rsid w:val="006C0537"/>
    <w:rsid w:val="006C0608"/>
    <w:rsid w:val="006C0725"/>
    <w:rsid w:val="006C0E9F"/>
    <w:rsid w:val="006C11D9"/>
    <w:rsid w:val="006C1A1D"/>
    <w:rsid w:val="006C236A"/>
    <w:rsid w:val="006C2498"/>
    <w:rsid w:val="006C25C5"/>
    <w:rsid w:val="006C2664"/>
    <w:rsid w:val="006C28D6"/>
    <w:rsid w:val="006C2990"/>
    <w:rsid w:val="006C29BB"/>
    <w:rsid w:val="006C2BF4"/>
    <w:rsid w:val="006C2F01"/>
    <w:rsid w:val="006C310C"/>
    <w:rsid w:val="006C3785"/>
    <w:rsid w:val="006C3E1F"/>
    <w:rsid w:val="006C3FC5"/>
    <w:rsid w:val="006C4114"/>
    <w:rsid w:val="006C4568"/>
    <w:rsid w:val="006C468D"/>
    <w:rsid w:val="006C59BA"/>
    <w:rsid w:val="006C5A9E"/>
    <w:rsid w:val="006C5D57"/>
    <w:rsid w:val="006C5FF3"/>
    <w:rsid w:val="006C60CB"/>
    <w:rsid w:val="006C650B"/>
    <w:rsid w:val="006C672C"/>
    <w:rsid w:val="006C6938"/>
    <w:rsid w:val="006C6A42"/>
    <w:rsid w:val="006C6B19"/>
    <w:rsid w:val="006C6E80"/>
    <w:rsid w:val="006C7027"/>
    <w:rsid w:val="006C76DC"/>
    <w:rsid w:val="006C7725"/>
    <w:rsid w:val="006C781D"/>
    <w:rsid w:val="006D1134"/>
    <w:rsid w:val="006D14C1"/>
    <w:rsid w:val="006D15A0"/>
    <w:rsid w:val="006D19AE"/>
    <w:rsid w:val="006D1C09"/>
    <w:rsid w:val="006D249F"/>
    <w:rsid w:val="006D28BD"/>
    <w:rsid w:val="006D29C7"/>
    <w:rsid w:val="006D35D1"/>
    <w:rsid w:val="006D3799"/>
    <w:rsid w:val="006D42F4"/>
    <w:rsid w:val="006D4621"/>
    <w:rsid w:val="006D4A26"/>
    <w:rsid w:val="006D5259"/>
    <w:rsid w:val="006D52EC"/>
    <w:rsid w:val="006D53BF"/>
    <w:rsid w:val="006D5C75"/>
    <w:rsid w:val="006D6480"/>
    <w:rsid w:val="006D64B1"/>
    <w:rsid w:val="006D6E29"/>
    <w:rsid w:val="006D77F8"/>
    <w:rsid w:val="006E0067"/>
    <w:rsid w:val="006E07E8"/>
    <w:rsid w:val="006E0B6F"/>
    <w:rsid w:val="006E0BA4"/>
    <w:rsid w:val="006E0C3E"/>
    <w:rsid w:val="006E1090"/>
    <w:rsid w:val="006E214E"/>
    <w:rsid w:val="006E24A3"/>
    <w:rsid w:val="006E2F21"/>
    <w:rsid w:val="006E42AC"/>
    <w:rsid w:val="006E4D88"/>
    <w:rsid w:val="006E4F11"/>
    <w:rsid w:val="006E504C"/>
    <w:rsid w:val="006E55A6"/>
    <w:rsid w:val="006E6758"/>
    <w:rsid w:val="006E693A"/>
    <w:rsid w:val="006E70AC"/>
    <w:rsid w:val="006E7435"/>
    <w:rsid w:val="006E7E68"/>
    <w:rsid w:val="006F0279"/>
    <w:rsid w:val="006F0ECE"/>
    <w:rsid w:val="006F151D"/>
    <w:rsid w:val="006F1961"/>
    <w:rsid w:val="006F1CD5"/>
    <w:rsid w:val="006F20BA"/>
    <w:rsid w:val="006F21AE"/>
    <w:rsid w:val="006F2973"/>
    <w:rsid w:val="006F2E83"/>
    <w:rsid w:val="006F2FA0"/>
    <w:rsid w:val="006F3417"/>
    <w:rsid w:val="006F3A63"/>
    <w:rsid w:val="006F3F69"/>
    <w:rsid w:val="006F4FE2"/>
    <w:rsid w:val="006F592E"/>
    <w:rsid w:val="006F5B9A"/>
    <w:rsid w:val="006F604E"/>
    <w:rsid w:val="006F6344"/>
    <w:rsid w:val="006F649E"/>
    <w:rsid w:val="006F655F"/>
    <w:rsid w:val="006F6874"/>
    <w:rsid w:val="0070021B"/>
    <w:rsid w:val="007008FF"/>
    <w:rsid w:val="00700D16"/>
    <w:rsid w:val="00700DDE"/>
    <w:rsid w:val="007012B8"/>
    <w:rsid w:val="0070214F"/>
    <w:rsid w:val="00702396"/>
    <w:rsid w:val="007028BF"/>
    <w:rsid w:val="00702D4B"/>
    <w:rsid w:val="007030FE"/>
    <w:rsid w:val="0070334C"/>
    <w:rsid w:val="00703420"/>
    <w:rsid w:val="007034EE"/>
    <w:rsid w:val="00703907"/>
    <w:rsid w:val="007040AA"/>
    <w:rsid w:val="00704387"/>
    <w:rsid w:val="007048FA"/>
    <w:rsid w:val="007050C7"/>
    <w:rsid w:val="0070588C"/>
    <w:rsid w:val="007058D8"/>
    <w:rsid w:val="007062A0"/>
    <w:rsid w:val="0070660A"/>
    <w:rsid w:val="00706A27"/>
    <w:rsid w:val="00706A6C"/>
    <w:rsid w:val="00706F07"/>
    <w:rsid w:val="00707C82"/>
    <w:rsid w:val="00707E4A"/>
    <w:rsid w:val="00707FFE"/>
    <w:rsid w:val="007102F6"/>
    <w:rsid w:val="007104C2"/>
    <w:rsid w:val="007109D7"/>
    <w:rsid w:val="00710CB6"/>
    <w:rsid w:val="00710DCE"/>
    <w:rsid w:val="00711621"/>
    <w:rsid w:val="0071270C"/>
    <w:rsid w:val="007134CB"/>
    <w:rsid w:val="00713A9F"/>
    <w:rsid w:val="00713BE7"/>
    <w:rsid w:val="007143E4"/>
    <w:rsid w:val="00714F53"/>
    <w:rsid w:val="00714F84"/>
    <w:rsid w:val="007150C6"/>
    <w:rsid w:val="007153BF"/>
    <w:rsid w:val="00715624"/>
    <w:rsid w:val="007161EF"/>
    <w:rsid w:val="007165F3"/>
    <w:rsid w:val="0071755D"/>
    <w:rsid w:val="00717569"/>
    <w:rsid w:val="00717573"/>
    <w:rsid w:val="00717B10"/>
    <w:rsid w:val="00717CA5"/>
    <w:rsid w:val="00717FC5"/>
    <w:rsid w:val="00720060"/>
    <w:rsid w:val="00720C07"/>
    <w:rsid w:val="00720F55"/>
    <w:rsid w:val="007215AD"/>
    <w:rsid w:val="0072176F"/>
    <w:rsid w:val="007217CE"/>
    <w:rsid w:val="007222F8"/>
    <w:rsid w:val="0072283D"/>
    <w:rsid w:val="00723218"/>
    <w:rsid w:val="00723343"/>
    <w:rsid w:val="007233AF"/>
    <w:rsid w:val="007236AB"/>
    <w:rsid w:val="0072375E"/>
    <w:rsid w:val="00723890"/>
    <w:rsid w:val="00723C33"/>
    <w:rsid w:val="00723D8E"/>
    <w:rsid w:val="00725015"/>
    <w:rsid w:val="007254E8"/>
    <w:rsid w:val="00725BFD"/>
    <w:rsid w:val="00725D72"/>
    <w:rsid w:val="00725FF3"/>
    <w:rsid w:val="0072643E"/>
    <w:rsid w:val="007266D1"/>
    <w:rsid w:val="00727131"/>
    <w:rsid w:val="00727173"/>
    <w:rsid w:val="00730140"/>
    <w:rsid w:val="00730759"/>
    <w:rsid w:val="00731036"/>
    <w:rsid w:val="007320C8"/>
    <w:rsid w:val="007321E0"/>
    <w:rsid w:val="00732ADD"/>
    <w:rsid w:val="0073319F"/>
    <w:rsid w:val="007331FA"/>
    <w:rsid w:val="00733C73"/>
    <w:rsid w:val="007340FF"/>
    <w:rsid w:val="007345FA"/>
    <w:rsid w:val="00734988"/>
    <w:rsid w:val="00735157"/>
    <w:rsid w:val="0073619F"/>
    <w:rsid w:val="00736F0B"/>
    <w:rsid w:val="00736F70"/>
    <w:rsid w:val="007372F3"/>
    <w:rsid w:val="00737568"/>
    <w:rsid w:val="00737849"/>
    <w:rsid w:val="00740753"/>
    <w:rsid w:val="00741367"/>
    <w:rsid w:val="007421DB"/>
    <w:rsid w:val="00742506"/>
    <w:rsid w:val="0074292C"/>
    <w:rsid w:val="00742E28"/>
    <w:rsid w:val="00742F61"/>
    <w:rsid w:val="00742F9E"/>
    <w:rsid w:val="00743797"/>
    <w:rsid w:val="00743B19"/>
    <w:rsid w:val="0074405A"/>
    <w:rsid w:val="007440F8"/>
    <w:rsid w:val="00744135"/>
    <w:rsid w:val="00744482"/>
    <w:rsid w:val="0074449A"/>
    <w:rsid w:val="0074455A"/>
    <w:rsid w:val="00744718"/>
    <w:rsid w:val="00744848"/>
    <w:rsid w:val="00744B55"/>
    <w:rsid w:val="00744E74"/>
    <w:rsid w:val="00744F09"/>
    <w:rsid w:val="00745253"/>
    <w:rsid w:val="007461F4"/>
    <w:rsid w:val="007467AC"/>
    <w:rsid w:val="00746938"/>
    <w:rsid w:val="00746C9B"/>
    <w:rsid w:val="00746FFD"/>
    <w:rsid w:val="00747AB8"/>
    <w:rsid w:val="00747F0D"/>
    <w:rsid w:val="00747FFC"/>
    <w:rsid w:val="007505CF"/>
    <w:rsid w:val="00750FBA"/>
    <w:rsid w:val="007514A1"/>
    <w:rsid w:val="00751A84"/>
    <w:rsid w:val="00751CE9"/>
    <w:rsid w:val="00751F00"/>
    <w:rsid w:val="00752399"/>
    <w:rsid w:val="007525AE"/>
    <w:rsid w:val="00752A7B"/>
    <w:rsid w:val="00752AD1"/>
    <w:rsid w:val="0075404C"/>
    <w:rsid w:val="007558B8"/>
    <w:rsid w:val="00755C99"/>
    <w:rsid w:val="00755DD7"/>
    <w:rsid w:val="007567C6"/>
    <w:rsid w:val="00757313"/>
    <w:rsid w:val="00757611"/>
    <w:rsid w:val="00757862"/>
    <w:rsid w:val="0076032B"/>
    <w:rsid w:val="007603FF"/>
    <w:rsid w:val="00760A5C"/>
    <w:rsid w:val="00760ABF"/>
    <w:rsid w:val="00761129"/>
    <w:rsid w:val="00761A1E"/>
    <w:rsid w:val="00761B25"/>
    <w:rsid w:val="00761ED4"/>
    <w:rsid w:val="007620B8"/>
    <w:rsid w:val="0076251F"/>
    <w:rsid w:val="007626B8"/>
    <w:rsid w:val="00763197"/>
    <w:rsid w:val="007631C1"/>
    <w:rsid w:val="007638E7"/>
    <w:rsid w:val="007640A8"/>
    <w:rsid w:val="00764375"/>
    <w:rsid w:val="00765366"/>
    <w:rsid w:val="007654C7"/>
    <w:rsid w:val="00765737"/>
    <w:rsid w:val="00765792"/>
    <w:rsid w:val="00765818"/>
    <w:rsid w:val="00765BC9"/>
    <w:rsid w:val="00765E2A"/>
    <w:rsid w:val="00766569"/>
    <w:rsid w:val="00766589"/>
    <w:rsid w:val="007668FB"/>
    <w:rsid w:val="00766A9F"/>
    <w:rsid w:val="00767631"/>
    <w:rsid w:val="00767827"/>
    <w:rsid w:val="00767853"/>
    <w:rsid w:val="00770322"/>
    <w:rsid w:val="007704AB"/>
    <w:rsid w:val="00770506"/>
    <w:rsid w:val="00770CF6"/>
    <w:rsid w:val="00770D65"/>
    <w:rsid w:val="007719D3"/>
    <w:rsid w:val="00772221"/>
    <w:rsid w:val="0077229C"/>
    <w:rsid w:val="00772A28"/>
    <w:rsid w:val="00774227"/>
    <w:rsid w:val="00774240"/>
    <w:rsid w:val="00774579"/>
    <w:rsid w:val="007745F6"/>
    <w:rsid w:val="00774805"/>
    <w:rsid w:val="00774A7B"/>
    <w:rsid w:val="00774E76"/>
    <w:rsid w:val="007755C6"/>
    <w:rsid w:val="0077574B"/>
    <w:rsid w:val="0077622B"/>
    <w:rsid w:val="0077709F"/>
    <w:rsid w:val="00777119"/>
    <w:rsid w:val="007771C2"/>
    <w:rsid w:val="007771FA"/>
    <w:rsid w:val="00777390"/>
    <w:rsid w:val="007774C3"/>
    <w:rsid w:val="007777A7"/>
    <w:rsid w:val="00777EF7"/>
    <w:rsid w:val="00780970"/>
    <w:rsid w:val="007812C4"/>
    <w:rsid w:val="007814C9"/>
    <w:rsid w:val="00781A33"/>
    <w:rsid w:val="00782503"/>
    <w:rsid w:val="00782830"/>
    <w:rsid w:val="00782FF9"/>
    <w:rsid w:val="00783492"/>
    <w:rsid w:val="00783550"/>
    <w:rsid w:val="0078374F"/>
    <w:rsid w:val="0078422D"/>
    <w:rsid w:val="00784650"/>
    <w:rsid w:val="00785469"/>
    <w:rsid w:val="00785614"/>
    <w:rsid w:val="007856E6"/>
    <w:rsid w:val="007862FE"/>
    <w:rsid w:val="00786318"/>
    <w:rsid w:val="00786390"/>
    <w:rsid w:val="00787578"/>
    <w:rsid w:val="00787729"/>
    <w:rsid w:val="00787B0F"/>
    <w:rsid w:val="00787F69"/>
    <w:rsid w:val="007900C8"/>
    <w:rsid w:val="0079022A"/>
    <w:rsid w:val="0079035C"/>
    <w:rsid w:val="0079078A"/>
    <w:rsid w:val="00790A4A"/>
    <w:rsid w:val="00790ECD"/>
    <w:rsid w:val="007917EF"/>
    <w:rsid w:val="00791922"/>
    <w:rsid w:val="00792483"/>
    <w:rsid w:val="00792B0B"/>
    <w:rsid w:val="007932B5"/>
    <w:rsid w:val="00794491"/>
    <w:rsid w:val="007949EC"/>
    <w:rsid w:val="007950B2"/>
    <w:rsid w:val="007955B1"/>
    <w:rsid w:val="00795D3E"/>
    <w:rsid w:val="007961E6"/>
    <w:rsid w:val="007966BE"/>
    <w:rsid w:val="0079712A"/>
    <w:rsid w:val="0079722E"/>
    <w:rsid w:val="0079780E"/>
    <w:rsid w:val="00797997"/>
    <w:rsid w:val="007A04E4"/>
    <w:rsid w:val="007A062A"/>
    <w:rsid w:val="007A08CA"/>
    <w:rsid w:val="007A0E0E"/>
    <w:rsid w:val="007A1057"/>
    <w:rsid w:val="007A1197"/>
    <w:rsid w:val="007A1349"/>
    <w:rsid w:val="007A1654"/>
    <w:rsid w:val="007A1B5D"/>
    <w:rsid w:val="007A1D4F"/>
    <w:rsid w:val="007A1ED7"/>
    <w:rsid w:val="007A22F9"/>
    <w:rsid w:val="007A2400"/>
    <w:rsid w:val="007A29CA"/>
    <w:rsid w:val="007A2C17"/>
    <w:rsid w:val="007A31B7"/>
    <w:rsid w:val="007A34F0"/>
    <w:rsid w:val="007A3C27"/>
    <w:rsid w:val="007A3C4B"/>
    <w:rsid w:val="007A40E2"/>
    <w:rsid w:val="007A45A6"/>
    <w:rsid w:val="007A4B60"/>
    <w:rsid w:val="007A53D6"/>
    <w:rsid w:val="007A63FF"/>
    <w:rsid w:val="007A64BA"/>
    <w:rsid w:val="007A66A1"/>
    <w:rsid w:val="007A67D6"/>
    <w:rsid w:val="007A6842"/>
    <w:rsid w:val="007A748F"/>
    <w:rsid w:val="007A7522"/>
    <w:rsid w:val="007A7591"/>
    <w:rsid w:val="007A75CF"/>
    <w:rsid w:val="007A7757"/>
    <w:rsid w:val="007B01E8"/>
    <w:rsid w:val="007B0677"/>
    <w:rsid w:val="007B100C"/>
    <w:rsid w:val="007B1148"/>
    <w:rsid w:val="007B1430"/>
    <w:rsid w:val="007B1AC1"/>
    <w:rsid w:val="007B2B0C"/>
    <w:rsid w:val="007B2C5F"/>
    <w:rsid w:val="007B2DC7"/>
    <w:rsid w:val="007B2FBD"/>
    <w:rsid w:val="007B309C"/>
    <w:rsid w:val="007B3BA0"/>
    <w:rsid w:val="007B46B9"/>
    <w:rsid w:val="007B498C"/>
    <w:rsid w:val="007B4E02"/>
    <w:rsid w:val="007B553A"/>
    <w:rsid w:val="007B6245"/>
    <w:rsid w:val="007B6924"/>
    <w:rsid w:val="007B79CE"/>
    <w:rsid w:val="007C055B"/>
    <w:rsid w:val="007C05E5"/>
    <w:rsid w:val="007C088E"/>
    <w:rsid w:val="007C0E64"/>
    <w:rsid w:val="007C0EF2"/>
    <w:rsid w:val="007C19C4"/>
    <w:rsid w:val="007C1D16"/>
    <w:rsid w:val="007C1D86"/>
    <w:rsid w:val="007C1E01"/>
    <w:rsid w:val="007C2EE5"/>
    <w:rsid w:val="007C2F04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5750"/>
    <w:rsid w:val="007C5D7D"/>
    <w:rsid w:val="007C5E0B"/>
    <w:rsid w:val="007C6483"/>
    <w:rsid w:val="007C6607"/>
    <w:rsid w:val="007C6733"/>
    <w:rsid w:val="007C70F9"/>
    <w:rsid w:val="007C726D"/>
    <w:rsid w:val="007C7C81"/>
    <w:rsid w:val="007C7C93"/>
    <w:rsid w:val="007C7E70"/>
    <w:rsid w:val="007D0244"/>
    <w:rsid w:val="007D05BC"/>
    <w:rsid w:val="007D0987"/>
    <w:rsid w:val="007D0B38"/>
    <w:rsid w:val="007D15FE"/>
    <w:rsid w:val="007D18DF"/>
    <w:rsid w:val="007D1AE2"/>
    <w:rsid w:val="007D1BDA"/>
    <w:rsid w:val="007D1DFC"/>
    <w:rsid w:val="007D251A"/>
    <w:rsid w:val="007D279B"/>
    <w:rsid w:val="007D2B98"/>
    <w:rsid w:val="007D2F7E"/>
    <w:rsid w:val="007D3126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987"/>
    <w:rsid w:val="007D7EE3"/>
    <w:rsid w:val="007D7F74"/>
    <w:rsid w:val="007E0113"/>
    <w:rsid w:val="007E12CD"/>
    <w:rsid w:val="007E146D"/>
    <w:rsid w:val="007E1669"/>
    <w:rsid w:val="007E207B"/>
    <w:rsid w:val="007E22DF"/>
    <w:rsid w:val="007E24A3"/>
    <w:rsid w:val="007E24CE"/>
    <w:rsid w:val="007E2903"/>
    <w:rsid w:val="007E297C"/>
    <w:rsid w:val="007E3BF4"/>
    <w:rsid w:val="007E3F8F"/>
    <w:rsid w:val="007E4250"/>
    <w:rsid w:val="007E467D"/>
    <w:rsid w:val="007E4881"/>
    <w:rsid w:val="007E48AB"/>
    <w:rsid w:val="007E490A"/>
    <w:rsid w:val="007E4F1C"/>
    <w:rsid w:val="007E519A"/>
    <w:rsid w:val="007E5640"/>
    <w:rsid w:val="007E56BC"/>
    <w:rsid w:val="007E58AE"/>
    <w:rsid w:val="007E5DD4"/>
    <w:rsid w:val="007E6100"/>
    <w:rsid w:val="007E6185"/>
    <w:rsid w:val="007E6AE6"/>
    <w:rsid w:val="007E6DE3"/>
    <w:rsid w:val="007E6F1A"/>
    <w:rsid w:val="007E72FB"/>
    <w:rsid w:val="007E755D"/>
    <w:rsid w:val="007E7613"/>
    <w:rsid w:val="007F0574"/>
    <w:rsid w:val="007F0A88"/>
    <w:rsid w:val="007F120A"/>
    <w:rsid w:val="007F196A"/>
    <w:rsid w:val="007F1A88"/>
    <w:rsid w:val="007F1CE1"/>
    <w:rsid w:val="007F239C"/>
    <w:rsid w:val="007F23E6"/>
    <w:rsid w:val="007F2456"/>
    <w:rsid w:val="007F2704"/>
    <w:rsid w:val="007F2798"/>
    <w:rsid w:val="007F2B6B"/>
    <w:rsid w:val="007F2E81"/>
    <w:rsid w:val="007F325E"/>
    <w:rsid w:val="007F352D"/>
    <w:rsid w:val="007F391B"/>
    <w:rsid w:val="007F4097"/>
    <w:rsid w:val="007F40EC"/>
    <w:rsid w:val="007F42B0"/>
    <w:rsid w:val="007F4AF3"/>
    <w:rsid w:val="007F4B00"/>
    <w:rsid w:val="007F5317"/>
    <w:rsid w:val="007F53B9"/>
    <w:rsid w:val="007F55F5"/>
    <w:rsid w:val="007F5915"/>
    <w:rsid w:val="007F5B5C"/>
    <w:rsid w:val="007F646A"/>
    <w:rsid w:val="007F70AA"/>
    <w:rsid w:val="007F7406"/>
    <w:rsid w:val="007F74B2"/>
    <w:rsid w:val="007F75E3"/>
    <w:rsid w:val="007F766D"/>
    <w:rsid w:val="00800204"/>
    <w:rsid w:val="00800516"/>
    <w:rsid w:val="00801AD6"/>
    <w:rsid w:val="00802046"/>
    <w:rsid w:val="008020CA"/>
    <w:rsid w:val="0080259A"/>
    <w:rsid w:val="008027B8"/>
    <w:rsid w:val="0080282E"/>
    <w:rsid w:val="008033C3"/>
    <w:rsid w:val="008033FE"/>
    <w:rsid w:val="00803903"/>
    <w:rsid w:val="00804139"/>
    <w:rsid w:val="008046B3"/>
    <w:rsid w:val="0080552E"/>
    <w:rsid w:val="00805B7A"/>
    <w:rsid w:val="00806D30"/>
    <w:rsid w:val="00807106"/>
    <w:rsid w:val="00810189"/>
    <w:rsid w:val="00810D39"/>
    <w:rsid w:val="0081158A"/>
    <w:rsid w:val="00811613"/>
    <w:rsid w:val="00811C01"/>
    <w:rsid w:val="00811C28"/>
    <w:rsid w:val="00811CF7"/>
    <w:rsid w:val="00812390"/>
    <w:rsid w:val="00812617"/>
    <w:rsid w:val="008126B8"/>
    <w:rsid w:val="00812CBE"/>
    <w:rsid w:val="00812E72"/>
    <w:rsid w:val="00813203"/>
    <w:rsid w:val="0081324E"/>
    <w:rsid w:val="00813437"/>
    <w:rsid w:val="0081347E"/>
    <w:rsid w:val="00813857"/>
    <w:rsid w:val="00813BFC"/>
    <w:rsid w:val="00813DA8"/>
    <w:rsid w:val="00813EF6"/>
    <w:rsid w:val="00813F5D"/>
    <w:rsid w:val="0081445F"/>
    <w:rsid w:val="008144FE"/>
    <w:rsid w:val="008149BA"/>
    <w:rsid w:val="00814CF6"/>
    <w:rsid w:val="00814E79"/>
    <w:rsid w:val="008151B2"/>
    <w:rsid w:val="00815346"/>
    <w:rsid w:val="0081557C"/>
    <w:rsid w:val="00816C6F"/>
    <w:rsid w:val="00816E58"/>
    <w:rsid w:val="0081730C"/>
    <w:rsid w:val="0081739D"/>
    <w:rsid w:val="00817526"/>
    <w:rsid w:val="008203C0"/>
    <w:rsid w:val="008204FA"/>
    <w:rsid w:val="0082057F"/>
    <w:rsid w:val="00820829"/>
    <w:rsid w:val="00820AC0"/>
    <w:rsid w:val="00820E5C"/>
    <w:rsid w:val="00821266"/>
    <w:rsid w:val="00821ED3"/>
    <w:rsid w:val="008222AC"/>
    <w:rsid w:val="008225BA"/>
    <w:rsid w:val="00822B34"/>
    <w:rsid w:val="00823C9B"/>
    <w:rsid w:val="00824D16"/>
    <w:rsid w:val="00825348"/>
    <w:rsid w:val="00825FDD"/>
    <w:rsid w:val="0082603F"/>
    <w:rsid w:val="0082667F"/>
    <w:rsid w:val="008269E4"/>
    <w:rsid w:val="008273C3"/>
    <w:rsid w:val="00827E24"/>
    <w:rsid w:val="00830DD9"/>
    <w:rsid w:val="00831230"/>
    <w:rsid w:val="008312A0"/>
    <w:rsid w:val="0083141C"/>
    <w:rsid w:val="008315D7"/>
    <w:rsid w:val="0083186F"/>
    <w:rsid w:val="00831872"/>
    <w:rsid w:val="00831FC3"/>
    <w:rsid w:val="008324E3"/>
    <w:rsid w:val="00832DBA"/>
    <w:rsid w:val="008330BF"/>
    <w:rsid w:val="0083314C"/>
    <w:rsid w:val="00833A3E"/>
    <w:rsid w:val="008341ED"/>
    <w:rsid w:val="008343DE"/>
    <w:rsid w:val="008348B0"/>
    <w:rsid w:val="00834976"/>
    <w:rsid w:val="008349E7"/>
    <w:rsid w:val="00834E7E"/>
    <w:rsid w:val="008353FE"/>
    <w:rsid w:val="00835618"/>
    <w:rsid w:val="0083594B"/>
    <w:rsid w:val="00835C3C"/>
    <w:rsid w:val="0083604E"/>
    <w:rsid w:val="008363E6"/>
    <w:rsid w:val="008379F2"/>
    <w:rsid w:val="00837EDF"/>
    <w:rsid w:val="00840302"/>
    <w:rsid w:val="0084031C"/>
    <w:rsid w:val="0084044E"/>
    <w:rsid w:val="0084049B"/>
    <w:rsid w:val="00840A6E"/>
    <w:rsid w:val="0084115F"/>
    <w:rsid w:val="008416B4"/>
    <w:rsid w:val="00841975"/>
    <w:rsid w:val="00841FBE"/>
    <w:rsid w:val="0084279E"/>
    <w:rsid w:val="00842B22"/>
    <w:rsid w:val="00842C6A"/>
    <w:rsid w:val="008430A9"/>
    <w:rsid w:val="0084325A"/>
    <w:rsid w:val="00843327"/>
    <w:rsid w:val="00843DF1"/>
    <w:rsid w:val="00843F0C"/>
    <w:rsid w:val="00843FA7"/>
    <w:rsid w:val="0084436D"/>
    <w:rsid w:val="00844D07"/>
    <w:rsid w:val="00845240"/>
    <w:rsid w:val="00845827"/>
    <w:rsid w:val="00845CDF"/>
    <w:rsid w:val="008465AF"/>
    <w:rsid w:val="008467AB"/>
    <w:rsid w:val="00846B49"/>
    <w:rsid w:val="00847737"/>
    <w:rsid w:val="00847D64"/>
    <w:rsid w:val="00847E60"/>
    <w:rsid w:val="00850510"/>
    <w:rsid w:val="0085093F"/>
    <w:rsid w:val="00850AE5"/>
    <w:rsid w:val="00851238"/>
    <w:rsid w:val="008513DC"/>
    <w:rsid w:val="00851DC3"/>
    <w:rsid w:val="00852210"/>
    <w:rsid w:val="00852A7F"/>
    <w:rsid w:val="00853140"/>
    <w:rsid w:val="0085346A"/>
    <w:rsid w:val="00853A11"/>
    <w:rsid w:val="00854846"/>
    <w:rsid w:val="008551B0"/>
    <w:rsid w:val="00856025"/>
    <w:rsid w:val="00856754"/>
    <w:rsid w:val="008571E7"/>
    <w:rsid w:val="0085777C"/>
    <w:rsid w:val="00857C61"/>
    <w:rsid w:val="00857CB8"/>
    <w:rsid w:val="00857E67"/>
    <w:rsid w:val="008601E3"/>
    <w:rsid w:val="00860294"/>
    <w:rsid w:val="00860AB2"/>
    <w:rsid w:val="00860D14"/>
    <w:rsid w:val="00860D6A"/>
    <w:rsid w:val="00861261"/>
    <w:rsid w:val="008615D8"/>
    <w:rsid w:val="00861E3F"/>
    <w:rsid w:val="00862171"/>
    <w:rsid w:val="008621B6"/>
    <w:rsid w:val="00862374"/>
    <w:rsid w:val="00862D00"/>
    <w:rsid w:val="008630B0"/>
    <w:rsid w:val="00863945"/>
    <w:rsid w:val="00864D96"/>
    <w:rsid w:val="00865A96"/>
    <w:rsid w:val="00865CC2"/>
    <w:rsid w:val="00866402"/>
    <w:rsid w:val="00866425"/>
    <w:rsid w:val="008664C0"/>
    <w:rsid w:val="00866505"/>
    <w:rsid w:val="00866C8E"/>
    <w:rsid w:val="0086705E"/>
    <w:rsid w:val="00867315"/>
    <w:rsid w:val="0086789A"/>
    <w:rsid w:val="0086791D"/>
    <w:rsid w:val="0086795E"/>
    <w:rsid w:val="00867AC8"/>
    <w:rsid w:val="00867BDC"/>
    <w:rsid w:val="00867C57"/>
    <w:rsid w:val="008704CA"/>
    <w:rsid w:val="00870767"/>
    <w:rsid w:val="0087086A"/>
    <w:rsid w:val="00870930"/>
    <w:rsid w:val="0087180F"/>
    <w:rsid w:val="00871F13"/>
    <w:rsid w:val="008728F6"/>
    <w:rsid w:val="008729D8"/>
    <w:rsid w:val="00872B70"/>
    <w:rsid w:val="0087383B"/>
    <w:rsid w:val="00873883"/>
    <w:rsid w:val="00873BDF"/>
    <w:rsid w:val="00873EAF"/>
    <w:rsid w:val="008743CF"/>
    <w:rsid w:val="00874981"/>
    <w:rsid w:val="00874FE5"/>
    <w:rsid w:val="00876A46"/>
    <w:rsid w:val="00876A96"/>
    <w:rsid w:val="00876B67"/>
    <w:rsid w:val="00877036"/>
    <w:rsid w:val="008770EC"/>
    <w:rsid w:val="00877106"/>
    <w:rsid w:val="00877DC8"/>
    <w:rsid w:val="00880295"/>
    <w:rsid w:val="00880B4B"/>
    <w:rsid w:val="00880DAA"/>
    <w:rsid w:val="008810F4"/>
    <w:rsid w:val="008814BA"/>
    <w:rsid w:val="008818D0"/>
    <w:rsid w:val="00881AF7"/>
    <w:rsid w:val="00881C61"/>
    <w:rsid w:val="008827CC"/>
    <w:rsid w:val="00883298"/>
    <w:rsid w:val="008838A3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128A"/>
    <w:rsid w:val="008921A7"/>
    <w:rsid w:val="0089247E"/>
    <w:rsid w:val="00893010"/>
    <w:rsid w:val="00893DCF"/>
    <w:rsid w:val="008940E5"/>
    <w:rsid w:val="00894656"/>
    <w:rsid w:val="008946B9"/>
    <w:rsid w:val="00894C8E"/>
    <w:rsid w:val="0089628F"/>
    <w:rsid w:val="00896409"/>
    <w:rsid w:val="00896E6E"/>
    <w:rsid w:val="00897C8D"/>
    <w:rsid w:val="008A0176"/>
    <w:rsid w:val="008A0191"/>
    <w:rsid w:val="008A03BD"/>
    <w:rsid w:val="008A113F"/>
    <w:rsid w:val="008A160F"/>
    <w:rsid w:val="008A1A05"/>
    <w:rsid w:val="008A1D6D"/>
    <w:rsid w:val="008A1FF1"/>
    <w:rsid w:val="008A265D"/>
    <w:rsid w:val="008A26DF"/>
    <w:rsid w:val="008A2FF6"/>
    <w:rsid w:val="008A3054"/>
    <w:rsid w:val="008A31C1"/>
    <w:rsid w:val="008A3328"/>
    <w:rsid w:val="008A34C3"/>
    <w:rsid w:val="008A3DEC"/>
    <w:rsid w:val="008A46D7"/>
    <w:rsid w:val="008A49CA"/>
    <w:rsid w:val="008A49F7"/>
    <w:rsid w:val="008A4CC0"/>
    <w:rsid w:val="008A4EED"/>
    <w:rsid w:val="008A53A8"/>
    <w:rsid w:val="008A66B6"/>
    <w:rsid w:val="008A7077"/>
    <w:rsid w:val="008A7641"/>
    <w:rsid w:val="008A7E7C"/>
    <w:rsid w:val="008B0836"/>
    <w:rsid w:val="008B150D"/>
    <w:rsid w:val="008B2046"/>
    <w:rsid w:val="008B350A"/>
    <w:rsid w:val="008B36C2"/>
    <w:rsid w:val="008B3B67"/>
    <w:rsid w:val="008B48D4"/>
    <w:rsid w:val="008B4910"/>
    <w:rsid w:val="008B4AB2"/>
    <w:rsid w:val="008B4BAA"/>
    <w:rsid w:val="008B4CF5"/>
    <w:rsid w:val="008B514B"/>
    <w:rsid w:val="008B5183"/>
    <w:rsid w:val="008B56C9"/>
    <w:rsid w:val="008B59A0"/>
    <w:rsid w:val="008B5D16"/>
    <w:rsid w:val="008B5FC5"/>
    <w:rsid w:val="008B601B"/>
    <w:rsid w:val="008B6763"/>
    <w:rsid w:val="008B797C"/>
    <w:rsid w:val="008B7A59"/>
    <w:rsid w:val="008B7A99"/>
    <w:rsid w:val="008B7B0C"/>
    <w:rsid w:val="008B7EC5"/>
    <w:rsid w:val="008C0614"/>
    <w:rsid w:val="008C0664"/>
    <w:rsid w:val="008C06F3"/>
    <w:rsid w:val="008C072D"/>
    <w:rsid w:val="008C14D7"/>
    <w:rsid w:val="008C1CDF"/>
    <w:rsid w:val="008C1F91"/>
    <w:rsid w:val="008C1FA8"/>
    <w:rsid w:val="008C3C42"/>
    <w:rsid w:val="008C3F00"/>
    <w:rsid w:val="008C3F90"/>
    <w:rsid w:val="008C4812"/>
    <w:rsid w:val="008C4A3A"/>
    <w:rsid w:val="008C54C3"/>
    <w:rsid w:val="008C5754"/>
    <w:rsid w:val="008C5896"/>
    <w:rsid w:val="008C5BA3"/>
    <w:rsid w:val="008C62BE"/>
    <w:rsid w:val="008C6461"/>
    <w:rsid w:val="008C6B5E"/>
    <w:rsid w:val="008C6C35"/>
    <w:rsid w:val="008C7A13"/>
    <w:rsid w:val="008D027C"/>
    <w:rsid w:val="008D07F6"/>
    <w:rsid w:val="008D0951"/>
    <w:rsid w:val="008D0A0E"/>
    <w:rsid w:val="008D2181"/>
    <w:rsid w:val="008D230E"/>
    <w:rsid w:val="008D2BCC"/>
    <w:rsid w:val="008D2F65"/>
    <w:rsid w:val="008D313B"/>
    <w:rsid w:val="008D381A"/>
    <w:rsid w:val="008D381D"/>
    <w:rsid w:val="008D49BB"/>
    <w:rsid w:val="008D4B68"/>
    <w:rsid w:val="008D5035"/>
    <w:rsid w:val="008D562A"/>
    <w:rsid w:val="008D5A72"/>
    <w:rsid w:val="008D5F5E"/>
    <w:rsid w:val="008D6124"/>
    <w:rsid w:val="008D6130"/>
    <w:rsid w:val="008D655F"/>
    <w:rsid w:val="008D65CB"/>
    <w:rsid w:val="008D6D79"/>
    <w:rsid w:val="008D7339"/>
    <w:rsid w:val="008D77C2"/>
    <w:rsid w:val="008D77C5"/>
    <w:rsid w:val="008D792E"/>
    <w:rsid w:val="008D7A23"/>
    <w:rsid w:val="008D7FE9"/>
    <w:rsid w:val="008E00DF"/>
    <w:rsid w:val="008E02AA"/>
    <w:rsid w:val="008E0642"/>
    <w:rsid w:val="008E077B"/>
    <w:rsid w:val="008E0A08"/>
    <w:rsid w:val="008E0B9F"/>
    <w:rsid w:val="008E0CE6"/>
    <w:rsid w:val="008E18AD"/>
    <w:rsid w:val="008E1AA9"/>
    <w:rsid w:val="008E1C89"/>
    <w:rsid w:val="008E1CBC"/>
    <w:rsid w:val="008E2479"/>
    <w:rsid w:val="008E2B4A"/>
    <w:rsid w:val="008E3663"/>
    <w:rsid w:val="008E369E"/>
    <w:rsid w:val="008E4736"/>
    <w:rsid w:val="008E498B"/>
    <w:rsid w:val="008E4E1E"/>
    <w:rsid w:val="008E56BF"/>
    <w:rsid w:val="008E58FF"/>
    <w:rsid w:val="008E5DA3"/>
    <w:rsid w:val="008E5E28"/>
    <w:rsid w:val="008E5FBA"/>
    <w:rsid w:val="008E62DB"/>
    <w:rsid w:val="008E6938"/>
    <w:rsid w:val="008E6E48"/>
    <w:rsid w:val="008E71A5"/>
    <w:rsid w:val="008E7F33"/>
    <w:rsid w:val="008F0153"/>
    <w:rsid w:val="008F0508"/>
    <w:rsid w:val="008F0BC4"/>
    <w:rsid w:val="008F117B"/>
    <w:rsid w:val="008F1B3E"/>
    <w:rsid w:val="008F1F64"/>
    <w:rsid w:val="008F24F1"/>
    <w:rsid w:val="008F2934"/>
    <w:rsid w:val="008F2E27"/>
    <w:rsid w:val="008F310C"/>
    <w:rsid w:val="008F44BC"/>
    <w:rsid w:val="008F46EE"/>
    <w:rsid w:val="008F4798"/>
    <w:rsid w:val="008F490C"/>
    <w:rsid w:val="008F4BB3"/>
    <w:rsid w:val="008F4DAA"/>
    <w:rsid w:val="008F6632"/>
    <w:rsid w:val="008F6EA5"/>
    <w:rsid w:val="008F7230"/>
    <w:rsid w:val="008F73A9"/>
    <w:rsid w:val="008F76D5"/>
    <w:rsid w:val="008F7D80"/>
    <w:rsid w:val="008F7F32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3359"/>
    <w:rsid w:val="00903D51"/>
    <w:rsid w:val="00904187"/>
    <w:rsid w:val="00904232"/>
    <w:rsid w:val="00904246"/>
    <w:rsid w:val="0090450E"/>
    <w:rsid w:val="00904871"/>
    <w:rsid w:val="00904F96"/>
    <w:rsid w:val="0090552B"/>
    <w:rsid w:val="00905668"/>
    <w:rsid w:val="00906654"/>
    <w:rsid w:val="00906808"/>
    <w:rsid w:val="00906C63"/>
    <w:rsid w:val="00906D08"/>
    <w:rsid w:val="00906E8F"/>
    <w:rsid w:val="0090721E"/>
    <w:rsid w:val="0090755D"/>
    <w:rsid w:val="00907808"/>
    <w:rsid w:val="00907DD2"/>
    <w:rsid w:val="009107FE"/>
    <w:rsid w:val="00910C92"/>
    <w:rsid w:val="00911271"/>
    <w:rsid w:val="00911643"/>
    <w:rsid w:val="00911D19"/>
    <w:rsid w:val="009121D7"/>
    <w:rsid w:val="00912554"/>
    <w:rsid w:val="009127B0"/>
    <w:rsid w:val="00912B31"/>
    <w:rsid w:val="00913200"/>
    <w:rsid w:val="0091376A"/>
    <w:rsid w:val="00913B78"/>
    <w:rsid w:val="0091440A"/>
    <w:rsid w:val="00914E7F"/>
    <w:rsid w:val="00914FA0"/>
    <w:rsid w:val="00915F3D"/>
    <w:rsid w:val="00916072"/>
    <w:rsid w:val="00916785"/>
    <w:rsid w:val="009172AF"/>
    <w:rsid w:val="0091775D"/>
    <w:rsid w:val="00917D91"/>
    <w:rsid w:val="0092005D"/>
    <w:rsid w:val="00920135"/>
    <w:rsid w:val="00920BDB"/>
    <w:rsid w:val="00920E6B"/>
    <w:rsid w:val="00921B54"/>
    <w:rsid w:val="00921D7F"/>
    <w:rsid w:val="00921FAA"/>
    <w:rsid w:val="0092230C"/>
    <w:rsid w:val="00922B87"/>
    <w:rsid w:val="0092312B"/>
    <w:rsid w:val="00923278"/>
    <w:rsid w:val="00923633"/>
    <w:rsid w:val="00923725"/>
    <w:rsid w:val="00923D0D"/>
    <w:rsid w:val="0092400A"/>
    <w:rsid w:val="00924384"/>
    <w:rsid w:val="0092441A"/>
    <w:rsid w:val="0092468E"/>
    <w:rsid w:val="0092476E"/>
    <w:rsid w:val="0092482A"/>
    <w:rsid w:val="00924D4E"/>
    <w:rsid w:val="0092527D"/>
    <w:rsid w:val="00925451"/>
    <w:rsid w:val="00925B64"/>
    <w:rsid w:val="00926311"/>
    <w:rsid w:val="00926363"/>
    <w:rsid w:val="00926AA4"/>
    <w:rsid w:val="00926B71"/>
    <w:rsid w:val="0092707C"/>
    <w:rsid w:val="0092726A"/>
    <w:rsid w:val="009273FF"/>
    <w:rsid w:val="009276CE"/>
    <w:rsid w:val="009277AD"/>
    <w:rsid w:val="00927ABA"/>
    <w:rsid w:val="00927DAB"/>
    <w:rsid w:val="00927F39"/>
    <w:rsid w:val="00930269"/>
    <w:rsid w:val="00930479"/>
    <w:rsid w:val="00930576"/>
    <w:rsid w:val="00930750"/>
    <w:rsid w:val="0093118E"/>
    <w:rsid w:val="009315FE"/>
    <w:rsid w:val="0093166E"/>
    <w:rsid w:val="009317ED"/>
    <w:rsid w:val="00931D82"/>
    <w:rsid w:val="00931F13"/>
    <w:rsid w:val="0093276B"/>
    <w:rsid w:val="00933D6A"/>
    <w:rsid w:val="009348E8"/>
    <w:rsid w:val="00934952"/>
    <w:rsid w:val="00934A8D"/>
    <w:rsid w:val="00934AB7"/>
    <w:rsid w:val="009350ED"/>
    <w:rsid w:val="00935DF3"/>
    <w:rsid w:val="009363E5"/>
    <w:rsid w:val="00936C02"/>
    <w:rsid w:val="00936D3F"/>
    <w:rsid w:val="00936D60"/>
    <w:rsid w:val="00936E37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31F8"/>
    <w:rsid w:val="00943257"/>
    <w:rsid w:val="00943B97"/>
    <w:rsid w:val="00943CBE"/>
    <w:rsid w:val="00944173"/>
    <w:rsid w:val="009447B5"/>
    <w:rsid w:val="00945618"/>
    <w:rsid w:val="00945B98"/>
    <w:rsid w:val="00945D90"/>
    <w:rsid w:val="0094606F"/>
    <w:rsid w:val="009478E1"/>
    <w:rsid w:val="00950912"/>
    <w:rsid w:val="00950D12"/>
    <w:rsid w:val="00951261"/>
    <w:rsid w:val="0095134F"/>
    <w:rsid w:val="00951DE5"/>
    <w:rsid w:val="00952D1F"/>
    <w:rsid w:val="00952FA0"/>
    <w:rsid w:val="0095304B"/>
    <w:rsid w:val="0095341D"/>
    <w:rsid w:val="00953BB7"/>
    <w:rsid w:val="00953F8F"/>
    <w:rsid w:val="0095492C"/>
    <w:rsid w:val="00955325"/>
    <w:rsid w:val="0095566B"/>
    <w:rsid w:val="00955BFB"/>
    <w:rsid w:val="00955DA1"/>
    <w:rsid w:val="00955E99"/>
    <w:rsid w:val="00956567"/>
    <w:rsid w:val="00956FA4"/>
    <w:rsid w:val="00957889"/>
    <w:rsid w:val="009603A1"/>
    <w:rsid w:val="00960FE9"/>
    <w:rsid w:val="009610AC"/>
    <w:rsid w:val="0096120D"/>
    <w:rsid w:val="009620BE"/>
    <w:rsid w:val="0096299D"/>
    <w:rsid w:val="009634A1"/>
    <w:rsid w:val="0096405F"/>
    <w:rsid w:val="00964179"/>
    <w:rsid w:val="009643C8"/>
    <w:rsid w:val="0096488A"/>
    <w:rsid w:val="0096495F"/>
    <w:rsid w:val="009652C2"/>
    <w:rsid w:val="009652DC"/>
    <w:rsid w:val="00965820"/>
    <w:rsid w:val="00965F90"/>
    <w:rsid w:val="00966078"/>
    <w:rsid w:val="00966331"/>
    <w:rsid w:val="00966D4A"/>
    <w:rsid w:val="009674A3"/>
    <w:rsid w:val="009675BF"/>
    <w:rsid w:val="00967A31"/>
    <w:rsid w:val="00970055"/>
    <w:rsid w:val="0097061F"/>
    <w:rsid w:val="009706C3"/>
    <w:rsid w:val="00970754"/>
    <w:rsid w:val="009710D3"/>
    <w:rsid w:val="009712DF"/>
    <w:rsid w:val="00972764"/>
    <w:rsid w:val="00973537"/>
    <w:rsid w:val="009748B7"/>
    <w:rsid w:val="0097519D"/>
    <w:rsid w:val="00975A15"/>
    <w:rsid w:val="00975E4C"/>
    <w:rsid w:val="00976762"/>
    <w:rsid w:val="009773EE"/>
    <w:rsid w:val="0097756E"/>
    <w:rsid w:val="0097792E"/>
    <w:rsid w:val="00977A7D"/>
    <w:rsid w:val="00980C99"/>
    <w:rsid w:val="00980FCD"/>
    <w:rsid w:val="009812E4"/>
    <w:rsid w:val="009817CF"/>
    <w:rsid w:val="00981B3C"/>
    <w:rsid w:val="00981BEB"/>
    <w:rsid w:val="00981E2D"/>
    <w:rsid w:val="00982C4E"/>
    <w:rsid w:val="00983025"/>
    <w:rsid w:val="0098311D"/>
    <w:rsid w:val="0098384B"/>
    <w:rsid w:val="00983C54"/>
    <w:rsid w:val="00984055"/>
    <w:rsid w:val="009845A6"/>
    <w:rsid w:val="00985587"/>
    <w:rsid w:val="0098569D"/>
    <w:rsid w:val="0098622B"/>
    <w:rsid w:val="0098626D"/>
    <w:rsid w:val="00986748"/>
    <w:rsid w:val="00986B17"/>
    <w:rsid w:val="00986F24"/>
    <w:rsid w:val="009870AA"/>
    <w:rsid w:val="00987AE5"/>
    <w:rsid w:val="00987C68"/>
    <w:rsid w:val="00987C9F"/>
    <w:rsid w:val="00991368"/>
    <w:rsid w:val="009919D8"/>
    <w:rsid w:val="00991BFC"/>
    <w:rsid w:val="009925F7"/>
    <w:rsid w:val="00992A5D"/>
    <w:rsid w:val="00993667"/>
    <w:rsid w:val="00993907"/>
    <w:rsid w:val="00994290"/>
    <w:rsid w:val="009942A4"/>
    <w:rsid w:val="0099622C"/>
    <w:rsid w:val="0099645D"/>
    <w:rsid w:val="00996850"/>
    <w:rsid w:val="00997573"/>
    <w:rsid w:val="0099768D"/>
    <w:rsid w:val="009976A6"/>
    <w:rsid w:val="00997893"/>
    <w:rsid w:val="009A0289"/>
    <w:rsid w:val="009A02B1"/>
    <w:rsid w:val="009A0566"/>
    <w:rsid w:val="009A0CA5"/>
    <w:rsid w:val="009A1702"/>
    <w:rsid w:val="009A19A3"/>
    <w:rsid w:val="009A1F98"/>
    <w:rsid w:val="009A214C"/>
    <w:rsid w:val="009A267D"/>
    <w:rsid w:val="009A2D32"/>
    <w:rsid w:val="009A3647"/>
    <w:rsid w:val="009A3BD9"/>
    <w:rsid w:val="009A4156"/>
    <w:rsid w:val="009A4237"/>
    <w:rsid w:val="009A5088"/>
    <w:rsid w:val="009A50E5"/>
    <w:rsid w:val="009A5600"/>
    <w:rsid w:val="009A5755"/>
    <w:rsid w:val="009A5C4F"/>
    <w:rsid w:val="009A5ED2"/>
    <w:rsid w:val="009A6157"/>
    <w:rsid w:val="009A6A9B"/>
    <w:rsid w:val="009A6E9A"/>
    <w:rsid w:val="009A74F8"/>
    <w:rsid w:val="009A785F"/>
    <w:rsid w:val="009B06B3"/>
    <w:rsid w:val="009B0828"/>
    <w:rsid w:val="009B10FD"/>
    <w:rsid w:val="009B1465"/>
    <w:rsid w:val="009B148F"/>
    <w:rsid w:val="009B1581"/>
    <w:rsid w:val="009B1E72"/>
    <w:rsid w:val="009B2607"/>
    <w:rsid w:val="009B3540"/>
    <w:rsid w:val="009B386A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C01FF"/>
    <w:rsid w:val="009C1214"/>
    <w:rsid w:val="009C1432"/>
    <w:rsid w:val="009C16AC"/>
    <w:rsid w:val="009C1955"/>
    <w:rsid w:val="009C20EE"/>
    <w:rsid w:val="009C295F"/>
    <w:rsid w:val="009C301F"/>
    <w:rsid w:val="009C3736"/>
    <w:rsid w:val="009C389B"/>
    <w:rsid w:val="009C3A50"/>
    <w:rsid w:val="009C3CD0"/>
    <w:rsid w:val="009C4862"/>
    <w:rsid w:val="009C4CCE"/>
    <w:rsid w:val="009C5484"/>
    <w:rsid w:val="009C54D5"/>
    <w:rsid w:val="009C559B"/>
    <w:rsid w:val="009C6098"/>
    <w:rsid w:val="009C6BE5"/>
    <w:rsid w:val="009C6CCA"/>
    <w:rsid w:val="009C6FA0"/>
    <w:rsid w:val="009C7016"/>
    <w:rsid w:val="009D1037"/>
    <w:rsid w:val="009D10CF"/>
    <w:rsid w:val="009D182C"/>
    <w:rsid w:val="009D24C5"/>
    <w:rsid w:val="009D254F"/>
    <w:rsid w:val="009D2713"/>
    <w:rsid w:val="009D355F"/>
    <w:rsid w:val="009D3780"/>
    <w:rsid w:val="009D3800"/>
    <w:rsid w:val="009D397E"/>
    <w:rsid w:val="009D3CEA"/>
    <w:rsid w:val="009D42AF"/>
    <w:rsid w:val="009D4806"/>
    <w:rsid w:val="009D4B10"/>
    <w:rsid w:val="009D504B"/>
    <w:rsid w:val="009D5159"/>
    <w:rsid w:val="009D5B30"/>
    <w:rsid w:val="009D6BD8"/>
    <w:rsid w:val="009D6FEE"/>
    <w:rsid w:val="009D7C97"/>
    <w:rsid w:val="009D7CE8"/>
    <w:rsid w:val="009D7EB8"/>
    <w:rsid w:val="009E0289"/>
    <w:rsid w:val="009E0447"/>
    <w:rsid w:val="009E060C"/>
    <w:rsid w:val="009E1123"/>
    <w:rsid w:val="009E11FD"/>
    <w:rsid w:val="009E1D5E"/>
    <w:rsid w:val="009E1F6A"/>
    <w:rsid w:val="009E2554"/>
    <w:rsid w:val="009E25C3"/>
    <w:rsid w:val="009E32AA"/>
    <w:rsid w:val="009E43A9"/>
    <w:rsid w:val="009E46A4"/>
    <w:rsid w:val="009E52D7"/>
    <w:rsid w:val="009E57D6"/>
    <w:rsid w:val="009E5BD7"/>
    <w:rsid w:val="009E6906"/>
    <w:rsid w:val="009E69F0"/>
    <w:rsid w:val="009E712F"/>
    <w:rsid w:val="009E715B"/>
    <w:rsid w:val="009E7304"/>
    <w:rsid w:val="009E753F"/>
    <w:rsid w:val="009E7696"/>
    <w:rsid w:val="009E775D"/>
    <w:rsid w:val="009E7923"/>
    <w:rsid w:val="009E7F05"/>
    <w:rsid w:val="009F018F"/>
    <w:rsid w:val="009F0793"/>
    <w:rsid w:val="009F0B0B"/>
    <w:rsid w:val="009F0CA6"/>
    <w:rsid w:val="009F1B47"/>
    <w:rsid w:val="009F20AA"/>
    <w:rsid w:val="009F2808"/>
    <w:rsid w:val="009F2E65"/>
    <w:rsid w:val="009F35C8"/>
    <w:rsid w:val="009F38B1"/>
    <w:rsid w:val="009F3BD4"/>
    <w:rsid w:val="009F44E6"/>
    <w:rsid w:val="009F469A"/>
    <w:rsid w:val="009F4763"/>
    <w:rsid w:val="009F485A"/>
    <w:rsid w:val="009F49B6"/>
    <w:rsid w:val="009F4DBB"/>
    <w:rsid w:val="009F53DB"/>
    <w:rsid w:val="009F57CC"/>
    <w:rsid w:val="009F66D1"/>
    <w:rsid w:val="009F6AF2"/>
    <w:rsid w:val="009F6D1C"/>
    <w:rsid w:val="009F6F55"/>
    <w:rsid w:val="009F7037"/>
    <w:rsid w:val="009F797B"/>
    <w:rsid w:val="009F7D01"/>
    <w:rsid w:val="00A00010"/>
    <w:rsid w:val="00A00033"/>
    <w:rsid w:val="00A00963"/>
    <w:rsid w:val="00A00F11"/>
    <w:rsid w:val="00A01F1B"/>
    <w:rsid w:val="00A02511"/>
    <w:rsid w:val="00A02900"/>
    <w:rsid w:val="00A02C0D"/>
    <w:rsid w:val="00A02D75"/>
    <w:rsid w:val="00A0370E"/>
    <w:rsid w:val="00A0371D"/>
    <w:rsid w:val="00A039D0"/>
    <w:rsid w:val="00A039F2"/>
    <w:rsid w:val="00A03D68"/>
    <w:rsid w:val="00A045AE"/>
    <w:rsid w:val="00A04607"/>
    <w:rsid w:val="00A04692"/>
    <w:rsid w:val="00A04800"/>
    <w:rsid w:val="00A04AED"/>
    <w:rsid w:val="00A054E6"/>
    <w:rsid w:val="00A06092"/>
    <w:rsid w:val="00A06EE9"/>
    <w:rsid w:val="00A07476"/>
    <w:rsid w:val="00A0762F"/>
    <w:rsid w:val="00A07DE6"/>
    <w:rsid w:val="00A100BE"/>
    <w:rsid w:val="00A10162"/>
    <w:rsid w:val="00A1136E"/>
    <w:rsid w:val="00A11FF6"/>
    <w:rsid w:val="00A121D3"/>
    <w:rsid w:val="00A12882"/>
    <w:rsid w:val="00A129FE"/>
    <w:rsid w:val="00A12D3A"/>
    <w:rsid w:val="00A13158"/>
    <w:rsid w:val="00A13246"/>
    <w:rsid w:val="00A138A9"/>
    <w:rsid w:val="00A139AA"/>
    <w:rsid w:val="00A13A73"/>
    <w:rsid w:val="00A14AEE"/>
    <w:rsid w:val="00A15F37"/>
    <w:rsid w:val="00A160A1"/>
    <w:rsid w:val="00A160DA"/>
    <w:rsid w:val="00A16619"/>
    <w:rsid w:val="00A1675E"/>
    <w:rsid w:val="00A16E32"/>
    <w:rsid w:val="00A1771E"/>
    <w:rsid w:val="00A17978"/>
    <w:rsid w:val="00A17BE9"/>
    <w:rsid w:val="00A17D8D"/>
    <w:rsid w:val="00A17F6A"/>
    <w:rsid w:val="00A200CD"/>
    <w:rsid w:val="00A204D4"/>
    <w:rsid w:val="00A21360"/>
    <w:rsid w:val="00A21415"/>
    <w:rsid w:val="00A21459"/>
    <w:rsid w:val="00A2184F"/>
    <w:rsid w:val="00A219F0"/>
    <w:rsid w:val="00A21FD5"/>
    <w:rsid w:val="00A2225E"/>
    <w:rsid w:val="00A22952"/>
    <w:rsid w:val="00A24407"/>
    <w:rsid w:val="00A2472A"/>
    <w:rsid w:val="00A24AAC"/>
    <w:rsid w:val="00A24C8F"/>
    <w:rsid w:val="00A24EEB"/>
    <w:rsid w:val="00A25186"/>
    <w:rsid w:val="00A2585B"/>
    <w:rsid w:val="00A258CC"/>
    <w:rsid w:val="00A25A8E"/>
    <w:rsid w:val="00A25B4C"/>
    <w:rsid w:val="00A25BE9"/>
    <w:rsid w:val="00A25F14"/>
    <w:rsid w:val="00A26691"/>
    <w:rsid w:val="00A269ED"/>
    <w:rsid w:val="00A26C28"/>
    <w:rsid w:val="00A2778E"/>
    <w:rsid w:val="00A278EA"/>
    <w:rsid w:val="00A3048B"/>
    <w:rsid w:val="00A30CD9"/>
    <w:rsid w:val="00A3170C"/>
    <w:rsid w:val="00A31CFE"/>
    <w:rsid w:val="00A322CB"/>
    <w:rsid w:val="00A3282F"/>
    <w:rsid w:val="00A32BFF"/>
    <w:rsid w:val="00A33361"/>
    <w:rsid w:val="00A33719"/>
    <w:rsid w:val="00A3472E"/>
    <w:rsid w:val="00A34AFB"/>
    <w:rsid w:val="00A34C9E"/>
    <w:rsid w:val="00A35684"/>
    <w:rsid w:val="00A35838"/>
    <w:rsid w:val="00A358E0"/>
    <w:rsid w:val="00A35C27"/>
    <w:rsid w:val="00A35F6B"/>
    <w:rsid w:val="00A3663C"/>
    <w:rsid w:val="00A36905"/>
    <w:rsid w:val="00A36C62"/>
    <w:rsid w:val="00A36F3A"/>
    <w:rsid w:val="00A37324"/>
    <w:rsid w:val="00A3736C"/>
    <w:rsid w:val="00A3756B"/>
    <w:rsid w:val="00A379EB"/>
    <w:rsid w:val="00A37B3C"/>
    <w:rsid w:val="00A37B6F"/>
    <w:rsid w:val="00A4077C"/>
    <w:rsid w:val="00A40A8C"/>
    <w:rsid w:val="00A414C8"/>
    <w:rsid w:val="00A41DA2"/>
    <w:rsid w:val="00A41E4F"/>
    <w:rsid w:val="00A428DD"/>
    <w:rsid w:val="00A42F64"/>
    <w:rsid w:val="00A42F9F"/>
    <w:rsid w:val="00A42FE7"/>
    <w:rsid w:val="00A43BD7"/>
    <w:rsid w:val="00A449CE"/>
    <w:rsid w:val="00A45819"/>
    <w:rsid w:val="00A45C55"/>
    <w:rsid w:val="00A46339"/>
    <w:rsid w:val="00A46958"/>
    <w:rsid w:val="00A46FBF"/>
    <w:rsid w:val="00A4707E"/>
    <w:rsid w:val="00A473DF"/>
    <w:rsid w:val="00A500B4"/>
    <w:rsid w:val="00A50219"/>
    <w:rsid w:val="00A50B68"/>
    <w:rsid w:val="00A5140C"/>
    <w:rsid w:val="00A5208D"/>
    <w:rsid w:val="00A52745"/>
    <w:rsid w:val="00A52BF7"/>
    <w:rsid w:val="00A52C8A"/>
    <w:rsid w:val="00A52F21"/>
    <w:rsid w:val="00A5396F"/>
    <w:rsid w:val="00A54100"/>
    <w:rsid w:val="00A54592"/>
    <w:rsid w:val="00A54AE1"/>
    <w:rsid w:val="00A5506D"/>
    <w:rsid w:val="00A5665E"/>
    <w:rsid w:val="00A56AEA"/>
    <w:rsid w:val="00A56B67"/>
    <w:rsid w:val="00A57079"/>
    <w:rsid w:val="00A602EE"/>
    <w:rsid w:val="00A60C5D"/>
    <w:rsid w:val="00A60E2B"/>
    <w:rsid w:val="00A60F40"/>
    <w:rsid w:val="00A6157A"/>
    <w:rsid w:val="00A628FA"/>
    <w:rsid w:val="00A63102"/>
    <w:rsid w:val="00A637FA"/>
    <w:rsid w:val="00A63FE6"/>
    <w:rsid w:val="00A640AE"/>
    <w:rsid w:val="00A644FC"/>
    <w:rsid w:val="00A64646"/>
    <w:rsid w:val="00A647F4"/>
    <w:rsid w:val="00A64976"/>
    <w:rsid w:val="00A64B1B"/>
    <w:rsid w:val="00A6584C"/>
    <w:rsid w:val="00A65BF9"/>
    <w:rsid w:val="00A66CE1"/>
    <w:rsid w:val="00A67754"/>
    <w:rsid w:val="00A67C1C"/>
    <w:rsid w:val="00A67F9E"/>
    <w:rsid w:val="00A707AB"/>
    <w:rsid w:val="00A70D4E"/>
    <w:rsid w:val="00A71002"/>
    <w:rsid w:val="00A7261F"/>
    <w:rsid w:val="00A72717"/>
    <w:rsid w:val="00A72919"/>
    <w:rsid w:val="00A7348F"/>
    <w:rsid w:val="00A73898"/>
    <w:rsid w:val="00A7436E"/>
    <w:rsid w:val="00A7490F"/>
    <w:rsid w:val="00A75011"/>
    <w:rsid w:val="00A752F1"/>
    <w:rsid w:val="00A75773"/>
    <w:rsid w:val="00A75D02"/>
    <w:rsid w:val="00A75F33"/>
    <w:rsid w:val="00A76EF9"/>
    <w:rsid w:val="00A771A5"/>
    <w:rsid w:val="00A77239"/>
    <w:rsid w:val="00A772B2"/>
    <w:rsid w:val="00A7759D"/>
    <w:rsid w:val="00A77642"/>
    <w:rsid w:val="00A77C5B"/>
    <w:rsid w:val="00A8039A"/>
    <w:rsid w:val="00A80924"/>
    <w:rsid w:val="00A80B37"/>
    <w:rsid w:val="00A81C41"/>
    <w:rsid w:val="00A8236D"/>
    <w:rsid w:val="00A83AB5"/>
    <w:rsid w:val="00A83D7A"/>
    <w:rsid w:val="00A857A5"/>
    <w:rsid w:val="00A85918"/>
    <w:rsid w:val="00A859D0"/>
    <w:rsid w:val="00A859F7"/>
    <w:rsid w:val="00A86A19"/>
    <w:rsid w:val="00A86A3B"/>
    <w:rsid w:val="00A86D2F"/>
    <w:rsid w:val="00A87013"/>
    <w:rsid w:val="00A870A6"/>
    <w:rsid w:val="00A877B4"/>
    <w:rsid w:val="00A87800"/>
    <w:rsid w:val="00A9052F"/>
    <w:rsid w:val="00A9194D"/>
    <w:rsid w:val="00A91CF0"/>
    <w:rsid w:val="00A93504"/>
    <w:rsid w:val="00A93E91"/>
    <w:rsid w:val="00A941A9"/>
    <w:rsid w:val="00A94960"/>
    <w:rsid w:val="00A94CCD"/>
    <w:rsid w:val="00A94FB6"/>
    <w:rsid w:val="00A95084"/>
    <w:rsid w:val="00A952C9"/>
    <w:rsid w:val="00A95343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66"/>
    <w:rsid w:val="00A97504"/>
    <w:rsid w:val="00A97EE7"/>
    <w:rsid w:val="00AA00F8"/>
    <w:rsid w:val="00AA0261"/>
    <w:rsid w:val="00AA04F9"/>
    <w:rsid w:val="00AA099C"/>
    <w:rsid w:val="00AA09C4"/>
    <w:rsid w:val="00AA0E4E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6A3"/>
    <w:rsid w:val="00AA4C37"/>
    <w:rsid w:val="00AA4E17"/>
    <w:rsid w:val="00AA4FD5"/>
    <w:rsid w:val="00AA633C"/>
    <w:rsid w:val="00AA6542"/>
    <w:rsid w:val="00AA6AA1"/>
    <w:rsid w:val="00AA72A1"/>
    <w:rsid w:val="00AB0849"/>
    <w:rsid w:val="00AB0B60"/>
    <w:rsid w:val="00AB0DFB"/>
    <w:rsid w:val="00AB0FF4"/>
    <w:rsid w:val="00AB0FFB"/>
    <w:rsid w:val="00AB10C6"/>
    <w:rsid w:val="00AB129E"/>
    <w:rsid w:val="00AB2770"/>
    <w:rsid w:val="00AB3083"/>
    <w:rsid w:val="00AB4161"/>
    <w:rsid w:val="00AB45E7"/>
    <w:rsid w:val="00AB46AB"/>
    <w:rsid w:val="00AB49AD"/>
    <w:rsid w:val="00AB4BA0"/>
    <w:rsid w:val="00AB50E7"/>
    <w:rsid w:val="00AB55AA"/>
    <w:rsid w:val="00AB5A6D"/>
    <w:rsid w:val="00AB5DF0"/>
    <w:rsid w:val="00AB60D9"/>
    <w:rsid w:val="00AB61E3"/>
    <w:rsid w:val="00AB7571"/>
    <w:rsid w:val="00AB7EA8"/>
    <w:rsid w:val="00AC037A"/>
    <w:rsid w:val="00AC07EB"/>
    <w:rsid w:val="00AC0ACE"/>
    <w:rsid w:val="00AC0D6A"/>
    <w:rsid w:val="00AC112F"/>
    <w:rsid w:val="00AC1417"/>
    <w:rsid w:val="00AC15F8"/>
    <w:rsid w:val="00AC1867"/>
    <w:rsid w:val="00AC218C"/>
    <w:rsid w:val="00AC2412"/>
    <w:rsid w:val="00AC334F"/>
    <w:rsid w:val="00AC34D2"/>
    <w:rsid w:val="00AC3932"/>
    <w:rsid w:val="00AC39BD"/>
    <w:rsid w:val="00AC3D08"/>
    <w:rsid w:val="00AC3E7F"/>
    <w:rsid w:val="00AC4259"/>
    <w:rsid w:val="00AC43B7"/>
    <w:rsid w:val="00AC44B1"/>
    <w:rsid w:val="00AC4596"/>
    <w:rsid w:val="00AC4D22"/>
    <w:rsid w:val="00AC5728"/>
    <w:rsid w:val="00AC5806"/>
    <w:rsid w:val="00AC5B2E"/>
    <w:rsid w:val="00AC5CDD"/>
    <w:rsid w:val="00AC6B2D"/>
    <w:rsid w:val="00AC738F"/>
    <w:rsid w:val="00AC7608"/>
    <w:rsid w:val="00AC7751"/>
    <w:rsid w:val="00AC7770"/>
    <w:rsid w:val="00AC7CAF"/>
    <w:rsid w:val="00AC7DB5"/>
    <w:rsid w:val="00AC7DF4"/>
    <w:rsid w:val="00AD0109"/>
    <w:rsid w:val="00AD0BD6"/>
    <w:rsid w:val="00AD0D04"/>
    <w:rsid w:val="00AD1327"/>
    <w:rsid w:val="00AD2396"/>
    <w:rsid w:val="00AD30E4"/>
    <w:rsid w:val="00AD330B"/>
    <w:rsid w:val="00AD3ED5"/>
    <w:rsid w:val="00AD4107"/>
    <w:rsid w:val="00AD4ADD"/>
    <w:rsid w:val="00AD6D5A"/>
    <w:rsid w:val="00AD6E85"/>
    <w:rsid w:val="00AD7002"/>
    <w:rsid w:val="00AD7007"/>
    <w:rsid w:val="00AD7C22"/>
    <w:rsid w:val="00AD7C84"/>
    <w:rsid w:val="00AD7D39"/>
    <w:rsid w:val="00AD7F2B"/>
    <w:rsid w:val="00AE1105"/>
    <w:rsid w:val="00AE1893"/>
    <w:rsid w:val="00AE1FFB"/>
    <w:rsid w:val="00AE224A"/>
    <w:rsid w:val="00AE26FF"/>
    <w:rsid w:val="00AE378A"/>
    <w:rsid w:val="00AE4708"/>
    <w:rsid w:val="00AE4B12"/>
    <w:rsid w:val="00AE5596"/>
    <w:rsid w:val="00AE55B5"/>
    <w:rsid w:val="00AE5B52"/>
    <w:rsid w:val="00AE6249"/>
    <w:rsid w:val="00AE7A36"/>
    <w:rsid w:val="00AF004C"/>
    <w:rsid w:val="00AF022B"/>
    <w:rsid w:val="00AF047B"/>
    <w:rsid w:val="00AF050E"/>
    <w:rsid w:val="00AF07D5"/>
    <w:rsid w:val="00AF0AB0"/>
    <w:rsid w:val="00AF0C4B"/>
    <w:rsid w:val="00AF0DF5"/>
    <w:rsid w:val="00AF12FA"/>
    <w:rsid w:val="00AF1BA7"/>
    <w:rsid w:val="00AF2925"/>
    <w:rsid w:val="00AF2BE9"/>
    <w:rsid w:val="00AF2C83"/>
    <w:rsid w:val="00AF3204"/>
    <w:rsid w:val="00AF379A"/>
    <w:rsid w:val="00AF3A64"/>
    <w:rsid w:val="00AF3B26"/>
    <w:rsid w:val="00AF3C62"/>
    <w:rsid w:val="00AF3FC2"/>
    <w:rsid w:val="00AF45E5"/>
    <w:rsid w:val="00AF4A6C"/>
    <w:rsid w:val="00AF4B43"/>
    <w:rsid w:val="00AF4CF7"/>
    <w:rsid w:val="00AF5183"/>
    <w:rsid w:val="00AF5440"/>
    <w:rsid w:val="00AF669E"/>
    <w:rsid w:val="00AF6D72"/>
    <w:rsid w:val="00AF74A2"/>
    <w:rsid w:val="00AF750E"/>
    <w:rsid w:val="00AF751F"/>
    <w:rsid w:val="00AF758E"/>
    <w:rsid w:val="00AF7599"/>
    <w:rsid w:val="00AF7B55"/>
    <w:rsid w:val="00B0010D"/>
    <w:rsid w:val="00B003C8"/>
    <w:rsid w:val="00B0051F"/>
    <w:rsid w:val="00B007A2"/>
    <w:rsid w:val="00B0092F"/>
    <w:rsid w:val="00B00AEC"/>
    <w:rsid w:val="00B01CAE"/>
    <w:rsid w:val="00B01E55"/>
    <w:rsid w:val="00B022F8"/>
    <w:rsid w:val="00B027D7"/>
    <w:rsid w:val="00B02E65"/>
    <w:rsid w:val="00B03460"/>
    <w:rsid w:val="00B0347B"/>
    <w:rsid w:val="00B035D1"/>
    <w:rsid w:val="00B0383A"/>
    <w:rsid w:val="00B03BEC"/>
    <w:rsid w:val="00B03EA6"/>
    <w:rsid w:val="00B03FEA"/>
    <w:rsid w:val="00B048D5"/>
    <w:rsid w:val="00B055BD"/>
    <w:rsid w:val="00B057B3"/>
    <w:rsid w:val="00B05F4F"/>
    <w:rsid w:val="00B06268"/>
    <w:rsid w:val="00B06707"/>
    <w:rsid w:val="00B068C9"/>
    <w:rsid w:val="00B07170"/>
    <w:rsid w:val="00B0770B"/>
    <w:rsid w:val="00B078B1"/>
    <w:rsid w:val="00B07E17"/>
    <w:rsid w:val="00B1117E"/>
    <w:rsid w:val="00B1171E"/>
    <w:rsid w:val="00B12570"/>
    <w:rsid w:val="00B12B25"/>
    <w:rsid w:val="00B131BF"/>
    <w:rsid w:val="00B13568"/>
    <w:rsid w:val="00B143AD"/>
    <w:rsid w:val="00B144F7"/>
    <w:rsid w:val="00B14910"/>
    <w:rsid w:val="00B14B4C"/>
    <w:rsid w:val="00B14B51"/>
    <w:rsid w:val="00B15087"/>
    <w:rsid w:val="00B15320"/>
    <w:rsid w:val="00B153E7"/>
    <w:rsid w:val="00B1578F"/>
    <w:rsid w:val="00B15875"/>
    <w:rsid w:val="00B15DF8"/>
    <w:rsid w:val="00B15EA8"/>
    <w:rsid w:val="00B160BC"/>
    <w:rsid w:val="00B169CD"/>
    <w:rsid w:val="00B16BE9"/>
    <w:rsid w:val="00B171F6"/>
    <w:rsid w:val="00B17FF9"/>
    <w:rsid w:val="00B202C3"/>
    <w:rsid w:val="00B209EE"/>
    <w:rsid w:val="00B211E7"/>
    <w:rsid w:val="00B21492"/>
    <w:rsid w:val="00B223ED"/>
    <w:rsid w:val="00B235FA"/>
    <w:rsid w:val="00B237C8"/>
    <w:rsid w:val="00B246DA"/>
    <w:rsid w:val="00B25202"/>
    <w:rsid w:val="00B2558D"/>
    <w:rsid w:val="00B25689"/>
    <w:rsid w:val="00B25776"/>
    <w:rsid w:val="00B27066"/>
    <w:rsid w:val="00B2722B"/>
    <w:rsid w:val="00B2755C"/>
    <w:rsid w:val="00B27616"/>
    <w:rsid w:val="00B27974"/>
    <w:rsid w:val="00B279AF"/>
    <w:rsid w:val="00B304D1"/>
    <w:rsid w:val="00B3079B"/>
    <w:rsid w:val="00B30899"/>
    <w:rsid w:val="00B30F37"/>
    <w:rsid w:val="00B31304"/>
    <w:rsid w:val="00B31E94"/>
    <w:rsid w:val="00B3239A"/>
    <w:rsid w:val="00B327E0"/>
    <w:rsid w:val="00B32C03"/>
    <w:rsid w:val="00B33394"/>
    <w:rsid w:val="00B339DE"/>
    <w:rsid w:val="00B33BF7"/>
    <w:rsid w:val="00B33CC7"/>
    <w:rsid w:val="00B34FDB"/>
    <w:rsid w:val="00B351C5"/>
    <w:rsid w:val="00B35632"/>
    <w:rsid w:val="00B356B3"/>
    <w:rsid w:val="00B35C4A"/>
    <w:rsid w:val="00B35CB1"/>
    <w:rsid w:val="00B35F48"/>
    <w:rsid w:val="00B360DC"/>
    <w:rsid w:val="00B36609"/>
    <w:rsid w:val="00B3662E"/>
    <w:rsid w:val="00B36E66"/>
    <w:rsid w:val="00B370E8"/>
    <w:rsid w:val="00B37CEC"/>
    <w:rsid w:val="00B402EB"/>
    <w:rsid w:val="00B406C8"/>
    <w:rsid w:val="00B40BB1"/>
    <w:rsid w:val="00B41084"/>
    <w:rsid w:val="00B41352"/>
    <w:rsid w:val="00B4161E"/>
    <w:rsid w:val="00B41E33"/>
    <w:rsid w:val="00B41F11"/>
    <w:rsid w:val="00B4276F"/>
    <w:rsid w:val="00B42AE8"/>
    <w:rsid w:val="00B43648"/>
    <w:rsid w:val="00B438FA"/>
    <w:rsid w:val="00B43E0A"/>
    <w:rsid w:val="00B44033"/>
    <w:rsid w:val="00B442CE"/>
    <w:rsid w:val="00B45498"/>
    <w:rsid w:val="00B45F00"/>
    <w:rsid w:val="00B4665B"/>
    <w:rsid w:val="00B468C8"/>
    <w:rsid w:val="00B472B4"/>
    <w:rsid w:val="00B4738C"/>
    <w:rsid w:val="00B500E7"/>
    <w:rsid w:val="00B5079B"/>
    <w:rsid w:val="00B507A7"/>
    <w:rsid w:val="00B5096E"/>
    <w:rsid w:val="00B5098D"/>
    <w:rsid w:val="00B5152A"/>
    <w:rsid w:val="00B51F7E"/>
    <w:rsid w:val="00B5318E"/>
    <w:rsid w:val="00B53D75"/>
    <w:rsid w:val="00B54386"/>
    <w:rsid w:val="00B54F45"/>
    <w:rsid w:val="00B55890"/>
    <w:rsid w:val="00B56AA2"/>
    <w:rsid w:val="00B56CEA"/>
    <w:rsid w:val="00B57013"/>
    <w:rsid w:val="00B574B5"/>
    <w:rsid w:val="00B5775C"/>
    <w:rsid w:val="00B6192D"/>
    <w:rsid w:val="00B61EAA"/>
    <w:rsid w:val="00B62493"/>
    <w:rsid w:val="00B630BC"/>
    <w:rsid w:val="00B6326B"/>
    <w:rsid w:val="00B6380A"/>
    <w:rsid w:val="00B638AB"/>
    <w:rsid w:val="00B63BBF"/>
    <w:rsid w:val="00B63DFD"/>
    <w:rsid w:val="00B63E5D"/>
    <w:rsid w:val="00B63F94"/>
    <w:rsid w:val="00B647D9"/>
    <w:rsid w:val="00B64CF6"/>
    <w:rsid w:val="00B65326"/>
    <w:rsid w:val="00B65AA7"/>
    <w:rsid w:val="00B65B6A"/>
    <w:rsid w:val="00B65BDC"/>
    <w:rsid w:val="00B660AB"/>
    <w:rsid w:val="00B671A7"/>
    <w:rsid w:val="00B671FC"/>
    <w:rsid w:val="00B6741C"/>
    <w:rsid w:val="00B67A14"/>
    <w:rsid w:val="00B67C67"/>
    <w:rsid w:val="00B67E6D"/>
    <w:rsid w:val="00B7018D"/>
    <w:rsid w:val="00B70530"/>
    <w:rsid w:val="00B70C6C"/>
    <w:rsid w:val="00B71402"/>
    <w:rsid w:val="00B7140B"/>
    <w:rsid w:val="00B718E0"/>
    <w:rsid w:val="00B7190B"/>
    <w:rsid w:val="00B71C3A"/>
    <w:rsid w:val="00B71EB5"/>
    <w:rsid w:val="00B7238F"/>
    <w:rsid w:val="00B727A4"/>
    <w:rsid w:val="00B72D4A"/>
    <w:rsid w:val="00B733E5"/>
    <w:rsid w:val="00B73817"/>
    <w:rsid w:val="00B7485A"/>
    <w:rsid w:val="00B7495C"/>
    <w:rsid w:val="00B74CBD"/>
    <w:rsid w:val="00B754DD"/>
    <w:rsid w:val="00B7593C"/>
    <w:rsid w:val="00B75F66"/>
    <w:rsid w:val="00B76C7C"/>
    <w:rsid w:val="00B776CC"/>
    <w:rsid w:val="00B776F1"/>
    <w:rsid w:val="00B77BDD"/>
    <w:rsid w:val="00B77ECB"/>
    <w:rsid w:val="00B8061C"/>
    <w:rsid w:val="00B807C5"/>
    <w:rsid w:val="00B819C1"/>
    <w:rsid w:val="00B82E1F"/>
    <w:rsid w:val="00B83057"/>
    <w:rsid w:val="00B838B7"/>
    <w:rsid w:val="00B839E3"/>
    <w:rsid w:val="00B83AD1"/>
    <w:rsid w:val="00B8437D"/>
    <w:rsid w:val="00B844B8"/>
    <w:rsid w:val="00B84C69"/>
    <w:rsid w:val="00B84ED8"/>
    <w:rsid w:val="00B85259"/>
    <w:rsid w:val="00B85592"/>
    <w:rsid w:val="00B85827"/>
    <w:rsid w:val="00B85D2E"/>
    <w:rsid w:val="00B85E6B"/>
    <w:rsid w:val="00B8607C"/>
    <w:rsid w:val="00B87A71"/>
    <w:rsid w:val="00B900EB"/>
    <w:rsid w:val="00B9024A"/>
    <w:rsid w:val="00B9040D"/>
    <w:rsid w:val="00B90A56"/>
    <w:rsid w:val="00B917BB"/>
    <w:rsid w:val="00B922BC"/>
    <w:rsid w:val="00B9236E"/>
    <w:rsid w:val="00B9251A"/>
    <w:rsid w:val="00B92712"/>
    <w:rsid w:val="00B92BDD"/>
    <w:rsid w:val="00B92D9A"/>
    <w:rsid w:val="00B931B2"/>
    <w:rsid w:val="00B931F2"/>
    <w:rsid w:val="00B936B2"/>
    <w:rsid w:val="00B93BAE"/>
    <w:rsid w:val="00B93CEB"/>
    <w:rsid w:val="00B94144"/>
    <w:rsid w:val="00B9426B"/>
    <w:rsid w:val="00B94677"/>
    <w:rsid w:val="00B94944"/>
    <w:rsid w:val="00B94A11"/>
    <w:rsid w:val="00B950BD"/>
    <w:rsid w:val="00B95554"/>
    <w:rsid w:val="00B95A07"/>
    <w:rsid w:val="00B964BE"/>
    <w:rsid w:val="00B96841"/>
    <w:rsid w:val="00B96D2F"/>
    <w:rsid w:val="00B97465"/>
    <w:rsid w:val="00B9754B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1E67"/>
    <w:rsid w:val="00BA20EC"/>
    <w:rsid w:val="00BA273E"/>
    <w:rsid w:val="00BA2B34"/>
    <w:rsid w:val="00BA2B7B"/>
    <w:rsid w:val="00BA2B93"/>
    <w:rsid w:val="00BA33D4"/>
    <w:rsid w:val="00BA40F3"/>
    <w:rsid w:val="00BA429B"/>
    <w:rsid w:val="00BA4A08"/>
    <w:rsid w:val="00BA61B4"/>
    <w:rsid w:val="00BA6374"/>
    <w:rsid w:val="00BA6850"/>
    <w:rsid w:val="00BA6990"/>
    <w:rsid w:val="00BA6E7E"/>
    <w:rsid w:val="00BA71D5"/>
    <w:rsid w:val="00BA7A07"/>
    <w:rsid w:val="00BA7F5E"/>
    <w:rsid w:val="00BB0827"/>
    <w:rsid w:val="00BB174F"/>
    <w:rsid w:val="00BB1A96"/>
    <w:rsid w:val="00BB1D4B"/>
    <w:rsid w:val="00BB20C2"/>
    <w:rsid w:val="00BB21E7"/>
    <w:rsid w:val="00BB2429"/>
    <w:rsid w:val="00BB2B8B"/>
    <w:rsid w:val="00BB36DA"/>
    <w:rsid w:val="00BB39A6"/>
    <w:rsid w:val="00BB4028"/>
    <w:rsid w:val="00BB4B3B"/>
    <w:rsid w:val="00BB522A"/>
    <w:rsid w:val="00BB5BEC"/>
    <w:rsid w:val="00BB6648"/>
    <w:rsid w:val="00BB6720"/>
    <w:rsid w:val="00BB6830"/>
    <w:rsid w:val="00BB6844"/>
    <w:rsid w:val="00BB7053"/>
    <w:rsid w:val="00BB7137"/>
    <w:rsid w:val="00BB725E"/>
    <w:rsid w:val="00BB7329"/>
    <w:rsid w:val="00BB74C7"/>
    <w:rsid w:val="00BB76D4"/>
    <w:rsid w:val="00BB77D1"/>
    <w:rsid w:val="00BB7CAD"/>
    <w:rsid w:val="00BB7D14"/>
    <w:rsid w:val="00BB7DA9"/>
    <w:rsid w:val="00BB7ECE"/>
    <w:rsid w:val="00BC00C1"/>
    <w:rsid w:val="00BC0C34"/>
    <w:rsid w:val="00BC13B9"/>
    <w:rsid w:val="00BC18A7"/>
    <w:rsid w:val="00BC2383"/>
    <w:rsid w:val="00BC3C64"/>
    <w:rsid w:val="00BC4092"/>
    <w:rsid w:val="00BC47BC"/>
    <w:rsid w:val="00BC4BCC"/>
    <w:rsid w:val="00BC6074"/>
    <w:rsid w:val="00BC60EA"/>
    <w:rsid w:val="00BC6C74"/>
    <w:rsid w:val="00BC6C9B"/>
    <w:rsid w:val="00BC6D95"/>
    <w:rsid w:val="00BC7A40"/>
    <w:rsid w:val="00BD0976"/>
    <w:rsid w:val="00BD0A52"/>
    <w:rsid w:val="00BD0DA4"/>
    <w:rsid w:val="00BD1756"/>
    <w:rsid w:val="00BD17EB"/>
    <w:rsid w:val="00BD1851"/>
    <w:rsid w:val="00BD1935"/>
    <w:rsid w:val="00BD1BB5"/>
    <w:rsid w:val="00BD23A2"/>
    <w:rsid w:val="00BD266C"/>
    <w:rsid w:val="00BD34C4"/>
    <w:rsid w:val="00BD34C8"/>
    <w:rsid w:val="00BD4356"/>
    <w:rsid w:val="00BD47DE"/>
    <w:rsid w:val="00BD4838"/>
    <w:rsid w:val="00BD4892"/>
    <w:rsid w:val="00BD489D"/>
    <w:rsid w:val="00BD4B1F"/>
    <w:rsid w:val="00BD4E31"/>
    <w:rsid w:val="00BD5488"/>
    <w:rsid w:val="00BD55A4"/>
    <w:rsid w:val="00BD5E93"/>
    <w:rsid w:val="00BD6244"/>
    <w:rsid w:val="00BD6285"/>
    <w:rsid w:val="00BD6A61"/>
    <w:rsid w:val="00BD6CCF"/>
    <w:rsid w:val="00BE051E"/>
    <w:rsid w:val="00BE08D3"/>
    <w:rsid w:val="00BE0DA1"/>
    <w:rsid w:val="00BE0E9F"/>
    <w:rsid w:val="00BE1738"/>
    <w:rsid w:val="00BE17E5"/>
    <w:rsid w:val="00BE1F4E"/>
    <w:rsid w:val="00BE272F"/>
    <w:rsid w:val="00BE2766"/>
    <w:rsid w:val="00BE28C6"/>
    <w:rsid w:val="00BE2CC5"/>
    <w:rsid w:val="00BE4A12"/>
    <w:rsid w:val="00BE4CFF"/>
    <w:rsid w:val="00BE5004"/>
    <w:rsid w:val="00BE52B3"/>
    <w:rsid w:val="00BE5F9D"/>
    <w:rsid w:val="00BE68D9"/>
    <w:rsid w:val="00BE6F64"/>
    <w:rsid w:val="00BE73C9"/>
    <w:rsid w:val="00BF035D"/>
    <w:rsid w:val="00BF0440"/>
    <w:rsid w:val="00BF07E8"/>
    <w:rsid w:val="00BF0C6B"/>
    <w:rsid w:val="00BF0C81"/>
    <w:rsid w:val="00BF0DAB"/>
    <w:rsid w:val="00BF0F90"/>
    <w:rsid w:val="00BF14F7"/>
    <w:rsid w:val="00BF299D"/>
    <w:rsid w:val="00BF29E2"/>
    <w:rsid w:val="00BF2EC9"/>
    <w:rsid w:val="00BF36E0"/>
    <w:rsid w:val="00BF39B1"/>
    <w:rsid w:val="00BF3B13"/>
    <w:rsid w:val="00BF4251"/>
    <w:rsid w:val="00BF433E"/>
    <w:rsid w:val="00BF51C0"/>
    <w:rsid w:val="00BF536A"/>
    <w:rsid w:val="00BF53A4"/>
    <w:rsid w:val="00BF59BC"/>
    <w:rsid w:val="00BF5BC2"/>
    <w:rsid w:val="00BF5F53"/>
    <w:rsid w:val="00BF634C"/>
    <w:rsid w:val="00BF63CF"/>
    <w:rsid w:val="00BF6772"/>
    <w:rsid w:val="00BF6997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1049"/>
    <w:rsid w:val="00C014E4"/>
    <w:rsid w:val="00C01538"/>
    <w:rsid w:val="00C01B5D"/>
    <w:rsid w:val="00C01BE5"/>
    <w:rsid w:val="00C01F55"/>
    <w:rsid w:val="00C01FE3"/>
    <w:rsid w:val="00C02436"/>
    <w:rsid w:val="00C02608"/>
    <w:rsid w:val="00C02639"/>
    <w:rsid w:val="00C02855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4CC"/>
    <w:rsid w:val="00C10727"/>
    <w:rsid w:val="00C107F1"/>
    <w:rsid w:val="00C11DE4"/>
    <w:rsid w:val="00C12205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E3A"/>
    <w:rsid w:val="00C172CD"/>
    <w:rsid w:val="00C17855"/>
    <w:rsid w:val="00C1796B"/>
    <w:rsid w:val="00C2002F"/>
    <w:rsid w:val="00C2018D"/>
    <w:rsid w:val="00C20336"/>
    <w:rsid w:val="00C20965"/>
    <w:rsid w:val="00C20F0B"/>
    <w:rsid w:val="00C210D1"/>
    <w:rsid w:val="00C212D0"/>
    <w:rsid w:val="00C21FB6"/>
    <w:rsid w:val="00C22291"/>
    <w:rsid w:val="00C2234F"/>
    <w:rsid w:val="00C22729"/>
    <w:rsid w:val="00C22D02"/>
    <w:rsid w:val="00C22E30"/>
    <w:rsid w:val="00C22F6F"/>
    <w:rsid w:val="00C22F7B"/>
    <w:rsid w:val="00C2306A"/>
    <w:rsid w:val="00C23184"/>
    <w:rsid w:val="00C231DE"/>
    <w:rsid w:val="00C233BA"/>
    <w:rsid w:val="00C234CE"/>
    <w:rsid w:val="00C23A97"/>
    <w:rsid w:val="00C2414A"/>
    <w:rsid w:val="00C245BF"/>
    <w:rsid w:val="00C24CD6"/>
    <w:rsid w:val="00C25BED"/>
    <w:rsid w:val="00C26892"/>
    <w:rsid w:val="00C26BDA"/>
    <w:rsid w:val="00C26CB1"/>
    <w:rsid w:val="00C271FD"/>
    <w:rsid w:val="00C2751F"/>
    <w:rsid w:val="00C2778F"/>
    <w:rsid w:val="00C277E2"/>
    <w:rsid w:val="00C302DE"/>
    <w:rsid w:val="00C30899"/>
    <w:rsid w:val="00C30EF3"/>
    <w:rsid w:val="00C310A7"/>
    <w:rsid w:val="00C317B0"/>
    <w:rsid w:val="00C31821"/>
    <w:rsid w:val="00C31BF9"/>
    <w:rsid w:val="00C32364"/>
    <w:rsid w:val="00C32A01"/>
    <w:rsid w:val="00C32C07"/>
    <w:rsid w:val="00C33132"/>
    <w:rsid w:val="00C331DA"/>
    <w:rsid w:val="00C3322A"/>
    <w:rsid w:val="00C33362"/>
    <w:rsid w:val="00C33752"/>
    <w:rsid w:val="00C341C2"/>
    <w:rsid w:val="00C34688"/>
    <w:rsid w:val="00C34CC0"/>
    <w:rsid w:val="00C35359"/>
    <w:rsid w:val="00C35810"/>
    <w:rsid w:val="00C3595F"/>
    <w:rsid w:val="00C35ADB"/>
    <w:rsid w:val="00C35D38"/>
    <w:rsid w:val="00C35E3B"/>
    <w:rsid w:val="00C366FC"/>
    <w:rsid w:val="00C36755"/>
    <w:rsid w:val="00C36889"/>
    <w:rsid w:val="00C36D3F"/>
    <w:rsid w:val="00C3793F"/>
    <w:rsid w:val="00C404F6"/>
    <w:rsid w:val="00C40653"/>
    <w:rsid w:val="00C40742"/>
    <w:rsid w:val="00C40841"/>
    <w:rsid w:val="00C40956"/>
    <w:rsid w:val="00C409E7"/>
    <w:rsid w:val="00C40BF7"/>
    <w:rsid w:val="00C40C80"/>
    <w:rsid w:val="00C40DD4"/>
    <w:rsid w:val="00C4158D"/>
    <w:rsid w:val="00C417B7"/>
    <w:rsid w:val="00C4180E"/>
    <w:rsid w:val="00C424ED"/>
    <w:rsid w:val="00C42DC4"/>
    <w:rsid w:val="00C42E11"/>
    <w:rsid w:val="00C439E8"/>
    <w:rsid w:val="00C43B6A"/>
    <w:rsid w:val="00C43C6E"/>
    <w:rsid w:val="00C4402B"/>
    <w:rsid w:val="00C4486B"/>
    <w:rsid w:val="00C44ADE"/>
    <w:rsid w:val="00C44AE0"/>
    <w:rsid w:val="00C451F0"/>
    <w:rsid w:val="00C452A0"/>
    <w:rsid w:val="00C45B56"/>
    <w:rsid w:val="00C46423"/>
    <w:rsid w:val="00C46F6A"/>
    <w:rsid w:val="00C47251"/>
    <w:rsid w:val="00C47AB0"/>
    <w:rsid w:val="00C47BC0"/>
    <w:rsid w:val="00C50461"/>
    <w:rsid w:val="00C5131D"/>
    <w:rsid w:val="00C51914"/>
    <w:rsid w:val="00C51F0F"/>
    <w:rsid w:val="00C51F38"/>
    <w:rsid w:val="00C520E8"/>
    <w:rsid w:val="00C52804"/>
    <w:rsid w:val="00C52A59"/>
    <w:rsid w:val="00C52E1A"/>
    <w:rsid w:val="00C52EC1"/>
    <w:rsid w:val="00C538CA"/>
    <w:rsid w:val="00C53B82"/>
    <w:rsid w:val="00C546B6"/>
    <w:rsid w:val="00C55980"/>
    <w:rsid w:val="00C55985"/>
    <w:rsid w:val="00C56885"/>
    <w:rsid w:val="00C56B0C"/>
    <w:rsid w:val="00C56DED"/>
    <w:rsid w:val="00C57B17"/>
    <w:rsid w:val="00C60D60"/>
    <w:rsid w:val="00C60EDD"/>
    <w:rsid w:val="00C610CC"/>
    <w:rsid w:val="00C6174B"/>
    <w:rsid w:val="00C617AE"/>
    <w:rsid w:val="00C61E7D"/>
    <w:rsid w:val="00C62B22"/>
    <w:rsid w:val="00C633EB"/>
    <w:rsid w:val="00C63FBD"/>
    <w:rsid w:val="00C64E66"/>
    <w:rsid w:val="00C656D0"/>
    <w:rsid w:val="00C65D93"/>
    <w:rsid w:val="00C6684D"/>
    <w:rsid w:val="00C66B9F"/>
    <w:rsid w:val="00C66C5F"/>
    <w:rsid w:val="00C673C2"/>
    <w:rsid w:val="00C67835"/>
    <w:rsid w:val="00C67C92"/>
    <w:rsid w:val="00C67FB7"/>
    <w:rsid w:val="00C7194B"/>
    <w:rsid w:val="00C71B0C"/>
    <w:rsid w:val="00C71B56"/>
    <w:rsid w:val="00C71C41"/>
    <w:rsid w:val="00C721BF"/>
    <w:rsid w:val="00C727F6"/>
    <w:rsid w:val="00C72EA3"/>
    <w:rsid w:val="00C7349C"/>
    <w:rsid w:val="00C73645"/>
    <w:rsid w:val="00C73754"/>
    <w:rsid w:val="00C73D75"/>
    <w:rsid w:val="00C74252"/>
    <w:rsid w:val="00C746E4"/>
    <w:rsid w:val="00C74B55"/>
    <w:rsid w:val="00C75699"/>
    <w:rsid w:val="00C7611A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4F8"/>
    <w:rsid w:val="00C82699"/>
    <w:rsid w:val="00C83265"/>
    <w:rsid w:val="00C83681"/>
    <w:rsid w:val="00C83821"/>
    <w:rsid w:val="00C83FD1"/>
    <w:rsid w:val="00C84584"/>
    <w:rsid w:val="00C8482D"/>
    <w:rsid w:val="00C84949"/>
    <w:rsid w:val="00C84A5E"/>
    <w:rsid w:val="00C853A1"/>
    <w:rsid w:val="00C853FE"/>
    <w:rsid w:val="00C854EE"/>
    <w:rsid w:val="00C857DF"/>
    <w:rsid w:val="00C85F67"/>
    <w:rsid w:val="00C863D5"/>
    <w:rsid w:val="00C8645C"/>
    <w:rsid w:val="00C86DF1"/>
    <w:rsid w:val="00C86E71"/>
    <w:rsid w:val="00C87071"/>
    <w:rsid w:val="00C8761C"/>
    <w:rsid w:val="00C87A04"/>
    <w:rsid w:val="00C87CA3"/>
    <w:rsid w:val="00C87D77"/>
    <w:rsid w:val="00C90644"/>
    <w:rsid w:val="00C907BA"/>
    <w:rsid w:val="00C90E95"/>
    <w:rsid w:val="00C910FE"/>
    <w:rsid w:val="00C91418"/>
    <w:rsid w:val="00C91659"/>
    <w:rsid w:val="00C919FB"/>
    <w:rsid w:val="00C936AD"/>
    <w:rsid w:val="00C937C0"/>
    <w:rsid w:val="00C93B3E"/>
    <w:rsid w:val="00C93B7E"/>
    <w:rsid w:val="00C94485"/>
    <w:rsid w:val="00C94C32"/>
    <w:rsid w:val="00C94EEE"/>
    <w:rsid w:val="00C9525D"/>
    <w:rsid w:val="00C952E0"/>
    <w:rsid w:val="00C95394"/>
    <w:rsid w:val="00C95F58"/>
    <w:rsid w:val="00C96B06"/>
    <w:rsid w:val="00C97371"/>
    <w:rsid w:val="00C975CE"/>
    <w:rsid w:val="00C97B17"/>
    <w:rsid w:val="00C97ED8"/>
    <w:rsid w:val="00CA063F"/>
    <w:rsid w:val="00CA0747"/>
    <w:rsid w:val="00CA113C"/>
    <w:rsid w:val="00CA1396"/>
    <w:rsid w:val="00CA1A26"/>
    <w:rsid w:val="00CA1E04"/>
    <w:rsid w:val="00CA1E22"/>
    <w:rsid w:val="00CA1E8D"/>
    <w:rsid w:val="00CA221F"/>
    <w:rsid w:val="00CA2D2A"/>
    <w:rsid w:val="00CA30C9"/>
    <w:rsid w:val="00CA3561"/>
    <w:rsid w:val="00CA35F4"/>
    <w:rsid w:val="00CA4F9F"/>
    <w:rsid w:val="00CA50F5"/>
    <w:rsid w:val="00CA519E"/>
    <w:rsid w:val="00CA587F"/>
    <w:rsid w:val="00CA5B95"/>
    <w:rsid w:val="00CA5C04"/>
    <w:rsid w:val="00CA67E0"/>
    <w:rsid w:val="00CA6819"/>
    <w:rsid w:val="00CA70D8"/>
    <w:rsid w:val="00CA72AE"/>
    <w:rsid w:val="00CA744D"/>
    <w:rsid w:val="00CA780A"/>
    <w:rsid w:val="00CA7B4E"/>
    <w:rsid w:val="00CA7D0F"/>
    <w:rsid w:val="00CA7D90"/>
    <w:rsid w:val="00CB00F7"/>
    <w:rsid w:val="00CB0944"/>
    <w:rsid w:val="00CB0B53"/>
    <w:rsid w:val="00CB0EEE"/>
    <w:rsid w:val="00CB100C"/>
    <w:rsid w:val="00CB1690"/>
    <w:rsid w:val="00CB1CE0"/>
    <w:rsid w:val="00CB2851"/>
    <w:rsid w:val="00CB2BAC"/>
    <w:rsid w:val="00CB2DAF"/>
    <w:rsid w:val="00CB304D"/>
    <w:rsid w:val="00CB3269"/>
    <w:rsid w:val="00CB39F5"/>
    <w:rsid w:val="00CB3C84"/>
    <w:rsid w:val="00CB3E98"/>
    <w:rsid w:val="00CB3EC2"/>
    <w:rsid w:val="00CB4645"/>
    <w:rsid w:val="00CB4ED4"/>
    <w:rsid w:val="00CB4EE1"/>
    <w:rsid w:val="00CB51BB"/>
    <w:rsid w:val="00CB530B"/>
    <w:rsid w:val="00CB541E"/>
    <w:rsid w:val="00CB5A34"/>
    <w:rsid w:val="00CB5F84"/>
    <w:rsid w:val="00CB6633"/>
    <w:rsid w:val="00CB6E32"/>
    <w:rsid w:val="00CB7A50"/>
    <w:rsid w:val="00CB7B14"/>
    <w:rsid w:val="00CC0311"/>
    <w:rsid w:val="00CC0706"/>
    <w:rsid w:val="00CC07F8"/>
    <w:rsid w:val="00CC09DC"/>
    <w:rsid w:val="00CC0B2A"/>
    <w:rsid w:val="00CC0E75"/>
    <w:rsid w:val="00CC186D"/>
    <w:rsid w:val="00CC1AFE"/>
    <w:rsid w:val="00CC207A"/>
    <w:rsid w:val="00CC21FD"/>
    <w:rsid w:val="00CC2710"/>
    <w:rsid w:val="00CC272D"/>
    <w:rsid w:val="00CC2ADF"/>
    <w:rsid w:val="00CC4E20"/>
    <w:rsid w:val="00CC566D"/>
    <w:rsid w:val="00CC583A"/>
    <w:rsid w:val="00CC594A"/>
    <w:rsid w:val="00CC62DF"/>
    <w:rsid w:val="00CC68CE"/>
    <w:rsid w:val="00CC75E7"/>
    <w:rsid w:val="00CD03AB"/>
    <w:rsid w:val="00CD0A37"/>
    <w:rsid w:val="00CD2009"/>
    <w:rsid w:val="00CD2142"/>
    <w:rsid w:val="00CD26E7"/>
    <w:rsid w:val="00CD2841"/>
    <w:rsid w:val="00CD29E6"/>
    <w:rsid w:val="00CD2FE1"/>
    <w:rsid w:val="00CD41AB"/>
    <w:rsid w:val="00CD4AE2"/>
    <w:rsid w:val="00CD5914"/>
    <w:rsid w:val="00CD5C63"/>
    <w:rsid w:val="00CD5CFD"/>
    <w:rsid w:val="00CD609F"/>
    <w:rsid w:val="00CD6334"/>
    <w:rsid w:val="00CD64DC"/>
    <w:rsid w:val="00CD6F48"/>
    <w:rsid w:val="00CD739C"/>
    <w:rsid w:val="00CD75D0"/>
    <w:rsid w:val="00CD7785"/>
    <w:rsid w:val="00CE0036"/>
    <w:rsid w:val="00CE0195"/>
    <w:rsid w:val="00CE0DC1"/>
    <w:rsid w:val="00CE1601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746"/>
    <w:rsid w:val="00CE5E3A"/>
    <w:rsid w:val="00CE5E4F"/>
    <w:rsid w:val="00CE649D"/>
    <w:rsid w:val="00CE668D"/>
    <w:rsid w:val="00CE6B21"/>
    <w:rsid w:val="00CE748B"/>
    <w:rsid w:val="00CE7A77"/>
    <w:rsid w:val="00CF0464"/>
    <w:rsid w:val="00CF05CF"/>
    <w:rsid w:val="00CF14A6"/>
    <w:rsid w:val="00CF1835"/>
    <w:rsid w:val="00CF18F9"/>
    <w:rsid w:val="00CF1B75"/>
    <w:rsid w:val="00CF2F57"/>
    <w:rsid w:val="00CF31E5"/>
    <w:rsid w:val="00CF32E5"/>
    <w:rsid w:val="00CF35ED"/>
    <w:rsid w:val="00CF3DC3"/>
    <w:rsid w:val="00CF3DC6"/>
    <w:rsid w:val="00CF3F86"/>
    <w:rsid w:val="00CF4288"/>
    <w:rsid w:val="00CF46DA"/>
    <w:rsid w:val="00CF48DC"/>
    <w:rsid w:val="00CF5141"/>
    <w:rsid w:val="00CF5191"/>
    <w:rsid w:val="00CF6602"/>
    <w:rsid w:val="00CF6C27"/>
    <w:rsid w:val="00CF6C7E"/>
    <w:rsid w:val="00CF6E17"/>
    <w:rsid w:val="00CF6F2F"/>
    <w:rsid w:val="00CF72B0"/>
    <w:rsid w:val="00CF7492"/>
    <w:rsid w:val="00D000E9"/>
    <w:rsid w:val="00D00521"/>
    <w:rsid w:val="00D010F5"/>
    <w:rsid w:val="00D0179F"/>
    <w:rsid w:val="00D01870"/>
    <w:rsid w:val="00D01DFA"/>
    <w:rsid w:val="00D01E14"/>
    <w:rsid w:val="00D02265"/>
    <w:rsid w:val="00D029FF"/>
    <w:rsid w:val="00D02A9D"/>
    <w:rsid w:val="00D02C5A"/>
    <w:rsid w:val="00D03225"/>
    <w:rsid w:val="00D0424A"/>
    <w:rsid w:val="00D04689"/>
    <w:rsid w:val="00D04F88"/>
    <w:rsid w:val="00D0512F"/>
    <w:rsid w:val="00D05209"/>
    <w:rsid w:val="00D05A27"/>
    <w:rsid w:val="00D05CF9"/>
    <w:rsid w:val="00D05DC3"/>
    <w:rsid w:val="00D05E4C"/>
    <w:rsid w:val="00D06D43"/>
    <w:rsid w:val="00D100CD"/>
    <w:rsid w:val="00D10294"/>
    <w:rsid w:val="00D10374"/>
    <w:rsid w:val="00D104F0"/>
    <w:rsid w:val="00D10667"/>
    <w:rsid w:val="00D10727"/>
    <w:rsid w:val="00D10C0B"/>
    <w:rsid w:val="00D113F2"/>
    <w:rsid w:val="00D1177A"/>
    <w:rsid w:val="00D118FD"/>
    <w:rsid w:val="00D123A9"/>
    <w:rsid w:val="00D129A7"/>
    <w:rsid w:val="00D12A57"/>
    <w:rsid w:val="00D12E29"/>
    <w:rsid w:val="00D148CE"/>
    <w:rsid w:val="00D14D3E"/>
    <w:rsid w:val="00D14FC9"/>
    <w:rsid w:val="00D1552C"/>
    <w:rsid w:val="00D16053"/>
    <w:rsid w:val="00D1607C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850"/>
    <w:rsid w:val="00D20A79"/>
    <w:rsid w:val="00D20A84"/>
    <w:rsid w:val="00D20ADB"/>
    <w:rsid w:val="00D20E16"/>
    <w:rsid w:val="00D211D5"/>
    <w:rsid w:val="00D213E8"/>
    <w:rsid w:val="00D21995"/>
    <w:rsid w:val="00D22252"/>
    <w:rsid w:val="00D223F2"/>
    <w:rsid w:val="00D224D8"/>
    <w:rsid w:val="00D226BB"/>
    <w:rsid w:val="00D22BDC"/>
    <w:rsid w:val="00D24148"/>
    <w:rsid w:val="00D2486F"/>
    <w:rsid w:val="00D24AF4"/>
    <w:rsid w:val="00D25171"/>
    <w:rsid w:val="00D258F4"/>
    <w:rsid w:val="00D25BD9"/>
    <w:rsid w:val="00D2616D"/>
    <w:rsid w:val="00D263E6"/>
    <w:rsid w:val="00D26592"/>
    <w:rsid w:val="00D2666B"/>
    <w:rsid w:val="00D2679A"/>
    <w:rsid w:val="00D26B45"/>
    <w:rsid w:val="00D26BAC"/>
    <w:rsid w:val="00D275F9"/>
    <w:rsid w:val="00D27704"/>
    <w:rsid w:val="00D30147"/>
    <w:rsid w:val="00D30AE6"/>
    <w:rsid w:val="00D30EF2"/>
    <w:rsid w:val="00D31D2D"/>
    <w:rsid w:val="00D31E6E"/>
    <w:rsid w:val="00D31F5F"/>
    <w:rsid w:val="00D32BC9"/>
    <w:rsid w:val="00D32D62"/>
    <w:rsid w:val="00D32E37"/>
    <w:rsid w:val="00D32FF5"/>
    <w:rsid w:val="00D3347A"/>
    <w:rsid w:val="00D335A0"/>
    <w:rsid w:val="00D33605"/>
    <w:rsid w:val="00D33C70"/>
    <w:rsid w:val="00D34071"/>
    <w:rsid w:val="00D34D8D"/>
    <w:rsid w:val="00D34E69"/>
    <w:rsid w:val="00D3510A"/>
    <w:rsid w:val="00D3522D"/>
    <w:rsid w:val="00D354C2"/>
    <w:rsid w:val="00D35A8B"/>
    <w:rsid w:val="00D35EB6"/>
    <w:rsid w:val="00D35F62"/>
    <w:rsid w:val="00D3600C"/>
    <w:rsid w:val="00D365B8"/>
    <w:rsid w:val="00D365F9"/>
    <w:rsid w:val="00D366A4"/>
    <w:rsid w:val="00D367E6"/>
    <w:rsid w:val="00D370D4"/>
    <w:rsid w:val="00D37A9B"/>
    <w:rsid w:val="00D37E4D"/>
    <w:rsid w:val="00D40705"/>
    <w:rsid w:val="00D4126E"/>
    <w:rsid w:val="00D416E6"/>
    <w:rsid w:val="00D417E3"/>
    <w:rsid w:val="00D429A9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A16"/>
    <w:rsid w:val="00D44F9E"/>
    <w:rsid w:val="00D44FC2"/>
    <w:rsid w:val="00D455F8"/>
    <w:rsid w:val="00D4751B"/>
    <w:rsid w:val="00D47929"/>
    <w:rsid w:val="00D47ACB"/>
    <w:rsid w:val="00D47F83"/>
    <w:rsid w:val="00D50375"/>
    <w:rsid w:val="00D50417"/>
    <w:rsid w:val="00D510FC"/>
    <w:rsid w:val="00D515FB"/>
    <w:rsid w:val="00D51A1F"/>
    <w:rsid w:val="00D52A12"/>
    <w:rsid w:val="00D53232"/>
    <w:rsid w:val="00D537F9"/>
    <w:rsid w:val="00D53856"/>
    <w:rsid w:val="00D5389A"/>
    <w:rsid w:val="00D53A6E"/>
    <w:rsid w:val="00D542D3"/>
    <w:rsid w:val="00D54758"/>
    <w:rsid w:val="00D54DAC"/>
    <w:rsid w:val="00D5581E"/>
    <w:rsid w:val="00D559EC"/>
    <w:rsid w:val="00D55B2D"/>
    <w:rsid w:val="00D56081"/>
    <w:rsid w:val="00D5625C"/>
    <w:rsid w:val="00D5627E"/>
    <w:rsid w:val="00D5772A"/>
    <w:rsid w:val="00D57AE2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A7A"/>
    <w:rsid w:val="00D61A7F"/>
    <w:rsid w:val="00D61EA5"/>
    <w:rsid w:val="00D624A5"/>
    <w:rsid w:val="00D6286B"/>
    <w:rsid w:val="00D62A91"/>
    <w:rsid w:val="00D62D53"/>
    <w:rsid w:val="00D62F68"/>
    <w:rsid w:val="00D6379A"/>
    <w:rsid w:val="00D63CBD"/>
    <w:rsid w:val="00D63F70"/>
    <w:rsid w:val="00D6436C"/>
    <w:rsid w:val="00D64495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1194"/>
    <w:rsid w:val="00D72107"/>
    <w:rsid w:val="00D72428"/>
    <w:rsid w:val="00D73036"/>
    <w:rsid w:val="00D7331F"/>
    <w:rsid w:val="00D73996"/>
    <w:rsid w:val="00D73A36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80263"/>
    <w:rsid w:val="00D816F4"/>
    <w:rsid w:val="00D81912"/>
    <w:rsid w:val="00D8238F"/>
    <w:rsid w:val="00D825D6"/>
    <w:rsid w:val="00D84537"/>
    <w:rsid w:val="00D84EC5"/>
    <w:rsid w:val="00D850DC"/>
    <w:rsid w:val="00D8512C"/>
    <w:rsid w:val="00D85452"/>
    <w:rsid w:val="00D85514"/>
    <w:rsid w:val="00D858D5"/>
    <w:rsid w:val="00D85D8F"/>
    <w:rsid w:val="00D863FE"/>
    <w:rsid w:val="00D8683C"/>
    <w:rsid w:val="00D86A30"/>
    <w:rsid w:val="00D86E4A"/>
    <w:rsid w:val="00D879BB"/>
    <w:rsid w:val="00D9059D"/>
    <w:rsid w:val="00D90A66"/>
    <w:rsid w:val="00D90B09"/>
    <w:rsid w:val="00D92085"/>
    <w:rsid w:val="00D9217D"/>
    <w:rsid w:val="00D9218A"/>
    <w:rsid w:val="00D9229A"/>
    <w:rsid w:val="00D9255C"/>
    <w:rsid w:val="00D92EA4"/>
    <w:rsid w:val="00D92FF0"/>
    <w:rsid w:val="00D9354C"/>
    <w:rsid w:val="00D93EB5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ABD"/>
    <w:rsid w:val="00D96F12"/>
    <w:rsid w:val="00D97069"/>
    <w:rsid w:val="00D979EE"/>
    <w:rsid w:val="00D97E65"/>
    <w:rsid w:val="00DA031C"/>
    <w:rsid w:val="00DA040F"/>
    <w:rsid w:val="00DA0869"/>
    <w:rsid w:val="00DA13E2"/>
    <w:rsid w:val="00DA1772"/>
    <w:rsid w:val="00DA1BE7"/>
    <w:rsid w:val="00DA1D73"/>
    <w:rsid w:val="00DA24ED"/>
    <w:rsid w:val="00DA26B6"/>
    <w:rsid w:val="00DA26D8"/>
    <w:rsid w:val="00DA2E28"/>
    <w:rsid w:val="00DA3169"/>
    <w:rsid w:val="00DA31A5"/>
    <w:rsid w:val="00DA3605"/>
    <w:rsid w:val="00DA38B0"/>
    <w:rsid w:val="00DA41D9"/>
    <w:rsid w:val="00DA5637"/>
    <w:rsid w:val="00DA56BB"/>
    <w:rsid w:val="00DA5B07"/>
    <w:rsid w:val="00DA5F54"/>
    <w:rsid w:val="00DA609B"/>
    <w:rsid w:val="00DA6583"/>
    <w:rsid w:val="00DA6A88"/>
    <w:rsid w:val="00DA7442"/>
    <w:rsid w:val="00DA77D7"/>
    <w:rsid w:val="00DB01B1"/>
    <w:rsid w:val="00DB0290"/>
    <w:rsid w:val="00DB2241"/>
    <w:rsid w:val="00DB2AC1"/>
    <w:rsid w:val="00DB31F1"/>
    <w:rsid w:val="00DB3899"/>
    <w:rsid w:val="00DB408A"/>
    <w:rsid w:val="00DB40CF"/>
    <w:rsid w:val="00DB44A2"/>
    <w:rsid w:val="00DB44C5"/>
    <w:rsid w:val="00DB49B4"/>
    <w:rsid w:val="00DB5321"/>
    <w:rsid w:val="00DB5A84"/>
    <w:rsid w:val="00DB5E19"/>
    <w:rsid w:val="00DB5EA6"/>
    <w:rsid w:val="00DB63C9"/>
    <w:rsid w:val="00DB6B6B"/>
    <w:rsid w:val="00DB6C92"/>
    <w:rsid w:val="00DB6CF2"/>
    <w:rsid w:val="00DB7469"/>
    <w:rsid w:val="00DB783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312"/>
    <w:rsid w:val="00DC3639"/>
    <w:rsid w:val="00DC4129"/>
    <w:rsid w:val="00DC4A58"/>
    <w:rsid w:val="00DC4E83"/>
    <w:rsid w:val="00DC520E"/>
    <w:rsid w:val="00DC663F"/>
    <w:rsid w:val="00DC68F7"/>
    <w:rsid w:val="00DC6D7B"/>
    <w:rsid w:val="00DC7496"/>
    <w:rsid w:val="00DC7A44"/>
    <w:rsid w:val="00DC7DB6"/>
    <w:rsid w:val="00DD1E81"/>
    <w:rsid w:val="00DD25AF"/>
    <w:rsid w:val="00DD25B5"/>
    <w:rsid w:val="00DD2EDD"/>
    <w:rsid w:val="00DD2FF3"/>
    <w:rsid w:val="00DD321E"/>
    <w:rsid w:val="00DD3464"/>
    <w:rsid w:val="00DD3903"/>
    <w:rsid w:val="00DD3BA9"/>
    <w:rsid w:val="00DD3FBB"/>
    <w:rsid w:val="00DD516E"/>
    <w:rsid w:val="00DD517A"/>
    <w:rsid w:val="00DD56F0"/>
    <w:rsid w:val="00DD5AEB"/>
    <w:rsid w:val="00DD5C1A"/>
    <w:rsid w:val="00DD5F2D"/>
    <w:rsid w:val="00DD6085"/>
    <w:rsid w:val="00DD6B68"/>
    <w:rsid w:val="00DD6C78"/>
    <w:rsid w:val="00DD6C97"/>
    <w:rsid w:val="00DD72E9"/>
    <w:rsid w:val="00DD77C9"/>
    <w:rsid w:val="00DD7863"/>
    <w:rsid w:val="00DD7970"/>
    <w:rsid w:val="00DD7E9F"/>
    <w:rsid w:val="00DE0188"/>
    <w:rsid w:val="00DE03E4"/>
    <w:rsid w:val="00DE06F3"/>
    <w:rsid w:val="00DE11C2"/>
    <w:rsid w:val="00DE13D3"/>
    <w:rsid w:val="00DE149C"/>
    <w:rsid w:val="00DE17F7"/>
    <w:rsid w:val="00DE199D"/>
    <w:rsid w:val="00DE23D3"/>
    <w:rsid w:val="00DE25AC"/>
    <w:rsid w:val="00DE25C1"/>
    <w:rsid w:val="00DE2737"/>
    <w:rsid w:val="00DE28B4"/>
    <w:rsid w:val="00DE3790"/>
    <w:rsid w:val="00DE3CF0"/>
    <w:rsid w:val="00DE3F53"/>
    <w:rsid w:val="00DE410E"/>
    <w:rsid w:val="00DE42E3"/>
    <w:rsid w:val="00DE4D51"/>
    <w:rsid w:val="00DE51EE"/>
    <w:rsid w:val="00DE6218"/>
    <w:rsid w:val="00DE6626"/>
    <w:rsid w:val="00DE7025"/>
    <w:rsid w:val="00DE78CB"/>
    <w:rsid w:val="00DE7AAD"/>
    <w:rsid w:val="00DE7BC3"/>
    <w:rsid w:val="00DF0D21"/>
    <w:rsid w:val="00DF1568"/>
    <w:rsid w:val="00DF19B1"/>
    <w:rsid w:val="00DF1B14"/>
    <w:rsid w:val="00DF1C73"/>
    <w:rsid w:val="00DF2873"/>
    <w:rsid w:val="00DF28B3"/>
    <w:rsid w:val="00DF373B"/>
    <w:rsid w:val="00DF37D3"/>
    <w:rsid w:val="00DF4D59"/>
    <w:rsid w:val="00DF573B"/>
    <w:rsid w:val="00DF5EC8"/>
    <w:rsid w:val="00DF6276"/>
    <w:rsid w:val="00DF63F9"/>
    <w:rsid w:val="00DF676F"/>
    <w:rsid w:val="00DF6819"/>
    <w:rsid w:val="00DF6987"/>
    <w:rsid w:val="00DF7369"/>
    <w:rsid w:val="00E002C5"/>
    <w:rsid w:val="00E00B66"/>
    <w:rsid w:val="00E00E2E"/>
    <w:rsid w:val="00E00F70"/>
    <w:rsid w:val="00E0117C"/>
    <w:rsid w:val="00E01478"/>
    <w:rsid w:val="00E016D0"/>
    <w:rsid w:val="00E01895"/>
    <w:rsid w:val="00E01B6F"/>
    <w:rsid w:val="00E01C21"/>
    <w:rsid w:val="00E020E5"/>
    <w:rsid w:val="00E022C3"/>
    <w:rsid w:val="00E028E5"/>
    <w:rsid w:val="00E02D50"/>
    <w:rsid w:val="00E02ED8"/>
    <w:rsid w:val="00E02F7D"/>
    <w:rsid w:val="00E03021"/>
    <w:rsid w:val="00E0309E"/>
    <w:rsid w:val="00E0387D"/>
    <w:rsid w:val="00E04677"/>
    <w:rsid w:val="00E04821"/>
    <w:rsid w:val="00E04AB7"/>
    <w:rsid w:val="00E04E50"/>
    <w:rsid w:val="00E05753"/>
    <w:rsid w:val="00E058BB"/>
    <w:rsid w:val="00E058F6"/>
    <w:rsid w:val="00E05B63"/>
    <w:rsid w:val="00E0626F"/>
    <w:rsid w:val="00E0671D"/>
    <w:rsid w:val="00E06FB3"/>
    <w:rsid w:val="00E0735B"/>
    <w:rsid w:val="00E073A2"/>
    <w:rsid w:val="00E0797F"/>
    <w:rsid w:val="00E07C86"/>
    <w:rsid w:val="00E10332"/>
    <w:rsid w:val="00E1052F"/>
    <w:rsid w:val="00E10598"/>
    <w:rsid w:val="00E10672"/>
    <w:rsid w:val="00E1077D"/>
    <w:rsid w:val="00E108AF"/>
    <w:rsid w:val="00E1090B"/>
    <w:rsid w:val="00E10CE1"/>
    <w:rsid w:val="00E11157"/>
    <w:rsid w:val="00E111AA"/>
    <w:rsid w:val="00E112A5"/>
    <w:rsid w:val="00E11ED6"/>
    <w:rsid w:val="00E11F05"/>
    <w:rsid w:val="00E11F44"/>
    <w:rsid w:val="00E1206A"/>
    <w:rsid w:val="00E12426"/>
    <w:rsid w:val="00E128F8"/>
    <w:rsid w:val="00E12918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16CA8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3194"/>
    <w:rsid w:val="00E232F0"/>
    <w:rsid w:val="00E235CA"/>
    <w:rsid w:val="00E23807"/>
    <w:rsid w:val="00E23B2E"/>
    <w:rsid w:val="00E243CE"/>
    <w:rsid w:val="00E24B84"/>
    <w:rsid w:val="00E253AD"/>
    <w:rsid w:val="00E2659A"/>
    <w:rsid w:val="00E2678B"/>
    <w:rsid w:val="00E2766E"/>
    <w:rsid w:val="00E27A10"/>
    <w:rsid w:val="00E27D8D"/>
    <w:rsid w:val="00E27E54"/>
    <w:rsid w:val="00E27E65"/>
    <w:rsid w:val="00E301D2"/>
    <w:rsid w:val="00E30E14"/>
    <w:rsid w:val="00E311D9"/>
    <w:rsid w:val="00E31313"/>
    <w:rsid w:val="00E313C2"/>
    <w:rsid w:val="00E319E0"/>
    <w:rsid w:val="00E31A3B"/>
    <w:rsid w:val="00E3250E"/>
    <w:rsid w:val="00E325EB"/>
    <w:rsid w:val="00E32AFC"/>
    <w:rsid w:val="00E32D63"/>
    <w:rsid w:val="00E3337E"/>
    <w:rsid w:val="00E3390A"/>
    <w:rsid w:val="00E33943"/>
    <w:rsid w:val="00E3406A"/>
    <w:rsid w:val="00E3419E"/>
    <w:rsid w:val="00E35131"/>
    <w:rsid w:val="00E35685"/>
    <w:rsid w:val="00E356D2"/>
    <w:rsid w:val="00E35952"/>
    <w:rsid w:val="00E35E53"/>
    <w:rsid w:val="00E360E3"/>
    <w:rsid w:val="00E366BF"/>
    <w:rsid w:val="00E368D8"/>
    <w:rsid w:val="00E37232"/>
    <w:rsid w:val="00E3748D"/>
    <w:rsid w:val="00E376BE"/>
    <w:rsid w:val="00E40494"/>
    <w:rsid w:val="00E4114E"/>
    <w:rsid w:val="00E415EE"/>
    <w:rsid w:val="00E4163B"/>
    <w:rsid w:val="00E41647"/>
    <w:rsid w:val="00E418A4"/>
    <w:rsid w:val="00E41AF3"/>
    <w:rsid w:val="00E41EAE"/>
    <w:rsid w:val="00E424A1"/>
    <w:rsid w:val="00E42812"/>
    <w:rsid w:val="00E43E22"/>
    <w:rsid w:val="00E43E8A"/>
    <w:rsid w:val="00E43F6E"/>
    <w:rsid w:val="00E4425E"/>
    <w:rsid w:val="00E45143"/>
    <w:rsid w:val="00E452F5"/>
    <w:rsid w:val="00E45413"/>
    <w:rsid w:val="00E455D4"/>
    <w:rsid w:val="00E459A2"/>
    <w:rsid w:val="00E459A8"/>
    <w:rsid w:val="00E45A2D"/>
    <w:rsid w:val="00E45ADC"/>
    <w:rsid w:val="00E45AFC"/>
    <w:rsid w:val="00E45F42"/>
    <w:rsid w:val="00E462B8"/>
    <w:rsid w:val="00E462CE"/>
    <w:rsid w:val="00E466F4"/>
    <w:rsid w:val="00E468AC"/>
    <w:rsid w:val="00E468DD"/>
    <w:rsid w:val="00E47BA8"/>
    <w:rsid w:val="00E47F48"/>
    <w:rsid w:val="00E50060"/>
    <w:rsid w:val="00E500A1"/>
    <w:rsid w:val="00E500FD"/>
    <w:rsid w:val="00E50587"/>
    <w:rsid w:val="00E50600"/>
    <w:rsid w:val="00E50B34"/>
    <w:rsid w:val="00E50CB0"/>
    <w:rsid w:val="00E51204"/>
    <w:rsid w:val="00E51C0B"/>
    <w:rsid w:val="00E51FDF"/>
    <w:rsid w:val="00E525CC"/>
    <w:rsid w:val="00E534B0"/>
    <w:rsid w:val="00E53644"/>
    <w:rsid w:val="00E5430D"/>
    <w:rsid w:val="00E5459F"/>
    <w:rsid w:val="00E55A17"/>
    <w:rsid w:val="00E55D04"/>
    <w:rsid w:val="00E55EBF"/>
    <w:rsid w:val="00E55EED"/>
    <w:rsid w:val="00E55FAC"/>
    <w:rsid w:val="00E56191"/>
    <w:rsid w:val="00E567D6"/>
    <w:rsid w:val="00E56B76"/>
    <w:rsid w:val="00E56DBB"/>
    <w:rsid w:val="00E57955"/>
    <w:rsid w:val="00E57CFB"/>
    <w:rsid w:val="00E57F84"/>
    <w:rsid w:val="00E61280"/>
    <w:rsid w:val="00E612A2"/>
    <w:rsid w:val="00E613A1"/>
    <w:rsid w:val="00E61C51"/>
    <w:rsid w:val="00E6240D"/>
    <w:rsid w:val="00E62519"/>
    <w:rsid w:val="00E626B7"/>
    <w:rsid w:val="00E6291C"/>
    <w:rsid w:val="00E63173"/>
    <w:rsid w:val="00E636EB"/>
    <w:rsid w:val="00E64BFF"/>
    <w:rsid w:val="00E64D83"/>
    <w:rsid w:val="00E64EBD"/>
    <w:rsid w:val="00E64FA1"/>
    <w:rsid w:val="00E65114"/>
    <w:rsid w:val="00E6515A"/>
    <w:rsid w:val="00E65F8D"/>
    <w:rsid w:val="00E65FAC"/>
    <w:rsid w:val="00E65FFF"/>
    <w:rsid w:val="00E66394"/>
    <w:rsid w:val="00E664F2"/>
    <w:rsid w:val="00E66681"/>
    <w:rsid w:val="00E674DF"/>
    <w:rsid w:val="00E676DA"/>
    <w:rsid w:val="00E67DBF"/>
    <w:rsid w:val="00E67F77"/>
    <w:rsid w:val="00E705A4"/>
    <w:rsid w:val="00E706AA"/>
    <w:rsid w:val="00E709EA"/>
    <w:rsid w:val="00E70A20"/>
    <w:rsid w:val="00E70CEC"/>
    <w:rsid w:val="00E70D32"/>
    <w:rsid w:val="00E70E87"/>
    <w:rsid w:val="00E70F1A"/>
    <w:rsid w:val="00E71D49"/>
    <w:rsid w:val="00E720D7"/>
    <w:rsid w:val="00E729AA"/>
    <w:rsid w:val="00E72C9A"/>
    <w:rsid w:val="00E73343"/>
    <w:rsid w:val="00E73779"/>
    <w:rsid w:val="00E74095"/>
    <w:rsid w:val="00E74C2D"/>
    <w:rsid w:val="00E74CF9"/>
    <w:rsid w:val="00E75224"/>
    <w:rsid w:val="00E7535E"/>
    <w:rsid w:val="00E75AFA"/>
    <w:rsid w:val="00E75CF2"/>
    <w:rsid w:val="00E76612"/>
    <w:rsid w:val="00E76D23"/>
    <w:rsid w:val="00E77BBF"/>
    <w:rsid w:val="00E77D9E"/>
    <w:rsid w:val="00E80263"/>
    <w:rsid w:val="00E80277"/>
    <w:rsid w:val="00E805FE"/>
    <w:rsid w:val="00E80840"/>
    <w:rsid w:val="00E80D8B"/>
    <w:rsid w:val="00E80DD0"/>
    <w:rsid w:val="00E80E88"/>
    <w:rsid w:val="00E81474"/>
    <w:rsid w:val="00E81D3A"/>
    <w:rsid w:val="00E82839"/>
    <w:rsid w:val="00E82CE8"/>
    <w:rsid w:val="00E82F99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EFE"/>
    <w:rsid w:val="00E86085"/>
    <w:rsid w:val="00E86A7F"/>
    <w:rsid w:val="00E87CCE"/>
    <w:rsid w:val="00E9004D"/>
    <w:rsid w:val="00E9032A"/>
    <w:rsid w:val="00E909E6"/>
    <w:rsid w:val="00E91034"/>
    <w:rsid w:val="00E915EB"/>
    <w:rsid w:val="00E9161F"/>
    <w:rsid w:val="00E917E1"/>
    <w:rsid w:val="00E919A1"/>
    <w:rsid w:val="00E91FF5"/>
    <w:rsid w:val="00E9262F"/>
    <w:rsid w:val="00E92D6D"/>
    <w:rsid w:val="00E92FC0"/>
    <w:rsid w:val="00E93037"/>
    <w:rsid w:val="00E933AF"/>
    <w:rsid w:val="00E93B2F"/>
    <w:rsid w:val="00E93E4A"/>
    <w:rsid w:val="00E93E9F"/>
    <w:rsid w:val="00E94037"/>
    <w:rsid w:val="00E9563C"/>
    <w:rsid w:val="00E95E7D"/>
    <w:rsid w:val="00E96004"/>
    <w:rsid w:val="00E960EE"/>
    <w:rsid w:val="00E9679A"/>
    <w:rsid w:val="00E96E6B"/>
    <w:rsid w:val="00E9761B"/>
    <w:rsid w:val="00E97DED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2D6"/>
    <w:rsid w:val="00EA2406"/>
    <w:rsid w:val="00EA296E"/>
    <w:rsid w:val="00EA29CC"/>
    <w:rsid w:val="00EA2AF8"/>
    <w:rsid w:val="00EA3340"/>
    <w:rsid w:val="00EA37AC"/>
    <w:rsid w:val="00EA37CC"/>
    <w:rsid w:val="00EA3EE9"/>
    <w:rsid w:val="00EA3F94"/>
    <w:rsid w:val="00EA3FD4"/>
    <w:rsid w:val="00EA4390"/>
    <w:rsid w:val="00EA44A3"/>
    <w:rsid w:val="00EA4CF3"/>
    <w:rsid w:val="00EA53A2"/>
    <w:rsid w:val="00EA563D"/>
    <w:rsid w:val="00EA573B"/>
    <w:rsid w:val="00EA60C1"/>
    <w:rsid w:val="00EA628D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96"/>
    <w:rsid w:val="00EB100C"/>
    <w:rsid w:val="00EB1041"/>
    <w:rsid w:val="00EB212D"/>
    <w:rsid w:val="00EB25EA"/>
    <w:rsid w:val="00EB3291"/>
    <w:rsid w:val="00EB3448"/>
    <w:rsid w:val="00EB3FE1"/>
    <w:rsid w:val="00EB50B6"/>
    <w:rsid w:val="00EB57E9"/>
    <w:rsid w:val="00EB5838"/>
    <w:rsid w:val="00EB5A98"/>
    <w:rsid w:val="00EB5F6F"/>
    <w:rsid w:val="00EB60F3"/>
    <w:rsid w:val="00EB764A"/>
    <w:rsid w:val="00EC10E9"/>
    <w:rsid w:val="00EC1B25"/>
    <w:rsid w:val="00EC1CCC"/>
    <w:rsid w:val="00EC20BA"/>
    <w:rsid w:val="00EC28FD"/>
    <w:rsid w:val="00EC2BBE"/>
    <w:rsid w:val="00EC2FB2"/>
    <w:rsid w:val="00EC339E"/>
    <w:rsid w:val="00EC3A0D"/>
    <w:rsid w:val="00EC3A4C"/>
    <w:rsid w:val="00EC3E31"/>
    <w:rsid w:val="00EC4136"/>
    <w:rsid w:val="00EC4B64"/>
    <w:rsid w:val="00EC4E38"/>
    <w:rsid w:val="00EC5B74"/>
    <w:rsid w:val="00EC60DD"/>
    <w:rsid w:val="00EC6196"/>
    <w:rsid w:val="00EC6B2A"/>
    <w:rsid w:val="00EC6F03"/>
    <w:rsid w:val="00EC722B"/>
    <w:rsid w:val="00EC7650"/>
    <w:rsid w:val="00EC79D2"/>
    <w:rsid w:val="00EC7E5A"/>
    <w:rsid w:val="00EC7FEE"/>
    <w:rsid w:val="00ED09E4"/>
    <w:rsid w:val="00ED0B0F"/>
    <w:rsid w:val="00ED1ECF"/>
    <w:rsid w:val="00ED1EF3"/>
    <w:rsid w:val="00ED2790"/>
    <w:rsid w:val="00ED2A5C"/>
    <w:rsid w:val="00ED2DBF"/>
    <w:rsid w:val="00ED2F1E"/>
    <w:rsid w:val="00ED3047"/>
    <w:rsid w:val="00ED3205"/>
    <w:rsid w:val="00ED347C"/>
    <w:rsid w:val="00ED3C1B"/>
    <w:rsid w:val="00ED3E43"/>
    <w:rsid w:val="00ED3F44"/>
    <w:rsid w:val="00ED417C"/>
    <w:rsid w:val="00ED42A5"/>
    <w:rsid w:val="00ED5143"/>
    <w:rsid w:val="00ED51E1"/>
    <w:rsid w:val="00ED6174"/>
    <w:rsid w:val="00ED6741"/>
    <w:rsid w:val="00ED691C"/>
    <w:rsid w:val="00ED6997"/>
    <w:rsid w:val="00ED69DA"/>
    <w:rsid w:val="00ED6C77"/>
    <w:rsid w:val="00ED73DF"/>
    <w:rsid w:val="00ED7820"/>
    <w:rsid w:val="00ED7B97"/>
    <w:rsid w:val="00ED7FAD"/>
    <w:rsid w:val="00EE018D"/>
    <w:rsid w:val="00EE1666"/>
    <w:rsid w:val="00EE189C"/>
    <w:rsid w:val="00EE1DA4"/>
    <w:rsid w:val="00EE1E93"/>
    <w:rsid w:val="00EE27A5"/>
    <w:rsid w:val="00EE2B02"/>
    <w:rsid w:val="00EE2D5D"/>
    <w:rsid w:val="00EE2E74"/>
    <w:rsid w:val="00EE36C4"/>
    <w:rsid w:val="00EE492B"/>
    <w:rsid w:val="00EE4D8E"/>
    <w:rsid w:val="00EE572F"/>
    <w:rsid w:val="00EE5C0F"/>
    <w:rsid w:val="00EE63BB"/>
    <w:rsid w:val="00EE6F0D"/>
    <w:rsid w:val="00EE72B9"/>
    <w:rsid w:val="00EE7930"/>
    <w:rsid w:val="00EE7AF3"/>
    <w:rsid w:val="00EE7C77"/>
    <w:rsid w:val="00EF0089"/>
    <w:rsid w:val="00EF05DE"/>
    <w:rsid w:val="00EF1AD2"/>
    <w:rsid w:val="00EF2443"/>
    <w:rsid w:val="00EF2478"/>
    <w:rsid w:val="00EF25E7"/>
    <w:rsid w:val="00EF284B"/>
    <w:rsid w:val="00EF3204"/>
    <w:rsid w:val="00EF32F8"/>
    <w:rsid w:val="00EF38D5"/>
    <w:rsid w:val="00EF4B27"/>
    <w:rsid w:val="00EF5D04"/>
    <w:rsid w:val="00EF6018"/>
    <w:rsid w:val="00EF6151"/>
    <w:rsid w:val="00EF663E"/>
    <w:rsid w:val="00EF6828"/>
    <w:rsid w:val="00EF68A3"/>
    <w:rsid w:val="00EF70B9"/>
    <w:rsid w:val="00EF713B"/>
    <w:rsid w:val="00F004FC"/>
    <w:rsid w:val="00F00A24"/>
    <w:rsid w:val="00F00C1B"/>
    <w:rsid w:val="00F0144D"/>
    <w:rsid w:val="00F01C29"/>
    <w:rsid w:val="00F020C3"/>
    <w:rsid w:val="00F02134"/>
    <w:rsid w:val="00F0213D"/>
    <w:rsid w:val="00F0275F"/>
    <w:rsid w:val="00F034B3"/>
    <w:rsid w:val="00F0366E"/>
    <w:rsid w:val="00F038B7"/>
    <w:rsid w:val="00F03BD1"/>
    <w:rsid w:val="00F03FDF"/>
    <w:rsid w:val="00F04633"/>
    <w:rsid w:val="00F04792"/>
    <w:rsid w:val="00F04BD7"/>
    <w:rsid w:val="00F05073"/>
    <w:rsid w:val="00F054EE"/>
    <w:rsid w:val="00F057C7"/>
    <w:rsid w:val="00F06243"/>
    <w:rsid w:val="00F063A5"/>
    <w:rsid w:val="00F063BC"/>
    <w:rsid w:val="00F068A3"/>
    <w:rsid w:val="00F06F8E"/>
    <w:rsid w:val="00F0746C"/>
    <w:rsid w:val="00F0755A"/>
    <w:rsid w:val="00F07D07"/>
    <w:rsid w:val="00F07FB3"/>
    <w:rsid w:val="00F1011B"/>
    <w:rsid w:val="00F11332"/>
    <w:rsid w:val="00F11463"/>
    <w:rsid w:val="00F117F2"/>
    <w:rsid w:val="00F11CA7"/>
    <w:rsid w:val="00F11D2B"/>
    <w:rsid w:val="00F11D8F"/>
    <w:rsid w:val="00F124C6"/>
    <w:rsid w:val="00F127DF"/>
    <w:rsid w:val="00F1295A"/>
    <w:rsid w:val="00F129C7"/>
    <w:rsid w:val="00F1328E"/>
    <w:rsid w:val="00F13BB9"/>
    <w:rsid w:val="00F13C39"/>
    <w:rsid w:val="00F14289"/>
    <w:rsid w:val="00F142FA"/>
    <w:rsid w:val="00F143F7"/>
    <w:rsid w:val="00F145F5"/>
    <w:rsid w:val="00F14722"/>
    <w:rsid w:val="00F14BE6"/>
    <w:rsid w:val="00F1558F"/>
    <w:rsid w:val="00F15777"/>
    <w:rsid w:val="00F15907"/>
    <w:rsid w:val="00F15AE8"/>
    <w:rsid w:val="00F15E93"/>
    <w:rsid w:val="00F15F28"/>
    <w:rsid w:val="00F160BE"/>
    <w:rsid w:val="00F16CC4"/>
    <w:rsid w:val="00F16E98"/>
    <w:rsid w:val="00F17012"/>
    <w:rsid w:val="00F1719F"/>
    <w:rsid w:val="00F172AF"/>
    <w:rsid w:val="00F17530"/>
    <w:rsid w:val="00F17CB7"/>
    <w:rsid w:val="00F20262"/>
    <w:rsid w:val="00F20479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449D"/>
    <w:rsid w:val="00F24D4F"/>
    <w:rsid w:val="00F24F8A"/>
    <w:rsid w:val="00F251FE"/>
    <w:rsid w:val="00F254E7"/>
    <w:rsid w:val="00F25AA6"/>
    <w:rsid w:val="00F26302"/>
    <w:rsid w:val="00F26646"/>
    <w:rsid w:val="00F26A7B"/>
    <w:rsid w:val="00F270A2"/>
    <w:rsid w:val="00F27594"/>
    <w:rsid w:val="00F279C1"/>
    <w:rsid w:val="00F27C73"/>
    <w:rsid w:val="00F27DC8"/>
    <w:rsid w:val="00F30112"/>
    <w:rsid w:val="00F30BA1"/>
    <w:rsid w:val="00F30F2D"/>
    <w:rsid w:val="00F31657"/>
    <w:rsid w:val="00F31C3E"/>
    <w:rsid w:val="00F323B3"/>
    <w:rsid w:val="00F32448"/>
    <w:rsid w:val="00F327E8"/>
    <w:rsid w:val="00F32922"/>
    <w:rsid w:val="00F329EE"/>
    <w:rsid w:val="00F32C40"/>
    <w:rsid w:val="00F33638"/>
    <w:rsid w:val="00F3395E"/>
    <w:rsid w:val="00F33FBC"/>
    <w:rsid w:val="00F34EC5"/>
    <w:rsid w:val="00F34FCB"/>
    <w:rsid w:val="00F3504D"/>
    <w:rsid w:val="00F3598C"/>
    <w:rsid w:val="00F37279"/>
    <w:rsid w:val="00F37663"/>
    <w:rsid w:val="00F37799"/>
    <w:rsid w:val="00F37D4B"/>
    <w:rsid w:val="00F37D4D"/>
    <w:rsid w:val="00F37FEB"/>
    <w:rsid w:val="00F400EB"/>
    <w:rsid w:val="00F4061C"/>
    <w:rsid w:val="00F40713"/>
    <w:rsid w:val="00F4099F"/>
    <w:rsid w:val="00F40CE2"/>
    <w:rsid w:val="00F410B5"/>
    <w:rsid w:val="00F41954"/>
    <w:rsid w:val="00F41A40"/>
    <w:rsid w:val="00F42496"/>
    <w:rsid w:val="00F4297B"/>
    <w:rsid w:val="00F42BEB"/>
    <w:rsid w:val="00F42D25"/>
    <w:rsid w:val="00F4342A"/>
    <w:rsid w:val="00F43BD3"/>
    <w:rsid w:val="00F4469E"/>
    <w:rsid w:val="00F44E64"/>
    <w:rsid w:val="00F45712"/>
    <w:rsid w:val="00F45904"/>
    <w:rsid w:val="00F45AA0"/>
    <w:rsid w:val="00F45D35"/>
    <w:rsid w:val="00F46851"/>
    <w:rsid w:val="00F46CDD"/>
    <w:rsid w:val="00F47FFB"/>
    <w:rsid w:val="00F502C4"/>
    <w:rsid w:val="00F50EFC"/>
    <w:rsid w:val="00F5117E"/>
    <w:rsid w:val="00F51365"/>
    <w:rsid w:val="00F51BEF"/>
    <w:rsid w:val="00F51D71"/>
    <w:rsid w:val="00F520D0"/>
    <w:rsid w:val="00F52215"/>
    <w:rsid w:val="00F526E0"/>
    <w:rsid w:val="00F52D53"/>
    <w:rsid w:val="00F53CB6"/>
    <w:rsid w:val="00F53F58"/>
    <w:rsid w:val="00F545FE"/>
    <w:rsid w:val="00F54BD6"/>
    <w:rsid w:val="00F55060"/>
    <w:rsid w:val="00F5532B"/>
    <w:rsid w:val="00F55A83"/>
    <w:rsid w:val="00F56051"/>
    <w:rsid w:val="00F561D0"/>
    <w:rsid w:val="00F563A5"/>
    <w:rsid w:val="00F564D5"/>
    <w:rsid w:val="00F56A6C"/>
    <w:rsid w:val="00F56C49"/>
    <w:rsid w:val="00F57351"/>
    <w:rsid w:val="00F57790"/>
    <w:rsid w:val="00F57B2D"/>
    <w:rsid w:val="00F608F9"/>
    <w:rsid w:val="00F60919"/>
    <w:rsid w:val="00F617AD"/>
    <w:rsid w:val="00F61D7F"/>
    <w:rsid w:val="00F6225B"/>
    <w:rsid w:val="00F62882"/>
    <w:rsid w:val="00F633CE"/>
    <w:rsid w:val="00F63871"/>
    <w:rsid w:val="00F64046"/>
    <w:rsid w:val="00F64160"/>
    <w:rsid w:val="00F647F8"/>
    <w:rsid w:val="00F64ABD"/>
    <w:rsid w:val="00F65158"/>
    <w:rsid w:val="00F65353"/>
    <w:rsid w:val="00F654BA"/>
    <w:rsid w:val="00F657C0"/>
    <w:rsid w:val="00F657F7"/>
    <w:rsid w:val="00F667EA"/>
    <w:rsid w:val="00F6689F"/>
    <w:rsid w:val="00F6696E"/>
    <w:rsid w:val="00F67192"/>
    <w:rsid w:val="00F67554"/>
    <w:rsid w:val="00F67683"/>
    <w:rsid w:val="00F67693"/>
    <w:rsid w:val="00F676E4"/>
    <w:rsid w:val="00F70464"/>
    <w:rsid w:val="00F70932"/>
    <w:rsid w:val="00F70EAC"/>
    <w:rsid w:val="00F710D1"/>
    <w:rsid w:val="00F7140E"/>
    <w:rsid w:val="00F71567"/>
    <w:rsid w:val="00F71588"/>
    <w:rsid w:val="00F71891"/>
    <w:rsid w:val="00F71A27"/>
    <w:rsid w:val="00F71CBF"/>
    <w:rsid w:val="00F71D64"/>
    <w:rsid w:val="00F71FC9"/>
    <w:rsid w:val="00F72425"/>
    <w:rsid w:val="00F725CF"/>
    <w:rsid w:val="00F72678"/>
    <w:rsid w:val="00F727D7"/>
    <w:rsid w:val="00F7283A"/>
    <w:rsid w:val="00F73BEB"/>
    <w:rsid w:val="00F73C4A"/>
    <w:rsid w:val="00F73E57"/>
    <w:rsid w:val="00F741D2"/>
    <w:rsid w:val="00F7496E"/>
    <w:rsid w:val="00F74AD4"/>
    <w:rsid w:val="00F74C0E"/>
    <w:rsid w:val="00F754C2"/>
    <w:rsid w:val="00F762BF"/>
    <w:rsid w:val="00F76AE7"/>
    <w:rsid w:val="00F7741A"/>
    <w:rsid w:val="00F77E1F"/>
    <w:rsid w:val="00F80074"/>
    <w:rsid w:val="00F802FB"/>
    <w:rsid w:val="00F80462"/>
    <w:rsid w:val="00F8142C"/>
    <w:rsid w:val="00F816BB"/>
    <w:rsid w:val="00F82318"/>
    <w:rsid w:val="00F8246C"/>
    <w:rsid w:val="00F835BA"/>
    <w:rsid w:val="00F83A3B"/>
    <w:rsid w:val="00F83DDE"/>
    <w:rsid w:val="00F8401C"/>
    <w:rsid w:val="00F84367"/>
    <w:rsid w:val="00F84DF6"/>
    <w:rsid w:val="00F856EE"/>
    <w:rsid w:val="00F85AA8"/>
    <w:rsid w:val="00F85B6F"/>
    <w:rsid w:val="00F85ED7"/>
    <w:rsid w:val="00F85EEF"/>
    <w:rsid w:val="00F860C4"/>
    <w:rsid w:val="00F86B28"/>
    <w:rsid w:val="00F8743A"/>
    <w:rsid w:val="00F87C66"/>
    <w:rsid w:val="00F90072"/>
    <w:rsid w:val="00F90476"/>
    <w:rsid w:val="00F91286"/>
    <w:rsid w:val="00F91483"/>
    <w:rsid w:val="00F921A7"/>
    <w:rsid w:val="00F92262"/>
    <w:rsid w:val="00F92B8C"/>
    <w:rsid w:val="00F92FE5"/>
    <w:rsid w:val="00F938C3"/>
    <w:rsid w:val="00F9394E"/>
    <w:rsid w:val="00F93A3B"/>
    <w:rsid w:val="00F93B03"/>
    <w:rsid w:val="00F93D3D"/>
    <w:rsid w:val="00F94416"/>
    <w:rsid w:val="00F94683"/>
    <w:rsid w:val="00F946C1"/>
    <w:rsid w:val="00F94732"/>
    <w:rsid w:val="00F94AFE"/>
    <w:rsid w:val="00F94EE7"/>
    <w:rsid w:val="00F94F3C"/>
    <w:rsid w:val="00F95077"/>
    <w:rsid w:val="00F952FB"/>
    <w:rsid w:val="00F957E2"/>
    <w:rsid w:val="00F95F76"/>
    <w:rsid w:val="00F9608B"/>
    <w:rsid w:val="00F96647"/>
    <w:rsid w:val="00F96F26"/>
    <w:rsid w:val="00F97A53"/>
    <w:rsid w:val="00F97BE1"/>
    <w:rsid w:val="00F97C68"/>
    <w:rsid w:val="00FA08FC"/>
    <w:rsid w:val="00FA0928"/>
    <w:rsid w:val="00FA1361"/>
    <w:rsid w:val="00FA17CE"/>
    <w:rsid w:val="00FA1A3E"/>
    <w:rsid w:val="00FA1B5D"/>
    <w:rsid w:val="00FA1C67"/>
    <w:rsid w:val="00FA1F9F"/>
    <w:rsid w:val="00FA1FEB"/>
    <w:rsid w:val="00FA2FE2"/>
    <w:rsid w:val="00FA317B"/>
    <w:rsid w:val="00FA347F"/>
    <w:rsid w:val="00FA3A2E"/>
    <w:rsid w:val="00FA3D83"/>
    <w:rsid w:val="00FA3F34"/>
    <w:rsid w:val="00FA4217"/>
    <w:rsid w:val="00FA430A"/>
    <w:rsid w:val="00FA46DC"/>
    <w:rsid w:val="00FA4CA0"/>
    <w:rsid w:val="00FA4E90"/>
    <w:rsid w:val="00FA571D"/>
    <w:rsid w:val="00FA59C5"/>
    <w:rsid w:val="00FA5A96"/>
    <w:rsid w:val="00FA5FAB"/>
    <w:rsid w:val="00FA673B"/>
    <w:rsid w:val="00FA6988"/>
    <w:rsid w:val="00FA739C"/>
    <w:rsid w:val="00FA7E9D"/>
    <w:rsid w:val="00FB06CC"/>
    <w:rsid w:val="00FB0C28"/>
    <w:rsid w:val="00FB12CD"/>
    <w:rsid w:val="00FB15C1"/>
    <w:rsid w:val="00FB2152"/>
    <w:rsid w:val="00FB2260"/>
    <w:rsid w:val="00FB2D9F"/>
    <w:rsid w:val="00FB30C0"/>
    <w:rsid w:val="00FB3437"/>
    <w:rsid w:val="00FB38AA"/>
    <w:rsid w:val="00FB3B00"/>
    <w:rsid w:val="00FB3BBE"/>
    <w:rsid w:val="00FB3BF5"/>
    <w:rsid w:val="00FB3E27"/>
    <w:rsid w:val="00FB4E08"/>
    <w:rsid w:val="00FB4E4E"/>
    <w:rsid w:val="00FB4F9E"/>
    <w:rsid w:val="00FB50A5"/>
    <w:rsid w:val="00FB518D"/>
    <w:rsid w:val="00FB5471"/>
    <w:rsid w:val="00FB54EB"/>
    <w:rsid w:val="00FB5ECF"/>
    <w:rsid w:val="00FB6581"/>
    <w:rsid w:val="00FB67B9"/>
    <w:rsid w:val="00FB68BF"/>
    <w:rsid w:val="00FB7387"/>
    <w:rsid w:val="00FB75E3"/>
    <w:rsid w:val="00FB7802"/>
    <w:rsid w:val="00FC010F"/>
    <w:rsid w:val="00FC0886"/>
    <w:rsid w:val="00FC1099"/>
    <w:rsid w:val="00FC1382"/>
    <w:rsid w:val="00FC14E4"/>
    <w:rsid w:val="00FC18FB"/>
    <w:rsid w:val="00FC1967"/>
    <w:rsid w:val="00FC2246"/>
    <w:rsid w:val="00FC25C0"/>
    <w:rsid w:val="00FC26A7"/>
    <w:rsid w:val="00FC289A"/>
    <w:rsid w:val="00FC2C95"/>
    <w:rsid w:val="00FC2E22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CF2"/>
    <w:rsid w:val="00FC5F8D"/>
    <w:rsid w:val="00FC606C"/>
    <w:rsid w:val="00FC6F63"/>
    <w:rsid w:val="00FC728E"/>
    <w:rsid w:val="00FC7323"/>
    <w:rsid w:val="00FD03E7"/>
    <w:rsid w:val="00FD17E3"/>
    <w:rsid w:val="00FD18A4"/>
    <w:rsid w:val="00FD1B81"/>
    <w:rsid w:val="00FD364D"/>
    <w:rsid w:val="00FD3D0C"/>
    <w:rsid w:val="00FD417D"/>
    <w:rsid w:val="00FD4424"/>
    <w:rsid w:val="00FD4AAF"/>
    <w:rsid w:val="00FD4CBD"/>
    <w:rsid w:val="00FD4E62"/>
    <w:rsid w:val="00FD51E0"/>
    <w:rsid w:val="00FD5461"/>
    <w:rsid w:val="00FD598D"/>
    <w:rsid w:val="00FD5E03"/>
    <w:rsid w:val="00FD5F9E"/>
    <w:rsid w:val="00FD606C"/>
    <w:rsid w:val="00FD643A"/>
    <w:rsid w:val="00FD7053"/>
    <w:rsid w:val="00FD713B"/>
    <w:rsid w:val="00FD7464"/>
    <w:rsid w:val="00FD764C"/>
    <w:rsid w:val="00FD7CB7"/>
    <w:rsid w:val="00FD7DA7"/>
    <w:rsid w:val="00FD7F20"/>
    <w:rsid w:val="00FE0BEE"/>
    <w:rsid w:val="00FE0C3E"/>
    <w:rsid w:val="00FE0D61"/>
    <w:rsid w:val="00FE1AB7"/>
    <w:rsid w:val="00FE22FF"/>
    <w:rsid w:val="00FE2590"/>
    <w:rsid w:val="00FE2C6E"/>
    <w:rsid w:val="00FE387F"/>
    <w:rsid w:val="00FE3CA3"/>
    <w:rsid w:val="00FE479E"/>
    <w:rsid w:val="00FE4D47"/>
    <w:rsid w:val="00FE5672"/>
    <w:rsid w:val="00FE56C6"/>
    <w:rsid w:val="00FE5D0E"/>
    <w:rsid w:val="00FE6255"/>
    <w:rsid w:val="00FE62B5"/>
    <w:rsid w:val="00FE63AA"/>
    <w:rsid w:val="00FE68FB"/>
    <w:rsid w:val="00FE6FAD"/>
    <w:rsid w:val="00FE78BA"/>
    <w:rsid w:val="00FE79CF"/>
    <w:rsid w:val="00FF054A"/>
    <w:rsid w:val="00FF0785"/>
    <w:rsid w:val="00FF0989"/>
    <w:rsid w:val="00FF100A"/>
    <w:rsid w:val="00FF12E5"/>
    <w:rsid w:val="00FF141F"/>
    <w:rsid w:val="00FF1830"/>
    <w:rsid w:val="00FF22D4"/>
    <w:rsid w:val="00FF23C6"/>
    <w:rsid w:val="00FF2554"/>
    <w:rsid w:val="00FF39DF"/>
    <w:rsid w:val="00FF41EF"/>
    <w:rsid w:val="00FF4223"/>
    <w:rsid w:val="00FF4466"/>
    <w:rsid w:val="00FF474B"/>
    <w:rsid w:val="00FF480A"/>
    <w:rsid w:val="00FF4B2C"/>
    <w:rsid w:val="00FF5260"/>
    <w:rsid w:val="00FF5995"/>
    <w:rsid w:val="00FF64F9"/>
    <w:rsid w:val="00FF714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8CD3F7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7801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character" w:customStyle="1" w:styleId="odrkaChar">
    <w:name w:val="odrážka Char"/>
    <w:basedOn w:val="Standardnpsmoodstavce"/>
    <w:link w:val="odrka"/>
    <w:locked/>
    <w:rsid w:val="00D50417"/>
    <w:rPr>
      <w:rFonts w:cs="Calibri"/>
    </w:rPr>
  </w:style>
  <w:style w:type="paragraph" w:customStyle="1" w:styleId="odrka">
    <w:name w:val="odrážka"/>
    <w:basedOn w:val="Normln"/>
    <w:link w:val="odrkaChar"/>
    <w:qFormat/>
    <w:rsid w:val="00D50417"/>
    <w:pPr>
      <w:numPr>
        <w:numId w:val="11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customStyle="1" w:styleId="Styl1">
    <w:name w:val="Styl1"/>
    <w:basedOn w:val="Nadpis1"/>
    <w:link w:val="Styl1Char"/>
    <w:qFormat/>
    <w:rsid w:val="00201480"/>
    <w:pPr>
      <w:keepNext/>
      <w:numPr>
        <w:numId w:val="16"/>
      </w:numPr>
      <w:spacing w:after="0" w:line="240" w:lineRule="auto"/>
    </w:pPr>
  </w:style>
  <w:style w:type="paragraph" w:customStyle="1" w:styleId="Styl2">
    <w:name w:val="Styl2"/>
    <w:basedOn w:val="Nadpis2"/>
    <w:link w:val="Styl2Char"/>
    <w:qFormat/>
    <w:rsid w:val="00201480"/>
    <w:pPr>
      <w:keepNext/>
      <w:numPr>
        <w:ilvl w:val="1"/>
        <w:numId w:val="16"/>
      </w:numPr>
      <w:spacing w:after="240" w:line="240" w:lineRule="auto"/>
      <w:contextualSpacing w:val="0"/>
      <w:jc w:val="left"/>
    </w:pPr>
    <w:rPr>
      <w:rFonts w:ascii="Calibri" w:hAnsi="Calibri" w:cs="Calibri"/>
    </w:rPr>
  </w:style>
  <w:style w:type="character" w:customStyle="1" w:styleId="Styl1Char">
    <w:name w:val="Styl1 Char"/>
    <w:basedOn w:val="Nadpis1Char"/>
    <w:link w:val="Styl1"/>
    <w:rsid w:val="00201480"/>
    <w:rPr>
      <w:rFonts w:eastAsiaTheme="minorHAnsi" w:cstheme="minorHAnsi"/>
      <w:b/>
      <w:sz w:val="28"/>
      <w:szCs w:val="28"/>
    </w:rPr>
  </w:style>
  <w:style w:type="paragraph" w:customStyle="1" w:styleId="Styl3">
    <w:name w:val="Styl3"/>
    <w:basedOn w:val="Nadpis4"/>
    <w:link w:val="Styl3Char"/>
    <w:qFormat/>
    <w:rsid w:val="00201480"/>
    <w:pPr>
      <w:ind w:left="360" w:hanging="360"/>
    </w:pPr>
    <w:rPr>
      <w:rFonts w:asciiTheme="minorHAnsi" w:eastAsia="Times New Roman" w:hAnsiTheme="minorHAnsi" w:cstheme="minorHAnsi"/>
      <w:b/>
      <w:i w:val="0"/>
      <w:color w:val="000000" w:themeColor="text1"/>
    </w:rPr>
  </w:style>
  <w:style w:type="character" w:customStyle="1" w:styleId="Styl2Char">
    <w:name w:val="Styl2 Char"/>
    <w:basedOn w:val="Nadpis2Char"/>
    <w:link w:val="Styl2"/>
    <w:rsid w:val="00201480"/>
    <w:rPr>
      <w:rFonts w:ascii="Calibri" w:eastAsia="Calibri" w:hAnsi="Calibri" w:cs="Calibri"/>
      <w:b/>
      <w:sz w:val="24"/>
      <w:szCs w:val="24"/>
    </w:rPr>
  </w:style>
  <w:style w:type="character" w:customStyle="1" w:styleId="Styl3Char">
    <w:name w:val="Styl3 Char"/>
    <w:basedOn w:val="Nadpis4Char"/>
    <w:link w:val="Styl3"/>
    <w:rsid w:val="00201480"/>
    <w:rPr>
      <w:rFonts w:asciiTheme="majorHAnsi" w:eastAsiaTheme="majorEastAsia" w:hAnsiTheme="majorHAnsi" w:cstheme="minorHAnsi"/>
      <w:b/>
      <w:i w:val="0"/>
      <w:iCs/>
      <w:color w:val="000000" w:themeColor="text1"/>
      <w:sz w:val="24"/>
      <w:szCs w:val="24"/>
    </w:rPr>
  </w:style>
  <w:style w:type="paragraph" w:customStyle="1" w:styleId="Styl4">
    <w:name w:val="Styl4"/>
    <w:basedOn w:val="Styl2"/>
    <w:link w:val="Styl4Char"/>
    <w:qFormat/>
    <w:rsid w:val="00C83681"/>
    <w:pPr>
      <w:numPr>
        <w:ilvl w:val="0"/>
        <w:numId w:val="0"/>
      </w:numPr>
    </w:pPr>
  </w:style>
  <w:style w:type="character" w:customStyle="1" w:styleId="Styl4Char">
    <w:name w:val="Styl4 Char"/>
    <w:basedOn w:val="Styl2Char"/>
    <w:link w:val="Styl4"/>
    <w:rsid w:val="00C83681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21" Type="http://schemas.microsoft.com/office/2007/relationships/diagramDrawing" Target="diagrams/drawing2.xm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cz/ucetni-jednotka/48136069/rozpocet/souhrnny?rad=j&amp;obdobi=2212" TargetMode="External"/><Relationship Id="rId1" Type="http://schemas.openxmlformats.org/officeDocument/2006/relationships/hyperlink" Target="https://monitor.statnipokladna.cz/ucetni-jednotka/48136069/ucetni-zaverka/rozvaha?rad=j&amp;obdobi=22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chemeClr val="tx1"/>
              </a:solidFill>
            </a:rPr>
            <a:t>V účetnictví ve výši 53,6 mil. Kč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Bez nutnosti oprav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 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chemeClr val="tx1"/>
              </a:solidFill>
            </a:rPr>
            <a:t>V oblasti účetnictví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účetnictví ve výši 53,6 mil. Kč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Bez nutnosti oprav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 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opravy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oblasti účetnictví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71683" y="20923"/>
        <a:ext cx="1474470" cy="67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F923-7150-41FF-A829-D5640C567F8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5FE19-E83F-4621-8054-639689B3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4892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22/19 - Závěrečný účet kapitoly státního rozpočtu Státní úřad pro jadernou bezpečnost za rok 2022, účetní závěrka Státního úřadu pro jadernou bezpečnost za rok 2022 a údaje předkládané Státním úřadem pro jadernou be</vt:lpstr>
    </vt:vector>
  </TitlesOfParts>
  <Company>NKU</Company>
  <LinksUpToDate>false</LinksUpToDate>
  <CharactersWithSpaces>33688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22/19 - Závěrečný účet kapitoly státního rozpočtu Státní úřad pro jadernou bezpečnost za rok 2022, účetní závěrka Státního úřadu pro jadernou bezpečnost za rok 2022 a údaje předkládané Státním úřadem pro jadernou bezpečnost pro hodnocení plnění státního rozpočtu za rok 2022</dc:title>
  <dc:subject>Kontrolní závěr z kontrolní akce NKÚ č. 22/19 - Závěrečný účet kapitoly státního rozpočtu Státní úřad pro jadernou bezpečnost za rok 2022, účetní závěrka Státního úřadu pro jadernou bezpečnost za rok 2022 a údaje předkládané Státním úřadem pro jadernou bezpečnost pro hodnocení plnění státního rozpočtu za rok 2022</dc:subject>
  <dc:creator>Nejvyšší kontrolní úřad</dc:creator>
  <cp:keywords>kontrolní závěr; účetnictví; SÚJB</cp:keywords>
  <cp:lastModifiedBy>KOKRDA Daniel</cp:lastModifiedBy>
  <cp:revision>3</cp:revision>
  <cp:lastPrinted>2023-06-26T06:17:00Z</cp:lastPrinted>
  <dcterms:created xsi:type="dcterms:W3CDTF">2023-06-26T06:15:00Z</dcterms:created>
  <dcterms:modified xsi:type="dcterms:W3CDTF">2023-06-26T06:17:00Z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