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9844" w14:textId="55A51F88" w:rsidR="00291417" w:rsidRPr="00E23815" w:rsidRDefault="00291417" w:rsidP="005E725E">
      <w:pPr>
        <w:tabs>
          <w:tab w:val="left" w:pos="19110"/>
        </w:tabs>
        <w:spacing w:after="0"/>
        <w:ind w:right="-2"/>
        <w:jc w:val="center"/>
      </w:pPr>
      <w:r w:rsidRPr="00E23815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638B4AF9" wp14:editId="71C81642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636336" w14:textId="77777777" w:rsidR="00291417" w:rsidRPr="00E23815" w:rsidRDefault="00291417" w:rsidP="00291417">
      <w:pPr>
        <w:spacing w:after="0"/>
        <w:jc w:val="center"/>
      </w:pPr>
    </w:p>
    <w:p w14:paraId="4AE1E7C8" w14:textId="77777777" w:rsidR="00291417" w:rsidRPr="00E23815" w:rsidRDefault="00291417" w:rsidP="00291417">
      <w:pPr>
        <w:spacing w:after="0"/>
        <w:jc w:val="center"/>
      </w:pPr>
    </w:p>
    <w:p w14:paraId="5785C357" w14:textId="77777777" w:rsidR="00291417" w:rsidRPr="00E23815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23815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41A3B8B9" w14:textId="77777777" w:rsidR="00031FF6" w:rsidRPr="00E23815" w:rsidRDefault="00031FF6" w:rsidP="00031FF6">
      <w:pPr>
        <w:spacing w:after="0"/>
        <w:jc w:val="center"/>
      </w:pPr>
    </w:p>
    <w:p w14:paraId="40F25C10" w14:textId="77777777" w:rsidR="00EC3A0D" w:rsidRPr="00E23815" w:rsidRDefault="0000654C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23815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090AB0" w:rsidRPr="00E23815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7A67D6" w:rsidRPr="00E23815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090AB0" w:rsidRPr="00E23815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 w:rsidR="00E23ECB" w:rsidRPr="00E23815">
        <w:rPr>
          <w:rFonts w:asciiTheme="minorHAnsi" w:eastAsiaTheme="minorHAnsi" w:hAnsiTheme="minorHAnsi" w:cstheme="minorHAnsi"/>
          <w:b/>
          <w:sz w:val="28"/>
          <w:szCs w:val="28"/>
        </w:rPr>
        <w:t>8</w:t>
      </w:r>
    </w:p>
    <w:p w14:paraId="2CC296E6" w14:textId="77777777" w:rsidR="00031FF6" w:rsidRPr="00E23815" w:rsidRDefault="00031FF6" w:rsidP="00031FF6">
      <w:pPr>
        <w:spacing w:after="0"/>
        <w:jc w:val="center"/>
      </w:pPr>
    </w:p>
    <w:p w14:paraId="4023BB2A" w14:textId="77777777" w:rsidR="000849FE" w:rsidRPr="00E23815" w:rsidRDefault="00E23ECB" w:rsidP="000849FE">
      <w:pPr>
        <w:spacing w:line="2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3815">
        <w:rPr>
          <w:rFonts w:ascii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E23815">
        <w:rPr>
          <w:rFonts w:asciiTheme="minorHAnsi" w:hAnsiTheme="minorHAnsi" w:cstheme="minorHAnsi"/>
          <w:b/>
          <w:i/>
          <w:iCs/>
          <w:sz w:val="28"/>
          <w:szCs w:val="28"/>
        </w:rPr>
        <w:t>Ministerstvo životního prostředí</w:t>
      </w:r>
      <w:r w:rsidRPr="00E23815">
        <w:rPr>
          <w:rFonts w:asciiTheme="minorHAnsi" w:hAnsiTheme="minorHAnsi" w:cstheme="minorHAnsi"/>
          <w:b/>
          <w:sz w:val="28"/>
          <w:szCs w:val="28"/>
        </w:rPr>
        <w:t xml:space="preserve"> za rok 2022, účetní závěrka Ministerstva životního prostředí za rok 2022 a údaje předkládané Ministerstvem životního prostředí pro hodnocení plnění státního rozpočtu za rok 2022</w:t>
      </w:r>
    </w:p>
    <w:p w14:paraId="35D00A48" w14:textId="77777777" w:rsidR="000849FE" w:rsidRPr="00E23815" w:rsidRDefault="000849FE" w:rsidP="000849FE">
      <w:pPr>
        <w:spacing w:after="0"/>
        <w:jc w:val="both"/>
      </w:pPr>
    </w:p>
    <w:p w14:paraId="092745B3" w14:textId="77777777" w:rsidR="000849FE" w:rsidRPr="00E23815" w:rsidRDefault="000849FE" w:rsidP="000849FE">
      <w:pPr>
        <w:spacing w:after="0"/>
        <w:jc w:val="both"/>
      </w:pPr>
    </w:p>
    <w:p w14:paraId="42A999D3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Kontrolní akce (dále také „KA“) byla zařazena do plánu kontrolní činnosti Nejvyššího kontrolního úřadu (dále také „NKÚ“) na rok 2022 pod číslem 22/1</w:t>
      </w:r>
      <w:r w:rsidR="00E23ECB" w:rsidRPr="00E23815">
        <w:rPr>
          <w:rFonts w:asciiTheme="minorHAnsi" w:eastAsiaTheme="minorHAnsi" w:hAnsiTheme="minorHAnsi" w:cstheme="minorHAnsi"/>
        </w:rPr>
        <w:t>8</w:t>
      </w:r>
      <w:r w:rsidRPr="00E23815">
        <w:rPr>
          <w:rFonts w:asciiTheme="minorHAnsi" w:eastAsiaTheme="minorHAnsi" w:hAnsiTheme="minorHAnsi" w:cstheme="minorHAnsi"/>
        </w:rPr>
        <w:t xml:space="preserve">. Kontrolní akci řídila a kontrolní závěr vypracovala členka NKÚ Ing. Jaromíra </w:t>
      </w:r>
      <w:proofErr w:type="spellStart"/>
      <w:r w:rsidRPr="00E23815">
        <w:rPr>
          <w:rFonts w:asciiTheme="minorHAnsi" w:eastAsiaTheme="minorHAnsi" w:hAnsiTheme="minorHAnsi" w:cstheme="minorHAnsi"/>
        </w:rPr>
        <w:t>Steidlová</w:t>
      </w:r>
      <w:proofErr w:type="spellEnd"/>
      <w:r w:rsidRPr="00E23815">
        <w:rPr>
          <w:rFonts w:asciiTheme="minorHAnsi" w:eastAsiaTheme="minorHAnsi" w:hAnsiTheme="minorHAnsi" w:cstheme="minorHAnsi"/>
        </w:rPr>
        <w:t>.</w:t>
      </w:r>
    </w:p>
    <w:p w14:paraId="7F7F1D86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A9C90C5" w14:textId="77777777" w:rsidR="000849FE" w:rsidRPr="00E23815" w:rsidRDefault="000849FE" w:rsidP="000849FE">
      <w:pPr>
        <w:spacing w:before="120" w:line="200" w:lineRule="atLeast"/>
        <w:jc w:val="both"/>
        <w:rPr>
          <w:rFonts w:asciiTheme="minorHAnsi" w:hAnsiTheme="minorHAnsi" w:cstheme="minorHAnsi"/>
          <w:bCs/>
        </w:rPr>
      </w:pPr>
      <w:r w:rsidRPr="00E23815">
        <w:rPr>
          <w:rFonts w:asciiTheme="minorHAnsi" w:eastAsiaTheme="minorHAnsi" w:hAnsiTheme="minorHAnsi" w:cstheme="minorHAnsi"/>
        </w:rPr>
        <w:t xml:space="preserve">Cílem kontroly bylo prověřit, </w:t>
      </w:r>
      <w:bookmarkStart w:id="0" w:name="_Hlk134018975"/>
      <w:r w:rsidRPr="00E23815">
        <w:rPr>
          <w:rFonts w:asciiTheme="minorHAnsi" w:hAnsiTheme="minorHAnsi" w:cstheme="minorHAnsi"/>
          <w:bCs/>
        </w:rPr>
        <w:t>zda M</w:t>
      </w:r>
      <w:r w:rsidR="002D5FA0" w:rsidRPr="00E23815">
        <w:rPr>
          <w:rFonts w:asciiTheme="minorHAnsi" w:hAnsiTheme="minorHAnsi" w:cstheme="minorHAnsi"/>
          <w:bCs/>
        </w:rPr>
        <w:t>inisterstvo životního prostředí při sestavení závěrečného účtu a při</w:t>
      </w:r>
      <w:r w:rsidRPr="00E23815">
        <w:rPr>
          <w:rFonts w:asciiTheme="minorHAnsi" w:hAnsiTheme="minorHAnsi" w:cstheme="minorHAnsi"/>
          <w:bCs/>
        </w:rPr>
        <w:t xml:space="preserve"> vedení účetnictví a sestavení účetní závěrky a předkládání údajů pro hodnocení plnění státního rozpočtu za rok 2022 postupoval</w:t>
      </w:r>
      <w:r w:rsidR="002D5FA0" w:rsidRPr="00E23815">
        <w:rPr>
          <w:rFonts w:asciiTheme="minorHAnsi" w:hAnsiTheme="minorHAnsi" w:cstheme="minorHAnsi"/>
          <w:bCs/>
        </w:rPr>
        <w:t>o</w:t>
      </w:r>
      <w:r w:rsidRPr="00E23815">
        <w:rPr>
          <w:rFonts w:asciiTheme="minorHAnsi" w:hAnsiTheme="minorHAnsi" w:cstheme="minorHAnsi"/>
          <w:bCs/>
        </w:rPr>
        <w:t xml:space="preserve"> v</w:t>
      </w:r>
      <w:r w:rsidR="008A1009" w:rsidRPr="00E23815">
        <w:rPr>
          <w:rFonts w:asciiTheme="minorHAnsi" w:hAnsiTheme="minorHAnsi" w:cstheme="minorHAnsi"/>
          <w:bCs/>
        </w:rPr>
        <w:t> </w:t>
      </w:r>
      <w:r w:rsidRPr="00E23815">
        <w:rPr>
          <w:rFonts w:asciiTheme="minorHAnsi" w:hAnsiTheme="minorHAnsi" w:cstheme="minorHAnsi"/>
          <w:bCs/>
        </w:rPr>
        <w:t>souladu s příslušnými právními předpisy.</w:t>
      </w:r>
    </w:p>
    <w:bookmarkEnd w:id="0"/>
    <w:p w14:paraId="736AAF67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  <w:bCs/>
        </w:rPr>
      </w:pPr>
    </w:p>
    <w:p w14:paraId="5ED7FA74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  <w:b/>
        </w:rPr>
        <w:t>Kontrolovaná osoba:</w:t>
      </w:r>
    </w:p>
    <w:p w14:paraId="1EB00DAF" w14:textId="77777777" w:rsidR="000849FE" w:rsidRPr="00E23815" w:rsidRDefault="00562BD8" w:rsidP="000849FE">
      <w:pPr>
        <w:rPr>
          <w:rFonts w:cs="Calibri"/>
        </w:rPr>
      </w:pPr>
      <w:r w:rsidRPr="00E23815">
        <w:rPr>
          <w:rFonts w:cs="Calibri"/>
          <w:iCs/>
        </w:rPr>
        <w:t>Ministerstvo životního prostředí</w:t>
      </w:r>
      <w:r w:rsidR="000849FE" w:rsidRPr="00E23815">
        <w:rPr>
          <w:rFonts w:cs="Calibri"/>
        </w:rPr>
        <w:t xml:space="preserve"> (dále také „M</w:t>
      </w:r>
      <w:r w:rsidRPr="00E23815">
        <w:rPr>
          <w:rFonts w:cs="Calibri"/>
        </w:rPr>
        <w:t>ŽP</w:t>
      </w:r>
      <w:r w:rsidR="000849FE" w:rsidRPr="00E23815">
        <w:rPr>
          <w:rFonts w:cs="Calibri"/>
        </w:rPr>
        <w:t>“).</w:t>
      </w:r>
    </w:p>
    <w:p w14:paraId="6309A85F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48D2E64" w14:textId="77777777" w:rsidR="000849FE" w:rsidRPr="00E23815" w:rsidRDefault="000849FE" w:rsidP="00562BD8">
      <w:pPr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 xml:space="preserve">Kontrolováno bylo období roku 2022 včetně souvisejících skutečností </w:t>
      </w:r>
      <w:r w:rsidRPr="00E23815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E23815">
        <w:rPr>
          <w:rFonts w:asciiTheme="minorHAnsi" w:eastAsiaTheme="minorHAnsi" w:hAnsiTheme="minorHAnsi" w:cstheme="minorHAnsi"/>
        </w:rPr>
        <w:t>.</w:t>
      </w:r>
    </w:p>
    <w:p w14:paraId="373958B1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E0C5824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 xml:space="preserve">Kontrola byla prováděna u kontrolované osoby v době od srpna 2022 do </w:t>
      </w:r>
      <w:r w:rsidR="00562BD8" w:rsidRPr="00E23815">
        <w:rPr>
          <w:rFonts w:asciiTheme="minorHAnsi" w:eastAsiaTheme="minorHAnsi" w:hAnsiTheme="minorHAnsi" w:cstheme="minorHAnsi"/>
        </w:rPr>
        <w:t>července</w:t>
      </w:r>
      <w:r w:rsidRPr="00E23815">
        <w:rPr>
          <w:rFonts w:asciiTheme="minorHAnsi" w:eastAsiaTheme="minorHAnsi" w:hAnsiTheme="minorHAnsi" w:cstheme="minorHAnsi"/>
        </w:rPr>
        <w:t xml:space="preserve"> 2023.</w:t>
      </w:r>
    </w:p>
    <w:p w14:paraId="2A9E2EC0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1745525" w14:textId="77777777" w:rsidR="000849FE" w:rsidRPr="00E23815" w:rsidRDefault="000849FE" w:rsidP="000849FE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6F3144E" w14:textId="77777777" w:rsidR="000849FE" w:rsidRPr="000063E0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E23815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23815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E23815">
        <w:rPr>
          <w:rFonts w:asciiTheme="minorHAnsi" w:eastAsiaTheme="minorHAnsi" w:hAnsiTheme="minorHAnsi" w:cstheme="minorHAnsi"/>
        </w:rPr>
        <w:t xml:space="preserve">   na svém </w:t>
      </w:r>
      <w:r w:rsidR="00B56B7E">
        <w:rPr>
          <w:rFonts w:asciiTheme="minorHAnsi" w:eastAsiaTheme="minorHAnsi" w:hAnsiTheme="minorHAnsi" w:cstheme="minorHAnsi"/>
        </w:rPr>
        <w:t>XV</w:t>
      </w:r>
      <w:r w:rsidRPr="00E23815">
        <w:rPr>
          <w:rFonts w:asciiTheme="minorHAnsi" w:eastAsiaTheme="minorHAnsi" w:hAnsiTheme="minorHAnsi" w:cstheme="minorHAnsi"/>
        </w:rPr>
        <w:t xml:space="preserve">. jednání, které se konalo </w:t>
      </w:r>
      <w:r w:rsidRPr="000063E0">
        <w:rPr>
          <w:rFonts w:asciiTheme="minorHAnsi" w:eastAsiaTheme="minorHAnsi" w:hAnsiTheme="minorHAnsi" w:cstheme="minorHAnsi"/>
        </w:rPr>
        <w:t xml:space="preserve">dne </w:t>
      </w:r>
      <w:r w:rsidR="00B56B7E">
        <w:rPr>
          <w:rFonts w:asciiTheme="minorHAnsi" w:eastAsiaTheme="minorHAnsi" w:hAnsiTheme="minorHAnsi" w:cstheme="minorHAnsi"/>
        </w:rPr>
        <w:t>16. října</w:t>
      </w:r>
      <w:r w:rsidRPr="000063E0">
        <w:rPr>
          <w:rFonts w:asciiTheme="minorHAnsi" w:eastAsiaTheme="minorHAnsi" w:hAnsiTheme="minorHAnsi" w:cstheme="minorHAnsi"/>
        </w:rPr>
        <w:t xml:space="preserve"> 2023,</w:t>
      </w:r>
    </w:p>
    <w:p w14:paraId="265EC017" w14:textId="77777777" w:rsidR="000849FE" w:rsidRPr="00E23815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0063E0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0063E0">
        <w:rPr>
          <w:rFonts w:asciiTheme="minorHAnsi" w:eastAsiaTheme="minorHAnsi" w:hAnsiTheme="minorHAnsi" w:cstheme="minorHAnsi"/>
        </w:rPr>
        <w:t xml:space="preserve">   usnesením č</w:t>
      </w:r>
      <w:r w:rsidR="00094EF0" w:rsidRPr="000063E0">
        <w:rPr>
          <w:rFonts w:asciiTheme="minorHAnsi" w:eastAsiaTheme="minorHAnsi" w:hAnsiTheme="minorHAnsi" w:cstheme="minorHAnsi"/>
        </w:rPr>
        <w:t xml:space="preserve">. </w:t>
      </w:r>
      <w:r w:rsidR="00832B04">
        <w:rPr>
          <w:rFonts w:asciiTheme="minorHAnsi" w:eastAsiaTheme="minorHAnsi" w:hAnsiTheme="minorHAnsi" w:cstheme="minorHAnsi"/>
        </w:rPr>
        <w:t>9</w:t>
      </w:r>
      <w:r w:rsidR="00094EF0" w:rsidRPr="000063E0">
        <w:rPr>
          <w:rFonts w:asciiTheme="minorHAnsi" w:eastAsiaTheme="minorHAnsi" w:hAnsiTheme="minorHAnsi" w:cstheme="minorHAnsi"/>
        </w:rPr>
        <w:t>/</w:t>
      </w:r>
      <w:r w:rsidR="00B56B7E">
        <w:rPr>
          <w:rFonts w:asciiTheme="minorHAnsi" w:eastAsiaTheme="minorHAnsi" w:hAnsiTheme="minorHAnsi" w:cstheme="minorHAnsi"/>
        </w:rPr>
        <w:t>XV</w:t>
      </w:r>
      <w:r w:rsidR="00094EF0" w:rsidRPr="000063E0">
        <w:rPr>
          <w:rFonts w:asciiTheme="minorHAnsi" w:eastAsiaTheme="minorHAnsi" w:hAnsiTheme="minorHAnsi" w:cstheme="minorHAnsi"/>
        </w:rPr>
        <w:t>/2023</w:t>
      </w:r>
    </w:p>
    <w:p w14:paraId="1BFBFE56" w14:textId="77777777" w:rsidR="000849FE" w:rsidRDefault="000849FE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E23815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E23815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E23815">
        <w:rPr>
          <w:rFonts w:asciiTheme="minorHAnsi" w:eastAsiaTheme="minorHAnsi" w:hAnsiTheme="minorHAnsi" w:cstheme="minorHAnsi"/>
        </w:rPr>
        <w:t xml:space="preserve">   v tomto znění:</w:t>
      </w:r>
    </w:p>
    <w:p w14:paraId="2D58E3C3" w14:textId="77777777" w:rsidR="006C4B17" w:rsidRDefault="006C4B17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4626845C" w14:textId="77777777" w:rsidR="006C4B17" w:rsidRPr="006C4B17" w:rsidRDefault="006C4B17" w:rsidP="006C4B17">
      <w:pPr>
        <w:autoSpaceDE w:val="0"/>
        <w:autoSpaceDN w:val="0"/>
        <w:adjustRightInd w:val="0"/>
        <w:spacing w:after="0"/>
        <w:rPr>
          <w:rFonts w:cs="Calibri"/>
          <w:lang w:eastAsia="cs-CZ"/>
        </w:rPr>
      </w:pPr>
    </w:p>
    <w:p w14:paraId="4EB09310" w14:textId="77777777" w:rsidR="006C4B17" w:rsidRPr="00E23815" w:rsidRDefault="006C4B17" w:rsidP="000849FE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6706BE40" w14:textId="77777777" w:rsidR="00CA5B95" w:rsidRPr="00E23815" w:rsidRDefault="00CA5B95" w:rsidP="00CA5B9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8BD9D9B" w14:textId="77777777" w:rsidR="00F20716" w:rsidRPr="00E23815" w:rsidRDefault="00CA5B95" w:rsidP="00AF15FA">
      <w:pPr>
        <w:jc w:val="center"/>
        <w:rPr>
          <w:rStyle w:val="A4"/>
          <w:rFonts w:eastAsiaTheme="majorEastAsia"/>
          <w:b/>
          <w:sz w:val="32"/>
          <w:szCs w:val="32"/>
        </w:rPr>
      </w:pPr>
      <w:r w:rsidRPr="00E23815">
        <w:rPr>
          <w:rStyle w:val="A4"/>
          <w:rFonts w:eastAsiaTheme="majorEastAsia"/>
          <w:b/>
          <w:color w:val="BDD6EE" w:themeColor="accent1" w:themeTint="66"/>
          <w:sz w:val="40"/>
          <w:szCs w:val="40"/>
        </w:rPr>
        <w:br w:type="page"/>
      </w:r>
      <w:r w:rsidR="00F20716" w:rsidRPr="00E23815">
        <w:rPr>
          <w:rStyle w:val="A4"/>
          <w:rFonts w:eastAsiaTheme="majorEastAsia"/>
          <w:b/>
          <w:sz w:val="32"/>
          <w:szCs w:val="32"/>
        </w:rPr>
        <w:lastRenderedPageBreak/>
        <w:t>Účetní závěrka, výkaz pro hodnocení plnění rozpočtu</w:t>
      </w:r>
      <w:r w:rsidR="004408B6" w:rsidRPr="00E23815">
        <w:rPr>
          <w:rStyle w:val="A4"/>
          <w:rFonts w:eastAsiaTheme="majorEastAsia"/>
          <w:b/>
          <w:sz w:val="32"/>
          <w:szCs w:val="32"/>
        </w:rPr>
        <w:t>, závěrečný účet</w:t>
      </w:r>
      <w:r w:rsidR="00F20716" w:rsidRPr="00E23815">
        <w:rPr>
          <w:rStyle w:val="A4"/>
          <w:rFonts w:eastAsiaTheme="majorEastAsia"/>
          <w:b/>
          <w:sz w:val="32"/>
          <w:szCs w:val="32"/>
        </w:rPr>
        <w:t xml:space="preserve"> a vnitřní kontrolní systém </w:t>
      </w:r>
      <w:r w:rsidR="004408B6" w:rsidRPr="00E23815">
        <w:rPr>
          <w:rStyle w:val="A4"/>
          <w:rFonts w:eastAsiaTheme="majorEastAsia"/>
          <w:b/>
          <w:sz w:val="32"/>
          <w:szCs w:val="32"/>
        </w:rPr>
        <w:t>Ministerstva životního prostředí</w:t>
      </w:r>
      <w:r w:rsidR="00F20716" w:rsidRPr="00E23815">
        <w:rPr>
          <w:rStyle w:val="A4"/>
          <w:rFonts w:eastAsiaTheme="majorEastAsia"/>
          <w:b/>
          <w:sz w:val="32"/>
          <w:szCs w:val="32"/>
        </w:rPr>
        <w:t xml:space="preserve"> za rok 2022</w:t>
      </w:r>
    </w:p>
    <w:p w14:paraId="6D53FC8D" w14:textId="77777777" w:rsidR="00F20716" w:rsidRPr="00E23815" w:rsidRDefault="00F20716" w:rsidP="00F20716">
      <w:pPr>
        <w:jc w:val="center"/>
        <w:rPr>
          <w:rStyle w:val="A5"/>
          <w:rFonts w:cs="Calibri"/>
          <w:sz w:val="32"/>
          <w:szCs w:val="32"/>
        </w:rPr>
      </w:pPr>
    </w:p>
    <w:p w14:paraId="4A0CA4BC" w14:textId="77777777" w:rsidR="00F20716" w:rsidRPr="00E23815" w:rsidRDefault="00F20716" w:rsidP="006E0AFD">
      <w:pPr>
        <w:jc w:val="both"/>
        <w:rPr>
          <w:rStyle w:val="A4"/>
          <w:rFonts w:eastAsiaTheme="majorEastAsia"/>
          <w:sz w:val="24"/>
          <w:szCs w:val="24"/>
        </w:rPr>
      </w:pPr>
      <w:r w:rsidRPr="00E23815">
        <w:rPr>
          <w:rStyle w:val="A5"/>
          <w:rFonts w:cs="Calibri"/>
          <w:sz w:val="24"/>
          <w:szCs w:val="24"/>
        </w:rPr>
        <w:t xml:space="preserve">NKÚ zahájil kontrolu </w:t>
      </w:r>
      <w:r w:rsidR="001B6F75" w:rsidRPr="00E23815">
        <w:rPr>
          <w:rStyle w:val="A5"/>
          <w:rFonts w:cs="Calibri"/>
          <w:sz w:val="24"/>
          <w:szCs w:val="24"/>
        </w:rPr>
        <w:t>v průběhu kontrolovaného období</w:t>
      </w:r>
      <w:r w:rsidR="002F321A" w:rsidRPr="00E23815">
        <w:rPr>
          <w:rStyle w:val="A5"/>
          <w:rFonts w:cs="Calibri"/>
          <w:sz w:val="24"/>
          <w:szCs w:val="24"/>
        </w:rPr>
        <w:t xml:space="preserve">. </w:t>
      </w:r>
      <w:r w:rsidR="004408B6" w:rsidRPr="00E23815">
        <w:rPr>
          <w:rStyle w:val="A5"/>
          <w:rFonts w:cs="Calibri"/>
          <w:sz w:val="24"/>
          <w:szCs w:val="24"/>
        </w:rPr>
        <w:t>Ministerstvo životního prostředí</w:t>
      </w:r>
      <w:r w:rsidRPr="00E23815">
        <w:rPr>
          <w:rStyle w:val="A5"/>
          <w:rFonts w:cs="Calibri"/>
          <w:sz w:val="24"/>
          <w:szCs w:val="24"/>
        </w:rPr>
        <w:t xml:space="preserve"> tak mohl</w:t>
      </w:r>
      <w:r w:rsidR="004408B6" w:rsidRPr="00E23815">
        <w:rPr>
          <w:rStyle w:val="A5"/>
          <w:rFonts w:cs="Calibri"/>
          <w:sz w:val="24"/>
          <w:szCs w:val="24"/>
        </w:rPr>
        <w:t>o</w:t>
      </w:r>
      <w:r w:rsidRPr="00E23815">
        <w:rPr>
          <w:rStyle w:val="A5"/>
          <w:rFonts w:cs="Calibri"/>
          <w:sz w:val="24"/>
          <w:szCs w:val="24"/>
        </w:rPr>
        <w:t xml:space="preserve"> zjištěné nedostatky průběžně opravovat.</w:t>
      </w:r>
    </w:p>
    <w:p w14:paraId="62188F58" w14:textId="77777777" w:rsidR="00F20716" w:rsidRPr="00E23815" w:rsidRDefault="00F20716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63401502" w14:textId="77777777" w:rsidR="002F321A" w:rsidRPr="00E23815" w:rsidRDefault="002F321A" w:rsidP="002F321A">
      <w:pPr>
        <w:rPr>
          <w:rFonts w:asciiTheme="minorHAnsi" w:hAnsiTheme="minorHAnsi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2F321A" w:rsidRPr="00E23815" w14:paraId="713A1A17" w14:textId="77777777" w:rsidTr="002F321A">
        <w:tc>
          <w:tcPr>
            <w:tcW w:w="2835" w:type="dxa"/>
            <w:vAlign w:val="center"/>
          </w:tcPr>
          <w:p w14:paraId="2C72D91A" w14:textId="77777777" w:rsidR="002F321A" w:rsidRPr="00E23815" w:rsidRDefault="002F321A">
            <w:pPr>
              <w:spacing w:after="0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CFF7916" w14:textId="77777777" w:rsidR="002F321A" w:rsidRPr="00E23815" w:rsidRDefault="002F321A">
            <w:pPr>
              <w:rPr>
                <w:b/>
              </w:rPr>
            </w:pPr>
          </w:p>
        </w:tc>
        <w:tc>
          <w:tcPr>
            <w:tcW w:w="2405" w:type="dxa"/>
            <w:vAlign w:val="center"/>
            <w:hideMark/>
          </w:tcPr>
          <w:p w14:paraId="7FD51522" w14:textId="77777777" w:rsidR="002F321A" w:rsidRPr="00E23815" w:rsidRDefault="002F321A">
            <w:pPr>
              <w:spacing w:after="240"/>
              <w:jc w:val="center"/>
              <w:rPr>
                <w:b/>
                <w:sz w:val="28"/>
              </w:rPr>
            </w:pPr>
            <w:r w:rsidRPr="00E23815">
              <w:rPr>
                <w:b/>
              </w:rPr>
              <w:t xml:space="preserve">Opravy v průběhu </w:t>
            </w:r>
            <w:r w:rsidRPr="00E23815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2C98B8E2" w14:textId="77777777" w:rsidR="002F321A" w:rsidRPr="00E23815" w:rsidRDefault="002F321A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79F96F91" w14:textId="77777777" w:rsidR="002F321A" w:rsidRPr="00E23815" w:rsidRDefault="002F321A">
            <w:pPr>
              <w:spacing w:after="240"/>
              <w:jc w:val="center"/>
              <w:rPr>
                <w:b/>
              </w:rPr>
            </w:pPr>
            <w:r w:rsidRPr="00E23815">
              <w:rPr>
                <w:b/>
              </w:rPr>
              <w:t>Výsledný stav po provedených opravách</w:t>
            </w:r>
          </w:p>
        </w:tc>
      </w:tr>
    </w:tbl>
    <w:p w14:paraId="5D07CD7A" w14:textId="77777777" w:rsidR="002F321A" w:rsidRPr="00E23815" w:rsidRDefault="002F321A" w:rsidP="002F321A">
      <w:pPr>
        <w:rPr>
          <w:rFonts w:asciiTheme="minorHAnsi" w:hAnsiTheme="minorHAnsi" w:cstheme="minorBidi"/>
          <w:sz w:val="22"/>
          <w:szCs w:val="22"/>
        </w:rPr>
      </w:pPr>
      <w:r w:rsidRPr="00E23815">
        <w:rPr>
          <w:noProof/>
        </w:rPr>
        <w:drawing>
          <wp:inline distT="0" distB="0" distL="0" distR="0" wp14:anchorId="240AE015" wp14:editId="50435414">
            <wp:extent cx="5771515" cy="716915"/>
            <wp:effectExtent l="38100" t="0" r="19685" b="2603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62BB88" w14:textId="77777777" w:rsidR="002F321A" w:rsidRPr="00E23815" w:rsidRDefault="002F321A" w:rsidP="002F321A">
      <w:r w:rsidRPr="00E23815">
        <w:rPr>
          <w:noProof/>
        </w:rPr>
        <w:drawing>
          <wp:inline distT="0" distB="0" distL="0" distR="0" wp14:anchorId="41FD63EC" wp14:editId="30EF3AB7">
            <wp:extent cx="5771515" cy="716915"/>
            <wp:effectExtent l="38100" t="0" r="19685" b="260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9C10DB2" w14:textId="77777777" w:rsidR="00965079" w:rsidRPr="00E23815" w:rsidRDefault="00965079" w:rsidP="00965079">
      <w:r w:rsidRPr="00E23815">
        <w:rPr>
          <w:noProof/>
        </w:rPr>
        <w:drawing>
          <wp:inline distT="0" distB="0" distL="0" distR="0" wp14:anchorId="64AC3A1F" wp14:editId="3E3EA794">
            <wp:extent cx="5771515" cy="716915"/>
            <wp:effectExtent l="38100" t="0" r="19685" b="2603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E3755D5" w14:textId="77777777" w:rsidR="00965079" w:rsidRPr="00E23815" w:rsidRDefault="00965079" w:rsidP="00965079">
      <w:r w:rsidRPr="00E23815">
        <w:rPr>
          <w:noProof/>
        </w:rPr>
        <w:drawing>
          <wp:inline distT="0" distB="0" distL="0" distR="0" wp14:anchorId="04AFBD53" wp14:editId="64FEC37C">
            <wp:extent cx="5771515" cy="716915"/>
            <wp:effectExtent l="38100" t="0" r="19685" b="2603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0BE4A300" w14:textId="77777777" w:rsidR="002F321A" w:rsidRPr="00E23815" w:rsidRDefault="002F321A" w:rsidP="002F321A">
      <w:pPr>
        <w:rPr>
          <w:b/>
        </w:rPr>
      </w:pPr>
    </w:p>
    <w:p w14:paraId="5D4DE993" w14:textId="77777777" w:rsidR="002F321A" w:rsidRPr="00E23815" w:rsidRDefault="002F321A" w:rsidP="003B7324">
      <w:r w:rsidRPr="00E238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C9E5DF1" wp14:editId="02869DA1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B273A" id="Obdélník: se zakulacenými rohy 10" o:spid="_x0000_s1026" style="position:absolute;margin-left:-.35pt;margin-top:.15pt;width:14.15pt;height:1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E23815">
        <w:t>Nebyly zjištěny významné nesprávnosti</w:t>
      </w:r>
      <w:r w:rsidR="00814E30" w:rsidRPr="00E23815">
        <w:t>/nedostatky</w:t>
      </w:r>
    </w:p>
    <w:p w14:paraId="11069D8C" w14:textId="77777777" w:rsidR="002F321A" w:rsidRPr="00E23815" w:rsidRDefault="002F321A">
      <w:r w:rsidRPr="00E238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159CA03" wp14:editId="6CA7821F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72F4D" id="Obdélník: se zakulacenými rohy 6" o:spid="_x0000_s1026" style="position:absolute;margin-left:-.35pt;margin-top:.35pt;width:14.15pt;height:14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E23815">
        <w:t>Byly zjištěny významné nesprávnosti</w:t>
      </w:r>
      <w:r w:rsidR="00814E30" w:rsidRPr="00E23815">
        <w:t>/nedostatky</w:t>
      </w:r>
    </w:p>
    <w:p w14:paraId="45D6C1FA" w14:textId="77777777" w:rsidR="002F321A" w:rsidRPr="00E23815" w:rsidRDefault="002F321A" w:rsidP="00C27D5B">
      <w:pPr>
        <w:jc w:val="both"/>
      </w:pPr>
      <w:r w:rsidRPr="00E238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137D677" wp14:editId="062B7FF5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7" name="Obdélník: se zakulacenými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9DB64" id="Obdélník: se zakulacenými rohy 7" o:spid="_x0000_s1026" style="position:absolute;margin-left:-.35pt;margin-top:-.2pt;width:14.15pt;height:14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E23815">
        <w:t>Byly zjištěny významné nesprávnosti</w:t>
      </w:r>
      <w:r w:rsidR="00814E30" w:rsidRPr="00E23815">
        <w:t>/nedostatky</w:t>
      </w:r>
      <w:r w:rsidRPr="00E23815">
        <w:t xml:space="preserve"> s rozsáhlým dopadem na oblast</w:t>
      </w:r>
      <w:r w:rsidR="003B7324" w:rsidRPr="00E23815">
        <w:t xml:space="preserve"> </w:t>
      </w:r>
      <w:r w:rsidRPr="00E23815">
        <w:t>kontrol</w:t>
      </w:r>
      <w:r w:rsidR="003B7324" w:rsidRPr="00E23815">
        <w:t>y</w:t>
      </w:r>
    </w:p>
    <w:p w14:paraId="5ADC5D8C" w14:textId="77777777" w:rsidR="002F321A" w:rsidRPr="00E23815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52FDB9DF" w14:textId="77777777" w:rsidR="002F321A" w:rsidRPr="00E23815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6AD07D12" w14:textId="77777777" w:rsidR="002F321A" w:rsidRPr="00E23815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5B5B0C4E" w14:textId="77777777" w:rsidR="002F321A" w:rsidRPr="00E23815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4EF3F469" w14:textId="77777777" w:rsidR="002F321A" w:rsidRPr="00E23815" w:rsidRDefault="002F321A" w:rsidP="00F20716">
      <w:pPr>
        <w:jc w:val="center"/>
        <w:rPr>
          <w:rStyle w:val="A4"/>
          <w:rFonts w:eastAsiaTheme="majorEastAsia"/>
          <w:b/>
          <w:sz w:val="32"/>
          <w:szCs w:val="32"/>
        </w:rPr>
      </w:pPr>
    </w:p>
    <w:p w14:paraId="7FF44572" w14:textId="77777777" w:rsidR="00F20716" w:rsidRPr="00E23815" w:rsidRDefault="00F20716" w:rsidP="00876A96">
      <w:pPr>
        <w:spacing w:after="160" w:line="259" w:lineRule="auto"/>
      </w:pPr>
    </w:p>
    <w:p w14:paraId="5919166E" w14:textId="77777777" w:rsidR="0033466E" w:rsidRPr="00E23815" w:rsidRDefault="00A640AE" w:rsidP="00D10727">
      <w:pPr>
        <w:pStyle w:val="Styl1"/>
        <w:ind w:left="414" w:hanging="57"/>
      </w:pPr>
      <w:r w:rsidRPr="00E23815">
        <w:lastRenderedPageBreak/>
        <w:t>Shrnutí a vyhodnocení</w:t>
      </w:r>
    </w:p>
    <w:p w14:paraId="327E6915" w14:textId="77777777" w:rsidR="00183D64" w:rsidRPr="00E23815" w:rsidRDefault="00183D64" w:rsidP="00183D64">
      <w:pPr>
        <w:spacing w:after="0"/>
        <w:jc w:val="both"/>
      </w:pPr>
    </w:p>
    <w:p w14:paraId="36920C6B" w14:textId="77777777" w:rsidR="003E3D74" w:rsidRPr="00E23815" w:rsidRDefault="003E3D74" w:rsidP="009B7DCB">
      <w:pPr>
        <w:spacing w:before="120" w:line="200" w:lineRule="atLeast"/>
        <w:jc w:val="both"/>
        <w:rPr>
          <w:rFonts w:asciiTheme="minorHAnsi" w:hAnsiTheme="minorHAnsi" w:cstheme="minorHAnsi"/>
          <w:bCs/>
        </w:rPr>
      </w:pPr>
      <w:r w:rsidRPr="00E23815">
        <w:rPr>
          <w:rFonts w:asciiTheme="minorHAnsi" w:eastAsiaTheme="minorHAnsi" w:hAnsiTheme="minorHAnsi" w:cstheme="minorHAnsi"/>
        </w:rPr>
        <w:t xml:space="preserve">Cílem kontroly bylo prověřit, zda </w:t>
      </w:r>
      <w:r w:rsidR="009D290B" w:rsidRPr="00E23815">
        <w:rPr>
          <w:rFonts w:asciiTheme="minorHAnsi" w:eastAsiaTheme="minorHAnsi" w:hAnsiTheme="minorHAnsi" w:cstheme="minorHAnsi"/>
        </w:rPr>
        <w:t>Ministerstvo životního prostředí při sestavení závěrečného účtu,</w:t>
      </w:r>
      <w:r w:rsidR="009B7DCB" w:rsidRPr="00E23815">
        <w:rPr>
          <w:rFonts w:asciiTheme="minorHAnsi" w:eastAsiaTheme="minorHAnsi" w:hAnsiTheme="minorHAnsi" w:cstheme="minorHAnsi"/>
        </w:rPr>
        <w:t xml:space="preserve"> </w:t>
      </w:r>
      <w:r w:rsidRPr="00E23815">
        <w:rPr>
          <w:rFonts w:asciiTheme="minorHAnsi" w:eastAsiaTheme="minorHAnsi" w:hAnsiTheme="minorHAnsi" w:cstheme="minorHAnsi"/>
        </w:rPr>
        <w:t>při vedení účetnictví</w:t>
      </w:r>
      <w:r w:rsidR="009D290B" w:rsidRPr="00E23815">
        <w:rPr>
          <w:rFonts w:asciiTheme="minorHAnsi" w:eastAsiaTheme="minorHAnsi" w:hAnsiTheme="minorHAnsi" w:cstheme="minorHAnsi"/>
        </w:rPr>
        <w:t>,</w:t>
      </w:r>
      <w:r w:rsidRPr="00E23815">
        <w:rPr>
          <w:rFonts w:asciiTheme="minorHAnsi" w:eastAsiaTheme="minorHAnsi" w:hAnsiTheme="minorHAnsi" w:cstheme="minorHAnsi"/>
        </w:rPr>
        <w:t xml:space="preserve"> sestavení účetní závěrky a</w:t>
      </w:r>
      <w:r w:rsidR="00BB7908" w:rsidRPr="00E23815">
        <w:rPr>
          <w:rFonts w:asciiTheme="minorHAnsi" w:eastAsiaTheme="minorHAnsi" w:hAnsiTheme="minorHAnsi" w:cstheme="minorHAnsi"/>
        </w:rPr>
        <w:t> </w:t>
      </w:r>
      <w:r w:rsidRPr="00E23815">
        <w:rPr>
          <w:rFonts w:asciiTheme="minorHAnsi" w:eastAsiaTheme="minorHAnsi" w:hAnsiTheme="minorHAnsi" w:cstheme="minorHAnsi"/>
        </w:rPr>
        <w:t>předkládání údajů pro</w:t>
      </w:r>
      <w:r w:rsidR="006023AE" w:rsidRPr="00E23815">
        <w:rPr>
          <w:rFonts w:asciiTheme="minorHAnsi" w:eastAsiaTheme="minorHAnsi" w:hAnsiTheme="minorHAnsi" w:cstheme="minorHAnsi"/>
        </w:rPr>
        <w:t> </w:t>
      </w:r>
      <w:r w:rsidRPr="00E23815">
        <w:rPr>
          <w:rFonts w:asciiTheme="minorHAnsi" w:eastAsiaTheme="minorHAnsi" w:hAnsiTheme="minorHAnsi" w:cstheme="minorHAnsi"/>
        </w:rPr>
        <w:t>hodnocení plnění státního rozpočtu za rok 2022 postupoval</w:t>
      </w:r>
      <w:r w:rsidR="009D290B" w:rsidRPr="00E23815">
        <w:rPr>
          <w:rFonts w:asciiTheme="minorHAnsi" w:eastAsiaTheme="minorHAnsi" w:hAnsiTheme="minorHAnsi" w:cstheme="minorHAnsi"/>
        </w:rPr>
        <w:t>o</w:t>
      </w:r>
      <w:r w:rsidRPr="00E23815">
        <w:rPr>
          <w:rFonts w:asciiTheme="minorHAnsi" w:eastAsiaTheme="minorHAnsi" w:hAnsiTheme="minorHAnsi" w:cstheme="minorHAnsi"/>
        </w:rPr>
        <w:t xml:space="preserve"> v souladu s příslušnými právními předpisy.</w:t>
      </w:r>
      <w:r w:rsidR="009B7DCB" w:rsidRPr="00E23815">
        <w:rPr>
          <w:rFonts w:asciiTheme="minorHAnsi" w:eastAsiaTheme="minorHAnsi" w:hAnsiTheme="minorHAnsi" w:cstheme="minorHAnsi"/>
        </w:rPr>
        <w:t xml:space="preserve"> </w:t>
      </w:r>
    </w:p>
    <w:p w14:paraId="1BF32AC8" w14:textId="77777777" w:rsidR="00EA4390" w:rsidRPr="00E23815" w:rsidRDefault="00EA4390" w:rsidP="007A7522">
      <w:pPr>
        <w:spacing w:after="0"/>
        <w:jc w:val="both"/>
        <w:rPr>
          <w:rFonts w:eastAsiaTheme="minorHAnsi" w:cs="Calibri"/>
        </w:rPr>
      </w:pPr>
      <w:r w:rsidRPr="00E23815">
        <w:rPr>
          <w:rFonts w:eastAsiaTheme="minorHAnsi" w:cs="Calibri"/>
        </w:rPr>
        <w:t>K</w:t>
      </w:r>
      <w:r w:rsidR="00B179B7" w:rsidRPr="00E23815">
        <w:rPr>
          <w:rFonts w:eastAsiaTheme="minorHAnsi" w:cs="Calibri"/>
        </w:rPr>
        <w:t>ontrola</w:t>
      </w:r>
      <w:r w:rsidR="00F7140E" w:rsidRPr="00E23815">
        <w:rPr>
          <w:rFonts w:eastAsiaTheme="minorHAnsi" w:cs="Calibri"/>
        </w:rPr>
        <w:t xml:space="preserve"> byla zahájena v průběhu kontrolovaného účetního a rozpočtového období 202</w:t>
      </w:r>
      <w:r w:rsidR="00BF2EC9" w:rsidRPr="00E23815">
        <w:rPr>
          <w:rFonts w:eastAsiaTheme="minorHAnsi" w:cs="Calibri"/>
        </w:rPr>
        <w:t>2</w:t>
      </w:r>
      <w:r w:rsidR="00F7140E" w:rsidRPr="00E23815">
        <w:rPr>
          <w:rFonts w:eastAsiaTheme="minorHAnsi" w:cs="Calibri"/>
        </w:rPr>
        <w:t>.</w:t>
      </w:r>
      <w:r w:rsidRPr="00E23815">
        <w:rPr>
          <w:rFonts w:eastAsiaTheme="minorHAnsi" w:cs="Calibri"/>
        </w:rPr>
        <w:t xml:space="preserve"> </w:t>
      </w:r>
    </w:p>
    <w:p w14:paraId="5ABD0030" w14:textId="77777777" w:rsidR="002B70D5" w:rsidRPr="00E23815" w:rsidRDefault="002B70D5" w:rsidP="00A7348F">
      <w:pPr>
        <w:spacing w:after="0"/>
      </w:pPr>
    </w:p>
    <w:p w14:paraId="1FBD20DC" w14:textId="77777777" w:rsidR="0029520A" w:rsidRPr="00E23815" w:rsidRDefault="00D966F6" w:rsidP="008226C5">
      <w:pPr>
        <w:pStyle w:val="Styl2"/>
        <w:numPr>
          <w:ilvl w:val="0"/>
          <w:numId w:val="6"/>
        </w:numPr>
        <w:ind w:left="340" w:hanging="340"/>
      </w:pPr>
      <w:r w:rsidRPr="00E23815">
        <w:t>Vedení účetnictví</w:t>
      </w:r>
      <w:r w:rsidR="00E45844" w:rsidRPr="00E23815">
        <w:t xml:space="preserve"> a účetní závěrka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84"/>
      </w:tblGrid>
      <w:tr w:rsidR="005F1C00" w:rsidRPr="00E23815" w14:paraId="55F09A0E" w14:textId="77777777" w:rsidTr="00453CDD">
        <w:trPr>
          <w:trHeight w:val="1189"/>
        </w:trPr>
        <w:tc>
          <w:tcPr>
            <w:tcW w:w="9084" w:type="dxa"/>
            <w:shd w:val="clear" w:color="auto" w:fill="E5F1FF"/>
            <w:tcMar>
              <w:left w:w="142" w:type="dxa"/>
              <w:right w:w="227" w:type="dxa"/>
            </w:tcMar>
          </w:tcPr>
          <w:p w14:paraId="35A24F38" w14:textId="42622D38" w:rsidR="00487F34" w:rsidRPr="00E23815" w:rsidRDefault="00487F34">
            <w:pPr>
              <w:spacing w:before="120"/>
              <w:ind w:right="-102"/>
              <w:jc w:val="both"/>
              <w:rPr>
                <w:rFonts w:asciiTheme="minorHAnsi" w:hAnsiTheme="minorHAnsi" w:cs="Calibri"/>
                <w:b/>
              </w:rPr>
            </w:pPr>
            <w:bookmarkStart w:id="1" w:name="_Hlk79663883"/>
            <w:r w:rsidRPr="00E23815">
              <w:rPr>
                <w:rFonts w:asciiTheme="minorHAnsi" w:hAnsiTheme="minorHAnsi" w:cs="Calibri"/>
                <w:b/>
              </w:rPr>
              <w:t xml:space="preserve">Účetní závěrka </w:t>
            </w:r>
            <w:r w:rsidR="009D290B" w:rsidRPr="00E23815">
              <w:rPr>
                <w:rFonts w:asciiTheme="minorHAnsi" w:hAnsiTheme="minorHAnsi" w:cs="Calibri"/>
                <w:b/>
              </w:rPr>
              <w:t>MŽP</w:t>
            </w:r>
            <w:r w:rsidRPr="00E23815">
              <w:rPr>
                <w:rFonts w:asciiTheme="minorHAnsi" w:hAnsiTheme="minorHAnsi" w:cs="Calibri"/>
                <w:b/>
              </w:rPr>
              <w:t xml:space="preserve"> k 31. prosinci 2022</w:t>
            </w:r>
            <w:r w:rsidR="00A53EBF" w:rsidRPr="00E23815">
              <w:rPr>
                <w:rFonts w:asciiTheme="minorHAnsi" w:hAnsiTheme="minorHAnsi" w:cs="Calibri"/>
                <w:b/>
              </w:rPr>
              <w:t xml:space="preserve"> (dále také „ÚZ“)</w:t>
            </w:r>
            <w:r w:rsidRPr="00E23815">
              <w:rPr>
                <w:rFonts w:asciiTheme="minorHAnsi" w:hAnsiTheme="minorHAnsi" w:cs="Calibri"/>
                <w:b/>
              </w:rPr>
              <w:t xml:space="preserve"> podává dle NKÚ ve</w:t>
            </w:r>
            <w:r w:rsidR="00FE0486">
              <w:rPr>
                <w:rFonts w:asciiTheme="minorHAnsi" w:hAnsiTheme="minorHAnsi" w:cs="Calibri"/>
                <w:b/>
              </w:rPr>
              <w:t xml:space="preserve"> </w:t>
            </w:r>
            <w:r w:rsidRPr="00E23815">
              <w:rPr>
                <w:rFonts w:asciiTheme="minorHAnsi" w:hAnsiTheme="minorHAnsi" w:cs="Calibri"/>
                <w:b/>
              </w:rPr>
              <w:t>všech významných ohledech věrný a poctivý obraz předmětu účetnictví a finanční situace účetní jednotky</w:t>
            </w:r>
            <w:r w:rsidR="000878BC" w:rsidRPr="00E23815">
              <w:rPr>
                <w:rFonts w:asciiTheme="minorHAnsi" w:hAnsiTheme="minorHAnsi" w:cs="Calibri"/>
                <w:b/>
              </w:rPr>
              <w:t>, a to</w:t>
            </w:r>
            <w:r w:rsidRPr="00E23815">
              <w:rPr>
                <w:rFonts w:asciiTheme="minorHAnsi" w:hAnsiTheme="minorHAnsi" w:cs="Calibri"/>
                <w:b/>
              </w:rPr>
              <w:t xml:space="preserve"> dle účetních předpisů pro některé vybrané účetní jednotky</w:t>
            </w:r>
            <w:r w:rsidR="004049A6" w:rsidRPr="00E23815">
              <w:rPr>
                <w:rFonts w:eastAsiaTheme="minorHAnsi"/>
                <w:b/>
                <w:vertAlign w:val="superscript"/>
              </w:rPr>
              <w:footnoteReference w:id="2"/>
            </w:r>
            <w:r w:rsidRPr="00E23815">
              <w:rPr>
                <w:rFonts w:asciiTheme="minorHAnsi" w:hAnsiTheme="minorHAnsi" w:cs="Calibri"/>
                <w:b/>
              </w:rPr>
              <w:t>.</w:t>
            </w:r>
          </w:p>
          <w:p w14:paraId="2EC5F322" w14:textId="77777777" w:rsidR="004110D2" w:rsidRPr="00E23815" w:rsidRDefault="004110D2">
            <w:pPr>
              <w:spacing w:before="120"/>
              <w:ind w:right="-102"/>
              <w:jc w:val="both"/>
              <w:rPr>
                <w:rFonts w:asciiTheme="minorHAnsi" w:hAnsiTheme="minorHAnsi" w:cs="Calibri"/>
                <w:b/>
              </w:rPr>
            </w:pPr>
          </w:p>
          <w:p w14:paraId="7B0D2661" w14:textId="020C853B" w:rsidR="006346A0" w:rsidRPr="00E23815" w:rsidRDefault="008D23B3" w:rsidP="00AA7F5E">
            <w:pPr>
              <w:spacing w:before="120"/>
              <w:ind w:right="-10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NKÚ upozorňuje, že </w:t>
            </w:r>
            <w:r w:rsidR="0034228F" w:rsidRPr="00E23815">
              <w:rPr>
                <w:rFonts w:asciiTheme="minorHAnsi" w:hAnsiTheme="minorHAnsi" w:cs="Calibri"/>
              </w:rPr>
              <w:t xml:space="preserve">ÚZ obsahuje některé specifické skutečnosti, které jsou předmětem účetnictví MŽP. </w:t>
            </w:r>
            <w:r w:rsidR="003A22A7" w:rsidRPr="00E23815">
              <w:rPr>
                <w:rFonts w:asciiTheme="minorHAnsi" w:hAnsiTheme="minorHAnsi" w:cs="Calibri"/>
              </w:rPr>
              <w:t xml:space="preserve">Jedná se o následující </w:t>
            </w:r>
            <w:r w:rsidR="00D62BDA" w:rsidRPr="00E23815">
              <w:rPr>
                <w:rFonts w:asciiTheme="minorHAnsi" w:hAnsiTheme="minorHAnsi" w:cs="Calibri"/>
              </w:rPr>
              <w:t xml:space="preserve">významné </w:t>
            </w:r>
            <w:r w:rsidR="00252BC7" w:rsidRPr="00E23815">
              <w:rPr>
                <w:rFonts w:asciiTheme="minorHAnsi" w:hAnsiTheme="minorHAnsi" w:cs="Calibri"/>
              </w:rPr>
              <w:t>informace</w:t>
            </w:r>
            <w:r w:rsidR="003A22A7" w:rsidRPr="00E23815">
              <w:rPr>
                <w:rFonts w:asciiTheme="minorHAnsi" w:hAnsiTheme="minorHAnsi" w:cs="Calibri"/>
              </w:rPr>
              <w:t>, které jsou v</w:t>
            </w:r>
            <w:r w:rsidR="005C2C83">
              <w:rPr>
                <w:rFonts w:asciiTheme="minorHAnsi" w:hAnsiTheme="minorHAnsi" w:cs="Calibri"/>
              </w:rPr>
              <w:t xml:space="preserve"> </w:t>
            </w:r>
            <w:r w:rsidR="003A22A7" w:rsidRPr="00E23815">
              <w:rPr>
                <w:rFonts w:asciiTheme="minorHAnsi" w:hAnsiTheme="minorHAnsi" w:cs="Calibri"/>
              </w:rPr>
              <w:t>ÚZ vykázány a</w:t>
            </w:r>
            <w:r w:rsidR="00B56B7E">
              <w:rPr>
                <w:rFonts w:asciiTheme="minorHAnsi" w:hAnsiTheme="minorHAnsi" w:cs="Calibri"/>
              </w:rPr>
              <w:t> </w:t>
            </w:r>
            <w:r w:rsidR="00735259">
              <w:rPr>
                <w:rFonts w:asciiTheme="minorHAnsi" w:hAnsiTheme="minorHAnsi" w:cs="Calibri"/>
              </w:rPr>
              <w:t>v příloze ÚZ</w:t>
            </w:r>
            <w:r w:rsidR="00735259">
              <w:rPr>
                <w:rStyle w:val="Znakapoznpodarou"/>
                <w:rFonts w:asciiTheme="minorHAnsi" w:hAnsiTheme="minorHAnsi" w:cs="Calibri"/>
              </w:rPr>
              <w:footnoteReference w:id="3"/>
            </w:r>
            <w:r w:rsidR="00735259">
              <w:rPr>
                <w:rFonts w:asciiTheme="minorHAnsi" w:hAnsiTheme="minorHAnsi" w:cs="Calibri"/>
              </w:rPr>
              <w:t xml:space="preserve"> </w:t>
            </w:r>
            <w:r w:rsidR="003A22A7" w:rsidRPr="00E23815">
              <w:rPr>
                <w:rFonts w:asciiTheme="minorHAnsi" w:hAnsiTheme="minorHAnsi" w:cs="Calibri"/>
              </w:rPr>
              <w:t>popsány</w:t>
            </w:r>
            <w:r w:rsidR="006346A0" w:rsidRPr="00E23815">
              <w:rPr>
                <w:rFonts w:asciiTheme="minorHAnsi" w:hAnsiTheme="minorHAnsi" w:cs="Calibri"/>
              </w:rPr>
              <w:t>:</w:t>
            </w:r>
          </w:p>
          <w:p w14:paraId="42865EEF" w14:textId="77777777" w:rsidR="00D51EEA" w:rsidRPr="00E23815" w:rsidRDefault="00436BD8" w:rsidP="008226C5">
            <w:pPr>
              <w:pStyle w:val="Odstavecseseznamem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 w:cs="Calibri"/>
              </w:rPr>
            </w:pPr>
            <w:r w:rsidRPr="00E23815">
              <w:t>účtování</w:t>
            </w:r>
            <w:r w:rsidR="00F44C39" w:rsidRPr="00E23815">
              <w:t xml:space="preserve"> o</w:t>
            </w:r>
            <w:r w:rsidRPr="00E23815">
              <w:t xml:space="preserve"> </w:t>
            </w:r>
            <w:r w:rsidR="00E270F6" w:rsidRPr="00E23815">
              <w:rPr>
                <w:b/>
              </w:rPr>
              <w:t>povolenkách na e</w:t>
            </w:r>
            <w:r w:rsidRPr="00E23815">
              <w:rPr>
                <w:b/>
              </w:rPr>
              <w:t>mis</w:t>
            </w:r>
            <w:r w:rsidR="00E270F6" w:rsidRPr="00E23815">
              <w:rPr>
                <w:b/>
              </w:rPr>
              <w:t>e</w:t>
            </w:r>
            <w:r w:rsidR="007D6855" w:rsidRPr="00E23815">
              <w:rPr>
                <w:b/>
              </w:rPr>
              <w:t xml:space="preserve"> skleníkových plynů</w:t>
            </w:r>
            <w:r w:rsidRPr="00E23815">
              <w:rPr>
                <w:b/>
              </w:rPr>
              <w:t xml:space="preserve"> </w:t>
            </w:r>
            <w:r w:rsidR="001E54E4" w:rsidRPr="00E23815">
              <w:t>(</w:t>
            </w:r>
            <w:r w:rsidR="009E3D48" w:rsidRPr="00E23815">
              <w:t xml:space="preserve">položky </w:t>
            </w:r>
            <w:r w:rsidR="001E54E4" w:rsidRPr="00E23815">
              <w:t>A.3., E.1. a E.2. přílohy ÚZ)</w:t>
            </w:r>
            <w:r w:rsidR="00F83129" w:rsidRPr="00E23815">
              <w:rPr>
                <w:rFonts w:asciiTheme="minorHAnsi" w:hAnsiTheme="minorHAnsi" w:cstheme="minorHAnsi"/>
              </w:rPr>
              <w:t>,</w:t>
            </w:r>
          </w:p>
          <w:p w14:paraId="37F4CEDE" w14:textId="77777777" w:rsidR="00F83129" w:rsidRPr="00E23815" w:rsidRDefault="00F83129" w:rsidP="008226C5">
            <w:pPr>
              <w:pStyle w:val="Odstavecseseznamem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 w:cs="Calibri"/>
              </w:rPr>
            </w:pPr>
            <w:r w:rsidRPr="00E23815">
              <w:t xml:space="preserve">účtování </w:t>
            </w:r>
            <w:r w:rsidR="00F44C39" w:rsidRPr="00E23815">
              <w:t xml:space="preserve">o </w:t>
            </w:r>
            <w:r w:rsidR="00E270F6" w:rsidRPr="00E23815">
              <w:rPr>
                <w:b/>
              </w:rPr>
              <w:t>ročních emisních přídělech</w:t>
            </w:r>
            <w:r w:rsidR="001E54E4" w:rsidRPr="00E23815">
              <w:t xml:space="preserve"> (</w:t>
            </w:r>
            <w:r w:rsidR="009E3D48" w:rsidRPr="00E23815">
              <w:t xml:space="preserve">položky </w:t>
            </w:r>
            <w:r w:rsidR="001E54E4" w:rsidRPr="00E23815">
              <w:t>A.3.</w:t>
            </w:r>
            <w:r w:rsidR="009E3D48" w:rsidRPr="00E23815">
              <w:t>, A.6.</w:t>
            </w:r>
            <w:r w:rsidR="001E54E4" w:rsidRPr="00E23815">
              <w:t xml:space="preserve"> a E.1. přílohy ÚZ)</w:t>
            </w:r>
            <w:r w:rsidRPr="00E23815">
              <w:rPr>
                <w:rFonts w:asciiTheme="minorHAnsi" w:hAnsiTheme="minorHAnsi" w:cstheme="minorHAnsi"/>
              </w:rPr>
              <w:t>,</w:t>
            </w:r>
          </w:p>
          <w:p w14:paraId="45B0DE89" w14:textId="77777777" w:rsidR="00AA7F5E" w:rsidRPr="00E23815" w:rsidRDefault="00F83129" w:rsidP="008226C5">
            <w:pPr>
              <w:pStyle w:val="Odstavecseseznamem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 w:cs="Calibri"/>
              </w:rPr>
            </w:pPr>
            <w:r w:rsidRPr="00E23815">
              <w:t xml:space="preserve">účtování </w:t>
            </w:r>
            <w:r w:rsidR="00F44C39" w:rsidRPr="00E23815">
              <w:t xml:space="preserve">o </w:t>
            </w:r>
            <w:r w:rsidR="00AA7F5E" w:rsidRPr="00E23815">
              <w:t>podílu ČR na</w:t>
            </w:r>
            <w:r w:rsidR="00AA7F5E" w:rsidRPr="00E23815">
              <w:rPr>
                <w:b/>
              </w:rPr>
              <w:t xml:space="preserve"> finančních aktivech </w:t>
            </w:r>
            <w:r w:rsidR="001E54E4" w:rsidRPr="00E23815">
              <w:rPr>
                <w:b/>
              </w:rPr>
              <w:t xml:space="preserve">týkajících se prostředků </w:t>
            </w:r>
            <w:r w:rsidR="00AA7F5E" w:rsidRPr="00AF65F6">
              <w:rPr>
                <w:b/>
                <w:i/>
              </w:rPr>
              <w:t>Modernizačního fondu</w:t>
            </w:r>
            <w:r w:rsidR="001E54E4" w:rsidRPr="00E23815">
              <w:t xml:space="preserve"> (</w:t>
            </w:r>
            <w:r w:rsidR="009E3D48" w:rsidRPr="00E23815">
              <w:t xml:space="preserve">položky </w:t>
            </w:r>
            <w:r w:rsidR="001E54E4" w:rsidRPr="00E23815">
              <w:t>A.3. a E.1. přílohy ÚZ) a</w:t>
            </w:r>
          </w:p>
          <w:p w14:paraId="2D55F6FA" w14:textId="77777777" w:rsidR="00595D51" w:rsidRPr="00E23815" w:rsidRDefault="00F44C39" w:rsidP="00DA614D">
            <w:pPr>
              <w:pStyle w:val="Odstavecseseznamem"/>
              <w:numPr>
                <w:ilvl w:val="0"/>
                <w:numId w:val="15"/>
              </w:numPr>
              <w:spacing w:before="120"/>
              <w:jc w:val="both"/>
              <w:rPr>
                <w:rFonts w:asciiTheme="minorHAnsi" w:hAnsiTheme="minorHAnsi" w:cs="Calibri"/>
              </w:rPr>
            </w:pPr>
            <w:r w:rsidRPr="00E23815">
              <w:rPr>
                <w:rFonts w:asciiTheme="minorHAnsi" w:hAnsiTheme="minorHAnsi" w:cs="Calibri"/>
                <w:b/>
              </w:rPr>
              <w:t xml:space="preserve">změny </w:t>
            </w:r>
            <w:r w:rsidRPr="00E23815">
              <w:rPr>
                <w:rFonts w:asciiTheme="minorHAnsi" w:hAnsiTheme="minorHAnsi" w:cstheme="minorHAnsi"/>
                <w:b/>
              </w:rPr>
              <w:t>postupů účtování</w:t>
            </w:r>
            <w:r w:rsidRPr="00E23815">
              <w:rPr>
                <w:rFonts w:asciiTheme="minorHAnsi" w:hAnsiTheme="minorHAnsi" w:cstheme="minorHAnsi"/>
              </w:rPr>
              <w:t xml:space="preserve"> o </w:t>
            </w:r>
            <w:r w:rsidR="00B345FB" w:rsidRPr="00E23815">
              <w:rPr>
                <w:rFonts w:asciiTheme="minorHAnsi" w:hAnsiTheme="minorHAnsi" w:cstheme="minorHAnsi"/>
              </w:rPr>
              <w:t>povolenkách</w:t>
            </w:r>
            <w:r w:rsidR="00E270F6" w:rsidRPr="00E23815">
              <w:rPr>
                <w:rFonts w:asciiTheme="minorHAnsi" w:hAnsiTheme="minorHAnsi" w:cstheme="minorHAnsi"/>
              </w:rPr>
              <w:t xml:space="preserve"> na emise</w:t>
            </w:r>
            <w:r w:rsidR="007D6855" w:rsidRPr="00E23815">
              <w:rPr>
                <w:rFonts w:asciiTheme="minorHAnsi" w:hAnsiTheme="minorHAnsi" w:cstheme="minorHAnsi"/>
              </w:rPr>
              <w:t xml:space="preserve"> skleníkových plynů</w:t>
            </w:r>
            <w:r w:rsidR="00B345FB" w:rsidRPr="00E23815">
              <w:rPr>
                <w:rFonts w:asciiTheme="minorHAnsi" w:hAnsiTheme="minorHAnsi" w:cstheme="minorHAnsi"/>
              </w:rPr>
              <w:t xml:space="preserve">, </w:t>
            </w:r>
            <w:r w:rsidR="00E270F6" w:rsidRPr="00E23815">
              <w:rPr>
                <w:rFonts w:asciiTheme="minorHAnsi" w:hAnsiTheme="minorHAnsi" w:cstheme="minorHAnsi"/>
              </w:rPr>
              <w:t>ročních emisních přídělech</w:t>
            </w:r>
            <w:r w:rsidRPr="00E23815">
              <w:rPr>
                <w:rFonts w:asciiTheme="minorHAnsi" w:hAnsiTheme="minorHAnsi" w:cstheme="minorHAnsi"/>
              </w:rPr>
              <w:t xml:space="preserve"> </w:t>
            </w:r>
            <w:r w:rsidR="00B345FB" w:rsidRPr="00E23815">
              <w:rPr>
                <w:rFonts w:asciiTheme="minorHAnsi" w:hAnsiTheme="minorHAnsi" w:cstheme="minorHAnsi"/>
              </w:rPr>
              <w:t xml:space="preserve">a finančních aktivech </w:t>
            </w:r>
            <w:r w:rsidR="001E54E4" w:rsidRPr="00E23815">
              <w:rPr>
                <w:rFonts w:asciiTheme="minorHAnsi" w:hAnsiTheme="minorHAnsi" w:cstheme="minorHAnsi"/>
              </w:rPr>
              <w:t xml:space="preserve">týkajících se </w:t>
            </w:r>
            <w:r w:rsidR="00B345FB" w:rsidRPr="00AF65F6">
              <w:rPr>
                <w:rFonts w:asciiTheme="minorHAnsi" w:hAnsiTheme="minorHAnsi" w:cstheme="minorHAnsi"/>
                <w:i/>
              </w:rPr>
              <w:t>Modernizačního fondu</w:t>
            </w:r>
            <w:r w:rsidR="00B345FB" w:rsidRPr="00E23815">
              <w:rPr>
                <w:rFonts w:asciiTheme="minorHAnsi" w:hAnsiTheme="minorHAnsi" w:cstheme="minorHAnsi"/>
              </w:rPr>
              <w:t xml:space="preserve"> </w:t>
            </w:r>
            <w:r w:rsidRPr="00E23815">
              <w:rPr>
                <w:rFonts w:asciiTheme="minorHAnsi" w:hAnsiTheme="minorHAnsi" w:cstheme="minorHAnsi"/>
              </w:rPr>
              <w:t>za účelem dosažení lepšího věrného a poctivého obrazu předmětu účetnictví a</w:t>
            </w:r>
            <w:r w:rsidR="00871E84">
              <w:rPr>
                <w:rFonts w:asciiTheme="minorHAnsi" w:hAnsiTheme="minorHAnsi" w:cstheme="minorHAnsi"/>
              </w:rPr>
              <w:t> </w:t>
            </w:r>
            <w:r w:rsidRPr="00E23815">
              <w:rPr>
                <w:rFonts w:asciiTheme="minorHAnsi" w:hAnsiTheme="minorHAnsi" w:cstheme="minorHAnsi"/>
              </w:rPr>
              <w:t>finanční situace</w:t>
            </w:r>
            <w:r w:rsidR="001E54E4" w:rsidRPr="00E23815">
              <w:rPr>
                <w:rFonts w:asciiTheme="minorHAnsi" w:hAnsiTheme="minorHAnsi" w:cstheme="minorHAnsi"/>
              </w:rPr>
              <w:t xml:space="preserve"> (</w:t>
            </w:r>
            <w:r w:rsidR="00FD6EEC" w:rsidRPr="00E23815">
              <w:rPr>
                <w:rFonts w:asciiTheme="minorHAnsi" w:hAnsiTheme="minorHAnsi" w:cstheme="minorHAnsi"/>
              </w:rPr>
              <w:t xml:space="preserve">položka </w:t>
            </w:r>
            <w:r w:rsidR="001E54E4" w:rsidRPr="00E23815">
              <w:rPr>
                <w:rFonts w:asciiTheme="minorHAnsi" w:hAnsiTheme="minorHAnsi" w:cstheme="minorHAnsi"/>
              </w:rPr>
              <w:t>A.2. přílohy ÚZ)</w:t>
            </w:r>
            <w:r w:rsidR="00195A45" w:rsidRPr="00E23815">
              <w:rPr>
                <w:rFonts w:asciiTheme="minorHAnsi" w:hAnsiTheme="minorHAnsi" w:cstheme="minorHAnsi"/>
              </w:rPr>
              <w:t>.</w:t>
            </w:r>
          </w:p>
        </w:tc>
        <w:bookmarkStart w:id="2" w:name="_GoBack"/>
        <w:bookmarkEnd w:id="2"/>
      </w:tr>
      <w:bookmarkEnd w:id="1"/>
    </w:tbl>
    <w:p w14:paraId="0A52DEA2" w14:textId="77777777" w:rsidR="001937CB" w:rsidRPr="00E23815" w:rsidRDefault="001937CB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</w:rPr>
      </w:pPr>
    </w:p>
    <w:p w14:paraId="2833B4A2" w14:textId="77777777" w:rsidR="00867D2B" w:rsidRPr="00E23815" w:rsidRDefault="00603A22" w:rsidP="005B4BB8">
      <w:pPr>
        <w:pStyle w:val="Odstavecseseznamem"/>
        <w:spacing w:after="0"/>
        <w:ind w:left="0"/>
        <w:jc w:val="both"/>
        <w:rPr>
          <w:rFonts w:eastAsiaTheme="minorHAnsi" w:cs="Calibri"/>
        </w:rPr>
      </w:pPr>
      <w:r w:rsidRPr="00E23815">
        <w:rPr>
          <w:rFonts w:eastAsiaTheme="minorHAnsi" w:cs="Calibri"/>
        </w:rPr>
        <w:t xml:space="preserve">NKÚ v průběhu kontroly identifikoval </w:t>
      </w:r>
      <w:r w:rsidR="00657E46" w:rsidRPr="00E23815">
        <w:rPr>
          <w:rFonts w:eastAsiaTheme="minorHAnsi" w:cs="Calibri"/>
        </w:rPr>
        <w:t xml:space="preserve">významné </w:t>
      </w:r>
      <w:r w:rsidRPr="00E23815">
        <w:rPr>
          <w:rFonts w:eastAsiaTheme="minorHAnsi" w:cs="Calibri"/>
        </w:rPr>
        <w:t>nedostatky ve vedení účetnictví</w:t>
      </w:r>
      <w:r w:rsidR="00B345FB" w:rsidRPr="00E23815">
        <w:rPr>
          <w:rFonts w:eastAsiaTheme="minorHAnsi" w:cs="Calibri"/>
        </w:rPr>
        <w:t xml:space="preserve"> MŽP</w:t>
      </w:r>
      <w:r w:rsidR="00B20632" w:rsidRPr="00E23815">
        <w:rPr>
          <w:rFonts w:eastAsiaTheme="minorHAnsi" w:cs="Calibri"/>
        </w:rPr>
        <w:t>. Tyto nedostatky</w:t>
      </w:r>
      <w:r w:rsidRPr="00E23815">
        <w:rPr>
          <w:rFonts w:eastAsiaTheme="minorHAnsi" w:cs="Calibri"/>
        </w:rPr>
        <w:t xml:space="preserve"> </w:t>
      </w:r>
      <w:r w:rsidR="00867D2B" w:rsidRPr="00E23815">
        <w:rPr>
          <w:rFonts w:eastAsiaTheme="minorHAnsi" w:cs="Calibri"/>
        </w:rPr>
        <w:t xml:space="preserve">ve výši 40,2 mld. Kč </w:t>
      </w:r>
      <w:r w:rsidRPr="00E23815">
        <w:rPr>
          <w:rFonts w:eastAsiaTheme="minorHAnsi" w:cs="Calibri"/>
        </w:rPr>
        <w:t xml:space="preserve">by měly </w:t>
      </w:r>
      <w:r w:rsidR="00867D2B" w:rsidRPr="00E23815">
        <w:rPr>
          <w:rFonts w:eastAsiaTheme="minorHAnsi" w:cs="Calibri"/>
        </w:rPr>
        <w:t xml:space="preserve">zásadní </w:t>
      </w:r>
      <w:r w:rsidR="00B20632" w:rsidRPr="00E23815">
        <w:rPr>
          <w:rFonts w:eastAsiaTheme="minorHAnsi" w:cs="Calibri"/>
        </w:rPr>
        <w:t xml:space="preserve">vliv </w:t>
      </w:r>
      <w:r w:rsidRPr="00E23815">
        <w:rPr>
          <w:rFonts w:eastAsiaTheme="minorHAnsi" w:cs="Calibri"/>
        </w:rPr>
        <w:t>na zůstatky položek účetní závěrky M</w:t>
      </w:r>
      <w:r w:rsidR="00B345FB" w:rsidRPr="00E23815">
        <w:rPr>
          <w:rFonts w:eastAsiaTheme="minorHAnsi" w:cs="Calibri"/>
        </w:rPr>
        <w:t>ŽP</w:t>
      </w:r>
      <w:r w:rsidRPr="00E23815">
        <w:rPr>
          <w:rFonts w:eastAsiaTheme="minorHAnsi" w:cs="Calibri"/>
        </w:rPr>
        <w:t xml:space="preserve"> za rok 2022. </w:t>
      </w:r>
      <w:r w:rsidR="00867D2B" w:rsidRPr="00E23815">
        <w:rPr>
          <w:rFonts w:eastAsiaTheme="minorHAnsi" w:cs="Calibri"/>
        </w:rPr>
        <w:t xml:space="preserve">MŽP </w:t>
      </w:r>
      <w:r w:rsidR="007C5A3F" w:rsidRPr="00E23815">
        <w:rPr>
          <w:rFonts w:eastAsiaTheme="minorHAnsi" w:cs="Calibri"/>
        </w:rPr>
        <w:t xml:space="preserve">tyto </w:t>
      </w:r>
      <w:r w:rsidR="00867D2B" w:rsidRPr="00E23815">
        <w:rPr>
          <w:rFonts w:eastAsiaTheme="minorHAnsi" w:cs="Calibri"/>
        </w:rPr>
        <w:t>z</w:t>
      </w:r>
      <w:r w:rsidR="00B20632" w:rsidRPr="00E23815">
        <w:rPr>
          <w:rFonts w:eastAsiaTheme="minorHAnsi" w:cs="Calibri"/>
        </w:rPr>
        <w:t>jištěné n</w:t>
      </w:r>
      <w:r w:rsidRPr="00E23815">
        <w:rPr>
          <w:rFonts w:eastAsiaTheme="minorHAnsi" w:cs="Calibri"/>
        </w:rPr>
        <w:t xml:space="preserve">edostatky </w:t>
      </w:r>
      <w:r w:rsidR="003B7895" w:rsidRPr="00E23815">
        <w:rPr>
          <w:rFonts w:eastAsiaTheme="minorHAnsi" w:cs="Calibri"/>
        </w:rPr>
        <w:t xml:space="preserve">po upozornění NKÚ </w:t>
      </w:r>
      <w:r w:rsidRPr="00E23815">
        <w:rPr>
          <w:rFonts w:eastAsiaTheme="minorHAnsi" w:cs="Calibri"/>
        </w:rPr>
        <w:t>opravil</w:t>
      </w:r>
      <w:r w:rsidR="00657E46" w:rsidRPr="00E23815">
        <w:rPr>
          <w:rFonts w:eastAsiaTheme="minorHAnsi" w:cs="Calibri"/>
        </w:rPr>
        <w:t>o</w:t>
      </w:r>
      <w:r w:rsidR="00E53331" w:rsidRPr="00E23815">
        <w:rPr>
          <w:rFonts w:eastAsiaTheme="minorHAnsi" w:cs="Calibri"/>
        </w:rPr>
        <w:t xml:space="preserve"> </w:t>
      </w:r>
      <w:r w:rsidR="007C5A3F" w:rsidRPr="00E23815">
        <w:rPr>
          <w:rFonts w:eastAsiaTheme="minorHAnsi" w:cs="Calibri"/>
        </w:rPr>
        <w:t xml:space="preserve">ještě před sestavením ÚZ </w:t>
      </w:r>
      <w:r w:rsidR="00E53331" w:rsidRPr="00E23815">
        <w:rPr>
          <w:rFonts w:eastAsiaTheme="minorHAnsi" w:cs="Calibri"/>
        </w:rPr>
        <w:t>(viz část IV.1.1 tohoto kontrolního závěru)</w:t>
      </w:r>
      <w:r w:rsidRPr="00E23815">
        <w:rPr>
          <w:rFonts w:eastAsiaTheme="minorHAnsi" w:cs="Calibri"/>
        </w:rPr>
        <w:t xml:space="preserve">. </w:t>
      </w:r>
    </w:p>
    <w:p w14:paraId="62A58523" w14:textId="77777777" w:rsidR="00867D2B" w:rsidRPr="00E23815" w:rsidRDefault="00867D2B" w:rsidP="005B4BB8">
      <w:pPr>
        <w:pStyle w:val="Odstavecseseznamem"/>
        <w:spacing w:after="0"/>
        <w:ind w:left="0"/>
        <w:jc w:val="both"/>
        <w:rPr>
          <w:rFonts w:eastAsiaTheme="minorHAnsi" w:cs="Calibri"/>
        </w:rPr>
      </w:pPr>
    </w:p>
    <w:p w14:paraId="02F18B33" w14:textId="4273ABED" w:rsidR="00603A22" w:rsidRPr="00E23815" w:rsidRDefault="00CE6D80" w:rsidP="005B4BB8">
      <w:pPr>
        <w:pStyle w:val="Odstavecseseznamem"/>
        <w:spacing w:after="0"/>
        <w:ind w:left="0"/>
        <w:jc w:val="both"/>
        <w:rPr>
          <w:rFonts w:asciiTheme="minorHAnsi" w:hAnsiTheme="minorHAnsi" w:cs="Calibri"/>
          <w:b/>
        </w:rPr>
      </w:pPr>
      <w:r>
        <w:rPr>
          <w:rFonts w:eastAsiaTheme="minorHAnsi" w:cs="Calibri"/>
          <w:b/>
        </w:rPr>
        <w:t>Vzhledem k provedení účetních oprav</w:t>
      </w:r>
      <w:r w:rsidR="001B393B" w:rsidRPr="00E23815">
        <w:rPr>
          <w:rFonts w:eastAsiaTheme="minorHAnsi" w:cs="Calibri"/>
          <w:b/>
        </w:rPr>
        <w:t xml:space="preserve"> na základě upozornění NKÚ</w:t>
      </w:r>
      <w:r w:rsidR="00603A22" w:rsidRPr="00E23815">
        <w:rPr>
          <w:rFonts w:eastAsiaTheme="minorHAnsi" w:cs="Calibri"/>
          <w:b/>
        </w:rPr>
        <w:t xml:space="preserve"> a</w:t>
      </w:r>
      <w:r w:rsidR="00CD1CB9" w:rsidRPr="00E23815">
        <w:rPr>
          <w:rFonts w:eastAsiaTheme="minorHAnsi" w:cs="Calibri"/>
          <w:b/>
        </w:rPr>
        <w:t> </w:t>
      </w:r>
      <w:r w:rsidR="000C2C6F" w:rsidRPr="00E23815">
        <w:rPr>
          <w:rFonts w:eastAsiaTheme="minorHAnsi" w:cs="Calibri"/>
          <w:b/>
        </w:rPr>
        <w:t>přijetí</w:t>
      </w:r>
      <w:r w:rsidR="00603A22" w:rsidRPr="00E23815">
        <w:rPr>
          <w:rFonts w:eastAsiaTheme="minorHAnsi" w:cs="Calibri"/>
          <w:b/>
        </w:rPr>
        <w:t xml:space="preserve"> všech potřebných opatření k</w:t>
      </w:r>
      <w:r w:rsidR="005C2C83">
        <w:rPr>
          <w:rFonts w:eastAsiaTheme="minorHAnsi" w:cs="Calibri"/>
          <w:b/>
        </w:rPr>
        <w:t xml:space="preserve"> </w:t>
      </w:r>
      <w:r w:rsidR="00603A22" w:rsidRPr="00E23815">
        <w:rPr>
          <w:rFonts w:eastAsiaTheme="minorHAnsi" w:cs="Calibri"/>
          <w:b/>
        </w:rPr>
        <w:t xml:space="preserve">eliminaci systémových nedostatků bylo účetnictví </w:t>
      </w:r>
      <w:r w:rsidR="00657E46" w:rsidRPr="00E23815">
        <w:rPr>
          <w:rFonts w:eastAsiaTheme="minorHAnsi" w:cs="Calibri"/>
          <w:b/>
        </w:rPr>
        <w:t>MŽP</w:t>
      </w:r>
      <w:r w:rsidR="00603A22" w:rsidRPr="00E23815">
        <w:rPr>
          <w:rFonts w:asciiTheme="minorHAnsi" w:hAnsiTheme="minorHAnsi" w:cs="Calibri"/>
          <w:b/>
        </w:rPr>
        <w:t xml:space="preserve"> v</w:t>
      </w:r>
      <w:r w:rsidR="005C2C83">
        <w:rPr>
          <w:rFonts w:asciiTheme="minorHAnsi" w:hAnsiTheme="minorHAnsi" w:cs="Calibri"/>
          <w:b/>
        </w:rPr>
        <w:t xml:space="preserve"> </w:t>
      </w:r>
      <w:r w:rsidR="00603A22" w:rsidRPr="00E23815">
        <w:rPr>
          <w:rFonts w:asciiTheme="minorHAnsi" w:hAnsiTheme="minorHAnsi" w:cs="Calibri"/>
          <w:b/>
        </w:rPr>
        <w:t>roce 2022 vedeno v souladu s příslušnými právními předpisy.</w:t>
      </w:r>
    </w:p>
    <w:p w14:paraId="0775E432" w14:textId="77777777" w:rsidR="00603A22" w:rsidRPr="00E23815" w:rsidRDefault="00603A22" w:rsidP="005B4BB8">
      <w:pPr>
        <w:pStyle w:val="Odstavecseseznamem"/>
        <w:spacing w:after="0"/>
        <w:ind w:left="0"/>
        <w:jc w:val="both"/>
        <w:rPr>
          <w:rFonts w:eastAsiaTheme="minorHAnsi" w:cs="Calibri"/>
          <w:bCs/>
        </w:rPr>
      </w:pPr>
    </w:p>
    <w:p w14:paraId="50BFFC47" w14:textId="77777777" w:rsidR="00970EEF" w:rsidRPr="001B791D" w:rsidRDefault="00970EEF" w:rsidP="005F04F5">
      <w:pPr>
        <w:spacing w:after="0"/>
        <w:jc w:val="both"/>
        <w:rPr>
          <w:rFonts w:asciiTheme="minorHAnsi" w:hAnsiTheme="minorHAnsi" w:cstheme="minorHAnsi"/>
          <w:b/>
        </w:rPr>
      </w:pPr>
      <w:r w:rsidRPr="001B791D">
        <w:rPr>
          <w:rFonts w:asciiTheme="minorHAnsi" w:hAnsiTheme="minorHAnsi" w:cstheme="minorHAnsi"/>
          <w:b/>
        </w:rPr>
        <w:t>Údaje z ÚZ zveřejněné v informačním portálu MONITOR</w:t>
      </w:r>
    </w:p>
    <w:p w14:paraId="703DFD68" w14:textId="2DC3596E" w:rsidR="00970EEF" w:rsidRDefault="00E058C5" w:rsidP="005F04F5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Údaje z výkazů tvořící</w:t>
      </w:r>
      <w:r w:rsidR="00FD6EEC" w:rsidRPr="00E23815">
        <w:rPr>
          <w:rFonts w:asciiTheme="minorHAnsi" w:hAnsiTheme="minorHAnsi" w:cstheme="minorHAnsi"/>
        </w:rPr>
        <w:t>ch</w:t>
      </w:r>
      <w:r w:rsidRPr="00E23815">
        <w:rPr>
          <w:rFonts w:asciiTheme="minorHAnsi" w:hAnsiTheme="minorHAnsi" w:cstheme="minorHAnsi"/>
        </w:rPr>
        <w:t xml:space="preserve"> účetní závěrky organizačních složek státu </w:t>
      </w:r>
      <w:r w:rsidR="00F83EB1" w:rsidRPr="00E23815">
        <w:rPr>
          <w:rFonts w:asciiTheme="minorHAnsi" w:hAnsiTheme="minorHAnsi" w:cstheme="minorHAnsi"/>
        </w:rPr>
        <w:t xml:space="preserve">(dále také „OSS“) </w:t>
      </w:r>
      <w:r w:rsidRPr="00E23815">
        <w:rPr>
          <w:rFonts w:asciiTheme="minorHAnsi" w:hAnsiTheme="minorHAnsi" w:cstheme="minorHAnsi"/>
        </w:rPr>
        <w:t xml:space="preserve">jsou standardně zveřejňovány prostřednictvím </w:t>
      </w:r>
      <w:r w:rsidR="00933EAD">
        <w:rPr>
          <w:rFonts w:asciiTheme="minorHAnsi" w:hAnsiTheme="minorHAnsi" w:cstheme="minorHAnsi"/>
        </w:rPr>
        <w:t xml:space="preserve">informačního </w:t>
      </w:r>
      <w:r w:rsidRPr="00E23815">
        <w:rPr>
          <w:rFonts w:asciiTheme="minorHAnsi" w:hAnsiTheme="minorHAnsi" w:cstheme="minorHAnsi"/>
        </w:rPr>
        <w:t xml:space="preserve">portálu MONITOR. V případě MŽP </w:t>
      </w:r>
      <w:r w:rsidRPr="00E23815">
        <w:rPr>
          <w:rFonts w:asciiTheme="minorHAnsi" w:hAnsiTheme="minorHAnsi" w:cstheme="minorHAnsi"/>
        </w:rPr>
        <w:lastRenderedPageBreak/>
        <w:t xml:space="preserve">však </w:t>
      </w:r>
      <w:r w:rsidR="00DB6389" w:rsidRPr="00E23815">
        <w:rPr>
          <w:rFonts w:asciiTheme="minorHAnsi" w:hAnsiTheme="minorHAnsi" w:cstheme="minorHAnsi"/>
        </w:rPr>
        <w:t xml:space="preserve">byly </w:t>
      </w:r>
      <w:r w:rsidR="00EF3822" w:rsidRPr="00E23815">
        <w:rPr>
          <w:rFonts w:asciiTheme="minorHAnsi" w:hAnsiTheme="minorHAnsi" w:cstheme="minorHAnsi"/>
        </w:rPr>
        <w:t xml:space="preserve">údaje </w:t>
      </w:r>
      <w:r w:rsidRPr="00E23815">
        <w:rPr>
          <w:rFonts w:asciiTheme="minorHAnsi" w:hAnsiTheme="minorHAnsi" w:cstheme="minorHAnsi"/>
        </w:rPr>
        <w:t>za rok 2022 zveřejněny</w:t>
      </w:r>
      <w:r w:rsidR="00EF3822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ještě před provedením </w:t>
      </w:r>
      <w:r w:rsidR="00FD6EEC" w:rsidRPr="00E23815">
        <w:rPr>
          <w:rFonts w:asciiTheme="minorHAnsi" w:hAnsiTheme="minorHAnsi" w:cstheme="minorHAnsi"/>
        </w:rPr>
        <w:t xml:space="preserve">některých </w:t>
      </w:r>
      <w:r w:rsidR="00AC310B" w:rsidRPr="00E23815">
        <w:rPr>
          <w:rFonts w:asciiTheme="minorHAnsi" w:hAnsiTheme="minorHAnsi" w:cstheme="minorHAnsi"/>
        </w:rPr>
        <w:t xml:space="preserve">významných </w:t>
      </w:r>
      <w:r w:rsidRPr="00E23815">
        <w:rPr>
          <w:rFonts w:asciiTheme="minorHAnsi" w:hAnsiTheme="minorHAnsi" w:cstheme="minorHAnsi"/>
        </w:rPr>
        <w:t>oprav</w:t>
      </w:r>
      <w:r w:rsidR="00793BB6" w:rsidRPr="00E23815">
        <w:rPr>
          <w:rFonts w:asciiTheme="minorHAnsi" w:hAnsiTheme="minorHAnsi" w:cstheme="minorHAnsi"/>
        </w:rPr>
        <w:t>, a to</w:t>
      </w:r>
      <w:r w:rsidR="00FD6EEC" w:rsidRPr="00E23815">
        <w:rPr>
          <w:rFonts w:asciiTheme="minorHAnsi" w:hAnsiTheme="minorHAnsi" w:cstheme="minorHAnsi"/>
        </w:rPr>
        <w:t xml:space="preserve"> </w:t>
      </w:r>
      <w:r w:rsidR="00DB6389" w:rsidRPr="00E23815">
        <w:rPr>
          <w:rFonts w:asciiTheme="minorHAnsi" w:hAnsiTheme="minorHAnsi" w:cstheme="minorHAnsi"/>
        </w:rPr>
        <w:t>v podobě</w:t>
      </w:r>
      <w:r w:rsidR="00FD6EEC" w:rsidRPr="00E23815">
        <w:rPr>
          <w:rFonts w:asciiTheme="minorHAnsi" w:hAnsiTheme="minorHAnsi" w:cstheme="minorHAnsi"/>
        </w:rPr>
        <w:t xml:space="preserve"> </w:t>
      </w:r>
      <w:r w:rsidR="00641B99">
        <w:rPr>
          <w:rFonts w:asciiTheme="minorHAnsi" w:hAnsiTheme="minorHAnsi" w:cstheme="minorHAnsi"/>
        </w:rPr>
        <w:t xml:space="preserve">pouze </w:t>
      </w:r>
      <w:r w:rsidR="00FD6EEC" w:rsidRPr="00E23815">
        <w:rPr>
          <w:rFonts w:asciiTheme="minorHAnsi" w:hAnsiTheme="minorHAnsi" w:cstheme="minorHAnsi"/>
        </w:rPr>
        <w:t>konsolidačních účetních záznamů</w:t>
      </w:r>
      <w:r w:rsidR="00641B99">
        <w:rPr>
          <w:rFonts w:asciiTheme="minorHAnsi" w:hAnsiTheme="minorHAnsi" w:cstheme="minorHAnsi"/>
        </w:rPr>
        <w:t xml:space="preserve"> </w:t>
      </w:r>
      <w:r w:rsidR="00FE0486">
        <w:rPr>
          <w:rFonts w:asciiTheme="minorHAnsi" w:hAnsiTheme="minorHAnsi" w:cstheme="minorHAnsi"/>
        </w:rPr>
        <w:t>(</w:t>
      </w:r>
      <w:r w:rsidR="00641B99">
        <w:rPr>
          <w:rFonts w:asciiTheme="minorHAnsi" w:hAnsiTheme="minorHAnsi" w:cstheme="minorHAnsi"/>
        </w:rPr>
        <w:t>ve stavu</w:t>
      </w:r>
      <w:r w:rsidR="00FD6EEC" w:rsidRPr="00E23815">
        <w:rPr>
          <w:rFonts w:asciiTheme="minorHAnsi" w:hAnsiTheme="minorHAnsi" w:cstheme="minorHAnsi"/>
        </w:rPr>
        <w:t xml:space="preserve"> k</w:t>
      </w:r>
      <w:r w:rsidR="005E725E">
        <w:rPr>
          <w:rFonts w:asciiTheme="minorHAnsi" w:hAnsiTheme="minorHAnsi" w:cstheme="minorHAnsi"/>
        </w:rPr>
        <w:t xml:space="preserve"> </w:t>
      </w:r>
      <w:r w:rsidR="00FD6EEC" w:rsidRPr="00E23815">
        <w:rPr>
          <w:rFonts w:asciiTheme="minorHAnsi" w:hAnsiTheme="minorHAnsi" w:cstheme="minorHAnsi"/>
        </w:rPr>
        <w:t xml:space="preserve">31. </w:t>
      </w:r>
      <w:r w:rsidR="00364FBA">
        <w:rPr>
          <w:rFonts w:asciiTheme="minorHAnsi" w:hAnsiTheme="minorHAnsi" w:cstheme="minorHAnsi"/>
        </w:rPr>
        <w:t>prosinci</w:t>
      </w:r>
      <w:r w:rsidR="00FD6EEC" w:rsidRPr="00E23815">
        <w:rPr>
          <w:rFonts w:asciiTheme="minorHAnsi" w:hAnsiTheme="minorHAnsi" w:cstheme="minorHAnsi"/>
        </w:rPr>
        <w:t xml:space="preserve"> 2022</w:t>
      </w:r>
      <w:r w:rsidR="00FE0486">
        <w:rPr>
          <w:rFonts w:asciiTheme="minorHAnsi" w:hAnsiTheme="minorHAnsi" w:cstheme="minorHAnsi"/>
        </w:rPr>
        <w:t>)</w:t>
      </w:r>
      <w:r w:rsidR="00641B99">
        <w:rPr>
          <w:rFonts w:asciiTheme="minorHAnsi" w:hAnsiTheme="minorHAnsi" w:cstheme="minorHAnsi"/>
        </w:rPr>
        <w:t>,</w:t>
      </w:r>
      <w:r w:rsidR="00793BB6" w:rsidRPr="00E23815">
        <w:rPr>
          <w:rFonts w:asciiTheme="minorHAnsi" w:hAnsiTheme="minorHAnsi" w:cstheme="minorHAnsi"/>
        </w:rPr>
        <w:t xml:space="preserve"> </w:t>
      </w:r>
      <w:r w:rsidR="00FE0486">
        <w:rPr>
          <w:rFonts w:asciiTheme="minorHAnsi" w:hAnsiTheme="minorHAnsi" w:cstheme="minorHAnsi"/>
        </w:rPr>
        <w:t xml:space="preserve">které byly </w:t>
      </w:r>
      <w:r w:rsidR="00793BB6" w:rsidRPr="00E23815">
        <w:rPr>
          <w:rFonts w:asciiTheme="minorHAnsi" w:hAnsiTheme="minorHAnsi" w:cstheme="minorHAnsi"/>
        </w:rPr>
        <w:t>vložen</w:t>
      </w:r>
      <w:r w:rsidR="00FE0486">
        <w:rPr>
          <w:rFonts w:asciiTheme="minorHAnsi" w:hAnsiTheme="minorHAnsi" w:cstheme="minorHAnsi"/>
        </w:rPr>
        <w:t>y</w:t>
      </w:r>
      <w:r w:rsidR="00793BB6" w:rsidRPr="00E23815">
        <w:rPr>
          <w:rFonts w:asciiTheme="minorHAnsi" w:hAnsiTheme="minorHAnsi" w:cstheme="minorHAnsi"/>
        </w:rPr>
        <w:t xml:space="preserve"> do </w:t>
      </w:r>
      <w:r w:rsidR="00FE0486" w:rsidRPr="00AF65F6">
        <w:rPr>
          <w:rFonts w:asciiTheme="minorHAnsi" w:hAnsiTheme="minorHAnsi" w:cstheme="minorHAnsi"/>
          <w:i/>
        </w:rPr>
        <w:t>C</w:t>
      </w:r>
      <w:r w:rsidR="005D6D4C" w:rsidRPr="00AF65F6">
        <w:rPr>
          <w:rFonts w:asciiTheme="minorHAnsi" w:hAnsiTheme="minorHAnsi" w:cstheme="minorHAnsi"/>
          <w:i/>
        </w:rPr>
        <w:t>entrálního systému účetních informací státu</w:t>
      </w:r>
      <w:r w:rsidR="005D6D4C" w:rsidRPr="00E23815">
        <w:rPr>
          <w:rFonts w:asciiTheme="minorHAnsi" w:hAnsiTheme="minorHAnsi" w:cstheme="minorHAnsi"/>
        </w:rPr>
        <w:t xml:space="preserve"> (dále také „CSÚIS“) </w:t>
      </w:r>
      <w:r w:rsidR="00793BB6" w:rsidRPr="00E23815">
        <w:rPr>
          <w:rFonts w:asciiTheme="minorHAnsi" w:hAnsiTheme="minorHAnsi" w:cstheme="minorHAnsi"/>
        </w:rPr>
        <w:t>dne 27.</w:t>
      </w:r>
      <w:r w:rsidR="00FE0486">
        <w:rPr>
          <w:rFonts w:asciiTheme="minorHAnsi" w:hAnsiTheme="minorHAnsi" w:cstheme="minorHAnsi"/>
        </w:rPr>
        <w:t> </w:t>
      </w:r>
      <w:r w:rsidR="00364FBA">
        <w:rPr>
          <w:rFonts w:asciiTheme="minorHAnsi" w:hAnsiTheme="minorHAnsi" w:cstheme="minorHAnsi"/>
        </w:rPr>
        <w:t>února</w:t>
      </w:r>
      <w:r w:rsidR="00793BB6" w:rsidRPr="00E23815">
        <w:rPr>
          <w:rFonts w:asciiTheme="minorHAnsi" w:hAnsiTheme="minorHAnsi" w:cstheme="minorHAnsi"/>
        </w:rPr>
        <w:t xml:space="preserve"> 2023</w:t>
      </w:r>
      <w:r w:rsidR="00123758" w:rsidRPr="00E23815">
        <w:rPr>
          <w:rFonts w:asciiTheme="minorHAnsi" w:hAnsiTheme="minorHAnsi" w:cstheme="minorHAnsi"/>
        </w:rPr>
        <w:t>.</w:t>
      </w:r>
    </w:p>
    <w:p w14:paraId="152F7698" w14:textId="77777777" w:rsidR="00970EEF" w:rsidRDefault="00970EEF" w:rsidP="005F04F5">
      <w:pPr>
        <w:spacing w:after="0"/>
        <w:jc w:val="both"/>
        <w:rPr>
          <w:rFonts w:asciiTheme="minorHAnsi" w:hAnsiTheme="minorHAnsi" w:cstheme="minorHAnsi"/>
        </w:rPr>
      </w:pPr>
    </w:p>
    <w:p w14:paraId="58E569C7" w14:textId="5E80AD62" w:rsidR="00970EEF" w:rsidRDefault="00123758" w:rsidP="005F04F5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MŽP </w:t>
      </w:r>
      <w:r w:rsidR="00824680">
        <w:rPr>
          <w:rFonts w:asciiTheme="minorHAnsi" w:hAnsiTheme="minorHAnsi" w:cstheme="minorHAnsi"/>
        </w:rPr>
        <w:t xml:space="preserve">sestavilo </w:t>
      </w:r>
      <w:r w:rsidR="00364FBA">
        <w:rPr>
          <w:rFonts w:asciiTheme="minorHAnsi" w:hAnsiTheme="minorHAnsi" w:cstheme="minorHAnsi"/>
        </w:rPr>
        <w:t xml:space="preserve">ÚZ </w:t>
      </w:r>
      <w:r w:rsidRPr="00E23815">
        <w:rPr>
          <w:rFonts w:asciiTheme="minorHAnsi" w:hAnsiTheme="minorHAnsi" w:cstheme="minorHAnsi"/>
        </w:rPr>
        <w:t xml:space="preserve">až </w:t>
      </w:r>
      <w:r w:rsidR="00641B99">
        <w:rPr>
          <w:rFonts w:asciiTheme="minorHAnsi" w:hAnsiTheme="minorHAnsi" w:cstheme="minorHAnsi"/>
        </w:rPr>
        <w:t>26. června 2023 a v</w:t>
      </w:r>
      <w:r w:rsidR="00FE0486">
        <w:rPr>
          <w:rFonts w:asciiTheme="minorHAnsi" w:hAnsiTheme="minorHAnsi" w:cstheme="minorHAnsi"/>
        </w:rPr>
        <w:t xml:space="preserve"> </w:t>
      </w:r>
      <w:r w:rsidR="00641B99">
        <w:rPr>
          <w:rFonts w:asciiTheme="minorHAnsi" w:hAnsiTheme="minorHAnsi" w:cstheme="minorHAnsi"/>
        </w:rPr>
        <w:t xml:space="preserve">důsledku toho </w:t>
      </w:r>
      <w:r w:rsidR="00933EAD">
        <w:rPr>
          <w:rFonts w:asciiTheme="minorHAnsi" w:hAnsiTheme="minorHAnsi" w:cstheme="minorHAnsi"/>
        </w:rPr>
        <w:t>ještě</w:t>
      </w:r>
      <w:r w:rsidR="00364FBA">
        <w:rPr>
          <w:rFonts w:asciiTheme="minorHAnsi" w:hAnsiTheme="minorHAnsi" w:cstheme="minorHAnsi"/>
        </w:rPr>
        <w:t xml:space="preserve"> ani</w:t>
      </w:r>
      <w:r w:rsidR="00933EAD">
        <w:rPr>
          <w:rFonts w:asciiTheme="minorHAnsi" w:hAnsiTheme="minorHAnsi" w:cstheme="minorHAnsi"/>
        </w:rPr>
        <w:t xml:space="preserve"> </w:t>
      </w:r>
      <w:r w:rsidR="00EF3822" w:rsidRPr="00E23815">
        <w:rPr>
          <w:rFonts w:asciiTheme="minorHAnsi" w:hAnsiTheme="minorHAnsi" w:cstheme="minorHAnsi"/>
        </w:rPr>
        <w:t xml:space="preserve">ke dni </w:t>
      </w:r>
      <w:r w:rsidR="00AC310B" w:rsidRPr="00E23815">
        <w:rPr>
          <w:rFonts w:asciiTheme="minorHAnsi" w:hAnsiTheme="minorHAnsi" w:cstheme="minorHAnsi"/>
        </w:rPr>
        <w:t xml:space="preserve">20. </w:t>
      </w:r>
      <w:r w:rsidR="00364FBA">
        <w:rPr>
          <w:rFonts w:asciiTheme="minorHAnsi" w:hAnsiTheme="minorHAnsi" w:cstheme="minorHAnsi"/>
        </w:rPr>
        <w:t>červenc</w:t>
      </w:r>
      <w:r w:rsidR="003B0354">
        <w:rPr>
          <w:rFonts w:asciiTheme="minorHAnsi" w:hAnsiTheme="minorHAnsi" w:cstheme="minorHAnsi"/>
        </w:rPr>
        <w:t>e</w:t>
      </w:r>
      <w:r w:rsidR="00AC310B" w:rsidRPr="00E23815">
        <w:rPr>
          <w:rFonts w:asciiTheme="minorHAnsi" w:hAnsiTheme="minorHAnsi" w:cstheme="minorHAnsi"/>
        </w:rPr>
        <w:t xml:space="preserve"> 2023</w:t>
      </w:r>
      <w:r w:rsidR="00EF3822" w:rsidRPr="00E23815">
        <w:rPr>
          <w:rFonts w:asciiTheme="minorHAnsi" w:hAnsiTheme="minorHAnsi" w:cstheme="minorHAnsi"/>
        </w:rPr>
        <w:t xml:space="preserve"> </w:t>
      </w:r>
      <w:r w:rsidR="00364FBA">
        <w:rPr>
          <w:rFonts w:asciiTheme="minorHAnsi" w:hAnsiTheme="minorHAnsi" w:cstheme="minorHAnsi"/>
        </w:rPr>
        <w:t xml:space="preserve">nebyly </w:t>
      </w:r>
      <w:r w:rsidR="00E058C5" w:rsidRPr="00E23815">
        <w:rPr>
          <w:rFonts w:asciiTheme="minorHAnsi" w:hAnsiTheme="minorHAnsi" w:cstheme="minorHAnsi"/>
        </w:rPr>
        <w:t xml:space="preserve">prostřednictvím </w:t>
      </w:r>
      <w:r w:rsidR="00933EAD">
        <w:rPr>
          <w:rFonts w:asciiTheme="minorHAnsi" w:hAnsiTheme="minorHAnsi" w:cstheme="minorHAnsi"/>
        </w:rPr>
        <w:t xml:space="preserve">informačního </w:t>
      </w:r>
      <w:r w:rsidR="00E058C5" w:rsidRPr="00E23815">
        <w:rPr>
          <w:rFonts w:asciiTheme="minorHAnsi" w:hAnsiTheme="minorHAnsi" w:cstheme="minorHAnsi"/>
        </w:rPr>
        <w:t>portálu MONITOR zveřejněny správné údaje z</w:t>
      </w:r>
      <w:r w:rsidR="00464231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ÚZ</w:t>
      </w:r>
      <w:r w:rsidR="00E058C5" w:rsidRPr="00E23815">
        <w:rPr>
          <w:rFonts w:asciiTheme="minorHAnsi" w:hAnsiTheme="minorHAnsi" w:cstheme="minorHAnsi"/>
        </w:rPr>
        <w:t xml:space="preserve">. </w:t>
      </w:r>
      <w:r w:rsidR="00364FBA">
        <w:rPr>
          <w:rFonts w:asciiTheme="minorHAnsi" w:hAnsiTheme="minorHAnsi" w:cstheme="minorHAnsi"/>
        </w:rPr>
        <w:t xml:space="preserve">Účetní </w:t>
      </w:r>
      <w:r w:rsidR="00E058C5" w:rsidRPr="00E23815">
        <w:rPr>
          <w:rFonts w:asciiTheme="minorHAnsi" w:hAnsiTheme="minorHAnsi" w:cstheme="minorHAnsi"/>
        </w:rPr>
        <w:t xml:space="preserve">opravy </w:t>
      </w:r>
      <w:r w:rsidR="00A43F69" w:rsidRPr="00E23815">
        <w:rPr>
          <w:rFonts w:asciiTheme="minorHAnsi" w:hAnsiTheme="minorHAnsi" w:cstheme="minorHAnsi"/>
        </w:rPr>
        <w:t>provedené</w:t>
      </w:r>
      <w:r w:rsidR="00F51D8F">
        <w:rPr>
          <w:rFonts w:asciiTheme="minorHAnsi" w:hAnsiTheme="minorHAnsi" w:cstheme="minorHAnsi"/>
        </w:rPr>
        <w:t xml:space="preserve"> do doby sestavení ÚZ</w:t>
      </w:r>
      <w:r w:rsidR="00A43F69" w:rsidRPr="00E23815">
        <w:rPr>
          <w:rFonts w:asciiTheme="minorHAnsi" w:hAnsiTheme="minorHAnsi" w:cstheme="minorHAnsi"/>
        </w:rPr>
        <w:t xml:space="preserve"> na základě upozornění NK</w:t>
      </w:r>
      <w:r w:rsidR="000559FC" w:rsidRPr="00E23815">
        <w:rPr>
          <w:rFonts w:asciiTheme="minorHAnsi" w:hAnsiTheme="minorHAnsi" w:cstheme="minorHAnsi"/>
        </w:rPr>
        <w:t>Ú</w:t>
      </w:r>
      <w:r w:rsidR="00A43F69" w:rsidRPr="00E23815">
        <w:rPr>
          <w:rFonts w:asciiTheme="minorHAnsi" w:hAnsiTheme="minorHAnsi" w:cstheme="minorHAnsi"/>
        </w:rPr>
        <w:t xml:space="preserve"> </w:t>
      </w:r>
      <w:r w:rsidR="00874FB4">
        <w:rPr>
          <w:rFonts w:asciiTheme="minorHAnsi" w:hAnsiTheme="minorHAnsi" w:cstheme="minorHAnsi"/>
        </w:rPr>
        <w:t>a</w:t>
      </w:r>
      <w:r w:rsidR="00364FBA">
        <w:rPr>
          <w:rFonts w:asciiTheme="minorHAnsi" w:hAnsiTheme="minorHAnsi" w:cstheme="minorHAnsi"/>
        </w:rPr>
        <w:t xml:space="preserve"> </w:t>
      </w:r>
      <w:r w:rsidR="00074148" w:rsidRPr="00E23815">
        <w:rPr>
          <w:rFonts w:asciiTheme="minorHAnsi" w:hAnsiTheme="minorHAnsi" w:cstheme="minorHAnsi"/>
        </w:rPr>
        <w:t xml:space="preserve">další opravy provedené MŽP </w:t>
      </w:r>
      <w:r w:rsidR="00E058C5" w:rsidRPr="00E23815">
        <w:rPr>
          <w:rFonts w:asciiTheme="minorHAnsi" w:hAnsiTheme="minorHAnsi" w:cstheme="minorHAnsi"/>
        </w:rPr>
        <w:t xml:space="preserve">měly zásadní vliv na zůstatky </w:t>
      </w:r>
      <w:r w:rsidR="00E270F6" w:rsidRPr="00E23815">
        <w:rPr>
          <w:rFonts w:asciiTheme="minorHAnsi" w:hAnsiTheme="minorHAnsi" w:cstheme="minorHAnsi"/>
        </w:rPr>
        <w:t xml:space="preserve">některých </w:t>
      </w:r>
      <w:r w:rsidR="00E058C5" w:rsidRPr="00E23815">
        <w:rPr>
          <w:rFonts w:asciiTheme="minorHAnsi" w:hAnsiTheme="minorHAnsi" w:cstheme="minorHAnsi"/>
        </w:rPr>
        <w:t>položek účetní závěrky</w:t>
      </w:r>
      <w:r w:rsidR="00F51D8F">
        <w:rPr>
          <w:rFonts w:asciiTheme="minorHAnsi" w:hAnsiTheme="minorHAnsi" w:cstheme="minorHAnsi"/>
        </w:rPr>
        <w:t>.</w:t>
      </w:r>
      <w:r w:rsidR="006A5FB1">
        <w:rPr>
          <w:rFonts w:asciiTheme="minorHAnsi" w:hAnsiTheme="minorHAnsi" w:cstheme="minorHAnsi"/>
        </w:rPr>
        <w:t xml:space="preserve"> </w:t>
      </w:r>
      <w:r w:rsidR="00F51D8F">
        <w:rPr>
          <w:rFonts w:asciiTheme="minorHAnsi" w:hAnsiTheme="minorHAnsi" w:cstheme="minorHAnsi"/>
        </w:rPr>
        <w:t>U</w:t>
      </w:r>
      <w:r w:rsidR="00E058C5" w:rsidRPr="00E23815">
        <w:rPr>
          <w:rFonts w:asciiTheme="minorHAnsi" w:hAnsiTheme="minorHAnsi" w:cstheme="minorHAnsi"/>
        </w:rPr>
        <w:t>živatelé</w:t>
      </w:r>
      <w:r w:rsidR="00364FBA">
        <w:rPr>
          <w:rFonts w:asciiTheme="minorHAnsi" w:hAnsiTheme="minorHAnsi" w:cstheme="minorHAnsi"/>
        </w:rPr>
        <w:t xml:space="preserve"> informací z ÚZ</w:t>
      </w:r>
      <w:r w:rsidR="00E058C5" w:rsidRPr="00E23815">
        <w:rPr>
          <w:rFonts w:asciiTheme="minorHAnsi" w:hAnsiTheme="minorHAnsi" w:cstheme="minorHAnsi"/>
        </w:rPr>
        <w:t xml:space="preserve"> </w:t>
      </w:r>
      <w:r w:rsidR="00F51D8F">
        <w:rPr>
          <w:rFonts w:asciiTheme="minorHAnsi" w:hAnsiTheme="minorHAnsi" w:cstheme="minorHAnsi"/>
        </w:rPr>
        <w:t xml:space="preserve">tak </w:t>
      </w:r>
      <w:r w:rsidR="00E058C5" w:rsidRPr="00E23815">
        <w:rPr>
          <w:rFonts w:asciiTheme="minorHAnsi" w:hAnsiTheme="minorHAnsi" w:cstheme="minorHAnsi"/>
        </w:rPr>
        <w:t>v</w:t>
      </w:r>
      <w:r w:rsidR="005E725E">
        <w:rPr>
          <w:rFonts w:asciiTheme="minorHAnsi" w:hAnsiTheme="minorHAnsi" w:cstheme="minorHAnsi"/>
        </w:rPr>
        <w:t xml:space="preserve"> </w:t>
      </w:r>
      <w:r w:rsidR="00E058C5" w:rsidRPr="00E23815">
        <w:rPr>
          <w:rFonts w:asciiTheme="minorHAnsi" w:hAnsiTheme="minorHAnsi" w:cstheme="minorHAnsi"/>
        </w:rPr>
        <w:t xml:space="preserve">případě MŽP </w:t>
      </w:r>
      <w:r w:rsidR="00F74908">
        <w:rPr>
          <w:rFonts w:asciiTheme="minorHAnsi" w:hAnsiTheme="minorHAnsi" w:cstheme="minorHAnsi"/>
        </w:rPr>
        <w:t xml:space="preserve">měli </w:t>
      </w:r>
      <w:r w:rsidR="004E16BC" w:rsidRPr="00E23815">
        <w:rPr>
          <w:rFonts w:asciiTheme="minorHAnsi" w:hAnsiTheme="minorHAnsi" w:cstheme="minorHAnsi"/>
        </w:rPr>
        <w:t>minimálně do 2</w:t>
      </w:r>
      <w:r w:rsidR="00FD6EEC" w:rsidRPr="00E23815">
        <w:rPr>
          <w:rFonts w:asciiTheme="minorHAnsi" w:hAnsiTheme="minorHAnsi" w:cstheme="minorHAnsi"/>
        </w:rPr>
        <w:t>0</w:t>
      </w:r>
      <w:r w:rsidR="004E16BC" w:rsidRPr="00E23815">
        <w:rPr>
          <w:rFonts w:asciiTheme="minorHAnsi" w:hAnsiTheme="minorHAnsi" w:cstheme="minorHAnsi"/>
        </w:rPr>
        <w:t xml:space="preserve">. </w:t>
      </w:r>
      <w:r w:rsidR="00364FBA">
        <w:rPr>
          <w:rFonts w:asciiTheme="minorHAnsi" w:hAnsiTheme="minorHAnsi" w:cstheme="minorHAnsi"/>
        </w:rPr>
        <w:t>července</w:t>
      </w:r>
      <w:r w:rsidR="004E16BC" w:rsidRPr="00E23815">
        <w:rPr>
          <w:rFonts w:asciiTheme="minorHAnsi" w:hAnsiTheme="minorHAnsi" w:cstheme="minorHAnsi"/>
        </w:rPr>
        <w:t xml:space="preserve"> 2023 </w:t>
      </w:r>
      <w:r w:rsidR="00E058C5" w:rsidRPr="00E23815">
        <w:rPr>
          <w:rFonts w:asciiTheme="minorHAnsi" w:hAnsiTheme="minorHAnsi" w:cstheme="minorHAnsi"/>
        </w:rPr>
        <w:t>k</w:t>
      </w:r>
      <w:r w:rsidR="005E725E">
        <w:rPr>
          <w:rFonts w:asciiTheme="minorHAnsi" w:hAnsiTheme="minorHAnsi" w:cstheme="minorHAnsi"/>
        </w:rPr>
        <w:t xml:space="preserve"> </w:t>
      </w:r>
      <w:r w:rsidR="00E058C5" w:rsidRPr="00E23815">
        <w:rPr>
          <w:rFonts w:asciiTheme="minorHAnsi" w:hAnsiTheme="minorHAnsi" w:cstheme="minorHAnsi"/>
        </w:rPr>
        <w:t>dispozici zásadně nesprávné informace</w:t>
      </w:r>
      <w:r w:rsidR="00364FBA">
        <w:rPr>
          <w:rFonts w:asciiTheme="minorHAnsi" w:hAnsiTheme="minorHAnsi" w:cstheme="minorHAnsi"/>
        </w:rPr>
        <w:t xml:space="preserve"> o jeho hospodaření za rok 2022</w:t>
      </w:r>
      <w:r w:rsidR="00464231">
        <w:rPr>
          <w:rFonts w:asciiTheme="minorHAnsi" w:hAnsiTheme="minorHAnsi" w:cstheme="minorHAnsi"/>
        </w:rPr>
        <w:t xml:space="preserve"> týkající se některých položek </w:t>
      </w:r>
      <w:r w:rsidR="00F20578">
        <w:rPr>
          <w:rFonts w:asciiTheme="minorHAnsi" w:hAnsiTheme="minorHAnsi" w:cstheme="minorHAnsi"/>
        </w:rPr>
        <w:t>účetní závěrky</w:t>
      </w:r>
      <w:r w:rsidR="00E058C5" w:rsidRPr="00E23815">
        <w:rPr>
          <w:rFonts w:asciiTheme="minorHAnsi" w:hAnsiTheme="minorHAnsi" w:cstheme="minorHAnsi"/>
        </w:rPr>
        <w:t>.</w:t>
      </w:r>
    </w:p>
    <w:p w14:paraId="7417D8D9" w14:textId="77777777" w:rsidR="00970EEF" w:rsidRDefault="00970EEF" w:rsidP="005F04F5">
      <w:pPr>
        <w:spacing w:after="0"/>
        <w:jc w:val="both"/>
        <w:rPr>
          <w:rFonts w:asciiTheme="minorHAnsi" w:hAnsiTheme="minorHAnsi" w:cstheme="minorHAnsi"/>
        </w:rPr>
      </w:pPr>
    </w:p>
    <w:p w14:paraId="51E6E9B4" w14:textId="0F71E9CB" w:rsidR="00E31CA7" w:rsidRPr="00E23815" w:rsidRDefault="00464231" w:rsidP="005F04F5">
      <w:pPr>
        <w:spacing w:after="0"/>
        <w:jc w:val="both"/>
      </w:pPr>
      <w:r>
        <w:rPr>
          <w:rFonts w:asciiTheme="minorHAnsi" w:hAnsiTheme="minorHAnsi" w:cstheme="minorHAnsi"/>
        </w:rPr>
        <w:t xml:space="preserve">Údaje </w:t>
      </w:r>
      <w:r w:rsidR="00735259">
        <w:rPr>
          <w:rFonts w:asciiTheme="minorHAnsi" w:hAnsiTheme="minorHAnsi" w:cstheme="minorHAnsi"/>
        </w:rPr>
        <w:t>ve</w:t>
      </w:r>
      <w:r w:rsidR="00BA04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výkazu </w:t>
      </w:r>
      <w:r w:rsidR="00735259" w:rsidRPr="00CE6D80">
        <w:rPr>
          <w:rFonts w:asciiTheme="minorHAnsi" w:hAnsiTheme="minorHAnsi" w:cstheme="minorHAnsi"/>
        </w:rPr>
        <w:t>příloha ÚZ</w:t>
      </w:r>
      <w:r w:rsidR="00735259">
        <w:rPr>
          <w:rFonts w:asciiTheme="minorHAnsi" w:hAnsiTheme="minorHAnsi" w:cstheme="minorHAnsi"/>
        </w:rPr>
        <w:t xml:space="preserve"> zveřejněné v informačním portálu MONITOR </w:t>
      </w:r>
      <w:r w:rsidR="0078163F">
        <w:rPr>
          <w:rFonts w:asciiTheme="minorHAnsi" w:hAnsiTheme="minorHAnsi" w:cstheme="minorHAnsi"/>
        </w:rPr>
        <w:t>byly</w:t>
      </w:r>
      <w:r w:rsidRPr="00871E84">
        <w:rPr>
          <w:rFonts w:asciiTheme="minorHAnsi" w:hAnsiTheme="minorHAnsi" w:cstheme="minorHAnsi"/>
        </w:rPr>
        <w:t xml:space="preserve"> </w:t>
      </w:r>
      <w:r w:rsidRPr="0078163F">
        <w:rPr>
          <w:rFonts w:asciiTheme="minorHAnsi" w:hAnsiTheme="minorHAnsi" w:cstheme="minorHAnsi"/>
        </w:rPr>
        <w:t>k</w:t>
      </w:r>
      <w:r w:rsidR="00735259" w:rsidRPr="0078163F">
        <w:rPr>
          <w:rFonts w:asciiTheme="minorHAnsi" w:hAnsiTheme="minorHAnsi" w:cstheme="minorHAnsi"/>
        </w:rPr>
        <w:t xml:space="preserve"> datu </w:t>
      </w:r>
      <w:r w:rsidR="0078163F">
        <w:rPr>
          <w:rFonts w:asciiTheme="minorHAnsi" w:hAnsiTheme="minorHAnsi" w:cstheme="minorHAnsi"/>
        </w:rPr>
        <w:t>ukončení kontroly NKÚ</w:t>
      </w:r>
      <w:r w:rsidR="00735259" w:rsidRPr="00871E84">
        <w:rPr>
          <w:rFonts w:asciiTheme="minorHAnsi" w:hAnsiTheme="minorHAnsi" w:cstheme="minorHAnsi"/>
        </w:rPr>
        <w:t xml:space="preserve"> </w:t>
      </w:r>
      <w:r w:rsidR="003E66A9">
        <w:rPr>
          <w:rFonts w:asciiTheme="minorHAnsi" w:hAnsiTheme="minorHAnsi" w:cstheme="minorHAnsi"/>
        </w:rPr>
        <w:t xml:space="preserve">stále </w:t>
      </w:r>
      <w:r w:rsidR="00735259" w:rsidRPr="00871E84">
        <w:rPr>
          <w:rFonts w:asciiTheme="minorHAnsi" w:hAnsiTheme="minorHAnsi" w:cstheme="minorHAnsi"/>
        </w:rPr>
        <w:t>neúplné a zčásti nesprávné</w:t>
      </w:r>
      <w:r w:rsidR="003E66A9" w:rsidRPr="00307092">
        <w:rPr>
          <w:rStyle w:val="Znakapoznpodarou"/>
          <w:rFonts w:asciiTheme="minorHAnsi" w:hAnsiTheme="minorHAnsi" w:cstheme="minorHAnsi"/>
        </w:rPr>
        <w:footnoteReference w:id="4"/>
      </w:r>
      <w:r w:rsidR="008436D7" w:rsidRPr="00307092">
        <w:rPr>
          <w:rFonts w:asciiTheme="minorHAnsi" w:hAnsiTheme="minorHAnsi" w:cstheme="minorHAnsi"/>
        </w:rPr>
        <w:t>,</w:t>
      </w:r>
      <w:r w:rsidR="008436D7">
        <w:rPr>
          <w:rFonts w:asciiTheme="minorHAnsi" w:hAnsiTheme="minorHAnsi" w:cstheme="minorHAnsi"/>
        </w:rPr>
        <w:t xml:space="preserve"> přestože MŽP </w:t>
      </w:r>
      <w:r w:rsidR="0019140B">
        <w:rPr>
          <w:rFonts w:asciiTheme="minorHAnsi" w:hAnsiTheme="minorHAnsi" w:cstheme="minorHAnsi"/>
        </w:rPr>
        <w:t xml:space="preserve">po provedení oprav </w:t>
      </w:r>
      <w:r w:rsidR="008436D7">
        <w:rPr>
          <w:rFonts w:asciiTheme="minorHAnsi" w:hAnsiTheme="minorHAnsi" w:cstheme="minorHAnsi"/>
        </w:rPr>
        <w:t>předalo do CSÚIS přílohu ÚZ se správnými údaji.</w:t>
      </w:r>
    </w:p>
    <w:p w14:paraId="00C40606" w14:textId="77777777" w:rsidR="00970EEF" w:rsidRPr="00E23815" w:rsidRDefault="00970EEF" w:rsidP="005F04F5">
      <w:pPr>
        <w:spacing w:after="0"/>
        <w:jc w:val="both"/>
      </w:pPr>
    </w:p>
    <w:p w14:paraId="7B27CA59" w14:textId="04FB9409" w:rsidR="00E058C5" w:rsidRPr="00E23815" w:rsidRDefault="00FE0486" w:rsidP="00E058C5">
      <w:pPr>
        <w:spacing w:after="0"/>
        <w:jc w:val="both"/>
        <w:rPr>
          <w:rFonts w:asciiTheme="minorHAnsi" w:eastAsiaTheme="minorHAnsi" w:hAnsiTheme="minorHAnsi" w:cs="Calibri"/>
        </w:rPr>
      </w:pPr>
      <w:r>
        <w:rPr>
          <w:rFonts w:asciiTheme="minorHAnsi" w:hAnsiTheme="minorHAnsi" w:cstheme="minorHAnsi"/>
        </w:rPr>
        <w:t>N</w:t>
      </w:r>
      <w:r w:rsidR="00E058C5" w:rsidRPr="00E23815">
        <w:rPr>
          <w:rFonts w:asciiTheme="minorHAnsi" w:hAnsiTheme="minorHAnsi" w:cstheme="minorHAnsi"/>
        </w:rPr>
        <w:t>esprávnosti, které MŽP před sestavením ÚZ neopravilo, neměly významný dopad na údaje ÚZ. Jednalo se o údaje za běžné účetní období v</w:t>
      </w:r>
      <w:r w:rsidR="005C2C83">
        <w:rPr>
          <w:rFonts w:asciiTheme="minorHAnsi" w:hAnsiTheme="minorHAnsi" w:cstheme="minorHAnsi"/>
        </w:rPr>
        <w:t xml:space="preserve"> </w:t>
      </w:r>
      <w:r w:rsidR="00E058C5" w:rsidRPr="00E23815">
        <w:rPr>
          <w:rFonts w:asciiTheme="minorHAnsi" w:hAnsiTheme="minorHAnsi" w:cstheme="minorHAnsi"/>
        </w:rPr>
        <w:t>celkové výši 4,7 mil. Kč, které MŽP v</w:t>
      </w:r>
      <w:r w:rsidR="005C2C83">
        <w:rPr>
          <w:rFonts w:asciiTheme="minorHAnsi" w:hAnsiTheme="minorHAnsi" w:cstheme="minorHAnsi"/>
        </w:rPr>
        <w:t xml:space="preserve"> </w:t>
      </w:r>
      <w:r w:rsidR="00E058C5" w:rsidRPr="00E23815">
        <w:rPr>
          <w:rFonts w:asciiTheme="minorHAnsi" w:hAnsiTheme="minorHAnsi" w:cstheme="minorHAnsi"/>
        </w:rPr>
        <w:t xml:space="preserve">ÚZ nevykázalo </w:t>
      </w:r>
      <w:r w:rsidR="00E058C5" w:rsidRPr="00E23815">
        <w:rPr>
          <w:rFonts w:asciiTheme="minorHAnsi" w:hAnsiTheme="minorHAnsi" w:cs="Calibri"/>
        </w:rPr>
        <w:t xml:space="preserve">v </w:t>
      </w:r>
      <w:r w:rsidR="00E058C5" w:rsidRPr="00E23815">
        <w:rPr>
          <w:rFonts w:asciiTheme="minorHAnsi" w:hAnsiTheme="minorHAnsi" w:cstheme="minorHAnsi"/>
        </w:rPr>
        <w:t xml:space="preserve">souladu s právními </w:t>
      </w:r>
      <w:r w:rsidR="00E058C5" w:rsidRPr="00E23815">
        <w:rPr>
          <w:rFonts w:asciiTheme="minorHAnsi" w:eastAsiaTheme="minorHAnsi" w:hAnsiTheme="minorHAnsi" w:cs="Calibri"/>
        </w:rPr>
        <w:t>předpisy upravujícími vedení účetnictví (viz část IV.1.2</w:t>
      </w:r>
      <w:r w:rsidR="003341E5" w:rsidRPr="00E23815">
        <w:rPr>
          <w:rFonts w:asciiTheme="minorHAnsi" w:eastAsiaTheme="minorHAnsi" w:hAnsiTheme="minorHAnsi" w:cs="Calibri"/>
        </w:rPr>
        <w:t xml:space="preserve"> </w:t>
      </w:r>
      <w:r w:rsidR="003341E5" w:rsidRPr="00E23815">
        <w:rPr>
          <w:rFonts w:eastAsiaTheme="minorHAnsi" w:cs="Calibri"/>
        </w:rPr>
        <w:t>tohoto kontrolního závěru</w:t>
      </w:r>
      <w:r w:rsidR="00E058C5" w:rsidRPr="00E23815">
        <w:rPr>
          <w:rFonts w:asciiTheme="minorHAnsi" w:eastAsiaTheme="minorHAnsi" w:hAnsiTheme="minorHAnsi" w:cs="Calibri"/>
        </w:rPr>
        <w:t>).</w:t>
      </w:r>
    </w:p>
    <w:p w14:paraId="408AC50C" w14:textId="77777777" w:rsidR="00E058C5" w:rsidRPr="00E23815" w:rsidRDefault="00E058C5" w:rsidP="005F04F5">
      <w:pPr>
        <w:spacing w:after="0"/>
        <w:jc w:val="both"/>
      </w:pPr>
    </w:p>
    <w:p w14:paraId="26B64763" w14:textId="14C618DC" w:rsidR="002E2AA9" w:rsidRDefault="00866718" w:rsidP="00866718">
      <w:pPr>
        <w:spacing w:after="0"/>
        <w:jc w:val="both"/>
        <w:rPr>
          <w:b/>
        </w:rPr>
      </w:pPr>
      <w:r w:rsidRPr="00E23815">
        <w:rPr>
          <w:b/>
        </w:rPr>
        <w:t xml:space="preserve">NKÚ </w:t>
      </w:r>
      <w:r w:rsidR="003C481A" w:rsidRPr="00E23815">
        <w:rPr>
          <w:b/>
        </w:rPr>
        <w:t xml:space="preserve">v návaznosti na provedenou kontrolu </w:t>
      </w:r>
      <w:r w:rsidRPr="00E23815">
        <w:rPr>
          <w:b/>
        </w:rPr>
        <w:t xml:space="preserve">upozorňuje na významné poznatky systémového charakteru týkající se vybraných aktiv MŽP. MŽP vykazuje </w:t>
      </w:r>
      <w:r w:rsidR="00C97F9F" w:rsidRPr="00E23815">
        <w:rPr>
          <w:b/>
        </w:rPr>
        <w:t xml:space="preserve">v ÚZ </w:t>
      </w:r>
      <w:r w:rsidRPr="00E23815">
        <w:rPr>
          <w:b/>
        </w:rPr>
        <w:t>některá velmi specifická či ojedinělá aktiva, k</w:t>
      </w:r>
      <w:r w:rsidR="005C2C83">
        <w:rPr>
          <w:b/>
        </w:rPr>
        <w:t xml:space="preserve"> </w:t>
      </w:r>
      <w:r w:rsidRPr="00E23815">
        <w:rPr>
          <w:b/>
        </w:rPr>
        <w:t>nimž se váž</w:t>
      </w:r>
      <w:r w:rsidR="009E3D48" w:rsidRPr="00E23815">
        <w:rPr>
          <w:b/>
        </w:rPr>
        <w:t>ou</w:t>
      </w:r>
      <w:r w:rsidRPr="00E23815">
        <w:rPr>
          <w:b/>
        </w:rPr>
        <w:t xml:space="preserve"> i specifické účetní postupy</w:t>
      </w:r>
      <w:r w:rsidR="004251E8">
        <w:rPr>
          <w:b/>
        </w:rPr>
        <w:t xml:space="preserve"> – podrobněji viz části</w:t>
      </w:r>
      <w:r w:rsidR="00764BDA">
        <w:rPr>
          <w:b/>
        </w:rPr>
        <w:t xml:space="preserve"> tohoto kontrolního závěru</w:t>
      </w:r>
      <w:r w:rsidR="002E2AA9">
        <w:rPr>
          <w:b/>
        </w:rPr>
        <w:t>:</w:t>
      </w:r>
    </w:p>
    <w:p w14:paraId="39DD5544" w14:textId="77777777" w:rsidR="002E2AA9" w:rsidRPr="00044D82" w:rsidRDefault="004251E8" w:rsidP="002E2AA9">
      <w:pPr>
        <w:pStyle w:val="Odstavecseseznamem"/>
        <w:numPr>
          <w:ilvl w:val="0"/>
          <w:numId w:val="27"/>
        </w:numPr>
        <w:spacing w:after="0"/>
        <w:jc w:val="both"/>
      </w:pPr>
      <w:r w:rsidRPr="00044D82">
        <w:rPr>
          <w:b/>
        </w:rPr>
        <w:t>IV.1.4.1</w:t>
      </w:r>
      <w:r w:rsidR="002E2AA9" w:rsidRPr="00044D82">
        <w:rPr>
          <w:b/>
        </w:rPr>
        <w:t xml:space="preserve"> (povolenky na emise skleníkových plynů),</w:t>
      </w:r>
    </w:p>
    <w:p w14:paraId="7B1CE34C" w14:textId="77777777" w:rsidR="002E2AA9" w:rsidRPr="00044D82" w:rsidRDefault="004251E8" w:rsidP="002E2AA9">
      <w:pPr>
        <w:pStyle w:val="Odstavecseseznamem"/>
        <w:numPr>
          <w:ilvl w:val="0"/>
          <w:numId w:val="27"/>
        </w:numPr>
        <w:spacing w:after="0"/>
        <w:jc w:val="both"/>
      </w:pPr>
      <w:r w:rsidRPr="00044D82">
        <w:rPr>
          <w:b/>
        </w:rPr>
        <w:t>IV.1.4.</w:t>
      </w:r>
      <w:r w:rsidR="002E2AA9" w:rsidRPr="00044D82">
        <w:rPr>
          <w:b/>
        </w:rPr>
        <w:t>2 (roční emisní příděly),</w:t>
      </w:r>
    </w:p>
    <w:p w14:paraId="1E48D365" w14:textId="77777777" w:rsidR="002E2AA9" w:rsidRPr="00044D82" w:rsidRDefault="002E2AA9" w:rsidP="002E2AA9">
      <w:pPr>
        <w:pStyle w:val="Odstavecseseznamem"/>
        <w:numPr>
          <w:ilvl w:val="0"/>
          <w:numId w:val="27"/>
        </w:numPr>
        <w:spacing w:after="0"/>
        <w:jc w:val="both"/>
      </w:pPr>
      <w:r w:rsidRPr="00044D82">
        <w:rPr>
          <w:b/>
        </w:rPr>
        <w:t xml:space="preserve">IV.1.4.3 (finanční aktiva týkající se prostředků </w:t>
      </w:r>
      <w:r w:rsidRPr="00AF65F6">
        <w:rPr>
          <w:b/>
          <w:i/>
        </w:rPr>
        <w:t>Modernizačního fondu</w:t>
      </w:r>
      <w:r w:rsidRPr="00044D82">
        <w:rPr>
          <w:b/>
        </w:rPr>
        <w:t>) a</w:t>
      </w:r>
    </w:p>
    <w:p w14:paraId="6AE29C09" w14:textId="70A09272" w:rsidR="00866718" w:rsidRPr="00E23815" w:rsidRDefault="002E2AA9" w:rsidP="00F94205">
      <w:pPr>
        <w:pStyle w:val="Odstavecseseznamem"/>
        <w:numPr>
          <w:ilvl w:val="0"/>
          <w:numId w:val="27"/>
        </w:numPr>
        <w:spacing w:after="0"/>
        <w:jc w:val="both"/>
      </w:pPr>
      <w:r w:rsidRPr="00044D82">
        <w:rPr>
          <w:b/>
        </w:rPr>
        <w:t xml:space="preserve">IV.1.4.4 (prostředky </w:t>
      </w:r>
      <w:r w:rsidR="00FE0486">
        <w:rPr>
          <w:b/>
        </w:rPr>
        <w:t>o</w:t>
      </w:r>
      <w:r w:rsidRPr="00044D82">
        <w:rPr>
          <w:b/>
        </w:rPr>
        <w:t xml:space="preserve">peračního programu </w:t>
      </w:r>
      <w:r w:rsidRPr="00AF65F6">
        <w:rPr>
          <w:b/>
          <w:i/>
        </w:rPr>
        <w:t xml:space="preserve">Životní prostředí </w:t>
      </w:r>
      <w:r w:rsidR="00FE0486" w:rsidRPr="00AF65F6">
        <w:rPr>
          <w:b/>
          <w:i/>
        </w:rPr>
        <w:t>2014–2020</w:t>
      </w:r>
      <w:r w:rsidR="00FE0486">
        <w:rPr>
          <w:b/>
        </w:rPr>
        <w:t xml:space="preserve"> </w:t>
      </w:r>
      <w:r w:rsidRPr="00044D82">
        <w:rPr>
          <w:b/>
        </w:rPr>
        <w:t>poskytnuté státnímu fondu)</w:t>
      </w:r>
      <w:r w:rsidR="00707B67" w:rsidRPr="00AF65F6">
        <w:rPr>
          <w:b/>
        </w:rPr>
        <w:t>.</w:t>
      </w:r>
    </w:p>
    <w:p w14:paraId="1288F704" w14:textId="77777777" w:rsidR="003C7251" w:rsidRPr="00E23815" w:rsidRDefault="003C7251" w:rsidP="005F04F5">
      <w:pPr>
        <w:spacing w:after="0"/>
        <w:jc w:val="both"/>
        <w:rPr>
          <w:iCs/>
        </w:rPr>
      </w:pPr>
    </w:p>
    <w:p w14:paraId="2B78FDBD" w14:textId="77777777" w:rsidR="0050748F" w:rsidRPr="00E23815" w:rsidRDefault="0050748F" w:rsidP="005F04F5">
      <w:pPr>
        <w:spacing w:after="0"/>
        <w:jc w:val="both"/>
        <w:rPr>
          <w:rFonts w:asciiTheme="minorHAnsi" w:hAnsiTheme="minorHAnsi" w:cstheme="minorHAnsi"/>
        </w:rPr>
      </w:pPr>
    </w:p>
    <w:p w14:paraId="5BAB18B8" w14:textId="77777777" w:rsidR="00F37FEB" w:rsidRPr="00E23815" w:rsidRDefault="00A640AE" w:rsidP="008226C5">
      <w:pPr>
        <w:pStyle w:val="Styl2"/>
        <w:numPr>
          <w:ilvl w:val="0"/>
          <w:numId w:val="6"/>
        </w:numPr>
        <w:ind w:left="340" w:hanging="340"/>
        <w:jc w:val="both"/>
      </w:pPr>
      <w:r w:rsidRPr="00E23815">
        <w:t xml:space="preserve">Údaje </w:t>
      </w:r>
      <w:r w:rsidR="002352D7" w:rsidRPr="00E23815">
        <w:t xml:space="preserve">předkládané </w:t>
      </w:r>
      <w:r w:rsidR="00657E46" w:rsidRPr="00E23815">
        <w:t>Ministerstvem životního prostředí</w:t>
      </w:r>
      <w:r w:rsidR="00F94732" w:rsidRPr="00E23815">
        <w:t xml:space="preserve"> </w:t>
      </w:r>
      <w:r w:rsidRPr="00E23815">
        <w:t xml:space="preserve">pro hodnocení plnění </w:t>
      </w:r>
      <w:r w:rsidR="0087086A" w:rsidRPr="00E23815">
        <w:t xml:space="preserve">státního </w:t>
      </w:r>
      <w:r w:rsidRPr="00E23815">
        <w:t>rozpočtu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603A22" w:rsidRPr="00E23815" w14:paraId="2E5BB7AC" w14:textId="77777777" w:rsidTr="00603A22">
        <w:trPr>
          <w:trHeight w:val="665"/>
        </w:trPr>
        <w:tc>
          <w:tcPr>
            <w:tcW w:w="9060" w:type="dxa"/>
            <w:shd w:val="clear" w:color="auto" w:fill="E5F1FF"/>
          </w:tcPr>
          <w:p w14:paraId="4DE03B9C" w14:textId="37EBE206" w:rsidR="00603A22" w:rsidRPr="00E23815" w:rsidRDefault="00603A22" w:rsidP="00603A22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E23815">
              <w:rPr>
                <w:rFonts w:eastAsiaTheme="minorHAnsi" w:cs="Calibri"/>
                <w:b/>
              </w:rPr>
              <w:t xml:space="preserve">Dle NKÚ byl </w:t>
            </w:r>
            <w:r w:rsidR="00C5342E" w:rsidRPr="00E23815">
              <w:rPr>
                <w:rFonts w:eastAsiaTheme="minorHAnsi" w:cs="Calibri"/>
                <w:b/>
              </w:rPr>
              <w:t xml:space="preserve">výkaz pro hodnocení plnění rozpočtu </w:t>
            </w:r>
            <w:r w:rsidR="007C5A3F" w:rsidRPr="00E23815">
              <w:rPr>
                <w:rFonts w:eastAsiaTheme="minorHAnsi" w:cs="Calibri"/>
                <w:b/>
              </w:rPr>
              <w:t>MŽP</w:t>
            </w:r>
            <w:r w:rsidR="00C5342E" w:rsidRPr="00E23815">
              <w:rPr>
                <w:rFonts w:eastAsiaTheme="minorHAnsi" w:cs="Calibri"/>
                <w:b/>
              </w:rPr>
              <w:t xml:space="preserve"> sestavený k 31. </w:t>
            </w:r>
            <w:r w:rsidR="006641FC">
              <w:rPr>
                <w:rFonts w:eastAsiaTheme="minorHAnsi" w:cs="Calibri"/>
                <w:b/>
              </w:rPr>
              <w:t>prosinci</w:t>
            </w:r>
            <w:r w:rsidR="00C5342E" w:rsidRPr="00E23815">
              <w:rPr>
                <w:rFonts w:eastAsiaTheme="minorHAnsi" w:cs="Calibri"/>
                <w:b/>
              </w:rPr>
              <w:t xml:space="preserve"> 2022 (dále také „výkaz FIN 1-12 OSS“)</w:t>
            </w:r>
            <w:r w:rsidR="007C5A3F" w:rsidRPr="00E23815">
              <w:rPr>
                <w:rStyle w:val="Znakapoznpodarou"/>
              </w:rPr>
              <w:footnoteReference w:id="5"/>
            </w:r>
            <w:r w:rsidR="007C5A3F" w:rsidRPr="00E23815">
              <w:rPr>
                <w:rFonts w:eastAsiaTheme="minorHAnsi" w:cs="Calibri"/>
                <w:b/>
              </w:rPr>
              <w:t xml:space="preserve"> </w:t>
            </w:r>
            <w:r w:rsidRPr="00E23815">
              <w:rPr>
                <w:rFonts w:eastAsiaTheme="minorHAnsi" w:cs="Calibri"/>
                <w:b/>
              </w:rPr>
              <w:t>ve všech významných ohledech sestaven v</w:t>
            </w:r>
            <w:r w:rsidR="005C2C83">
              <w:rPr>
                <w:rFonts w:eastAsiaTheme="minorHAnsi" w:cs="Calibri"/>
                <w:b/>
              </w:rPr>
              <w:t xml:space="preserve"> </w:t>
            </w:r>
            <w:r w:rsidRPr="00E23815">
              <w:rPr>
                <w:rFonts w:eastAsiaTheme="minorHAnsi" w:cs="Calibri"/>
                <w:b/>
              </w:rPr>
              <w:t>souladu s příslušnými právními předpisy.</w:t>
            </w:r>
          </w:p>
        </w:tc>
      </w:tr>
    </w:tbl>
    <w:p w14:paraId="0FA21FD3" w14:textId="77777777" w:rsidR="008C7A9D" w:rsidRPr="00E23815" w:rsidRDefault="008C7A9D" w:rsidP="00C27D5B">
      <w:pPr>
        <w:tabs>
          <w:tab w:val="left" w:pos="1770"/>
        </w:tabs>
        <w:spacing w:after="0"/>
        <w:jc w:val="both"/>
      </w:pPr>
    </w:p>
    <w:p w14:paraId="59AB8910" w14:textId="77777777" w:rsidR="007C5A3F" w:rsidRPr="00E23815" w:rsidRDefault="00603A22" w:rsidP="00124170">
      <w:pPr>
        <w:spacing w:after="0"/>
        <w:jc w:val="both"/>
      </w:pPr>
      <w:r w:rsidRPr="00E23815">
        <w:t xml:space="preserve">NKÚ provedl ve výkazu </w:t>
      </w:r>
      <w:r w:rsidR="007C5A3F" w:rsidRPr="00E23815">
        <w:t>FIN 1-12 OSS</w:t>
      </w:r>
      <w:r w:rsidRPr="00E23815">
        <w:t xml:space="preserve"> u údajů o příjmech a výdajích ve sloupci </w:t>
      </w:r>
      <w:r w:rsidR="005E4943" w:rsidRPr="00E23815">
        <w:rPr>
          <w:i/>
        </w:rPr>
        <w:t>S</w:t>
      </w:r>
      <w:r w:rsidRPr="00E23815">
        <w:rPr>
          <w:i/>
        </w:rPr>
        <w:t>kutečnost</w:t>
      </w:r>
      <w:r w:rsidRPr="00E23815">
        <w:t xml:space="preserve"> kontrolu správnosti jejich třídění z hlediska druhového, odvětvového a prostorového dle rozpočtové skladby.</w:t>
      </w:r>
    </w:p>
    <w:p w14:paraId="24B6197C" w14:textId="77777777" w:rsidR="007C5A3F" w:rsidRPr="00E23815" w:rsidRDefault="007C5A3F" w:rsidP="00124170">
      <w:pPr>
        <w:spacing w:after="0"/>
        <w:jc w:val="both"/>
        <w:rPr>
          <w:rFonts w:asciiTheme="minorHAnsi" w:hAnsiTheme="minorHAnsi" w:cstheme="minorHAnsi"/>
        </w:rPr>
      </w:pPr>
    </w:p>
    <w:p w14:paraId="78FC6862" w14:textId="5315D50F" w:rsidR="007C5A3F" w:rsidRPr="00E23815" w:rsidRDefault="0098652A" w:rsidP="00124170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lastRenderedPageBreak/>
        <w:t>NKÚ v</w:t>
      </w:r>
      <w:r w:rsidR="005E725E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prů</w:t>
      </w:r>
      <w:r w:rsidR="00E53331" w:rsidRPr="00E23815">
        <w:rPr>
          <w:rFonts w:asciiTheme="minorHAnsi" w:hAnsiTheme="minorHAnsi" w:cstheme="minorHAnsi"/>
        </w:rPr>
        <w:t>b</w:t>
      </w:r>
      <w:r w:rsidRPr="00E23815">
        <w:rPr>
          <w:rFonts w:asciiTheme="minorHAnsi" w:hAnsiTheme="minorHAnsi" w:cstheme="minorHAnsi"/>
        </w:rPr>
        <w:t>ěhu kontroly identifikoval v</w:t>
      </w:r>
      <w:r w:rsidR="005E725E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klasifikaci rozpočtových příjmů nevýznamné ne</w:t>
      </w:r>
      <w:r w:rsidR="007C5A3F" w:rsidRPr="00E23815">
        <w:rPr>
          <w:rFonts w:asciiTheme="minorHAnsi" w:hAnsiTheme="minorHAnsi" w:cstheme="minorHAnsi"/>
        </w:rPr>
        <w:t>dostatky</w:t>
      </w:r>
      <w:r w:rsidRPr="00E23815">
        <w:rPr>
          <w:rFonts w:asciiTheme="minorHAnsi" w:hAnsiTheme="minorHAnsi" w:cstheme="minorHAnsi"/>
        </w:rPr>
        <w:t xml:space="preserve"> ve výši </w:t>
      </w:r>
      <w:r w:rsidR="007C5A3F" w:rsidRPr="00E23815">
        <w:rPr>
          <w:rFonts w:asciiTheme="minorHAnsi" w:hAnsiTheme="minorHAnsi" w:cstheme="minorHAnsi"/>
        </w:rPr>
        <w:t>2,0</w:t>
      </w:r>
      <w:r w:rsidRPr="00E23815">
        <w:rPr>
          <w:rFonts w:asciiTheme="minorHAnsi" w:hAnsiTheme="minorHAnsi" w:cstheme="minorHAnsi"/>
        </w:rPr>
        <w:t xml:space="preserve"> mil. Kč (viz část IV.2</w:t>
      </w:r>
      <w:r w:rsidR="007C5A3F" w:rsidRPr="00E23815">
        <w:rPr>
          <w:rFonts w:asciiTheme="minorHAnsi" w:hAnsiTheme="minorHAnsi" w:cstheme="minorHAnsi"/>
        </w:rPr>
        <w:t>.1</w:t>
      </w:r>
      <w:r w:rsidR="004E3BB6" w:rsidRPr="00E23815">
        <w:rPr>
          <w:rFonts w:asciiTheme="minorHAnsi" w:hAnsiTheme="minorHAnsi" w:cstheme="minorHAnsi"/>
        </w:rPr>
        <w:t xml:space="preserve"> </w:t>
      </w:r>
      <w:r w:rsidR="004E3BB6" w:rsidRPr="00E23815">
        <w:rPr>
          <w:rFonts w:eastAsiaTheme="minorHAnsi" w:cs="Calibri"/>
        </w:rPr>
        <w:t>tohoto kontrolního závěru</w:t>
      </w:r>
      <w:r w:rsidRPr="00E23815">
        <w:rPr>
          <w:rFonts w:asciiTheme="minorHAnsi" w:hAnsiTheme="minorHAnsi" w:cstheme="minorHAnsi"/>
        </w:rPr>
        <w:t xml:space="preserve">), které MŽP opravilo ještě před sestavením výkazu </w:t>
      </w:r>
      <w:r w:rsidR="007C5A3F" w:rsidRPr="00E23815">
        <w:t>FIN 1-12 OSS.</w:t>
      </w:r>
    </w:p>
    <w:p w14:paraId="063D7C9A" w14:textId="77777777" w:rsidR="007C5A3F" w:rsidRPr="00E23815" w:rsidRDefault="007C5A3F" w:rsidP="00124170">
      <w:pPr>
        <w:spacing w:after="0"/>
        <w:jc w:val="both"/>
        <w:rPr>
          <w:rFonts w:asciiTheme="minorHAnsi" w:hAnsiTheme="minorHAnsi" w:cstheme="minorHAnsi"/>
        </w:rPr>
      </w:pPr>
    </w:p>
    <w:p w14:paraId="7FE1E34D" w14:textId="525D958B" w:rsidR="007C5A3F" w:rsidRPr="00E23815" w:rsidRDefault="00FE0486" w:rsidP="007C5A3F">
      <w:pPr>
        <w:spacing w:after="0"/>
        <w:jc w:val="both"/>
        <w:rPr>
          <w:rFonts w:asciiTheme="minorHAnsi" w:eastAsiaTheme="minorHAnsi" w:hAnsiTheme="minorHAnsi" w:cs="Calibri"/>
        </w:rPr>
      </w:pPr>
      <w:r>
        <w:rPr>
          <w:rFonts w:asciiTheme="minorHAnsi" w:hAnsiTheme="minorHAnsi" w:cstheme="minorHAnsi"/>
        </w:rPr>
        <w:t>N</w:t>
      </w:r>
      <w:r w:rsidR="007C5A3F" w:rsidRPr="00E23815">
        <w:rPr>
          <w:rFonts w:asciiTheme="minorHAnsi" w:hAnsiTheme="minorHAnsi" w:cstheme="minorHAnsi"/>
        </w:rPr>
        <w:t xml:space="preserve">esprávnosti, které MŽP před sestavením </w:t>
      </w:r>
      <w:r w:rsidR="00684418" w:rsidRPr="00E23815">
        <w:rPr>
          <w:rFonts w:asciiTheme="minorHAnsi" w:hAnsiTheme="minorHAnsi" w:cstheme="minorHAnsi"/>
        </w:rPr>
        <w:t>výkazu FIN 1-12 OSS</w:t>
      </w:r>
      <w:r w:rsidR="007C5A3F" w:rsidRPr="00E23815">
        <w:rPr>
          <w:rFonts w:asciiTheme="minorHAnsi" w:hAnsiTheme="minorHAnsi" w:cstheme="minorHAnsi"/>
        </w:rPr>
        <w:t xml:space="preserve"> neopravilo, neměly významný dopad na údaje </w:t>
      </w:r>
      <w:r w:rsidR="00684418" w:rsidRPr="00E23815">
        <w:rPr>
          <w:rFonts w:asciiTheme="minorHAnsi" w:hAnsiTheme="minorHAnsi" w:cstheme="minorHAnsi"/>
        </w:rPr>
        <w:t>výkazu FIN 1-12 OSS</w:t>
      </w:r>
      <w:r w:rsidR="007C5A3F" w:rsidRPr="00E23815">
        <w:rPr>
          <w:rFonts w:asciiTheme="minorHAnsi" w:hAnsiTheme="minorHAnsi" w:cstheme="minorHAnsi"/>
        </w:rPr>
        <w:t xml:space="preserve">. Jednalo se o </w:t>
      </w:r>
      <w:r w:rsidR="00684418" w:rsidRPr="00E23815">
        <w:rPr>
          <w:rFonts w:asciiTheme="minorHAnsi" w:hAnsiTheme="minorHAnsi" w:cstheme="minorHAnsi"/>
        </w:rPr>
        <w:t>nesprávnosti</w:t>
      </w:r>
      <w:r w:rsidR="007C5A3F" w:rsidRPr="00E23815">
        <w:rPr>
          <w:rFonts w:asciiTheme="minorHAnsi" w:hAnsiTheme="minorHAnsi" w:cstheme="minorHAnsi"/>
        </w:rPr>
        <w:t xml:space="preserve"> v celkové výši 4</w:t>
      </w:r>
      <w:r w:rsidR="00684418" w:rsidRPr="00E23815">
        <w:rPr>
          <w:rFonts w:asciiTheme="minorHAnsi" w:hAnsiTheme="minorHAnsi" w:cstheme="minorHAnsi"/>
        </w:rPr>
        <w:t>2</w:t>
      </w:r>
      <w:r w:rsidR="00F0033D" w:rsidRPr="00E23815">
        <w:rPr>
          <w:rFonts w:asciiTheme="minorHAnsi" w:hAnsiTheme="minorHAnsi" w:cstheme="minorHAnsi"/>
        </w:rPr>
        <w:t>,2</w:t>
      </w:r>
      <w:r w:rsidR="00684418" w:rsidRPr="00E23815">
        <w:rPr>
          <w:rFonts w:asciiTheme="minorHAnsi" w:hAnsiTheme="minorHAnsi" w:cstheme="minorHAnsi"/>
        </w:rPr>
        <w:t> </w:t>
      </w:r>
      <w:r w:rsidR="007C5A3F" w:rsidRPr="00E23815">
        <w:rPr>
          <w:rFonts w:asciiTheme="minorHAnsi" w:hAnsiTheme="minorHAnsi" w:cstheme="minorHAnsi"/>
        </w:rPr>
        <w:t>mil.</w:t>
      </w:r>
      <w:r w:rsidR="00684418" w:rsidRPr="00E23815">
        <w:rPr>
          <w:rFonts w:asciiTheme="minorHAnsi" w:hAnsiTheme="minorHAnsi" w:cstheme="minorHAnsi"/>
        </w:rPr>
        <w:t> </w:t>
      </w:r>
      <w:r w:rsidR="007C5A3F" w:rsidRPr="00E23815">
        <w:rPr>
          <w:rFonts w:asciiTheme="minorHAnsi" w:hAnsiTheme="minorHAnsi" w:cstheme="minorHAnsi"/>
        </w:rPr>
        <w:t>Kč, které MŽP v</w:t>
      </w:r>
      <w:r w:rsidR="00684418" w:rsidRPr="00E2381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684418" w:rsidRPr="00E23815">
        <w:rPr>
          <w:rFonts w:asciiTheme="minorHAnsi" w:hAnsiTheme="minorHAnsi" w:cstheme="minorHAnsi"/>
        </w:rPr>
        <w:t>výkazu FIN 1-12 OSS n</w:t>
      </w:r>
      <w:r w:rsidR="007C5A3F" w:rsidRPr="00E23815">
        <w:rPr>
          <w:rFonts w:asciiTheme="minorHAnsi" w:hAnsiTheme="minorHAnsi" w:cstheme="minorHAnsi"/>
        </w:rPr>
        <w:t xml:space="preserve">evykázalo </w:t>
      </w:r>
      <w:r w:rsidR="007C5A3F" w:rsidRPr="00E23815">
        <w:rPr>
          <w:rFonts w:asciiTheme="minorHAnsi" w:hAnsiTheme="minorHAnsi" w:cs="Calibri"/>
        </w:rPr>
        <w:t xml:space="preserve">v </w:t>
      </w:r>
      <w:r w:rsidR="007C5A3F" w:rsidRPr="00E23815">
        <w:rPr>
          <w:rFonts w:asciiTheme="minorHAnsi" w:hAnsiTheme="minorHAnsi" w:cstheme="minorHAnsi"/>
        </w:rPr>
        <w:t>souladu s</w:t>
      </w:r>
      <w:r w:rsidR="00684418" w:rsidRPr="00E23815">
        <w:rPr>
          <w:rFonts w:asciiTheme="minorHAnsi" w:hAnsiTheme="minorHAnsi" w:cstheme="minorHAnsi"/>
        </w:rPr>
        <w:t> vyhláškou č. 412/2021 Sb.</w:t>
      </w:r>
      <w:r w:rsidR="00FB028F" w:rsidRPr="00E23815">
        <w:rPr>
          <w:rStyle w:val="Znakapoznpodarou"/>
          <w:rFonts w:asciiTheme="minorHAnsi" w:hAnsiTheme="minorHAnsi" w:cstheme="minorHAnsi"/>
        </w:rPr>
        <w:footnoteReference w:id="6"/>
      </w:r>
      <w:r w:rsidR="007C5A3F" w:rsidRPr="00E23815">
        <w:rPr>
          <w:rFonts w:asciiTheme="minorHAnsi" w:eastAsiaTheme="minorHAnsi" w:hAnsiTheme="minorHAnsi" w:cs="Calibri"/>
        </w:rPr>
        <w:t xml:space="preserve"> (viz část IV.2.2</w:t>
      </w:r>
      <w:r w:rsidR="004E3BB6" w:rsidRPr="00E23815">
        <w:rPr>
          <w:rFonts w:asciiTheme="minorHAnsi" w:eastAsiaTheme="minorHAnsi" w:hAnsiTheme="minorHAnsi" w:cs="Calibri"/>
        </w:rPr>
        <w:t xml:space="preserve"> </w:t>
      </w:r>
      <w:r w:rsidR="004E3BB6" w:rsidRPr="00E23815">
        <w:rPr>
          <w:rFonts w:eastAsiaTheme="minorHAnsi" w:cs="Calibri"/>
        </w:rPr>
        <w:t>tohoto kontrolního závěru</w:t>
      </w:r>
      <w:r w:rsidR="007C5A3F" w:rsidRPr="00E23815">
        <w:rPr>
          <w:rFonts w:asciiTheme="minorHAnsi" w:eastAsiaTheme="minorHAnsi" w:hAnsiTheme="minorHAnsi" w:cs="Calibri"/>
        </w:rPr>
        <w:t>).</w:t>
      </w:r>
    </w:p>
    <w:p w14:paraId="17DA0C7E" w14:textId="77777777" w:rsidR="007C5A3F" w:rsidRPr="00E23815" w:rsidRDefault="007C5A3F" w:rsidP="00124170">
      <w:pPr>
        <w:spacing w:after="0"/>
        <w:jc w:val="both"/>
        <w:rPr>
          <w:sz w:val="23"/>
          <w:szCs w:val="23"/>
        </w:rPr>
      </w:pPr>
    </w:p>
    <w:p w14:paraId="231DF9A5" w14:textId="77777777" w:rsidR="00DD3125" w:rsidRPr="00E23815" w:rsidRDefault="00DD3125" w:rsidP="00124170">
      <w:pPr>
        <w:spacing w:after="0"/>
        <w:jc w:val="both"/>
        <w:rPr>
          <w:rFonts w:cs="Calibri"/>
          <w:b/>
        </w:rPr>
      </w:pPr>
    </w:p>
    <w:p w14:paraId="4FFEE770" w14:textId="77777777" w:rsidR="00025868" w:rsidRPr="00E23815" w:rsidRDefault="00025868" w:rsidP="008226C5">
      <w:pPr>
        <w:keepNext/>
        <w:numPr>
          <w:ilvl w:val="0"/>
          <w:numId w:val="6"/>
        </w:numPr>
        <w:spacing w:after="240"/>
        <w:ind w:left="340" w:hanging="340"/>
        <w:outlineLvl w:val="1"/>
        <w:rPr>
          <w:rFonts w:eastAsia="Calibri" w:cs="Calibri"/>
          <w:b/>
        </w:rPr>
      </w:pPr>
      <w:r w:rsidRPr="00E23815">
        <w:rPr>
          <w:rFonts w:eastAsia="Calibri" w:cs="Calibri"/>
          <w:b/>
        </w:rPr>
        <w:t>Závěrečný účet kapitoly státní</w:t>
      </w:r>
      <w:r w:rsidR="00EF2CD1">
        <w:rPr>
          <w:rFonts w:eastAsia="Calibri" w:cs="Calibri"/>
          <w:b/>
        </w:rPr>
        <w:t>ho</w:t>
      </w:r>
      <w:r w:rsidRPr="00E23815">
        <w:rPr>
          <w:rFonts w:eastAsia="Calibri" w:cs="Calibri"/>
          <w:b/>
        </w:rPr>
        <w:t xml:space="preserve"> rozpočtu 315 – </w:t>
      </w:r>
      <w:r w:rsidRPr="00E23815">
        <w:rPr>
          <w:rFonts w:eastAsia="Calibri" w:cs="Calibri"/>
          <w:b/>
          <w:i/>
        </w:rPr>
        <w:t>Ministerstvo životního prostředí</w:t>
      </w:r>
    </w:p>
    <w:tbl>
      <w:tblPr>
        <w:tblStyle w:val="Mkatabulky"/>
        <w:tblpPr w:leftFromText="141" w:rightFromText="141" w:vertAnchor="text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025868" w:rsidRPr="00E23815" w14:paraId="33600890" w14:textId="77777777" w:rsidTr="0073698A">
        <w:trPr>
          <w:trHeight w:val="665"/>
        </w:trPr>
        <w:tc>
          <w:tcPr>
            <w:tcW w:w="9060" w:type="dxa"/>
            <w:shd w:val="clear" w:color="auto" w:fill="E5F1FF"/>
          </w:tcPr>
          <w:p w14:paraId="01018BE2" w14:textId="77777777" w:rsidR="00025868" w:rsidRPr="00E23815" w:rsidRDefault="00025868" w:rsidP="0073698A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E23815">
              <w:rPr>
                <w:rFonts w:eastAsiaTheme="minorHAnsi" w:cs="Calibri"/>
                <w:b/>
              </w:rPr>
              <w:t>Dle NKÚ</w:t>
            </w:r>
            <w:r w:rsidR="00576B5A" w:rsidRPr="00E23815">
              <w:rPr>
                <w:rFonts w:eastAsiaTheme="minorHAnsi" w:cs="Calibri"/>
                <w:b/>
              </w:rPr>
              <w:t xml:space="preserve"> je závěrečný účet kapitoly státního rozpočtu 315 – </w:t>
            </w:r>
            <w:r w:rsidR="00576B5A" w:rsidRPr="00E23815">
              <w:rPr>
                <w:rFonts w:eastAsiaTheme="minorHAnsi" w:cs="Calibri"/>
                <w:b/>
                <w:i/>
              </w:rPr>
              <w:t>Ministerstvo životního prostředí</w:t>
            </w:r>
            <w:r w:rsidR="00576B5A" w:rsidRPr="00E23815">
              <w:rPr>
                <w:rFonts w:asciiTheme="minorHAnsi" w:hAnsiTheme="minorHAnsi" w:cstheme="minorHAnsi"/>
                <w:b/>
              </w:rPr>
              <w:t xml:space="preserve"> </w:t>
            </w:r>
            <w:r w:rsidR="00576B5A" w:rsidRPr="00E23815">
              <w:rPr>
                <w:rFonts w:eastAsiaTheme="minorHAnsi" w:cs="Calibri"/>
                <w:b/>
              </w:rPr>
              <w:t>za rok 2022 (dále také „ZÚ“) sestaven v rozsahu dle vyhlášky č. 419/2001 Sb.</w:t>
            </w:r>
            <w:r w:rsidR="00121946" w:rsidRPr="00E23815">
              <w:rPr>
                <w:rStyle w:val="Znakapoznpodarou"/>
                <w:rFonts w:eastAsiaTheme="minorHAnsi" w:cs="Calibri"/>
                <w:b/>
              </w:rPr>
              <w:footnoteReference w:id="7"/>
            </w:r>
            <w:r w:rsidR="008E5193" w:rsidRPr="00E23815">
              <w:rPr>
                <w:rFonts w:eastAsiaTheme="minorHAnsi" w:cs="Calibri"/>
                <w:b/>
              </w:rPr>
              <w:t xml:space="preserve"> </w:t>
            </w:r>
            <w:r w:rsidR="00450B50" w:rsidRPr="00E23815">
              <w:rPr>
                <w:b/>
              </w:rPr>
              <w:t xml:space="preserve">Informace uvedené </w:t>
            </w:r>
            <w:r w:rsidR="008E5193" w:rsidRPr="00E23815">
              <w:rPr>
                <w:b/>
              </w:rPr>
              <w:t xml:space="preserve">v ZÚ </w:t>
            </w:r>
            <w:r w:rsidR="00450B50" w:rsidRPr="00E23815">
              <w:rPr>
                <w:b/>
              </w:rPr>
              <w:t>odpovídají údajům v rozpočtovém systému, finančním výkazům a údajům z dalších evidencí</w:t>
            </w:r>
            <w:r w:rsidR="00576B5A" w:rsidRPr="00E23815">
              <w:rPr>
                <w:rFonts w:eastAsiaTheme="minorHAnsi" w:cs="Calibri"/>
                <w:b/>
              </w:rPr>
              <w:t>.</w:t>
            </w:r>
          </w:p>
        </w:tc>
      </w:tr>
    </w:tbl>
    <w:p w14:paraId="06353D48" w14:textId="77777777" w:rsidR="00025868" w:rsidRPr="00E23815" w:rsidRDefault="00025868" w:rsidP="00025868">
      <w:pPr>
        <w:spacing w:after="0"/>
        <w:jc w:val="both"/>
        <w:rPr>
          <w:rFonts w:asciiTheme="minorHAnsi" w:hAnsiTheme="minorHAnsi" w:cstheme="minorHAnsi"/>
        </w:rPr>
      </w:pPr>
    </w:p>
    <w:p w14:paraId="437C9E47" w14:textId="77777777" w:rsidR="004A21C2" w:rsidRPr="00E23815" w:rsidRDefault="00096715" w:rsidP="00025868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NKÚ v průběhu kontroly zjistil v návrhu ZÚ nevýznamné nedostatky, které MŽP </w:t>
      </w:r>
      <w:r w:rsidR="008E5193" w:rsidRPr="00E23815">
        <w:rPr>
          <w:rFonts w:asciiTheme="minorHAnsi" w:hAnsiTheme="minorHAnsi" w:cstheme="minorHAnsi"/>
        </w:rPr>
        <w:t>ještě před sestavením ZÚ</w:t>
      </w:r>
      <w:r w:rsidRPr="00E23815">
        <w:rPr>
          <w:rFonts w:asciiTheme="minorHAnsi" w:hAnsiTheme="minorHAnsi" w:cstheme="minorHAnsi"/>
        </w:rPr>
        <w:t xml:space="preserve"> opravilo</w:t>
      </w:r>
      <w:r w:rsidR="00F032D8" w:rsidRPr="00E23815">
        <w:rPr>
          <w:rFonts w:asciiTheme="minorHAnsi" w:hAnsiTheme="minorHAnsi" w:cstheme="minorHAnsi"/>
        </w:rPr>
        <w:t>.</w:t>
      </w:r>
    </w:p>
    <w:p w14:paraId="1ED0E4F2" w14:textId="77777777" w:rsidR="000559FC" w:rsidRPr="00E23815" w:rsidRDefault="000559FC" w:rsidP="00025868">
      <w:pPr>
        <w:spacing w:after="0"/>
        <w:jc w:val="both"/>
        <w:rPr>
          <w:rFonts w:asciiTheme="minorHAnsi" w:hAnsiTheme="minorHAnsi" w:cstheme="minorHAnsi"/>
        </w:rPr>
      </w:pPr>
    </w:p>
    <w:p w14:paraId="4EEBDD4C" w14:textId="7FC252BF" w:rsidR="00025868" w:rsidRPr="00E23815" w:rsidRDefault="00090591" w:rsidP="00025868">
      <w:pPr>
        <w:spacing w:after="0"/>
        <w:jc w:val="both"/>
        <w:rPr>
          <w:rFonts w:asciiTheme="minorHAnsi" w:hAnsiTheme="minorHAnsi" w:cstheme="minorHAnsi"/>
        </w:rPr>
      </w:pPr>
      <w:r w:rsidRPr="00090591">
        <w:rPr>
          <w:rFonts w:cstheme="minorHAnsi"/>
        </w:rPr>
        <w:t>Novela vyhlášky č.</w:t>
      </w:r>
      <w:r w:rsidR="005E725E">
        <w:rPr>
          <w:rFonts w:cstheme="minorHAnsi"/>
        </w:rPr>
        <w:t xml:space="preserve"> </w:t>
      </w:r>
      <w:r w:rsidRPr="00090591">
        <w:rPr>
          <w:rFonts w:cstheme="minorHAnsi"/>
        </w:rPr>
        <w:t>419/2001 Sb. účinná od 1. 1. 2023 nově stanovila povinnost správce kapitoly uvádět v</w:t>
      </w:r>
      <w:r w:rsidR="005E725E">
        <w:rPr>
          <w:rFonts w:cstheme="minorHAnsi"/>
        </w:rPr>
        <w:t xml:space="preserve"> </w:t>
      </w:r>
      <w:r w:rsidRPr="00090591">
        <w:rPr>
          <w:rFonts w:cstheme="minorHAnsi"/>
        </w:rPr>
        <w:t>závěrečných účtech hodnocení jednotlivých dotačních programů, které kapitola spravovala</w:t>
      </w:r>
      <w:r w:rsidR="00F37D63" w:rsidRPr="00E23815">
        <w:rPr>
          <w:rStyle w:val="Znakapoznpodarou"/>
        </w:rPr>
        <w:footnoteReference w:id="8"/>
      </w:r>
      <w:r w:rsidR="00F37D63" w:rsidRPr="00E23815">
        <w:t>. MŽP tuto povinnost nesplnilo</w:t>
      </w:r>
      <w:r w:rsidR="00F032D8" w:rsidRPr="00E23815">
        <w:rPr>
          <w:rFonts w:eastAsiaTheme="minorHAnsi" w:cs="Calibri"/>
          <w:b/>
        </w:rPr>
        <w:t xml:space="preserve"> </w:t>
      </w:r>
      <w:r w:rsidR="00096715" w:rsidRPr="00E23815">
        <w:rPr>
          <w:rFonts w:asciiTheme="minorHAnsi" w:hAnsiTheme="minorHAnsi" w:cstheme="minorHAnsi"/>
        </w:rPr>
        <w:t>(viz část IV.3</w:t>
      </w:r>
      <w:r w:rsidR="004E3BB6" w:rsidRPr="00E23815">
        <w:rPr>
          <w:rFonts w:asciiTheme="minorHAnsi" w:hAnsiTheme="minorHAnsi" w:cstheme="minorHAnsi"/>
        </w:rPr>
        <w:t xml:space="preserve"> </w:t>
      </w:r>
      <w:r w:rsidR="004E3BB6" w:rsidRPr="00E23815">
        <w:rPr>
          <w:rFonts w:eastAsiaTheme="minorHAnsi" w:cs="Calibri"/>
        </w:rPr>
        <w:t>tohoto kontrolního závěru</w:t>
      </w:r>
      <w:r w:rsidR="00096715" w:rsidRPr="00E23815">
        <w:rPr>
          <w:rFonts w:asciiTheme="minorHAnsi" w:hAnsiTheme="minorHAnsi" w:cstheme="minorHAnsi"/>
        </w:rPr>
        <w:t>).</w:t>
      </w:r>
      <w:r w:rsidR="000D54F2">
        <w:rPr>
          <w:rFonts w:asciiTheme="minorHAnsi" w:hAnsiTheme="minorHAnsi" w:cstheme="minorHAnsi"/>
        </w:rPr>
        <w:t xml:space="preserve"> S ohledem na celkový rozsah údajů v ZÚ nevyhodnotil </w:t>
      </w:r>
      <w:r w:rsidR="00E96391">
        <w:rPr>
          <w:rFonts w:asciiTheme="minorHAnsi" w:hAnsiTheme="minorHAnsi" w:cstheme="minorHAnsi"/>
        </w:rPr>
        <w:t xml:space="preserve">NKÚ </w:t>
      </w:r>
      <w:r w:rsidR="000D54F2">
        <w:rPr>
          <w:rFonts w:asciiTheme="minorHAnsi" w:hAnsiTheme="minorHAnsi" w:cstheme="minorHAnsi"/>
        </w:rPr>
        <w:t xml:space="preserve">tuto nesprávnost </w:t>
      </w:r>
      <w:r w:rsidR="00E96391">
        <w:rPr>
          <w:rFonts w:asciiTheme="minorHAnsi" w:hAnsiTheme="minorHAnsi" w:cstheme="minorHAnsi"/>
        </w:rPr>
        <w:t>jako</w:t>
      </w:r>
      <w:r w:rsidR="000D54F2">
        <w:rPr>
          <w:rFonts w:asciiTheme="minorHAnsi" w:hAnsiTheme="minorHAnsi" w:cstheme="minorHAnsi"/>
        </w:rPr>
        <w:t xml:space="preserve"> významnou.</w:t>
      </w:r>
    </w:p>
    <w:p w14:paraId="49958E17" w14:textId="77777777" w:rsidR="00F032D8" w:rsidRPr="00E23815" w:rsidRDefault="00F032D8" w:rsidP="00025868">
      <w:pPr>
        <w:spacing w:after="0"/>
        <w:jc w:val="both"/>
        <w:rPr>
          <w:rFonts w:asciiTheme="minorHAnsi" w:hAnsiTheme="minorHAnsi" w:cstheme="minorHAnsi"/>
        </w:rPr>
      </w:pPr>
    </w:p>
    <w:p w14:paraId="0978EE43" w14:textId="77777777" w:rsidR="00450B50" w:rsidRPr="00E23815" w:rsidRDefault="00450B50" w:rsidP="00025868">
      <w:pPr>
        <w:spacing w:after="0"/>
        <w:jc w:val="both"/>
        <w:rPr>
          <w:rFonts w:asciiTheme="minorHAnsi" w:hAnsiTheme="minorHAnsi" w:cstheme="minorHAnsi"/>
        </w:rPr>
      </w:pPr>
    </w:p>
    <w:p w14:paraId="7F593503" w14:textId="77777777" w:rsidR="00DD3125" w:rsidRPr="00E23815" w:rsidRDefault="00DD3125" w:rsidP="008226C5">
      <w:pPr>
        <w:keepNext/>
        <w:numPr>
          <w:ilvl w:val="0"/>
          <w:numId w:val="6"/>
        </w:numPr>
        <w:spacing w:after="240"/>
        <w:ind w:left="340" w:hanging="340"/>
        <w:outlineLvl w:val="1"/>
        <w:rPr>
          <w:rFonts w:eastAsia="Calibri" w:cs="Calibri"/>
          <w:b/>
        </w:rPr>
      </w:pPr>
      <w:r w:rsidRPr="00E23815">
        <w:rPr>
          <w:rFonts w:eastAsia="Calibri" w:cs="Calibri"/>
          <w:b/>
        </w:rPr>
        <w:t xml:space="preserve">Vnitřní kontrolní systém </w:t>
      </w:r>
      <w:r w:rsidR="00096715" w:rsidRPr="00E23815">
        <w:rPr>
          <w:rFonts w:eastAsia="Calibri" w:cs="Calibri"/>
          <w:b/>
        </w:rPr>
        <w:t>Ministerstva životního prostředí</w:t>
      </w:r>
    </w:p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DD3125" w:rsidRPr="00E23815" w14:paraId="5075275F" w14:textId="77777777" w:rsidTr="00165A56">
        <w:trPr>
          <w:trHeight w:val="570"/>
        </w:trPr>
        <w:tc>
          <w:tcPr>
            <w:tcW w:w="9060" w:type="dxa"/>
            <w:shd w:val="clear" w:color="auto" w:fill="E5F1FF"/>
          </w:tcPr>
          <w:p w14:paraId="1C53A888" w14:textId="77777777" w:rsidR="00DD3125" w:rsidRPr="00E23815" w:rsidRDefault="00DD3125" w:rsidP="00453CDD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E23815">
              <w:rPr>
                <w:b/>
              </w:rPr>
              <w:t xml:space="preserve">Dle NKÚ lze vnitřní kontrolní systém </w:t>
            </w:r>
            <w:r w:rsidR="00096715" w:rsidRPr="00E23815">
              <w:rPr>
                <w:b/>
              </w:rPr>
              <w:t>MŽP</w:t>
            </w:r>
            <w:r w:rsidRPr="00E23815">
              <w:rPr>
                <w:b/>
              </w:rPr>
              <w:t xml:space="preserve"> </w:t>
            </w:r>
            <w:r w:rsidR="008E5193" w:rsidRPr="00E23815">
              <w:rPr>
                <w:b/>
              </w:rPr>
              <w:t>(dále také „VKS“) po opatřeních přijatých v</w:t>
            </w:r>
            <w:r w:rsidR="00A42FC4" w:rsidRPr="00E23815">
              <w:rPr>
                <w:b/>
              </w:rPr>
              <w:t> </w:t>
            </w:r>
            <w:r w:rsidR="008E5193" w:rsidRPr="00E23815">
              <w:rPr>
                <w:b/>
              </w:rPr>
              <w:t xml:space="preserve">průběhu kontroly považovat </w:t>
            </w:r>
            <w:r w:rsidRPr="00E23815">
              <w:rPr>
                <w:b/>
              </w:rPr>
              <w:t>v prověřovaných oblastech za účinný</w:t>
            </w:r>
            <w:r w:rsidRPr="00E23815">
              <w:rPr>
                <w:rFonts w:eastAsiaTheme="minorHAnsi" w:cs="Calibri"/>
                <w:b/>
              </w:rPr>
              <w:t>.</w:t>
            </w:r>
            <w:r w:rsidRPr="00E23815">
              <w:rPr>
                <w:rFonts w:eastAsiaTheme="minorHAnsi" w:cs="Calibri"/>
              </w:rPr>
              <w:t xml:space="preserve"> </w:t>
            </w:r>
          </w:p>
        </w:tc>
      </w:tr>
    </w:tbl>
    <w:p w14:paraId="397449AB" w14:textId="6545B529" w:rsidR="008E5193" w:rsidRPr="00E23815" w:rsidRDefault="008E5193" w:rsidP="00453CDD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NKÚ v průběhu kontroly zjistil významné nedostatky ve vedení účetnictví, které VKS neidentifikoval. </w:t>
      </w:r>
      <w:r w:rsidR="0042032B" w:rsidRPr="00E23815">
        <w:rPr>
          <w:rFonts w:cs="Calibri"/>
        </w:rPr>
        <w:t xml:space="preserve">MŽP </w:t>
      </w:r>
      <w:r w:rsidRPr="00E23815">
        <w:rPr>
          <w:rFonts w:cs="Calibri"/>
        </w:rPr>
        <w:t>je opravil</w:t>
      </w:r>
      <w:r w:rsidR="0042032B" w:rsidRPr="00E23815">
        <w:rPr>
          <w:rFonts w:cs="Calibri"/>
        </w:rPr>
        <w:t>o</w:t>
      </w:r>
      <w:r w:rsidRPr="00E23815">
        <w:rPr>
          <w:rFonts w:cs="Calibri"/>
        </w:rPr>
        <w:t xml:space="preserve"> (viz část IV.1.1</w:t>
      </w:r>
      <w:r w:rsidR="004E3BB6" w:rsidRPr="00E23815">
        <w:rPr>
          <w:rFonts w:cs="Calibri"/>
        </w:rPr>
        <w:t xml:space="preserve"> </w:t>
      </w:r>
      <w:r w:rsidR="004E3BB6" w:rsidRPr="00E23815">
        <w:rPr>
          <w:rFonts w:eastAsiaTheme="minorHAnsi" w:cs="Calibri"/>
        </w:rPr>
        <w:t>tohoto kontrolního závěru</w:t>
      </w:r>
      <w:r w:rsidRPr="00E23815">
        <w:rPr>
          <w:rFonts w:cs="Calibri"/>
        </w:rPr>
        <w:t>) a přijal</w:t>
      </w:r>
      <w:r w:rsidR="0042032B" w:rsidRPr="00E23815">
        <w:rPr>
          <w:rFonts w:cs="Calibri"/>
        </w:rPr>
        <w:t>o</w:t>
      </w:r>
      <w:r w:rsidRPr="00E23815">
        <w:rPr>
          <w:rFonts w:cs="Calibri"/>
        </w:rPr>
        <w:t xml:space="preserve"> ve VKS </w:t>
      </w:r>
      <w:r w:rsidR="0042032B" w:rsidRPr="00E23815">
        <w:rPr>
          <w:rFonts w:cs="Calibri"/>
        </w:rPr>
        <w:t xml:space="preserve">dostatečná </w:t>
      </w:r>
      <w:r w:rsidRPr="00E23815">
        <w:rPr>
          <w:rFonts w:cs="Calibri"/>
        </w:rPr>
        <w:t>opatření k nápravě systémových nedostatků.</w:t>
      </w:r>
      <w:r w:rsidR="001A49C5" w:rsidRPr="00E23815">
        <w:rPr>
          <w:rFonts w:cs="Calibri"/>
        </w:rPr>
        <w:t xml:space="preserve"> P</w:t>
      </w:r>
      <w:r w:rsidR="001A49C5" w:rsidRPr="00E23815">
        <w:t>okud by MŽP nápravu významných nedostatků ve vedení účetnictví neprovedlo tak, aby byl</w:t>
      </w:r>
      <w:r w:rsidR="00FE0486">
        <w:t>a</w:t>
      </w:r>
      <w:r w:rsidR="001A49C5" w:rsidRPr="00E23815">
        <w:t xml:space="preserve"> realizován</w:t>
      </w:r>
      <w:r w:rsidR="00FE0486">
        <w:t>a</w:t>
      </w:r>
      <w:r w:rsidR="001A49C5" w:rsidRPr="00E23815">
        <w:t xml:space="preserve"> s účinností již pro rok 2022, vyhodnotil </w:t>
      </w:r>
      <w:r w:rsidR="009E6CFF">
        <w:t>by NKÚ vnitřní kontrolní systém</w:t>
      </w:r>
      <w:r w:rsidR="001A49C5" w:rsidRPr="00E23815">
        <w:t xml:space="preserve"> v oblasti účetnictví jako neúčinný.</w:t>
      </w:r>
    </w:p>
    <w:p w14:paraId="3D3AFD03" w14:textId="3E43CF9E" w:rsidR="00D510DB" w:rsidRPr="00E23815" w:rsidRDefault="00D510DB" w:rsidP="00453CDD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NKÚ dále </w:t>
      </w:r>
      <w:r w:rsidRPr="00E23815">
        <w:rPr>
          <w:rFonts w:eastAsia="Calibri"/>
        </w:rPr>
        <w:t>upozornil na některé operace (viz část IV.4</w:t>
      </w:r>
      <w:r w:rsidR="004E3BB6" w:rsidRPr="00E23815">
        <w:rPr>
          <w:rFonts w:eastAsia="Calibri"/>
        </w:rPr>
        <w:t xml:space="preserve"> </w:t>
      </w:r>
      <w:r w:rsidR="004E3BB6" w:rsidRPr="00E23815">
        <w:rPr>
          <w:rFonts w:eastAsiaTheme="minorHAnsi" w:cs="Calibri"/>
        </w:rPr>
        <w:t>tohoto kontrolního závěru</w:t>
      </w:r>
      <w:r w:rsidRPr="00E23815">
        <w:rPr>
          <w:rFonts w:eastAsia="Calibri"/>
        </w:rPr>
        <w:t xml:space="preserve">), </w:t>
      </w:r>
      <w:r w:rsidR="00FE0486">
        <w:rPr>
          <w:rFonts w:eastAsia="Calibri"/>
        </w:rPr>
        <w:t>u</w:t>
      </w:r>
      <w:r w:rsidRPr="00E23815">
        <w:rPr>
          <w:rFonts w:eastAsia="Calibri"/>
        </w:rPr>
        <w:t xml:space="preserve"> kterých VKS včas neodhalil související rizika a nezabránil porušení právních předpisů. Uvedené nedostatky však nebyly takového rozsahu, aby byly ze strany NKÚ vyhodnoceny jako významné, proto NKÚ v rámci prověřovaných operací vyhodnotil VKS jako účinný.</w:t>
      </w:r>
    </w:p>
    <w:p w14:paraId="1B093867" w14:textId="77777777" w:rsidR="00090591" w:rsidRPr="00E23815" w:rsidRDefault="00090591" w:rsidP="00453CDD">
      <w:pPr>
        <w:spacing w:after="0"/>
        <w:jc w:val="both"/>
        <w:rPr>
          <w:rFonts w:cs="Calibri"/>
          <w:b/>
        </w:rPr>
      </w:pPr>
    </w:p>
    <w:p w14:paraId="4BC598DD" w14:textId="77777777" w:rsidR="007C4EBA" w:rsidRPr="00E23815" w:rsidRDefault="001F445D" w:rsidP="008226C5">
      <w:pPr>
        <w:pStyle w:val="Styl2"/>
        <w:numPr>
          <w:ilvl w:val="0"/>
          <w:numId w:val="6"/>
        </w:numPr>
        <w:ind w:left="340" w:hanging="340"/>
      </w:pPr>
      <w:bookmarkStart w:id="3" w:name="_Hlk134099608"/>
      <w:bookmarkStart w:id="4" w:name="_Hlk134099503"/>
      <w:r w:rsidRPr="00E23815">
        <w:lastRenderedPageBreak/>
        <w:t>Skutečnosti nasvědčující p</w:t>
      </w:r>
      <w:r w:rsidR="007C4EBA" w:rsidRPr="00E23815">
        <w:t>orušení rozpočtové kázně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7C4EBA" w:rsidRPr="00E23815" w14:paraId="177D8FF1" w14:textId="77777777" w:rsidTr="002723E3">
        <w:tc>
          <w:tcPr>
            <w:tcW w:w="9060" w:type="dxa"/>
            <w:shd w:val="clear" w:color="auto" w:fill="E5F1FF"/>
          </w:tcPr>
          <w:p w14:paraId="76864121" w14:textId="77777777" w:rsidR="007C4EBA" w:rsidRPr="00E23815" w:rsidRDefault="001C2E0D" w:rsidP="002723E3">
            <w:pPr>
              <w:spacing w:before="120"/>
              <w:jc w:val="both"/>
              <w:rPr>
                <w:rFonts w:eastAsiaTheme="minorHAnsi" w:cs="Calibri"/>
                <w:b/>
              </w:rPr>
            </w:pPr>
            <w:r w:rsidRPr="00E23815">
              <w:rPr>
                <w:rFonts w:eastAsiaTheme="minorHAnsi" w:cs="Calibri"/>
                <w:b/>
              </w:rPr>
              <w:t>NKÚ zjistil skutečnosti nasvědčující porušení rozpočtové kázně</w:t>
            </w:r>
            <w:r w:rsidR="0015643B" w:rsidRPr="00E23815">
              <w:rPr>
                <w:rFonts w:eastAsiaTheme="minorHAnsi" w:cs="Calibri"/>
                <w:b/>
              </w:rPr>
              <w:t xml:space="preserve"> </w:t>
            </w:r>
            <w:r w:rsidR="0073698A" w:rsidRPr="00E23815">
              <w:rPr>
                <w:rFonts w:eastAsiaTheme="minorHAnsi" w:cs="Calibri"/>
                <w:b/>
              </w:rPr>
              <w:t>až do výše</w:t>
            </w:r>
            <w:r w:rsidR="0015643B" w:rsidRPr="00E23815">
              <w:rPr>
                <w:rFonts w:eastAsiaTheme="minorHAnsi" w:cs="Calibri"/>
                <w:b/>
              </w:rPr>
              <w:t xml:space="preserve"> </w:t>
            </w:r>
            <w:r w:rsidR="00703D90" w:rsidRPr="00E23815">
              <w:rPr>
                <w:rFonts w:eastAsiaTheme="minorHAnsi" w:cs="Calibri"/>
                <w:b/>
              </w:rPr>
              <w:t>2</w:t>
            </w:r>
            <w:r w:rsidR="0073698A" w:rsidRPr="00E23815">
              <w:rPr>
                <w:rFonts w:eastAsiaTheme="minorHAnsi" w:cs="Calibri"/>
                <w:b/>
              </w:rPr>
              <w:t>,3</w:t>
            </w:r>
            <w:r w:rsidR="0015643B" w:rsidRPr="00E23815">
              <w:rPr>
                <w:rFonts w:eastAsiaTheme="minorHAnsi" w:cs="Calibri"/>
                <w:b/>
              </w:rPr>
              <w:t xml:space="preserve"> </w:t>
            </w:r>
            <w:r w:rsidR="0073698A" w:rsidRPr="00E23815">
              <w:rPr>
                <w:rFonts w:eastAsiaTheme="minorHAnsi" w:cs="Calibri"/>
                <w:b/>
              </w:rPr>
              <w:t>mil</w:t>
            </w:r>
            <w:r w:rsidR="0015643B" w:rsidRPr="00E23815">
              <w:rPr>
                <w:rFonts w:eastAsiaTheme="minorHAnsi" w:cs="Calibri"/>
                <w:b/>
              </w:rPr>
              <w:t>. Kč</w:t>
            </w:r>
            <w:r w:rsidRPr="00E23815">
              <w:rPr>
                <w:rFonts w:eastAsiaTheme="minorHAnsi" w:cs="Calibri"/>
                <w:b/>
              </w:rPr>
              <w:t xml:space="preserve"> </w:t>
            </w:r>
            <w:r w:rsidRPr="00E23815">
              <w:rPr>
                <w:rFonts w:eastAsiaTheme="minorHAnsi" w:cs="Calibri"/>
              </w:rPr>
              <w:t>(viz</w:t>
            </w:r>
            <w:r w:rsidR="0073698A" w:rsidRPr="00E23815">
              <w:rPr>
                <w:rFonts w:eastAsiaTheme="minorHAnsi" w:cs="Calibri"/>
              </w:rPr>
              <w:t> </w:t>
            </w:r>
            <w:r w:rsidRPr="00E23815">
              <w:rPr>
                <w:rFonts w:eastAsiaTheme="minorHAnsi" w:cs="Calibri"/>
              </w:rPr>
              <w:t>část IV.</w:t>
            </w:r>
            <w:r w:rsidR="0042032B" w:rsidRPr="00E23815">
              <w:rPr>
                <w:rFonts w:eastAsiaTheme="minorHAnsi" w:cs="Calibri"/>
              </w:rPr>
              <w:t>5</w:t>
            </w:r>
            <w:r w:rsidR="004E3BB6" w:rsidRPr="00E23815">
              <w:rPr>
                <w:rFonts w:eastAsiaTheme="minorHAnsi" w:cs="Calibri"/>
              </w:rPr>
              <w:t xml:space="preserve"> tohoto kontrolního závěru</w:t>
            </w:r>
            <w:r w:rsidRPr="00E23815">
              <w:rPr>
                <w:rFonts w:eastAsiaTheme="minorHAnsi" w:cs="Calibri"/>
              </w:rPr>
              <w:t>)</w:t>
            </w:r>
            <w:r w:rsidR="007C4EBA" w:rsidRPr="00E23815">
              <w:rPr>
                <w:rFonts w:eastAsiaTheme="minorHAnsi" w:cs="Calibri"/>
              </w:rPr>
              <w:t xml:space="preserve">. </w:t>
            </w:r>
          </w:p>
        </w:tc>
      </w:tr>
    </w:tbl>
    <w:p w14:paraId="4707DB41" w14:textId="77777777" w:rsidR="00096715" w:rsidRDefault="00096715" w:rsidP="0088411F">
      <w:pPr>
        <w:spacing w:after="0"/>
      </w:pPr>
    </w:p>
    <w:p w14:paraId="13732A20" w14:textId="77777777" w:rsidR="00090591" w:rsidRPr="00E23815" w:rsidRDefault="00090591" w:rsidP="0088411F">
      <w:pPr>
        <w:spacing w:after="0"/>
      </w:pPr>
    </w:p>
    <w:p w14:paraId="4423DB7A" w14:textId="77777777" w:rsidR="00495EFA" w:rsidRPr="00E23815" w:rsidRDefault="00DD3125" w:rsidP="008226C5">
      <w:pPr>
        <w:pStyle w:val="Styl2"/>
        <w:numPr>
          <w:ilvl w:val="0"/>
          <w:numId w:val="6"/>
        </w:numPr>
        <w:ind w:left="340" w:hanging="340"/>
        <w:jc w:val="both"/>
      </w:pPr>
      <w:r w:rsidRPr="00E23815">
        <w:t xml:space="preserve">Kontrola opatření k nápravě nedostatků </w:t>
      </w:r>
      <w:r w:rsidR="00684D1B" w:rsidRPr="00E23815">
        <w:t>uvedených v kontrolním závěru z</w:t>
      </w:r>
      <w:r w:rsidRPr="00E23815">
        <w:t xml:space="preserve"> kontrolní akc</w:t>
      </w:r>
      <w:r w:rsidR="00684D1B" w:rsidRPr="00E23815">
        <w:t>e</w:t>
      </w:r>
      <w:r w:rsidRPr="00E23815">
        <w:t xml:space="preserve"> NKÚ č. 1</w:t>
      </w:r>
      <w:r w:rsidR="00096715" w:rsidRPr="00E23815">
        <w:t>7</w:t>
      </w:r>
      <w:r w:rsidRPr="00E23815">
        <w:t>/</w:t>
      </w:r>
      <w:r w:rsidR="00096715" w:rsidRPr="00E23815">
        <w:t>18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495EFA" w:rsidRPr="00E23815" w14:paraId="70AEF5CC" w14:textId="77777777" w:rsidTr="00F117F2">
        <w:tc>
          <w:tcPr>
            <w:tcW w:w="9060" w:type="dxa"/>
            <w:shd w:val="clear" w:color="auto" w:fill="E5F1FF"/>
          </w:tcPr>
          <w:p w14:paraId="2EA7A699" w14:textId="1C4328CF" w:rsidR="00495EFA" w:rsidRPr="00E23815" w:rsidRDefault="001A5B5F" w:rsidP="00453CDD">
            <w:pPr>
              <w:spacing w:before="120"/>
              <w:jc w:val="both"/>
              <w:rPr>
                <w:rFonts w:eastAsiaTheme="minorHAnsi" w:cs="Calibri"/>
                <w:b/>
              </w:rPr>
            </w:pPr>
            <w:bookmarkStart w:id="5" w:name="_Hlk136606220"/>
            <w:bookmarkEnd w:id="3"/>
            <w:r w:rsidRPr="00E23815">
              <w:rPr>
                <w:rFonts w:asciiTheme="minorHAnsi" w:hAnsiTheme="minorHAnsi" w:cstheme="minorHAnsi"/>
                <w:b/>
                <w:bCs/>
              </w:rPr>
              <w:t>MŽP</w:t>
            </w:r>
            <w:r w:rsidR="00684D1B" w:rsidRPr="00E23815">
              <w:rPr>
                <w:rFonts w:asciiTheme="minorHAnsi" w:hAnsiTheme="minorHAnsi" w:cstheme="minorHAnsi"/>
                <w:b/>
                <w:bCs/>
              </w:rPr>
              <w:t xml:space="preserve"> realizoval</w:t>
            </w:r>
            <w:r w:rsidR="00B735EE" w:rsidRPr="00E23815">
              <w:rPr>
                <w:rFonts w:asciiTheme="minorHAnsi" w:hAnsiTheme="minorHAnsi" w:cstheme="minorHAnsi"/>
                <w:b/>
                <w:bCs/>
              </w:rPr>
              <w:t>o</w:t>
            </w:r>
            <w:r w:rsidR="00684D1B" w:rsidRPr="00E23815">
              <w:rPr>
                <w:rFonts w:asciiTheme="minorHAnsi" w:hAnsiTheme="minorHAnsi" w:cstheme="minorHAnsi"/>
                <w:b/>
                <w:bCs/>
              </w:rPr>
              <w:t xml:space="preserve"> úplně a správně </w:t>
            </w:r>
            <w:r w:rsidR="00B735EE" w:rsidRPr="00E23815">
              <w:rPr>
                <w:rFonts w:asciiTheme="minorHAnsi" w:hAnsiTheme="minorHAnsi" w:cstheme="minorHAnsi"/>
                <w:b/>
                <w:bCs/>
              </w:rPr>
              <w:t xml:space="preserve">všechna </w:t>
            </w:r>
            <w:r w:rsidR="00684D1B" w:rsidRPr="00E23815">
              <w:rPr>
                <w:rFonts w:asciiTheme="minorHAnsi" w:hAnsiTheme="minorHAnsi" w:cstheme="minorHAnsi"/>
                <w:b/>
                <w:bCs/>
              </w:rPr>
              <w:t>opatření</w:t>
            </w:r>
            <w:r w:rsidR="00B735EE" w:rsidRPr="00E2381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 xml:space="preserve">k nápravě nedostatků zjištěných </w:t>
            </w:r>
            <w:r w:rsidR="00E3652B" w:rsidRPr="00E23815">
              <w:rPr>
                <w:rFonts w:asciiTheme="minorHAnsi" w:hAnsiTheme="minorHAnsi" w:cstheme="minorHAnsi"/>
                <w:b/>
                <w:bCs/>
              </w:rPr>
              <w:t xml:space="preserve">v </w:t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>KA č. 17/18</w:t>
            </w:r>
            <w:r w:rsidR="00AC2DCF" w:rsidRPr="00E23815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9"/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FE0486">
              <w:rPr>
                <w:rFonts w:asciiTheme="minorHAnsi" w:hAnsiTheme="minorHAnsi" w:cstheme="minorHAnsi"/>
                <w:b/>
                <w:bCs/>
              </w:rPr>
              <w:t xml:space="preserve">tj. realizovalo </w:t>
            </w:r>
            <w:r w:rsidR="003F0B3D">
              <w:rPr>
                <w:rFonts w:asciiTheme="minorHAnsi" w:hAnsiTheme="minorHAnsi" w:cstheme="minorHAnsi"/>
                <w:b/>
                <w:bCs/>
              </w:rPr>
              <w:t xml:space="preserve">všechna </w:t>
            </w:r>
            <w:r w:rsidR="00FE0486">
              <w:rPr>
                <w:rFonts w:asciiTheme="minorHAnsi" w:hAnsiTheme="minorHAnsi" w:cstheme="minorHAnsi"/>
                <w:b/>
                <w:bCs/>
              </w:rPr>
              <w:t xml:space="preserve">opatření, </w:t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>která vyplynula z</w:t>
            </w:r>
            <w:r w:rsidR="005E725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>usnesení vlády ČR ze dne 19.</w:t>
            </w:r>
            <w:r w:rsidR="003F0B3D">
              <w:rPr>
                <w:rFonts w:asciiTheme="minorHAnsi" w:hAnsiTheme="minorHAnsi" w:cstheme="minorHAnsi"/>
                <w:b/>
                <w:bCs/>
              </w:rPr>
              <w:t> </w:t>
            </w:r>
            <w:r w:rsidR="00AC2DCF" w:rsidRPr="00E23815">
              <w:rPr>
                <w:rFonts w:asciiTheme="minorHAnsi" w:hAnsiTheme="minorHAnsi" w:cstheme="minorHAnsi"/>
                <w:b/>
                <w:bCs/>
              </w:rPr>
              <w:t>června 2018 č. 383</w:t>
            </w:r>
            <w:r w:rsidR="00AC2DCF" w:rsidRPr="00E23815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0"/>
            </w:r>
            <w:r w:rsidR="00B735EE" w:rsidRPr="00E2381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84D1B" w:rsidRPr="00E23815">
              <w:rPr>
                <w:rFonts w:asciiTheme="minorHAnsi" w:hAnsiTheme="minorHAnsi" w:cstheme="minorHAnsi"/>
              </w:rPr>
              <w:t>(viz část IV.</w:t>
            </w:r>
            <w:r w:rsidR="00784C94" w:rsidRPr="00E23815">
              <w:rPr>
                <w:rFonts w:asciiTheme="minorHAnsi" w:hAnsiTheme="minorHAnsi" w:cstheme="minorHAnsi"/>
              </w:rPr>
              <w:t>6</w:t>
            </w:r>
            <w:r w:rsidR="004E3BB6" w:rsidRPr="00E23815">
              <w:rPr>
                <w:rFonts w:asciiTheme="minorHAnsi" w:hAnsiTheme="minorHAnsi" w:cstheme="minorHAnsi"/>
              </w:rPr>
              <w:t xml:space="preserve"> </w:t>
            </w:r>
            <w:r w:rsidR="004E3BB6" w:rsidRPr="00E23815">
              <w:rPr>
                <w:rFonts w:eastAsiaTheme="minorHAnsi" w:cs="Calibri"/>
              </w:rPr>
              <w:t>tohoto kontrolního závěru</w:t>
            </w:r>
            <w:r w:rsidR="00684D1B" w:rsidRPr="00E23815">
              <w:rPr>
                <w:rFonts w:asciiTheme="minorHAnsi" w:hAnsiTheme="minorHAnsi" w:cstheme="minorHAnsi"/>
              </w:rPr>
              <w:t>)</w:t>
            </w:r>
            <w:r w:rsidR="00684D1B" w:rsidRPr="00E23815">
              <w:rPr>
                <w:rFonts w:asciiTheme="minorHAnsi" w:hAnsiTheme="minorHAnsi" w:cstheme="minorHAnsi"/>
                <w:bCs/>
              </w:rPr>
              <w:t>.</w:t>
            </w:r>
          </w:p>
        </w:tc>
      </w:tr>
      <w:bookmarkEnd w:id="4"/>
      <w:bookmarkEnd w:id="5"/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6"/>
      </w:tblGrid>
      <w:tr w:rsidR="00DD3125" w:rsidRPr="00E23815" w14:paraId="619E8CCF" w14:textId="77777777">
        <w:trPr>
          <w:trHeight w:val="120"/>
        </w:trPr>
        <w:tc>
          <w:tcPr>
            <w:tcW w:w="4526" w:type="dxa"/>
          </w:tcPr>
          <w:p w14:paraId="0318987C" w14:textId="77777777" w:rsidR="00DD3125" w:rsidRPr="00E23815" w:rsidRDefault="00DD3125" w:rsidP="00DD3125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3"/>
                <w:szCs w:val="23"/>
              </w:rPr>
            </w:pPr>
          </w:p>
        </w:tc>
      </w:tr>
    </w:tbl>
    <w:p w14:paraId="1A8CD126" w14:textId="77777777" w:rsidR="00566C57" w:rsidRDefault="00566C57">
      <w:pPr>
        <w:spacing w:after="160" w:line="259" w:lineRule="auto"/>
        <w:rPr>
          <w:rFonts w:cs="Calibri"/>
        </w:rPr>
      </w:pPr>
    </w:p>
    <w:p w14:paraId="27405129" w14:textId="77777777" w:rsidR="00566C57" w:rsidRDefault="00566C57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697647C4" w14:textId="77777777" w:rsidR="007028BF" w:rsidRPr="00E23815" w:rsidRDefault="007028BF">
      <w:pPr>
        <w:spacing w:after="160" w:line="259" w:lineRule="auto"/>
        <w:rPr>
          <w:rFonts w:cs="Calibri"/>
        </w:rPr>
      </w:pPr>
    </w:p>
    <w:p w14:paraId="79AC1B0B" w14:textId="77777777" w:rsidR="00E91FF5" w:rsidRPr="00E23815" w:rsidRDefault="00A640AE" w:rsidP="00D10727">
      <w:pPr>
        <w:pStyle w:val="Styl1"/>
        <w:ind w:left="414" w:hanging="57"/>
      </w:pPr>
      <w:r w:rsidRPr="00E23815">
        <w:t>Informace o kontrolované oblasti</w:t>
      </w:r>
    </w:p>
    <w:p w14:paraId="5A9663F7" w14:textId="77777777" w:rsidR="00C159BE" w:rsidRPr="00E23815" w:rsidRDefault="00C159BE" w:rsidP="001A79A3">
      <w:pPr>
        <w:keepNext/>
        <w:spacing w:after="0"/>
        <w:jc w:val="both"/>
        <w:rPr>
          <w:rFonts w:cs="Calibri"/>
        </w:rPr>
      </w:pPr>
    </w:p>
    <w:p w14:paraId="5685D505" w14:textId="4C8D23F5" w:rsidR="00D156DD" w:rsidRPr="00E23815" w:rsidRDefault="008A3B72" w:rsidP="008A3B72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MŽP </w:t>
      </w:r>
      <w:r w:rsidR="00090591">
        <w:rPr>
          <w:rFonts w:asciiTheme="minorHAnsi" w:hAnsiTheme="minorHAnsi" w:cstheme="minorHAnsi"/>
        </w:rPr>
        <w:t>je dle zákona České národní rady</w:t>
      </w:r>
      <w:r w:rsidRPr="00E23815">
        <w:rPr>
          <w:rFonts w:asciiTheme="minorHAnsi" w:hAnsiTheme="minorHAnsi" w:cstheme="minorHAnsi"/>
        </w:rPr>
        <w:t xml:space="preserve"> č. 2/1969 Sb., o zřízení ministerstev a jiných ústředních orgánů státní správy České republiky</w:t>
      </w:r>
      <w:r w:rsidR="00090591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</w:rPr>
        <w:t xml:space="preserve"> orgánem vrchního dozoru ve věcech životního prostředí, ústředním orgánem státní správy pro ochranu přirozené akumulace vod, ochranu vodních zdrojů a ochranu jakosti povrchových a podzemních vod, pro ochranu ovzduší, pro ochranu přírody a krajiny, pro oblast provozování zoologických zahrad, pro ochranu zemědělského půdního fondu, pro výkon státní geologické služby, pro ochranu horninového prostředí, včetně ochrany nerostných zdrojů a podzemních vod, pro geologické práce a pro ekologický dohled nad těžbou, pro odpadové hospodářství a pro posuzování vlivů činností a jejich důsledků na životní prostředí, včetně těch, které přesahují státní hranice. Dále je ústředním orgánem státní správy pro myslivost, rybářství a lesní hospodářství v národních parcích. Je rovněž ústředním orgánem státní správy pro státní ekologickou politiku, pro systém značení ekologicky šetrných výrobků a služeb a pro program podporující dobrovolnou účast v systému řízení podniku a</w:t>
      </w:r>
      <w:r w:rsidR="00853B7D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auditu z hlediska ochrany životního prostředí (</w:t>
      </w:r>
      <w:r w:rsidR="003F0B3D">
        <w:rPr>
          <w:rFonts w:asciiTheme="minorHAnsi" w:hAnsiTheme="minorHAnsi" w:cstheme="minorHAnsi"/>
        </w:rPr>
        <w:t>p</w:t>
      </w:r>
      <w:r w:rsidRPr="00E23815">
        <w:rPr>
          <w:rFonts w:asciiTheme="minorHAnsi" w:hAnsiTheme="minorHAnsi" w:cstheme="minorHAnsi"/>
        </w:rPr>
        <w:t>rogram EMAS).</w:t>
      </w:r>
      <w:r w:rsidR="00D156DD" w:rsidRPr="00E23815">
        <w:rPr>
          <w:rFonts w:asciiTheme="minorHAnsi" w:hAnsiTheme="minorHAnsi" w:cstheme="minorHAnsi"/>
        </w:rPr>
        <w:t xml:space="preserve"> </w:t>
      </w:r>
    </w:p>
    <w:p w14:paraId="6749F5EF" w14:textId="5959EBC8" w:rsidR="00D156DD" w:rsidRPr="00E23815" w:rsidRDefault="00D156DD" w:rsidP="009D290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V souladu se zákonem č. 219/2000 Sb.</w:t>
      </w:r>
      <w:r w:rsidRPr="00E23815">
        <w:rPr>
          <w:rStyle w:val="Znakapoznpodarou"/>
          <w:rFonts w:asciiTheme="minorHAnsi" w:hAnsiTheme="minorHAnsi" w:cstheme="minorHAnsi"/>
        </w:rPr>
        <w:footnoteReference w:id="11"/>
      </w:r>
      <w:r w:rsidRPr="00E23815">
        <w:rPr>
          <w:rFonts w:asciiTheme="minorHAnsi" w:hAnsiTheme="minorHAnsi" w:cstheme="minorHAnsi"/>
        </w:rPr>
        <w:t xml:space="preserve"> je </w:t>
      </w:r>
      <w:r w:rsidR="008A3B72" w:rsidRPr="00E23815">
        <w:rPr>
          <w:rFonts w:asciiTheme="minorHAnsi" w:hAnsiTheme="minorHAnsi" w:cstheme="minorHAnsi"/>
        </w:rPr>
        <w:t>MŽP</w:t>
      </w:r>
      <w:r w:rsidRPr="00E23815">
        <w:rPr>
          <w:rFonts w:asciiTheme="minorHAnsi" w:hAnsiTheme="minorHAnsi" w:cstheme="minorHAnsi"/>
        </w:rPr>
        <w:t xml:space="preserve"> organizační složkou státu a</w:t>
      </w:r>
      <w:r w:rsidR="003F0B3D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dle zákona </w:t>
      </w:r>
      <w:r w:rsidR="005C2C83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č.</w:t>
      </w:r>
      <w:r w:rsidR="005C2C83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563/1991 Sb.</w:t>
      </w:r>
      <w:r w:rsidR="002D08FC" w:rsidRPr="00E23815">
        <w:rPr>
          <w:rStyle w:val="Znakapoznpodarou"/>
          <w:rFonts w:asciiTheme="minorHAnsi" w:hAnsiTheme="minorHAnsi" w:cstheme="minorHAnsi"/>
        </w:rPr>
        <w:footnoteReference w:id="12"/>
      </w:r>
      <w:r w:rsidRPr="00E23815">
        <w:rPr>
          <w:rFonts w:asciiTheme="minorHAnsi" w:hAnsiTheme="minorHAnsi" w:cstheme="minorHAnsi"/>
        </w:rPr>
        <w:t xml:space="preserve"> vybranou účetní jednotkou. </w:t>
      </w:r>
      <w:r w:rsidR="008A3B72" w:rsidRPr="00E23815">
        <w:rPr>
          <w:rFonts w:asciiTheme="minorHAnsi" w:hAnsiTheme="minorHAnsi" w:cstheme="minorHAnsi"/>
        </w:rPr>
        <w:t xml:space="preserve">MŽP je ústředním orgánem státní správy </w:t>
      </w:r>
      <w:r w:rsidR="003F0B3D">
        <w:rPr>
          <w:rFonts w:asciiTheme="minorHAnsi" w:hAnsiTheme="minorHAnsi" w:cstheme="minorHAnsi"/>
        </w:rPr>
        <w:br/>
      </w:r>
      <w:r w:rsidR="008A3B72" w:rsidRPr="00E23815">
        <w:rPr>
          <w:rFonts w:asciiTheme="minorHAnsi" w:hAnsiTheme="minorHAnsi" w:cstheme="minorHAnsi"/>
        </w:rPr>
        <w:t>a</w:t>
      </w:r>
      <w:r w:rsidR="003F0B3D">
        <w:rPr>
          <w:rFonts w:asciiTheme="minorHAnsi" w:hAnsiTheme="minorHAnsi" w:cstheme="minorHAnsi"/>
        </w:rPr>
        <w:t xml:space="preserve"> </w:t>
      </w:r>
      <w:r w:rsidR="008A3B72" w:rsidRPr="00E23815">
        <w:rPr>
          <w:rFonts w:asciiTheme="minorHAnsi" w:hAnsiTheme="minorHAnsi" w:cstheme="minorHAnsi"/>
        </w:rPr>
        <w:t xml:space="preserve">dle </w:t>
      </w:r>
      <w:r w:rsidR="006D425A">
        <w:rPr>
          <w:rFonts w:asciiTheme="minorHAnsi" w:hAnsiTheme="minorHAnsi" w:cstheme="minorHAnsi"/>
        </w:rPr>
        <w:t xml:space="preserve">ustanovení </w:t>
      </w:r>
      <w:r w:rsidR="008A3B72" w:rsidRPr="00E23815">
        <w:rPr>
          <w:rFonts w:asciiTheme="minorHAnsi" w:hAnsiTheme="minorHAnsi" w:cstheme="minorHAnsi"/>
        </w:rPr>
        <w:t>§ 3 písm.</w:t>
      </w:r>
      <w:r w:rsidR="003F0B3D">
        <w:rPr>
          <w:rFonts w:asciiTheme="minorHAnsi" w:hAnsiTheme="minorHAnsi" w:cstheme="minorHAnsi"/>
        </w:rPr>
        <w:t xml:space="preserve"> </w:t>
      </w:r>
      <w:r w:rsidR="008A3B72" w:rsidRPr="00E23815">
        <w:rPr>
          <w:rFonts w:asciiTheme="minorHAnsi" w:hAnsiTheme="minorHAnsi" w:cstheme="minorHAnsi"/>
        </w:rPr>
        <w:t>g) zákona č.</w:t>
      </w:r>
      <w:r w:rsidR="003F0B3D">
        <w:rPr>
          <w:rFonts w:asciiTheme="minorHAnsi" w:hAnsiTheme="minorHAnsi" w:cstheme="minorHAnsi"/>
        </w:rPr>
        <w:t xml:space="preserve"> </w:t>
      </w:r>
      <w:r w:rsidR="008A3B72" w:rsidRPr="00E23815">
        <w:rPr>
          <w:rFonts w:asciiTheme="minorHAnsi" w:hAnsiTheme="minorHAnsi" w:cstheme="minorHAnsi"/>
        </w:rPr>
        <w:t>218/2000 Sb.</w:t>
      </w:r>
      <w:r w:rsidR="00494DB3" w:rsidRPr="00E23815">
        <w:rPr>
          <w:rStyle w:val="Znakapoznpodarou"/>
          <w:rFonts w:asciiTheme="minorHAnsi" w:hAnsiTheme="minorHAnsi" w:cstheme="minorHAnsi"/>
        </w:rPr>
        <w:footnoteReference w:id="13"/>
      </w:r>
      <w:r w:rsidR="008A3B72" w:rsidRPr="00E23815">
        <w:rPr>
          <w:rFonts w:asciiTheme="minorHAnsi" w:hAnsiTheme="minorHAnsi" w:cstheme="minorHAnsi"/>
        </w:rPr>
        <w:t xml:space="preserve"> správcem rozpočtové kapitoly 315</w:t>
      </w:r>
      <w:r w:rsidR="00BC6554">
        <w:rPr>
          <w:rFonts w:asciiTheme="minorHAnsi" w:hAnsiTheme="minorHAnsi" w:cstheme="minorHAnsi"/>
        </w:rPr>
        <w:t> – </w:t>
      </w:r>
      <w:r w:rsidR="008A3B72" w:rsidRPr="00E23815">
        <w:rPr>
          <w:rFonts w:asciiTheme="minorHAnsi" w:hAnsiTheme="minorHAnsi" w:cstheme="minorHAnsi"/>
          <w:i/>
        </w:rPr>
        <w:t>Ministerstvo životního prostředí</w:t>
      </w:r>
      <w:r w:rsidR="008A3B72" w:rsidRPr="00E23815">
        <w:rPr>
          <w:rFonts w:asciiTheme="minorHAnsi" w:hAnsiTheme="minorHAnsi" w:cstheme="minorHAnsi"/>
        </w:rPr>
        <w:t xml:space="preserve">. Dle </w:t>
      </w:r>
      <w:r w:rsidR="006D425A">
        <w:rPr>
          <w:rFonts w:asciiTheme="minorHAnsi" w:hAnsiTheme="minorHAnsi" w:cstheme="minorHAnsi"/>
        </w:rPr>
        <w:t xml:space="preserve">ustanovení </w:t>
      </w:r>
      <w:r w:rsidR="008A3B72" w:rsidRPr="00E23815">
        <w:rPr>
          <w:rFonts w:asciiTheme="minorHAnsi" w:hAnsiTheme="minorHAnsi" w:cstheme="minorHAnsi"/>
        </w:rPr>
        <w:t>§ 17 odst. 1 zákona č.</w:t>
      </w:r>
      <w:r w:rsidR="00566C57">
        <w:rPr>
          <w:rFonts w:asciiTheme="minorHAnsi" w:hAnsiTheme="minorHAnsi" w:cstheme="minorHAnsi"/>
        </w:rPr>
        <w:t> </w:t>
      </w:r>
      <w:r w:rsidR="008A3B72" w:rsidRPr="00E23815">
        <w:rPr>
          <w:rFonts w:asciiTheme="minorHAnsi" w:hAnsiTheme="minorHAnsi" w:cstheme="minorHAnsi"/>
        </w:rPr>
        <w:t>383/2012</w:t>
      </w:r>
      <w:r w:rsidR="00566C57">
        <w:rPr>
          <w:rFonts w:asciiTheme="minorHAnsi" w:hAnsiTheme="minorHAnsi" w:cstheme="minorHAnsi"/>
        </w:rPr>
        <w:t> </w:t>
      </w:r>
      <w:r w:rsidR="008A3B72" w:rsidRPr="00E23815">
        <w:rPr>
          <w:rFonts w:asciiTheme="minorHAnsi" w:hAnsiTheme="minorHAnsi" w:cstheme="minorHAnsi"/>
        </w:rPr>
        <w:t>Sb</w:t>
      </w:r>
      <w:r w:rsidR="00224CFA" w:rsidRPr="00E23815">
        <w:rPr>
          <w:rFonts w:asciiTheme="minorHAnsi" w:hAnsiTheme="minorHAnsi" w:cstheme="minorHAnsi"/>
        </w:rPr>
        <w:t>.</w:t>
      </w:r>
      <w:r w:rsidR="008D4250">
        <w:rPr>
          <w:rStyle w:val="Znakapoznpodarou"/>
          <w:rFonts w:asciiTheme="minorHAnsi" w:hAnsiTheme="minorHAnsi" w:cstheme="minorHAnsi"/>
        </w:rPr>
        <w:footnoteReference w:id="14"/>
      </w:r>
      <w:r w:rsidR="008A3B72" w:rsidRPr="00E23815">
        <w:rPr>
          <w:rFonts w:asciiTheme="minorHAnsi" w:hAnsiTheme="minorHAnsi" w:cstheme="minorHAnsi"/>
        </w:rPr>
        <w:t xml:space="preserve"> </w:t>
      </w:r>
      <w:r w:rsidR="00210B80" w:rsidRPr="00E23815">
        <w:rPr>
          <w:rFonts w:asciiTheme="minorHAnsi" w:hAnsiTheme="minorHAnsi" w:cstheme="minorHAnsi"/>
        </w:rPr>
        <w:t>j</w:t>
      </w:r>
      <w:r w:rsidR="003F0B3D">
        <w:rPr>
          <w:rFonts w:asciiTheme="minorHAnsi" w:hAnsiTheme="minorHAnsi" w:cstheme="minorHAnsi"/>
        </w:rPr>
        <w:t>sou</w:t>
      </w:r>
      <w:r w:rsidR="00210B80" w:rsidRPr="00E23815">
        <w:rPr>
          <w:rFonts w:asciiTheme="minorHAnsi" w:hAnsiTheme="minorHAnsi" w:cstheme="minorHAnsi"/>
        </w:rPr>
        <w:t xml:space="preserve"> povolenk</w:t>
      </w:r>
      <w:r w:rsidR="003F0B3D">
        <w:rPr>
          <w:rFonts w:asciiTheme="minorHAnsi" w:hAnsiTheme="minorHAnsi" w:cstheme="minorHAnsi"/>
        </w:rPr>
        <w:t>y</w:t>
      </w:r>
      <w:r w:rsidR="00E270F6" w:rsidRPr="00E23815">
        <w:rPr>
          <w:rFonts w:asciiTheme="minorHAnsi" w:hAnsiTheme="minorHAnsi" w:cstheme="minorHAnsi"/>
        </w:rPr>
        <w:t xml:space="preserve"> na emise</w:t>
      </w:r>
      <w:r w:rsidR="00BA3E7C" w:rsidRPr="00E23815">
        <w:rPr>
          <w:rFonts w:asciiTheme="minorHAnsi" w:hAnsiTheme="minorHAnsi" w:cstheme="minorHAnsi"/>
        </w:rPr>
        <w:t xml:space="preserve"> </w:t>
      </w:r>
      <w:r w:rsidR="00BA3E7C" w:rsidRPr="00E23815">
        <w:t>skleníkových plynů</w:t>
      </w:r>
      <w:r w:rsidR="00210B80" w:rsidRPr="00E23815">
        <w:rPr>
          <w:rFonts w:asciiTheme="minorHAnsi" w:hAnsiTheme="minorHAnsi" w:cstheme="minorHAnsi"/>
        </w:rPr>
        <w:t>, roční emisní příděly a</w:t>
      </w:r>
      <w:r w:rsidR="003F0B3D">
        <w:rPr>
          <w:rFonts w:asciiTheme="minorHAnsi" w:hAnsiTheme="minorHAnsi" w:cstheme="minorHAnsi"/>
        </w:rPr>
        <w:t xml:space="preserve"> </w:t>
      </w:r>
      <w:r w:rsidR="00210B80" w:rsidRPr="00E23815">
        <w:rPr>
          <w:rFonts w:asciiTheme="minorHAnsi" w:hAnsiTheme="minorHAnsi" w:cstheme="minorHAnsi"/>
        </w:rPr>
        <w:t>jin</w:t>
      </w:r>
      <w:r w:rsidR="003F0B3D">
        <w:rPr>
          <w:rFonts w:asciiTheme="minorHAnsi" w:hAnsiTheme="minorHAnsi" w:cstheme="minorHAnsi"/>
        </w:rPr>
        <w:t>á</w:t>
      </w:r>
      <w:r w:rsidR="00210B80" w:rsidRPr="00E23815">
        <w:rPr>
          <w:rFonts w:asciiTheme="minorHAnsi" w:hAnsiTheme="minorHAnsi" w:cstheme="minorHAnsi"/>
        </w:rPr>
        <w:t xml:space="preserve"> práv</w:t>
      </w:r>
      <w:r w:rsidR="003F0B3D">
        <w:rPr>
          <w:rFonts w:asciiTheme="minorHAnsi" w:hAnsiTheme="minorHAnsi" w:cstheme="minorHAnsi"/>
        </w:rPr>
        <w:t>a</w:t>
      </w:r>
      <w:r w:rsidR="00210B80" w:rsidRPr="00E23815">
        <w:rPr>
          <w:rFonts w:asciiTheme="minorHAnsi" w:hAnsiTheme="minorHAnsi" w:cstheme="minorHAnsi"/>
        </w:rPr>
        <w:t xml:space="preserve"> k vypouštění emisí majetkem Č</w:t>
      </w:r>
      <w:r w:rsidR="003F0B3D">
        <w:rPr>
          <w:rFonts w:asciiTheme="minorHAnsi" w:hAnsiTheme="minorHAnsi" w:cstheme="minorHAnsi"/>
        </w:rPr>
        <w:t>R, se kterým je příslušné hospodařit MŽP</w:t>
      </w:r>
      <w:r w:rsidR="001A49C5" w:rsidRPr="00E23815">
        <w:rPr>
          <w:rFonts w:asciiTheme="minorHAnsi" w:hAnsiTheme="minorHAnsi" w:cstheme="minorHAnsi"/>
        </w:rPr>
        <w:t>;</w:t>
      </w:r>
      <w:r w:rsidR="00B96737">
        <w:rPr>
          <w:rFonts w:asciiTheme="minorHAnsi" w:hAnsiTheme="minorHAnsi" w:cstheme="minorHAnsi"/>
        </w:rPr>
        <w:t xml:space="preserve"> tento zákon současně stanovuje, že</w:t>
      </w:r>
      <w:r w:rsidR="00210B80" w:rsidRPr="00E23815">
        <w:rPr>
          <w:rFonts w:asciiTheme="minorHAnsi" w:hAnsiTheme="minorHAnsi" w:cstheme="minorHAnsi"/>
        </w:rPr>
        <w:t xml:space="preserve"> </w:t>
      </w:r>
      <w:r w:rsidR="001A49C5" w:rsidRPr="00E23815">
        <w:rPr>
          <w:rFonts w:asciiTheme="minorHAnsi" w:hAnsiTheme="minorHAnsi" w:cstheme="minorHAnsi"/>
        </w:rPr>
        <w:t>n</w:t>
      </w:r>
      <w:r w:rsidR="008A3B72" w:rsidRPr="00E23815">
        <w:rPr>
          <w:rFonts w:asciiTheme="minorHAnsi" w:hAnsiTheme="minorHAnsi" w:cstheme="minorHAnsi"/>
        </w:rPr>
        <w:t>a hospodaření s </w:t>
      </w:r>
      <w:r w:rsidR="00954016">
        <w:rPr>
          <w:rFonts w:asciiTheme="minorHAnsi" w:hAnsiTheme="minorHAnsi" w:cstheme="minorHAnsi"/>
        </w:rPr>
        <w:t>uvedeným</w:t>
      </w:r>
      <w:r w:rsidR="008A3B72" w:rsidRPr="00E23815">
        <w:rPr>
          <w:rFonts w:asciiTheme="minorHAnsi" w:hAnsiTheme="minorHAnsi" w:cstheme="minorHAnsi"/>
        </w:rPr>
        <w:t xml:space="preserve"> majetkem se nevztahuje zákon č. 219/2000 Sb</w:t>
      </w:r>
      <w:r w:rsidR="00954126" w:rsidRPr="00E23815">
        <w:rPr>
          <w:rFonts w:asciiTheme="minorHAnsi" w:hAnsiTheme="minorHAnsi" w:cstheme="minorHAnsi"/>
        </w:rPr>
        <w:t>.</w:t>
      </w:r>
    </w:p>
    <w:p w14:paraId="1B6CB8DA" w14:textId="77777777" w:rsidR="004C5BCF" w:rsidRPr="00E23815" w:rsidRDefault="004C5BCF" w:rsidP="004C5BCF">
      <w:pPr>
        <w:spacing w:after="0"/>
        <w:jc w:val="both"/>
        <w:rPr>
          <w:rFonts w:asciiTheme="minorHAnsi" w:hAnsiTheme="minorHAnsi" w:cstheme="minorHAnsi"/>
        </w:rPr>
      </w:pPr>
    </w:p>
    <w:p w14:paraId="34FC53AB" w14:textId="2C5BB78F" w:rsidR="008A3B72" w:rsidRPr="00E23815" w:rsidRDefault="008A3B72" w:rsidP="004C5BCF">
      <w:pPr>
        <w:spacing w:after="0"/>
        <w:jc w:val="both"/>
        <w:rPr>
          <w:rFonts w:asciiTheme="minorHAnsi" w:hAnsiTheme="minorHAnsi" w:cstheme="minorHAnsi"/>
        </w:rPr>
      </w:pPr>
      <w:bookmarkStart w:id="6" w:name="_Hlk132366118"/>
      <w:r w:rsidRPr="00E23815">
        <w:rPr>
          <w:rFonts w:asciiTheme="minorHAnsi" w:hAnsiTheme="minorHAnsi" w:cstheme="minorHAnsi"/>
        </w:rPr>
        <w:t>MŽP bylo k 31.</w:t>
      </w:r>
      <w:r w:rsidR="003F0B3D">
        <w:rPr>
          <w:rFonts w:asciiTheme="minorHAnsi" w:hAnsiTheme="minorHAnsi" w:cstheme="minorHAnsi"/>
        </w:rPr>
        <w:t xml:space="preserve"> </w:t>
      </w:r>
      <w:r w:rsidR="00F97135">
        <w:rPr>
          <w:rFonts w:asciiTheme="minorHAnsi" w:hAnsiTheme="minorHAnsi" w:cstheme="minorHAnsi"/>
        </w:rPr>
        <w:t>prosinci</w:t>
      </w:r>
      <w:r w:rsidRPr="00E23815">
        <w:rPr>
          <w:rFonts w:asciiTheme="minorHAnsi" w:hAnsiTheme="minorHAnsi" w:cstheme="minorHAnsi"/>
        </w:rPr>
        <w:t xml:space="preserve"> 2022 zřizovatelem </w:t>
      </w:r>
      <w:r w:rsidR="003F0B3D">
        <w:rPr>
          <w:rFonts w:asciiTheme="minorHAnsi" w:hAnsiTheme="minorHAnsi" w:cstheme="minorHAnsi"/>
        </w:rPr>
        <w:t>dvou</w:t>
      </w:r>
      <w:r w:rsidRPr="00E23815">
        <w:rPr>
          <w:rFonts w:asciiTheme="minorHAnsi" w:hAnsiTheme="minorHAnsi" w:cstheme="minorHAnsi"/>
        </w:rPr>
        <w:t xml:space="preserve"> </w:t>
      </w:r>
      <w:r w:rsidR="00F83EB1" w:rsidRPr="00E23815">
        <w:rPr>
          <w:rFonts w:asciiTheme="minorHAnsi" w:hAnsiTheme="minorHAnsi" w:cstheme="minorHAnsi"/>
        </w:rPr>
        <w:t>OSS</w:t>
      </w:r>
      <w:r w:rsidRPr="00E23815">
        <w:rPr>
          <w:rFonts w:asciiTheme="minorHAnsi" w:hAnsiTheme="minorHAnsi" w:cstheme="minorHAnsi"/>
        </w:rPr>
        <w:t xml:space="preserve"> a </w:t>
      </w:r>
      <w:r w:rsidR="003F0B3D">
        <w:rPr>
          <w:rFonts w:asciiTheme="minorHAnsi" w:hAnsiTheme="minorHAnsi" w:cstheme="minorHAnsi"/>
        </w:rPr>
        <w:t>osmi</w:t>
      </w:r>
      <w:r w:rsidRPr="00E23815">
        <w:rPr>
          <w:rFonts w:asciiTheme="minorHAnsi" w:hAnsiTheme="minorHAnsi" w:cstheme="minorHAnsi"/>
        </w:rPr>
        <w:t xml:space="preserve"> příspěvkových organizací.</w:t>
      </w:r>
      <w:bookmarkEnd w:id="6"/>
    </w:p>
    <w:p w14:paraId="4F22A41B" w14:textId="77777777" w:rsidR="008A3B72" w:rsidRPr="00E23815" w:rsidRDefault="008A3B72" w:rsidP="004C5BCF">
      <w:pPr>
        <w:spacing w:after="0"/>
        <w:jc w:val="both"/>
        <w:rPr>
          <w:rFonts w:asciiTheme="minorHAnsi" w:hAnsiTheme="minorHAnsi" w:cstheme="minorHAnsi"/>
        </w:rPr>
      </w:pPr>
    </w:p>
    <w:p w14:paraId="7EFE899B" w14:textId="7F02533F" w:rsidR="005705EE" w:rsidRPr="00E23815" w:rsidRDefault="00A640AE" w:rsidP="009F20AA">
      <w:pPr>
        <w:spacing w:after="0"/>
        <w:jc w:val="both"/>
        <w:rPr>
          <w:rFonts w:cs="Calibri"/>
        </w:rPr>
      </w:pPr>
      <w:r w:rsidRPr="00E23815">
        <w:rPr>
          <w:rFonts w:cs="Calibri"/>
        </w:rPr>
        <w:t>Přehled</w:t>
      </w:r>
      <w:r w:rsidR="00D85D8F" w:rsidRPr="00E23815">
        <w:rPr>
          <w:rFonts w:cs="Calibri"/>
        </w:rPr>
        <w:t xml:space="preserve"> vybraných</w:t>
      </w:r>
      <w:r w:rsidRPr="00E23815">
        <w:rPr>
          <w:rFonts w:cs="Calibri"/>
        </w:rPr>
        <w:t xml:space="preserve"> údajů z</w:t>
      </w:r>
      <w:r w:rsidR="005C2C83">
        <w:rPr>
          <w:rFonts w:cs="Calibri"/>
        </w:rPr>
        <w:t xml:space="preserve"> </w:t>
      </w:r>
      <w:r w:rsidR="00D37A9B" w:rsidRPr="00E23815">
        <w:rPr>
          <w:rFonts w:cs="Calibri"/>
        </w:rPr>
        <w:t xml:space="preserve">ÚZ </w:t>
      </w:r>
      <w:r w:rsidRPr="00E23815">
        <w:rPr>
          <w:rFonts w:cs="Calibri"/>
        </w:rPr>
        <w:t>a z</w:t>
      </w:r>
      <w:r w:rsidR="005C2C83">
        <w:rPr>
          <w:rFonts w:cs="Calibri"/>
        </w:rPr>
        <w:t xml:space="preserve"> </w:t>
      </w:r>
      <w:r w:rsidRPr="00E23815">
        <w:rPr>
          <w:rFonts w:cs="Calibri"/>
        </w:rPr>
        <w:t>výkazu</w:t>
      </w:r>
      <w:r w:rsidR="00411333" w:rsidRPr="00E23815">
        <w:rPr>
          <w:rFonts w:cs="Calibri"/>
        </w:rPr>
        <w:t xml:space="preserve"> </w:t>
      </w:r>
      <w:r w:rsidRPr="00E23815">
        <w:rPr>
          <w:rFonts w:cs="Calibri"/>
        </w:rPr>
        <w:t>FIN 1-12 OSS</w:t>
      </w:r>
      <w:r w:rsidR="00B96737">
        <w:rPr>
          <w:rFonts w:cs="Calibri"/>
        </w:rPr>
        <w:t>,</w:t>
      </w:r>
      <w:r w:rsidRPr="00E23815">
        <w:rPr>
          <w:rFonts w:cs="Calibri"/>
        </w:rPr>
        <w:t xml:space="preserve"> vygenerovaného z</w:t>
      </w:r>
      <w:r w:rsidR="005C2C83">
        <w:rPr>
          <w:rFonts w:cs="Calibri"/>
        </w:rPr>
        <w:t xml:space="preserve"> </w:t>
      </w:r>
      <w:r w:rsidRPr="00E23815">
        <w:rPr>
          <w:rFonts w:cs="Calibri"/>
        </w:rPr>
        <w:t>rozpočtového systému</w:t>
      </w:r>
      <w:r w:rsidRPr="00E23815">
        <w:rPr>
          <w:rStyle w:val="Znakapoznpodarou"/>
          <w:rFonts w:eastAsiaTheme="minorHAnsi" w:cs="Calibri"/>
        </w:rPr>
        <w:footnoteReference w:id="15"/>
      </w:r>
      <w:r w:rsidR="003F0B3D">
        <w:rPr>
          <w:rFonts w:cs="Calibri"/>
        </w:rPr>
        <w:t>,</w:t>
      </w:r>
      <w:r w:rsidRPr="00E23815">
        <w:rPr>
          <w:rFonts w:cs="Calibri"/>
        </w:rPr>
        <w:t xml:space="preserve"> je uveden v následujících tabulkách.</w:t>
      </w:r>
    </w:p>
    <w:p w14:paraId="05F1EB6F" w14:textId="1905B336" w:rsidR="00DE6218" w:rsidRPr="00E23815" w:rsidRDefault="00DE6218" w:rsidP="00DE6218">
      <w:pPr>
        <w:pStyle w:val="Titulek"/>
      </w:pPr>
      <w:r w:rsidRPr="00E23815">
        <w:lastRenderedPageBreak/>
        <w:t xml:space="preserve">Tabulka č. </w:t>
      </w:r>
      <w:fldSimple w:instr=" SEQ Tabulka_č. \* ARABIC ">
        <w:r w:rsidR="00E87723">
          <w:rPr>
            <w:noProof/>
          </w:rPr>
          <w:t>1</w:t>
        </w:r>
      </w:fldSimple>
      <w:r w:rsidRPr="00E23815">
        <w:t xml:space="preserve">: </w:t>
      </w:r>
      <w:r w:rsidR="00CA650F">
        <w:t>Vybrané ú</w:t>
      </w:r>
      <w:r w:rsidRPr="00E23815">
        <w:t xml:space="preserve">daje ÚZ – rozvaha a výkaz zisku a ztráty (údaje za </w:t>
      </w:r>
      <w:r w:rsidR="00055EC4" w:rsidRPr="00E23815">
        <w:t>rok 2022</w:t>
      </w:r>
      <w:r w:rsidRPr="00E23815">
        <w:t>)</w:t>
      </w:r>
    </w:p>
    <w:tbl>
      <w:tblPr>
        <w:tblW w:w="9070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0"/>
      </w:tblGrid>
      <w:tr w:rsidR="007435AA" w:rsidRPr="00E23815" w14:paraId="3AE104B5" w14:textId="77777777" w:rsidTr="007435AA">
        <w:trPr>
          <w:trHeight w:val="45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noWrap/>
            <w:vAlign w:val="center"/>
            <w:hideMark/>
          </w:tcPr>
          <w:p w14:paraId="2CE1B8FF" w14:textId="77777777" w:rsidR="007435AA" w:rsidRPr="00E23815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23815">
              <w:rPr>
                <w:rFonts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F1FF"/>
            <w:noWrap/>
            <w:vAlign w:val="center"/>
            <w:hideMark/>
          </w:tcPr>
          <w:p w14:paraId="6A82E6E6" w14:textId="77777777" w:rsidR="007435AA" w:rsidRPr="00E23815" w:rsidRDefault="007435AA">
            <w:pPr>
              <w:keepNext/>
              <w:spacing w:after="0" w:line="25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23815">
              <w:rPr>
                <w:rFonts w:cs="Arial"/>
                <w:b/>
                <w:bCs/>
                <w:sz w:val="20"/>
                <w:szCs w:val="20"/>
              </w:rPr>
              <w:t>Částka v m</w:t>
            </w:r>
            <w:r w:rsidR="000A06A9" w:rsidRPr="00E23815">
              <w:rPr>
                <w:rFonts w:cs="Arial"/>
                <w:b/>
                <w:bCs/>
                <w:sz w:val="20"/>
                <w:szCs w:val="20"/>
              </w:rPr>
              <w:t>ld</w:t>
            </w:r>
            <w:r w:rsidRPr="00E23815">
              <w:rPr>
                <w:rFonts w:cs="Arial"/>
                <w:b/>
                <w:bCs/>
                <w:sz w:val="20"/>
                <w:szCs w:val="20"/>
              </w:rPr>
              <w:t>. Kč</w:t>
            </w:r>
          </w:p>
        </w:tc>
      </w:tr>
      <w:tr w:rsidR="007435AA" w:rsidRPr="00E23815" w14:paraId="71CB858C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57E76F5" w14:textId="77777777" w:rsidR="007435AA" w:rsidRPr="00E23815" w:rsidRDefault="007435AA">
            <w:pPr>
              <w:keepNext/>
              <w:spacing w:after="0" w:line="256" w:lineRule="auto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Aktiva netto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FA681BA" w14:textId="77777777" w:rsidR="007435AA" w:rsidRPr="00E23815" w:rsidRDefault="006B49A1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23815">
              <w:rPr>
                <w:rFonts w:cs="Arial"/>
                <w:b/>
                <w:bCs/>
                <w:sz w:val="20"/>
                <w:szCs w:val="20"/>
              </w:rPr>
              <w:t>68</w:t>
            </w:r>
            <w:r w:rsidR="000A06A9" w:rsidRPr="00E23815">
              <w:rPr>
                <w:rFonts w:cs="Arial"/>
                <w:b/>
                <w:bCs/>
                <w:sz w:val="20"/>
                <w:szCs w:val="20"/>
              </w:rPr>
              <w:t>,6</w:t>
            </w:r>
          </w:p>
        </w:tc>
      </w:tr>
      <w:tr w:rsidR="00002312" w:rsidRPr="00E23815" w14:paraId="1B2495E7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CF48EB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cs="Arial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015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Povolenky na emise a preferenční limity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2D18FD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4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,6</w:t>
            </w:r>
          </w:p>
        </w:tc>
      </w:tr>
      <w:tr w:rsidR="00002312" w:rsidRPr="00E23815" w14:paraId="5CDAFD1D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5977949" w14:textId="77777777" w:rsidR="00002312" w:rsidRPr="00E23815" w:rsidRDefault="00002312" w:rsidP="005C2C83">
            <w:pPr>
              <w:keepNext/>
              <w:spacing w:after="0" w:line="257" w:lineRule="auto"/>
              <w:ind w:left="873" w:hanging="510"/>
              <w:rPr>
                <w:rFonts w:cs="Arial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035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Dlouhodobý nehmotný majetek určený k</w:t>
            </w:r>
            <w:r w:rsidR="00CE0272"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prodeji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F14D276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27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,2</w:t>
            </w:r>
          </w:p>
        </w:tc>
      </w:tr>
      <w:tr w:rsidR="00002312" w:rsidRPr="00E23815" w14:paraId="7B3F7DCA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2D324D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cs="Arial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069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Ostatní dlouhodobý finanční majetek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EF9BF9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24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,5</w:t>
            </w:r>
          </w:p>
        </w:tc>
      </w:tr>
      <w:tr w:rsidR="00002312" w:rsidRPr="00E23815" w14:paraId="24BA85FE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DC9A285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cs="Arial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471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Dlouhodobé poskytnuté zálohy na transfery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6CB723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11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,3</w:t>
            </w:r>
          </w:p>
        </w:tc>
      </w:tr>
      <w:tr w:rsidR="00002312" w:rsidRPr="00E23815" w14:paraId="422E58AC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2B337AB" w14:textId="77777777" w:rsidR="00002312" w:rsidRPr="00E23815" w:rsidRDefault="00002312" w:rsidP="00002312">
            <w:pPr>
              <w:keepNext/>
              <w:spacing w:after="0" w:line="25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Pasiva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06B5F28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23815">
              <w:rPr>
                <w:rFonts w:cs="Arial"/>
                <w:b/>
                <w:bCs/>
                <w:sz w:val="20"/>
                <w:szCs w:val="20"/>
              </w:rPr>
              <w:t>68</w:t>
            </w:r>
            <w:r w:rsidR="000A06A9" w:rsidRPr="00E23815">
              <w:rPr>
                <w:rFonts w:cs="Arial"/>
                <w:b/>
                <w:bCs/>
                <w:sz w:val="20"/>
                <w:szCs w:val="20"/>
              </w:rPr>
              <w:t>,6</w:t>
            </w:r>
          </w:p>
        </w:tc>
      </w:tr>
      <w:tr w:rsidR="00002312" w:rsidRPr="00E23815" w14:paraId="2508F528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0CA1D8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401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Jmění účetní jednotky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AA98967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240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,5</w:t>
            </w:r>
          </w:p>
        </w:tc>
      </w:tr>
      <w:tr w:rsidR="00002312" w:rsidRPr="00E23815" w14:paraId="2A071EF7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B1D6F9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407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Jiné oceňovací rozdíly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890E753" w14:textId="7CDC0700" w:rsidR="00002312" w:rsidRPr="00E23815" w:rsidRDefault="00954016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954016">
              <w:rPr>
                <w:rFonts w:cs="Arial"/>
                <w:bCs/>
                <w:sz w:val="20"/>
                <w:szCs w:val="20"/>
              </w:rPr>
              <w:t>−</w:t>
            </w:r>
            <w:r w:rsidR="00002312" w:rsidRPr="00E23815">
              <w:rPr>
                <w:rFonts w:cs="Arial"/>
                <w:bCs/>
                <w:sz w:val="20"/>
                <w:szCs w:val="20"/>
              </w:rPr>
              <w:t>2,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002312" w:rsidRPr="00E23815" w14:paraId="156D9907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E3BABF7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408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Opravy předcházejících účetních období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2411274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12,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3</w:t>
            </w:r>
          </w:p>
        </w:tc>
      </w:tr>
      <w:tr w:rsidR="00002312" w:rsidRPr="00E23815" w14:paraId="3E75B024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8944D74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222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Příjmový účet organizačních složek státu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C6C368D" w14:textId="20059060" w:rsidR="00002312" w:rsidRPr="00E23815" w:rsidRDefault="00954016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954016">
              <w:rPr>
                <w:rFonts w:cs="Arial"/>
                <w:bCs/>
                <w:sz w:val="20"/>
                <w:szCs w:val="20"/>
              </w:rPr>
              <w:t>−</w:t>
            </w:r>
            <w:r w:rsidR="00002312" w:rsidRPr="00E23815">
              <w:rPr>
                <w:rFonts w:cs="Arial"/>
                <w:bCs/>
                <w:sz w:val="20"/>
                <w:szCs w:val="20"/>
              </w:rPr>
              <w:t>24,</w:t>
            </w:r>
            <w:r w:rsidR="00156C48">
              <w:rPr>
                <w:rFonts w:cs="Arial"/>
                <w:bCs/>
                <w:sz w:val="20"/>
                <w:szCs w:val="20"/>
              </w:rPr>
              <w:t>3</w:t>
            </w:r>
          </w:p>
        </w:tc>
      </w:tr>
      <w:tr w:rsidR="00002312" w:rsidRPr="00E23815" w14:paraId="4E0E375D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3F324A7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223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Zvláštní výdajový účet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1D1F0C2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24,</w:t>
            </w:r>
            <w:r w:rsidR="000A06A9" w:rsidRPr="00E23815"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002312" w:rsidRPr="00E23815" w14:paraId="2BF32A62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6ED26A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389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Dohadné účty pasivní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08AE800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5,1</w:t>
            </w:r>
          </w:p>
        </w:tc>
      </w:tr>
      <w:tr w:rsidR="00002312" w:rsidRPr="00E23815" w14:paraId="148D93EB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ADB809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378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Ostatní krátkodobé závazky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57A0137" w14:textId="77777777" w:rsidR="00002312" w:rsidRPr="00E23815" w:rsidRDefault="000A06A9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2,0</w:t>
            </w:r>
          </w:p>
        </w:tc>
      </w:tr>
      <w:tr w:rsidR="007435AA" w:rsidRPr="00E23815" w14:paraId="3A0097DA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670584B" w14:textId="77777777" w:rsidR="007435AA" w:rsidRPr="00E23815" w:rsidRDefault="007435AA">
            <w:pPr>
              <w:keepNext/>
              <w:spacing w:after="0" w:line="256" w:lineRule="auto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Náklady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EF7F861" w14:textId="77777777" w:rsidR="007435AA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67,</w:t>
            </w:r>
            <w:r w:rsidR="000A06A9" w:rsidRPr="00E23815">
              <w:rPr>
                <w:rFonts w:cs="Arial"/>
                <w:b/>
                <w:sz w:val="20"/>
                <w:szCs w:val="20"/>
              </w:rPr>
              <w:t>3</w:t>
            </w:r>
          </w:p>
        </w:tc>
      </w:tr>
      <w:tr w:rsidR="00002312" w:rsidRPr="00E23815" w14:paraId="1A91FABF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3CE4E5A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543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Dary a jiná bezúplatná předání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CA0A976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sz w:val="20"/>
                <w:szCs w:val="20"/>
              </w:rPr>
            </w:pPr>
            <w:r w:rsidRPr="00E23815">
              <w:rPr>
                <w:rFonts w:cs="Arial"/>
                <w:sz w:val="20"/>
                <w:szCs w:val="20"/>
              </w:rPr>
              <w:t>30,7</w:t>
            </w:r>
          </w:p>
        </w:tc>
      </w:tr>
      <w:tr w:rsidR="00002312" w:rsidRPr="00E23815" w14:paraId="02C9CB7F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D4D33EC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552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Prodaný dlouhodobý nehmotný majetek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5CDC9F6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sz w:val="20"/>
                <w:szCs w:val="20"/>
              </w:rPr>
            </w:pPr>
            <w:r w:rsidRPr="00E23815">
              <w:rPr>
                <w:rFonts w:cs="Arial"/>
                <w:sz w:val="20"/>
                <w:szCs w:val="20"/>
              </w:rPr>
              <w:t>16,</w:t>
            </w:r>
            <w:r w:rsidR="000A06A9" w:rsidRPr="00E23815">
              <w:rPr>
                <w:rFonts w:cs="Arial"/>
                <w:sz w:val="20"/>
                <w:szCs w:val="20"/>
              </w:rPr>
              <w:t>1</w:t>
            </w:r>
          </w:p>
        </w:tc>
      </w:tr>
      <w:tr w:rsidR="00002312" w:rsidRPr="00E23815" w14:paraId="3BA65101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90748C" w14:textId="77777777" w:rsidR="00002312" w:rsidRPr="00E23815" w:rsidRDefault="00002312" w:rsidP="005C2C83">
            <w:pPr>
              <w:keepNext/>
              <w:spacing w:after="0" w:line="257" w:lineRule="auto"/>
              <w:ind w:left="873" w:hanging="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571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Náklady vybraných ústředních vládních institucí na transfery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AD3D52F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sz w:val="20"/>
                <w:szCs w:val="20"/>
              </w:rPr>
            </w:pPr>
            <w:r w:rsidRPr="00E23815">
              <w:rPr>
                <w:rFonts w:cs="Arial"/>
                <w:sz w:val="20"/>
                <w:szCs w:val="20"/>
              </w:rPr>
              <w:t>5,</w:t>
            </w:r>
            <w:r w:rsidR="000A06A9" w:rsidRPr="00E23815">
              <w:rPr>
                <w:rFonts w:cs="Arial"/>
                <w:sz w:val="20"/>
                <w:szCs w:val="20"/>
              </w:rPr>
              <w:t>4</w:t>
            </w:r>
          </w:p>
        </w:tc>
      </w:tr>
      <w:tr w:rsidR="00002312" w:rsidRPr="00E23815" w14:paraId="6707C741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67E6089" w14:textId="77777777" w:rsidR="00002312" w:rsidRPr="00E23815" w:rsidRDefault="00002312" w:rsidP="005C2C83">
            <w:pPr>
              <w:keepNext/>
              <w:spacing w:after="0" w:line="257" w:lineRule="auto"/>
              <w:ind w:left="873" w:hanging="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575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Náklady vybraných ústředních vládních institucí na předfinancování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94A6B6B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sz w:val="20"/>
                <w:szCs w:val="20"/>
              </w:rPr>
            </w:pPr>
            <w:r w:rsidRPr="00E23815">
              <w:rPr>
                <w:rFonts w:cs="Arial"/>
                <w:sz w:val="20"/>
                <w:szCs w:val="20"/>
              </w:rPr>
              <w:t>13,2</w:t>
            </w:r>
          </w:p>
        </w:tc>
      </w:tr>
      <w:tr w:rsidR="007435AA" w:rsidRPr="00E23815" w14:paraId="0DBB632A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073EB38" w14:textId="77777777" w:rsidR="007435AA" w:rsidRPr="00E23815" w:rsidRDefault="007435AA">
            <w:pPr>
              <w:keepNext/>
              <w:spacing w:after="0" w:line="256" w:lineRule="auto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Výnosy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A139EAE" w14:textId="77777777" w:rsidR="007435AA" w:rsidRPr="00E23815" w:rsidRDefault="007435AA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2</w:t>
            </w:r>
            <w:r w:rsidR="00002312" w:rsidRPr="00E23815">
              <w:rPr>
                <w:rFonts w:cs="Arial"/>
                <w:b/>
                <w:sz w:val="20"/>
                <w:szCs w:val="20"/>
              </w:rPr>
              <w:t>8</w:t>
            </w:r>
            <w:r w:rsidRPr="00E23815">
              <w:rPr>
                <w:rFonts w:cs="Arial"/>
                <w:b/>
                <w:sz w:val="20"/>
                <w:szCs w:val="20"/>
              </w:rPr>
              <w:t>,</w:t>
            </w:r>
            <w:r w:rsidR="00002312" w:rsidRPr="00E23815">
              <w:rPr>
                <w:rFonts w:cs="Arial"/>
                <w:b/>
                <w:sz w:val="20"/>
                <w:szCs w:val="20"/>
              </w:rPr>
              <w:t>4</w:t>
            </w:r>
          </w:p>
        </w:tc>
      </w:tr>
      <w:tr w:rsidR="00002312" w:rsidRPr="00E23815" w14:paraId="48865E73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7EF96" w14:textId="77777777" w:rsidR="00002312" w:rsidRPr="00E23815" w:rsidRDefault="00002312" w:rsidP="005C2C83">
            <w:pPr>
              <w:keepNext/>
              <w:spacing w:after="0" w:line="257" w:lineRule="auto"/>
              <w:ind w:left="873" w:hanging="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645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Výnosy z prodeje dlouhodobého nehmotného majetku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F0F4993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Calibri"/>
                <w:sz w:val="20"/>
                <w:szCs w:val="20"/>
              </w:rPr>
            </w:pPr>
            <w:r w:rsidRPr="00E23815">
              <w:rPr>
                <w:rFonts w:cs="Calibri"/>
                <w:sz w:val="20"/>
                <w:szCs w:val="20"/>
              </w:rPr>
              <w:t>16,5</w:t>
            </w:r>
          </w:p>
        </w:tc>
      </w:tr>
      <w:tr w:rsidR="00002312" w:rsidRPr="00E23815" w14:paraId="16C715BA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237A5" w14:textId="77777777" w:rsidR="00002312" w:rsidRPr="00E23815" w:rsidRDefault="00002312" w:rsidP="00691E96">
            <w:pPr>
              <w:keepNext/>
              <w:spacing w:after="0" w:line="256" w:lineRule="auto"/>
              <w:ind w:firstLine="3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664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Výnosy z přecenění reálnou hodnotou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27D94ED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Calibri"/>
                <w:sz w:val="20"/>
                <w:szCs w:val="20"/>
              </w:rPr>
            </w:pPr>
            <w:r w:rsidRPr="00E23815">
              <w:rPr>
                <w:rFonts w:cs="Calibri"/>
                <w:sz w:val="20"/>
                <w:szCs w:val="20"/>
              </w:rPr>
              <w:t>4,0</w:t>
            </w:r>
          </w:p>
        </w:tc>
      </w:tr>
      <w:tr w:rsidR="00002312" w:rsidRPr="00E23815" w14:paraId="79CD5462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93AF0" w14:textId="77777777" w:rsidR="00002312" w:rsidRPr="00E23815" w:rsidRDefault="00002312" w:rsidP="005C2C83">
            <w:pPr>
              <w:keepNext/>
              <w:spacing w:after="0" w:line="257" w:lineRule="auto"/>
              <w:ind w:left="873" w:hanging="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675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Výnosy vybraných ústředních vládních institucí z</w:t>
            </w:r>
            <w:r w:rsidR="0017012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předfinancování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776F623" w14:textId="77777777" w:rsidR="00002312" w:rsidRPr="00E23815" w:rsidRDefault="00002312" w:rsidP="00AF65F6">
            <w:pPr>
              <w:keepNext/>
              <w:spacing w:after="0" w:line="256" w:lineRule="auto"/>
              <w:ind w:right="1814"/>
              <w:jc w:val="right"/>
              <w:rPr>
                <w:rFonts w:cs="Calibri"/>
                <w:sz w:val="20"/>
                <w:szCs w:val="20"/>
              </w:rPr>
            </w:pPr>
            <w:r w:rsidRPr="00E23815">
              <w:rPr>
                <w:rFonts w:cs="Calibri"/>
                <w:sz w:val="20"/>
                <w:szCs w:val="20"/>
              </w:rPr>
              <w:t>7,6</w:t>
            </w:r>
          </w:p>
        </w:tc>
      </w:tr>
      <w:tr w:rsidR="007435AA" w:rsidRPr="00E23815" w14:paraId="3AF05FA7" w14:textId="77777777" w:rsidTr="00AF65F6">
        <w:trPr>
          <w:trHeight w:val="34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B323B" w14:textId="77777777" w:rsidR="007435AA" w:rsidRPr="00E23815" w:rsidRDefault="007435AA">
            <w:pPr>
              <w:keepNext/>
              <w:spacing w:after="0" w:line="256" w:lineRule="auto"/>
              <w:rPr>
                <w:rFonts w:cs="Arial"/>
                <w:b/>
                <w:sz w:val="20"/>
                <w:szCs w:val="20"/>
              </w:rPr>
            </w:pPr>
            <w:r w:rsidRPr="00E23815">
              <w:rPr>
                <w:rFonts w:cs="Arial"/>
                <w:b/>
                <w:sz w:val="20"/>
                <w:szCs w:val="20"/>
              </w:rPr>
              <w:t>Výsledek hospodaření běžného účetního období (ztráta)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532DA5F" w14:textId="108072A4" w:rsidR="007435AA" w:rsidRPr="00E23815" w:rsidRDefault="00954016" w:rsidP="00AF65F6">
            <w:pPr>
              <w:keepNext/>
              <w:spacing w:after="0" w:line="256" w:lineRule="auto"/>
              <w:ind w:right="1814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F65F6">
              <w:rPr>
                <w:rFonts w:cs="Arial"/>
                <w:b/>
                <w:bCs/>
                <w:sz w:val="20"/>
                <w:szCs w:val="20"/>
              </w:rPr>
              <w:t>−</w:t>
            </w:r>
            <w:r w:rsidR="000A06A9" w:rsidRPr="00E23815">
              <w:rPr>
                <w:rFonts w:cs="Arial"/>
                <w:b/>
                <w:bCs/>
                <w:sz w:val="20"/>
                <w:szCs w:val="20"/>
              </w:rPr>
              <w:t>38,9</w:t>
            </w:r>
          </w:p>
        </w:tc>
      </w:tr>
    </w:tbl>
    <w:p w14:paraId="32926E4C" w14:textId="77777777" w:rsidR="00494B0F" w:rsidRPr="008A6FED" w:rsidRDefault="00A640AE" w:rsidP="00D40705">
      <w:pPr>
        <w:keepNext/>
        <w:spacing w:after="0"/>
        <w:rPr>
          <w:rFonts w:cs="Arial"/>
          <w:bCs/>
          <w:sz w:val="20"/>
          <w:szCs w:val="20"/>
        </w:rPr>
      </w:pPr>
      <w:r w:rsidRPr="008A6FED">
        <w:rPr>
          <w:rFonts w:cs="Arial"/>
          <w:b/>
          <w:sz w:val="20"/>
          <w:szCs w:val="20"/>
        </w:rPr>
        <w:t>Zdroj:</w:t>
      </w:r>
      <w:r w:rsidR="008A6FED" w:rsidRPr="008A6FED">
        <w:rPr>
          <w:rFonts w:cs="Arial"/>
          <w:b/>
          <w:sz w:val="20"/>
          <w:szCs w:val="20"/>
        </w:rPr>
        <w:t xml:space="preserve"> </w:t>
      </w:r>
      <w:r w:rsidR="000B3825" w:rsidRPr="008A6FED">
        <w:rPr>
          <w:rFonts w:cs="Arial"/>
          <w:bCs/>
          <w:sz w:val="20"/>
          <w:szCs w:val="20"/>
        </w:rPr>
        <w:t>ÚZ</w:t>
      </w:r>
      <w:r w:rsidR="007435AA" w:rsidRPr="008A6FED">
        <w:rPr>
          <w:rFonts w:cs="Arial"/>
          <w:bCs/>
          <w:sz w:val="20"/>
          <w:szCs w:val="20"/>
        </w:rPr>
        <w:t xml:space="preserve">; hodnoty </w:t>
      </w:r>
      <w:r w:rsidR="002B3676" w:rsidRPr="008A6FED">
        <w:rPr>
          <w:rFonts w:cs="Arial"/>
          <w:bCs/>
          <w:sz w:val="20"/>
          <w:szCs w:val="20"/>
        </w:rPr>
        <w:t xml:space="preserve">jsou </w:t>
      </w:r>
      <w:r w:rsidR="006614E6" w:rsidRPr="008A6FED">
        <w:rPr>
          <w:rFonts w:cs="Arial"/>
          <w:bCs/>
          <w:sz w:val="20"/>
          <w:szCs w:val="20"/>
        </w:rPr>
        <w:t xml:space="preserve">v tabulce </w:t>
      </w:r>
      <w:r w:rsidR="00B22DF8" w:rsidRPr="008A6FED">
        <w:rPr>
          <w:rFonts w:cs="Arial"/>
          <w:bCs/>
          <w:sz w:val="20"/>
          <w:szCs w:val="20"/>
        </w:rPr>
        <w:t>uvedeny v ml</w:t>
      </w:r>
      <w:r w:rsidR="000A06A9" w:rsidRPr="008A6FED">
        <w:rPr>
          <w:rFonts w:cs="Arial"/>
          <w:bCs/>
          <w:sz w:val="20"/>
          <w:szCs w:val="20"/>
        </w:rPr>
        <w:t>d</w:t>
      </w:r>
      <w:r w:rsidR="00B22DF8" w:rsidRPr="008A6FED">
        <w:rPr>
          <w:rFonts w:cs="Arial"/>
          <w:bCs/>
          <w:sz w:val="20"/>
          <w:szCs w:val="20"/>
        </w:rPr>
        <w:t>. Kč a zaokrouhleny</w:t>
      </w:r>
      <w:r w:rsidR="003444C4" w:rsidRPr="008A6FED">
        <w:rPr>
          <w:rFonts w:cs="Arial"/>
          <w:bCs/>
          <w:sz w:val="20"/>
          <w:szCs w:val="20"/>
        </w:rPr>
        <w:t>.</w:t>
      </w:r>
    </w:p>
    <w:p w14:paraId="369E3147" w14:textId="77777777" w:rsidR="00DE06FE" w:rsidRPr="008A6FED" w:rsidRDefault="00A640AE" w:rsidP="006350B8">
      <w:pPr>
        <w:spacing w:after="0"/>
        <w:ind w:left="567" w:hanging="567"/>
        <w:jc w:val="both"/>
        <w:rPr>
          <w:rFonts w:cs="Arial"/>
          <w:bCs/>
          <w:sz w:val="20"/>
          <w:szCs w:val="20"/>
        </w:rPr>
      </w:pPr>
      <w:r w:rsidRPr="008A6FED">
        <w:rPr>
          <w:rFonts w:cs="Arial"/>
          <w:b/>
          <w:sz w:val="20"/>
          <w:szCs w:val="20"/>
        </w:rPr>
        <w:t>Pozn.:</w:t>
      </w:r>
      <w:r w:rsidR="008A6FED" w:rsidRPr="008A6FED">
        <w:rPr>
          <w:rFonts w:cs="Arial"/>
          <w:b/>
          <w:sz w:val="20"/>
          <w:szCs w:val="20"/>
        </w:rPr>
        <w:t xml:space="preserve"> </w:t>
      </w:r>
      <w:r w:rsidR="00E41550" w:rsidRPr="008A6FED">
        <w:rPr>
          <w:rFonts w:cs="Arial"/>
          <w:bCs/>
          <w:sz w:val="20"/>
          <w:szCs w:val="20"/>
        </w:rPr>
        <w:t>MŽP</w:t>
      </w:r>
      <w:r w:rsidR="00B22DF8" w:rsidRPr="008A6FED">
        <w:rPr>
          <w:rFonts w:cs="Arial"/>
          <w:bCs/>
          <w:sz w:val="20"/>
          <w:szCs w:val="20"/>
        </w:rPr>
        <w:t xml:space="preserve"> v ÚZ vykázal</w:t>
      </w:r>
      <w:r w:rsidR="00E41550" w:rsidRPr="008A6FED">
        <w:rPr>
          <w:rFonts w:cs="Arial"/>
          <w:bCs/>
          <w:sz w:val="20"/>
          <w:szCs w:val="20"/>
        </w:rPr>
        <w:t>o</w:t>
      </w:r>
      <w:r w:rsidR="00B22DF8" w:rsidRPr="008A6FED">
        <w:rPr>
          <w:rFonts w:cs="Arial"/>
          <w:bCs/>
          <w:sz w:val="20"/>
          <w:szCs w:val="20"/>
        </w:rPr>
        <w:t xml:space="preserve"> aktiva v hodnotě brutto ve výši </w:t>
      </w:r>
      <w:r w:rsidR="00002312" w:rsidRPr="008A6FED">
        <w:rPr>
          <w:rFonts w:cs="Arial"/>
          <w:bCs/>
          <w:sz w:val="20"/>
          <w:szCs w:val="20"/>
        </w:rPr>
        <w:t>69,</w:t>
      </w:r>
      <w:r w:rsidR="000A06A9" w:rsidRPr="008A6FED">
        <w:rPr>
          <w:rFonts w:cs="Arial"/>
          <w:bCs/>
          <w:sz w:val="20"/>
          <w:szCs w:val="20"/>
        </w:rPr>
        <w:t>8</w:t>
      </w:r>
      <w:r w:rsidR="00B22DF8" w:rsidRPr="008A6FED">
        <w:rPr>
          <w:rFonts w:cs="Arial"/>
          <w:bCs/>
          <w:sz w:val="20"/>
          <w:szCs w:val="20"/>
        </w:rPr>
        <w:t xml:space="preserve"> ml</w:t>
      </w:r>
      <w:r w:rsidR="00002312" w:rsidRPr="008A6FED">
        <w:rPr>
          <w:rFonts w:cs="Arial"/>
          <w:bCs/>
          <w:sz w:val="20"/>
          <w:szCs w:val="20"/>
        </w:rPr>
        <w:t>d</w:t>
      </w:r>
      <w:r w:rsidR="00B22DF8" w:rsidRPr="008A6FED">
        <w:rPr>
          <w:rFonts w:cs="Arial"/>
          <w:bCs/>
          <w:sz w:val="20"/>
          <w:szCs w:val="20"/>
        </w:rPr>
        <w:t xml:space="preserve">. Kč upravené o korekce ve výši </w:t>
      </w:r>
      <w:r w:rsidR="00002312" w:rsidRPr="008A6FED">
        <w:rPr>
          <w:rFonts w:cs="Arial"/>
          <w:bCs/>
          <w:sz w:val="20"/>
          <w:szCs w:val="20"/>
        </w:rPr>
        <w:t>1,</w:t>
      </w:r>
      <w:r w:rsidR="000A06A9" w:rsidRPr="008A6FED">
        <w:rPr>
          <w:rFonts w:cs="Arial"/>
          <w:bCs/>
          <w:sz w:val="20"/>
          <w:szCs w:val="20"/>
        </w:rPr>
        <w:t>2</w:t>
      </w:r>
      <w:r w:rsidR="00002312" w:rsidRPr="008A6FED">
        <w:rPr>
          <w:rFonts w:cs="Arial"/>
          <w:bCs/>
          <w:sz w:val="20"/>
          <w:szCs w:val="20"/>
        </w:rPr>
        <w:t xml:space="preserve"> </w:t>
      </w:r>
      <w:r w:rsidR="00B22DF8" w:rsidRPr="008A6FED">
        <w:rPr>
          <w:rFonts w:cs="Arial"/>
          <w:bCs/>
          <w:sz w:val="20"/>
          <w:szCs w:val="20"/>
        </w:rPr>
        <w:t>ml</w:t>
      </w:r>
      <w:r w:rsidR="00002312" w:rsidRPr="008A6FED">
        <w:rPr>
          <w:rFonts w:cs="Arial"/>
          <w:bCs/>
          <w:sz w:val="20"/>
          <w:szCs w:val="20"/>
        </w:rPr>
        <w:t>d</w:t>
      </w:r>
      <w:r w:rsidR="00B22DF8" w:rsidRPr="008A6FED">
        <w:rPr>
          <w:rFonts w:cs="Arial"/>
          <w:bCs/>
          <w:sz w:val="20"/>
          <w:szCs w:val="20"/>
        </w:rPr>
        <w:t>. Kč.</w:t>
      </w:r>
    </w:p>
    <w:p w14:paraId="6DD53832" w14:textId="4EBE672D" w:rsidR="00DE6218" w:rsidRPr="00E23815" w:rsidRDefault="00DE6218" w:rsidP="00F42D7C">
      <w:pPr>
        <w:pStyle w:val="Titulek"/>
        <w:ind w:left="1304" w:hanging="1304"/>
      </w:pPr>
      <w:r w:rsidRPr="00E23815">
        <w:t xml:space="preserve">Tabulka č. </w:t>
      </w:r>
      <w:fldSimple w:instr=" SEQ Tabulka_č. \* ARABIC ">
        <w:r w:rsidR="00E87723">
          <w:rPr>
            <w:noProof/>
          </w:rPr>
          <w:t>2</w:t>
        </w:r>
      </w:fldSimple>
      <w:r w:rsidRPr="00E23815">
        <w:t xml:space="preserve">: </w:t>
      </w:r>
      <w:r w:rsidR="00CA650F">
        <w:t xml:space="preserve">Vybrané </w:t>
      </w:r>
      <w:r w:rsidR="000942C0">
        <w:t>ú</w:t>
      </w:r>
      <w:r w:rsidRPr="00E23815">
        <w:t>daje ÚZ – informace o stavu účtů v knize podrozvahových účtů (údaje za</w:t>
      </w:r>
      <w:r w:rsidR="00055EC4" w:rsidRPr="00E23815">
        <w:t xml:space="preserve"> rok</w:t>
      </w:r>
      <w:r w:rsidR="0096326C" w:rsidRPr="00E23815">
        <w:t> </w:t>
      </w:r>
      <w:r w:rsidR="00055EC4" w:rsidRPr="00E23815">
        <w:t>2022</w:t>
      </w:r>
      <w:r w:rsidRPr="00E23815">
        <w:t>)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8957E3" w:rsidRPr="00E23815" w14:paraId="0DD72EE3" w14:textId="77777777" w:rsidTr="007D6AD1">
        <w:trPr>
          <w:trHeight w:val="300"/>
          <w:tblHeader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7D9DA57" w14:textId="77777777" w:rsidR="008957E3" w:rsidRPr="00E23815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</w:rPr>
              <w:t>Položka výkazu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99FEF7" w14:textId="77777777" w:rsidR="008957E3" w:rsidRPr="00E23815" w:rsidRDefault="008957E3" w:rsidP="00B22DF8">
            <w:pPr>
              <w:spacing w:after="0" w:line="256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</w:rPr>
              <w:t>Částka v ml</w:t>
            </w:r>
            <w:r w:rsidR="00CE0272" w:rsidRPr="00E23815">
              <w:rPr>
                <w:rFonts w:cs="Calibri"/>
                <w:b/>
                <w:bCs/>
                <w:color w:val="000000"/>
                <w:sz w:val="20"/>
                <w:szCs w:val="20"/>
              </w:rPr>
              <w:t>d</w:t>
            </w: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</w:rPr>
              <w:t>. Kč</w:t>
            </w:r>
          </w:p>
        </w:tc>
      </w:tr>
      <w:tr w:rsidR="00CE0272" w:rsidRPr="00E23815" w14:paraId="27111FDA" w14:textId="77777777" w:rsidTr="00AF65F6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7656" w14:textId="77777777" w:rsidR="00CE0272" w:rsidRPr="00E23815" w:rsidRDefault="00CE0272" w:rsidP="00CE0272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911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Krátkodobé podmíněné pohledávky z předfinancování 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79BC" w14:textId="77777777" w:rsidR="00CE0272" w:rsidRPr="00E23815" w:rsidRDefault="00CE0272" w:rsidP="00AF65F6">
            <w:pPr>
              <w:spacing w:after="0" w:line="256" w:lineRule="auto"/>
              <w:ind w:right="113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Cs/>
                <w:color w:val="000000"/>
                <w:sz w:val="20"/>
                <w:szCs w:val="20"/>
              </w:rPr>
              <w:t>14,7</w:t>
            </w:r>
          </w:p>
        </w:tc>
      </w:tr>
      <w:tr w:rsidR="00CE0272" w:rsidRPr="00E23815" w14:paraId="3DE66888" w14:textId="77777777" w:rsidTr="00AF65F6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C017" w14:textId="77777777" w:rsidR="00CE0272" w:rsidRPr="00E23815" w:rsidRDefault="00CE0272" w:rsidP="00CE0272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916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Ostatní krátkodobé podmíněné závazky z</w:t>
            </w:r>
            <w:r w:rsidR="00641B9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20A7" w14:textId="77777777" w:rsidR="00CE0272" w:rsidRPr="00E23815" w:rsidRDefault="00CE0272" w:rsidP="00AF65F6">
            <w:pPr>
              <w:spacing w:after="0" w:line="256" w:lineRule="auto"/>
              <w:ind w:right="113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Cs/>
                <w:color w:val="000000"/>
                <w:sz w:val="20"/>
                <w:szCs w:val="20"/>
              </w:rPr>
              <w:t>1,2</w:t>
            </w:r>
          </w:p>
        </w:tc>
      </w:tr>
      <w:tr w:rsidR="00CE0272" w:rsidRPr="00E23815" w14:paraId="03D50D42" w14:textId="77777777" w:rsidTr="00AF65F6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F648" w14:textId="77777777" w:rsidR="00CE0272" w:rsidRPr="00E23815" w:rsidRDefault="00CE0272" w:rsidP="00CE0272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945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Dlouhodobé podmíněné úhrady pohledávek z přijatých zajištění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0FEF" w14:textId="77777777" w:rsidR="00CE0272" w:rsidRPr="00E23815" w:rsidRDefault="00CE0272" w:rsidP="00AF65F6">
            <w:pPr>
              <w:spacing w:after="0" w:line="256" w:lineRule="auto"/>
              <w:ind w:right="113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CE0272" w:rsidRPr="00E23815" w14:paraId="01590385" w14:textId="77777777" w:rsidTr="00AF65F6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50C1" w14:textId="77777777" w:rsidR="00CE0272" w:rsidRPr="00E23815" w:rsidRDefault="00CE0272" w:rsidP="00CE0272">
            <w:pPr>
              <w:autoSpaceDE w:val="0"/>
              <w:autoSpaceDN w:val="0"/>
              <w:adjustRightInd w:val="0"/>
              <w:spacing w:after="0" w:line="256" w:lineRule="auto"/>
              <w:ind w:left="490" w:right="-57" w:hanging="490"/>
              <w:rPr>
                <w:rFonts w:eastAsia="Calibri" w:cs="Calibr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956 – 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Ostatní dlouhodobé podmíněné závazky z</w:t>
            </w:r>
            <w:r w:rsidR="00641B9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transferů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34B" w14:textId="77777777" w:rsidR="00CE0272" w:rsidRPr="00E23815" w:rsidRDefault="00CE0272" w:rsidP="00AF65F6">
            <w:pPr>
              <w:spacing w:after="0" w:line="256" w:lineRule="auto"/>
              <w:ind w:right="113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Cs/>
                <w:color w:val="000000"/>
                <w:sz w:val="20"/>
                <w:szCs w:val="20"/>
              </w:rPr>
              <w:t>27,</w:t>
            </w:r>
            <w:r w:rsidR="000A06A9" w:rsidRPr="00E23815">
              <w:rPr>
                <w:rFonts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E0272" w:rsidRPr="00E23815" w14:paraId="4A4EB77C" w14:textId="77777777" w:rsidTr="00AF65F6">
        <w:trPr>
          <w:trHeight w:val="34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AEAD" w14:textId="77777777" w:rsidR="00CE0272" w:rsidRPr="00E23815" w:rsidRDefault="00CE0272" w:rsidP="00CE0272">
            <w:pPr>
              <w:autoSpaceDE w:val="0"/>
              <w:autoSpaceDN w:val="0"/>
              <w:adjustRightInd w:val="0"/>
              <w:spacing w:after="0" w:line="256" w:lineRule="auto"/>
              <w:ind w:right="-57"/>
              <w:rPr>
                <w:rFonts w:eastAsia="Calibri" w:cs="Calibri"/>
                <w:sz w:val="20"/>
                <w:szCs w:val="20"/>
              </w:rPr>
            </w:pPr>
            <w:r w:rsidRPr="00E23815">
              <w:rPr>
                <w:rFonts w:eastAsia="Calibri" w:cs="Calibri"/>
                <w:sz w:val="20"/>
                <w:szCs w:val="20"/>
              </w:rPr>
              <w:t xml:space="preserve">986 – </w:t>
            </w:r>
            <w:r w:rsidRPr="00E23815">
              <w:rPr>
                <w:rFonts w:eastAsia="Calibri" w:cs="Calibri"/>
                <w:i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6E1" w14:textId="77777777" w:rsidR="00CE0272" w:rsidRPr="00E23815" w:rsidRDefault="00CE0272" w:rsidP="00AF65F6">
            <w:pPr>
              <w:spacing w:after="0" w:line="256" w:lineRule="auto"/>
              <w:ind w:right="113"/>
              <w:jc w:val="righ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23815">
              <w:rPr>
                <w:rFonts w:cs="Calibri"/>
                <w:bCs/>
                <w:color w:val="000000"/>
                <w:sz w:val="20"/>
                <w:szCs w:val="20"/>
              </w:rPr>
              <w:t>1,5</w:t>
            </w:r>
          </w:p>
        </w:tc>
      </w:tr>
    </w:tbl>
    <w:p w14:paraId="48E1F068" w14:textId="77777777" w:rsidR="00E132F8" w:rsidRPr="008A6FED" w:rsidRDefault="00A640AE" w:rsidP="007C7C81">
      <w:pPr>
        <w:spacing w:after="0"/>
        <w:rPr>
          <w:bCs/>
          <w:sz w:val="20"/>
          <w:szCs w:val="20"/>
        </w:rPr>
      </w:pPr>
      <w:r w:rsidRPr="008A6FED">
        <w:rPr>
          <w:b/>
          <w:sz w:val="20"/>
          <w:szCs w:val="20"/>
        </w:rPr>
        <w:t>Zdroj:</w:t>
      </w:r>
      <w:r w:rsidRPr="008A6FED">
        <w:rPr>
          <w:bCs/>
          <w:sz w:val="20"/>
          <w:szCs w:val="20"/>
        </w:rPr>
        <w:t xml:space="preserve"> </w:t>
      </w:r>
      <w:r w:rsidR="000B3825" w:rsidRPr="008A6FED">
        <w:rPr>
          <w:bCs/>
          <w:sz w:val="20"/>
          <w:szCs w:val="20"/>
        </w:rPr>
        <w:t>ÚZ</w:t>
      </w:r>
      <w:r w:rsidR="00B22DF8" w:rsidRPr="008A6FED">
        <w:rPr>
          <w:bCs/>
          <w:sz w:val="20"/>
          <w:szCs w:val="20"/>
        </w:rPr>
        <w:t xml:space="preserve">; </w:t>
      </w:r>
      <w:r w:rsidR="00B22DF8" w:rsidRPr="008A6FED">
        <w:rPr>
          <w:rFonts w:cs="Arial"/>
          <w:bCs/>
          <w:sz w:val="20"/>
          <w:szCs w:val="20"/>
        </w:rPr>
        <w:t xml:space="preserve">hodnoty </w:t>
      </w:r>
      <w:r w:rsidR="002B3676" w:rsidRPr="008A6FED">
        <w:rPr>
          <w:rFonts w:cs="Arial"/>
          <w:bCs/>
          <w:sz w:val="20"/>
          <w:szCs w:val="20"/>
        </w:rPr>
        <w:t xml:space="preserve">jsou </w:t>
      </w:r>
      <w:r w:rsidR="006614E6" w:rsidRPr="008A6FED">
        <w:rPr>
          <w:rFonts w:cs="Arial"/>
          <w:bCs/>
          <w:sz w:val="20"/>
          <w:szCs w:val="20"/>
        </w:rPr>
        <w:t xml:space="preserve">v tabulce </w:t>
      </w:r>
      <w:r w:rsidR="00B22DF8" w:rsidRPr="008A6FED">
        <w:rPr>
          <w:rFonts w:cs="Arial"/>
          <w:bCs/>
          <w:sz w:val="20"/>
          <w:szCs w:val="20"/>
        </w:rPr>
        <w:t>uvedeny v ml</w:t>
      </w:r>
      <w:r w:rsidR="00CE0272" w:rsidRPr="008A6FED">
        <w:rPr>
          <w:rFonts w:cs="Arial"/>
          <w:bCs/>
          <w:sz w:val="20"/>
          <w:szCs w:val="20"/>
        </w:rPr>
        <w:t>d</w:t>
      </w:r>
      <w:r w:rsidR="00B22DF8" w:rsidRPr="008A6FED">
        <w:rPr>
          <w:rFonts w:cs="Arial"/>
          <w:bCs/>
          <w:sz w:val="20"/>
          <w:szCs w:val="20"/>
        </w:rPr>
        <w:t>. Kč a zaokrouhleny</w:t>
      </w:r>
      <w:r w:rsidR="003444C4" w:rsidRPr="008A6FED">
        <w:rPr>
          <w:bCs/>
          <w:sz w:val="20"/>
          <w:szCs w:val="20"/>
        </w:rPr>
        <w:t>.</w:t>
      </w:r>
    </w:p>
    <w:p w14:paraId="1ED08FE3" w14:textId="4FB74628" w:rsidR="00DE6218" w:rsidRPr="00E23815" w:rsidRDefault="00DE6218" w:rsidP="00DE6218">
      <w:pPr>
        <w:pStyle w:val="Titulek"/>
      </w:pPr>
      <w:r w:rsidRPr="00E23815">
        <w:lastRenderedPageBreak/>
        <w:t xml:space="preserve">Tabulka č. </w:t>
      </w:r>
      <w:fldSimple w:instr=" SEQ Tabulka_č. \* ARABIC ">
        <w:r w:rsidR="00E87723">
          <w:rPr>
            <w:noProof/>
          </w:rPr>
          <w:t>3</w:t>
        </w:r>
      </w:fldSimple>
      <w:r w:rsidRPr="00E23815">
        <w:t xml:space="preserve">: </w:t>
      </w:r>
      <w:r w:rsidR="00CA650F">
        <w:t>Vybrané ú</w:t>
      </w:r>
      <w:r w:rsidRPr="00E23815">
        <w:t>daje z výkazu FIN 1-12 OSS</w:t>
      </w:r>
    </w:p>
    <w:tbl>
      <w:tblPr>
        <w:tblW w:w="9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22DF8" w:rsidRPr="00E23815" w14:paraId="3C67C720" w14:textId="77777777" w:rsidTr="00B22DF8">
        <w:trPr>
          <w:trHeight w:val="45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22CC398" w14:textId="77777777" w:rsidR="00B22DF8" w:rsidRPr="00E23815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E2381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A5866AD" w14:textId="77777777" w:rsidR="00B22DF8" w:rsidRPr="00E23815" w:rsidRDefault="00B22DF8">
            <w:pPr>
              <w:spacing w:after="0" w:line="256" w:lineRule="auto"/>
              <w:jc w:val="center"/>
              <w:rPr>
                <w:rFonts w:cs="Arial"/>
                <w:b/>
                <w:bCs/>
                <w:sz w:val="20"/>
              </w:rPr>
            </w:pPr>
            <w:r w:rsidRPr="00E23815">
              <w:rPr>
                <w:rFonts w:cs="Arial"/>
                <w:b/>
                <w:bCs/>
                <w:sz w:val="20"/>
              </w:rPr>
              <w:t>Částka v ml</w:t>
            </w:r>
            <w:r w:rsidR="00691E96" w:rsidRPr="00E23815">
              <w:rPr>
                <w:rFonts w:cs="Arial"/>
                <w:b/>
                <w:bCs/>
                <w:sz w:val="20"/>
              </w:rPr>
              <w:t>d</w:t>
            </w:r>
            <w:r w:rsidRPr="00E23815">
              <w:rPr>
                <w:rFonts w:cs="Arial"/>
                <w:b/>
                <w:bCs/>
                <w:sz w:val="20"/>
              </w:rPr>
              <w:t>. Kč</w:t>
            </w:r>
          </w:p>
        </w:tc>
      </w:tr>
      <w:tr w:rsidR="00B22DF8" w:rsidRPr="00E23815" w14:paraId="5A792E56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ED04" w14:textId="77777777" w:rsidR="00B22DF8" w:rsidRPr="00E23815" w:rsidRDefault="00B22DF8">
            <w:pPr>
              <w:spacing w:after="0" w:line="256" w:lineRule="auto"/>
              <w:rPr>
                <w:rFonts w:cs="Arial"/>
                <w:sz w:val="20"/>
              </w:rPr>
            </w:pPr>
            <w:r w:rsidRPr="00E23815">
              <w:rPr>
                <w:rFonts w:cs="Arial"/>
                <w:sz w:val="20"/>
              </w:rPr>
              <w:t>Příjmy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9CDB" w14:textId="77777777" w:rsidR="00CE0272" w:rsidRPr="00E23815" w:rsidRDefault="00CE0272" w:rsidP="000A06A9">
            <w:pPr>
              <w:spacing w:after="0" w:line="256" w:lineRule="auto"/>
              <w:ind w:righ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24</w:t>
            </w:r>
            <w:r w:rsidR="00B22DF8" w:rsidRPr="00E23815">
              <w:rPr>
                <w:rFonts w:cs="Arial"/>
                <w:bCs/>
                <w:sz w:val="20"/>
                <w:szCs w:val="20"/>
              </w:rPr>
              <w:t>,</w:t>
            </w:r>
            <w:r w:rsidRPr="00E23815">
              <w:rPr>
                <w:rFonts w:cs="Arial"/>
                <w:bCs/>
                <w:sz w:val="20"/>
                <w:szCs w:val="20"/>
              </w:rPr>
              <w:t>3</w:t>
            </w:r>
          </w:p>
        </w:tc>
      </w:tr>
      <w:tr w:rsidR="00B22DF8" w:rsidRPr="00E23815" w14:paraId="2889F18E" w14:textId="77777777" w:rsidTr="00B22DF8">
        <w:trPr>
          <w:trHeight w:val="340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7C98" w14:textId="77777777" w:rsidR="00B22DF8" w:rsidRPr="00E23815" w:rsidRDefault="00B22DF8">
            <w:pPr>
              <w:spacing w:after="0" w:line="256" w:lineRule="auto"/>
              <w:rPr>
                <w:rFonts w:cs="Arial"/>
                <w:sz w:val="20"/>
              </w:rPr>
            </w:pPr>
            <w:r w:rsidRPr="00E23815">
              <w:rPr>
                <w:rFonts w:cs="Arial"/>
                <w:sz w:val="20"/>
              </w:rPr>
              <w:t>Výdaje (skutečnost celkem)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CDE1" w14:textId="77777777" w:rsidR="00B22DF8" w:rsidRPr="00E23815" w:rsidRDefault="00CE0272" w:rsidP="000A06A9">
            <w:pPr>
              <w:spacing w:after="0" w:line="256" w:lineRule="auto"/>
              <w:ind w:righ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E23815">
              <w:rPr>
                <w:rFonts w:cs="Arial"/>
                <w:bCs/>
                <w:sz w:val="20"/>
                <w:szCs w:val="20"/>
              </w:rPr>
              <w:t>24,5</w:t>
            </w:r>
          </w:p>
        </w:tc>
      </w:tr>
    </w:tbl>
    <w:p w14:paraId="4F048CA2" w14:textId="77777777" w:rsidR="00077ACA" w:rsidRPr="008A6FED" w:rsidRDefault="00A640AE" w:rsidP="00D40705">
      <w:pPr>
        <w:spacing w:after="0"/>
        <w:rPr>
          <w:bCs/>
          <w:sz w:val="20"/>
          <w:szCs w:val="20"/>
        </w:rPr>
      </w:pPr>
      <w:r w:rsidRPr="008A6FED">
        <w:rPr>
          <w:b/>
          <w:sz w:val="20"/>
          <w:szCs w:val="20"/>
        </w:rPr>
        <w:t>Zdroj:</w:t>
      </w:r>
      <w:r w:rsidR="00D16053" w:rsidRPr="008A6FED">
        <w:rPr>
          <w:bCs/>
          <w:sz w:val="20"/>
          <w:szCs w:val="20"/>
        </w:rPr>
        <w:t xml:space="preserve"> výkaz FIN 1-12 OSS</w:t>
      </w:r>
      <w:r w:rsidR="00B22DF8" w:rsidRPr="008A6FED">
        <w:rPr>
          <w:bCs/>
          <w:sz w:val="20"/>
          <w:szCs w:val="20"/>
        </w:rPr>
        <w:t xml:space="preserve">; </w:t>
      </w:r>
      <w:r w:rsidR="00B22DF8" w:rsidRPr="008A6FED">
        <w:rPr>
          <w:rFonts w:cs="Arial"/>
          <w:bCs/>
          <w:sz w:val="20"/>
          <w:szCs w:val="20"/>
        </w:rPr>
        <w:t xml:space="preserve">hodnoty </w:t>
      </w:r>
      <w:r w:rsidR="002B3676" w:rsidRPr="008A6FED">
        <w:rPr>
          <w:rFonts w:cs="Arial"/>
          <w:bCs/>
          <w:sz w:val="20"/>
          <w:szCs w:val="20"/>
        </w:rPr>
        <w:t xml:space="preserve">jsou </w:t>
      </w:r>
      <w:r w:rsidR="006614E6" w:rsidRPr="008A6FED">
        <w:rPr>
          <w:rFonts w:cs="Arial"/>
          <w:bCs/>
          <w:sz w:val="20"/>
          <w:szCs w:val="20"/>
        </w:rPr>
        <w:t xml:space="preserve">v tabulce </w:t>
      </w:r>
      <w:r w:rsidR="00B22DF8" w:rsidRPr="008A6FED">
        <w:rPr>
          <w:rFonts w:cs="Arial"/>
          <w:bCs/>
          <w:sz w:val="20"/>
          <w:szCs w:val="20"/>
        </w:rPr>
        <w:t>uvedeny v ml</w:t>
      </w:r>
      <w:r w:rsidR="00CE0272" w:rsidRPr="008A6FED">
        <w:rPr>
          <w:rFonts w:cs="Arial"/>
          <w:bCs/>
          <w:sz w:val="20"/>
          <w:szCs w:val="20"/>
        </w:rPr>
        <w:t>d</w:t>
      </w:r>
      <w:r w:rsidR="00B22DF8" w:rsidRPr="008A6FED">
        <w:rPr>
          <w:rFonts w:cs="Arial"/>
          <w:bCs/>
          <w:sz w:val="20"/>
          <w:szCs w:val="20"/>
        </w:rPr>
        <w:t>. Kč a zaokrouhleny</w:t>
      </w:r>
      <w:r w:rsidR="003444C4" w:rsidRPr="008A6FED">
        <w:rPr>
          <w:bCs/>
          <w:sz w:val="20"/>
          <w:szCs w:val="20"/>
        </w:rPr>
        <w:t>.</w:t>
      </w:r>
    </w:p>
    <w:p w14:paraId="7C93F798" w14:textId="77777777" w:rsidR="009706C3" w:rsidRPr="00E23815" w:rsidRDefault="009706C3">
      <w:pPr>
        <w:spacing w:after="160" w:line="259" w:lineRule="auto"/>
        <w:rPr>
          <w:rFonts w:asciiTheme="minorHAnsi" w:eastAsiaTheme="minorHAnsi" w:hAnsiTheme="minorHAnsi" w:cstheme="minorHAnsi"/>
          <w:b/>
          <w:sz w:val="28"/>
          <w:szCs w:val="28"/>
        </w:rPr>
      </w:pPr>
      <w:r w:rsidRPr="00E23815">
        <w:br w:type="page"/>
      </w:r>
    </w:p>
    <w:p w14:paraId="538E6CC4" w14:textId="77777777" w:rsidR="0033466E" w:rsidRPr="00E23815" w:rsidRDefault="00A640AE" w:rsidP="00D10727">
      <w:pPr>
        <w:pStyle w:val="Styl1"/>
        <w:ind w:left="414" w:hanging="57"/>
      </w:pPr>
      <w:r w:rsidRPr="00E23815">
        <w:lastRenderedPageBreak/>
        <w:t>Rozsah kontroly</w:t>
      </w:r>
    </w:p>
    <w:p w14:paraId="19EF806F" w14:textId="77777777" w:rsidR="00F05073" w:rsidRPr="00E23815" w:rsidRDefault="00F05073" w:rsidP="00CB541E">
      <w:pPr>
        <w:keepNext/>
        <w:spacing w:after="0"/>
        <w:jc w:val="both"/>
        <w:rPr>
          <w:rFonts w:cs="Calibri"/>
        </w:rPr>
      </w:pPr>
    </w:p>
    <w:p w14:paraId="141EE503" w14:textId="77777777" w:rsidR="00BB0827" w:rsidRPr="00E23815" w:rsidRDefault="006662D9" w:rsidP="00DF149F">
      <w:pPr>
        <w:spacing w:before="120" w:after="0"/>
        <w:jc w:val="both"/>
        <w:rPr>
          <w:rFonts w:eastAsiaTheme="minorHAnsi" w:cs="Calibri"/>
        </w:rPr>
      </w:pPr>
      <w:r w:rsidRPr="00E23815">
        <w:rPr>
          <w:rFonts w:cs="Calibri"/>
        </w:rPr>
        <w:t xml:space="preserve">KA byla kontrolou typu finanční audit a jejím cílem bylo </w:t>
      </w:r>
      <w:r w:rsidRPr="00E23815">
        <w:rPr>
          <w:rFonts w:eastAsiaTheme="minorHAnsi" w:cs="Calibri"/>
        </w:rPr>
        <w:t>prověřit, zda</w:t>
      </w:r>
      <w:r w:rsidR="00D84751" w:rsidRPr="00E23815">
        <w:rPr>
          <w:rFonts w:eastAsiaTheme="minorHAnsi" w:cs="Calibri"/>
        </w:rPr>
        <w:t xml:space="preserve"> </w:t>
      </w:r>
      <w:r w:rsidR="00BE11D7" w:rsidRPr="00E23815">
        <w:rPr>
          <w:rFonts w:eastAsiaTheme="minorHAnsi" w:cs="Calibri"/>
        </w:rPr>
        <w:t>MŽP</w:t>
      </w:r>
      <w:r w:rsidR="00D06EFD" w:rsidRPr="00E23815">
        <w:rPr>
          <w:rFonts w:eastAsiaTheme="minorHAnsi" w:cs="Calibri"/>
        </w:rPr>
        <w:t xml:space="preserve"> </w:t>
      </w:r>
      <w:r w:rsidRPr="00E23815">
        <w:rPr>
          <w:rFonts w:eastAsiaTheme="minorHAnsi" w:cs="Calibri"/>
        </w:rPr>
        <w:t>při vedení účetnictví v roce 2022</w:t>
      </w:r>
      <w:r w:rsidR="0097425A" w:rsidRPr="00E23815">
        <w:rPr>
          <w:rFonts w:eastAsiaTheme="minorHAnsi" w:cs="Calibri"/>
        </w:rPr>
        <w:t>,</w:t>
      </w:r>
      <w:r w:rsidR="003C7827" w:rsidRPr="00E23815">
        <w:rPr>
          <w:rFonts w:eastAsiaTheme="minorHAnsi" w:cs="Calibri"/>
        </w:rPr>
        <w:t xml:space="preserve"> při</w:t>
      </w:r>
      <w:r w:rsidRPr="00E23815">
        <w:rPr>
          <w:rFonts w:eastAsiaTheme="minorHAnsi" w:cs="Calibri"/>
        </w:rPr>
        <w:t xml:space="preserve"> sestavení účetní závěrky k</w:t>
      </w:r>
      <w:r w:rsidR="00D06EFD" w:rsidRPr="00E23815">
        <w:rPr>
          <w:rFonts w:eastAsiaTheme="minorHAnsi" w:cs="Calibri"/>
        </w:rPr>
        <w:t> </w:t>
      </w:r>
      <w:r w:rsidRPr="00E23815">
        <w:rPr>
          <w:rFonts w:eastAsiaTheme="minorHAnsi" w:cs="Calibri"/>
        </w:rPr>
        <w:t>31. prosinci 2022</w:t>
      </w:r>
      <w:r w:rsidR="00D06EFD" w:rsidRPr="00E23815">
        <w:rPr>
          <w:rFonts w:eastAsiaTheme="minorHAnsi" w:cs="Calibri"/>
        </w:rPr>
        <w:t>,</w:t>
      </w:r>
      <w:r w:rsidRPr="00E23815">
        <w:rPr>
          <w:rFonts w:eastAsiaTheme="minorHAnsi" w:cs="Calibri"/>
        </w:rPr>
        <w:t xml:space="preserve"> při předkládání údajů pro</w:t>
      </w:r>
      <w:r w:rsidR="002B3676" w:rsidRPr="00E23815">
        <w:rPr>
          <w:rFonts w:eastAsiaTheme="minorHAnsi" w:cs="Calibri"/>
        </w:rPr>
        <w:t xml:space="preserve"> </w:t>
      </w:r>
      <w:r w:rsidRPr="00E23815">
        <w:rPr>
          <w:rFonts w:eastAsiaTheme="minorHAnsi" w:cs="Calibri"/>
        </w:rPr>
        <w:t>hodnocení plnění státního rozpočtu</w:t>
      </w:r>
      <w:r w:rsidR="00DF149F" w:rsidRPr="00E23815">
        <w:rPr>
          <w:rFonts w:eastAsiaTheme="minorHAnsi" w:cs="Calibri"/>
          <w:vertAlign w:val="superscript"/>
        </w:rPr>
        <w:footnoteReference w:id="16"/>
      </w:r>
      <w:r w:rsidRPr="00E23815">
        <w:rPr>
          <w:rFonts w:eastAsiaTheme="minorHAnsi" w:cs="Calibri"/>
        </w:rPr>
        <w:t xml:space="preserve"> </w:t>
      </w:r>
      <w:r w:rsidR="00D06EFD" w:rsidRPr="00E23815">
        <w:rPr>
          <w:rFonts w:eastAsiaTheme="minorHAnsi" w:cs="Calibri"/>
        </w:rPr>
        <w:t xml:space="preserve">a při sestavení závěrečného účtu </w:t>
      </w:r>
      <w:r w:rsidRPr="00E23815">
        <w:rPr>
          <w:rFonts w:eastAsiaTheme="minorHAnsi" w:cs="Calibri"/>
        </w:rPr>
        <w:t>za rok 2022 postupoval</w:t>
      </w:r>
      <w:r w:rsidR="00D06EFD" w:rsidRPr="00E23815">
        <w:rPr>
          <w:rFonts w:eastAsiaTheme="minorHAnsi" w:cs="Calibri"/>
        </w:rPr>
        <w:t>o</w:t>
      </w:r>
      <w:r w:rsidRPr="00E23815">
        <w:rPr>
          <w:rFonts w:eastAsiaTheme="minorHAnsi" w:cs="Calibri"/>
        </w:rPr>
        <w:t xml:space="preserve"> v</w:t>
      </w:r>
      <w:r w:rsidR="002B3676" w:rsidRPr="00E23815">
        <w:rPr>
          <w:rFonts w:eastAsiaTheme="minorHAnsi" w:cs="Calibri"/>
        </w:rPr>
        <w:t xml:space="preserve"> </w:t>
      </w:r>
      <w:r w:rsidRPr="00E23815">
        <w:rPr>
          <w:rFonts w:eastAsiaTheme="minorHAnsi" w:cs="Calibri"/>
        </w:rPr>
        <w:t>souladu s</w:t>
      </w:r>
      <w:r w:rsidR="002B3676" w:rsidRPr="00E23815">
        <w:rPr>
          <w:rFonts w:eastAsiaTheme="minorHAnsi" w:cs="Calibri"/>
        </w:rPr>
        <w:t xml:space="preserve"> </w:t>
      </w:r>
      <w:r w:rsidRPr="00E23815">
        <w:rPr>
          <w:rFonts w:eastAsiaTheme="minorHAnsi" w:cs="Calibri"/>
        </w:rPr>
        <w:t>příslušnými právními předpisy.</w:t>
      </w:r>
    </w:p>
    <w:p w14:paraId="004470E5" w14:textId="77777777" w:rsidR="00C0657A" w:rsidRPr="00E23815" w:rsidRDefault="006662D9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E23815">
        <w:rPr>
          <w:rFonts w:cs="Calibri"/>
          <w:i/>
        </w:rPr>
        <w:t>Skutečnost</w:t>
      </w:r>
      <w:r w:rsidR="003C7827" w:rsidRPr="00E23815">
        <w:rPr>
          <w:rFonts w:cs="Calibri"/>
        </w:rPr>
        <w:t>, jejichž hodnoty jsou uvedeny</w:t>
      </w:r>
      <w:r w:rsidRPr="00E23815">
        <w:rPr>
          <w:rFonts w:cs="Calibri"/>
        </w:rPr>
        <w:t xml:space="preserve"> v tabulce č. 3.</w:t>
      </w:r>
    </w:p>
    <w:p w14:paraId="5CABBBA2" w14:textId="77777777" w:rsidR="00C0657A" w:rsidRPr="00E23815" w:rsidRDefault="00A640AE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>Kontrola se zaměřila na činnosti a skutečnosti, které byly předmětem účetnictví</w:t>
      </w:r>
      <w:r w:rsidR="00DF149F" w:rsidRPr="00E23815">
        <w:rPr>
          <w:rStyle w:val="Znakapoznpodarou"/>
          <w:rFonts w:cs="Calibri"/>
        </w:rPr>
        <w:footnoteReference w:id="17"/>
      </w:r>
      <w:r w:rsidR="00291417" w:rsidRPr="00E23815">
        <w:rPr>
          <w:rFonts w:cs="Calibri"/>
          <w:vertAlign w:val="superscript"/>
        </w:rPr>
        <w:t xml:space="preserve"> </w:t>
      </w:r>
      <w:r w:rsidR="00291417" w:rsidRPr="00E23815">
        <w:rPr>
          <w:rFonts w:cs="Calibri"/>
        </w:rPr>
        <w:t>a měly vliv na</w:t>
      </w:r>
      <w:r w:rsidR="00B03EA6" w:rsidRPr="00E23815">
        <w:rPr>
          <w:rFonts w:cs="Calibri"/>
        </w:rPr>
        <w:t xml:space="preserve"> </w:t>
      </w:r>
      <w:r w:rsidRPr="00E23815">
        <w:rPr>
          <w:rFonts w:cs="Calibri"/>
        </w:rPr>
        <w:t>hodnotu kontrolovaných významných konečných zůstatků účtů v</w:t>
      </w:r>
      <w:r w:rsidR="00DF149F" w:rsidRPr="00E23815">
        <w:rPr>
          <w:rFonts w:cs="Calibri"/>
        </w:rPr>
        <w:t> účetní závěrce</w:t>
      </w:r>
      <w:r w:rsidR="00FF141F" w:rsidRPr="00E23815">
        <w:rPr>
          <w:rFonts w:cs="Calibri"/>
        </w:rPr>
        <w:t xml:space="preserve"> </w:t>
      </w:r>
      <w:r w:rsidR="0097425A" w:rsidRPr="00E23815">
        <w:rPr>
          <w:rFonts w:cs="Calibri"/>
        </w:rPr>
        <w:t xml:space="preserve">a </w:t>
      </w:r>
      <w:r w:rsidR="00BA10E7" w:rsidRPr="00E23815">
        <w:rPr>
          <w:rFonts w:cs="Calibri"/>
        </w:rPr>
        <w:t>na</w:t>
      </w:r>
      <w:r w:rsidR="00B03EA6" w:rsidRPr="00E23815">
        <w:rPr>
          <w:rFonts w:cs="Calibri"/>
        </w:rPr>
        <w:t xml:space="preserve"> </w:t>
      </w:r>
      <w:r w:rsidRPr="00E23815">
        <w:rPr>
          <w:rFonts w:cs="Calibri"/>
        </w:rPr>
        <w:t>hodnotu významných údajů předkládaných</w:t>
      </w:r>
      <w:r w:rsidR="00FF141F" w:rsidRPr="00E23815">
        <w:rPr>
          <w:rFonts w:cs="Calibri"/>
        </w:rPr>
        <w:t xml:space="preserve"> </w:t>
      </w:r>
      <w:r w:rsidRPr="00E23815">
        <w:rPr>
          <w:rFonts w:cs="Calibri"/>
        </w:rPr>
        <w:t xml:space="preserve">pro hodnocení </w:t>
      </w:r>
      <w:r w:rsidR="005E41D6" w:rsidRPr="00E23815">
        <w:rPr>
          <w:rFonts w:cs="Calibri"/>
        </w:rPr>
        <w:t>plnění státního rozpočtu za</w:t>
      </w:r>
      <w:r w:rsidR="00BB5BEC" w:rsidRPr="00E23815">
        <w:rPr>
          <w:rFonts w:cs="Calibri"/>
        </w:rPr>
        <w:t xml:space="preserve"> </w:t>
      </w:r>
      <w:r w:rsidR="001B0BE7" w:rsidRPr="00E23815">
        <w:rPr>
          <w:rFonts w:cs="Calibri"/>
        </w:rPr>
        <w:t>rok</w:t>
      </w:r>
      <w:r w:rsidR="00854846" w:rsidRPr="00E23815">
        <w:rPr>
          <w:rFonts w:cs="Calibri"/>
        </w:rPr>
        <w:t xml:space="preserve"> </w:t>
      </w:r>
      <w:r w:rsidR="005322AA" w:rsidRPr="00E23815">
        <w:rPr>
          <w:rFonts w:cs="Calibri"/>
        </w:rPr>
        <w:t>202</w:t>
      </w:r>
      <w:r w:rsidR="00777EF7" w:rsidRPr="00E23815">
        <w:rPr>
          <w:rFonts w:cs="Calibri"/>
        </w:rPr>
        <w:t>2</w:t>
      </w:r>
      <w:r w:rsidR="00DF149F" w:rsidRPr="00E23815">
        <w:rPr>
          <w:rFonts w:cs="Calibri"/>
        </w:rPr>
        <w:t xml:space="preserve"> a na závěrečný účet</w:t>
      </w:r>
      <w:r w:rsidRPr="00E23815">
        <w:rPr>
          <w:rFonts w:cs="Calibri"/>
        </w:rPr>
        <w:t>.</w:t>
      </w:r>
    </w:p>
    <w:p w14:paraId="434A29C4" w14:textId="77777777" w:rsidR="00F279C1" w:rsidRPr="00E23815" w:rsidRDefault="00F279C1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V oblasti vedení účetnictví se kontrola zaměřila na jeho správnost, úplnost, průkaznost </w:t>
      </w:r>
      <w:r w:rsidR="001F3453" w:rsidRPr="00E23815">
        <w:rPr>
          <w:rFonts w:cs="Calibri"/>
        </w:rPr>
        <w:br/>
      </w:r>
      <w:r w:rsidRPr="00E23815">
        <w:rPr>
          <w:rFonts w:cs="Calibri"/>
        </w:rPr>
        <w:t>a</w:t>
      </w:r>
      <w:r w:rsidR="001F3453" w:rsidRPr="00E23815">
        <w:rPr>
          <w:rFonts w:cs="Calibri"/>
        </w:rPr>
        <w:t xml:space="preserve"> </w:t>
      </w:r>
      <w:r w:rsidRPr="00E23815">
        <w:rPr>
          <w:rFonts w:cs="Calibri"/>
        </w:rPr>
        <w:t>srozumitelnost. Prověřila</w:t>
      </w:r>
      <w:r w:rsidR="00FD03E7" w:rsidRPr="00E23815">
        <w:rPr>
          <w:rFonts w:cs="Calibri"/>
        </w:rPr>
        <w:t xml:space="preserve"> </w:t>
      </w:r>
      <w:r w:rsidR="00A37324" w:rsidRPr="00E23815">
        <w:rPr>
          <w:rFonts w:cs="Calibri"/>
        </w:rPr>
        <w:t>dodržování směrné účtové osnovy</w:t>
      </w:r>
      <w:r w:rsidR="00FC5172" w:rsidRPr="00E23815">
        <w:rPr>
          <w:rFonts w:cs="Calibri"/>
        </w:rPr>
        <w:t xml:space="preserve">, </w:t>
      </w:r>
      <w:r w:rsidRPr="00E23815">
        <w:rPr>
          <w:rFonts w:cs="Calibri"/>
        </w:rPr>
        <w:t>správnost použív</w:t>
      </w:r>
      <w:r w:rsidR="002B3676" w:rsidRPr="00E23815">
        <w:rPr>
          <w:rFonts w:cs="Calibri"/>
        </w:rPr>
        <w:t>á</w:t>
      </w:r>
      <w:r w:rsidR="00FD03E7" w:rsidRPr="00E23815">
        <w:rPr>
          <w:rFonts w:cs="Calibri"/>
        </w:rPr>
        <w:t>n</w:t>
      </w:r>
      <w:r w:rsidR="009A5B97" w:rsidRPr="00E23815">
        <w:rPr>
          <w:rFonts w:cs="Calibri"/>
        </w:rPr>
        <w:t>í</w:t>
      </w:r>
      <w:r w:rsidRPr="00E23815">
        <w:rPr>
          <w:rFonts w:cs="Calibri"/>
        </w:rPr>
        <w:t xml:space="preserve"> účetních metod</w:t>
      </w:r>
      <w:r w:rsidR="00FD03E7" w:rsidRPr="00E23815">
        <w:rPr>
          <w:rFonts w:cs="Calibri"/>
        </w:rPr>
        <w:t xml:space="preserve"> a ostatních podmínek vedení účetnictví stanovených </w:t>
      </w:r>
      <w:r w:rsidR="00943482" w:rsidRPr="00E23815">
        <w:rPr>
          <w:rFonts w:cs="Calibri"/>
        </w:rPr>
        <w:t>zákonem č. 563/1991 Sb. a</w:t>
      </w:r>
      <w:r w:rsidR="0096326C" w:rsidRPr="00E23815">
        <w:rPr>
          <w:rFonts w:cs="Calibri"/>
        </w:rPr>
        <w:t> </w:t>
      </w:r>
      <w:r w:rsidR="00943482" w:rsidRPr="00E23815">
        <w:rPr>
          <w:rFonts w:cs="Calibri"/>
        </w:rPr>
        <w:t>vyhláškou č. 410/2009 Sb</w:t>
      </w:r>
      <w:r w:rsidRPr="00E23815">
        <w:rPr>
          <w:rFonts w:cs="Calibri"/>
        </w:rPr>
        <w:t>.</w:t>
      </w:r>
      <w:r w:rsidR="008D4250">
        <w:rPr>
          <w:rStyle w:val="Znakapoznpodarou"/>
          <w:rFonts w:cs="Calibri"/>
        </w:rPr>
        <w:footnoteReference w:id="18"/>
      </w:r>
      <w:r w:rsidR="00943482" w:rsidRPr="00E23815">
        <w:rPr>
          <w:rFonts w:cs="Calibri"/>
        </w:rPr>
        <w:t xml:space="preserve"> </w:t>
      </w:r>
      <w:r w:rsidRPr="00E23815">
        <w:rPr>
          <w:rFonts w:cs="Calibri"/>
        </w:rPr>
        <w:t>U</w:t>
      </w:r>
      <w:r w:rsidR="001F3453" w:rsidRPr="00E23815">
        <w:rPr>
          <w:rFonts w:cs="Calibri"/>
        </w:rPr>
        <w:t xml:space="preserve"> </w:t>
      </w:r>
      <w:r w:rsidRPr="00E23815">
        <w:rPr>
          <w:rFonts w:cs="Calibri"/>
        </w:rPr>
        <w:t>vybraných účetních případů byla provedena kontrola s cílem prověřit systém účtování a</w:t>
      </w:r>
      <w:r w:rsidR="002B3676" w:rsidRPr="00E23815">
        <w:rPr>
          <w:rFonts w:cs="Calibri"/>
        </w:rPr>
        <w:t xml:space="preserve"> </w:t>
      </w:r>
      <w:r w:rsidRPr="00E23815">
        <w:rPr>
          <w:rFonts w:cs="Calibri"/>
        </w:rPr>
        <w:t>vykazování informací o skutečnostech, které jsou předmětem účetnictví.</w:t>
      </w:r>
    </w:p>
    <w:p w14:paraId="0F312C5B" w14:textId="77777777" w:rsidR="00801AD6" w:rsidRPr="00E23815" w:rsidRDefault="00A640AE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V případě údajů předkládaných pro hodnocení plnění státního rozpočtu bylo prověřováno, zda byla dodržena správnost třídění příjmů a výdajů rozpočtovou skladbou </w:t>
      </w:r>
      <w:r w:rsidR="00441800" w:rsidRPr="00E23815">
        <w:rPr>
          <w:rFonts w:asciiTheme="minorHAnsi" w:hAnsiTheme="minorHAnsi" w:cstheme="minorHAnsi"/>
        </w:rPr>
        <w:t xml:space="preserve">z hlediska druhového, odvětvového a prostorového </w:t>
      </w:r>
      <w:r w:rsidRPr="00E23815">
        <w:rPr>
          <w:rFonts w:cs="Calibri"/>
        </w:rPr>
        <w:t xml:space="preserve">dle vyhlášky č. </w:t>
      </w:r>
      <w:r w:rsidR="00777EF7" w:rsidRPr="00E23815">
        <w:rPr>
          <w:rFonts w:cs="Calibri"/>
        </w:rPr>
        <w:t>412/2021</w:t>
      </w:r>
      <w:r w:rsidRPr="00E23815">
        <w:rPr>
          <w:rFonts w:cs="Calibri"/>
        </w:rPr>
        <w:t xml:space="preserve"> Sb.</w:t>
      </w:r>
    </w:p>
    <w:p w14:paraId="6C7F64F7" w14:textId="77777777" w:rsidR="00801AD6" w:rsidRPr="00E23815" w:rsidRDefault="00A640AE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Výběr položek účetní závěrky a údajů předkládaných </w:t>
      </w:r>
      <w:r w:rsidR="00DF149F" w:rsidRPr="00E23815">
        <w:rPr>
          <w:rFonts w:cs="Calibri"/>
        </w:rPr>
        <w:t>Ministerstvem životního prostředí</w:t>
      </w:r>
      <w:r w:rsidRPr="00E23815">
        <w:rPr>
          <w:rFonts w:cs="Calibri"/>
        </w:rPr>
        <w:t xml:space="preserve"> pro hodnocení plnění státního rozpočtu proved</w:t>
      </w:r>
      <w:r w:rsidR="00FB15C1" w:rsidRPr="00E23815">
        <w:rPr>
          <w:rFonts w:cs="Calibri"/>
        </w:rPr>
        <w:t>l NKÚ</w:t>
      </w:r>
      <w:r w:rsidRPr="00E23815">
        <w:rPr>
          <w:rFonts w:cs="Calibri"/>
        </w:rPr>
        <w:t xml:space="preserve"> </w:t>
      </w:r>
      <w:r w:rsidR="00574E94" w:rsidRPr="00E23815">
        <w:rPr>
          <w:rFonts w:cs="Calibri"/>
        </w:rPr>
        <w:t>s ohledem</w:t>
      </w:r>
      <w:r w:rsidRPr="00E23815">
        <w:rPr>
          <w:rFonts w:cs="Calibri"/>
        </w:rPr>
        <w:t xml:space="preserve"> na vyhodnocená rizika nesprávnosti vykázaných údajů.</w:t>
      </w:r>
    </w:p>
    <w:p w14:paraId="6E5143A0" w14:textId="77777777" w:rsidR="00801AD6" w:rsidRPr="00E23815" w:rsidRDefault="00A640AE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 xml:space="preserve">U </w:t>
      </w:r>
      <w:r w:rsidR="007D0244" w:rsidRPr="00E23815">
        <w:rPr>
          <w:rFonts w:cs="Calibri"/>
        </w:rPr>
        <w:t xml:space="preserve">relevantních </w:t>
      </w:r>
      <w:r w:rsidRPr="00E23815">
        <w:rPr>
          <w:rFonts w:cs="Calibri"/>
        </w:rPr>
        <w:t xml:space="preserve">transakcí byl prověřován soulad </w:t>
      </w:r>
      <w:r w:rsidR="00243906" w:rsidRPr="00E23815">
        <w:rPr>
          <w:rFonts w:cs="Calibri"/>
        </w:rPr>
        <w:t>s</w:t>
      </w:r>
      <w:r w:rsidR="007D0244" w:rsidRPr="00E23815">
        <w:rPr>
          <w:rFonts w:cs="Calibri"/>
        </w:rPr>
        <w:t> vybranými ustanoveními</w:t>
      </w:r>
      <w:r w:rsidRPr="00E23815">
        <w:rPr>
          <w:rFonts w:cs="Calibri"/>
        </w:rPr>
        <w:t xml:space="preserve"> další</w:t>
      </w:r>
      <w:r w:rsidR="007D0244" w:rsidRPr="00E23815">
        <w:rPr>
          <w:rFonts w:cs="Calibri"/>
        </w:rPr>
        <w:t>ch</w:t>
      </w:r>
      <w:r w:rsidRPr="00E23815">
        <w:rPr>
          <w:rFonts w:cs="Calibri"/>
        </w:rPr>
        <w:t xml:space="preserve"> právní</w:t>
      </w:r>
      <w:r w:rsidR="007D0244" w:rsidRPr="00E23815">
        <w:rPr>
          <w:rFonts w:cs="Calibri"/>
        </w:rPr>
        <w:t>ch</w:t>
      </w:r>
      <w:r w:rsidRPr="00E23815">
        <w:rPr>
          <w:rFonts w:cs="Calibri"/>
        </w:rPr>
        <w:t xml:space="preserve"> předpis</w:t>
      </w:r>
      <w:r w:rsidR="007D0244" w:rsidRPr="00E23815">
        <w:rPr>
          <w:rFonts w:cs="Calibri"/>
        </w:rPr>
        <w:t>ů</w:t>
      </w:r>
      <w:r w:rsidR="001F1F57" w:rsidRPr="00E23815">
        <w:rPr>
          <w:rFonts w:cs="Calibri"/>
        </w:rPr>
        <w:t>,</w:t>
      </w:r>
      <w:r w:rsidRPr="00E23815">
        <w:rPr>
          <w:rFonts w:cs="Calibri"/>
        </w:rPr>
        <w:t xml:space="preserve"> a to zejména </w:t>
      </w:r>
      <w:r w:rsidR="00BA2B34" w:rsidRPr="00E23815">
        <w:rPr>
          <w:rFonts w:cs="Calibri"/>
        </w:rPr>
        <w:t>zákona č. 218/2000 Sb.</w:t>
      </w:r>
      <w:r w:rsidR="001077EB" w:rsidRPr="00E23815">
        <w:rPr>
          <w:rFonts w:cs="Calibri"/>
        </w:rPr>
        <w:t xml:space="preserve"> a zákona</w:t>
      </w:r>
      <w:r w:rsidR="00BA2B34" w:rsidRPr="00E23815">
        <w:rPr>
          <w:rFonts w:cs="Calibri"/>
        </w:rPr>
        <w:t xml:space="preserve"> č. 219/2000 Sb</w:t>
      </w:r>
      <w:r w:rsidR="001077EB" w:rsidRPr="00E23815">
        <w:rPr>
          <w:rFonts w:cs="Calibri"/>
        </w:rPr>
        <w:t>.</w:t>
      </w:r>
    </w:p>
    <w:p w14:paraId="3E9C408B" w14:textId="77777777" w:rsidR="008F46EE" w:rsidRPr="00E23815" w:rsidRDefault="00A640AE" w:rsidP="00DF149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t>V</w:t>
      </w:r>
      <w:r w:rsidR="00E91FF5" w:rsidRPr="00E23815">
        <w:rPr>
          <w:rFonts w:cs="Calibri"/>
        </w:rPr>
        <w:t> </w:t>
      </w:r>
      <w:r w:rsidRPr="00E23815">
        <w:rPr>
          <w:rFonts w:cs="Calibri"/>
        </w:rPr>
        <w:t>případě</w:t>
      </w:r>
      <w:r w:rsidR="00E91FF5" w:rsidRPr="00E23815">
        <w:rPr>
          <w:rFonts w:cs="Calibri"/>
        </w:rPr>
        <w:t xml:space="preserve"> </w:t>
      </w:r>
      <w:r w:rsidR="002902ED" w:rsidRPr="00E23815">
        <w:rPr>
          <w:rFonts w:cs="Calibri"/>
        </w:rPr>
        <w:t>uzavírání</w:t>
      </w:r>
      <w:r w:rsidRPr="00E23815">
        <w:rPr>
          <w:rFonts w:cs="Calibri"/>
        </w:rPr>
        <w:t xml:space="preserve"> smluv </w:t>
      </w:r>
      <w:r w:rsidR="001077EB" w:rsidRPr="00E23815">
        <w:rPr>
          <w:rFonts w:cs="Calibri"/>
        </w:rPr>
        <w:t xml:space="preserve">a objednávek </w:t>
      </w:r>
      <w:r w:rsidRPr="00E23815">
        <w:rPr>
          <w:rFonts w:cs="Calibri"/>
        </w:rPr>
        <w:t xml:space="preserve">bylo </w:t>
      </w:r>
      <w:r w:rsidR="001077EB" w:rsidRPr="00E23815">
        <w:rPr>
          <w:rFonts w:cs="Calibri"/>
        </w:rPr>
        <w:t>prověřováno</w:t>
      </w:r>
      <w:r w:rsidRPr="00E23815">
        <w:rPr>
          <w:rFonts w:cs="Calibri"/>
        </w:rPr>
        <w:t xml:space="preserve"> </w:t>
      </w:r>
      <w:r w:rsidR="00E91FF5" w:rsidRPr="00E23815">
        <w:rPr>
          <w:rFonts w:cs="Calibri"/>
        </w:rPr>
        <w:t>jejich uveřejn</w:t>
      </w:r>
      <w:r w:rsidR="00CD2142" w:rsidRPr="00E23815">
        <w:rPr>
          <w:rFonts w:cs="Calibri"/>
        </w:rPr>
        <w:t>ění v registru smluv dle zák</w:t>
      </w:r>
      <w:r w:rsidR="00F14722" w:rsidRPr="00E23815">
        <w:rPr>
          <w:rFonts w:cs="Calibri"/>
        </w:rPr>
        <w:t>ona</w:t>
      </w:r>
      <w:r w:rsidR="00FB6581" w:rsidRPr="00E23815">
        <w:rPr>
          <w:rFonts w:cs="Calibri"/>
        </w:rPr>
        <w:t xml:space="preserve"> č. 340/2015 Sb.</w:t>
      </w:r>
      <w:r w:rsidR="00BA2B34" w:rsidRPr="00E23815">
        <w:rPr>
          <w:vertAlign w:val="superscript"/>
        </w:rPr>
        <w:footnoteReference w:id="19"/>
      </w:r>
    </w:p>
    <w:p w14:paraId="0B64F23C" w14:textId="77777777" w:rsidR="003B0AF7" w:rsidRPr="00E23815" w:rsidRDefault="003B0AF7">
      <w:pPr>
        <w:spacing w:after="160" w:line="259" w:lineRule="auto"/>
        <w:rPr>
          <w:b/>
        </w:rPr>
      </w:pPr>
      <w:r w:rsidRPr="00E23815">
        <w:rPr>
          <w:b/>
        </w:rPr>
        <w:br w:type="page"/>
      </w:r>
    </w:p>
    <w:p w14:paraId="3AADA431" w14:textId="5A77319B" w:rsidR="003E18C8" w:rsidRPr="00E23815" w:rsidRDefault="00C20965" w:rsidP="003E18C8">
      <w:pPr>
        <w:spacing w:before="120" w:after="0"/>
        <w:jc w:val="both"/>
      </w:pPr>
      <w:r w:rsidRPr="00E23815">
        <w:lastRenderedPageBreak/>
        <w:t xml:space="preserve">NKÚ na základě prověřovaných skutečností vyhodnotil </w:t>
      </w:r>
      <w:r w:rsidRPr="00E23815">
        <w:rPr>
          <w:b/>
        </w:rPr>
        <w:t>nastavení VKS</w:t>
      </w:r>
      <w:r w:rsidRPr="00E23815">
        <w:t xml:space="preserve"> </w:t>
      </w:r>
      <w:r w:rsidRPr="00E23815">
        <w:rPr>
          <w:bCs/>
        </w:rPr>
        <w:t>v</w:t>
      </w:r>
      <w:r w:rsidR="00954016">
        <w:rPr>
          <w:bCs/>
        </w:rPr>
        <w:t xml:space="preserve"> </w:t>
      </w:r>
      <w:r w:rsidRPr="00E23815">
        <w:rPr>
          <w:bCs/>
        </w:rPr>
        <w:t>oblasti účetnictví</w:t>
      </w:r>
      <w:r w:rsidR="002367E7">
        <w:rPr>
          <w:bCs/>
        </w:rPr>
        <w:t>,</w:t>
      </w:r>
      <w:r w:rsidR="00954016">
        <w:rPr>
          <w:bCs/>
        </w:rPr>
        <w:t xml:space="preserve"> </w:t>
      </w:r>
      <w:r w:rsidRPr="00E23815">
        <w:rPr>
          <w:bCs/>
        </w:rPr>
        <w:t>plnění rozpočtu</w:t>
      </w:r>
      <w:r w:rsidRPr="00E23815">
        <w:t xml:space="preserve"> </w:t>
      </w:r>
      <w:r w:rsidR="002367E7">
        <w:t xml:space="preserve">a závěrečného účtu </w:t>
      </w:r>
      <w:r w:rsidRPr="00E23815">
        <w:t>(vnitřní předpisy, interní audit, účetní doklady, účetní knihy, inventarizace majetku a závazků, účetní závěrka a schvalování účetní závěrky) dle zákonů č. 563/1991 Sb., č.</w:t>
      </w:r>
      <w:r w:rsidR="003E18C8" w:rsidRPr="00E23815">
        <w:t> </w:t>
      </w:r>
      <w:r w:rsidRPr="00E23815">
        <w:t xml:space="preserve">218/2000 Sb. a dalších právních předpisů a </w:t>
      </w:r>
      <w:r w:rsidR="00264E89" w:rsidRPr="00E23815">
        <w:t xml:space="preserve">dále </w:t>
      </w:r>
      <w:r w:rsidRPr="00E23815">
        <w:t>v</w:t>
      </w:r>
      <w:r w:rsidR="002B3676" w:rsidRPr="00E23815">
        <w:t xml:space="preserve"> </w:t>
      </w:r>
      <w:r w:rsidRPr="00E23815">
        <w:t>oblasti řídicí kontroly dle zákona</w:t>
      </w:r>
      <w:r w:rsidR="00151165">
        <w:t xml:space="preserve"> </w:t>
      </w:r>
      <w:r w:rsidRPr="00E23815">
        <w:t>č. 320/2001 Sb.</w:t>
      </w:r>
      <w:r w:rsidR="00CA69AB" w:rsidRPr="00E23815">
        <w:rPr>
          <w:rStyle w:val="Znakapoznpodarou"/>
        </w:rPr>
        <w:footnoteReference w:id="20"/>
      </w:r>
      <w:r w:rsidRPr="00E23815">
        <w:t xml:space="preserve"> a vyhlášky č. 416/2004 Sb.</w:t>
      </w:r>
      <w:r w:rsidRPr="00E23815">
        <w:rPr>
          <w:rStyle w:val="Znakapoznpodarou"/>
          <w:rFonts w:eastAsiaTheme="minorHAnsi" w:cs="Calibri"/>
        </w:rPr>
        <w:footnoteReference w:id="21"/>
      </w:r>
    </w:p>
    <w:p w14:paraId="3280AEB7" w14:textId="2ADCA3D1" w:rsidR="00C20965" w:rsidRPr="00E23815" w:rsidRDefault="006256C8" w:rsidP="003E18C8">
      <w:pPr>
        <w:spacing w:before="120" w:after="0"/>
        <w:jc w:val="both"/>
      </w:pPr>
      <w:r w:rsidRPr="00E23815">
        <w:t xml:space="preserve">NKÚ dále u prověřovaných operací </w:t>
      </w:r>
      <w:r w:rsidR="00B22DF8" w:rsidRPr="00E23815">
        <w:rPr>
          <w:bCs/>
        </w:rPr>
        <w:t>v oblasti účetnictví</w:t>
      </w:r>
      <w:r w:rsidR="00633D38" w:rsidRPr="00E23815">
        <w:rPr>
          <w:bCs/>
        </w:rPr>
        <w:t>,</w:t>
      </w:r>
      <w:r w:rsidR="00A53A66">
        <w:rPr>
          <w:bCs/>
        </w:rPr>
        <w:t xml:space="preserve"> </w:t>
      </w:r>
      <w:r w:rsidR="00B22DF8" w:rsidRPr="00E23815">
        <w:rPr>
          <w:bCs/>
        </w:rPr>
        <w:t xml:space="preserve">plnění rozpočtu </w:t>
      </w:r>
      <w:r w:rsidR="00633D38" w:rsidRPr="00E23815">
        <w:rPr>
          <w:bCs/>
        </w:rPr>
        <w:t xml:space="preserve">a závěrečného účtu </w:t>
      </w:r>
      <w:r w:rsidR="00B22DF8" w:rsidRPr="00E23815">
        <w:t xml:space="preserve">dle zákonů č. 563/1991 Sb., č. 218/2000 Sb. a dalších právních předpisů, </w:t>
      </w:r>
      <w:r w:rsidR="00B22DF8" w:rsidRPr="00E23815">
        <w:rPr>
          <w:bCs/>
        </w:rPr>
        <w:t xml:space="preserve">v oblasti hospodaření </w:t>
      </w:r>
      <w:r w:rsidR="005E725E">
        <w:rPr>
          <w:bCs/>
        </w:rPr>
        <w:br/>
      </w:r>
      <w:r w:rsidR="00B22DF8" w:rsidRPr="00E23815">
        <w:rPr>
          <w:bCs/>
        </w:rPr>
        <w:t>s</w:t>
      </w:r>
      <w:r w:rsidR="005E725E">
        <w:rPr>
          <w:bCs/>
        </w:rPr>
        <w:t xml:space="preserve"> </w:t>
      </w:r>
      <w:r w:rsidR="00B22DF8" w:rsidRPr="00E23815">
        <w:rPr>
          <w:bCs/>
        </w:rPr>
        <w:t>majetkem státu</w:t>
      </w:r>
      <w:r w:rsidR="00B22DF8" w:rsidRPr="00E23815">
        <w:t xml:space="preserve"> dle zákona č. 219/2000 Sb., </w:t>
      </w:r>
      <w:r w:rsidR="00B22DF8" w:rsidRPr="00E23815">
        <w:rPr>
          <w:bCs/>
        </w:rPr>
        <w:t>finančního hospodaření</w:t>
      </w:r>
      <w:r w:rsidR="00B22DF8" w:rsidRPr="00E23815">
        <w:t xml:space="preserve"> dle zákona č. 218/2000 Sb. a dalších právních předpisů (zejména dle zákona </w:t>
      </w:r>
      <w:r w:rsidR="00B22DF8" w:rsidRPr="00E23815">
        <w:rPr>
          <w:spacing w:val="-1"/>
        </w:rPr>
        <w:t>č.</w:t>
      </w:r>
      <w:r w:rsidR="002B3676" w:rsidRPr="00E23815">
        <w:rPr>
          <w:spacing w:val="-1"/>
        </w:rPr>
        <w:t xml:space="preserve"> </w:t>
      </w:r>
      <w:r w:rsidR="00B22DF8" w:rsidRPr="00E23815">
        <w:rPr>
          <w:spacing w:val="-1"/>
        </w:rPr>
        <w:t>340/2015 Sb.) a v</w:t>
      </w:r>
      <w:r w:rsidR="002B3676" w:rsidRPr="00E23815">
        <w:rPr>
          <w:spacing w:val="-1"/>
        </w:rPr>
        <w:t xml:space="preserve"> </w:t>
      </w:r>
      <w:r w:rsidR="00B22DF8" w:rsidRPr="00E23815">
        <w:rPr>
          <w:spacing w:val="-1"/>
        </w:rPr>
        <w:t>oblasti řídicí kontroly dle zákona č.</w:t>
      </w:r>
      <w:r w:rsidR="002B3676" w:rsidRPr="00E23815">
        <w:rPr>
          <w:spacing w:val="-1"/>
        </w:rPr>
        <w:t xml:space="preserve"> </w:t>
      </w:r>
      <w:r w:rsidR="00B22DF8" w:rsidRPr="00E23815">
        <w:rPr>
          <w:spacing w:val="-1"/>
        </w:rPr>
        <w:t>320/2001 Sb. a vyhlášky č. 416/2004</w:t>
      </w:r>
      <w:r w:rsidR="002B3676" w:rsidRPr="00E23815">
        <w:rPr>
          <w:spacing w:val="-1"/>
        </w:rPr>
        <w:t> </w:t>
      </w:r>
      <w:r w:rsidR="00B22DF8" w:rsidRPr="00E23815">
        <w:rPr>
          <w:spacing w:val="-1"/>
        </w:rPr>
        <w:t>Sb</w:t>
      </w:r>
      <w:r w:rsidR="00B22DF8" w:rsidRPr="00E23815">
        <w:t xml:space="preserve">. </w:t>
      </w:r>
      <w:r w:rsidR="00737A6B" w:rsidRPr="00E23815">
        <w:t xml:space="preserve">vyhodnotil </w:t>
      </w:r>
      <w:r w:rsidR="00737A6B" w:rsidRPr="00E23815">
        <w:rPr>
          <w:b/>
        </w:rPr>
        <w:t>funkčnost VKS</w:t>
      </w:r>
      <w:r w:rsidRPr="00E23815">
        <w:rPr>
          <w:b/>
        </w:rPr>
        <w:t>,</w:t>
      </w:r>
      <w:r w:rsidRPr="00E23815">
        <w:t xml:space="preserve"> tj. zda jsou prvky VKS implementovány tak, aby bylo zamezeno vzniku nesprávností. </w:t>
      </w:r>
      <w:r w:rsidR="00C20965" w:rsidRPr="00E23815">
        <w:t xml:space="preserve">Kombinace zjištění </w:t>
      </w:r>
      <w:r w:rsidR="00574E94" w:rsidRPr="00E23815">
        <w:t>týkajících se</w:t>
      </w:r>
      <w:r w:rsidR="00C20965" w:rsidRPr="00E23815">
        <w:t xml:space="preserve"> nastavení a funkčnosti </w:t>
      </w:r>
      <w:r w:rsidR="00574E94" w:rsidRPr="00E23815">
        <w:t xml:space="preserve">VKS ve </w:t>
      </w:r>
      <w:r w:rsidR="00C20965" w:rsidRPr="00E23815">
        <w:t>výše uvedených oblast</w:t>
      </w:r>
      <w:r w:rsidR="00574E94" w:rsidRPr="00E23815">
        <w:t>ech</w:t>
      </w:r>
      <w:r w:rsidR="00C20965" w:rsidRPr="00E23815">
        <w:t xml:space="preserve"> pak</w:t>
      </w:r>
      <w:r w:rsidR="009A5B97" w:rsidRPr="00E23815">
        <w:t xml:space="preserve"> byla</w:t>
      </w:r>
      <w:r w:rsidR="00C20965" w:rsidRPr="00E23815">
        <w:t xml:space="preserve"> podkladem </w:t>
      </w:r>
      <w:r w:rsidR="00574E94" w:rsidRPr="00E23815">
        <w:t>pro</w:t>
      </w:r>
      <w:r w:rsidR="001F559B" w:rsidRPr="00E23815">
        <w:t> </w:t>
      </w:r>
      <w:r w:rsidR="00C20965" w:rsidRPr="00E23815">
        <w:t>hodnocení účinnosti</w:t>
      </w:r>
      <w:r w:rsidR="00574E94" w:rsidRPr="00E23815">
        <w:t xml:space="preserve"> </w:t>
      </w:r>
      <w:r w:rsidR="00A0541E" w:rsidRPr="00E23815">
        <w:t>VKS</w:t>
      </w:r>
      <w:r w:rsidR="00C20965" w:rsidRPr="00E23815">
        <w:t>.</w:t>
      </w:r>
    </w:p>
    <w:p w14:paraId="0DBB5DD4" w14:textId="77777777" w:rsidR="00E464F1" w:rsidRPr="00E23815" w:rsidRDefault="00E464F1" w:rsidP="003E18C8">
      <w:pPr>
        <w:autoSpaceDE w:val="0"/>
        <w:autoSpaceDN w:val="0"/>
        <w:adjustRightInd w:val="0"/>
        <w:spacing w:before="120" w:after="0"/>
        <w:jc w:val="both"/>
        <w:rPr>
          <w:rFonts w:cs="Calibri"/>
          <w:color w:val="000000"/>
        </w:rPr>
      </w:pPr>
      <w:r w:rsidRPr="00E23815">
        <w:rPr>
          <w:rFonts w:cs="Calibri"/>
          <w:color w:val="000000"/>
        </w:rPr>
        <w:t>Při kontrole bylo provedeno také vyhodnocení opatření přijatých k nápravě nedostatků</w:t>
      </w:r>
      <w:r w:rsidR="00B06FC8" w:rsidRPr="00E23815">
        <w:rPr>
          <w:rFonts w:cs="Calibri"/>
          <w:color w:val="000000"/>
        </w:rPr>
        <w:t xml:space="preserve"> uvedených v kontrolním závěru z</w:t>
      </w:r>
      <w:r w:rsidRPr="00E23815">
        <w:rPr>
          <w:rFonts w:cs="Calibri"/>
          <w:color w:val="000000"/>
        </w:rPr>
        <w:t xml:space="preserve"> kontrolní akc</w:t>
      </w:r>
      <w:r w:rsidR="00B06FC8" w:rsidRPr="00E23815">
        <w:rPr>
          <w:rFonts w:cs="Calibri"/>
          <w:color w:val="000000"/>
        </w:rPr>
        <w:t>e</w:t>
      </w:r>
      <w:r w:rsidRPr="00E23815">
        <w:rPr>
          <w:rFonts w:cs="Calibri"/>
          <w:color w:val="000000"/>
        </w:rPr>
        <w:t xml:space="preserve"> NKÚ č. 1</w:t>
      </w:r>
      <w:r w:rsidR="003E18C8" w:rsidRPr="00E23815">
        <w:rPr>
          <w:rFonts w:cs="Calibri"/>
          <w:color w:val="000000"/>
        </w:rPr>
        <w:t>7</w:t>
      </w:r>
      <w:r w:rsidRPr="00E23815">
        <w:rPr>
          <w:rFonts w:cs="Calibri"/>
          <w:color w:val="000000"/>
        </w:rPr>
        <w:t>/</w:t>
      </w:r>
      <w:r w:rsidR="003E18C8" w:rsidRPr="00E23815">
        <w:rPr>
          <w:rFonts w:cs="Calibri"/>
          <w:color w:val="000000"/>
        </w:rPr>
        <w:t>18</w:t>
      </w:r>
      <w:r w:rsidRPr="00E23815">
        <w:rPr>
          <w:rFonts w:cs="Calibri"/>
          <w:color w:val="000000"/>
        </w:rPr>
        <w:t>.</w:t>
      </w:r>
    </w:p>
    <w:p w14:paraId="680B3C18" w14:textId="77777777" w:rsidR="003E18C8" w:rsidRPr="00E23815" w:rsidRDefault="003E18C8" w:rsidP="003E18C8">
      <w:pPr>
        <w:autoSpaceDE w:val="0"/>
        <w:autoSpaceDN w:val="0"/>
        <w:adjustRightInd w:val="0"/>
        <w:spacing w:before="120" w:after="0"/>
        <w:jc w:val="both"/>
        <w:rPr>
          <w:rFonts w:cs="Calibri"/>
          <w:color w:val="000000"/>
        </w:rPr>
      </w:pPr>
      <w:r w:rsidRPr="00E23815">
        <w:rPr>
          <w:rFonts w:cs="Calibri"/>
          <w:color w:val="000000"/>
        </w:rPr>
        <w:t xml:space="preserve">Při kontrole ZÚ bylo prověřeno, zda je závěrečný účet </w:t>
      </w:r>
      <w:r w:rsidR="00053487">
        <w:rPr>
          <w:rFonts w:cs="Calibri"/>
          <w:color w:val="000000"/>
        </w:rPr>
        <w:t xml:space="preserve">za rok 2022 </w:t>
      </w:r>
      <w:r w:rsidRPr="00E23815">
        <w:rPr>
          <w:rFonts w:cs="Calibri"/>
          <w:color w:val="000000"/>
        </w:rPr>
        <w:t>v souladu s požadavky vyhlášky č. 419/2001 Sb. a zda je také v souladu se skutečností, tzn. zda jsou vybrané údaje uvedené v závěrečném účtu správné a úplné ve srovnání s:</w:t>
      </w:r>
    </w:p>
    <w:p w14:paraId="120D59C3" w14:textId="77777777" w:rsidR="003E18C8" w:rsidRPr="00E23815" w:rsidRDefault="003E18C8" w:rsidP="008226C5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cs="Calibri"/>
          <w:lang w:eastAsia="cs-CZ"/>
        </w:rPr>
      </w:pPr>
      <w:r w:rsidRPr="00E23815">
        <w:rPr>
          <w:rFonts w:cs="Calibri"/>
          <w:lang w:eastAsia="cs-CZ"/>
        </w:rPr>
        <w:t xml:space="preserve">finančními výkazy obsahujícími údaje pro hodnocení plnění rozpočtu, </w:t>
      </w:r>
    </w:p>
    <w:p w14:paraId="253936AD" w14:textId="77777777" w:rsidR="003E18C8" w:rsidRPr="00E23815" w:rsidRDefault="003E18C8" w:rsidP="008226C5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cs="Calibri"/>
          <w:lang w:eastAsia="cs-CZ"/>
        </w:rPr>
      </w:pPr>
      <w:r w:rsidRPr="00E23815">
        <w:rPr>
          <w:rFonts w:cs="Calibri"/>
          <w:lang w:eastAsia="cs-CZ"/>
        </w:rPr>
        <w:t xml:space="preserve">údaji uvedenými v účetnictví, </w:t>
      </w:r>
    </w:p>
    <w:p w14:paraId="1EF36477" w14:textId="77777777" w:rsidR="003E18C8" w:rsidRPr="00E23815" w:rsidRDefault="003E18C8" w:rsidP="008226C5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cs="Calibri"/>
          <w:lang w:eastAsia="cs-CZ"/>
        </w:rPr>
      </w:pPr>
      <w:r w:rsidRPr="00E23815">
        <w:rPr>
          <w:rFonts w:cs="Calibri"/>
          <w:lang w:eastAsia="cs-CZ"/>
        </w:rPr>
        <w:t>údaji z účetních závěrek MŽP a podřízených organizací v rámci kapitoly státního rozpočtu 315</w:t>
      </w:r>
      <w:r w:rsidR="00BC6554">
        <w:rPr>
          <w:rFonts w:cs="Calibri"/>
          <w:lang w:eastAsia="cs-CZ"/>
        </w:rPr>
        <w:t xml:space="preserve"> –</w:t>
      </w:r>
      <w:r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  <w:i/>
        </w:rPr>
        <w:t>Ministerstvo životního prostředí</w:t>
      </w:r>
      <w:r w:rsidRPr="00E23815">
        <w:rPr>
          <w:rFonts w:cs="Calibri"/>
          <w:lang w:eastAsia="cs-CZ"/>
        </w:rPr>
        <w:t>,</w:t>
      </w:r>
    </w:p>
    <w:p w14:paraId="7A61E5FE" w14:textId="77777777" w:rsidR="003E18C8" w:rsidRPr="00E23815" w:rsidRDefault="003E18C8" w:rsidP="008226C5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jc w:val="both"/>
        <w:rPr>
          <w:rFonts w:cs="Calibri"/>
          <w:lang w:eastAsia="cs-CZ"/>
        </w:rPr>
      </w:pPr>
      <w:r w:rsidRPr="00E23815">
        <w:rPr>
          <w:rFonts w:cs="Calibri"/>
          <w:lang w:eastAsia="cs-CZ"/>
        </w:rPr>
        <w:t>podklady jednotlivých věcně příslušných útvarů MŽP a podřízených organizací,</w:t>
      </w:r>
    </w:p>
    <w:p w14:paraId="18C14D64" w14:textId="77777777" w:rsidR="003E18C8" w:rsidRPr="00E23815" w:rsidRDefault="003E18C8" w:rsidP="008226C5">
      <w:pPr>
        <w:pStyle w:val="Odstavecseseznamem"/>
        <w:numPr>
          <w:ilvl w:val="0"/>
          <w:numId w:val="16"/>
        </w:numPr>
        <w:spacing w:before="120" w:after="0"/>
        <w:ind w:left="425" w:hanging="425"/>
        <w:contextualSpacing w:val="0"/>
        <w:rPr>
          <w:lang w:eastAsia="cs-CZ"/>
        </w:rPr>
      </w:pPr>
      <w:r w:rsidRPr="00E23815">
        <w:rPr>
          <w:lang w:eastAsia="cs-CZ"/>
        </w:rPr>
        <w:t>jinými veřejně dostupnými zdroji, např. usneseními vlády ČR, veřejně přístupnými rejstříky apod.</w:t>
      </w:r>
    </w:p>
    <w:p w14:paraId="4AC2C294" w14:textId="2F5EDF92" w:rsidR="00196CE6" w:rsidRPr="00E23815" w:rsidRDefault="00737A6B" w:rsidP="003E18C8">
      <w:pPr>
        <w:autoSpaceDE w:val="0"/>
        <w:autoSpaceDN w:val="0"/>
        <w:adjustRightInd w:val="0"/>
        <w:spacing w:before="120" w:after="0"/>
        <w:jc w:val="both"/>
        <w:rPr>
          <w:rFonts w:cs="Calibri"/>
          <w:color w:val="000000"/>
        </w:rPr>
      </w:pPr>
      <w:r w:rsidRPr="00E23815">
        <w:rPr>
          <w:rFonts w:cs="Calibri"/>
          <w:color w:val="000000"/>
        </w:rPr>
        <w:t>V rámci kontroly byl</w:t>
      </w:r>
      <w:r w:rsidR="00B22DF8" w:rsidRPr="00E23815">
        <w:rPr>
          <w:rFonts w:cs="Calibri"/>
          <w:color w:val="000000"/>
        </w:rPr>
        <w:t xml:space="preserve"> rovněž proveden rozbor </w:t>
      </w:r>
      <w:r w:rsidR="00196CE6" w:rsidRPr="00E23815">
        <w:rPr>
          <w:rFonts w:cs="Calibri"/>
          <w:color w:val="000000"/>
        </w:rPr>
        <w:t>výsledku hospodaření M</w:t>
      </w:r>
      <w:r w:rsidR="003E18C8" w:rsidRPr="00E23815">
        <w:rPr>
          <w:rFonts w:cs="Calibri"/>
          <w:color w:val="000000"/>
        </w:rPr>
        <w:t>ŽP</w:t>
      </w:r>
      <w:r w:rsidR="00196CE6" w:rsidRPr="00E23815">
        <w:rPr>
          <w:rFonts w:cs="Calibri"/>
          <w:color w:val="000000"/>
        </w:rPr>
        <w:t xml:space="preserve"> z</w:t>
      </w:r>
      <w:r w:rsidR="005E725E">
        <w:rPr>
          <w:rFonts w:cs="Calibri"/>
          <w:color w:val="000000"/>
        </w:rPr>
        <w:t xml:space="preserve"> </w:t>
      </w:r>
      <w:r w:rsidR="00196CE6" w:rsidRPr="00E23815">
        <w:rPr>
          <w:rFonts w:cs="Calibri"/>
          <w:color w:val="000000"/>
        </w:rPr>
        <w:t>akruálního a</w:t>
      </w:r>
      <w:r w:rsidR="009F448B" w:rsidRPr="00E23815">
        <w:rPr>
          <w:rFonts w:cs="Calibri"/>
          <w:color w:val="000000"/>
        </w:rPr>
        <w:t> </w:t>
      </w:r>
      <w:r w:rsidR="00196CE6" w:rsidRPr="00E23815">
        <w:rPr>
          <w:rFonts w:cs="Calibri"/>
          <w:color w:val="000000"/>
        </w:rPr>
        <w:t xml:space="preserve">peněžního pohledu. Kontrola se dále zaměřila na to, zda a jak </w:t>
      </w:r>
      <w:r w:rsidR="003E18C8" w:rsidRPr="00E23815">
        <w:rPr>
          <w:rFonts w:cs="Calibri"/>
          <w:color w:val="000000"/>
        </w:rPr>
        <w:t>MŽP</w:t>
      </w:r>
      <w:r w:rsidR="00196CE6" w:rsidRPr="00E23815">
        <w:rPr>
          <w:rFonts w:cs="Calibri"/>
          <w:color w:val="000000"/>
        </w:rPr>
        <w:t xml:space="preserve"> využívá akruální účetní informace vč. informací vykazovaných na podrozvahových účtech. </w:t>
      </w:r>
    </w:p>
    <w:p w14:paraId="2CAF8C05" w14:textId="77777777" w:rsidR="00006AE8" w:rsidRPr="00E23815" w:rsidRDefault="00006AE8" w:rsidP="00B03EA6">
      <w:pPr>
        <w:spacing w:after="0"/>
        <w:jc w:val="both"/>
        <w:rPr>
          <w:lang w:eastAsia="cs-CZ"/>
        </w:rPr>
      </w:pPr>
    </w:p>
    <w:p w14:paraId="659B7701" w14:textId="77777777" w:rsidR="00AF15FA" w:rsidRPr="00E23815" w:rsidRDefault="00006AE8" w:rsidP="00B03EA6">
      <w:pPr>
        <w:spacing w:after="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E23815">
        <w:rPr>
          <w:rFonts w:asciiTheme="minorHAnsi" w:hAnsiTheme="minorHAnsi" w:cs="Calibri"/>
          <w:b/>
          <w:sz w:val="20"/>
          <w:szCs w:val="20"/>
        </w:rPr>
        <w:t>Pozn.:</w:t>
      </w:r>
      <w:r w:rsidRPr="00E23815">
        <w:rPr>
          <w:rFonts w:asciiTheme="minorHAnsi" w:hAnsiTheme="minorHAnsi" w:cs="Calibri"/>
          <w:sz w:val="20"/>
          <w:szCs w:val="20"/>
        </w:rPr>
        <w:t xml:space="preserve"> </w:t>
      </w:r>
      <w:r w:rsidRPr="00E23815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18313D61" w14:textId="77777777" w:rsidR="00006AE8" w:rsidRPr="00E23815" w:rsidRDefault="00603A22" w:rsidP="006E0AFD">
      <w:pPr>
        <w:spacing w:after="0"/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E23815">
        <w:rPr>
          <w:rFonts w:asciiTheme="minorHAnsi" w:hAnsiTheme="minorHAnsi" w:cs="Calibri"/>
          <w:sz w:val="20"/>
          <w:szCs w:val="20"/>
        </w:rPr>
        <w:t>H</w:t>
      </w:r>
      <w:r w:rsidR="00AF15FA" w:rsidRPr="00E23815">
        <w:rPr>
          <w:rFonts w:asciiTheme="minorHAnsi" w:hAnsiTheme="minorHAnsi" w:cs="Calibri"/>
          <w:sz w:val="20"/>
          <w:szCs w:val="20"/>
        </w:rPr>
        <w:t>odnoty uvedené v tomto kontrolním závěru byly zaokrouhlen</w:t>
      </w:r>
      <w:r w:rsidRPr="00E23815">
        <w:rPr>
          <w:rFonts w:asciiTheme="minorHAnsi" w:hAnsiTheme="minorHAnsi" w:cs="Calibri"/>
          <w:sz w:val="20"/>
          <w:szCs w:val="20"/>
        </w:rPr>
        <w:t>y</w:t>
      </w:r>
      <w:r w:rsidR="00AF15FA" w:rsidRPr="00E23815">
        <w:rPr>
          <w:rFonts w:asciiTheme="minorHAnsi" w:hAnsiTheme="minorHAnsi" w:cs="Calibri"/>
          <w:sz w:val="20"/>
          <w:szCs w:val="20"/>
        </w:rPr>
        <w:t>, čímž vznik</w:t>
      </w:r>
      <w:r w:rsidR="00FA21DA" w:rsidRPr="00E23815">
        <w:rPr>
          <w:rFonts w:asciiTheme="minorHAnsi" w:hAnsiTheme="minorHAnsi" w:cs="Calibri"/>
          <w:sz w:val="20"/>
          <w:szCs w:val="20"/>
        </w:rPr>
        <w:t>l</w:t>
      </w:r>
      <w:r w:rsidR="00AF15FA" w:rsidRPr="00E23815">
        <w:rPr>
          <w:rFonts w:asciiTheme="minorHAnsi" w:hAnsiTheme="minorHAnsi" w:cs="Calibri"/>
          <w:sz w:val="20"/>
          <w:szCs w:val="20"/>
        </w:rPr>
        <w:t xml:space="preserve"> drobný nesoulad </w:t>
      </w:r>
      <w:r w:rsidR="00CC3031" w:rsidRPr="00E23815">
        <w:rPr>
          <w:rFonts w:asciiTheme="minorHAnsi" w:hAnsiTheme="minorHAnsi" w:cs="Calibri"/>
          <w:sz w:val="20"/>
          <w:szCs w:val="20"/>
        </w:rPr>
        <w:t>v</w:t>
      </w:r>
      <w:r w:rsidR="00837882" w:rsidRPr="00E23815">
        <w:rPr>
          <w:rFonts w:asciiTheme="minorHAnsi" w:hAnsiTheme="minorHAnsi" w:cs="Calibri"/>
          <w:sz w:val="20"/>
          <w:szCs w:val="20"/>
        </w:rPr>
        <w:t xml:space="preserve"> některých </w:t>
      </w:r>
      <w:r w:rsidR="00CC3031" w:rsidRPr="00E23815">
        <w:rPr>
          <w:rFonts w:asciiTheme="minorHAnsi" w:hAnsiTheme="minorHAnsi" w:cs="Calibri"/>
          <w:sz w:val="20"/>
          <w:szCs w:val="20"/>
        </w:rPr>
        <w:t>uváděných finančních údajích</w:t>
      </w:r>
      <w:r w:rsidR="00AF15FA" w:rsidRPr="00E23815">
        <w:rPr>
          <w:rFonts w:asciiTheme="minorHAnsi" w:hAnsiTheme="minorHAnsi" w:cs="Calibri"/>
          <w:sz w:val="20"/>
          <w:szCs w:val="20"/>
        </w:rPr>
        <w:t>.</w:t>
      </w:r>
    </w:p>
    <w:p w14:paraId="340C67D0" w14:textId="77777777" w:rsidR="002C44C1" w:rsidRPr="00E23815" w:rsidRDefault="002C44C1" w:rsidP="00B03EA6">
      <w:pPr>
        <w:spacing w:after="0"/>
        <w:jc w:val="both"/>
        <w:rPr>
          <w:lang w:eastAsia="cs-CZ"/>
        </w:rPr>
      </w:pPr>
    </w:p>
    <w:p w14:paraId="5AF76B88" w14:textId="77777777" w:rsidR="00006589" w:rsidRPr="00E23815" w:rsidRDefault="00006589" w:rsidP="00B03EA6">
      <w:pPr>
        <w:spacing w:after="0"/>
        <w:jc w:val="both"/>
        <w:rPr>
          <w:lang w:eastAsia="cs-CZ"/>
        </w:rPr>
      </w:pPr>
    </w:p>
    <w:p w14:paraId="60E5197F" w14:textId="77777777" w:rsidR="00E31313" w:rsidRPr="00E23815" w:rsidRDefault="00E31313" w:rsidP="00C45F95">
      <w:pPr>
        <w:spacing w:after="160" w:line="259" w:lineRule="auto"/>
        <w:rPr>
          <w:lang w:eastAsia="cs-CZ"/>
        </w:rPr>
      </w:pPr>
      <w:r w:rsidRPr="00E23815">
        <w:rPr>
          <w:lang w:eastAsia="cs-CZ"/>
        </w:rPr>
        <w:br w:type="page"/>
      </w:r>
    </w:p>
    <w:p w14:paraId="500FF5DA" w14:textId="77777777" w:rsidR="0033466E" w:rsidRPr="00E23815" w:rsidRDefault="00A640AE" w:rsidP="00D10727">
      <w:pPr>
        <w:pStyle w:val="Styl1"/>
        <w:ind w:left="414" w:hanging="57"/>
      </w:pPr>
      <w:r w:rsidRPr="00E23815">
        <w:lastRenderedPageBreak/>
        <w:t>Podrobné skutečnosti zjištěné kontrolou</w:t>
      </w:r>
    </w:p>
    <w:p w14:paraId="0F57886F" w14:textId="77777777" w:rsidR="00697969" w:rsidRPr="00E23815" w:rsidRDefault="00697969" w:rsidP="00B93CEB">
      <w:pPr>
        <w:spacing w:after="0"/>
        <w:jc w:val="both"/>
        <w:rPr>
          <w:rFonts w:asciiTheme="minorHAnsi" w:hAnsiTheme="minorHAnsi" w:cstheme="minorHAnsi"/>
          <w:spacing w:val="-2"/>
        </w:rPr>
      </w:pPr>
    </w:p>
    <w:p w14:paraId="2C19D4CE" w14:textId="5A29612B" w:rsidR="00211287" w:rsidRPr="00E23815" w:rsidRDefault="009C3EFB" w:rsidP="008226C5">
      <w:pPr>
        <w:pStyle w:val="Styl2"/>
        <w:numPr>
          <w:ilvl w:val="0"/>
          <w:numId w:val="7"/>
        </w:numPr>
        <w:ind w:left="340" w:hanging="340"/>
        <w:jc w:val="both"/>
      </w:pPr>
      <w:r w:rsidRPr="00E23815">
        <w:t>Vedení účetnictví, ú</w:t>
      </w:r>
      <w:r w:rsidR="00211287" w:rsidRPr="00E23815">
        <w:t xml:space="preserve">četní opravy realizované </w:t>
      </w:r>
      <w:r w:rsidR="001535D0" w:rsidRPr="00E23815">
        <w:t>MŽP</w:t>
      </w:r>
      <w:r w:rsidR="00211287" w:rsidRPr="00E23815">
        <w:t xml:space="preserve"> v</w:t>
      </w:r>
      <w:r w:rsidR="00196835">
        <w:t xml:space="preserve"> </w:t>
      </w:r>
      <w:r w:rsidR="00211287" w:rsidRPr="00E23815">
        <w:t>průběhu kontroly a</w:t>
      </w:r>
      <w:r w:rsidR="00196835">
        <w:t xml:space="preserve"> </w:t>
      </w:r>
      <w:r w:rsidR="00211287" w:rsidRPr="00E23815">
        <w:t>spolehlivost údajů ÚZ</w:t>
      </w:r>
    </w:p>
    <w:p w14:paraId="7605AB70" w14:textId="77777777" w:rsidR="00211287" w:rsidRPr="00E23815" w:rsidRDefault="00211287" w:rsidP="008226C5">
      <w:pPr>
        <w:pStyle w:val="Styl2"/>
        <w:numPr>
          <w:ilvl w:val="1"/>
          <w:numId w:val="7"/>
        </w:numPr>
        <w:ind w:left="431" w:hanging="431"/>
      </w:pPr>
      <w:r w:rsidRPr="00E23815">
        <w:t xml:space="preserve">Opravy </w:t>
      </w:r>
      <w:r w:rsidR="00BF035D" w:rsidRPr="00E23815">
        <w:t xml:space="preserve">chyb v účetnictví </w:t>
      </w:r>
      <w:r w:rsidR="00FB0C28" w:rsidRPr="00E23815">
        <w:t>v</w:t>
      </w:r>
      <w:r w:rsidR="00BF035D" w:rsidRPr="00E23815">
        <w:t> </w:t>
      </w:r>
      <w:r w:rsidR="00FB0C28" w:rsidRPr="00E23815">
        <w:t>průběhu</w:t>
      </w:r>
      <w:r w:rsidR="00BF035D" w:rsidRPr="00E23815">
        <w:t xml:space="preserve"> účetního období</w:t>
      </w:r>
    </w:p>
    <w:p w14:paraId="528EE843" w14:textId="69A00CB0" w:rsidR="00430CA4" w:rsidRPr="00E23815" w:rsidRDefault="00430CA4" w:rsidP="00430CA4">
      <w:pPr>
        <w:jc w:val="both"/>
        <w:rPr>
          <w:rFonts w:asciiTheme="minorHAnsi" w:hAnsiTheme="minorHAnsi"/>
        </w:rPr>
      </w:pPr>
      <w:r w:rsidRPr="00E23815">
        <w:rPr>
          <w:rFonts w:asciiTheme="minorHAnsi" w:hAnsiTheme="minorHAnsi" w:cstheme="minorHAnsi"/>
          <w:spacing w:val="-2"/>
        </w:rPr>
        <w:t>NKÚ zahájil kontrolu již v průběhu účetního období 2022, což umožnilo Ministerstvu životního prostředí provést opravy nedostatků identifikovaných v</w:t>
      </w:r>
      <w:r w:rsidR="00954016">
        <w:rPr>
          <w:rFonts w:asciiTheme="minorHAnsi" w:hAnsiTheme="minorHAnsi" w:cstheme="minorHAnsi"/>
          <w:spacing w:val="-2"/>
        </w:rPr>
        <w:t xml:space="preserve"> </w:t>
      </w:r>
      <w:r w:rsidRPr="00E23815">
        <w:rPr>
          <w:rFonts w:asciiTheme="minorHAnsi" w:hAnsiTheme="minorHAnsi" w:cstheme="minorHAnsi"/>
          <w:spacing w:val="-2"/>
        </w:rPr>
        <w:t xml:space="preserve">účetnictví ještě před uzavřením </w:t>
      </w:r>
      <w:r w:rsidRPr="00E23815">
        <w:rPr>
          <w:rFonts w:asciiTheme="minorHAnsi" w:hAnsiTheme="minorHAnsi"/>
        </w:rPr>
        <w:t xml:space="preserve">účetního období 2022 </w:t>
      </w:r>
      <w:r w:rsidRPr="00E23815">
        <w:rPr>
          <w:rFonts w:asciiTheme="minorHAnsi" w:hAnsiTheme="minorHAnsi" w:cstheme="minorHAnsi"/>
          <w:spacing w:val="-2"/>
        </w:rPr>
        <w:t xml:space="preserve">a sestavením účetní závěrky. </w:t>
      </w:r>
      <w:r w:rsidR="00E46782" w:rsidRPr="00E23815">
        <w:rPr>
          <w:rFonts w:asciiTheme="minorHAnsi" w:hAnsiTheme="minorHAnsi"/>
          <w:b/>
        </w:rPr>
        <w:t>Pokud by MŽP</w:t>
      </w:r>
      <w:r w:rsidR="00954016">
        <w:rPr>
          <w:rFonts w:asciiTheme="minorHAnsi" w:hAnsiTheme="minorHAnsi"/>
          <w:b/>
        </w:rPr>
        <w:t xml:space="preserve"> tyto</w:t>
      </w:r>
      <w:r w:rsidR="00E46782" w:rsidRPr="00E23815">
        <w:rPr>
          <w:rFonts w:asciiTheme="minorHAnsi" w:hAnsiTheme="minorHAnsi"/>
          <w:b/>
        </w:rPr>
        <w:t xml:space="preserve"> opravy</w:t>
      </w:r>
      <w:r w:rsidR="003204F4">
        <w:rPr>
          <w:rFonts w:asciiTheme="minorHAnsi" w:hAnsiTheme="minorHAnsi"/>
          <w:b/>
        </w:rPr>
        <w:t xml:space="preserve"> v účetnictví</w:t>
      </w:r>
      <w:r w:rsidR="00E46782" w:rsidRPr="00E23815">
        <w:rPr>
          <w:rFonts w:asciiTheme="minorHAnsi" w:hAnsiTheme="minorHAnsi"/>
          <w:b/>
        </w:rPr>
        <w:t xml:space="preserve"> neprovedlo, </w:t>
      </w:r>
      <w:r w:rsidR="007F68BD" w:rsidRPr="00E23815">
        <w:rPr>
          <w:rFonts w:asciiTheme="minorHAnsi" w:hAnsiTheme="minorHAnsi"/>
          <w:b/>
        </w:rPr>
        <w:t xml:space="preserve">byl </w:t>
      </w:r>
      <w:r w:rsidR="00E46782" w:rsidRPr="00E23815">
        <w:rPr>
          <w:rFonts w:asciiTheme="minorHAnsi" w:hAnsiTheme="minorHAnsi"/>
          <w:b/>
        </w:rPr>
        <w:t xml:space="preserve">by souhrnný dopad identifikovaných nedostatků na položky účetní závěrky </w:t>
      </w:r>
      <w:r w:rsidR="007F68BD" w:rsidRPr="00E23815">
        <w:rPr>
          <w:rFonts w:asciiTheme="minorHAnsi" w:hAnsiTheme="minorHAnsi"/>
          <w:b/>
        </w:rPr>
        <w:t>významný, protože</w:t>
      </w:r>
      <w:r w:rsidR="003F01F6">
        <w:rPr>
          <w:rFonts w:asciiTheme="minorHAnsi" w:hAnsiTheme="minorHAnsi"/>
          <w:b/>
        </w:rPr>
        <w:t xml:space="preserve"> by</w:t>
      </w:r>
      <w:r w:rsidR="007F68BD" w:rsidRPr="00E23815">
        <w:rPr>
          <w:rFonts w:asciiTheme="minorHAnsi" w:hAnsiTheme="minorHAnsi"/>
          <w:b/>
        </w:rPr>
        <w:t xml:space="preserve"> činil </w:t>
      </w:r>
      <w:r w:rsidR="00E46782" w:rsidRPr="00E23815">
        <w:rPr>
          <w:rFonts w:asciiTheme="minorHAnsi" w:hAnsiTheme="minorHAnsi"/>
          <w:b/>
        </w:rPr>
        <w:t xml:space="preserve">40,2 mld. Kč. </w:t>
      </w:r>
      <w:r w:rsidRPr="00E23815">
        <w:rPr>
          <w:rFonts w:asciiTheme="minorHAnsi" w:hAnsiTheme="minorHAnsi"/>
          <w:b/>
        </w:rPr>
        <w:t>Provedené účetní opravy nedostatků</w:t>
      </w:r>
      <w:r w:rsidR="00547EE8" w:rsidRPr="00E23815">
        <w:rPr>
          <w:rFonts w:asciiTheme="minorHAnsi" w:hAnsiTheme="minorHAnsi"/>
          <w:b/>
        </w:rPr>
        <w:t xml:space="preserve"> identifikovaných NKÚ</w:t>
      </w:r>
      <w:r w:rsidRPr="00E23815">
        <w:rPr>
          <w:rFonts w:asciiTheme="minorHAnsi" w:hAnsiTheme="minorHAnsi"/>
          <w:b/>
        </w:rPr>
        <w:t xml:space="preserve"> spočívaly zejména v</w:t>
      </w:r>
      <w:r w:rsidRPr="00E23815">
        <w:rPr>
          <w:rFonts w:asciiTheme="minorHAnsi" w:hAnsiTheme="minorHAnsi"/>
        </w:rPr>
        <w:t xml:space="preserve">: </w:t>
      </w:r>
    </w:p>
    <w:p w14:paraId="4F7146DA" w14:textId="3C13AAFB" w:rsidR="00AE27BF" w:rsidRPr="00E23815" w:rsidRDefault="00AE27BF" w:rsidP="00AE27BF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 xml:space="preserve">doúčtování podílu ČR na finančních aktivech </w:t>
      </w:r>
      <w:r w:rsidRPr="00AF65F6">
        <w:rPr>
          <w:rFonts w:asciiTheme="minorHAnsi" w:hAnsiTheme="minorHAnsi"/>
          <w:i/>
        </w:rPr>
        <w:t>Modernizačního fondu</w:t>
      </w:r>
      <w:r w:rsidRPr="00E23815">
        <w:rPr>
          <w:rFonts w:asciiTheme="minorHAnsi" w:hAnsiTheme="minorHAnsi"/>
        </w:rPr>
        <w:t xml:space="preserve"> </w:t>
      </w:r>
      <w:r w:rsidR="00D92C28" w:rsidRPr="00E23815">
        <w:rPr>
          <w:rFonts w:asciiTheme="minorHAnsi" w:hAnsiTheme="minorHAnsi"/>
        </w:rPr>
        <w:t xml:space="preserve">ve výši 24,5 mld. Kč </w:t>
      </w:r>
      <w:r w:rsidRPr="00E23815">
        <w:rPr>
          <w:rFonts w:asciiTheme="minorHAnsi" w:hAnsiTheme="minorHAnsi"/>
        </w:rPr>
        <w:t xml:space="preserve">na účty 069 – </w:t>
      </w:r>
      <w:r w:rsidR="00D92C28" w:rsidRPr="00E23815">
        <w:rPr>
          <w:rFonts w:asciiTheme="minorHAnsi" w:hAnsiTheme="minorHAnsi"/>
          <w:i/>
        </w:rPr>
        <w:t>Ostatní dlouhodobý finanční majetek</w:t>
      </w:r>
      <w:r w:rsidRPr="00E23815">
        <w:rPr>
          <w:rFonts w:asciiTheme="minorHAnsi" w:hAnsiTheme="minorHAnsi"/>
        </w:rPr>
        <w:t xml:space="preserve"> a </w:t>
      </w:r>
      <w:r w:rsidR="00D92C28" w:rsidRPr="00E23815">
        <w:rPr>
          <w:rFonts w:asciiTheme="minorHAnsi" w:hAnsiTheme="minorHAnsi"/>
        </w:rPr>
        <w:t>401</w:t>
      </w:r>
      <w:r w:rsidRPr="00E23815">
        <w:rPr>
          <w:rFonts w:asciiTheme="minorHAnsi" w:hAnsiTheme="minorHAnsi"/>
        </w:rPr>
        <w:t xml:space="preserve"> – </w:t>
      </w:r>
      <w:r w:rsidR="00D92C28" w:rsidRPr="00E23815">
        <w:rPr>
          <w:rFonts w:asciiTheme="minorHAnsi" w:hAnsiTheme="minorHAnsi"/>
          <w:i/>
        </w:rPr>
        <w:t>Jmění účetní jednotky</w:t>
      </w:r>
      <w:r w:rsidR="00954016">
        <w:rPr>
          <w:rFonts w:asciiTheme="minorHAnsi" w:hAnsiTheme="minorHAnsi"/>
        </w:rPr>
        <w:t>;</w:t>
      </w:r>
    </w:p>
    <w:p w14:paraId="47B80458" w14:textId="5993405D" w:rsidR="00430CA4" w:rsidRPr="00E23815" w:rsidRDefault="00430CA4" w:rsidP="008226C5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>přeúčtování část</w:t>
      </w:r>
      <w:r w:rsidR="009848BD" w:rsidRPr="00E23815">
        <w:rPr>
          <w:rFonts w:asciiTheme="minorHAnsi" w:hAnsiTheme="minorHAnsi"/>
        </w:rPr>
        <w:t xml:space="preserve">ek </w:t>
      </w:r>
      <w:r w:rsidRPr="00E23815">
        <w:rPr>
          <w:rFonts w:asciiTheme="minorHAnsi" w:hAnsiTheme="minorHAnsi"/>
        </w:rPr>
        <w:t xml:space="preserve">ve výši </w:t>
      </w:r>
      <w:r w:rsidR="00BB5342" w:rsidRPr="00E23815">
        <w:rPr>
          <w:rFonts w:asciiTheme="minorHAnsi" w:hAnsiTheme="minorHAnsi"/>
        </w:rPr>
        <w:t>6,2</w:t>
      </w:r>
      <w:r w:rsidRPr="00E23815">
        <w:rPr>
          <w:rFonts w:asciiTheme="minorHAnsi" w:hAnsiTheme="minorHAnsi"/>
        </w:rPr>
        <w:t xml:space="preserve"> ml</w:t>
      </w:r>
      <w:r w:rsidR="00BB5342" w:rsidRPr="00E23815">
        <w:rPr>
          <w:rFonts w:asciiTheme="minorHAnsi" w:hAnsiTheme="minorHAnsi"/>
        </w:rPr>
        <w:t>d</w:t>
      </w:r>
      <w:r w:rsidRPr="00E23815">
        <w:rPr>
          <w:rFonts w:asciiTheme="minorHAnsi" w:hAnsiTheme="minorHAnsi"/>
        </w:rPr>
        <w:t xml:space="preserve">. Kč z účtu </w:t>
      </w:r>
      <w:r w:rsidR="00BB5342" w:rsidRPr="00E23815">
        <w:rPr>
          <w:rFonts w:asciiTheme="minorHAnsi" w:hAnsiTheme="minorHAnsi"/>
        </w:rPr>
        <w:t>401</w:t>
      </w:r>
      <w:r w:rsidRPr="00E23815">
        <w:rPr>
          <w:rFonts w:asciiTheme="minorHAnsi" w:hAnsiTheme="minorHAnsi"/>
        </w:rPr>
        <w:t xml:space="preserve"> – </w:t>
      </w:r>
      <w:r w:rsidR="00BB5342" w:rsidRPr="00E23815">
        <w:rPr>
          <w:rFonts w:asciiTheme="minorHAnsi" w:hAnsiTheme="minorHAnsi"/>
          <w:i/>
        </w:rPr>
        <w:t>Jmění účetní jednotky</w:t>
      </w:r>
      <w:r w:rsidRPr="00E23815">
        <w:rPr>
          <w:rFonts w:asciiTheme="minorHAnsi" w:hAnsiTheme="minorHAnsi"/>
        </w:rPr>
        <w:t xml:space="preserve"> na účet </w:t>
      </w:r>
      <w:r w:rsidR="006D425A">
        <w:rPr>
          <w:rFonts w:asciiTheme="minorHAnsi" w:hAnsiTheme="minorHAnsi"/>
        </w:rPr>
        <w:br/>
      </w:r>
      <w:r w:rsidR="00BB5342" w:rsidRPr="00E23815">
        <w:rPr>
          <w:rFonts w:asciiTheme="minorHAnsi" w:hAnsiTheme="minorHAnsi"/>
        </w:rPr>
        <w:t>408</w:t>
      </w:r>
      <w:r w:rsidRPr="00E23815">
        <w:rPr>
          <w:rFonts w:asciiTheme="minorHAnsi" w:hAnsiTheme="minorHAnsi"/>
        </w:rPr>
        <w:t xml:space="preserve"> – </w:t>
      </w:r>
      <w:r w:rsidR="00BB5342" w:rsidRPr="00E23815">
        <w:rPr>
          <w:rFonts w:asciiTheme="minorHAnsi" w:hAnsiTheme="minorHAnsi"/>
          <w:i/>
        </w:rPr>
        <w:t>Opravy předcházejících účetních období</w:t>
      </w:r>
      <w:r w:rsidR="00BB5342" w:rsidRPr="00E23815">
        <w:rPr>
          <w:rFonts w:asciiTheme="minorHAnsi" w:hAnsiTheme="minorHAnsi"/>
        </w:rPr>
        <w:t xml:space="preserve"> a 2,0 mld. Kč z účtu 401 – </w:t>
      </w:r>
      <w:r w:rsidR="00BB5342" w:rsidRPr="00E23815">
        <w:rPr>
          <w:rFonts w:asciiTheme="minorHAnsi" w:hAnsiTheme="minorHAnsi"/>
          <w:i/>
        </w:rPr>
        <w:t>Jmění účetní jednotky</w:t>
      </w:r>
      <w:r w:rsidR="00BB5342" w:rsidRPr="00E23815">
        <w:rPr>
          <w:rFonts w:asciiTheme="minorHAnsi" w:hAnsiTheme="minorHAnsi"/>
        </w:rPr>
        <w:t xml:space="preserve"> na účet 551 – </w:t>
      </w:r>
      <w:r w:rsidR="00BB5342" w:rsidRPr="00E23815">
        <w:rPr>
          <w:rFonts w:asciiTheme="minorHAnsi" w:hAnsiTheme="minorHAnsi"/>
          <w:i/>
        </w:rPr>
        <w:t>Odpisy dlouhodobého majetku</w:t>
      </w:r>
      <w:r w:rsidRPr="00E23815">
        <w:rPr>
          <w:rFonts w:asciiTheme="minorHAnsi" w:hAnsiTheme="minorHAnsi"/>
        </w:rPr>
        <w:t xml:space="preserve">, </w:t>
      </w:r>
      <w:r w:rsidR="00BB5342" w:rsidRPr="00E23815">
        <w:rPr>
          <w:rFonts w:asciiTheme="minorHAnsi" w:hAnsiTheme="minorHAnsi"/>
        </w:rPr>
        <w:t>kter</w:t>
      </w:r>
      <w:r w:rsidR="00FC3B3D" w:rsidRPr="00E23815">
        <w:rPr>
          <w:rFonts w:asciiTheme="minorHAnsi" w:hAnsiTheme="minorHAnsi"/>
        </w:rPr>
        <w:t>é</w:t>
      </w:r>
      <w:r w:rsidR="00BB5342" w:rsidRPr="00E23815">
        <w:rPr>
          <w:rFonts w:asciiTheme="minorHAnsi" w:hAnsiTheme="minorHAnsi"/>
        </w:rPr>
        <w:t xml:space="preserve"> představují opravu dříve nesprávně zaúčtovaného vyřazení ročních emisních přídělů z majetku MŽP</w:t>
      </w:r>
      <w:r w:rsidR="00954016">
        <w:rPr>
          <w:rFonts w:asciiTheme="minorHAnsi" w:hAnsiTheme="minorHAnsi"/>
        </w:rPr>
        <w:t>;</w:t>
      </w:r>
    </w:p>
    <w:p w14:paraId="798B7410" w14:textId="36D0E8BA" w:rsidR="00BB5342" w:rsidRPr="00E23815" w:rsidRDefault="00BB5342" w:rsidP="008226C5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 xml:space="preserve">přeúčtování částky ve výši 4,0 mld. Kč z účtu 401 – </w:t>
      </w:r>
      <w:r w:rsidRPr="00E23815">
        <w:rPr>
          <w:rFonts w:asciiTheme="minorHAnsi" w:hAnsiTheme="minorHAnsi"/>
          <w:i/>
        </w:rPr>
        <w:t>Jmění účetní jednotky</w:t>
      </w:r>
      <w:r w:rsidRPr="00E23815">
        <w:rPr>
          <w:rFonts w:asciiTheme="minorHAnsi" w:hAnsiTheme="minorHAnsi"/>
        </w:rPr>
        <w:t xml:space="preserve"> na účet </w:t>
      </w:r>
      <w:r w:rsidR="006D425A">
        <w:rPr>
          <w:rFonts w:asciiTheme="minorHAnsi" w:hAnsiTheme="minorHAnsi"/>
        </w:rPr>
        <w:br/>
      </w:r>
      <w:r w:rsidRPr="00E23815">
        <w:rPr>
          <w:rFonts w:asciiTheme="minorHAnsi" w:hAnsiTheme="minorHAnsi"/>
        </w:rPr>
        <w:t xml:space="preserve">408 – </w:t>
      </w:r>
      <w:r w:rsidRPr="00E23815">
        <w:rPr>
          <w:rFonts w:asciiTheme="minorHAnsi" w:hAnsiTheme="minorHAnsi"/>
          <w:i/>
        </w:rPr>
        <w:t>Opravy předcházejících účetních období</w:t>
      </w:r>
      <w:r w:rsidRPr="00E23815">
        <w:rPr>
          <w:rFonts w:asciiTheme="minorHAnsi" w:hAnsiTheme="minorHAnsi"/>
        </w:rPr>
        <w:t xml:space="preserve">, </w:t>
      </w:r>
      <w:r w:rsidR="00264E89" w:rsidRPr="00E23815">
        <w:rPr>
          <w:rFonts w:asciiTheme="minorHAnsi" w:hAnsiTheme="minorHAnsi"/>
        </w:rPr>
        <w:t xml:space="preserve">která </w:t>
      </w:r>
      <w:r w:rsidRPr="00E23815">
        <w:rPr>
          <w:rFonts w:asciiTheme="minorHAnsi" w:hAnsiTheme="minorHAnsi"/>
        </w:rPr>
        <w:t xml:space="preserve">představuje opravu dříve chybně zaúčtovaného převodu povolenek na emise </w:t>
      </w:r>
      <w:r w:rsidR="00264E89" w:rsidRPr="00E23815">
        <w:rPr>
          <w:rFonts w:asciiTheme="minorHAnsi" w:hAnsiTheme="minorHAnsi"/>
        </w:rPr>
        <w:t xml:space="preserve">skleníkových plynů </w:t>
      </w:r>
      <w:r w:rsidRPr="00E23815">
        <w:rPr>
          <w:rFonts w:asciiTheme="minorHAnsi" w:hAnsiTheme="minorHAnsi"/>
        </w:rPr>
        <w:t>do rezervy tržní stability</w:t>
      </w:r>
      <w:r w:rsidR="005E725E">
        <w:rPr>
          <w:rFonts w:asciiTheme="minorHAnsi" w:hAnsiTheme="minorHAnsi"/>
        </w:rPr>
        <w:t>;</w:t>
      </w:r>
    </w:p>
    <w:p w14:paraId="75F090AE" w14:textId="0119202F" w:rsidR="00F76D9E" w:rsidRPr="00E23815" w:rsidRDefault="00F76D9E" w:rsidP="008226C5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>pře</w:t>
      </w:r>
      <w:r w:rsidR="005645B0" w:rsidRPr="00E23815">
        <w:rPr>
          <w:rFonts w:asciiTheme="minorHAnsi" w:hAnsiTheme="minorHAnsi"/>
        </w:rPr>
        <w:t>účtování částky ve výši 2</w:t>
      </w:r>
      <w:r w:rsidRPr="00E23815">
        <w:rPr>
          <w:rFonts w:asciiTheme="minorHAnsi" w:hAnsiTheme="minorHAnsi"/>
        </w:rPr>
        <w:t>,0</w:t>
      </w:r>
      <w:r w:rsidR="005645B0" w:rsidRPr="00E23815">
        <w:rPr>
          <w:rFonts w:asciiTheme="minorHAnsi" w:hAnsiTheme="minorHAnsi"/>
        </w:rPr>
        <w:t xml:space="preserve"> mld. Kč z účtu 401 – </w:t>
      </w:r>
      <w:r w:rsidR="005645B0" w:rsidRPr="00E23815">
        <w:rPr>
          <w:rFonts w:asciiTheme="minorHAnsi" w:hAnsiTheme="minorHAnsi"/>
          <w:i/>
        </w:rPr>
        <w:t>Jmění účetní jednotky</w:t>
      </w:r>
      <w:r w:rsidR="005645B0" w:rsidRPr="00E23815">
        <w:rPr>
          <w:rFonts w:asciiTheme="minorHAnsi" w:hAnsiTheme="minorHAnsi"/>
        </w:rPr>
        <w:t xml:space="preserve"> na účet </w:t>
      </w:r>
      <w:r w:rsidR="006D425A">
        <w:rPr>
          <w:rFonts w:asciiTheme="minorHAnsi" w:hAnsiTheme="minorHAnsi"/>
        </w:rPr>
        <w:br/>
      </w:r>
      <w:r w:rsidRPr="00E23815">
        <w:rPr>
          <w:rFonts w:asciiTheme="minorHAnsi" w:hAnsiTheme="minorHAnsi"/>
        </w:rPr>
        <w:t>378</w:t>
      </w:r>
      <w:r w:rsidR="005645B0" w:rsidRPr="00E23815">
        <w:rPr>
          <w:rFonts w:asciiTheme="minorHAnsi" w:hAnsiTheme="minorHAnsi"/>
        </w:rPr>
        <w:t xml:space="preserve"> – </w:t>
      </w:r>
      <w:r w:rsidR="005645B0" w:rsidRPr="00E23815">
        <w:rPr>
          <w:rFonts w:asciiTheme="minorHAnsi" w:hAnsiTheme="minorHAnsi"/>
          <w:i/>
        </w:rPr>
        <w:t>O</w:t>
      </w:r>
      <w:r w:rsidRPr="00E23815">
        <w:rPr>
          <w:rFonts w:asciiTheme="minorHAnsi" w:hAnsiTheme="minorHAnsi"/>
          <w:i/>
        </w:rPr>
        <w:t>statní krátkodobé závazky</w:t>
      </w:r>
      <w:r w:rsidR="005645B0" w:rsidRPr="00E23815">
        <w:rPr>
          <w:rFonts w:asciiTheme="minorHAnsi" w:hAnsiTheme="minorHAnsi"/>
        </w:rPr>
        <w:t xml:space="preserve">, </w:t>
      </w:r>
      <w:r w:rsidR="00264E89" w:rsidRPr="00E23815">
        <w:rPr>
          <w:rFonts w:asciiTheme="minorHAnsi" w:hAnsiTheme="minorHAnsi"/>
        </w:rPr>
        <w:t xml:space="preserve">která </w:t>
      </w:r>
      <w:r w:rsidR="005645B0" w:rsidRPr="00E23815">
        <w:rPr>
          <w:rFonts w:asciiTheme="minorHAnsi" w:hAnsiTheme="minorHAnsi"/>
        </w:rPr>
        <w:t>představuj</w:t>
      </w:r>
      <w:r w:rsidRPr="00E23815">
        <w:rPr>
          <w:rFonts w:asciiTheme="minorHAnsi" w:hAnsiTheme="minorHAnsi"/>
        </w:rPr>
        <w:t>e</w:t>
      </w:r>
      <w:r w:rsidR="005645B0"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</w:rPr>
        <w:t>opravu dříve nesprávně zvoleného protiúčtu při zařazení ročních emisních přídělů do majetku MŽP (nově je zobrazen i</w:t>
      </w:r>
      <w:r w:rsidR="006D425A">
        <w:rPr>
          <w:rFonts w:asciiTheme="minorHAnsi" w:hAnsiTheme="minorHAnsi"/>
        </w:rPr>
        <w:t> </w:t>
      </w:r>
      <w:r w:rsidRPr="00E23815">
        <w:rPr>
          <w:rFonts w:asciiTheme="minorHAnsi" w:hAnsiTheme="minorHAnsi"/>
        </w:rPr>
        <w:t xml:space="preserve">závazek </w:t>
      </w:r>
      <w:r w:rsidR="00566C57">
        <w:rPr>
          <w:rFonts w:asciiTheme="minorHAnsi" w:hAnsiTheme="minorHAnsi"/>
        </w:rPr>
        <w:t xml:space="preserve">MŽP </w:t>
      </w:r>
      <w:r w:rsidRPr="00E23815">
        <w:rPr>
          <w:rFonts w:asciiTheme="minorHAnsi" w:hAnsiTheme="minorHAnsi"/>
        </w:rPr>
        <w:t>jako existující povinnost související s </w:t>
      </w:r>
      <w:r w:rsidR="005645B0" w:rsidRPr="00E23815">
        <w:rPr>
          <w:rFonts w:asciiTheme="minorHAnsi" w:hAnsiTheme="minorHAnsi"/>
        </w:rPr>
        <w:t>roční</w:t>
      </w:r>
      <w:r w:rsidRPr="00E23815">
        <w:rPr>
          <w:rFonts w:asciiTheme="minorHAnsi" w:hAnsiTheme="minorHAnsi"/>
        </w:rPr>
        <w:t>mi</w:t>
      </w:r>
      <w:r w:rsidR="005645B0" w:rsidRPr="00E23815">
        <w:rPr>
          <w:rFonts w:asciiTheme="minorHAnsi" w:hAnsiTheme="minorHAnsi"/>
        </w:rPr>
        <w:t xml:space="preserve"> emisní</w:t>
      </w:r>
      <w:r w:rsidRPr="00E23815">
        <w:rPr>
          <w:rFonts w:asciiTheme="minorHAnsi" w:hAnsiTheme="minorHAnsi"/>
        </w:rPr>
        <w:t>mi</w:t>
      </w:r>
      <w:r w:rsidR="005645B0" w:rsidRPr="00E23815">
        <w:rPr>
          <w:rFonts w:asciiTheme="minorHAnsi" w:hAnsiTheme="minorHAnsi"/>
        </w:rPr>
        <w:t xml:space="preserve"> příděl</w:t>
      </w:r>
      <w:r w:rsidRPr="00E23815">
        <w:rPr>
          <w:rFonts w:asciiTheme="minorHAnsi" w:hAnsiTheme="minorHAnsi"/>
        </w:rPr>
        <w:t>y)</w:t>
      </w:r>
      <w:r w:rsidR="00954016">
        <w:rPr>
          <w:rFonts w:asciiTheme="minorHAnsi" w:hAnsiTheme="minorHAnsi"/>
        </w:rPr>
        <w:t>;</w:t>
      </w:r>
    </w:p>
    <w:p w14:paraId="28EB619E" w14:textId="3BF449DF" w:rsidR="00F76D9E" w:rsidRPr="00E23815" w:rsidRDefault="00F76D9E" w:rsidP="008226C5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>doúčtování opravn</w:t>
      </w:r>
      <w:r w:rsidR="00044872" w:rsidRPr="00E23815">
        <w:rPr>
          <w:rFonts w:asciiTheme="minorHAnsi" w:hAnsiTheme="minorHAnsi"/>
        </w:rPr>
        <w:t>é</w:t>
      </w:r>
      <w:r w:rsidRPr="00E23815">
        <w:rPr>
          <w:rFonts w:asciiTheme="minorHAnsi" w:hAnsiTheme="minorHAnsi"/>
        </w:rPr>
        <w:t xml:space="preserve"> položk</w:t>
      </w:r>
      <w:r w:rsidR="00044872" w:rsidRPr="00E23815">
        <w:rPr>
          <w:rFonts w:asciiTheme="minorHAnsi" w:hAnsiTheme="minorHAnsi"/>
        </w:rPr>
        <w:t>y</w:t>
      </w:r>
      <w:r w:rsidRPr="00E23815">
        <w:rPr>
          <w:rFonts w:asciiTheme="minorHAnsi" w:hAnsiTheme="minorHAnsi"/>
        </w:rPr>
        <w:t xml:space="preserve"> k ročním emisním přídělům </w:t>
      </w:r>
      <w:r w:rsidR="00D92C28" w:rsidRPr="00E23815">
        <w:rPr>
          <w:rFonts w:asciiTheme="minorHAnsi" w:hAnsiTheme="minorHAnsi"/>
        </w:rPr>
        <w:t xml:space="preserve">ve výši 0,7 mld. Kč </w:t>
      </w:r>
      <w:r w:rsidRPr="00E23815">
        <w:rPr>
          <w:rFonts w:asciiTheme="minorHAnsi" w:hAnsiTheme="minorHAnsi"/>
        </w:rPr>
        <w:t xml:space="preserve">na účty </w:t>
      </w:r>
      <w:r w:rsidR="006D425A">
        <w:rPr>
          <w:rFonts w:asciiTheme="minorHAnsi" w:hAnsiTheme="minorHAnsi"/>
        </w:rPr>
        <w:br/>
      </w:r>
      <w:r w:rsidRPr="00E23815">
        <w:rPr>
          <w:rFonts w:asciiTheme="minorHAnsi" w:hAnsiTheme="minorHAnsi"/>
        </w:rPr>
        <w:t xml:space="preserve">556 – </w:t>
      </w:r>
      <w:r w:rsidRPr="00E23815">
        <w:rPr>
          <w:rFonts w:asciiTheme="minorHAnsi" w:hAnsiTheme="minorHAnsi"/>
          <w:i/>
        </w:rPr>
        <w:t>Tvorba a zúčtování opravných položek</w:t>
      </w:r>
      <w:r w:rsidRPr="00E23815">
        <w:rPr>
          <w:rFonts w:asciiTheme="minorHAnsi" w:hAnsiTheme="minorHAnsi"/>
        </w:rPr>
        <w:t xml:space="preserve"> a </w:t>
      </w:r>
      <w:r w:rsidR="00044872" w:rsidRPr="00E23815">
        <w:rPr>
          <w:rFonts w:asciiTheme="minorHAnsi" w:hAnsiTheme="minorHAnsi"/>
        </w:rPr>
        <w:t>154</w:t>
      </w:r>
      <w:r w:rsidRPr="00E23815">
        <w:rPr>
          <w:rFonts w:asciiTheme="minorHAnsi" w:hAnsiTheme="minorHAnsi"/>
        </w:rPr>
        <w:t xml:space="preserve"> – </w:t>
      </w:r>
      <w:r w:rsidRPr="00E23815">
        <w:rPr>
          <w:rFonts w:asciiTheme="minorHAnsi" w:hAnsiTheme="minorHAnsi"/>
          <w:i/>
        </w:rPr>
        <w:t>O</w:t>
      </w:r>
      <w:r w:rsidR="00044872" w:rsidRPr="00E23815">
        <w:rPr>
          <w:rFonts w:asciiTheme="minorHAnsi" w:hAnsiTheme="minorHAnsi"/>
          <w:i/>
        </w:rPr>
        <w:t>pravné položky k povolenkám na emise a preferenčním limitům</w:t>
      </w:r>
      <w:r w:rsidRPr="00E23815">
        <w:rPr>
          <w:rFonts w:asciiTheme="minorHAnsi" w:hAnsiTheme="minorHAnsi"/>
        </w:rPr>
        <w:t xml:space="preserve"> </w:t>
      </w:r>
      <w:r w:rsidR="00044872" w:rsidRPr="00E23815">
        <w:rPr>
          <w:rFonts w:asciiTheme="minorHAnsi" w:hAnsiTheme="minorHAnsi"/>
        </w:rPr>
        <w:t>z důvodu významného snížení ceny těchto aktiv</w:t>
      </w:r>
      <w:r w:rsidR="00954016">
        <w:rPr>
          <w:rFonts w:asciiTheme="minorHAnsi" w:hAnsiTheme="minorHAnsi"/>
        </w:rPr>
        <w:t>;</w:t>
      </w:r>
    </w:p>
    <w:p w14:paraId="690CAE5B" w14:textId="61E3DFC0" w:rsidR="00E8672A" w:rsidRPr="00E23815" w:rsidRDefault="00B24541" w:rsidP="00E8672A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přeúčtování</w:t>
      </w:r>
      <w:r w:rsidR="00D413DD" w:rsidRPr="00E23815">
        <w:rPr>
          <w:rFonts w:asciiTheme="minorHAnsi" w:hAnsiTheme="minorHAnsi"/>
        </w:rPr>
        <w:t xml:space="preserve"> </w:t>
      </w:r>
      <w:r w:rsidR="00E8672A" w:rsidRPr="00E23815">
        <w:rPr>
          <w:rFonts w:asciiTheme="minorHAnsi" w:hAnsiTheme="minorHAnsi"/>
        </w:rPr>
        <w:t>část</w:t>
      </w:r>
      <w:r w:rsidR="00E31EE9">
        <w:rPr>
          <w:rFonts w:asciiTheme="minorHAnsi" w:hAnsiTheme="minorHAnsi"/>
        </w:rPr>
        <w:t>ky</w:t>
      </w:r>
      <w:r w:rsidR="00E8672A" w:rsidRPr="00E23815">
        <w:rPr>
          <w:rFonts w:asciiTheme="minorHAnsi" w:hAnsiTheme="minorHAnsi"/>
        </w:rPr>
        <w:t xml:space="preserve"> ve výši 0,5 mld. Kč z účtu 401 – </w:t>
      </w:r>
      <w:r w:rsidR="00E8672A" w:rsidRPr="00E23815">
        <w:rPr>
          <w:rFonts w:asciiTheme="minorHAnsi" w:hAnsiTheme="minorHAnsi"/>
          <w:i/>
        </w:rPr>
        <w:t>Jmění účetní jednotky</w:t>
      </w:r>
      <w:r w:rsidR="00E8672A" w:rsidRPr="00E23815">
        <w:rPr>
          <w:rFonts w:asciiTheme="minorHAnsi" w:hAnsiTheme="minorHAnsi"/>
        </w:rPr>
        <w:t xml:space="preserve"> na účet </w:t>
      </w:r>
      <w:r w:rsidR="006D425A">
        <w:rPr>
          <w:rFonts w:asciiTheme="minorHAnsi" w:hAnsiTheme="minorHAnsi"/>
        </w:rPr>
        <w:br/>
      </w:r>
      <w:r w:rsidR="00E8672A" w:rsidRPr="00E23815">
        <w:rPr>
          <w:rFonts w:asciiTheme="minorHAnsi" w:hAnsiTheme="minorHAnsi"/>
        </w:rPr>
        <w:t xml:space="preserve">408 – </w:t>
      </w:r>
      <w:r w:rsidR="00E8672A" w:rsidRPr="00E23815">
        <w:rPr>
          <w:rFonts w:asciiTheme="minorHAnsi" w:hAnsiTheme="minorHAnsi"/>
          <w:i/>
        </w:rPr>
        <w:t>Opravy předcházejících účetních období</w:t>
      </w:r>
      <w:r w:rsidR="00E8672A" w:rsidRPr="00E23815">
        <w:rPr>
          <w:rFonts w:asciiTheme="minorHAnsi" w:hAnsiTheme="minorHAnsi"/>
        </w:rPr>
        <w:t xml:space="preserve"> a </w:t>
      </w:r>
      <w:r w:rsidR="00954016">
        <w:rPr>
          <w:rFonts w:asciiTheme="minorHAnsi" w:hAnsiTheme="minorHAnsi"/>
        </w:rPr>
        <w:t xml:space="preserve">částky </w:t>
      </w:r>
      <w:r w:rsidR="00E8672A" w:rsidRPr="00E23815">
        <w:rPr>
          <w:rFonts w:asciiTheme="minorHAnsi" w:hAnsiTheme="minorHAnsi"/>
        </w:rPr>
        <w:t xml:space="preserve">0,2 mld. Kč z účtu 407 – </w:t>
      </w:r>
      <w:r w:rsidR="00E8672A" w:rsidRPr="00E23815">
        <w:rPr>
          <w:rFonts w:asciiTheme="minorHAnsi" w:hAnsiTheme="minorHAnsi"/>
          <w:i/>
        </w:rPr>
        <w:t>Jiné oceňovací rozdíly</w:t>
      </w:r>
      <w:r w:rsidR="00E8672A" w:rsidRPr="00E23815">
        <w:rPr>
          <w:rFonts w:asciiTheme="minorHAnsi" w:hAnsiTheme="minorHAnsi"/>
        </w:rPr>
        <w:t xml:space="preserve"> na účet 408 – </w:t>
      </w:r>
      <w:r w:rsidR="00E8672A" w:rsidRPr="00E23815">
        <w:rPr>
          <w:rFonts w:asciiTheme="minorHAnsi" w:hAnsiTheme="minorHAnsi"/>
          <w:i/>
        </w:rPr>
        <w:t>Opravy předcházejících účetních období</w:t>
      </w:r>
      <w:r w:rsidR="00954016">
        <w:rPr>
          <w:rFonts w:asciiTheme="minorHAnsi" w:hAnsiTheme="minorHAnsi"/>
        </w:rPr>
        <w:t>;</w:t>
      </w:r>
      <w:r w:rsidR="00E8672A" w:rsidRPr="00E23815">
        <w:rPr>
          <w:rFonts w:asciiTheme="minorHAnsi" w:hAnsiTheme="minorHAnsi"/>
        </w:rPr>
        <w:t xml:space="preserve"> </w:t>
      </w:r>
      <w:r w:rsidR="00954016">
        <w:rPr>
          <w:rFonts w:asciiTheme="minorHAnsi" w:hAnsiTheme="minorHAnsi"/>
        </w:rPr>
        <w:t>jednalo se o </w:t>
      </w:r>
      <w:r w:rsidR="00DC3503" w:rsidRPr="00E23815">
        <w:rPr>
          <w:rFonts w:asciiTheme="minorHAnsi" w:hAnsiTheme="minorHAnsi"/>
        </w:rPr>
        <w:t xml:space="preserve">provedení </w:t>
      </w:r>
      <w:r w:rsidR="00E8672A" w:rsidRPr="00E23815">
        <w:rPr>
          <w:rFonts w:asciiTheme="minorHAnsi" w:hAnsiTheme="minorHAnsi"/>
        </w:rPr>
        <w:t>opatření k nápravě nedostatk</w:t>
      </w:r>
      <w:r w:rsidR="006B197B" w:rsidRPr="00E23815">
        <w:rPr>
          <w:rFonts w:asciiTheme="minorHAnsi" w:hAnsiTheme="minorHAnsi"/>
        </w:rPr>
        <w:t>u</w:t>
      </w:r>
      <w:r w:rsidR="00E8672A" w:rsidRPr="00E23815">
        <w:rPr>
          <w:rFonts w:asciiTheme="minorHAnsi" w:hAnsiTheme="minorHAnsi"/>
        </w:rPr>
        <w:t xml:space="preserve"> uveden</w:t>
      </w:r>
      <w:r w:rsidR="006B197B" w:rsidRPr="00E23815">
        <w:rPr>
          <w:rFonts w:asciiTheme="minorHAnsi" w:hAnsiTheme="minorHAnsi"/>
        </w:rPr>
        <w:t>ého</w:t>
      </w:r>
      <w:r w:rsidR="00E8672A" w:rsidRPr="00E23815">
        <w:rPr>
          <w:rFonts w:asciiTheme="minorHAnsi" w:hAnsiTheme="minorHAnsi"/>
        </w:rPr>
        <w:t xml:space="preserve"> v kontrolním závěru z KA č. 17/18 (</w:t>
      </w:r>
      <w:r w:rsidR="006B197B" w:rsidRPr="00E23815">
        <w:rPr>
          <w:rFonts w:asciiTheme="minorHAnsi" w:hAnsiTheme="minorHAnsi"/>
        </w:rPr>
        <w:t>nesprávné ocenění povolenek na emise</w:t>
      </w:r>
      <w:r w:rsidR="00DC3503" w:rsidRPr="00E23815">
        <w:rPr>
          <w:rFonts w:asciiTheme="minorHAnsi" w:hAnsiTheme="minorHAnsi"/>
        </w:rPr>
        <w:t xml:space="preserve"> skleníkových plynů</w:t>
      </w:r>
      <w:r w:rsidR="006B197B" w:rsidRPr="00E23815">
        <w:rPr>
          <w:rFonts w:asciiTheme="minorHAnsi" w:hAnsiTheme="minorHAnsi"/>
        </w:rPr>
        <w:t>).</w:t>
      </w:r>
    </w:p>
    <w:p w14:paraId="2689CF99" w14:textId="77777777" w:rsidR="00A666E6" w:rsidRPr="00E23815" w:rsidRDefault="00A666E6" w:rsidP="00A666E6">
      <w:pPr>
        <w:spacing w:after="0"/>
        <w:jc w:val="both"/>
        <w:rPr>
          <w:rFonts w:asciiTheme="minorHAnsi" w:hAnsiTheme="minorHAnsi" w:cs="Calibri"/>
          <w:bCs/>
        </w:rPr>
      </w:pPr>
    </w:p>
    <w:p w14:paraId="0FEDE1B3" w14:textId="77777777" w:rsidR="00970EEF" w:rsidRDefault="00970EEF" w:rsidP="00A43F69">
      <w:pPr>
        <w:spacing w:after="0"/>
        <w:jc w:val="both"/>
        <w:rPr>
          <w:rFonts w:asciiTheme="minorHAnsi" w:hAnsiTheme="minorHAnsi" w:cstheme="minorHAnsi"/>
        </w:rPr>
      </w:pPr>
      <w:r w:rsidRPr="003A19DD">
        <w:rPr>
          <w:rFonts w:asciiTheme="minorHAnsi" w:hAnsiTheme="minorHAnsi" w:cstheme="minorHAnsi"/>
          <w:b/>
        </w:rPr>
        <w:t>Údaje z ÚZ zveřejněné v informačním portálu MONITOR</w:t>
      </w:r>
    </w:p>
    <w:p w14:paraId="33F83D96" w14:textId="77777777" w:rsidR="00845900" w:rsidRDefault="00DC3503" w:rsidP="00A43F69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Údaje z výkazů tvořících účetní závěrky </w:t>
      </w:r>
      <w:r w:rsidR="00F83EB1" w:rsidRPr="00E23815">
        <w:rPr>
          <w:rFonts w:asciiTheme="minorHAnsi" w:hAnsiTheme="minorHAnsi" w:cstheme="minorHAnsi"/>
        </w:rPr>
        <w:t>OSS</w:t>
      </w:r>
      <w:r w:rsidRPr="00E23815">
        <w:rPr>
          <w:rFonts w:asciiTheme="minorHAnsi" w:hAnsiTheme="minorHAnsi" w:cstheme="minorHAnsi"/>
        </w:rPr>
        <w:t xml:space="preserve"> jsou standardně zveřejňovány</w:t>
      </w:r>
      <w:r w:rsidR="00380469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prostřednictvím </w:t>
      </w:r>
      <w:r w:rsidR="00933EAD">
        <w:rPr>
          <w:rFonts w:asciiTheme="minorHAnsi" w:hAnsiTheme="minorHAnsi" w:cstheme="minorHAnsi"/>
        </w:rPr>
        <w:t xml:space="preserve">informačního </w:t>
      </w:r>
      <w:r w:rsidRPr="00E23815">
        <w:rPr>
          <w:rFonts w:asciiTheme="minorHAnsi" w:hAnsiTheme="minorHAnsi" w:cstheme="minorHAnsi"/>
        </w:rPr>
        <w:t>portálu MONITOR. V případě MŽP však byly údaje za rok 2022 zveřejněny ještě před provedením některých významných oprav, a to v</w:t>
      </w:r>
      <w:r w:rsidR="00380469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podobě</w:t>
      </w:r>
      <w:r w:rsidR="00380469">
        <w:rPr>
          <w:rFonts w:asciiTheme="minorHAnsi" w:hAnsiTheme="minorHAnsi" w:cstheme="minorHAnsi"/>
        </w:rPr>
        <w:t xml:space="preserve"> pouze</w:t>
      </w:r>
      <w:r w:rsidRPr="00E23815">
        <w:rPr>
          <w:rFonts w:asciiTheme="minorHAnsi" w:hAnsiTheme="minorHAnsi" w:cstheme="minorHAnsi"/>
        </w:rPr>
        <w:t xml:space="preserve"> konsolidačních účetních záznamů</w:t>
      </w:r>
      <w:r w:rsidR="00380469">
        <w:rPr>
          <w:rFonts w:asciiTheme="minorHAnsi" w:hAnsiTheme="minorHAnsi" w:cstheme="minorHAnsi"/>
        </w:rPr>
        <w:t xml:space="preserve"> ve stavu</w:t>
      </w:r>
      <w:r w:rsidRPr="00E23815">
        <w:rPr>
          <w:rFonts w:asciiTheme="minorHAnsi" w:hAnsiTheme="minorHAnsi" w:cstheme="minorHAnsi"/>
        </w:rPr>
        <w:t xml:space="preserve"> k 31. </w:t>
      </w:r>
      <w:r w:rsidR="00F97135">
        <w:rPr>
          <w:rFonts w:asciiTheme="minorHAnsi" w:hAnsiTheme="minorHAnsi" w:cstheme="minorHAnsi"/>
        </w:rPr>
        <w:t>prosinci</w:t>
      </w:r>
      <w:r w:rsidRPr="00E23815">
        <w:rPr>
          <w:rFonts w:asciiTheme="minorHAnsi" w:hAnsiTheme="minorHAnsi" w:cstheme="minorHAnsi"/>
        </w:rPr>
        <w:t xml:space="preserve"> 2022</w:t>
      </w:r>
      <w:r w:rsidR="00380469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</w:rPr>
        <w:t xml:space="preserve"> vložených do CSÚIS dne 27. </w:t>
      </w:r>
      <w:r w:rsidR="00F97135">
        <w:rPr>
          <w:rFonts w:asciiTheme="minorHAnsi" w:hAnsiTheme="minorHAnsi" w:cstheme="minorHAnsi"/>
        </w:rPr>
        <w:t>února</w:t>
      </w:r>
      <w:r w:rsidRPr="00E23815">
        <w:rPr>
          <w:rFonts w:asciiTheme="minorHAnsi" w:hAnsiTheme="minorHAnsi" w:cstheme="minorHAnsi"/>
        </w:rPr>
        <w:t xml:space="preserve"> 2023</w:t>
      </w:r>
      <w:r w:rsidRPr="00E23815">
        <w:rPr>
          <w:rStyle w:val="Znakapoznpodarou"/>
          <w:rFonts w:asciiTheme="minorHAnsi" w:hAnsiTheme="minorHAnsi" w:cstheme="minorHAnsi"/>
        </w:rPr>
        <w:footnoteReference w:id="22"/>
      </w:r>
      <w:r w:rsidR="00E30A43" w:rsidRPr="00E23815">
        <w:rPr>
          <w:rFonts w:asciiTheme="minorHAnsi" w:hAnsiTheme="minorHAnsi" w:cstheme="minorHAnsi"/>
        </w:rPr>
        <w:t>.</w:t>
      </w:r>
    </w:p>
    <w:p w14:paraId="555F67C0" w14:textId="22156DC0" w:rsidR="004276AD" w:rsidRDefault="00933EAD" w:rsidP="00A43F69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lastRenderedPageBreak/>
        <w:t xml:space="preserve">MŽP </w:t>
      </w:r>
      <w:r w:rsidR="00824680">
        <w:rPr>
          <w:rFonts w:asciiTheme="minorHAnsi" w:hAnsiTheme="minorHAnsi" w:cstheme="minorHAnsi"/>
        </w:rPr>
        <w:t>s</w:t>
      </w:r>
      <w:r w:rsidRPr="00E23815">
        <w:rPr>
          <w:rFonts w:asciiTheme="minorHAnsi" w:hAnsiTheme="minorHAnsi" w:cstheme="minorHAnsi"/>
        </w:rPr>
        <w:t xml:space="preserve">estavilo </w:t>
      </w:r>
      <w:r>
        <w:rPr>
          <w:rFonts w:asciiTheme="minorHAnsi" w:hAnsiTheme="minorHAnsi" w:cstheme="minorHAnsi"/>
        </w:rPr>
        <w:t xml:space="preserve">ÚZ </w:t>
      </w:r>
      <w:r w:rsidR="00641B99">
        <w:rPr>
          <w:rFonts w:asciiTheme="minorHAnsi" w:hAnsiTheme="minorHAnsi" w:cstheme="minorHAnsi"/>
        </w:rPr>
        <w:t>až 26. června 2023 a v</w:t>
      </w:r>
      <w:r w:rsidR="00954016">
        <w:rPr>
          <w:rFonts w:asciiTheme="minorHAnsi" w:hAnsiTheme="minorHAnsi" w:cstheme="minorHAnsi"/>
        </w:rPr>
        <w:t xml:space="preserve"> </w:t>
      </w:r>
      <w:r w:rsidR="00641B99">
        <w:rPr>
          <w:rFonts w:asciiTheme="minorHAnsi" w:hAnsiTheme="minorHAnsi" w:cstheme="minorHAnsi"/>
        </w:rPr>
        <w:t xml:space="preserve">důsledku toho </w:t>
      </w:r>
      <w:r>
        <w:rPr>
          <w:rFonts w:asciiTheme="minorHAnsi" w:hAnsiTheme="minorHAnsi" w:cstheme="minorHAnsi"/>
        </w:rPr>
        <w:t>ještě</w:t>
      </w:r>
      <w:r w:rsidR="00874FB4">
        <w:rPr>
          <w:rFonts w:asciiTheme="minorHAnsi" w:hAnsiTheme="minorHAnsi" w:cstheme="minorHAnsi"/>
        </w:rPr>
        <w:t xml:space="preserve"> ani</w:t>
      </w:r>
      <w:r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ke dni </w:t>
      </w:r>
      <w:r w:rsidR="00C32B10" w:rsidRPr="00E23815">
        <w:rPr>
          <w:rFonts w:asciiTheme="minorHAnsi" w:hAnsiTheme="minorHAnsi" w:cstheme="minorHAnsi"/>
        </w:rPr>
        <w:t xml:space="preserve">20. </w:t>
      </w:r>
      <w:r w:rsidR="00F97135">
        <w:rPr>
          <w:rFonts w:asciiTheme="minorHAnsi" w:hAnsiTheme="minorHAnsi" w:cstheme="minorHAnsi"/>
        </w:rPr>
        <w:t>července</w:t>
      </w:r>
      <w:r w:rsidR="00C32B10" w:rsidRPr="00E23815">
        <w:rPr>
          <w:rFonts w:asciiTheme="minorHAnsi" w:hAnsiTheme="minorHAnsi" w:cstheme="minorHAnsi"/>
        </w:rPr>
        <w:t xml:space="preserve"> 2023</w:t>
      </w:r>
      <w:r w:rsidR="00641B99">
        <w:rPr>
          <w:rFonts w:asciiTheme="minorHAnsi" w:hAnsiTheme="minorHAnsi" w:cstheme="minorHAnsi"/>
        </w:rPr>
        <w:t xml:space="preserve"> nebyly</w:t>
      </w:r>
      <w:r w:rsidR="00C32B10" w:rsidRPr="00E23815">
        <w:rPr>
          <w:rFonts w:asciiTheme="minorHAnsi" w:hAnsiTheme="minorHAnsi" w:cstheme="minorHAnsi"/>
        </w:rPr>
        <w:t xml:space="preserve"> prostřednictvím </w:t>
      </w:r>
      <w:r>
        <w:rPr>
          <w:rFonts w:asciiTheme="minorHAnsi" w:hAnsiTheme="minorHAnsi" w:cstheme="minorHAnsi"/>
        </w:rPr>
        <w:t>informačního p</w:t>
      </w:r>
      <w:r w:rsidR="00C32B10" w:rsidRPr="00E23815">
        <w:rPr>
          <w:rFonts w:asciiTheme="minorHAnsi" w:hAnsiTheme="minorHAnsi" w:cstheme="minorHAnsi"/>
        </w:rPr>
        <w:t>ortálu MONITOR zveřejněny správné údaje z</w:t>
      </w:r>
      <w:r w:rsidR="00954016">
        <w:rPr>
          <w:rFonts w:asciiTheme="minorHAnsi" w:hAnsiTheme="minorHAnsi" w:cstheme="minorHAnsi"/>
        </w:rPr>
        <w:t xml:space="preserve"> </w:t>
      </w:r>
      <w:r w:rsidR="00C32B10" w:rsidRPr="00E23815">
        <w:rPr>
          <w:rFonts w:asciiTheme="minorHAnsi" w:hAnsiTheme="minorHAnsi" w:cstheme="minorHAnsi"/>
        </w:rPr>
        <w:t>ÚZ.</w:t>
      </w:r>
      <w:r w:rsidR="00DC3503" w:rsidRPr="00E23815">
        <w:rPr>
          <w:rFonts w:asciiTheme="minorHAnsi" w:hAnsiTheme="minorHAnsi" w:cstheme="minorHAnsi"/>
        </w:rPr>
        <w:t xml:space="preserve"> Vzhledem ke skutečnosti, že účetní opravy provedené na základě upozornění NK</w:t>
      </w:r>
      <w:r w:rsidR="00874FB4">
        <w:rPr>
          <w:rFonts w:asciiTheme="minorHAnsi" w:hAnsiTheme="minorHAnsi" w:cstheme="minorHAnsi"/>
        </w:rPr>
        <w:t>Ú</w:t>
      </w:r>
      <w:r w:rsidR="00DC3503" w:rsidRPr="00E23815">
        <w:rPr>
          <w:rFonts w:asciiTheme="minorHAnsi" w:hAnsiTheme="minorHAnsi" w:cstheme="minorHAnsi"/>
        </w:rPr>
        <w:t xml:space="preserve"> a další opravy provedené MŽP měly zásadní vliv na zůstatky některých položek </w:t>
      </w:r>
      <w:r w:rsidR="0025514A">
        <w:rPr>
          <w:rFonts w:asciiTheme="minorHAnsi" w:hAnsiTheme="minorHAnsi" w:cstheme="minorHAnsi"/>
        </w:rPr>
        <w:t>účetní závěrky</w:t>
      </w:r>
      <w:r w:rsidR="00DC3503" w:rsidRPr="00E23815">
        <w:rPr>
          <w:rFonts w:asciiTheme="minorHAnsi" w:hAnsiTheme="minorHAnsi" w:cstheme="minorHAnsi"/>
        </w:rPr>
        <w:t>, měli uživatelé</w:t>
      </w:r>
      <w:r w:rsidR="00874FB4">
        <w:rPr>
          <w:rFonts w:asciiTheme="minorHAnsi" w:hAnsiTheme="minorHAnsi" w:cstheme="minorHAnsi"/>
        </w:rPr>
        <w:t xml:space="preserve"> údajů ÚZ </w:t>
      </w:r>
      <w:r w:rsidR="00DC3503" w:rsidRPr="00E23815">
        <w:rPr>
          <w:rFonts w:asciiTheme="minorHAnsi" w:hAnsiTheme="minorHAnsi" w:cstheme="minorHAnsi"/>
        </w:rPr>
        <w:t xml:space="preserve">minimálně do 20. </w:t>
      </w:r>
      <w:r w:rsidR="00F97135">
        <w:rPr>
          <w:rFonts w:asciiTheme="minorHAnsi" w:hAnsiTheme="minorHAnsi" w:cstheme="minorHAnsi"/>
        </w:rPr>
        <w:t>července</w:t>
      </w:r>
      <w:r w:rsidR="00DC3503" w:rsidRPr="00E23815">
        <w:rPr>
          <w:rFonts w:asciiTheme="minorHAnsi" w:hAnsiTheme="minorHAnsi" w:cstheme="minorHAnsi"/>
        </w:rPr>
        <w:t xml:space="preserve"> 2023 k dispozici zásadně nesprávné informace</w:t>
      </w:r>
      <w:r w:rsidR="00874FB4">
        <w:rPr>
          <w:rFonts w:asciiTheme="minorHAnsi" w:hAnsiTheme="minorHAnsi" w:cstheme="minorHAnsi"/>
        </w:rPr>
        <w:t xml:space="preserve"> o hospodaření MŽP za rok 2022</w:t>
      </w:r>
      <w:r w:rsidR="00EC26B9" w:rsidRPr="00E23815">
        <w:rPr>
          <w:rFonts w:asciiTheme="minorHAnsi" w:hAnsiTheme="minorHAnsi" w:cstheme="minorHAnsi"/>
        </w:rPr>
        <w:t>.</w:t>
      </w:r>
    </w:p>
    <w:p w14:paraId="481C1CCC" w14:textId="77777777" w:rsidR="004276AD" w:rsidRDefault="004276AD" w:rsidP="00A43F69">
      <w:pPr>
        <w:spacing w:after="0"/>
        <w:jc w:val="both"/>
        <w:rPr>
          <w:rFonts w:asciiTheme="minorHAnsi" w:hAnsiTheme="minorHAnsi" w:cstheme="minorHAnsi"/>
        </w:rPr>
      </w:pPr>
    </w:p>
    <w:p w14:paraId="79899519" w14:textId="0AD4F0D0" w:rsidR="00DC3503" w:rsidRPr="00E23815" w:rsidRDefault="00735259" w:rsidP="00A43F69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Údaje ve</w:t>
      </w:r>
      <w:r w:rsidR="00655A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výkazu příloha zveřejněné v informačním portálu MONITOR </w:t>
      </w:r>
      <w:r w:rsidR="003E66A9">
        <w:rPr>
          <w:rFonts w:asciiTheme="minorHAnsi" w:hAnsiTheme="minorHAnsi" w:cstheme="minorHAnsi"/>
        </w:rPr>
        <w:t>byly</w:t>
      </w:r>
      <w:r w:rsidR="003E66A9" w:rsidRPr="003E66A9">
        <w:rPr>
          <w:rFonts w:asciiTheme="minorHAnsi" w:hAnsiTheme="minorHAnsi" w:cstheme="minorHAnsi"/>
        </w:rPr>
        <w:t xml:space="preserve"> </w:t>
      </w:r>
      <w:r w:rsidRPr="003E66A9">
        <w:rPr>
          <w:rFonts w:asciiTheme="minorHAnsi" w:hAnsiTheme="minorHAnsi" w:cstheme="minorHAnsi"/>
        </w:rPr>
        <w:t xml:space="preserve">k datu </w:t>
      </w:r>
      <w:r w:rsidR="003E66A9">
        <w:rPr>
          <w:rFonts w:asciiTheme="minorHAnsi" w:hAnsiTheme="minorHAnsi" w:cstheme="minorHAnsi"/>
        </w:rPr>
        <w:t xml:space="preserve">ukončení kontroly NKÚ </w:t>
      </w:r>
      <w:r w:rsidR="003E66A9" w:rsidRPr="003E66A9">
        <w:rPr>
          <w:rFonts w:asciiTheme="minorHAnsi" w:hAnsiTheme="minorHAnsi" w:cstheme="minorHAnsi"/>
        </w:rPr>
        <w:t>stále</w:t>
      </w:r>
      <w:r w:rsidRPr="006D425A">
        <w:rPr>
          <w:rFonts w:asciiTheme="minorHAnsi" w:hAnsiTheme="minorHAnsi" w:cstheme="minorHAnsi"/>
        </w:rPr>
        <w:t xml:space="preserve"> neúplné a zčásti nesprávné</w:t>
      </w:r>
      <w:r w:rsidR="003E66A9" w:rsidRPr="00307092">
        <w:rPr>
          <w:rStyle w:val="Znakapoznpodarou"/>
          <w:rFonts w:asciiTheme="minorHAnsi" w:hAnsiTheme="minorHAnsi" w:cstheme="minorHAnsi"/>
        </w:rPr>
        <w:footnoteReference w:id="23"/>
      </w:r>
      <w:r w:rsidR="00566C57" w:rsidRPr="00307092">
        <w:rPr>
          <w:rFonts w:asciiTheme="minorHAnsi" w:hAnsiTheme="minorHAnsi" w:cstheme="minorHAnsi"/>
        </w:rPr>
        <w:t>,</w:t>
      </w:r>
      <w:r w:rsidR="00522324" w:rsidRPr="00522324">
        <w:rPr>
          <w:rFonts w:asciiTheme="minorHAnsi" w:hAnsiTheme="minorHAnsi" w:cstheme="minorHAnsi"/>
        </w:rPr>
        <w:t xml:space="preserve"> </w:t>
      </w:r>
      <w:r w:rsidR="00522324">
        <w:rPr>
          <w:rFonts w:asciiTheme="minorHAnsi" w:hAnsiTheme="minorHAnsi" w:cstheme="minorHAnsi"/>
        </w:rPr>
        <w:t>přestože MŽP po provedení oprav předalo do CSÚIS přílohu ÚZ se správnými údaji</w:t>
      </w:r>
      <w:r w:rsidR="00970EEF" w:rsidRPr="006D425A">
        <w:rPr>
          <w:rFonts w:asciiTheme="minorHAnsi" w:hAnsiTheme="minorHAnsi" w:cs="Calibri"/>
        </w:rPr>
        <w:t>.</w:t>
      </w:r>
    </w:p>
    <w:p w14:paraId="16E489D3" w14:textId="77777777" w:rsidR="004276AD" w:rsidRPr="00E23815" w:rsidRDefault="004276AD" w:rsidP="00A43F69">
      <w:pPr>
        <w:spacing w:after="0"/>
        <w:jc w:val="both"/>
      </w:pPr>
    </w:p>
    <w:p w14:paraId="588823A4" w14:textId="14383F20" w:rsidR="00793BB6" w:rsidRPr="00E23815" w:rsidRDefault="00B24541" w:rsidP="00793BB6">
      <w:pPr>
        <w:spacing w:after="0"/>
        <w:jc w:val="both"/>
      </w:pPr>
      <w:r w:rsidRPr="00B24541">
        <w:rPr>
          <w:rFonts w:asciiTheme="minorHAnsi" w:hAnsiTheme="minorHAnsi" w:cstheme="minorHAnsi"/>
        </w:rPr>
        <w:t>Přehled rozdílů mezi údaji uvedenými v konsolidačních účetních záznamech vložených do CSÚIS dne 27. února 2023 a údaji uvedenými v ÚZ obsahuje příloha č. 2 tohoto kontrolního závěru.</w:t>
      </w:r>
    </w:p>
    <w:p w14:paraId="79CC290F" w14:textId="77777777" w:rsidR="00793BB6" w:rsidRPr="00E23815" w:rsidRDefault="00793BB6" w:rsidP="00A666E6">
      <w:pPr>
        <w:spacing w:after="0"/>
        <w:jc w:val="both"/>
        <w:rPr>
          <w:rFonts w:asciiTheme="minorHAnsi" w:hAnsiTheme="minorHAnsi" w:cs="Calibri"/>
          <w:bCs/>
        </w:rPr>
      </w:pPr>
    </w:p>
    <w:p w14:paraId="28502687" w14:textId="77777777" w:rsidR="002058A5" w:rsidRPr="00E23815" w:rsidRDefault="002058A5" w:rsidP="00A666E6">
      <w:pPr>
        <w:spacing w:after="0"/>
        <w:jc w:val="both"/>
        <w:rPr>
          <w:rFonts w:asciiTheme="minorHAnsi" w:hAnsiTheme="minorHAnsi" w:cs="Calibri"/>
          <w:bCs/>
        </w:rPr>
      </w:pPr>
    </w:p>
    <w:p w14:paraId="25E2C91C" w14:textId="77777777" w:rsidR="006B197B" w:rsidRPr="00E23815" w:rsidRDefault="006B197B" w:rsidP="008226C5">
      <w:pPr>
        <w:pStyle w:val="Styl2"/>
        <w:numPr>
          <w:ilvl w:val="1"/>
          <w:numId w:val="7"/>
        </w:numPr>
        <w:ind w:left="431" w:hanging="431"/>
      </w:pPr>
      <w:r w:rsidRPr="00E23815">
        <w:t>Neopravené nesprávnosti v účetnictví MŽP</w:t>
      </w:r>
    </w:p>
    <w:p w14:paraId="0849F644" w14:textId="253F55FD" w:rsidR="006616E3" w:rsidRPr="00E23815" w:rsidRDefault="006616E3" w:rsidP="006616E3">
      <w:pPr>
        <w:ind w:right="-103"/>
        <w:jc w:val="both"/>
        <w:rPr>
          <w:rFonts w:asciiTheme="minorHAnsi" w:hAnsiTheme="minorHAnsi" w:cstheme="minorHAnsi"/>
          <w:b/>
          <w:bCs/>
          <w:spacing w:val="-2"/>
        </w:rPr>
      </w:pPr>
      <w:r w:rsidRPr="00E23815">
        <w:rPr>
          <w:rFonts w:asciiTheme="minorHAnsi" w:hAnsiTheme="minorHAnsi" w:cstheme="minorHAnsi"/>
          <w:b/>
          <w:bCs/>
          <w:spacing w:val="-2"/>
        </w:rPr>
        <w:t>V</w:t>
      </w:r>
      <w:r w:rsidR="00356C5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>údajích ÚZ</w:t>
      </w:r>
      <w:r w:rsidRPr="00E23815">
        <w:rPr>
          <w:rFonts w:cs="Calibri"/>
          <w:b/>
          <w:bCs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 xml:space="preserve">kontrola zjistila, že </w:t>
      </w:r>
      <w:r w:rsidR="00655AAA" w:rsidRPr="00E23815">
        <w:rPr>
          <w:rFonts w:asciiTheme="minorHAnsi" w:hAnsiTheme="minorHAnsi" w:cstheme="minorHAnsi"/>
          <w:b/>
          <w:bCs/>
          <w:spacing w:val="-2"/>
        </w:rPr>
        <w:t xml:space="preserve">MŽP </w:t>
      </w:r>
      <w:r w:rsidRPr="00E23815">
        <w:rPr>
          <w:rFonts w:asciiTheme="minorHAnsi" w:hAnsiTheme="minorHAnsi" w:cstheme="minorHAnsi"/>
          <w:b/>
          <w:bCs/>
          <w:spacing w:val="-2"/>
        </w:rPr>
        <w:t>některé informace nevykázalo v</w:t>
      </w:r>
      <w:r w:rsidR="00356C5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>souladu s</w:t>
      </w:r>
      <w:r w:rsidR="00356C5B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 xml:space="preserve">právními předpisy upravujícími vedení účetnictví, a to v údajích za běžné účetní období v celkové výši 4,7 mil. Kč. Tyto nesprávnosti nebyly významné. </w:t>
      </w:r>
    </w:p>
    <w:p w14:paraId="18793FEF" w14:textId="77777777" w:rsidR="006616E3" w:rsidRPr="00E23815" w:rsidRDefault="006616E3" w:rsidP="006616E3">
      <w:pPr>
        <w:jc w:val="both"/>
        <w:rPr>
          <w:rFonts w:asciiTheme="minorHAnsi" w:hAnsiTheme="minorHAnsi" w:cstheme="minorHAnsi"/>
          <w:spacing w:val="-2"/>
        </w:rPr>
      </w:pPr>
      <w:r w:rsidRPr="00E23815">
        <w:rPr>
          <w:rFonts w:asciiTheme="minorHAnsi" w:hAnsiTheme="minorHAnsi" w:cstheme="minorHAnsi"/>
          <w:spacing w:val="-2"/>
        </w:rPr>
        <w:t>Nesprávnosti vznikly zejména tím, že MŽP:</w:t>
      </w:r>
    </w:p>
    <w:p w14:paraId="7E967442" w14:textId="423C9288" w:rsidR="006B197B" w:rsidRPr="00E23815" w:rsidRDefault="004D0A6A" w:rsidP="000832AF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 xml:space="preserve">v roce 2021 </w:t>
      </w:r>
      <w:r w:rsidR="00403683" w:rsidRPr="00E23815">
        <w:t>zaúčtovalo náklady příštích období v nesprávné výši</w:t>
      </w:r>
      <w:r w:rsidR="00152790">
        <w:rPr>
          <w:rStyle w:val="Znakapoznpodarou"/>
        </w:rPr>
        <w:footnoteReference w:id="24"/>
      </w:r>
      <w:r w:rsidR="00403683" w:rsidRPr="00E23815">
        <w:t xml:space="preserve"> a v roce 2022 tak po jejich přeúčtování na náklady běžného období nadhodnotilo zůstatek účtu 571 </w:t>
      </w:r>
      <w:r w:rsidR="00403683" w:rsidRPr="00E23815">
        <w:rPr>
          <w:rFonts w:asciiTheme="minorHAnsi" w:hAnsiTheme="minorHAnsi" w:cstheme="minorHAnsi"/>
        </w:rPr>
        <w:t>– </w:t>
      </w:r>
      <w:r w:rsidR="00403683" w:rsidRPr="00E23815">
        <w:rPr>
          <w:rFonts w:asciiTheme="minorHAnsi" w:hAnsiTheme="minorHAnsi" w:cstheme="minorHAnsi"/>
          <w:i/>
        </w:rPr>
        <w:t>Náklady vybraných ústředních vládních institucí na transfery</w:t>
      </w:r>
      <w:r w:rsidR="00403683" w:rsidRPr="00E23815">
        <w:rPr>
          <w:rFonts w:asciiTheme="minorHAnsi" w:hAnsiTheme="minorHAnsi" w:cstheme="minorHAnsi"/>
        </w:rPr>
        <w:t xml:space="preserve"> o 3,8 mil. Kč</w:t>
      </w:r>
      <w:r w:rsidR="00655AAA">
        <w:rPr>
          <w:rFonts w:asciiTheme="minorHAnsi" w:hAnsiTheme="minorHAnsi" w:cstheme="minorHAnsi"/>
        </w:rPr>
        <w:t>;</w:t>
      </w:r>
    </w:p>
    <w:p w14:paraId="6CF71045" w14:textId="020CACE7" w:rsidR="00DA71B4" w:rsidRPr="00E23815" w:rsidRDefault="00D20842" w:rsidP="000832AF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 xml:space="preserve">v roce 2022 </w:t>
      </w:r>
      <w:r w:rsidR="00872D5A" w:rsidRPr="00E23815">
        <w:t xml:space="preserve">nevykázalo </w:t>
      </w:r>
      <w:r w:rsidRPr="00E23815">
        <w:t>závazky z titulu obdržených vratek dotací</w:t>
      </w:r>
      <w:r w:rsidR="00655AAA">
        <w:rPr>
          <w:rStyle w:val="Znakapoznpodarou"/>
        </w:rPr>
        <w:footnoteReference w:id="25"/>
      </w:r>
      <w:r w:rsidRPr="00E23815">
        <w:t xml:space="preserve"> </w:t>
      </w:r>
      <w:r w:rsidR="00655AAA">
        <w:t>(tyto vratky</w:t>
      </w:r>
      <w:r w:rsidRPr="00E23815">
        <w:t xml:space="preserve"> zaslalo platebnímu a certifikačnímu </w:t>
      </w:r>
      <w:r w:rsidR="00ED604B" w:rsidRPr="00E23815">
        <w:t>orgánu až v roce 2023</w:t>
      </w:r>
      <w:r w:rsidR="00655AAA">
        <w:t>)</w:t>
      </w:r>
      <w:r w:rsidR="00ED604B" w:rsidRPr="00E23815">
        <w:t>, čímž v ÚZ podhodnotilo zůstatek účtu 345</w:t>
      </w:r>
      <w:r w:rsidR="00ED604B" w:rsidRPr="00E23815">
        <w:rPr>
          <w:rFonts w:asciiTheme="minorHAnsi" w:hAnsiTheme="minorHAnsi" w:cstheme="minorHAnsi"/>
        </w:rPr>
        <w:t xml:space="preserve"> – </w:t>
      </w:r>
      <w:r w:rsidR="00ED604B" w:rsidRPr="00E23815">
        <w:rPr>
          <w:rFonts w:asciiTheme="minorHAnsi" w:hAnsiTheme="minorHAnsi" w:cstheme="minorHAnsi"/>
          <w:i/>
        </w:rPr>
        <w:t>Závazky k osobám mimo vybrané vládní instituce</w:t>
      </w:r>
      <w:r w:rsidR="00ED604B" w:rsidRPr="00E23815">
        <w:rPr>
          <w:rFonts w:asciiTheme="minorHAnsi" w:hAnsiTheme="minorHAnsi" w:cstheme="minorHAnsi"/>
        </w:rPr>
        <w:t xml:space="preserve"> a </w:t>
      </w:r>
      <w:r w:rsidR="00ED604B" w:rsidRPr="00E23815">
        <w:t xml:space="preserve">nadhodnotilo zůstatek účtu </w:t>
      </w:r>
      <w:r w:rsidR="00ED604B" w:rsidRPr="00E23815">
        <w:rPr>
          <w:rFonts w:asciiTheme="minorHAnsi" w:hAnsiTheme="minorHAnsi" w:cstheme="minorHAnsi"/>
        </w:rPr>
        <w:t>675</w:t>
      </w:r>
      <w:r w:rsidR="0082296E">
        <w:rPr>
          <w:rFonts w:asciiTheme="minorHAnsi" w:hAnsiTheme="minorHAnsi" w:cstheme="minorHAnsi"/>
        </w:rPr>
        <w:t> </w:t>
      </w:r>
      <w:r w:rsidR="00ED604B" w:rsidRPr="00E23815">
        <w:rPr>
          <w:rFonts w:asciiTheme="minorHAnsi" w:hAnsiTheme="minorHAnsi" w:cstheme="minorHAnsi"/>
        </w:rPr>
        <w:t>–</w:t>
      </w:r>
      <w:r w:rsidR="0082296E">
        <w:rPr>
          <w:rFonts w:asciiTheme="minorHAnsi" w:hAnsiTheme="minorHAnsi" w:cstheme="minorHAnsi"/>
        </w:rPr>
        <w:t> </w:t>
      </w:r>
      <w:r w:rsidR="00ED604B" w:rsidRPr="00E23815">
        <w:rPr>
          <w:rFonts w:asciiTheme="minorHAnsi" w:hAnsiTheme="minorHAnsi" w:cstheme="minorHAnsi"/>
          <w:i/>
        </w:rPr>
        <w:t>Výnosy vybraných ústředních vládních institucí z</w:t>
      </w:r>
      <w:r w:rsidR="0082296E">
        <w:rPr>
          <w:rFonts w:asciiTheme="minorHAnsi" w:hAnsiTheme="minorHAnsi" w:cstheme="minorHAnsi"/>
          <w:i/>
        </w:rPr>
        <w:t xml:space="preserve"> </w:t>
      </w:r>
      <w:r w:rsidR="00ED604B" w:rsidRPr="00E23815">
        <w:rPr>
          <w:rFonts w:asciiTheme="minorHAnsi" w:hAnsiTheme="minorHAnsi" w:cstheme="minorHAnsi"/>
          <w:i/>
        </w:rPr>
        <w:t>předfinancování transferů</w:t>
      </w:r>
      <w:r w:rsidR="00ED604B" w:rsidRPr="00E23815">
        <w:rPr>
          <w:rFonts w:asciiTheme="minorHAnsi" w:hAnsiTheme="minorHAnsi" w:cstheme="minorHAnsi"/>
        </w:rPr>
        <w:t xml:space="preserve"> o</w:t>
      </w:r>
      <w:r w:rsidR="0082296E">
        <w:rPr>
          <w:rFonts w:asciiTheme="minorHAnsi" w:hAnsiTheme="minorHAnsi" w:cstheme="minorHAnsi"/>
        </w:rPr>
        <w:t> </w:t>
      </w:r>
      <w:r w:rsidR="00ED604B" w:rsidRPr="00E23815">
        <w:rPr>
          <w:rFonts w:asciiTheme="minorHAnsi" w:hAnsiTheme="minorHAnsi" w:cstheme="minorHAnsi"/>
        </w:rPr>
        <w:t>0,3</w:t>
      </w:r>
      <w:r w:rsidR="0082296E">
        <w:rPr>
          <w:rFonts w:asciiTheme="minorHAnsi" w:hAnsiTheme="minorHAnsi" w:cstheme="minorHAnsi"/>
        </w:rPr>
        <w:t> </w:t>
      </w:r>
      <w:r w:rsidR="00ED604B" w:rsidRPr="00E23815">
        <w:rPr>
          <w:rFonts w:asciiTheme="minorHAnsi" w:hAnsiTheme="minorHAnsi" w:cstheme="minorHAnsi"/>
        </w:rPr>
        <w:t>mil.</w:t>
      </w:r>
      <w:r w:rsidR="0082296E">
        <w:rPr>
          <w:rFonts w:asciiTheme="minorHAnsi" w:hAnsiTheme="minorHAnsi" w:cstheme="minorHAnsi"/>
        </w:rPr>
        <w:t> </w:t>
      </w:r>
      <w:r w:rsidR="00ED604B" w:rsidRPr="00E23815">
        <w:rPr>
          <w:rFonts w:asciiTheme="minorHAnsi" w:hAnsiTheme="minorHAnsi" w:cstheme="minorHAnsi"/>
        </w:rPr>
        <w:t>Kč</w:t>
      </w:r>
      <w:r w:rsidR="00655AAA">
        <w:rPr>
          <w:rFonts w:asciiTheme="minorHAnsi" w:hAnsiTheme="minorHAnsi" w:cstheme="minorHAnsi"/>
        </w:rPr>
        <w:t>;</w:t>
      </w:r>
    </w:p>
    <w:p w14:paraId="5D38107D" w14:textId="77777777" w:rsidR="00403683" w:rsidRPr="00E23815" w:rsidRDefault="008255EE" w:rsidP="000832AF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>vykázalo na</w:t>
      </w:r>
      <w:r w:rsidR="004F7B55" w:rsidRPr="00E23815">
        <w:t xml:space="preserve"> podrozvahovém</w:t>
      </w:r>
      <w:r w:rsidRPr="00E23815">
        <w:t xml:space="preserve"> účtu </w:t>
      </w:r>
      <w:r w:rsidRPr="00E23815">
        <w:rPr>
          <w:rFonts w:asciiTheme="minorHAnsi" w:hAnsiTheme="minorHAnsi" w:cstheme="minorHAnsi"/>
          <w:color w:val="000000"/>
        </w:rPr>
        <w:t xml:space="preserve">948 – </w:t>
      </w:r>
      <w:r w:rsidRPr="00E23815">
        <w:rPr>
          <w:rFonts w:asciiTheme="minorHAnsi" w:hAnsiTheme="minorHAnsi" w:cstheme="minorHAnsi"/>
          <w:i/>
          <w:color w:val="000000"/>
        </w:rPr>
        <w:t>Dlouhodobé podmíněné pohledávky ze soudních sporů, správních řízení a jiných řízení</w:t>
      </w:r>
      <w:r w:rsidRPr="00E23815">
        <w:rPr>
          <w:rFonts w:asciiTheme="minorHAnsi" w:hAnsiTheme="minorHAnsi" w:cstheme="minorHAnsi"/>
          <w:color w:val="000000"/>
        </w:rPr>
        <w:t xml:space="preserve"> podmíněnou pohledávku ve výši 0,5 mil. Kč, kterou </w:t>
      </w:r>
      <w:r w:rsidR="00D8390B" w:rsidRPr="00E23815">
        <w:rPr>
          <w:rFonts w:asciiTheme="minorHAnsi" w:hAnsiTheme="minorHAnsi" w:cstheme="minorHAnsi"/>
          <w:color w:val="000000"/>
        </w:rPr>
        <w:t xml:space="preserve">však </w:t>
      </w:r>
      <w:r w:rsidRPr="00E23815">
        <w:rPr>
          <w:rFonts w:asciiTheme="minorHAnsi" w:hAnsiTheme="minorHAnsi" w:cstheme="minorHAnsi"/>
          <w:color w:val="000000"/>
        </w:rPr>
        <w:t>současně vykázalo v rozvaze</w:t>
      </w:r>
      <w:r w:rsidR="00152790">
        <w:rPr>
          <w:rStyle w:val="Znakapoznpodarou"/>
          <w:rFonts w:asciiTheme="minorHAnsi" w:hAnsiTheme="minorHAnsi" w:cstheme="minorHAnsi"/>
          <w:color w:val="000000"/>
        </w:rPr>
        <w:footnoteReference w:id="26"/>
      </w:r>
      <w:r w:rsidRPr="00E23815">
        <w:rPr>
          <w:rFonts w:asciiTheme="minorHAnsi" w:hAnsiTheme="minorHAnsi" w:cstheme="minorHAnsi"/>
          <w:color w:val="000000"/>
        </w:rPr>
        <w:t xml:space="preserve"> </w:t>
      </w:r>
      <w:r w:rsidR="00264E89" w:rsidRPr="00E23815">
        <w:rPr>
          <w:rFonts w:asciiTheme="minorHAnsi" w:hAnsiTheme="minorHAnsi" w:cstheme="minorHAnsi"/>
          <w:color w:val="000000"/>
        </w:rPr>
        <w:t xml:space="preserve">jako </w:t>
      </w:r>
      <w:r w:rsidR="001B393B" w:rsidRPr="00E23815">
        <w:rPr>
          <w:rFonts w:asciiTheme="minorHAnsi" w:hAnsiTheme="minorHAnsi" w:cstheme="minorHAnsi"/>
          <w:color w:val="000000"/>
        </w:rPr>
        <w:t xml:space="preserve">krátkodobou </w:t>
      </w:r>
      <w:r w:rsidR="00264E89" w:rsidRPr="00E23815">
        <w:rPr>
          <w:rFonts w:asciiTheme="minorHAnsi" w:hAnsiTheme="minorHAnsi" w:cstheme="minorHAnsi"/>
          <w:color w:val="000000"/>
        </w:rPr>
        <w:t xml:space="preserve">pohledávku </w:t>
      </w:r>
      <w:r w:rsidRPr="00E23815">
        <w:rPr>
          <w:rFonts w:asciiTheme="minorHAnsi" w:hAnsiTheme="minorHAnsi" w:cstheme="minorHAnsi"/>
          <w:color w:val="000000"/>
        </w:rPr>
        <w:t xml:space="preserve">na účtu 377 – </w:t>
      </w:r>
      <w:r w:rsidRPr="00E23815">
        <w:rPr>
          <w:rFonts w:asciiTheme="minorHAnsi" w:hAnsiTheme="minorHAnsi" w:cstheme="minorHAnsi"/>
          <w:i/>
          <w:color w:val="000000"/>
        </w:rPr>
        <w:t>Ostatní krátkodobé pohledávky</w:t>
      </w:r>
      <w:r w:rsidR="006641FC">
        <w:rPr>
          <w:rFonts w:asciiTheme="minorHAnsi" w:hAnsiTheme="minorHAnsi" w:cstheme="minorHAnsi"/>
          <w:color w:val="000000"/>
        </w:rPr>
        <w:t>.</w:t>
      </w:r>
    </w:p>
    <w:p w14:paraId="4ADD7B21" w14:textId="77777777" w:rsidR="005C4D4F" w:rsidRPr="00E23815" w:rsidRDefault="005C4D4F" w:rsidP="009D156E">
      <w:pPr>
        <w:pStyle w:val="Odstavecseseznamem"/>
        <w:ind w:left="1440" w:hanging="360"/>
        <w:contextualSpacing w:val="0"/>
        <w:jc w:val="both"/>
      </w:pPr>
    </w:p>
    <w:p w14:paraId="2DC97429" w14:textId="77777777" w:rsidR="0090755D" w:rsidRPr="00E23815" w:rsidRDefault="003F65AE" w:rsidP="008226C5">
      <w:pPr>
        <w:pStyle w:val="Styl2"/>
        <w:numPr>
          <w:ilvl w:val="1"/>
          <w:numId w:val="7"/>
        </w:numPr>
        <w:ind w:left="431" w:hanging="431"/>
      </w:pPr>
      <w:r w:rsidRPr="00E23815">
        <w:t>S</w:t>
      </w:r>
      <w:r w:rsidR="0090755D" w:rsidRPr="00E23815">
        <w:t>polehlivost údajů ÚZ</w:t>
      </w:r>
    </w:p>
    <w:p w14:paraId="247A1433" w14:textId="20CD88C9" w:rsidR="00CB5F84" w:rsidRPr="00E23815" w:rsidRDefault="00CB5F84" w:rsidP="000832AF">
      <w:pPr>
        <w:spacing w:before="120"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Údaje ÚZ byly vykázány v</w:t>
      </w:r>
      <w:r w:rsidR="0019683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rozvaze, </w:t>
      </w:r>
      <w:r w:rsidR="007A2F65" w:rsidRPr="00E23815">
        <w:rPr>
          <w:rFonts w:asciiTheme="minorHAnsi" w:hAnsiTheme="minorHAnsi" w:cstheme="minorHAnsi"/>
        </w:rPr>
        <w:t xml:space="preserve">ve </w:t>
      </w:r>
      <w:r w:rsidRPr="00E23815">
        <w:rPr>
          <w:rFonts w:asciiTheme="minorHAnsi" w:hAnsiTheme="minorHAnsi" w:cstheme="minorHAnsi"/>
        </w:rPr>
        <w:t>výkazu zisku a ztráty,</w:t>
      </w:r>
      <w:r w:rsidR="00583C50" w:rsidRPr="00E23815">
        <w:rPr>
          <w:rFonts w:asciiTheme="minorHAnsi" w:hAnsiTheme="minorHAnsi" w:cstheme="minorHAnsi"/>
        </w:rPr>
        <w:t xml:space="preserve"> v</w:t>
      </w:r>
      <w:r w:rsidRPr="00E23815">
        <w:rPr>
          <w:rFonts w:asciiTheme="minorHAnsi" w:hAnsiTheme="minorHAnsi" w:cstheme="minorHAnsi"/>
        </w:rPr>
        <w:t xml:space="preserve"> přehledu o peněžních tocích, </w:t>
      </w:r>
      <w:r w:rsidR="007A2F65" w:rsidRPr="00E23815">
        <w:rPr>
          <w:rFonts w:asciiTheme="minorHAnsi" w:hAnsiTheme="minorHAnsi" w:cstheme="minorHAnsi"/>
        </w:rPr>
        <w:t>v</w:t>
      </w:r>
      <w:r w:rsidR="00A43D11" w:rsidRPr="00E23815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přehledu o změnách vlastního kapitálu a v příloze.</w:t>
      </w:r>
    </w:p>
    <w:p w14:paraId="7A65B10E" w14:textId="77777777" w:rsidR="001A391B" w:rsidRPr="00E23815" w:rsidRDefault="001A391B" w:rsidP="000832AF">
      <w:pPr>
        <w:spacing w:before="120" w:after="0"/>
        <w:jc w:val="both"/>
        <w:rPr>
          <w:rFonts w:cs="Calibri"/>
        </w:rPr>
      </w:pPr>
      <w:r w:rsidRPr="00E23815">
        <w:rPr>
          <w:rFonts w:cs="Calibri"/>
        </w:rPr>
        <w:lastRenderedPageBreak/>
        <w:t>Pro vyhodnocení spolehlivosti údajů ÚZ stanov</w:t>
      </w:r>
      <w:r w:rsidR="00437427" w:rsidRPr="00E23815">
        <w:rPr>
          <w:rFonts w:cs="Calibri"/>
        </w:rPr>
        <w:t>il</w:t>
      </w:r>
      <w:r w:rsidR="00EE2163" w:rsidRPr="00E23815">
        <w:rPr>
          <w:rFonts w:cs="Calibri"/>
        </w:rPr>
        <w:t xml:space="preserve"> </w:t>
      </w:r>
      <w:r w:rsidR="00274A10" w:rsidRPr="00E23815">
        <w:rPr>
          <w:rFonts w:cs="Calibri"/>
        </w:rPr>
        <w:t>Nejvyšší kontrolní úřad</w:t>
      </w:r>
      <w:r w:rsidRPr="00E23815">
        <w:rPr>
          <w:rFonts w:cs="Calibri"/>
        </w:rPr>
        <w:t xml:space="preserve"> hladin</w:t>
      </w:r>
      <w:r w:rsidR="00437427" w:rsidRPr="00E23815">
        <w:rPr>
          <w:rFonts w:cs="Calibri"/>
        </w:rPr>
        <w:t>u</w:t>
      </w:r>
      <w:r w:rsidRPr="00E23815">
        <w:rPr>
          <w:rFonts w:cs="Calibri"/>
        </w:rPr>
        <w:t xml:space="preserve"> významnosti</w:t>
      </w:r>
      <w:r w:rsidR="00904246" w:rsidRPr="00E23815">
        <w:rPr>
          <w:rStyle w:val="Znakapoznpodarou"/>
          <w:rFonts w:cs="Calibri"/>
        </w:rPr>
        <w:footnoteReference w:id="27"/>
      </w:r>
      <w:r w:rsidRPr="00E23815">
        <w:rPr>
          <w:rFonts w:cs="Calibri"/>
        </w:rPr>
        <w:t xml:space="preserve"> ve výši </w:t>
      </w:r>
      <w:r w:rsidR="000832AF" w:rsidRPr="00E23815">
        <w:rPr>
          <w:rFonts w:cs="Calibri"/>
        </w:rPr>
        <w:t>1,35</w:t>
      </w:r>
      <w:r w:rsidRPr="00E23815">
        <w:rPr>
          <w:rFonts w:cs="Calibri"/>
        </w:rPr>
        <w:t xml:space="preserve"> ml</w:t>
      </w:r>
      <w:r w:rsidR="000832AF" w:rsidRPr="00E23815">
        <w:rPr>
          <w:rFonts w:cs="Calibri"/>
        </w:rPr>
        <w:t>d</w:t>
      </w:r>
      <w:r w:rsidRPr="00E23815">
        <w:rPr>
          <w:rFonts w:cs="Calibri"/>
        </w:rPr>
        <w:t>. Kč</w:t>
      </w:r>
      <w:r w:rsidR="00904246" w:rsidRPr="00E23815">
        <w:rPr>
          <w:rStyle w:val="Znakapoznpodarou"/>
          <w:rFonts w:cs="Calibri"/>
        </w:rPr>
        <w:footnoteReference w:id="28"/>
      </w:r>
      <w:r w:rsidRPr="00E23815">
        <w:rPr>
          <w:rFonts w:cs="Calibri"/>
        </w:rPr>
        <w:t>.</w:t>
      </w:r>
    </w:p>
    <w:p w14:paraId="2A465FB2" w14:textId="3B51BA10" w:rsidR="000832AF" w:rsidRPr="00E23815" w:rsidRDefault="000832AF" w:rsidP="00AF65F6">
      <w:pPr>
        <w:spacing w:before="120" w:after="0"/>
        <w:jc w:val="both"/>
        <w:rPr>
          <w:rFonts w:asciiTheme="minorHAnsi" w:hAnsiTheme="minorHAnsi" w:cstheme="minorHAnsi"/>
          <w:spacing w:val="-2"/>
        </w:rPr>
      </w:pPr>
      <w:r w:rsidRPr="00E23815">
        <w:rPr>
          <w:rFonts w:asciiTheme="minorHAnsi" w:hAnsiTheme="minorHAnsi" w:cstheme="minorHAnsi"/>
          <w:spacing w:val="-2"/>
        </w:rPr>
        <w:t>V účetní závěrce</w:t>
      </w:r>
      <w:r w:rsidRPr="00E23815">
        <w:rPr>
          <w:rFonts w:eastAsia="Calibri" w:cs="Calibri"/>
        </w:rPr>
        <w:t xml:space="preserve"> sestavené po provedení oprav (uvedených v části IV.1.1) kontrola zjistila</w:t>
      </w:r>
      <w:r w:rsidRPr="00E23815">
        <w:rPr>
          <w:rFonts w:asciiTheme="minorHAnsi" w:hAnsiTheme="minorHAnsi" w:cstheme="minorHAnsi"/>
          <w:spacing w:val="-2"/>
        </w:rPr>
        <w:t>, že MŽP nevykázalo některé informace v ÚZ v souladu s právními předpisy upravujícími vedení účetnictví (viz část IV.1.2). Jednalo se o údaje za běžné účetní období v celkové výši 4,7 mil. Kč v rozsahu uvedeném v následující tabulce.</w:t>
      </w:r>
    </w:p>
    <w:p w14:paraId="68D20202" w14:textId="13753080" w:rsidR="000832AF" w:rsidRPr="00E23815" w:rsidRDefault="000832AF" w:rsidP="000832AF">
      <w:pPr>
        <w:pStyle w:val="Titulek"/>
        <w:tabs>
          <w:tab w:val="right" w:pos="9070"/>
        </w:tabs>
        <w:spacing w:after="40"/>
      </w:pPr>
      <w:r w:rsidRPr="00E23815">
        <w:t xml:space="preserve">Tabulka č. </w:t>
      </w:r>
      <w:fldSimple w:instr=" SEQ Tabulka_č. \* ARABIC ">
        <w:r w:rsidR="00E87723">
          <w:rPr>
            <w:noProof/>
          </w:rPr>
          <w:t>4</w:t>
        </w:r>
      </w:fldSimple>
      <w:r w:rsidRPr="00E23815">
        <w:t xml:space="preserve">: Přehled vyčíslených nesprávností zjištěných v údajích ÚZ </w:t>
      </w:r>
      <w:r w:rsidRPr="00E23815">
        <w:tab/>
        <w:t>(v mil. Kč)</w:t>
      </w:r>
    </w:p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1842"/>
      </w:tblGrid>
      <w:tr w:rsidR="000832AF" w:rsidRPr="00E23815" w14:paraId="276CD71E" w14:textId="77777777" w:rsidTr="00467BD6">
        <w:trPr>
          <w:trHeight w:val="255"/>
          <w:tblHeader/>
          <w:jc w:val="center"/>
        </w:trPr>
        <w:tc>
          <w:tcPr>
            <w:tcW w:w="3823" w:type="dxa"/>
            <w:vMerge w:val="restar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3F877" w14:textId="77777777" w:rsidR="000832AF" w:rsidRPr="00E23815" w:rsidRDefault="000832AF" w:rsidP="00467BD6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výkaz</w:t>
            </w:r>
          </w:p>
        </w:tc>
        <w:tc>
          <w:tcPr>
            <w:tcW w:w="3402" w:type="dxa"/>
            <w:gridSpan w:val="2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FE318" w14:textId="77777777" w:rsidR="000832AF" w:rsidRPr="00E23815" w:rsidRDefault="000832AF" w:rsidP="00467BD6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Hodnotová chyba</w:t>
            </w:r>
          </w:p>
        </w:tc>
        <w:tc>
          <w:tcPr>
            <w:tcW w:w="1842" w:type="dxa"/>
            <w:vMerge w:val="restart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7DED9" w14:textId="77777777" w:rsidR="000832AF" w:rsidRPr="00E23815" w:rsidRDefault="000832AF" w:rsidP="00467BD6">
            <w:pPr>
              <w:keepNext/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Celková započtená nesprávnost</w:t>
            </w:r>
          </w:p>
        </w:tc>
      </w:tr>
      <w:tr w:rsidR="000832AF" w:rsidRPr="00E23815" w14:paraId="52C0B11F" w14:textId="77777777" w:rsidTr="00467BD6">
        <w:trPr>
          <w:trHeight w:val="255"/>
          <w:tblHeader/>
          <w:jc w:val="center"/>
        </w:trPr>
        <w:tc>
          <w:tcPr>
            <w:tcW w:w="3823" w:type="dxa"/>
            <w:vMerge/>
            <w:vAlign w:val="center"/>
            <w:hideMark/>
          </w:tcPr>
          <w:p w14:paraId="15855ACA" w14:textId="77777777" w:rsidR="000832AF" w:rsidRPr="00E23815" w:rsidRDefault="000832AF" w:rsidP="00467BD6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8B666" w14:textId="77777777" w:rsidR="000832AF" w:rsidRPr="00E23815" w:rsidRDefault="000832AF" w:rsidP="00467BD6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Nadhodnocení</w:t>
            </w:r>
          </w:p>
        </w:tc>
        <w:tc>
          <w:tcPr>
            <w:tcW w:w="1701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A37AD" w14:textId="77777777" w:rsidR="000832AF" w:rsidRPr="00E23815" w:rsidRDefault="000832AF" w:rsidP="00467BD6">
            <w:pPr>
              <w:spacing w:before="20" w:after="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Podhodnocení</w:t>
            </w:r>
          </w:p>
        </w:tc>
        <w:tc>
          <w:tcPr>
            <w:tcW w:w="1842" w:type="dxa"/>
            <w:vMerge/>
            <w:vAlign w:val="center"/>
            <w:hideMark/>
          </w:tcPr>
          <w:p w14:paraId="7AB6D2C4" w14:textId="77777777" w:rsidR="000832AF" w:rsidRPr="00E23815" w:rsidRDefault="000832AF" w:rsidP="00467BD6">
            <w:pPr>
              <w:spacing w:before="20" w:after="20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832AF" w:rsidRPr="00E23815" w14:paraId="3137C463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DF48" w14:textId="77777777" w:rsidR="000832AF" w:rsidRPr="00E23815" w:rsidRDefault="000832AF" w:rsidP="00467BD6">
            <w:pPr>
              <w:spacing w:before="20" w:after="20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b/>
                <w:sz w:val="20"/>
                <w:szCs w:val="20"/>
              </w:rPr>
              <w:t>Celková nesprávnost vykázaných hodnot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DB202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2E34D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6BC05" w14:textId="77777777" w:rsidR="000832AF" w:rsidRPr="00E23815" w:rsidRDefault="000832AF" w:rsidP="00467BD6">
            <w:pPr>
              <w:spacing w:before="20" w:after="20"/>
              <w:ind w:right="603"/>
              <w:jc w:val="right"/>
              <w:rPr>
                <w:rFonts w:cs="Calibri"/>
                <w:b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b/>
                <w:sz w:val="20"/>
                <w:szCs w:val="20"/>
              </w:rPr>
              <w:t>4,7</w:t>
            </w:r>
          </w:p>
        </w:tc>
      </w:tr>
      <w:tr w:rsidR="000832AF" w:rsidRPr="00E23815" w14:paraId="2996E714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5E920" w14:textId="77777777" w:rsidR="000832AF" w:rsidRPr="00E23815" w:rsidRDefault="000832AF" w:rsidP="00467BD6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D3E54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CDDDA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0,3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7DD06" w14:textId="77777777" w:rsidR="000832AF" w:rsidRPr="00E23815" w:rsidRDefault="000832AF" w:rsidP="00467BD6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</w:tr>
      <w:tr w:rsidR="000832AF" w:rsidRPr="00E23815" w14:paraId="1240962B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BB113" w14:textId="77777777" w:rsidR="000832AF" w:rsidRPr="00E23815" w:rsidRDefault="000832AF" w:rsidP="00467BD6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4F255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164D7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694A0" w14:textId="77777777" w:rsidR="000832AF" w:rsidRPr="00E23815" w:rsidRDefault="000832AF" w:rsidP="00467BD6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2,1</w:t>
            </w:r>
          </w:p>
        </w:tc>
      </w:tr>
      <w:tr w:rsidR="000832AF" w:rsidRPr="00E23815" w14:paraId="6A0DC2EA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DB381" w14:textId="77777777" w:rsidR="000832AF" w:rsidRPr="00E23815" w:rsidRDefault="000832AF" w:rsidP="00467BD6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C4B6F" w14:textId="77777777" w:rsidR="000832AF" w:rsidRPr="00E23815" w:rsidRDefault="000832AF" w:rsidP="00467BD6">
            <w:pPr>
              <w:spacing w:before="20" w:after="20"/>
              <w:ind w:right="351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6A68F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08F7F" w14:textId="77777777" w:rsidR="000832AF" w:rsidRPr="00E23815" w:rsidRDefault="000832AF" w:rsidP="00467BD6">
            <w:pPr>
              <w:spacing w:before="20" w:after="20"/>
              <w:ind w:right="603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0,5</w:t>
            </w:r>
          </w:p>
        </w:tc>
      </w:tr>
      <w:tr w:rsidR="000832AF" w:rsidRPr="00E23815" w14:paraId="4838BBFF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B8BA9" w14:textId="77777777" w:rsidR="000832AF" w:rsidRPr="00E23815" w:rsidRDefault="000832AF" w:rsidP="00467BD6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změnách vlastního kapitálu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9A783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C339D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504E0" w14:textId="77777777" w:rsidR="000832AF" w:rsidRPr="00E23815" w:rsidRDefault="000832AF" w:rsidP="00AF65F6">
            <w:pPr>
              <w:spacing w:before="20" w:after="20"/>
              <w:ind w:right="75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0832AF" w:rsidRPr="00E23815" w14:paraId="409228E5" w14:textId="77777777" w:rsidTr="00467BD6">
        <w:trPr>
          <w:trHeight w:val="255"/>
          <w:jc w:val="center"/>
        </w:trPr>
        <w:tc>
          <w:tcPr>
            <w:tcW w:w="38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10F70" w14:textId="77777777" w:rsidR="000832AF" w:rsidRPr="00E23815" w:rsidRDefault="000832AF" w:rsidP="00467BD6">
            <w:pPr>
              <w:spacing w:before="20" w:after="2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A0172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65060" w14:textId="77777777" w:rsidR="000832AF" w:rsidRPr="00E23815" w:rsidRDefault="000832AF" w:rsidP="00AF65F6">
            <w:pPr>
              <w:spacing w:before="20" w:after="20"/>
              <w:ind w:right="499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6442B" w14:textId="77777777" w:rsidR="000832AF" w:rsidRPr="00E23815" w:rsidRDefault="000832AF" w:rsidP="00AF65F6">
            <w:pPr>
              <w:spacing w:before="20" w:after="20"/>
              <w:ind w:right="754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4237BC06" w14:textId="495BCEBB" w:rsidR="000832AF" w:rsidRPr="00E23815" w:rsidRDefault="000832AF" w:rsidP="00AF65F6">
      <w:pPr>
        <w:spacing w:before="40" w:after="0"/>
        <w:ind w:left="567" w:hanging="567"/>
        <w:rPr>
          <w:rFonts w:asciiTheme="minorHAnsi" w:eastAsiaTheme="minorHAnsi" w:hAnsiTheme="minorHAnsi" w:cs="Calibri"/>
          <w:bCs/>
          <w:sz w:val="20"/>
          <w:szCs w:val="20"/>
        </w:rPr>
      </w:pPr>
      <w:r w:rsidRPr="00E2381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E2381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="001C7145">
        <w:rPr>
          <w:rFonts w:asciiTheme="minorHAnsi" w:eastAsiaTheme="minorHAnsi" w:hAnsiTheme="minorHAnsi" w:cs="Calibri"/>
          <w:bCs/>
          <w:sz w:val="20"/>
          <w:szCs w:val="20"/>
        </w:rPr>
        <w:tab/>
      </w:r>
      <w:r w:rsidRPr="00E23815">
        <w:rPr>
          <w:rFonts w:asciiTheme="minorHAnsi" w:eastAsiaTheme="minorHAnsi" w:hAnsiTheme="minorHAnsi" w:cs="Calibri"/>
          <w:bCs/>
          <w:sz w:val="20"/>
          <w:szCs w:val="20"/>
        </w:rPr>
        <w:t>výpočet provedl NKÚ na základě dat získaných kontrolou.</w:t>
      </w:r>
    </w:p>
    <w:p w14:paraId="6F34FC0E" w14:textId="4F004503" w:rsidR="000832AF" w:rsidRPr="00E23815" w:rsidRDefault="000832AF" w:rsidP="000832AF">
      <w:pPr>
        <w:spacing w:after="0"/>
        <w:ind w:left="567" w:hanging="567"/>
        <w:jc w:val="both"/>
        <w:rPr>
          <w:rFonts w:asciiTheme="minorHAnsi" w:eastAsiaTheme="minorHAnsi" w:hAnsiTheme="minorHAnsi" w:cs="Calibri"/>
          <w:bCs/>
          <w:sz w:val="20"/>
          <w:szCs w:val="20"/>
        </w:rPr>
      </w:pPr>
      <w:r w:rsidRPr="00E23815">
        <w:rPr>
          <w:rFonts w:asciiTheme="minorHAnsi" w:eastAsiaTheme="minorHAnsi" w:hAnsiTheme="minorHAnsi" w:cs="Calibri"/>
          <w:b/>
          <w:sz w:val="20"/>
          <w:szCs w:val="20"/>
        </w:rPr>
        <w:t xml:space="preserve">Pozn.: </w:t>
      </w:r>
      <w:r w:rsidRPr="00E23815">
        <w:rPr>
          <w:rFonts w:asciiTheme="minorHAnsi" w:eastAsiaTheme="minorHAnsi" w:hAnsiTheme="minorHAnsi" w:cs="Calibri"/>
          <w:b/>
          <w:sz w:val="20"/>
          <w:szCs w:val="20"/>
        </w:rPr>
        <w:tab/>
      </w:r>
      <w:r w:rsidRPr="00E23815">
        <w:rPr>
          <w:rFonts w:asciiTheme="minorHAnsi" w:eastAsiaTheme="minorHAnsi" w:hAnsiTheme="minorHAnsi" w:cs="Calibri"/>
          <w:bCs/>
          <w:sz w:val="20"/>
          <w:szCs w:val="20"/>
        </w:rPr>
        <w:t>V případě souvztažných pochybení v rozvaze a výkazu zisku a ztráty je pro účely vyčíslení celkových nesprávností v ÚZ započtena z</w:t>
      </w:r>
      <w:r w:rsidR="00196835">
        <w:rPr>
          <w:rFonts w:asciiTheme="minorHAnsi" w:eastAsiaTheme="minorHAnsi" w:hAnsiTheme="minorHAnsi" w:cs="Calibri"/>
          <w:bCs/>
          <w:sz w:val="20"/>
          <w:szCs w:val="20"/>
        </w:rPr>
        <w:t xml:space="preserve"> </w:t>
      </w:r>
      <w:r w:rsidRPr="00E23815">
        <w:rPr>
          <w:rFonts w:asciiTheme="minorHAnsi" w:eastAsiaTheme="minorHAnsi" w:hAnsiTheme="minorHAnsi" w:cs="Calibri"/>
          <w:bCs/>
          <w:sz w:val="20"/>
          <w:szCs w:val="20"/>
        </w:rPr>
        <w:t xml:space="preserve">každého výkazu polovina hodnotové chyby. Smyslem údaje o celkové započtené nesprávnosti je vyjádřit výši nesprávnosti jedním číslem pro potřeby porovnání se stanovenou hladinou významnosti. </w:t>
      </w:r>
    </w:p>
    <w:p w14:paraId="5EB6A908" w14:textId="77777777" w:rsidR="000832AF" w:rsidRPr="00E23815" w:rsidRDefault="000832AF" w:rsidP="000832AF">
      <w:pPr>
        <w:ind w:left="567"/>
        <w:jc w:val="both"/>
        <w:rPr>
          <w:rFonts w:asciiTheme="minorHAnsi" w:hAnsiTheme="minorHAnsi" w:cstheme="minorHAnsi"/>
          <w:spacing w:val="-2"/>
        </w:rPr>
      </w:pPr>
      <w:r w:rsidRPr="00E23815">
        <w:rPr>
          <w:rFonts w:asciiTheme="minorHAnsi" w:eastAsiaTheme="minorHAnsi" w:hAnsiTheme="minorHAnsi" w:cs="Calibri"/>
          <w:bCs/>
          <w:sz w:val="20"/>
          <w:szCs w:val="20"/>
        </w:rPr>
        <w:t>Z důvodu zaokrouhlování číselných údajů nemusí vždy součet dílčích údajů odpovídat částce celkové nesprávnosti.</w:t>
      </w:r>
      <w:r w:rsidRPr="00E23815">
        <w:rPr>
          <w:rFonts w:asciiTheme="minorHAnsi" w:eastAsiaTheme="minorHAnsi" w:hAnsiTheme="minorHAnsi" w:cs="Calibri"/>
          <w:b/>
          <w:sz w:val="20"/>
          <w:szCs w:val="20"/>
        </w:rPr>
        <w:t xml:space="preserve"> </w:t>
      </w:r>
    </w:p>
    <w:p w14:paraId="207F932A" w14:textId="77777777" w:rsidR="0051766F" w:rsidRPr="00E23815" w:rsidRDefault="0051766F" w:rsidP="0051766F">
      <w:pPr>
        <w:spacing w:before="120"/>
        <w:jc w:val="both"/>
        <w:rPr>
          <w:rFonts w:cs="Calibri"/>
        </w:rPr>
      </w:pPr>
      <w:r w:rsidRPr="00E23815">
        <w:rPr>
          <w:rFonts w:cs="Calibri"/>
        </w:rPr>
        <w:t>Celková výše nesprávností, které kontrola v údajích ÚZ zjistila a vyčíslila, není významná.</w:t>
      </w:r>
    </w:p>
    <w:p w14:paraId="593D8461" w14:textId="1C1594EA" w:rsidR="00914FA0" w:rsidRPr="00E23815" w:rsidRDefault="000832AF" w:rsidP="007E110A">
      <w:pPr>
        <w:spacing w:after="0"/>
        <w:jc w:val="both"/>
        <w:rPr>
          <w:rFonts w:asciiTheme="minorHAnsi" w:hAnsiTheme="minorHAnsi" w:cs="Calibri"/>
          <w:b/>
        </w:rPr>
      </w:pPr>
      <w:r w:rsidRPr="00E23815">
        <w:rPr>
          <w:rFonts w:asciiTheme="minorHAnsi" w:hAnsiTheme="minorHAnsi" w:cs="Calibri"/>
          <w:b/>
        </w:rPr>
        <w:t>Ú</w:t>
      </w:r>
      <w:r w:rsidR="00983C54" w:rsidRPr="00E23815">
        <w:rPr>
          <w:rFonts w:asciiTheme="minorHAnsi" w:hAnsiTheme="minorHAnsi" w:cs="Calibri"/>
          <w:b/>
        </w:rPr>
        <w:t xml:space="preserve">četní závěrka </w:t>
      </w:r>
      <w:r w:rsidRPr="00E23815">
        <w:rPr>
          <w:rFonts w:asciiTheme="minorHAnsi" w:hAnsiTheme="minorHAnsi" w:cs="Calibri"/>
          <w:b/>
        </w:rPr>
        <w:t>MŽP</w:t>
      </w:r>
      <w:r w:rsidR="00983C54" w:rsidRPr="00E23815">
        <w:rPr>
          <w:rFonts w:asciiTheme="minorHAnsi" w:hAnsiTheme="minorHAnsi" w:cs="Calibri"/>
          <w:b/>
        </w:rPr>
        <w:t xml:space="preserve"> k</w:t>
      </w:r>
      <w:r w:rsidR="00196835">
        <w:rPr>
          <w:rFonts w:asciiTheme="minorHAnsi" w:hAnsiTheme="minorHAnsi" w:cs="Calibri"/>
          <w:b/>
        </w:rPr>
        <w:t xml:space="preserve"> </w:t>
      </w:r>
      <w:r w:rsidR="00983C54" w:rsidRPr="00E23815">
        <w:rPr>
          <w:rFonts w:asciiTheme="minorHAnsi" w:hAnsiTheme="minorHAnsi" w:cs="Calibri"/>
          <w:b/>
        </w:rPr>
        <w:t>31. prosinci 202</w:t>
      </w:r>
      <w:r w:rsidR="00F67192" w:rsidRPr="00E23815">
        <w:rPr>
          <w:rFonts w:asciiTheme="minorHAnsi" w:hAnsiTheme="minorHAnsi" w:cs="Calibri"/>
          <w:b/>
        </w:rPr>
        <w:t>2</w:t>
      </w:r>
      <w:r w:rsidR="00487F34" w:rsidRPr="00E23815">
        <w:rPr>
          <w:rFonts w:asciiTheme="minorHAnsi" w:hAnsiTheme="minorHAnsi" w:cs="Calibri"/>
          <w:b/>
        </w:rPr>
        <w:t xml:space="preserve"> </w:t>
      </w:r>
      <w:r w:rsidR="001B4D88" w:rsidRPr="00E23815">
        <w:rPr>
          <w:rFonts w:asciiTheme="minorHAnsi" w:hAnsiTheme="minorHAnsi" w:cs="Calibri"/>
          <w:b/>
        </w:rPr>
        <w:t xml:space="preserve">podává </w:t>
      </w:r>
      <w:r w:rsidRPr="00E23815">
        <w:rPr>
          <w:rFonts w:asciiTheme="minorHAnsi" w:hAnsiTheme="minorHAnsi" w:cs="Calibri"/>
          <w:b/>
        </w:rPr>
        <w:t xml:space="preserve">dle NKÚ </w:t>
      </w:r>
      <w:r w:rsidR="00983C54" w:rsidRPr="00E23815">
        <w:rPr>
          <w:rFonts w:asciiTheme="minorHAnsi" w:hAnsiTheme="minorHAnsi" w:cs="Calibri"/>
          <w:b/>
        </w:rPr>
        <w:t>ve všech významných ohledech věrný a poctivý obraz předmětu účetnictví a finanční situace účetní jednotky dle účetních předpisů pro některé vybrané účetní jednotky.</w:t>
      </w:r>
    </w:p>
    <w:p w14:paraId="280C5A14" w14:textId="77777777" w:rsidR="0051766F" w:rsidRPr="00E23815" w:rsidRDefault="0051766F" w:rsidP="0051766F">
      <w:pPr>
        <w:spacing w:before="120"/>
        <w:ind w:right="-102"/>
        <w:jc w:val="both"/>
        <w:rPr>
          <w:rFonts w:asciiTheme="minorHAnsi" w:hAnsiTheme="minorHAnsi" w:cs="Calibri"/>
        </w:rPr>
      </w:pPr>
      <w:r w:rsidRPr="00E23815">
        <w:rPr>
          <w:rFonts w:asciiTheme="minorHAnsi" w:hAnsiTheme="minorHAnsi" w:cs="Calibri"/>
        </w:rPr>
        <w:t>ÚZ obsahuje některé specifické skutečnosti, které jsou předmětem účetnictví MŽP. Jedná se o</w:t>
      </w:r>
      <w:r w:rsidR="006D425A">
        <w:rPr>
          <w:rFonts w:asciiTheme="minorHAnsi" w:hAnsiTheme="minorHAnsi" w:cs="Calibri"/>
        </w:rPr>
        <w:t> </w:t>
      </w:r>
      <w:r w:rsidRPr="00E23815">
        <w:rPr>
          <w:rFonts w:asciiTheme="minorHAnsi" w:hAnsiTheme="minorHAnsi" w:cs="Calibri"/>
        </w:rPr>
        <w:t xml:space="preserve">následující významné </w:t>
      </w:r>
      <w:r w:rsidR="00252BC7" w:rsidRPr="00E23815">
        <w:rPr>
          <w:rFonts w:asciiTheme="minorHAnsi" w:hAnsiTheme="minorHAnsi" w:cs="Calibri"/>
        </w:rPr>
        <w:t>informace</w:t>
      </w:r>
      <w:r w:rsidRPr="00E23815">
        <w:rPr>
          <w:rFonts w:asciiTheme="minorHAnsi" w:hAnsiTheme="minorHAnsi" w:cs="Calibri"/>
        </w:rPr>
        <w:t xml:space="preserve">, které jsou v ÚZ vykázány a </w:t>
      </w:r>
      <w:r w:rsidR="00735259">
        <w:rPr>
          <w:rFonts w:asciiTheme="minorHAnsi" w:hAnsiTheme="minorHAnsi" w:cs="Calibri"/>
        </w:rPr>
        <w:t>v příloze ÚZ</w:t>
      </w:r>
      <w:r w:rsidR="001F5A3B" w:rsidRPr="001F5A3B">
        <w:rPr>
          <w:rFonts w:asciiTheme="minorHAnsi" w:hAnsiTheme="minorHAnsi" w:cs="Calibri"/>
          <w:vertAlign w:val="superscript"/>
        </w:rPr>
        <w:t>2</w:t>
      </w:r>
      <w:r w:rsidR="00735259">
        <w:rPr>
          <w:rFonts w:asciiTheme="minorHAnsi" w:hAnsiTheme="minorHAnsi" w:cs="Calibri"/>
        </w:rPr>
        <w:t xml:space="preserve"> </w:t>
      </w:r>
      <w:r w:rsidRPr="00E23815">
        <w:rPr>
          <w:rFonts w:asciiTheme="minorHAnsi" w:hAnsiTheme="minorHAnsi" w:cs="Calibri"/>
        </w:rPr>
        <w:t>popsány:</w:t>
      </w:r>
    </w:p>
    <w:p w14:paraId="7CE866C3" w14:textId="1E05CA8F" w:rsidR="0051766F" w:rsidRPr="00E23815" w:rsidRDefault="0051766F" w:rsidP="0051766F">
      <w:pPr>
        <w:pStyle w:val="Odstavecseseznamem"/>
        <w:numPr>
          <w:ilvl w:val="0"/>
          <w:numId w:val="15"/>
        </w:numPr>
        <w:spacing w:before="120"/>
        <w:jc w:val="both"/>
        <w:rPr>
          <w:rFonts w:asciiTheme="minorHAnsi" w:hAnsiTheme="minorHAnsi" w:cs="Calibri"/>
        </w:rPr>
      </w:pPr>
      <w:r w:rsidRPr="00E23815">
        <w:t xml:space="preserve">v </w:t>
      </w:r>
      <w:r w:rsidR="003A73DD" w:rsidRPr="00E23815">
        <w:t xml:space="preserve">položkách </w:t>
      </w:r>
      <w:r w:rsidRPr="00E23815">
        <w:t>A.3., E.1. a E.2. přílohy ÚZ, ve kterých MŽP popisuje účtování o</w:t>
      </w:r>
      <w:r w:rsidR="006D425A">
        <w:t> </w:t>
      </w:r>
      <w:r w:rsidRPr="00E23815">
        <w:rPr>
          <w:b/>
        </w:rPr>
        <w:t>povolenkách na emise</w:t>
      </w:r>
      <w:r w:rsidR="002058A5" w:rsidRPr="00E23815">
        <w:rPr>
          <w:b/>
        </w:rPr>
        <w:t xml:space="preserve"> skleníkových plynů</w:t>
      </w:r>
      <w:r w:rsidRPr="00E23815">
        <w:rPr>
          <w:b/>
        </w:rPr>
        <w:t xml:space="preserve"> </w:t>
      </w:r>
      <w:r w:rsidRPr="00E23815">
        <w:t>a dopad na údaje vykázané v rozvaze na účtech 015 – </w:t>
      </w:r>
      <w:r w:rsidRPr="00E23815">
        <w:rPr>
          <w:i/>
        </w:rPr>
        <w:t>Povolenky na emise a preferenční limity</w:t>
      </w:r>
      <w:r w:rsidRPr="00E23815">
        <w:t>, 035 – </w:t>
      </w:r>
      <w:r w:rsidRPr="00E23815">
        <w:rPr>
          <w:i/>
        </w:rPr>
        <w:t>Dlouhodobý nehmotný majetek určený k prodeji</w:t>
      </w:r>
      <w:r w:rsidRPr="00E23815">
        <w:t xml:space="preserve">, 401 – </w:t>
      </w:r>
      <w:r w:rsidRPr="00E23815">
        <w:rPr>
          <w:i/>
        </w:rPr>
        <w:t>Jmění účetní jednotky</w:t>
      </w:r>
      <w:r w:rsidRPr="00E23815">
        <w:t xml:space="preserve"> a 407 – </w:t>
      </w:r>
      <w:r w:rsidRPr="00E23815">
        <w:rPr>
          <w:i/>
        </w:rPr>
        <w:t>Jiné oceňovací rozdíly</w:t>
      </w:r>
      <w:r w:rsidRPr="00E23815">
        <w:t xml:space="preserve"> </w:t>
      </w:r>
      <w:r w:rsidR="00CA2FBE">
        <w:br/>
      </w:r>
      <w:r w:rsidRPr="00E23815">
        <w:t>a</w:t>
      </w:r>
      <w:r w:rsidR="00CA2FBE">
        <w:t xml:space="preserve"> </w:t>
      </w:r>
      <w:r w:rsidRPr="00E23815">
        <w:t>ve výkazu zisku a ztráty na účtech 543</w:t>
      </w:r>
      <w:r w:rsidR="00CA2FBE">
        <w:t xml:space="preserve"> </w:t>
      </w:r>
      <w:r w:rsidRPr="00E23815">
        <w:t>–</w:t>
      </w:r>
      <w:r w:rsidR="00CA2FBE">
        <w:t xml:space="preserve"> </w:t>
      </w:r>
      <w:r w:rsidRPr="00E23815">
        <w:rPr>
          <w:i/>
        </w:rPr>
        <w:t>Dary a jiná bezúplatná předání</w:t>
      </w:r>
      <w:r w:rsidRPr="00E23815">
        <w:t xml:space="preserve">, </w:t>
      </w:r>
      <w:r w:rsidR="0098669F">
        <w:br/>
      </w:r>
      <w:r w:rsidRPr="00E23815">
        <w:rPr>
          <w:rFonts w:asciiTheme="minorHAnsi" w:hAnsiTheme="minorHAnsi" w:cstheme="minorHAnsi"/>
        </w:rPr>
        <w:t>552</w:t>
      </w:r>
      <w:r w:rsidRPr="00E23815">
        <w:rPr>
          <w:rFonts w:asciiTheme="minorHAnsi" w:hAnsiTheme="minorHAnsi" w:cstheme="minorHAnsi"/>
          <w:i/>
        </w:rPr>
        <w:t xml:space="preserve"> – Prodaný dlouhodobý nehmotný majetek</w:t>
      </w:r>
      <w:r w:rsidRPr="00E23815">
        <w:rPr>
          <w:rFonts w:asciiTheme="minorHAnsi" w:hAnsiTheme="minorHAnsi" w:cstheme="minorHAnsi"/>
        </w:rPr>
        <w:t>, 645 – </w:t>
      </w:r>
      <w:r w:rsidRPr="00E23815">
        <w:rPr>
          <w:rFonts w:asciiTheme="minorHAnsi" w:hAnsiTheme="minorHAnsi" w:cstheme="minorHAnsi"/>
          <w:i/>
        </w:rPr>
        <w:t>Výnosy z prodeje dlouhodobého nehmotného majetku</w:t>
      </w:r>
      <w:r w:rsidRPr="00E23815">
        <w:rPr>
          <w:rFonts w:asciiTheme="minorHAnsi" w:hAnsiTheme="minorHAnsi" w:cstheme="minorHAnsi"/>
        </w:rPr>
        <w:t xml:space="preserve"> a 664 – </w:t>
      </w:r>
      <w:r w:rsidRPr="00E23815">
        <w:rPr>
          <w:rFonts w:asciiTheme="minorHAnsi" w:hAnsiTheme="minorHAnsi" w:cstheme="minorHAnsi"/>
          <w:i/>
        </w:rPr>
        <w:t>Výnosy z přecenění reálnou hodnotou</w:t>
      </w:r>
      <w:r w:rsidR="009D156E" w:rsidRPr="00E23815">
        <w:rPr>
          <w:rFonts w:asciiTheme="minorHAnsi" w:hAnsiTheme="minorHAnsi" w:cstheme="minorHAnsi"/>
        </w:rPr>
        <w:t xml:space="preserve"> (podrobněji viz část IV.1.4.1</w:t>
      </w:r>
      <w:r w:rsidR="00D422EB" w:rsidRPr="00E23815">
        <w:rPr>
          <w:rFonts w:asciiTheme="minorHAnsi" w:hAnsiTheme="minorHAnsi" w:cstheme="minorHAnsi"/>
        </w:rPr>
        <w:t xml:space="preserve"> </w:t>
      </w:r>
      <w:r w:rsidR="00D422EB" w:rsidRPr="00E23815">
        <w:rPr>
          <w:rFonts w:eastAsiaTheme="minorHAnsi" w:cs="Calibri"/>
        </w:rPr>
        <w:t>tohoto kontrolního závěru</w:t>
      </w:r>
      <w:r w:rsidR="009D156E" w:rsidRPr="00E23815">
        <w:rPr>
          <w:rFonts w:asciiTheme="minorHAnsi" w:hAnsiTheme="minorHAnsi" w:cstheme="minorHAnsi"/>
        </w:rPr>
        <w:t>)</w:t>
      </w:r>
      <w:r w:rsidR="00CA2FBE">
        <w:rPr>
          <w:rFonts w:asciiTheme="minorHAnsi" w:hAnsiTheme="minorHAnsi" w:cstheme="minorHAnsi"/>
        </w:rPr>
        <w:t>;</w:t>
      </w:r>
    </w:p>
    <w:p w14:paraId="7ABB3B33" w14:textId="5F389063" w:rsidR="0051766F" w:rsidRPr="00E23815" w:rsidRDefault="0051766F" w:rsidP="0051766F">
      <w:pPr>
        <w:pStyle w:val="Odstavecseseznamem"/>
        <w:numPr>
          <w:ilvl w:val="0"/>
          <w:numId w:val="15"/>
        </w:numPr>
        <w:spacing w:before="120"/>
        <w:jc w:val="both"/>
        <w:rPr>
          <w:rFonts w:asciiTheme="minorHAnsi" w:hAnsiTheme="minorHAnsi" w:cs="Calibri"/>
        </w:rPr>
      </w:pPr>
      <w:r w:rsidRPr="00E23815">
        <w:t xml:space="preserve">v </w:t>
      </w:r>
      <w:r w:rsidR="003A73DD" w:rsidRPr="00E23815">
        <w:t xml:space="preserve">položkách </w:t>
      </w:r>
      <w:r w:rsidRPr="00E23815">
        <w:t>A.3.</w:t>
      </w:r>
      <w:r w:rsidR="003A73DD" w:rsidRPr="00E23815">
        <w:t>, A.6</w:t>
      </w:r>
      <w:r w:rsidR="00CA2FBE">
        <w:t>.</w:t>
      </w:r>
      <w:r w:rsidRPr="00E23815">
        <w:t xml:space="preserve"> a E.1. přílohy ÚZ, ve kterých MŽP popisuje účtování o </w:t>
      </w:r>
      <w:r w:rsidRPr="00E23815">
        <w:rPr>
          <w:b/>
        </w:rPr>
        <w:t>ročních emisních přídělech</w:t>
      </w:r>
      <w:r w:rsidRPr="00E23815">
        <w:t xml:space="preserve"> a dopad na údaje vykázané v rozvaze na účtech 015 – </w:t>
      </w:r>
      <w:r w:rsidRPr="00E23815">
        <w:rPr>
          <w:i/>
        </w:rPr>
        <w:t>Povolenky na emise a preferenční limity</w:t>
      </w:r>
      <w:r w:rsidRPr="00E23815">
        <w:t xml:space="preserve"> a 378 – </w:t>
      </w:r>
      <w:r w:rsidRPr="00E23815">
        <w:rPr>
          <w:rFonts w:asciiTheme="minorHAnsi" w:hAnsiTheme="minorHAnsi" w:cstheme="minorHAnsi"/>
          <w:i/>
        </w:rPr>
        <w:t>Ostatní krátkodobé závazky</w:t>
      </w:r>
      <w:r w:rsidR="009D156E" w:rsidRPr="00E23815">
        <w:rPr>
          <w:rFonts w:asciiTheme="minorHAnsi" w:hAnsiTheme="minorHAnsi" w:cstheme="minorHAnsi"/>
        </w:rPr>
        <w:t xml:space="preserve"> (podrobněji viz část IV.1.4.2</w:t>
      </w:r>
      <w:r w:rsidR="00D422EB" w:rsidRPr="00E23815">
        <w:rPr>
          <w:rFonts w:asciiTheme="minorHAnsi" w:hAnsiTheme="minorHAnsi" w:cstheme="minorHAnsi"/>
        </w:rPr>
        <w:t xml:space="preserve"> </w:t>
      </w:r>
      <w:r w:rsidR="00D422EB" w:rsidRPr="00E23815">
        <w:rPr>
          <w:rFonts w:eastAsiaTheme="minorHAnsi" w:cs="Calibri"/>
        </w:rPr>
        <w:t>tohoto kontrolního závěru</w:t>
      </w:r>
      <w:r w:rsidR="009D156E" w:rsidRPr="00E23815">
        <w:rPr>
          <w:rFonts w:asciiTheme="minorHAnsi" w:hAnsiTheme="minorHAnsi" w:cstheme="minorHAnsi"/>
        </w:rPr>
        <w:t>)</w:t>
      </w:r>
      <w:r w:rsidR="00CA2FBE">
        <w:rPr>
          <w:rFonts w:asciiTheme="minorHAnsi" w:hAnsiTheme="minorHAnsi" w:cstheme="minorHAnsi"/>
        </w:rPr>
        <w:t>;</w:t>
      </w:r>
    </w:p>
    <w:p w14:paraId="7BDB172C" w14:textId="7362E3BB" w:rsidR="0051766F" w:rsidRPr="00E23815" w:rsidRDefault="0051766F" w:rsidP="0051766F">
      <w:pPr>
        <w:pStyle w:val="Odstavecseseznamem"/>
        <w:numPr>
          <w:ilvl w:val="0"/>
          <w:numId w:val="15"/>
        </w:numPr>
        <w:spacing w:before="120"/>
        <w:jc w:val="both"/>
        <w:rPr>
          <w:rFonts w:asciiTheme="minorHAnsi" w:hAnsiTheme="minorHAnsi" w:cs="Calibri"/>
        </w:rPr>
      </w:pPr>
      <w:r w:rsidRPr="00E23815">
        <w:lastRenderedPageBreak/>
        <w:t xml:space="preserve">v </w:t>
      </w:r>
      <w:r w:rsidR="003A73DD" w:rsidRPr="00E23815">
        <w:t xml:space="preserve">položkách </w:t>
      </w:r>
      <w:r w:rsidRPr="00E23815">
        <w:t>A.3. a E.1. přílohy ÚZ, ve kterých MŽP popisuje účtování o podílu ČR na</w:t>
      </w:r>
      <w:r w:rsidRPr="00E23815">
        <w:rPr>
          <w:b/>
        </w:rPr>
        <w:t xml:space="preserve"> finančních aktivech </w:t>
      </w:r>
      <w:r w:rsidR="001E54E4" w:rsidRPr="00E23815">
        <w:rPr>
          <w:b/>
        </w:rPr>
        <w:t xml:space="preserve">týkajících se prostředků </w:t>
      </w:r>
      <w:r w:rsidRPr="00AF65F6">
        <w:rPr>
          <w:b/>
          <w:i/>
        </w:rPr>
        <w:t>Modernizačního fondu</w:t>
      </w:r>
      <w:r w:rsidRPr="00E23815">
        <w:t xml:space="preserve"> a dopad na údaje vykázané v</w:t>
      </w:r>
      <w:r w:rsidR="00CA2FBE">
        <w:t xml:space="preserve"> </w:t>
      </w:r>
      <w:r w:rsidRPr="00E23815">
        <w:t>rozvaze na účtech 069</w:t>
      </w:r>
      <w:r w:rsidR="00CA2FBE">
        <w:t xml:space="preserve"> </w:t>
      </w:r>
      <w:r w:rsidRPr="00E23815">
        <w:t>–</w:t>
      </w:r>
      <w:r w:rsidR="00CA2FBE">
        <w:t xml:space="preserve"> </w:t>
      </w:r>
      <w:r w:rsidRPr="00E23815">
        <w:rPr>
          <w:i/>
        </w:rPr>
        <w:t>Ostatní dlouhodobý finanční majetek</w:t>
      </w:r>
      <w:r w:rsidRPr="00E23815">
        <w:t xml:space="preserve"> a</w:t>
      </w:r>
      <w:r w:rsidR="00961B30">
        <w:t xml:space="preserve"> </w:t>
      </w:r>
      <w:r w:rsidRPr="00E23815">
        <w:t>401 – </w:t>
      </w:r>
      <w:r w:rsidRPr="00E23815">
        <w:rPr>
          <w:i/>
        </w:rPr>
        <w:t>Jmění účetní jednotky</w:t>
      </w:r>
      <w:r w:rsidR="001E54E4" w:rsidRPr="00E23815">
        <w:t xml:space="preserve"> </w:t>
      </w:r>
      <w:r w:rsidR="009D156E" w:rsidRPr="00E23815">
        <w:rPr>
          <w:rFonts w:asciiTheme="minorHAnsi" w:hAnsiTheme="minorHAnsi" w:cstheme="minorHAnsi"/>
        </w:rPr>
        <w:t>(podrobněji viz část IV.1.4.3</w:t>
      </w:r>
      <w:r w:rsidR="00D422EB" w:rsidRPr="00E23815">
        <w:rPr>
          <w:rFonts w:asciiTheme="minorHAnsi" w:hAnsiTheme="minorHAnsi" w:cstheme="minorHAnsi"/>
        </w:rPr>
        <w:t xml:space="preserve"> </w:t>
      </w:r>
      <w:r w:rsidR="00D422EB" w:rsidRPr="00E23815">
        <w:rPr>
          <w:rFonts w:eastAsiaTheme="minorHAnsi" w:cs="Calibri"/>
        </w:rPr>
        <w:t>tohoto kontrolního závěru</w:t>
      </w:r>
      <w:r w:rsidR="009D156E" w:rsidRPr="00E23815">
        <w:rPr>
          <w:rFonts w:asciiTheme="minorHAnsi" w:hAnsiTheme="minorHAnsi" w:cstheme="minorHAnsi"/>
        </w:rPr>
        <w:t>)</w:t>
      </w:r>
      <w:r w:rsidR="00CA2FBE">
        <w:rPr>
          <w:rFonts w:asciiTheme="minorHAnsi" w:hAnsiTheme="minorHAnsi" w:cstheme="minorHAnsi"/>
        </w:rPr>
        <w:t>;</w:t>
      </w:r>
    </w:p>
    <w:p w14:paraId="1F14F8BC" w14:textId="6EBCDD35" w:rsidR="0051766F" w:rsidRPr="00E23815" w:rsidRDefault="0051766F" w:rsidP="0051766F">
      <w:pPr>
        <w:pStyle w:val="Odstavecseseznamem"/>
        <w:numPr>
          <w:ilvl w:val="0"/>
          <w:numId w:val="15"/>
        </w:numPr>
        <w:spacing w:before="120"/>
        <w:jc w:val="both"/>
        <w:rPr>
          <w:rFonts w:asciiTheme="minorHAnsi" w:hAnsiTheme="minorHAnsi" w:cs="Calibri"/>
        </w:rPr>
      </w:pPr>
      <w:r w:rsidRPr="00E23815">
        <w:rPr>
          <w:rFonts w:asciiTheme="minorHAnsi" w:hAnsiTheme="minorHAnsi" w:cs="Calibri"/>
        </w:rPr>
        <w:t xml:space="preserve">v </w:t>
      </w:r>
      <w:r w:rsidR="003A73DD" w:rsidRPr="00E23815">
        <w:rPr>
          <w:rFonts w:asciiTheme="minorHAnsi" w:hAnsiTheme="minorHAnsi" w:cs="Calibri"/>
        </w:rPr>
        <w:t xml:space="preserve">položce </w:t>
      </w:r>
      <w:r w:rsidRPr="00E23815">
        <w:rPr>
          <w:rFonts w:asciiTheme="minorHAnsi" w:hAnsiTheme="minorHAnsi" w:cs="Calibri"/>
        </w:rPr>
        <w:t xml:space="preserve">A.2. přílohy ÚZ, </w:t>
      </w:r>
      <w:r w:rsidR="00CA2FBE">
        <w:rPr>
          <w:rFonts w:asciiTheme="minorHAnsi" w:hAnsiTheme="minorHAnsi" w:cs="Calibri"/>
        </w:rPr>
        <w:t>kde</w:t>
      </w:r>
      <w:r w:rsidRPr="00E23815">
        <w:rPr>
          <w:rFonts w:asciiTheme="minorHAnsi" w:hAnsiTheme="minorHAnsi" w:cs="Calibri"/>
        </w:rPr>
        <w:t xml:space="preserve"> MŽP popisuje </w:t>
      </w:r>
      <w:r w:rsidRPr="00E23815">
        <w:rPr>
          <w:rFonts w:asciiTheme="minorHAnsi" w:hAnsiTheme="minorHAnsi" w:cs="Calibri"/>
          <w:b/>
        </w:rPr>
        <w:t xml:space="preserve">změny </w:t>
      </w:r>
      <w:r w:rsidRPr="00E23815">
        <w:rPr>
          <w:rFonts w:asciiTheme="minorHAnsi" w:hAnsiTheme="minorHAnsi" w:cstheme="minorHAnsi"/>
          <w:b/>
        </w:rPr>
        <w:t>postupů účtování</w:t>
      </w:r>
      <w:r w:rsidRPr="00E23815">
        <w:rPr>
          <w:rFonts w:asciiTheme="minorHAnsi" w:hAnsiTheme="minorHAnsi" w:cstheme="minorHAnsi"/>
        </w:rPr>
        <w:t xml:space="preserve"> o</w:t>
      </w:r>
      <w:r w:rsidR="006D425A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povolenkách na emise</w:t>
      </w:r>
      <w:r w:rsidR="003A73DD" w:rsidRPr="00E23815">
        <w:rPr>
          <w:rFonts w:asciiTheme="minorHAnsi" w:hAnsiTheme="minorHAnsi" w:cstheme="minorHAnsi"/>
        </w:rPr>
        <w:t xml:space="preserve"> skleníkových plynů</w:t>
      </w:r>
      <w:r w:rsidRPr="00E23815">
        <w:rPr>
          <w:rFonts w:asciiTheme="minorHAnsi" w:hAnsiTheme="minorHAnsi" w:cstheme="minorHAnsi"/>
        </w:rPr>
        <w:t xml:space="preserve">, ročních emisních přídělech a finančních aktivech </w:t>
      </w:r>
      <w:r w:rsidR="001E54E4" w:rsidRPr="00E23815">
        <w:rPr>
          <w:rFonts w:asciiTheme="minorHAnsi" w:hAnsiTheme="minorHAnsi" w:cstheme="minorHAnsi"/>
        </w:rPr>
        <w:t xml:space="preserve">týkajících se prostředků </w:t>
      </w:r>
      <w:r w:rsidRPr="00AF65F6">
        <w:rPr>
          <w:rFonts w:asciiTheme="minorHAnsi" w:hAnsiTheme="minorHAnsi" w:cstheme="minorHAnsi"/>
          <w:i/>
        </w:rPr>
        <w:t>Modernizačního fondu</w:t>
      </w:r>
      <w:r w:rsidRPr="00E23815">
        <w:rPr>
          <w:rFonts w:asciiTheme="minorHAnsi" w:hAnsiTheme="minorHAnsi" w:cstheme="minorHAnsi"/>
        </w:rPr>
        <w:t xml:space="preserve"> za účelem dosažení lepšího věrného </w:t>
      </w:r>
      <w:r w:rsidR="00356C5B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a</w:t>
      </w:r>
      <w:r w:rsidR="00356C5B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poctivého obrazu předmětu účetnictví a finanční situace. Jedná se zejména </w:t>
      </w:r>
      <w:r w:rsidR="00D6133C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o</w:t>
      </w:r>
      <w:r w:rsidR="00D6133C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zůstatky účtů </w:t>
      </w:r>
      <w:r w:rsidRPr="00E23815">
        <w:t>015 – </w:t>
      </w:r>
      <w:r w:rsidRPr="00E23815">
        <w:rPr>
          <w:i/>
        </w:rPr>
        <w:t>Povolenky na emise a preferenční limity</w:t>
      </w:r>
      <w:r w:rsidRPr="00AF65F6">
        <w:t>,</w:t>
      </w:r>
      <w:r w:rsidRPr="00E23815">
        <w:rPr>
          <w:rFonts w:asciiTheme="minorHAnsi" w:hAnsiTheme="minorHAnsi" w:cstheme="minorHAnsi"/>
        </w:rPr>
        <w:t xml:space="preserve"> 069 – </w:t>
      </w:r>
      <w:r w:rsidRPr="00E23815">
        <w:rPr>
          <w:rFonts w:asciiTheme="minorHAnsi" w:hAnsiTheme="minorHAnsi" w:cstheme="minorHAnsi"/>
          <w:i/>
        </w:rPr>
        <w:t>Ostatní dlouhodobý finanční majetek</w:t>
      </w:r>
      <w:r w:rsidRPr="00E23815">
        <w:rPr>
          <w:rFonts w:asciiTheme="minorHAnsi" w:hAnsiTheme="minorHAnsi" w:cstheme="minorHAnsi"/>
        </w:rPr>
        <w:t xml:space="preserve">, 378 – </w:t>
      </w:r>
      <w:r w:rsidRPr="00E23815">
        <w:rPr>
          <w:rFonts w:asciiTheme="minorHAnsi" w:hAnsiTheme="minorHAnsi" w:cstheme="minorHAnsi"/>
          <w:i/>
        </w:rPr>
        <w:t>Ostatní krátkodobé závazky</w:t>
      </w:r>
      <w:r w:rsidRPr="00E23815">
        <w:rPr>
          <w:rFonts w:asciiTheme="minorHAnsi" w:hAnsiTheme="minorHAnsi" w:cstheme="minorHAnsi"/>
        </w:rPr>
        <w:t xml:space="preserve">, 401 – </w:t>
      </w:r>
      <w:r w:rsidRPr="00E23815">
        <w:rPr>
          <w:rFonts w:asciiTheme="minorHAnsi" w:hAnsiTheme="minorHAnsi" w:cstheme="minorHAnsi"/>
          <w:i/>
        </w:rPr>
        <w:t>Jmění účetní jednotky</w:t>
      </w:r>
      <w:r w:rsidRPr="00AF65F6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  <w:i/>
        </w:rPr>
        <w:t xml:space="preserve"> </w:t>
      </w:r>
      <w:r w:rsidRPr="00E23815">
        <w:rPr>
          <w:rFonts w:asciiTheme="minorHAnsi" w:hAnsiTheme="minorHAnsi" w:cstheme="minorHAnsi"/>
        </w:rPr>
        <w:t xml:space="preserve">543 – </w:t>
      </w:r>
      <w:r w:rsidRPr="00E23815">
        <w:rPr>
          <w:rFonts w:asciiTheme="minorHAnsi" w:hAnsiTheme="minorHAnsi" w:cstheme="minorHAnsi"/>
          <w:i/>
        </w:rPr>
        <w:t>Dary a jiná bezúplatná předání</w:t>
      </w:r>
      <w:r w:rsidRPr="00E23815">
        <w:rPr>
          <w:rFonts w:asciiTheme="minorHAnsi" w:hAnsiTheme="minorHAnsi" w:cstheme="minorHAnsi"/>
        </w:rPr>
        <w:t xml:space="preserve">, 551 – </w:t>
      </w:r>
      <w:r w:rsidRPr="00E23815">
        <w:rPr>
          <w:rFonts w:asciiTheme="minorHAnsi" w:hAnsiTheme="minorHAnsi" w:cstheme="minorHAnsi"/>
          <w:i/>
        </w:rPr>
        <w:t>Odpisy dlouhodobého majetku</w:t>
      </w:r>
      <w:r w:rsidRPr="00E23815">
        <w:rPr>
          <w:rFonts w:asciiTheme="minorHAnsi" w:hAnsiTheme="minorHAnsi" w:cstheme="minorHAnsi"/>
        </w:rPr>
        <w:t xml:space="preserve"> a</w:t>
      </w:r>
      <w:r w:rsidR="006D425A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 xml:space="preserve">664 – </w:t>
      </w:r>
      <w:r w:rsidRPr="00E23815">
        <w:rPr>
          <w:rFonts w:asciiTheme="minorHAnsi" w:hAnsiTheme="minorHAnsi" w:cstheme="minorHAnsi"/>
          <w:i/>
        </w:rPr>
        <w:t>Výnosy z přecenění reálnou hodnotou</w:t>
      </w:r>
      <w:r w:rsidRPr="00E23815">
        <w:rPr>
          <w:rFonts w:asciiTheme="minorHAnsi" w:hAnsiTheme="minorHAnsi" w:cstheme="minorHAnsi"/>
        </w:rPr>
        <w:t>.</w:t>
      </w:r>
    </w:p>
    <w:p w14:paraId="0297009E" w14:textId="77777777" w:rsidR="0051766F" w:rsidRDefault="0051766F" w:rsidP="0051766F">
      <w:pPr>
        <w:spacing w:after="0"/>
        <w:jc w:val="both"/>
        <w:rPr>
          <w:rFonts w:asciiTheme="minorHAnsi" w:hAnsiTheme="minorHAnsi" w:cs="Calibri"/>
        </w:rPr>
      </w:pPr>
    </w:p>
    <w:p w14:paraId="75FF6957" w14:textId="77777777" w:rsidR="00B460A6" w:rsidRPr="00E23815" w:rsidRDefault="00B460A6" w:rsidP="007E110A">
      <w:pPr>
        <w:spacing w:after="0"/>
        <w:jc w:val="both"/>
        <w:rPr>
          <w:rFonts w:cs="Calibri"/>
        </w:rPr>
      </w:pPr>
      <w:r w:rsidRPr="00E23815">
        <w:rPr>
          <w:iCs/>
        </w:rPr>
        <w:t xml:space="preserve">Spolehlivé informace účetní závěrky mají dle </w:t>
      </w:r>
      <w:r w:rsidR="007A2F65" w:rsidRPr="00E23815">
        <w:rPr>
          <w:iCs/>
        </w:rPr>
        <w:t>ustanovení</w:t>
      </w:r>
      <w:r w:rsidRPr="00E23815">
        <w:rPr>
          <w:iCs/>
        </w:rPr>
        <w:t xml:space="preserve"> § 7 zákona č. 563/1991 Sb. umožnit jejím uživatelům činit ekonomická rozhodnutí. V rámci kontroly proved</w:t>
      </w:r>
      <w:r w:rsidR="00320FC2" w:rsidRPr="00E23815">
        <w:rPr>
          <w:iCs/>
        </w:rPr>
        <w:t>l NKÚ</w:t>
      </w:r>
      <w:r w:rsidRPr="00E23815">
        <w:rPr>
          <w:iCs/>
        </w:rPr>
        <w:t xml:space="preserve"> rozbor výsledku hospodaření </w:t>
      </w:r>
      <w:r w:rsidR="0051766F" w:rsidRPr="00E23815">
        <w:rPr>
          <w:iCs/>
        </w:rPr>
        <w:t>MŽP</w:t>
      </w:r>
      <w:r w:rsidRPr="00E23815">
        <w:rPr>
          <w:iCs/>
        </w:rPr>
        <w:t xml:space="preserve"> z pohledu akruálního (účetního) a peněžního (plnění rozpočtu) a </w:t>
      </w:r>
      <w:r w:rsidR="008073A8" w:rsidRPr="00E23815">
        <w:rPr>
          <w:iCs/>
        </w:rPr>
        <w:t>popsal</w:t>
      </w:r>
      <w:r w:rsidRPr="00E23815">
        <w:rPr>
          <w:iCs/>
        </w:rPr>
        <w:t xml:space="preserve">, zda a jak </w:t>
      </w:r>
      <w:r w:rsidR="0051766F" w:rsidRPr="00E23815">
        <w:rPr>
          <w:iCs/>
        </w:rPr>
        <w:t>MŽP</w:t>
      </w:r>
      <w:r w:rsidRPr="00E23815">
        <w:rPr>
          <w:iCs/>
        </w:rPr>
        <w:t xml:space="preserve"> využívá akruální účetní informace vč. informací vykazovaných na podrozvahových účtech – </w:t>
      </w:r>
      <w:r w:rsidR="00B238BD" w:rsidRPr="00E23815">
        <w:rPr>
          <w:iCs/>
        </w:rPr>
        <w:t>blíže</w:t>
      </w:r>
      <w:r w:rsidRPr="00E23815">
        <w:rPr>
          <w:iCs/>
        </w:rPr>
        <w:t xml:space="preserve"> viz </w:t>
      </w:r>
      <w:r w:rsidR="00D422EB" w:rsidRPr="00E23815">
        <w:rPr>
          <w:iCs/>
        </w:rPr>
        <w:t>příloh</w:t>
      </w:r>
      <w:r w:rsidR="006D52E9" w:rsidRPr="00E23815">
        <w:rPr>
          <w:iCs/>
        </w:rPr>
        <w:t>y</w:t>
      </w:r>
      <w:r w:rsidR="00D422EB" w:rsidRPr="00E23815">
        <w:rPr>
          <w:iCs/>
        </w:rPr>
        <w:t xml:space="preserve"> </w:t>
      </w:r>
      <w:r w:rsidRPr="00E23815">
        <w:rPr>
          <w:iCs/>
        </w:rPr>
        <w:t xml:space="preserve">č. </w:t>
      </w:r>
      <w:r w:rsidR="00970EEF">
        <w:rPr>
          <w:iCs/>
        </w:rPr>
        <w:t>3</w:t>
      </w:r>
      <w:r w:rsidRPr="00E23815">
        <w:rPr>
          <w:iCs/>
        </w:rPr>
        <w:t xml:space="preserve"> a </w:t>
      </w:r>
      <w:r w:rsidR="00970EEF">
        <w:rPr>
          <w:iCs/>
        </w:rPr>
        <w:t>4</w:t>
      </w:r>
      <w:r w:rsidRPr="00E23815">
        <w:rPr>
          <w:iCs/>
        </w:rPr>
        <w:t xml:space="preserve"> tohoto kontrolního závěru.</w:t>
      </w:r>
    </w:p>
    <w:p w14:paraId="6279146F" w14:textId="77777777" w:rsidR="003664A1" w:rsidRPr="00E23815" w:rsidRDefault="003664A1" w:rsidP="007E110A">
      <w:pPr>
        <w:spacing w:after="0"/>
        <w:rPr>
          <w:iCs/>
        </w:rPr>
      </w:pPr>
    </w:p>
    <w:p w14:paraId="5A11D165" w14:textId="77777777" w:rsidR="004C7AE0" w:rsidRPr="00E23815" w:rsidRDefault="004C7AE0" w:rsidP="007E110A">
      <w:pPr>
        <w:spacing w:after="0"/>
        <w:rPr>
          <w:iCs/>
        </w:rPr>
      </w:pPr>
    </w:p>
    <w:p w14:paraId="789AFF2E" w14:textId="77777777" w:rsidR="00933D80" w:rsidRPr="00E23815" w:rsidRDefault="00933D80" w:rsidP="009D156E">
      <w:pPr>
        <w:pStyle w:val="Styl2"/>
        <w:numPr>
          <w:ilvl w:val="1"/>
          <w:numId w:val="7"/>
        </w:numPr>
        <w:ind w:left="431" w:hanging="431"/>
      </w:pPr>
      <w:r w:rsidRPr="00E23815">
        <w:t>Specifické skutečnosti vykazované v ÚZ</w:t>
      </w:r>
    </w:p>
    <w:p w14:paraId="6D3C92B3" w14:textId="77777777" w:rsidR="009D156E" w:rsidRPr="00E23815" w:rsidRDefault="00933D80" w:rsidP="00933D80">
      <w:pPr>
        <w:pStyle w:val="Styl2"/>
        <w:numPr>
          <w:ilvl w:val="2"/>
          <w:numId w:val="7"/>
        </w:numPr>
      </w:pPr>
      <w:r w:rsidRPr="00E23815">
        <w:t>P</w:t>
      </w:r>
      <w:r w:rsidR="009D156E" w:rsidRPr="00E23815">
        <w:t>ovolenk</w:t>
      </w:r>
      <w:r w:rsidRPr="00E23815">
        <w:t>y</w:t>
      </w:r>
      <w:r w:rsidR="009D156E" w:rsidRPr="00E23815">
        <w:t xml:space="preserve"> na emise</w:t>
      </w:r>
      <w:r w:rsidR="003A73DD" w:rsidRPr="00E23815">
        <w:t xml:space="preserve"> skleníkových plynů</w:t>
      </w:r>
    </w:p>
    <w:p w14:paraId="47D4DB22" w14:textId="77777777" w:rsidR="00C761FD" w:rsidRDefault="00C761FD" w:rsidP="009D156E">
      <w:pPr>
        <w:spacing w:after="0"/>
        <w:jc w:val="both"/>
      </w:pPr>
      <w:r w:rsidRPr="00E23815">
        <w:rPr>
          <w:iCs/>
        </w:rPr>
        <w:t>Povolenky na emise skleníkových plynů jsou věcně upraveny zejména příslušnými evropskými právními předpisy</w:t>
      </w:r>
      <w:r w:rsidRPr="00E23815">
        <w:rPr>
          <w:rStyle w:val="Znakapoznpodarou"/>
          <w:iCs/>
        </w:rPr>
        <w:footnoteReference w:id="29"/>
      </w:r>
      <w:r>
        <w:rPr>
          <w:iCs/>
        </w:rPr>
        <w:t xml:space="preserve">. Dle ustanovení </w:t>
      </w:r>
      <w:r w:rsidR="004251E8" w:rsidRPr="00E23815">
        <w:t xml:space="preserve">§ 17 odst. 1 zákona č. 383/2012 Sb. </w:t>
      </w:r>
      <w:r>
        <w:t xml:space="preserve">jsou </w:t>
      </w:r>
      <w:r w:rsidR="004251E8" w:rsidRPr="00E23815">
        <w:t>majetkem České republiky a dle vyhlášky č. 410/2009 Sb. jsou dlouhodobým nehmotným majetkem, určeným primárně buď k obchodování, nebo k bezúplatnému převodu.</w:t>
      </w:r>
    </w:p>
    <w:p w14:paraId="4BE775CD" w14:textId="77777777" w:rsidR="00C761FD" w:rsidRDefault="00C761FD" w:rsidP="009D156E">
      <w:pPr>
        <w:spacing w:after="0"/>
        <w:jc w:val="both"/>
      </w:pPr>
    </w:p>
    <w:p w14:paraId="099F1A22" w14:textId="5A6AD8EF" w:rsidR="009D156E" w:rsidRPr="00E23815" w:rsidRDefault="009D156E" w:rsidP="003E3BFD">
      <w:pPr>
        <w:spacing w:after="0"/>
        <w:jc w:val="both"/>
        <w:rPr>
          <w:iCs/>
        </w:rPr>
      </w:pPr>
      <w:r w:rsidRPr="00E23815">
        <w:rPr>
          <w:iCs/>
        </w:rPr>
        <w:t xml:space="preserve">Povaha tohoto majetku je velmi specifická. Okamžik vzniku povolenek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nelze ze stávající právní úpravy ČR ani příslušných </w:t>
      </w:r>
      <w:r w:rsidR="00D6133C">
        <w:rPr>
          <w:iCs/>
        </w:rPr>
        <w:t>unijních</w:t>
      </w:r>
      <w:r w:rsidRPr="00E23815">
        <w:rPr>
          <w:iCs/>
        </w:rPr>
        <w:t xml:space="preserve"> právních předpisů jednoznačně určit. Přesné určení okamžiku vzniku povolenek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má </w:t>
      </w:r>
      <w:r w:rsidR="00764BDA">
        <w:rPr>
          <w:iCs/>
        </w:rPr>
        <w:t>přitom</w:t>
      </w:r>
      <w:r w:rsidR="00764BDA" w:rsidRPr="00E23815">
        <w:rPr>
          <w:iCs/>
        </w:rPr>
        <w:t xml:space="preserve"> </w:t>
      </w:r>
      <w:r w:rsidRPr="00E23815">
        <w:rPr>
          <w:iCs/>
        </w:rPr>
        <w:t xml:space="preserve">zásadní význam z hlediska okamžiku, ke kterému mají být povolenky jako majetek ČR </w:t>
      </w:r>
      <w:r w:rsidRPr="00E23815">
        <w:rPr>
          <w:iCs/>
        </w:rPr>
        <w:lastRenderedPageBreak/>
        <w:t>Ministerstvem životního prostředí oceněny a</w:t>
      </w:r>
      <w:r w:rsidR="00D6133C">
        <w:rPr>
          <w:iCs/>
        </w:rPr>
        <w:t xml:space="preserve"> </w:t>
      </w:r>
      <w:r w:rsidRPr="00E23815">
        <w:rPr>
          <w:iCs/>
        </w:rPr>
        <w:t>zaúčtovány. Skutečnosti vykázané v</w:t>
      </w:r>
      <w:r w:rsidR="00D6133C">
        <w:rPr>
          <w:iCs/>
        </w:rPr>
        <w:t xml:space="preserve"> </w:t>
      </w:r>
      <w:r w:rsidR="001B35D3" w:rsidRPr="00E23815">
        <w:rPr>
          <w:iCs/>
        </w:rPr>
        <w:t xml:space="preserve">účetní závěrce MŽP </w:t>
      </w:r>
      <w:r w:rsidRPr="00E23815">
        <w:rPr>
          <w:iCs/>
        </w:rPr>
        <w:t xml:space="preserve">z titulu transakcí s povolenkami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>jsou významně ovlivněny také z důvodu ocenění povolenek v</w:t>
      </w:r>
      <w:r w:rsidR="000F78D8">
        <w:rPr>
          <w:iCs/>
        </w:rPr>
        <w:t> </w:t>
      </w:r>
      <w:r w:rsidRPr="00E23815">
        <w:rPr>
          <w:iCs/>
        </w:rPr>
        <w:t xml:space="preserve">reprodukční pořizovací ceně, jež je stanovena na základě tržní ceny. Aktuální tržní cena určená datem zařazení povolenek do majetku MŽP může vést k velké diferenci hodnot </w:t>
      </w:r>
      <w:r w:rsidR="00566C57">
        <w:rPr>
          <w:iCs/>
        </w:rPr>
        <w:t xml:space="preserve">vykazovaných </w:t>
      </w:r>
      <w:r w:rsidRPr="00E23815">
        <w:rPr>
          <w:iCs/>
        </w:rPr>
        <w:t xml:space="preserve">v účetní závěrce. Dalším významným rizikem pro vykazování povolenek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jako dlouhodobého nehmotného majetku v účetnictví MŽP je omezená možnost prokázání </w:t>
      </w:r>
      <w:r w:rsidR="00A97FB3">
        <w:rPr>
          <w:iCs/>
        </w:rPr>
        <w:t xml:space="preserve">jejich </w:t>
      </w:r>
      <w:r w:rsidRPr="00E23815">
        <w:rPr>
          <w:iCs/>
        </w:rPr>
        <w:t>existence a množství k</w:t>
      </w:r>
      <w:r w:rsidR="001A3387">
        <w:rPr>
          <w:iCs/>
        </w:rPr>
        <w:t> </w:t>
      </w:r>
      <w:r w:rsidRPr="00E23815">
        <w:rPr>
          <w:iCs/>
        </w:rPr>
        <w:t>určitému datu, např. k rozvahovému dni.</w:t>
      </w:r>
    </w:p>
    <w:p w14:paraId="37BA49F7" w14:textId="50113326" w:rsidR="009D156E" w:rsidRPr="00E23815" w:rsidRDefault="009D156E" w:rsidP="009D156E">
      <w:pPr>
        <w:spacing w:after="0"/>
        <w:jc w:val="both"/>
        <w:rPr>
          <w:iCs/>
        </w:rPr>
      </w:pPr>
    </w:p>
    <w:p w14:paraId="00B46ABE" w14:textId="77777777" w:rsidR="009D156E" w:rsidRPr="00E23815" w:rsidRDefault="009D156E" w:rsidP="009D156E">
      <w:pPr>
        <w:spacing w:after="0"/>
        <w:jc w:val="both"/>
        <w:rPr>
          <w:iCs/>
        </w:rPr>
      </w:pPr>
      <w:r w:rsidRPr="00E23815">
        <w:rPr>
          <w:iCs/>
        </w:rPr>
        <w:t xml:space="preserve">Postup účtování o povolenkách </w:t>
      </w:r>
      <w:r w:rsidR="00EF3822" w:rsidRPr="00E23815">
        <w:rPr>
          <w:iCs/>
        </w:rPr>
        <w:t xml:space="preserve">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vede k navyšování zůstatku účtu 401 – </w:t>
      </w:r>
      <w:r w:rsidRPr="00E23815">
        <w:rPr>
          <w:i/>
          <w:iCs/>
        </w:rPr>
        <w:t>Jmění účetní jednotky</w:t>
      </w:r>
      <w:r w:rsidRPr="00E23815">
        <w:rPr>
          <w:iCs/>
        </w:rPr>
        <w:t xml:space="preserve">, na kterém vybrané účetní jednotky dle ustanovení § 26 odst. 1 písm. a) vyhlášky č. 410/2009 Sb. </w:t>
      </w:r>
      <w:r w:rsidR="003A73DD" w:rsidRPr="00E23815">
        <w:rPr>
          <w:iCs/>
        </w:rPr>
        <w:t xml:space="preserve">vykazují </w:t>
      </w:r>
      <w:r w:rsidRPr="00E23815">
        <w:rPr>
          <w:iCs/>
        </w:rPr>
        <w:t xml:space="preserve">zejména bezúplatně převzatý, bezúplatně přešlý nebo předaný dlouhodobý majetek. Ke snížení zůstatku účtu 401 – </w:t>
      </w:r>
      <w:r w:rsidRPr="00E23815">
        <w:rPr>
          <w:i/>
          <w:iCs/>
        </w:rPr>
        <w:t>Jmění účetní jednotky</w:t>
      </w:r>
      <w:r w:rsidRPr="00E23815">
        <w:rPr>
          <w:iCs/>
        </w:rPr>
        <w:t xml:space="preserve"> dochází pouze v případě </w:t>
      </w:r>
      <w:r w:rsidR="008A7647" w:rsidRPr="00E23815">
        <w:rPr>
          <w:iCs/>
        </w:rPr>
        <w:t>přidělení</w:t>
      </w:r>
      <w:r w:rsidRPr="00E23815">
        <w:rPr>
          <w:iCs/>
        </w:rPr>
        <w:t xml:space="preserve"> </w:t>
      </w:r>
      <w:r w:rsidR="008A7647" w:rsidRPr="00E23815">
        <w:rPr>
          <w:iCs/>
        </w:rPr>
        <w:t xml:space="preserve">bezplatných </w:t>
      </w:r>
      <w:r w:rsidRPr="00E23815">
        <w:rPr>
          <w:iCs/>
        </w:rPr>
        <w:t xml:space="preserve">povolenek na emise </w:t>
      </w:r>
      <w:r w:rsidR="006D52E9" w:rsidRPr="00E23815">
        <w:rPr>
          <w:iCs/>
        </w:rPr>
        <w:t xml:space="preserve">skleníkových plynů </w:t>
      </w:r>
      <w:proofErr w:type="gramStart"/>
      <w:r w:rsidRPr="00E23815">
        <w:rPr>
          <w:iCs/>
        </w:rPr>
        <w:t>vybraným</w:t>
      </w:r>
      <w:proofErr w:type="gramEnd"/>
      <w:r w:rsidRPr="00E23815">
        <w:rPr>
          <w:iCs/>
        </w:rPr>
        <w:t xml:space="preserve"> účetním jednotkám nebo z důvodu umístění povolenek do rezervy tržní stability. Postupy účtování o povolenkách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aplikované MŽP vedly i v roce 2022 k tomu, že MŽP vykázalo z transakcí s povolenkami náklady převyšující výnosy, přičemž okamžik zařazení povolenek na emise </w:t>
      </w:r>
      <w:r w:rsidR="006D52E9" w:rsidRPr="00E23815">
        <w:rPr>
          <w:iCs/>
        </w:rPr>
        <w:t xml:space="preserve">skleníkových plynů </w:t>
      </w:r>
      <w:r w:rsidRPr="00E23815">
        <w:rPr>
          <w:iCs/>
        </w:rPr>
        <w:t xml:space="preserve">do majetku MŽP významně ovlivňuje zůstatky vykazované na účtech 401 – </w:t>
      </w:r>
      <w:r w:rsidRPr="00E23815">
        <w:rPr>
          <w:i/>
          <w:iCs/>
        </w:rPr>
        <w:t>Jmění účetní jednotky</w:t>
      </w:r>
      <w:r w:rsidRPr="00E23815">
        <w:rPr>
          <w:iCs/>
        </w:rPr>
        <w:t xml:space="preserve">, 407 – </w:t>
      </w:r>
      <w:r w:rsidRPr="00E23815">
        <w:rPr>
          <w:i/>
          <w:iCs/>
        </w:rPr>
        <w:t>Jiné oceňovací rozdíly</w:t>
      </w:r>
      <w:r w:rsidRPr="00E23815">
        <w:rPr>
          <w:iCs/>
        </w:rPr>
        <w:t xml:space="preserve">, </w:t>
      </w:r>
      <w:r w:rsidR="006D425A">
        <w:rPr>
          <w:iCs/>
        </w:rPr>
        <w:br/>
      </w:r>
      <w:r w:rsidRPr="00E23815">
        <w:rPr>
          <w:iCs/>
        </w:rPr>
        <w:t xml:space="preserve">543 – </w:t>
      </w:r>
      <w:r w:rsidRPr="00E23815">
        <w:rPr>
          <w:i/>
          <w:iCs/>
        </w:rPr>
        <w:t>Dary a jiná bezúplatná předání</w:t>
      </w:r>
      <w:r w:rsidRPr="00E23815">
        <w:rPr>
          <w:iCs/>
        </w:rPr>
        <w:t xml:space="preserve"> a 552 – </w:t>
      </w:r>
      <w:r w:rsidRPr="00E23815">
        <w:rPr>
          <w:i/>
          <w:iCs/>
        </w:rPr>
        <w:t>Prodaný dlouhodobý nehmotný majetek</w:t>
      </w:r>
      <w:r w:rsidRPr="00E23815">
        <w:rPr>
          <w:iCs/>
        </w:rPr>
        <w:t xml:space="preserve">. </w:t>
      </w:r>
    </w:p>
    <w:p w14:paraId="246F9E9E" w14:textId="77777777" w:rsidR="009D156E" w:rsidRPr="00E23815" w:rsidRDefault="009D156E" w:rsidP="009D156E">
      <w:pPr>
        <w:spacing w:after="0"/>
        <w:jc w:val="both"/>
        <w:rPr>
          <w:iCs/>
        </w:rPr>
      </w:pPr>
    </w:p>
    <w:p w14:paraId="6924D197" w14:textId="02FE8C16" w:rsidR="009D156E" w:rsidRPr="00044D82" w:rsidRDefault="009D156E" w:rsidP="009D156E">
      <w:pPr>
        <w:spacing w:after="0"/>
        <w:jc w:val="both"/>
        <w:rPr>
          <w:b/>
          <w:iCs/>
        </w:rPr>
      </w:pPr>
      <w:r w:rsidRPr="00044D82">
        <w:rPr>
          <w:b/>
          <w:iCs/>
        </w:rPr>
        <w:t>NKÚ upozorňuje</w:t>
      </w:r>
      <w:r w:rsidR="008E067F" w:rsidRPr="00044D82">
        <w:rPr>
          <w:b/>
          <w:iCs/>
        </w:rPr>
        <w:t xml:space="preserve"> na skutečnost</w:t>
      </w:r>
      <w:r w:rsidRPr="00044D82">
        <w:rPr>
          <w:b/>
          <w:iCs/>
        </w:rPr>
        <w:t xml:space="preserve">, že MŽP v ÚZ vykázalo na účtu 015 – </w:t>
      </w:r>
      <w:r w:rsidRPr="00044D82">
        <w:rPr>
          <w:b/>
          <w:i/>
          <w:iCs/>
        </w:rPr>
        <w:t xml:space="preserve">Povolenky na emise </w:t>
      </w:r>
      <w:r w:rsidR="00196835">
        <w:rPr>
          <w:b/>
          <w:i/>
          <w:iCs/>
        </w:rPr>
        <w:br/>
      </w:r>
      <w:r w:rsidRPr="00044D82">
        <w:rPr>
          <w:b/>
          <w:i/>
          <w:iCs/>
        </w:rPr>
        <w:t>a</w:t>
      </w:r>
      <w:r w:rsidR="006D425A" w:rsidRPr="00044D82">
        <w:rPr>
          <w:b/>
          <w:i/>
          <w:iCs/>
        </w:rPr>
        <w:t> </w:t>
      </w:r>
      <w:r w:rsidRPr="00044D82">
        <w:rPr>
          <w:b/>
          <w:i/>
          <w:iCs/>
        </w:rPr>
        <w:t>preferenční limity</w:t>
      </w:r>
      <w:r w:rsidRPr="00044D82">
        <w:rPr>
          <w:b/>
          <w:iCs/>
        </w:rPr>
        <w:t xml:space="preserve"> částku 2</w:t>
      </w:r>
      <w:r w:rsidR="008E067F" w:rsidRPr="00044D82">
        <w:rPr>
          <w:b/>
          <w:iCs/>
        </w:rPr>
        <w:t>,</w:t>
      </w:r>
      <w:r w:rsidRPr="00044D82">
        <w:rPr>
          <w:b/>
          <w:iCs/>
        </w:rPr>
        <w:t>6</w:t>
      </w:r>
      <w:r w:rsidR="008E067F" w:rsidRPr="00044D82">
        <w:rPr>
          <w:b/>
          <w:iCs/>
        </w:rPr>
        <w:t xml:space="preserve"> mld.</w:t>
      </w:r>
      <w:r w:rsidRPr="00044D82">
        <w:rPr>
          <w:b/>
          <w:iCs/>
        </w:rPr>
        <w:t xml:space="preserve"> Kč a na účtu 035 – </w:t>
      </w:r>
      <w:r w:rsidRPr="00044D82">
        <w:rPr>
          <w:b/>
          <w:i/>
          <w:iCs/>
        </w:rPr>
        <w:t>Dlouhodobý nehmotný majetek určený k prodeji</w:t>
      </w:r>
      <w:r w:rsidRPr="00044D82">
        <w:rPr>
          <w:b/>
          <w:iCs/>
        </w:rPr>
        <w:t xml:space="preserve"> částku 27</w:t>
      </w:r>
      <w:r w:rsidR="008E067F" w:rsidRPr="00044D82">
        <w:rPr>
          <w:b/>
          <w:iCs/>
        </w:rPr>
        <w:t>,</w:t>
      </w:r>
      <w:r w:rsidRPr="00044D82">
        <w:rPr>
          <w:b/>
          <w:iCs/>
        </w:rPr>
        <w:t>0</w:t>
      </w:r>
      <w:r w:rsidR="008E067F" w:rsidRPr="00044D82">
        <w:rPr>
          <w:b/>
          <w:iCs/>
        </w:rPr>
        <w:t xml:space="preserve"> mld.</w:t>
      </w:r>
      <w:r w:rsidRPr="00044D82">
        <w:rPr>
          <w:b/>
          <w:iCs/>
        </w:rPr>
        <w:t xml:space="preserve"> Kč představující hodnotu povolenek </w:t>
      </w:r>
      <w:r w:rsidR="008E067F" w:rsidRPr="00044D82">
        <w:rPr>
          <w:b/>
          <w:iCs/>
        </w:rPr>
        <w:t>na emise</w:t>
      </w:r>
      <w:r w:rsidRPr="00044D82">
        <w:rPr>
          <w:b/>
          <w:iCs/>
        </w:rPr>
        <w:t xml:space="preserve"> </w:t>
      </w:r>
      <w:r w:rsidR="006D52E9" w:rsidRPr="00044D82">
        <w:rPr>
          <w:b/>
          <w:iCs/>
        </w:rPr>
        <w:t xml:space="preserve">skleníkových plynů </w:t>
      </w:r>
      <w:r w:rsidRPr="00044D82">
        <w:rPr>
          <w:b/>
          <w:iCs/>
        </w:rPr>
        <w:t xml:space="preserve">zahrnutých v majetku MŽP k 31. </w:t>
      </w:r>
      <w:r w:rsidR="00874FB4" w:rsidRPr="00044D82">
        <w:rPr>
          <w:b/>
          <w:iCs/>
        </w:rPr>
        <w:t>prosinci</w:t>
      </w:r>
      <w:r w:rsidRPr="00044D82">
        <w:rPr>
          <w:b/>
          <w:iCs/>
        </w:rPr>
        <w:t xml:space="preserve"> 2022. MŽP dále v </w:t>
      </w:r>
      <w:r w:rsidR="008E067F" w:rsidRPr="00044D82">
        <w:rPr>
          <w:b/>
          <w:iCs/>
        </w:rPr>
        <w:t>ÚZ</w:t>
      </w:r>
      <w:r w:rsidRPr="00044D82">
        <w:rPr>
          <w:b/>
          <w:iCs/>
        </w:rPr>
        <w:t xml:space="preserve"> vykázalo na účtu </w:t>
      </w:r>
      <w:r w:rsidR="00D6133C">
        <w:rPr>
          <w:b/>
          <w:iCs/>
        </w:rPr>
        <w:br/>
      </w:r>
      <w:r w:rsidRPr="00044D82">
        <w:rPr>
          <w:b/>
          <w:iCs/>
        </w:rPr>
        <w:t xml:space="preserve">401 – </w:t>
      </w:r>
      <w:r w:rsidRPr="00044D82">
        <w:rPr>
          <w:b/>
          <w:i/>
          <w:iCs/>
        </w:rPr>
        <w:t>Jmění účetní jednotky</w:t>
      </w:r>
      <w:r w:rsidRPr="00044D82">
        <w:rPr>
          <w:b/>
          <w:iCs/>
        </w:rPr>
        <w:t xml:space="preserve"> částku 45,9 mld. Kč, která představuje mimo jiné hodnotu povolenek na emise </w:t>
      </w:r>
      <w:r w:rsidR="006D52E9" w:rsidRPr="00044D82">
        <w:rPr>
          <w:b/>
          <w:iCs/>
        </w:rPr>
        <w:t xml:space="preserve">skleníkových plynů </w:t>
      </w:r>
      <w:r w:rsidRPr="00044D82">
        <w:rPr>
          <w:b/>
          <w:iCs/>
        </w:rPr>
        <w:t xml:space="preserve">zařazených do majetku MŽP od roku 2013 do roku 2022. Na účtu 543 – </w:t>
      </w:r>
      <w:r w:rsidRPr="00044D82">
        <w:rPr>
          <w:b/>
          <w:i/>
          <w:iCs/>
        </w:rPr>
        <w:t>Dary a jiná bezúplatná předání</w:t>
      </w:r>
      <w:r w:rsidRPr="00044D82">
        <w:rPr>
          <w:b/>
          <w:iCs/>
        </w:rPr>
        <w:t xml:space="preserve"> vykázalo </w:t>
      </w:r>
      <w:r w:rsidR="00D6133C" w:rsidRPr="00044D82">
        <w:rPr>
          <w:b/>
          <w:iCs/>
        </w:rPr>
        <w:t xml:space="preserve">MŽP </w:t>
      </w:r>
      <w:r w:rsidRPr="00044D82">
        <w:rPr>
          <w:b/>
          <w:iCs/>
        </w:rPr>
        <w:t>částku 30</w:t>
      </w:r>
      <w:r w:rsidR="008E067F" w:rsidRPr="00044D82">
        <w:rPr>
          <w:b/>
          <w:iCs/>
        </w:rPr>
        <w:t>,</w:t>
      </w:r>
      <w:r w:rsidRPr="00044D82">
        <w:rPr>
          <w:b/>
          <w:iCs/>
        </w:rPr>
        <w:t>7</w:t>
      </w:r>
      <w:r w:rsidR="008E067F" w:rsidRPr="00044D82">
        <w:rPr>
          <w:b/>
          <w:iCs/>
        </w:rPr>
        <w:t xml:space="preserve"> mld.</w:t>
      </w:r>
      <w:r w:rsidRPr="00044D82">
        <w:rPr>
          <w:b/>
          <w:iCs/>
        </w:rPr>
        <w:t xml:space="preserve"> Kč, která představuje hodnotu </w:t>
      </w:r>
      <w:r w:rsidR="00041DA5">
        <w:rPr>
          <w:b/>
          <w:iCs/>
        </w:rPr>
        <w:t xml:space="preserve">bezúplatně </w:t>
      </w:r>
      <w:r w:rsidR="00545EDD" w:rsidRPr="00044D82">
        <w:rPr>
          <w:b/>
          <w:iCs/>
        </w:rPr>
        <w:t>přidělen</w:t>
      </w:r>
      <w:r w:rsidR="00041DA5">
        <w:rPr>
          <w:b/>
          <w:iCs/>
        </w:rPr>
        <w:t>ých</w:t>
      </w:r>
      <w:r w:rsidRPr="00044D82">
        <w:rPr>
          <w:b/>
          <w:iCs/>
        </w:rPr>
        <w:t xml:space="preserve"> povolenek </w:t>
      </w:r>
      <w:r w:rsidR="008E067F" w:rsidRPr="00044D82">
        <w:rPr>
          <w:b/>
          <w:iCs/>
        </w:rPr>
        <w:t>na emise</w:t>
      </w:r>
      <w:r w:rsidRPr="00044D82">
        <w:rPr>
          <w:b/>
          <w:iCs/>
        </w:rPr>
        <w:t xml:space="preserve"> </w:t>
      </w:r>
      <w:r w:rsidR="006D52E9" w:rsidRPr="00044D82">
        <w:rPr>
          <w:b/>
          <w:iCs/>
        </w:rPr>
        <w:t xml:space="preserve">skleníkových plynů </w:t>
      </w:r>
      <w:r w:rsidRPr="00044D82">
        <w:rPr>
          <w:b/>
          <w:iCs/>
        </w:rPr>
        <w:t>v</w:t>
      </w:r>
      <w:r w:rsidR="008E067F" w:rsidRPr="00044D82">
        <w:rPr>
          <w:b/>
          <w:iCs/>
        </w:rPr>
        <w:t> </w:t>
      </w:r>
      <w:r w:rsidRPr="00044D82">
        <w:rPr>
          <w:b/>
          <w:iCs/>
        </w:rPr>
        <w:t>roce 2022</w:t>
      </w:r>
      <w:r w:rsidR="009548E8" w:rsidRPr="00044D82">
        <w:rPr>
          <w:b/>
          <w:iCs/>
        </w:rPr>
        <w:t>.</w:t>
      </w:r>
    </w:p>
    <w:p w14:paraId="44896A0E" w14:textId="77777777" w:rsidR="00F34CBA" w:rsidRDefault="00F34CBA" w:rsidP="009D156E">
      <w:pPr>
        <w:spacing w:after="0"/>
        <w:jc w:val="both"/>
        <w:rPr>
          <w:iCs/>
        </w:rPr>
      </w:pPr>
    </w:p>
    <w:p w14:paraId="66B6754C" w14:textId="0320788D" w:rsidR="00F34CBA" w:rsidRPr="00E23815" w:rsidRDefault="00F34CBA" w:rsidP="009D156E">
      <w:pPr>
        <w:spacing w:after="0"/>
        <w:jc w:val="both"/>
        <w:rPr>
          <w:iCs/>
        </w:rPr>
      </w:pPr>
      <w:r>
        <w:t>S</w:t>
      </w:r>
      <w:r w:rsidRPr="00E23815">
        <w:t xml:space="preserve">ystém účtování o povolenkách na emise skleníkových plynů je s ohledem na stávající znění právních předpisů nastaven tak, že do výsledku hospodaření MŽP se promítají jen náklady z jejich pozbytí (prodeje či </w:t>
      </w:r>
      <w:r w:rsidR="00041DA5">
        <w:t xml:space="preserve">bezúplatná </w:t>
      </w:r>
      <w:r w:rsidRPr="00E23815">
        <w:t>přidělení povolenek)</w:t>
      </w:r>
      <w:r w:rsidR="00793CA5">
        <w:t>.</w:t>
      </w:r>
      <w:r w:rsidR="004873CD">
        <w:t xml:space="preserve"> </w:t>
      </w:r>
      <w:r w:rsidR="00B61127">
        <w:t>O jejich nabytí</w:t>
      </w:r>
      <w:r w:rsidRPr="00E23815">
        <w:t xml:space="preserve"> účtuje </w:t>
      </w:r>
      <w:r w:rsidR="004873CD" w:rsidRPr="00E23815">
        <w:t xml:space="preserve">MŽP </w:t>
      </w:r>
      <w:r w:rsidRPr="00E23815">
        <w:t>přímo do vlastní</w:t>
      </w:r>
      <w:r>
        <w:t>ho</w:t>
      </w:r>
      <w:r w:rsidRPr="00E23815">
        <w:t xml:space="preserve"> kapitálu. Systematicky se tím prohlubuje vykázaná ztráta MŽP a uživatel účetní závěrky MŽP se proto musí důkladně seznámit s doplňujícími a vysvětlujícími informacemi z přílohy </w:t>
      </w:r>
      <w:r w:rsidR="001A3387">
        <w:t>účetní závěrky</w:t>
      </w:r>
      <w:r w:rsidRPr="00E23815">
        <w:t>.</w:t>
      </w:r>
    </w:p>
    <w:p w14:paraId="00BED921" w14:textId="77777777" w:rsidR="009D156E" w:rsidRPr="00E23815" w:rsidRDefault="009D156E" w:rsidP="009D156E">
      <w:pPr>
        <w:spacing w:after="0"/>
        <w:jc w:val="both"/>
        <w:rPr>
          <w:iCs/>
        </w:rPr>
      </w:pPr>
    </w:p>
    <w:p w14:paraId="349C6569" w14:textId="77777777" w:rsidR="00A047A1" w:rsidRPr="00E23815" w:rsidRDefault="00A047A1" w:rsidP="009D156E">
      <w:pPr>
        <w:spacing w:after="0"/>
        <w:jc w:val="both"/>
        <w:rPr>
          <w:iCs/>
        </w:rPr>
      </w:pPr>
    </w:p>
    <w:p w14:paraId="6EEB3D3E" w14:textId="77777777" w:rsidR="00A047A1" w:rsidRPr="00E23815" w:rsidRDefault="00B34E87" w:rsidP="00B34E87">
      <w:pPr>
        <w:pStyle w:val="Styl2"/>
        <w:numPr>
          <w:ilvl w:val="2"/>
          <w:numId w:val="7"/>
        </w:numPr>
      </w:pPr>
      <w:r w:rsidRPr="00E23815">
        <w:t>R</w:t>
      </w:r>
      <w:r w:rsidR="00A047A1" w:rsidRPr="00E23815">
        <w:t>oční emisní příděl</w:t>
      </w:r>
      <w:r w:rsidRPr="00E23815">
        <w:t>y</w:t>
      </w:r>
    </w:p>
    <w:p w14:paraId="51995F88" w14:textId="77777777" w:rsidR="009846DF" w:rsidRPr="00E23815" w:rsidRDefault="00C761FD" w:rsidP="009846DF">
      <w:pPr>
        <w:spacing w:after="0"/>
        <w:jc w:val="both"/>
        <w:rPr>
          <w:iCs/>
        </w:rPr>
      </w:pPr>
      <w:r w:rsidRPr="00EF2CD1">
        <w:rPr>
          <w:iCs/>
        </w:rPr>
        <w:t>Roční emisní příděly (dále také „REP“)</w:t>
      </w:r>
      <w:r w:rsidRPr="003E3BFD">
        <w:rPr>
          <w:iCs/>
        </w:rPr>
        <w:t xml:space="preserve"> představují maximální množství emisí, které členský stát může vyprodukovat v oblastech, na které se nevztahují povolenky na emise skleníkových plynů.</w:t>
      </w:r>
      <w:r>
        <w:rPr>
          <w:iCs/>
        </w:rPr>
        <w:t xml:space="preserve"> </w:t>
      </w:r>
      <w:r w:rsidR="009846DF" w:rsidRPr="00E23815">
        <w:rPr>
          <w:iCs/>
        </w:rPr>
        <w:t xml:space="preserve">Z ustanovení § 17 odst. 1 zákona č. 383/2012 Sb. vyplývá, že majetkem ČR, se kterým </w:t>
      </w:r>
      <w:r w:rsidR="009846DF" w:rsidRPr="00E23815">
        <w:rPr>
          <w:iCs/>
        </w:rPr>
        <w:lastRenderedPageBreak/>
        <w:t>je příslušné hospodařit MŽP, jsou od roku 2021 také roční emisní příděly věcně vymezené právními předpisy EU</w:t>
      </w:r>
      <w:r w:rsidR="00B30FCC" w:rsidRPr="00E23815">
        <w:rPr>
          <w:rStyle w:val="Znakapoznpodarou"/>
          <w:iCs/>
        </w:rPr>
        <w:footnoteReference w:id="30"/>
      </w:r>
      <w:r w:rsidR="009846DF" w:rsidRPr="00E23815">
        <w:rPr>
          <w:iCs/>
        </w:rPr>
        <w:t>.</w:t>
      </w:r>
    </w:p>
    <w:p w14:paraId="03F2CB23" w14:textId="77777777" w:rsidR="009846DF" w:rsidRPr="00E23815" w:rsidRDefault="009846DF" w:rsidP="009846DF">
      <w:pPr>
        <w:spacing w:after="0"/>
        <w:jc w:val="both"/>
        <w:rPr>
          <w:iCs/>
        </w:rPr>
      </w:pPr>
    </w:p>
    <w:p w14:paraId="1467B251" w14:textId="2FBD16AB" w:rsidR="009846DF" w:rsidRPr="00E23815" w:rsidRDefault="009846DF" w:rsidP="009846DF">
      <w:pPr>
        <w:spacing w:after="0"/>
        <w:jc w:val="both"/>
        <w:rPr>
          <w:iCs/>
        </w:rPr>
      </w:pPr>
      <w:r w:rsidRPr="000B4FD0">
        <w:rPr>
          <w:iCs/>
        </w:rPr>
        <w:t>Roční emisní příděly nejsou účetními předpisy</w:t>
      </w:r>
      <w:r w:rsidRPr="00E23815">
        <w:rPr>
          <w:iCs/>
        </w:rPr>
        <w:t xml:space="preserve"> </w:t>
      </w:r>
      <w:r w:rsidR="00EF2CD1">
        <w:rPr>
          <w:iCs/>
        </w:rPr>
        <w:t>(</w:t>
      </w:r>
      <w:r w:rsidRPr="00E23815">
        <w:rPr>
          <w:iCs/>
        </w:rPr>
        <w:t xml:space="preserve">na rozdíl od povolenek </w:t>
      </w:r>
      <w:r w:rsidR="00FC6B0E" w:rsidRPr="00E23815">
        <w:rPr>
          <w:iCs/>
        </w:rPr>
        <w:t xml:space="preserve">na emise </w:t>
      </w:r>
      <w:r w:rsidR="00BA3E7C" w:rsidRPr="00E23815">
        <w:t>skleníkových plynů</w:t>
      </w:r>
      <w:r w:rsidR="00EF2CD1">
        <w:t>)</w:t>
      </w:r>
      <w:r w:rsidR="00BA3E7C" w:rsidRPr="00E23815">
        <w:rPr>
          <w:iCs/>
        </w:rPr>
        <w:t xml:space="preserve"> </w:t>
      </w:r>
      <w:r w:rsidRPr="00E23815">
        <w:rPr>
          <w:iCs/>
        </w:rPr>
        <w:t xml:space="preserve">explicitně vymezeny jako dlouhodobý nehmotný majetek. </w:t>
      </w:r>
      <w:r w:rsidR="001074F1" w:rsidRPr="00E23815">
        <w:t>Případné příjmy z</w:t>
      </w:r>
      <w:r w:rsidR="001074F1">
        <w:t xml:space="preserve"> jejich </w:t>
      </w:r>
      <w:r w:rsidR="001074F1" w:rsidRPr="00E23815">
        <w:t xml:space="preserve">prodeje jsou </w:t>
      </w:r>
      <w:r w:rsidR="001074F1">
        <w:t xml:space="preserve">dle ustanovení </w:t>
      </w:r>
      <w:r w:rsidR="001074F1" w:rsidRPr="00E23815">
        <w:t>§ 17 odst. 3 zákona č.</w:t>
      </w:r>
      <w:r w:rsidR="001074F1">
        <w:t> </w:t>
      </w:r>
      <w:r w:rsidR="001074F1" w:rsidRPr="00E23815">
        <w:t>383/2012 Sb. příjmem Státního fondu životního prostředí (dále také „SFŽP“).</w:t>
      </w:r>
      <w:r w:rsidR="001074F1">
        <w:t xml:space="preserve"> </w:t>
      </w:r>
      <w:r w:rsidRPr="00E23815">
        <w:rPr>
          <w:iCs/>
        </w:rPr>
        <w:t xml:space="preserve">MŽP považuje všechny jednotky </w:t>
      </w:r>
      <w:r w:rsidR="00F131B4" w:rsidRPr="00E23815">
        <w:rPr>
          <w:iCs/>
        </w:rPr>
        <w:t>ročních emisních přídělů</w:t>
      </w:r>
      <w:r w:rsidRPr="00E23815">
        <w:rPr>
          <w:iCs/>
        </w:rPr>
        <w:t xml:space="preserve"> zaevidované pro ČR v</w:t>
      </w:r>
      <w:r w:rsidR="00F131B4" w:rsidRPr="00E23815">
        <w:rPr>
          <w:iCs/>
        </w:rPr>
        <w:t> </w:t>
      </w:r>
      <w:r w:rsidRPr="00E23815">
        <w:rPr>
          <w:iCs/>
        </w:rPr>
        <w:t xml:space="preserve">registru </w:t>
      </w:r>
      <w:r w:rsidR="00F131B4" w:rsidRPr="00E23815">
        <w:rPr>
          <w:iCs/>
        </w:rPr>
        <w:t>EU</w:t>
      </w:r>
      <w:r w:rsidRPr="00E23815">
        <w:rPr>
          <w:iCs/>
        </w:rPr>
        <w:t xml:space="preserve"> za dlouhodobý nehmotný majetek, což má významný vliv na skutečnosti vykázané v ÚZ.</w:t>
      </w:r>
      <w:r w:rsidR="00F131B4" w:rsidRPr="00E23815">
        <w:rPr>
          <w:iCs/>
        </w:rPr>
        <w:t xml:space="preserve"> </w:t>
      </w:r>
      <w:r w:rsidRPr="00E23815">
        <w:rPr>
          <w:iCs/>
        </w:rPr>
        <w:t>Povaha uvedeného majetku je velmi specifická, neboť roční emisní příděly představují maximální množství emisí, které členský stát může vyprodukovat v</w:t>
      </w:r>
      <w:r w:rsidR="00F131B4" w:rsidRPr="00E23815">
        <w:rPr>
          <w:iCs/>
        </w:rPr>
        <w:t> </w:t>
      </w:r>
      <w:r w:rsidRPr="00E23815">
        <w:rPr>
          <w:iCs/>
        </w:rPr>
        <w:t>oblastech, na které se nevztahují povolenky na emise</w:t>
      </w:r>
      <w:r w:rsidR="00BA3E7C" w:rsidRPr="00E23815">
        <w:rPr>
          <w:iCs/>
        </w:rPr>
        <w:t xml:space="preserve"> </w:t>
      </w:r>
      <w:r w:rsidR="00BA3E7C" w:rsidRPr="00E23815">
        <w:t>skleníkových plynů</w:t>
      </w:r>
      <w:r w:rsidRPr="00E23815">
        <w:rPr>
          <w:iCs/>
        </w:rPr>
        <w:t xml:space="preserve">. Tento majetek je reprezentován jednotkami </w:t>
      </w:r>
      <w:r w:rsidR="00F131B4" w:rsidRPr="00E23815">
        <w:rPr>
          <w:iCs/>
        </w:rPr>
        <w:t>ročních emisních přídělů</w:t>
      </w:r>
      <w:r w:rsidRPr="00E23815">
        <w:rPr>
          <w:iCs/>
        </w:rPr>
        <w:t xml:space="preserve">, které jsou vedeny v registru </w:t>
      </w:r>
      <w:r w:rsidR="00F131B4" w:rsidRPr="00E23815">
        <w:rPr>
          <w:iCs/>
        </w:rPr>
        <w:t>EU</w:t>
      </w:r>
      <w:r w:rsidRPr="00E23815">
        <w:rPr>
          <w:iCs/>
        </w:rPr>
        <w:t xml:space="preserve"> a jsou členským státům na daný rok přiděleny v </w:t>
      </w:r>
      <w:r w:rsidR="00A97FB3">
        <w:rPr>
          <w:iCs/>
        </w:rPr>
        <w:t>počtu</w:t>
      </w:r>
      <w:r w:rsidRPr="00E23815">
        <w:rPr>
          <w:iCs/>
        </w:rPr>
        <w:t xml:space="preserve"> odpovídajícím stanovenému množství emisí. Po zjištění skutečného stavu emisí členského státu má </w:t>
      </w:r>
      <w:r w:rsidR="00A97FB3">
        <w:rPr>
          <w:iCs/>
        </w:rPr>
        <w:t>členský</w:t>
      </w:r>
      <w:r w:rsidRPr="00E23815">
        <w:rPr>
          <w:iCs/>
        </w:rPr>
        <w:t xml:space="preserve"> stát povinnost vyřadit odpovídající množství jednotek </w:t>
      </w:r>
      <w:r w:rsidR="00F131B4" w:rsidRPr="00E23815">
        <w:rPr>
          <w:iCs/>
        </w:rPr>
        <w:t>ročních emisních přídělů</w:t>
      </w:r>
      <w:r w:rsidRPr="00E23815">
        <w:rPr>
          <w:iCs/>
        </w:rPr>
        <w:t xml:space="preserve">. Primárně má tento majetek </w:t>
      </w:r>
      <w:r w:rsidR="006D52E9" w:rsidRPr="00E23815">
        <w:rPr>
          <w:iCs/>
        </w:rPr>
        <w:t>sloužit</w:t>
      </w:r>
      <w:r w:rsidR="00F131B4" w:rsidRPr="00E23815">
        <w:rPr>
          <w:iCs/>
        </w:rPr>
        <w:t xml:space="preserve"> </w:t>
      </w:r>
      <w:r w:rsidRPr="00E23815">
        <w:rPr>
          <w:iCs/>
        </w:rPr>
        <w:t xml:space="preserve">ke sledování plnění závazku snižovat emise skleníkových plynů. </w:t>
      </w:r>
      <w:r w:rsidR="006D52E9" w:rsidRPr="00E23815">
        <w:rPr>
          <w:iCs/>
        </w:rPr>
        <w:t xml:space="preserve">V </w:t>
      </w:r>
      <w:r w:rsidRPr="00E23815">
        <w:rPr>
          <w:iCs/>
        </w:rPr>
        <w:t xml:space="preserve">případě, kdy </w:t>
      </w:r>
      <w:r w:rsidR="00F131B4" w:rsidRPr="00E23815">
        <w:rPr>
          <w:iCs/>
        </w:rPr>
        <w:t xml:space="preserve">jsou </w:t>
      </w:r>
      <w:r w:rsidRPr="00E23815">
        <w:rPr>
          <w:iCs/>
        </w:rPr>
        <w:t xml:space="preserve">skutečné emise daného státu nižší než množství </w:t>
      </w:r>
      <w:r w:rsidR="00F131B4" w:rsidRPr="00E23815">
        <w:rPr>
          <w:iCs/>
        </w:rPr>
        <w:t xml:space="preserve">přidělených </w:t>
      </w:r>
      <w:r w:rsidRPr="00E23815">
        <w:rPr>
          <w:iCs/>
        </w:rPr>
        <w:t xml:space="preserve">jednotek </w:t>
      </w:r>
      <w:r w:rsidR="00F131B4" w:rsidRPr="00E23815">
        <w:rPr>
          <w:iCs/>
        </w:rPr>
        <w:t>ročních emisních přídělů</w:t>
      </w:r>
      <w:r w:rsidRPr="00E23815">
        <w:rPr>
          <w:iCs/>
        </w:rPr>
        <w:t xml:space="preserve">, které má členský stát k dispozici na splnění svého závazku, může členský stát přebytečné jednotky např. prodat. </w:t>
      </w:r>
    </w:p>
    <w:p w14:paraId="69309488" w14:textId="77777777" w:rsidR="009846DF" w:rsidRPr="00E23815" w:rsidRDefault="009846DF" w:rsidP="009846DF">
      <w:pPr>
        <w:spacing w:after="0"/>
        <w:jc w:val="both"/>
        <w:rPr>
          <w:iCs/>
        </w:rPr>
      </w:pPr>
    </w:p>
    <w:p w14:paraId="07BF0DB6" w14:textId="77777777" w:rsidR="001074F1" w:rsidRPr="00E23815" w:rsidRDefault="001074F1" w:rsidP="001074F1">
      <w:pPr>
        <w:spacing w:after="0"/>
        <w:jc w:val="both"/>
      </w:pPr>
      <w:r w:rsidRPr="00E23815">
        <w:t>MŽP vyhodnotilo, že povaze REP je nejbližší dlouhodobý nehmotný majetek</w:t>
      </w:r>
      <w:r w:rsidR="00EF2CD1">
        <w:t>,</w:t>
      </w:r>
      <w:r w:rsidRPr="00E23815">
        <w:t xml:space="preserve"> a jako o takovém o něm </w:t>
      </w:r>
      <w:r>
        <w:t xml:space="preserve">a o souvisejícím závazku </w:t>
      </w:r>
      <w:r w:rsidRPr="00E23815">
        <w:t xml:space="preserve">účtuje. REP jsou určeny pro vyrovnání závazku členského státu týkajícího se emisí. Pokud bylo v rámci státu vyprodukováno emisí méně, pak tyto přebytečné REP může </w:t>
      </w:r>
      <w:r>
        <w:t xml:space="preserve">stát </w:t>
      </w:r>
      <w:r w:rsidRPr="00E23815">
        <w:t>prodat jiným členským státům EU. REP tedy mají ekonomický potenciál.</w:t>
      </w:r>
    </w:p>
    <w:p w14:paraId="477DAC99" w14:textId="77777777" w:rsidR="001074F1" w:rsidRPr="00E23815" w:rsidRDefault="001074F1" w:rsidP="001074F1">
      <w:pPr>
        <w:spacing w:after="0"/>
        <w:jc w:val="both"/>
      </w:pPr>
    </w:p>
    <w:p w14:paraId="3B534D3D" w14:textId="4583166F" w:rsidR="009846DF" w:rsidRPr="00E23815" w:rsidRDefault="001074F1" w:rsidP="003E3BFD">
      <w:pPr>
        <w:spacing w:after="0"/>
        <w:jc w:val="both"/>
        <w:rPr>
          <w:iCs/>
        </w:rPr>
      </w:pPr>
      <w:r w:rsidRPr="00E23815">
        <w:t xml:space="preserve">NKÚ došel k závěru, že účtování o REP jako </w:t>
      </w:r>
      <w:r w:rsidR="00EF2CD1">
        <w:t xml:space="preserve">o </w:t>
      </w:r>
      <w:r w:rsidRPr="00E23815">
        <w:t>aktivu je možné</w:t>
      </w:r>
      <w:r>
        <w:t>.</w:t>
      </w:r>
      <w:r w:rsidRPr="00E23815">
        <w:t xml:space="preserve"> </w:t>
      </w:r>
      <w:r>
        <w:t>V</w:t>
      </w:r>
      <w:r w:rsidRPr="00E23815">
        <w:t> takovém případě je správné i</w:t>
      </w:r>
      <w:r w:rsidR="00EF2CD1">
        <w:t> </w:t>
      </w:r>
      <w:r w:rsidRPr="00E23815">
        <w:t>účtování o souvisejícím závazku, protože jinak by hrozilo vykázání lepší než skutečné finanční situace MŽP. Současně s</w:t>
      </w:r>
      <w:r w:rsidR="00EF2CD1">
        <w:t xml:space="preserve"> </w:t>
      </w:r>
      <w:r w:rsidRPr="00E23815">
        <w:t>tím ale NKÚ konstatoval, že možnost ocenění REP a</w:t>
      </w:r>
      <w:r w:rsidR="00EF2CD1">
        <w:t xml:space="preserve"> </w:t>
      </w:r>
      <w:r w:rsidRPr="00E23815">
        <w:t>souvisejícího závazku pro potřeby účetnictví je omezená (k obchodům s REP mezi členskými státy nedochází na pravidelné bázi). S ohledem na tuto skutečnost MŽP postupuje tak, že při zjištění nové tržní ceny upravuje ocenění REP.</w:t>
      </w:r>
      <w:r w:rsidR="009846DF" w:rsidRPr="00E23815">
        <w:rPr>
          <w:iCs/>
        </w:rPr>
        <w:t xml:space="preserve"> </w:t>
      </w:r>
    </w:p>
    <w:p w14:paraId="05C6E6F8" w14:textId="77777777" w:rsidR="009846DF" w:rsidRPr="00E23815" w:rsidRDefault="009846DF" w:rsidP="009846DF">
      <w:pPr>
        <w:spacing w:after="0"/>
        <w:jc w:val="both"/>
        <w:rPr>
          <w:iCs/>
        </w:rPr>
      </w:pPr>
    </w:p>
    <w:p w14:paraId="3A976859" w14:textId="1AC2EA47" w:rsidR="00A123BA" w:rsidRDefault="00ED3E17" w:rsidP="009846DF">
      <w:pPr>
        <w:spacing w:after="0"/>
        <w:jc w:val="both"/>
        <w:rPr>
          <w:iCs/>
        </w:rPr>
      </w:pPr>
      <w:r w:rsidRPr="00E23815">
        <w:rPr>
          <w:iCs/>
        </w:rPr>
        <w:t>U</w:t>
      </w:r>
      <w:r w:rsidR="009846DF" w:rsidRPr="00E23815">
        <w:rPr>
          <w:iCs/>
        </w:rPr>
        <w:t xml:space="preserve">stanovení § 17 odst. 3 zákona č. 383/2012 Sb. </w:t>
      </w:r>
      <w:r w:rsidR="002D451F">
        <w:rPr>
          <w:iCs/>
        </w:rPr>
        <w:t>má</w:t>
      </w:r>
      <w:r w:rsidR="009846DF" w:rsidRPr="00E23815">
        <w:rPr>
          <w:iCs/>
        </w:rPr>
        <w:t xml:space="preserve"> vliv na výši výsledku hospodaření vykázaného za dané účetní období v</w:t>
      </w:r>
      <w:r w:rsidRPr="00E23815">
        <w:rPr>
          <w:iCs/>
        </w:rPr>
        <w:t> účetní závěrce</w:t>
      </w:r>
      <w:r w:rsidR="002D451F">
        <w:rPr>
          <w:iCs/>
        </w:rPr>
        <w:t xml:space="preserve"> dvou účetních jednotek – MŽP a státního fondu.</w:t>
      </w:r>
      <w:r w:rsidR="00A123BA">
        <w:rPr>
          <w:b/>
          <w:iCs/>
        </w:rPr>
        <w:t xml:space="preserve"> MŽP jako účetní jednotka</w:t>
      </w:r>
      <w:r w:rsidR="00625DB1">
        <w:rPr>
          <w:b/>
          <w:iCs/>
        </w:rPr>
        <w:t xml:space="preserve"> </w:t>
      </w:r>
      <w:r w:rsidR="009846DF" w:rsidRPr="00625DB1">
        <w:rPr>
          <w:b/>
          <w:iCs/>
        </w:rPr>
        <w:t xml:space="preserve">vykáže </w:t>
      </w:r>
      <w:r w:rsidR="00A123BA">
        <w:rPr>
          <w:b/>
          <w:iCs/>
        </w:rPr>
        <w:t xml:space="preserve">ztrátu </w:t>
      </w:r>
      <w:r w:rsidR="009846DF" w:rsidRPr="00625DB1">
        <w:rPr>
          <w:b/>
          <w:iCs/>
        </w:rPr>
        <w:t xml:space="preserve">z prodeje tohoto majetku, neboť </w:t>
      </w:r>
      <w:r w:rsidR="00A123BA">
        <w:rPr>
          <w:b/>
          <w:iCs/>
        </w:rPr>
        <w:t>mu</w:t>
      </w:r>
      <w:r w:rsidR="009846DF" w:rsidRPr="00625DB1">
        <w:rPr>
          <w:b/>
          <w:iCs/>
        </w:rPr>
        <w:t xml:space="preserve"> vznikají náklady z vyřazení jednotek </w:t>
      </w:r>
      <w:r w:rsidRPr="00625DB1">
        <w:rPr>
          <w:b/>
          <w:iCs/>
        </w:rPr>
        <w:t>ročních emisních přídělů</w:t>
      </w:r>
      <w:r w:rsidR="009846DF" w:rsidRPr="00625DB1">
        <w:rPr>
          <w:b/>
          <w:iCs/>
        </w:rPr>
        <w:t xml:space="preserve"> z</w:t>
      </w:r>
      <w:r w:rsidR="00EF2CD1">
        <w:rPr>
          <w:b/>
          <w:iCs/>
        </w:rPr>
        <w:t> </w:t>
      </w:r>
      <w:r w:rsidR="009846DF" w:rsidRPr="00625DB1">
        <w:rPr>
          <w:b/>
          <w:iCs/>
        </w:rPr>
        <w:t>majetku</w:t>
      </w:r>
      <w:r w:rsidR="00EF2CD1">
        <w:rPr>
          <w:b/>
          <w:iCs/>
        </w:rPr>
        <w:t>,</w:t>
      </w:r>
      <w:r w:rsidR="009846DF" w:rsidRPr="00625DB1">
        <w:rPr>
          <w:b/>
          <w:iCs/>
        </w:rPr>
        <w:t xml:space="preserve"> </w:t>
      </w:r>
      <w:r w:rsidR="00A123BA">
        <w:rPr>
          <w:b/>
          <w:iCs/>
        </w:rPr>
        <w:t xml:space="preserve">a to </w:t>
      </w:r>
      <w:r w:rsidR="009846DF" w:rsidRPr="00625DB1">
        <w:rPr>
          <w:b/>
          <w:iCs/>
        </w:rPr>
        <w:t xml:space="preserve">ve výši </w:t>
      </w:r>
      <w:r w:rsidR="00FC6B0E" w:rsidRPr="00625DB1">
        <w:rPr>
          <w:b/>
          <w:iCs/>
        </w:rPr>
        <w:t xml:space="preserve">jejich </w:t>
      </w:r>
      <w:r w:rsidR="009846DF" w:rsidRPr="00625DB1">
        <w:rPr>
          <w:b/>
          <w:iCs/>
        </w:rPr>
        <w:t>reálné hodnoty</w:t>
      </w:r>
      <w:r w:rsidR="00A123BA">
        <w:rPr>
          <w:b/>
          <w:iCs/>
        </w:rPr>
        <w:t>.</w:t>
      </w:r>
      <w:r w:rsidR="006641FC">
        <w:rPr>
          <w:b/>
          <w:iCs/>
        </w:rPr>
        <w:t xml:space="preserve"> </w:t>
      </w:r>
      <w:r w:rsidR="00A123BA">
        <w:rPr>
          <w:b/>
          <w:iCs/>
        </w:rPr>
        <w:t>Oproti tomu</w:t>
      </w:r>
      <w:r w:rsidR="009846DF" w:rsidRPr="00625DB1">
        <w:rPr>
          <w:b/>
          <w:iCs/>
        </w:rPr>
        <w:t xml:space="preserve"> výnosy</w:t>
      </w:r>
      <w:r w:rsidR="00566C57">
        <w:rPr>
          <w:b/>
          <w:iCs/>
        </w:rPr>
        <w:t>, resp. příjmy</w:t>
      </w:r>
      <w:r w:rsidR="009846DF" w:rsidRPr="00625DB1">
        <w:rPr>
          <w:b/>
          <w:iCs/>
        </w:rPr>
        <w:t xml:space="preserve"> z</w:t>
      </w:r>
      <w:r w:rsidR="00A123BA">
        <w:rPr>
          <w:b/>
          <w:iCs/>
        </w:rPr>
        <w:t xml:space="preserve"> tohoto</w:t>
      </w:r>
      <w:r w:rsidR="009846DF" w:rsidRPr="00625DB1">
        <w:rPr>
          <w:b/>
          <w:iCs/>
        </w:rPr>
        <w:t xml:space="preserve"> prodeje jsou účetním případem </w:t>
      </w:r>
      <w:r w:rsidR="00FC6B0E" w:rsidRPr="00625DB1">
        <w:rPr>
          <w:b/>
          <w:iCs/>
        </w:rPr>
        <w:t>s</w:t>
      </w:r>
      <w:r w:rsidRPr="00625DB1">
        <w:rPr>
          <w:b/>
          <w:iCs/>
        </w:rPr>
        <w:t>tátního fondu</w:t>
      </w:r>
      <w:r w:rsidR="009846DF" w:rsidRPr="00AF65F6">
        <w:rPr>
          <w:b/>
          <w:iCs/>
        </w:rPr>
        <w:t xml:space="preserve">. </w:t>
      </w:r>
    </w:p>
    <w:p w14:paraId="5D8AF745" w14:textId="77777777" w:rsidR="00A123BA" w:rsidRDefault="00A123BA" w:rsidP="009846DF">
      <w:pPr>
        <w:spacing w:after="0"/>
        <w:jc w:val="both"/>
        <w:rPr>
          <w:iCs/>
        </w:rPr>
      </w:pPr>
    </w:p>
    <w:p w14:paraId="373D0336" w14:textId="77777777" w:rsidR="00ED3E17" w:rsidRPr="00E23815" w:rsidRDefault="009846DF" w:rsidP="009846DF">
      <w:pPr>
        <w:spacing w:after="0"/>
        <w:jc w:val="both"/>
        <w:rPr>
          <w:iCs/>
        </w:rPr>
      </w:pPr>
      <w:r w:rsidRPr="00E23815">
        <w:rPr>
          <w:iCs/>
        </w:rPr>
        <w:lastRenderedPageBreak/>
        <w:t xml:space="preserve">Další vliv na výši výsledku hospodaření MŽP může mít také významná změna ocenění tohoto majetku. Postupy účtování o jednotkách </w:t>
      </w:r>
      <w:r w:rsidR="00ED3E17" w:rsidRPr="00E23815">
        <w:rPr>
          <w:iCs/>
        </w:rPr>
        <w:t>ročních emisních přídělů</w:t>
      </w:r>
      <w:r w:rsidRPr="00E23815">
        <w:rPr>
          <w:iCs/>
        </w:rPr>
        <w:t xml:space="preserve"> aplikované MŽP od roku 2022 vedly k tomu, že MŽP v</w:t>
      </w:r>
      <w:r w:rsidR="00EF1C88">
        <w:rPr>
          <w:iCs/>
        </w:rPr>
        <w:t> </w:t>
      </w:r>
      <w:r w:rsidRPr="00E23815">
        <w:rPr>
          <w:iCs/>
        </w:rPr>
        <w:t>důsledku uvedených skutečností vykázalo z transakcí s ročními emisními příděly náklady převyšující výnosy</w:t>
      </w:r>
      <w:r w:rsidR="00ED3E17" w:rsidRPr="00E23815">
        <w:rPr>
          <w:iCs/>
        </w:rPr>
        <w:t>.</w:t>
      </w:r>
    </w:p>
    <w:p w14:paraId="3AB0ECBC" w14:textId="42A25DEA" w:rsidR="009846DF" w:rsidRPr="00E23815" w:rsidRDefault="009846DF" w:rsidP="009846DF">
      <w:pPr>
        <w:spacing w:after="0"/>
        <w:jc w:val="both"/>
        <w:rPr>
          <w:iCs/>
        </w:rPr>
      </w:pPr>
    </w:p>
    <w:p w14:paraId="3076B207" w14:textId="2BBD3A46" w:rsidR="009846DF" w:rsidRPr="00E23815" w:rsidRDefault="009846DF" w:rsidP="009846DF">
      <w:pPr>
        <w:spacing w:after="0"/>
        <w:jc w:val="both"/>
        <w:rPr>
          <w:iCs/>
        </w:rPr>
      </w:pPr>
      <w:r w:rsidRPr="00E23815">
        <w:rPr>
          <w:iCs/>
        </w:rPr>
        <w:t xml:space="preserve">V důsledku postupů účtování aplikovaných od roku 2022 </w:t>
      </w:r>
      <w:r w:rsidR="00EF2CD1" w:rsidRPr="00E23815">
        <w:rPr>
          <w:iCs/>
        </w:rPr>
        <w:t xml:space="preserve">vykazuje </w:t>
      </w:r>
      <w:r w:rsidRPr="00E23815">
        <w:rPr>
          <w:iCs/>
        </w:rPr>
        <w:t xml:space="preserve">MŽP na účtu 401 – </w:t>
      </w:r>
      <w:r w:rsidRPr="00E23815">
        <w:rPr>
          <w:i/>
          <w:iCs/>
        </w:rPr>
        <w:t>Jmění účetní jednotky</w:t>
      </w:r>
      <w:r w:rsidRPr="00E23815">
        <w:rPr>
          <w:iCs/>
        </w:rPr>
        <w:t xml:space="preserve"> pouze hodnotu jednotek </w:t>
      </w:r>
      <w:r w:rsidR="00ED3E17" w:rsidRPr="00E23815">
        <w:rPr>
          <w:iCs/>
        </w:rPr>
        <w:t>ročních emisních přídělů</w:t>
      </w:r>
      <w:r w:rsidRPr="00E23815">
        <w:rPr>
          <w:iCs/>
        </w:rPr>
        <w:t xml:space="preserve"> s možným ekonomickým potenciálem (např. v případě prodeje)</w:t>
      </w:r>
      <w:r w:rsidR="00EF2CD1">
        <w:rPr>
          <w:iCs/>
        </w:rPr>
        <w:t>,</w:t>
      </w:r>
      <w:r w:rsidRPr="00E23815">
        <w:rPr>
          <w:iCs/>
        </w:rPr>
        <w:t xml:space="preserve"> a </w:t>
      </w:r>
      <w:r w:rsidR="00EF2CD1">
        <w:rPr>
          <w:iCs/>
        </w:rPr>
        <w:t xml:space="preserve">tudíž </w:t>
      </w:r>
      <w:r w:rsidR="00087C24" w:rsidRPr="00E23815">
        <w:rPr>
          <w:iCs/>
        </w:rPr>
        <w:t>nedochází</w:t>
      </w:r>
      <w:r w:rsidRPr="00E23815">
        <w:rPr>
          <w:iCs/>
        </w:rPr>
        <w:t xml:space="preserve"> k neustálému nárůstu zůstatku tohoto účtu jako v případě povolenek na emise</w:t>
      </w:r>
      <w:r w:rsidR="00087C24" w:rsidRPr="00E23815">
        <w:rPr>
          <w:iCs/>
        </w:rPr>
        <w:t xml:space="preserve"> skleníkových plynů</w:t>
      </w:r>
      <w:r w:rsidRPr="00E23815">
        <w:rPr>
          <w:iCs/>
        </w:rPr>
        <w:t xml:space="preserve">. </w:t>
      </w:r>
    </w:p>
    <w:p w14:paraId="54988631" w14:textId="77777777" w:rsidR="009846DF" w:rsidRPr="00E23815" w:rsidRDefault="009846DF" w:rsidP="009846DF">
      <w:pPr>
        <w:spacing w:after="0"/>
        <w:jc w:val="both"/>
        <w:rPr>
          <w:iCs/>
        </w:rPr>
      </w:pPr>
    </w:p>
    <w:p w14:paraId="7A60E2DC" w14:textId="37760124" w:rsidR="00F77027" w:rsidRDefault="00ED3E17" w:rsidP="009846DF">
      <w:pPr>
        <w:spacing w:after="0"/>
        <w:jc w:val="both"/>
        <w:rPr>
          <w:iCs/>
        </w:rPr>
      </w:pPr>
      <w:r w:rsidRPr="00625DB1">
        <w:rPr>
          <w:b/>
          <w:iCs/>
        </w:rPr>
        <w:t>NKÚ u</w:t>
      </w:r>
      <w:r w:rsidR="009846DF" w:rsidRPr="00625DB1">
        <w:rPr>
          <w:b/>
          <w:iCs/>
        </w:rPr>
        <w:t>pozorňuje</w:t>
      </w:r>
      <w:r w:rsidRPr="00625DB1">
        <w:rPr>
          <w:b/>
          <w:iCs/>
        </w:rPr>
        <w:t xml:space="preserve"> na skutečnost</w:t>
      </w:r>
      <w:r w:rsidR="009846DF" w:rsidRPr="00625DB1">
        <w:rPr>
          <w:b/>
          <w:iCs/>
        </w:rPr>
        <w:t xml:space="preserve">, že MŽP v </w:t>
      </w:r>
      <w:r w:rsidRPr="00625DB1">
        <w:rPr>
          <w:b/>
          <w:iCs/>
        </w:rPr>
        <w:t>ÚZ</w:t>
      </w:r>
      <w:r w:rsidR="009846DF" w:rsidRPr="00625DB1">
        <w:rPr>
          <w:b/>
          <w:iCs/>
        </w:rPr>
        <w:t xml:space="preserve"> vykázalo na účtu 015 – </w:t>
      </w:r>
      <w:r w:rsidR="009846DF" w:rsidRPr="00625DB1">
        <w:rPr>
          <w:b/>
          <w:i/>
          <w:iCs/>
        </w:rPr>
        <w:t xml:space="preserve">Povolenky na emise </w:t>
      </w:r>
      <w:r w:rsidR="000B4FD0">
        <w:rPr>
          <w:b/>
          <w:i/>
          <w:iCs/>
        </w:rPr>
        <w:br/>
      </w:r>
      <w:r w:rsidR="009846DF" w:rsidRPr="00625DB1">
        <w:rPr>
          <w:b/>
          <w:i/>
          <w:iCs/>
        </w:rPr>
        <w:t>a</w:t>
      </w:r>
      <w:r w:rsidR="000B4FD0">
        <w:rPr>
          <w:b/>
          <w:i/>
          <w:iCs/>
        </w:rPr>
        <w:t xml:space="preserve"> </w:t>
      </w:r>
      <w:r w:rsidR="009846DF" w:rsidRPr="00625DB1">
        <w:rPr>
          <w:b/>
          <w:i/>
          <w:iCs/>
        </w:rPr>
        <w:t>preferenční limity</w:t>
      </w:r>
      <w:r w:rsidR="009846DF" w:rsidRPr="00625DB1">
        <w:rPr>
          <w:b/>
          <w:iCs/>
        </w:rPr>
        <w:t xml:space="preserve"> částku 2</w:t>
      </w:r>
      <w:r w:rsidRPr="00625DB1">
        <w:rPr>
          <w:b/>
          <w:iCs/>
        </w:rPr>
        <w:t>,</w:t>
      </w:r>
      <w:r w:rsidR="009846DF" w:rsidRPr="00625DB1">
        <w:rPr>
          <w:b/>
          <w:iCs/>
        </w:rPr>
        <w:t>7</w:t>
      </w:r>
      <w:r w:rsidRPr="00625DB1">
        <w:rPr>
          <w:b/>
          <w:iCs/>
        </w:rPr>
        <w:t xml:space="preserve"> mld.</w:t>
      </w:r>
      <w:r w:rsidR="009846DF" w:rsidRPr="00625DB1">
        <w:rPr>
          <w:b/>
          <w:iCs/>
        </w:rPr>
        <w:t xml:space="preserve"> Kč a na účtu 035 – </w:t>
      </w:r>
      <w:r w:rsidR="009846DF" w:rsidRPr="00625DB1">
        <w:rPr>
          <w:b/>
          <w:i/>
          <w:iCs/>
        </w:rPr>
        <w:t>Dlouhodobý nehmotný majetek určený k</w:t>
      </w:r>
      <w:r w:rsidR="000B4FD0">
        <w:rPr>
          <w:b/>
          <w:i/>
          <w:iCs/>
        </w:rPr>
        <w:t> </w:t>
      </w:r>
      <w:r w:rsidR="009846DF" w:rsidRPr="00625DB1">
        <w:rPr>
          <w:b/>
          <w:i/>
          <w:iCs/>
        </w:rPr>
        <w:t>prodeji</w:t>
      </w:r>
      <w:r w:rsidR="009846DF" w:rsidRPr="00625DB1">
        <w:rPr>
          <w:b/>
          <w:iCs/>
        </w:rPr>
        <w:t xml:space="preserve"> částku </w:t>
      </w:r>
      <w:r w:rsidRPr="00625DB1">
        <w:rPr>
          <w:b/>
          <w:iCs/>
        </w:rPr>
        <w:t>0,2 mld. Kč</w:t>
      </w:r>
      <w:r w:rsidR="009846DF" w:rsidRPr="00625DB1">
        <w:rPr>
          <w:b/>
          <w:iCs/>
        </w:rPr>
        <w:t xml:space="preserve"> představující hodnotu všech jednotek </w:t>
      </w:r>
      <w:r w:rsidRPr="00625DB1">
        <w:rPr>
          <w:b/>
          <w:iCs/>
        </w:rPr>
        <w:t>ročních emisních přídělů</w:t>
      </w:r>
      <w:r w:rsidR="009846DF" w:rsidRPr="00625DB1">
        <w:rPr>
          <w:b/>
          <w:iCs/>
        </w:rPr>
        <w:t xml:space="preserve"> zahrnutých v majetku MŽP k 31. </w:t>
      </w:r>
      <w:r w:rsidR="00F77027">
        <w:rPr>
          <w:b/>
          <w:iCs/>
        </w:rPr>
        <w:t>prosinci</w:t>
      </w:r>
      <w:r w:rsidR="009846DF" w:rsidRPr="00625DB1">
        <w:rPr>
          <w:b/>
          <w:iCs/>
        </w:rPr>
        <w:t xml:space="preserve"> 2022. Na účtu 378 – </w:t>
      </w:r>
      <w:r w:rsidR="009846DF" w:rsidRPr="00625DB1">
        <w:rPr>
          <w:b/>
          <w:i/>
          <w:iCs/>
        </w:rPr>
        <w:t>Ostatní krátkodobé závazky</w:t>
      </w:r>
      <w:r w:rsidR="009846DF" w:rsidRPr="00625DB1">
        <w:rPr>
          <w:b/>
          <w:iCs/>
        </w:rPr>
        <w:t xml:space="preserve"> vykázalo </w:t>
      </w:r>
      <w:r w:rsidR="00EF2CD1" w:rsidRPr="00625DB1">
        <w:rPr>
          <w:b/>
          <w:iCs/>
        </w:rPr>
        <w:t xml:space="preserve">MŽP </w:t>
      </w:r>
      <w:r w:rsidR="009846DF" w:rsidRPr="00625DB1">
        <w:rPr>
          <w:b/>
          <w:iCs/>
        </w:rPr>
        <w:t xml:space="preserve">částku </w:t>
      </w:r>
      <w:r w:rsidRPr="00625DB1">
        <w:rPr>
          <w:b/>
          <w:iCs/>
        </w:rPr>
        <w:t>2,0 mld.</w:t>
      </w:r>
      <w:r w:rsidR="009846DF" w:rsidRPr="00625DB1">
        <w:rPr>
          <w:b/>
          <w:iCs/>
        </w:rPr>
        <w:t xml:space="preserve"> Kč, která představuje hodnotu jednotek </w:t>
      </w:r>
      <w:r w:rsidRPr="00625DB1">
        <w:rPr>
          <w:b/>
          <w:iCs/>
        </w:rPr>
        <w:t>ročních emisních přídělů</w:t>
      </w:r>
      <w:r w:rsidR="009846DF" w:rsidRPr="00625DB1">
        <w:rPr>
          <w:b/>
          <w:iCs/>
        </w:rPr>
        <w:t xml:space="preserve"> určených k vyřazení z důvodu splnění závazku, tj. výše skutečných emisí ČR za rok 2020. MŽP dále v </w:t>
      </w:r>
      <w:r w:rsidRPr="00625DB1">
        <w:rPr>
          <w:b/>
          <w:iCs/>
        </w:rPr>
        <w:t>ÚZ</w:t>
      </w:r>
      <w:r w:rsidR="009846DF" w:rsidRPr="00625DB1">
        <w:rPr>
          <w:b/>
          <w:iCs/>
        </w:rPr>
        <w:t xml:space="preserve"> vykázalo na účtu 401 – </w:t>
      </w:r>
      <w:r w:rsidR="009846DF" w:rsidRPr="00625DB1">
        <w:rPr>
          <w:b/>
          <w:i/>
          <w:iCs/>
        </w:rPr>
        <w:t>Jmění účetní jednotky</w:t>
      </w:r>
      <w:r w:rsidR="009846DF" w:rsidRPr="00625DB1">
        <w:rPr>
          <w:b/>
          <w:iCs/>
        </w:rPr>
        <w:t xml:space="preserve"> částku 1</w:t>
      </w:r>
      <w:r w:rsidRPr="00625DB1">
        <w:rPr>
          <w:b/>
          <w:iCs/>
        </w:rPr>
        <w:t>,1 mld.</w:t>
      </w:r>
      <w:r w:rsidR="009846DF" w:rsidRPr="00625DB1">
        <w:rPr>
          <w:b/>
          <w:iCs/>
        </w:rPr>
        <w:t xml:space="preserve"> Kč, která představuje hodnotu nevyužitých jednotek </w:t>
      </w:r>
      <w:r w:rsidRPr="00625DB1">
        <w:rPr>
          <w:b/>
          <w:iCs/>
        </w:rPr>
        <w:t>ročních emisních přídělů</w:t>
      </w:r>
      <w:r w:rsidR="009846DF" w:rsidRPr="00625DB1">
        <w:rPr>
          <w:b/>
          <w:iCs/>
        </w:rPr>
        <w:t xml:space="preserve">, které již nebyly určeny k pokrytí závazku ve výši skutečných emisí ČR za rok 2020. Všechny tyto jednotky </w:t>
      </w:r>
      <w:r w:rsidRPr="00625DB1">
        <w:rPr>
          <w:b/>
          <w:iCs/>
        </w:rPr>
        <w:t>ročních emisních přídělů</w:t>
      </w:r>
      <w:r w:rsidR="009846DF" w:rsidRPr="00625DB1">
        <w:rPr>
          <w:b/>
          <w:iCs/>
        </w:rPr>
        <w:t xml:space="preserve"> byly z důvodu ukončení </w:t>
      </w:r>
      <w:r w:rsidR="00EF2CD1">
        <w:rPr>
          <w:b/>
          <w:iCs/>
        </w:rPr>
        <w:t>své</w:t>
      </w:r>
      <w:r w:rsidR="009846DF" w:rsidRPr="00625DB1">
        <w:rPr>
          <w:b/>
          <w:iCs/>
        </w:rPr>
        <w:t xml:space="preserve"> platnosti v roce 2023 vyřazeny a</w:t>
      </w:r>
      <w:r w:rsidR="000B4FD0">
        <w:rPr>
          <w:b/>
          <w:iCs/>
        </w:rPr>
        <w:t xml:space="preserve"> </w:t>
      </w:r>
      <w:r w:rsidR="009846DF" w:rsidRPr="00625DB1">
        <w:rPr>
          <w:b/>
          <w:iCs/>
        </w:rPr>
        <w:t>v</w:t>
      </w:r>
      <w:r w:rsidR="000B4FD0">
        <w:rPr>
          <w:b/>
          <w:iCs/>
        </w:rPr>
        <w:t xml:space="preserve"> </w:t>
      </w:r>
      <w:r w:rsidR="009846DF" w:rsidRPr="00625DB1">
        <w:rPr>
          <w:b/>
          <w:iCs/>
        </w:rPr>
        <w:t xml:space="preserve">registru </w:t>
      </w:r>
      <w:r w:rsidR="00A41736">
        <w:rPr>
          <w:b/>
          <w:iCs/>
        </w:rPr>
        <w:t>Evropské u</w:t>
      </w:r>
      <w:r w:rsidR="00D92479" w:rsidRPr="00625DB1">
        <w:rPr>
          <w:b/>
          <w:iCs/>
        </w:rPr>
        <w:t xml:space="preserve">nie </w:t>
      </w:r>
      <w:r w:rsidR="009846DF" w:rsidRPr="00625DB1">
        <w:rPr>
          <w:b/>
          <w:iCs/>
        </w:rPr>
        <w:t>zrušeny.</w:t>
      </w:r>
      <w:r w:rsidRPr="00E23815">
        <w:rPr>
          <w:iCs/>
        </w:rPr>
        <w:t xml:space="preserve"> </w:t>
      </w:r>
    </w:p>
    <w:p w14:paraId="71EC02B0" w14:textId="77777777" w:rsidR="00A123BA" w:rsidRDefault="00A123BA" w:rsidP="009846DF">
      <w:pPr>
        <w:spacing w:after="0"/>
        <w:jc w:val="both"/>
        <w:rPr>
          <w:iCs/>
        </w:rPr>
      </w:pPr>
    </w:p>
    <w:p w14:paraId="06300204" w14:textId="21AB9C69" w:rsidR="00824DA8" w:rsidRPr="00E23815" w:rsidRDefault="009846DF" w:rsidP="009846DF">
      <w:pPr>
        <w:spacing w:after="0"/>
        <w:jc w:val="both"/>
        <w:rPr>
          <w:iCs/>
        </w:rPr>
      </w:pPr>
      <w:r w:rsidRPr="00E23815">
        <w:rPr>
          <w:iCs/>
        </w:rPr>
        <w:t>MŽP dále</w:t>
      </w:r>
      <w:r w:rsidR="00FC6B0E" w:rsidRPr="00E23815">
        <w:rPr>
          <w:iCs/>
        </w:rPr>
        <w:t xml:space="preserve"> v</w:t>
      </w:r>
      <w:r w:rsidR="00EF2CD1">
        <w:rPr>
          <w:iCs/>
        </w:rPr>
        <w:t xml:space="preserve"> </w:t>
      </w:r>
      <w:r w:rsidR="00FC6B0E" w:rsidRPr="00E23815">
        <w:rPr>
          <w:iCs/>
        </w:rPr>
        <w:t>ÚZ</w:t>
      </w:r>
      <w:r w:rsidRPr="00E23815">
        <w:rPr>
          <w:iCs/>
        </w:rPr>
        <w:t xml:space="preserve"> na účtu 552 – </w:t>
      </w:r>
      <w:r w:rsidRPr="00E23815">
        <w:rPr>
          <w:i/>
          <w:iCs/>
        </w:rPr>
        <w:t>Prodaný dlouhodobý nehmotný majetek</w:t>
      </w:r>
      <w:r w:rsidRPr="00E23815">
        <w:rPr>
          <w:iCs/>
        </w:rPr>
        <w:t xml:space="preserve"> vykázalo částku </w:t>
      </w:r>
      <w:r w:rsidR="00ED3E17" w:rsidRPr="00E23815">
        <w:rPr>
          <w:iCs/>
        </w:rPr>
        <w:t>0,1</w:t>
      </w:r>
      <w:r w:rsidR="00566C57">
        <w:rPr>
          <w:iCs/>
        </w:rPr>
        <w:t> </w:t>
      </w:r>
      <w:r w:rsidR="00ED3E17" w:rsidRPr="00E23815">
        <w:rPr>
          <w:iCs/>
        </w:rPr>
        <w:t>mld.</w:t>
      </w:r>
      <w:r w:rsidR="00566C57">
        <w:rPr>
          <w:iCs/>
        </w:rPr>
        <w:t> </w:t>
      </w:r>
      <w:r w:rsidRPr="00E23815">
        <w:rPr>
          <w:iCs/>
        </w:rPr>
        <w:t xml:space="preserve">Kč, která představuje reálnou hodnotu jednotek </w:t>
      </w:r>
      <w:r w:rsidR="00ED3E17" w:rsidRPr="00E23815">
        <w:rPr>
          <w:iCs/>
        </w:rPr>
        <w:t>ročních emisních přídělů</w:t>
      </w:r>
      <w:r w:rsidRPr="00E23815">
        <w:rPr>
          <w:iCs/>
        </w:rPr>
        <w:t xml:space="preserve"> prodaných v roce 2022. Na účtu 556 – </w:t>
      </w:r>
      <w:r w:rsidRPr="00E23815">
        <w:rPr>
          <w:i/>
          <w:iCs/>
        </w:rPr>
        <w:t>Tvorba a zúčtování opravných položek</w:t>
      </w:r>
      <w:r w:rsidRPr="00E23815">
        <w:rPr>
          <w:iCs/>
        </w:rPr>
        <w:t xml:space="preserve"> pak MŽP vykázalo částku </w:t>
      </w:r>
      <w:r w:rsidR="00356C5B">
        <w:rPr>
          <w:iCs/>
        </w:rPr>
        <w:br/>
      </w:r>
      <w:r w:rsidR="00ED3E17" w:rsidRPr="00E23815">
        <w:rPr>
          <w:iCs/>
        </w:rPr>
        <w:t>0,7</w:t>
      </w:r>
      <w:r w:rsidR="00356C5B">
        <w:rPr>
          <w:iCs/>
        </w:rPr>
        <w:t xml:space="preserve"> </w:t>
      </w:r>
      <w:r w:rsidR="00ED3E17" w:rsidRPr="00E23815">
        <w:rPr>
          <w:iCs/>
        </w:rPr>
        <w:t>mld. Kč</w:t>
      </w:r>
      <w:r w:rsidRPr="00E23815">
        <w:rPr>
          <w:iCs/>
        </w:rPr>
        <w:t xml:space="preserve"> představující dočasné snížení hodnoty jednotek </w:t>
      </w:r>
      <w:r w:rsidR="00ED3E17" w:rsidRPr="00E23815">
        <w:rPr>
          <w:iCs/>
        </w:rPr>
        <w:t>ročních emisních přídělů</w:t>
      </w:r>
      <w:r w:rsidRPr="00E23815">
        <w:rPr>
          <w:iCs/>
        </w:rPr>
        <w:t xml:space="preserve"> v</w:t>
      </w:r>
      <w:r w:rsidR="00566C57">
        <w:rPr>
          <w:iCs/>
        </w:rPr>
        <w:t> </w:t>
      </w:r>
      <w:r w:rsidRPr="00E23815">
        <w:rPr>
          <w:iCs/>
        </w:rPr>
        <w:t>důsledku zjištění nové tržní ceny těchto jednotek.</w:t>
      </w:r>
    </w:p>
    <w:p w14:paraId="7ACA1277" w14:textId="77777777" w:rsidR="00824DA8" w:rsidRPr="00E23815" w:rsidRDefault="00824DA8" w:rsidP="00E82EBB">
      <w:pPr>
        <w:spacing w:after="0"/>
        <w:jc w:val="both"/>
        <w:rPr>
          <w:iCs/>
        </w:rPr>
      </w:pPr>
    </w:p>
    <w:p w14:paraId="35335638" w14:textId="77777777" w:rsidR="00824DA8" w:rsidRPr="00E23815" w:rsidRDefault="00824DA8" w:rsidP="00E82EBB">
      <w:pPr>
        <w:spacing w:after="0"/>
        <w:jc w:val="both"/>
        <w:rPr>
          <w:iCs/>
        </w:rPr>
      </w:pPr>
    </w:p>
    <w:p w14:paraId="0D7F66E8" w14:textId="77777777" w:rsidR="00F77FF5" w:rsidRPr="00E23815" w:rsidRDefault="00B34E87" w:rsidP="00B34E87">
      <w:pPr>
        <w:pStyle w:val="Styl2"/>
        <w:numPr>
          <w:ilvl w:val="2"/>
          <w:numId w:val="7"/>
        </w:numPr>
      </w:pPr>
      <w:r w:rsidRPr="00E23815">
        <w:t>Finanční aktiva týkající se p</w:t>
      </w:r>
      <w:r w:rsidR="00F77FF5" w:rsidRPr="00E23815">
        <w:t>rostřed</w:t>
      </w:r>
      <w:r w:rsidRPr="00E23815">
        <w:t>ků</w:t>
      </w:r>
      <w:r w:rsidR="00F77FF5" w:rsidRPr="00E23815">
        <w:t xml:space="preserve"> </w:t>
      </w:r>
      <w:r w:rsidR="00F77FF5" w:rsidRPr="00AF65F6">
        <w:rPr>
          <w:i/>
        </w:rPr>
        <w:t>Modernizačního fondu</w:t>
      </w:r>
    </w:p>
    <w:p w14:paraId="6B9B8D79" w14:textId="75C9E123" w:rsidR="00C610D9" w:rsidRPr="00E23815" w:rsidRDefault="00E82EBB" w:rsidP="003C7251">
      <w:pPr>
        <w:spacing w:after="0"/>
        <w:jc w:val="both"/>
        <w:rPr>
          <w:iCs/>
        </w:rPr>
      </w:pPr>
      <w:r w:rsidRPr="00E23815">
        <w:rPr>
          <w:iCs/>
        </w:rPr>
        <w:t>Právními předpisy EU</w:t>
      </w:r>
      <w:r w:rsidR="00B8508D" w:rsidRPr="00E23815">
        <w:rPr>
          <w:rStyle w:val="Znakapoznpodarou"/>
          <w:iCs/>
        </w:rPr>
        <w:footnoteReference w:id="31"/>
      </w:r>
      <w:r w:rsidRPr="00E23815">
        <w:rPr>
          <w:iCs/>
        </w:rPr>
        <w:t xml:space="preserve"> byl pro období let 2021 až 2030 vytvořen </w:t>
      </w:r>
      <w:r w:rsidRPr="00AF65F6">
        <w:rPr>
          <w:i/>
          <w:iCs/>
        </w:rPr>
        <w:t>Modernizační fond</w:t>
      </w:r>
      <w:r w:rsidR="001074F1">
        <w:rPr>
          <w:iCs/>
        </w:rPr>
        <w:t xml:space="preserve"> (dále také „</w:t>
      </w:r>
      <w:proofErr w:type="spellStart"/>
      <w:r w:rsidR="001074F1">
        <w:rPr>
          <w:iCs/>
        </w:rPr>
        <w:t>ModF</w:t>
      </w:r>
      <w:proofErr w:type="spellEnd"/>
      <w:r w:rsidR="001074F1">
        <w:rPr>
          <w:iCs/>
        </w:rPr>
        <w:t>“)</w:t>
      </w:r>
      <w:r w:rsidRPr="00E23815">
        <w:rPr>
          <w:iCs/>
        </w:rPr>
        <w:t xml:space="preserve">, jehož zdrojem jsou </w:t>
      </w:r>
      <w:r w:rsidR="00DE4D24" w:rsidRPr="00E23815">
        <w:rPr>
          <w:iCs/>
        </w:rPr>
        <w:t xml:space="preserve">výnosy </w:t>
      </w:r>
      <w:r w:rsidRPr="00E23815">
        <w:rPr>
          <w:iCs/>
        </w:rPr>
        <w:t>z prodeje povolenek na emise</w:t>
      </w:r>
      <w:r w:rsidR="00BA3E7C" w:rsidRPr="00E23815">
        <w:rPr>
          <w:iCs/>
        </w:rPr>
        <w:t xml:space="preserve"> </w:t>
      </w:r>
      <w:r w:rsidR="00BA3E7C" w:rsidRPr="00E23815">
        <w:t>skleníkových plynů</w:t>
      </w:r>
      <w:r w:rsidR="00BA042B">
        <w:t>.</w:t>
      </w:r>
      <w:r w:rsidRPr="00E23815">
        <w:rPr>
          <w:iCs/>
        </w:rPr>
        <w:t xml:space="preserve"> </w:t>
      </w:r>
      <w:r w:rsidR="00BA042B">
        <w:rPr>
          <w:iCs/>
        </w:rPr>
        <w:t>Tyto povolenky</w:t>
      </w:r>
      <w:r w:rsidRPr="00E23815">
        <w:rPr>
          <w:iCs/>
        </w:rPr>
        <w:t xml:space="preserve"> draží </w:t>
      </w:r>
      <w:r w:rsidR="00F1194A">
        <w:rPr>
          <w:iCs/>
        </w:rPr>
        <w:t>Evropská investiční banka (dále také „</w:t>
      </w:r>
      <w:r w:rsidR="00F83EB1" w:rsidRPr="00E23815">
        <w:rPr>
          <w:iCs/>
        </w:rPr>
        <w:t>EIB</w:t>
      </w:r>
      <w:r w:rsidR="00F1194A">
        <w:rPr>
          <w:iCs/>
        </w:rPr>
        <w:t>“)</w:t>
      </w:r>
      <w:r w:rsidRPr="00E23815">
        <w:rPr>
          <w:iCs/>
        </w:rPr>
        <w:t xml:space="preserve">, která také prostředky </w:t>
      </w:r>
      <w:proofErr w:type="spellStart"/>
      <w:r w:rsidRPr="00E23815">
        <w:rPr>
          <w:iCs/>
        </w:rPr>
        <w:t>ModF</w:t>
      </w:r>
      <w:proofErr w:type="spellEnd"/>
      <w:r w:rsidRPr="00E23815">
        <w:rPr>
          <w:iCs/>
        </w:rPr>
        <w:t xml:space="preserve"> spravuje. </w:t>
      </w:r>
      <w:proofErr w:type="spellStart"/>
      <w:r w:rsidR="00133D36" w:rsidRPr="00E23815">
        <w:t>ModF</w:t>
      </w:r>
      <w:proofErr w:type="spellEnd"/>
      <w:r w:rsidR="00133D36" w:rsidRPr="00E23815">
        <w:t xml:space="preserve"> působí v rámci odpovědnosti tzv. přijímajících členských států, </w:t>
      </w:r>
      <w:r w:rsidR="00BA042B">
        <w:t>jimiž</w:t>
      </w:r>
      <w:r w:rsidR="00133D36" w:rsidRPr="00E23815">
        <w:t xml:space="preserve"> jsou </w:t>
      </w:r>
      <w:r w:rsidR="00133D36" w:rsidRPr="00E23815">
        <w:lastRenderedPageBreak/>
        <w:t xml:space="preserve">vybrané členské státy </w:t>
      </w:r>
      <w:r w:rsidR="001074F1" w:rsidRPr="00E23815">
        <w:rPr>
          <w:rFonts w:cstheme="minorHAnsi"/>
        </w:rPr>
        <w:t>EU</w:t>
      </w:r>
      <w:r w:rsidR="001074F1" w:rsidRPr="00E23815">
        <w:rPr>
          <w:rStyle w:val="Znakapoznpodarou"/>
          <w:rFonts w:cstheme="minorHAnsi"/>
          <w:iCs/>
        </w:rPr>
        <w:footnoteReference w:id="32"/>
      </w:r>
      <w:r w:rsidR="001074F1">
        <w:rPr>
          <w:rFonts w:cstheme="minorHAnsi"/>
        </w:rPr>
        <w:t xml:space="preserve"> včetně ČR</w:t>
      </w:r>
      <w:r w:rsidR="00DE4D24" w:rsidRPr="00E23815">
        <w:t>.</w:t>
      </w:r>
      <w:r w:rsidR="00133D36" w:rsidRPr="00E23815">
        <w:t xml:space="preserve"> ČR</w:t>
      </w:r>
      <w:r w:rsidRPr="00E23815">
        <w:rPr>
          <w:iCs/>
        </w:rPr>
        <w:t xml:space="preserve"> má </w:t>
      </w:r>
      <w:r w:rsidR="004E0299" w:rsidRPr="00E23815">
        <w:rPr>
          <w:iCs/>
        </w:rPr>
        <w:t xml:space="preserve">prostřednictvím MŽP </w:t>
      </w:r>
      <w:r w:rsidRPr="00E23815">
        <w:rPr>
          <w:iCs/>
        </w:rPr>
        <w:t xml:space="preserve">v </w:t>
      </w:r>
      <w:proofErr w:type="spellStart"/>
      <w:r w:rsidRPr="00E23815">
        <w:rPr>
          <w:iCs/>
        </w:rPr>
        <w:t>ModF</w:t>
      </w:r>
      <w:proofErr w:type="spellEnd"/>
      <w:r w:rsidRPr="00E23815">
        <w:rPr>
          <w:iCs/>
        </w:rPr>
        <w:t xml:space="preserve"> podíl, který může za stanovených podmínek a na určené účely čerpat pouze </w:t>
      </w:r>
      <w:r w:rsidR="00F77FF5" w:rsidRPr="00E23815">
        <w:rPr>
          <w:iCs/>
        </w:rPr>
        <w:t>ona</w:t>
      </w:r>
      <w:r w:rsidRPr="00E23815">
        <w:rPr>
          <w:iCs/>
        </w:rPr>
        <w:t xml:space="preserve">. </w:t>
      </w:r>
    </w:p>
    <w:p w14:paraId="498F47D4" w14:textId="77777777" w:rsidR="00C610D9" w:rsidRPr="00E23815" w:rsidRDefault="00C610D9" w:rsidP="003C7251">
      <w:pPr>
        <w:spacing w:after="0"/>
        <w:jc w:val="both"/>
        <w:rPr>
          <w:iCs/>
        </w:rPr>
      </w:pPr>
    </w:p>
    <w:p w14:paraId="18C36703" w14:textId="77777777" w:rsidR="003C7251" w:rsidRPr="00E23815" w:rsidRDefault="00E65366" w:rsidP="003C7251">
      <w:pPr>
        <w:spacing w:after="0"/>
        <w:jc w:val="both"/>
      </w:pPr>
      <w:r w:rsidRPr="00E23815">
        <w:rPr>
          <w:iCs/>
        </w:rPr>
        <w:t xml:space="preserve">Podíl </w:t>
      </w:r>
      <w:r w:rsidR="003C7251" w:rsidRPr="00E23815">
        <w:rPr>
          <w:bCs/>
        </w:rPr>
        <w:t xml:space="preserve">ČR </w:t>
      </w:r>
      <w:r w:rsidRPr="00E23815">
        <w:rPr>
          <w:bCs/>
        </w:rPr>
        <w:t xml:space="preserve">v </w:t>
      </w:r>
      <w:proofErr w:type="spellStart"/>
      <w:r w:rsidRPr="00E23815">
        <w:rPr>
          <w:bCs/>
        </w:rPr>
        <w:t>ModF</w:t>
      </w:r>
      <w:proofErr w:type="spellEnd"/>
      <w:r w:rsidRPr="00E23815">
        <w:rPr>
          <w:bCs/>
        </w:rPr>
        <w:t xml:space="preserve"> je tvořen</w:t>
      </w:r>
      <w:r w:rsidR="003C7251" w:rsidRPr="00E23815">
        <w:rPr>
          <w:bCs/>
        </w:rPr>
        <w:t>:</w:t>
      </w:r>
    </w:p>
    <w:p w14:paraId="1B538D26" w14:textId="0A24E966" w:rsidR="003C7251" w:rsidRPr="00E23815" w:rsidRDefault="003C7251" w:rsidP="003C7251">
      <w:pPr>
        <w:numPr>
          <w:ilvl w:val="0"/>
          <w:numId w:val="19"/>
        </w:numPr>
        <w:spacing w:after="0"/>
        <w:jc w:val="both"/>
        <w:rPr>
          <w:bCs/>
        </w:rPr>
      </w:pPr>
      <w:proofErr w:type="gramStart"/>
      <w:r w:rsidRPr="00E23815">
        <w:rPr>
          <w:bCs/>
        </w:rPr>
        <w:t>15,59%</w:t>
      </w:r>
      <w:proofErr w:type="gramEnd"/>
      <w:r w:rsidRPr="00E23815">
        <w:rPr>
          <w:bCs/>
          <w:vertAlign w:val="superscript"/>
        </w:rPr>
        <w:footnoteReference w:id="33"/>
      </w:r>
      <w:r w:rsidR="00E65366" w:rsidRPr="00E23815">
        <w:rPr>
          <w:bCs/>
        </w:rPr>
        <w:t xml:space="preserve"> podílem </w:t>
      </w:r>
      <w:r w:rsidRPr="00E23815">
        <w:rPr>
          <w:bCs/>
        </w:rPr>
        <w:t>z</w:t>
      </w:r>
      <w:r w:rsidR="00BD3887">
        <w:rPr>
          <w:bCs/>
        </w:rPr>
        <w:t xml:space="preserve"> </w:t>
      </w:r>
      <w:r w:rsidR="007145BA" w:rsidRPr="00E23815">
        <w:rPr>
          <w:bCs/>
        </w:rPr>
        <w:t xml:space="preserve">výnosů dražeb </w:t>
      </w:r>
      <w:r w:rsidRPr="00E23815">
        <w:rPr>
          <w:bCs/>
        </w:rPr>
        <w:t>2 %</w:t>
      </w:r>
      <w:r w:rsidR="00BD3887">
        <w:rPr>
          <w:bCs/>
        </w:rPr>
        <w:t xml:space="preserve"> </w:t>
      </w:r>
      <w:r w:rsidRPr="00E23815">
        <w:rPr>
          <w:bCs/>
        </w:rPr>
        <w:t xml:space="preserve">celkového </w:t>
      </w:r>
      <w:r w:rsidR="00E65366" w:rsidRPr="00E23815">
        <w:rPr>
          <w:bCs/>
        </w:rPr>
        <w:t xml:space="preserve">množství </w:t>
      </w:r>
      <w:r w:rsidRPr="00E23815">
        <w:rPr>
          <w:bCs/>
        </w:rPr>
        <w:t xml:space="preserve">povolenek </w:t>
      </w:r>
      <w:r w:rsidR="004B00E4" w:rsidRPr="00E23815">
        <w:rPr>
          <w:bCs/>
        </w:rPr>
        <w:t>na emise</w:t>
      </w:r>
      <w:r w:rsidR="00087C24" w:rsidRPr="00E23815">
        <w:rPr>
          <w:bCs/>
        </w:rPr>
        <w:t xml:space="preserve"> skleníkových plynů</w:t>
      </w:r>
      <w:r w:rsidRPr="00E23815">
        <w:rPr>
          <w:bCs/>
        </w:rPr>
        <w:t xml:space="preserve"> dražených mezi lety 2021 a 2030</w:t>
      </w:r>
      <w:r w:rsidRPr="00E23815">
        <w:rPr>
          <w:bCs/>
          <w:vertAlign w:val="superscript"/>
        </w:rPr>
        <w:footnoteReference w:id="34"/>
      </w:r>
      <w:r w:rsidRPr="00E23815">
        <w:rPr>
          <w:bCs/>
        </w:rPr>
        <w:t xml:space="preserve"> a</w:t>
      </w:r>
    </w:p>
    <w:p w14:paraId="6F5AA0FA" w14:textId="2CD44377" w:rsidR="00E82EBB" w:rsidRPr="00E23815" w:rsidRDefault="003C7251" w:rsidP="009E3D48">
      <w:pPr>
        <w:numPr>
          <w:ilvl w:val="0"/>
          <w:numId w:val="19"/>
        </w:numPr>
        <w:spacing w:after="0"/>
        <w:jc w:val="both"/>
        <w:rPr>
          <w:iCs/>
        </w:rPr>
      </w:pPr>
      <w:r w:rsidRPr="00E23815">
        <w:rPr>
          <w:bCs/>
        </w:rPr>
        <w:t>výnos</w:t>
      </w:r>
      <w:r w:rsidR="00E65366" w:rsidRPr="00E23815">
        <w:rPr>
          <w:bCs/>
        </w:rPr>
        <w:t>y</w:t>
      </w:r>
      <w:r w:rsidRPr="00E23815">
        <w:rPr>
          <w:bCs/>
        </w:rPr>
        <w:t xml:space="preserve"> z</w:t>
      </w:r>
      <w:r w:rsidR="00BD3887">
        <w:rPr>
          <w:bCs/>
        </w:rPr>
        <w:t xml:space="preserve"> </w:t>
      </w:r>
      <w:r w:rsidRPr="00E23815">
        <w:rPr>
          <w:bCs/>
        </w:rPr>
        <w:t>dražby dalších povolenek</w:t>
      </w:r>
      <w:r w:rsidR="00C610D9" w:rsidRPr="00E23815">
        <w:rPr>
          <w:rStyle w:val="Znakapoznpodarou"/>
          <w:bCs/>
        </w:rPr>
        <w:footnoteReference w:id="35"/>
      </w:r>
      <w:r w:rsidRPr="00E23815">
        <w:rPr>
          <w:bCs/>
        </w:rPr>
        <w:t xml:space="preserve">, </w:t>
      </w:r>
      <w:r w:rsidR="00BA042B">
        <w:rPr>
          <w:bCs/>
        </w:rPr>
        <w:t>u nichž se</w:t>
      </w:r>
      <w:r w:rsidRPr="00E23815">
        <w:rPr>
          <w:bCs/>
        </w:rPr>
        <w:t xml:space="preserve"> ČR coby přijímající členský stát rozhodla</w:t>
      </w:r>
      <w:r w:rsidR="00BA042B">
        <w:rPr>
          <w:bCs/>
        </w:rPr>
        <w:t>, že je</w:t>
      </w:r>
      <w:r w:rsidRPr="00E23815">
        <w:rPr>
          <w:bCs/>
        </w:rPr>
        <w:t xml:space="preserve"> využ</w:t>
      </w:r>
      <w:r w:rsidR="00BA042B">
        <w:rPr>
          <w:bCs/>
        </w:rPr>
        <w:t>ije</w:t>
      </w:r>
      <w:r w:rsidRPr="00E23815">
        <w:rPr>
          <w:bCs/>
        </w:rPr>
        <w:t xml:space="preserve"> a nech</w:t>
      </w:r>
      <w:r w:rsidR="00BA042B">
        <w:rPr>
          <w:bCs/>
        </w:rPr>
        <w:t>á</w:t>
      </w:r>
      <w:r w:rsidRPr="00E23815">
        <w:rPr>
          <w:bCs/>
        </w:rPr>
        <w:t xml:space="preserve"> je vydražit jako další zdroj </w:t>
      </w:r>
      <w:proofErr w:type="spellStart"/>
      <w:r w:rsidRPr="00E23815">
        <w:rPr>
          <w:bCs/>
        </w:rPr>
        <w:t>ModF</w:t>
      </w:r>
      <w:proofErr w:type="spellEnd"/>
      <w:r w:rsidRPr="00E23815">
        <w:rPr>
          <w:bCs/>
        </w:rPr>
        <w:t xml:space="preserve"> </w:t>
      </w:r>
      <w:r w:rsidR="00A01388" w:rsidRPr="00E23815">
        <w:rPr>
          <w:bCs/>
        </w:rPr>
        <w:t>ve</w:t>
      </w:r>
      <w:r w:rsidRPr="00E23815">
        <w:rPr>
          <w:bCs/>
        </w:rPr>
        <w:t xml:space="preserve"> svůj pro</w:t>
      </w:r>
      <w:r w:rsidR="00DE4D24" w:rsidRPr="00E23815">
        <w:rPr>
          <w:bCs/>
        </w:rPr>
        <w:t>s</w:t>
      </w:r>
      <w:r w:rsidRPr="00E23815">
        <w:rPr>
          <w:bCs/>
        </w:rPr>
        <w:t>pěch</w:t>
      </w:r>
      <w:r w:rsidRPr="00E23815">
        <w:rPr>
          <w:bCs/>
          <w:vertAlign w:val="superscript"/>
        </w:rPr>
        <w:footnoteReference w:id="36"/>
      </w:r>
      <w:r w:rsidRPr="00E23815">
        <w:rPr>
          <w:bCs/>
        </w:rPr>
        <w:t xml:space="preserve">, čímž se dále </w:t>
      </w:r>
      <w:r w:rsidR="00BA042B">
        <w:rPr>
          <w:bCs/>
        </w:rPr>
        <w:t>zvyšuje</w:t>
      </w:r>
      <w:r w:rsidRPr="00E23815">
        <w:rPr>
          <w:bCs/>
        </w:rPr>
        <w:t xml:space="preserve"> podíl ČR na disponibilních prostředcích </w:t>
      </w:r>
      <w:proofErr w:type="spellStart"/>
      <w:r w:rsidRPr="00E23815">
        <w:rPr>
          <w:bCs/>
        </w:rPr>
        <w:t>ModF</w:t>
      </w:r>
      <w:proofErr w:type="spellEnd"/>
      <w:r w:rsidRPr="00E23815">
        <w:rPr>
          <w:bCs/>
          <w:vertAlign w:val="superscript"/>
        </w:rPr>
        <w:footnoteReference w:id="37"/>
      </w:r>
      <w:r w:rsidRPr="00E23815">
        <w:rPr>
          <w:bCs/>
        </w:rPr>
        <w:t>.</w:t>
      </w:r>
    </w:p>
    <w:p w14:paraId="02DE7D2D" w14:textId="77777777" w:rsidR="00133D36" w:rsidRPr="00E23815" w:rsidRDefault="00133D36" w:rsidP="00E82EBB">
      <w:pPr>
        <w:spacing w:after="0"/>
        <w:jc w:val="both"/>
        <w:rPr>
          <w:iCs/>
        </w:rPr>
      </w:pPr>
    </w:p>
    <w:p w14:paraId="2C74DF9F" w14:textId="0023F19E" w:rsidR="00133D36" w:rsidRPr="00E23815" w:rsidRDefault="00133D36" w:rsidP="00E82EBB">
      <w:pPr>
        <w:spacing w:after="0"/>
        <w:jc w:val="both"/>
        <w:rPr>
          <w:iCs/>
        </w:rPr>
      </w:pPr>
      <w:r w:rsidRPr="00E23815">
        <w:t>Povolen</w:t>
      </w:r>
      <w:r w:rsidR="00CC4139">
        <w:t>k</w:t>
      </w:r>
      <w:r w:rsidRPr="00E23815">
        <w:t xml:space="preserve">y </w:t>
      </w:r>
      <w:r w:rsidR="00E65366" w:rsidRPr="00E23815">
        <w:t xml:space="preserve">na emise </w:t>
      </w:r>
      <w:r w:rsidR="00087C24" w:rsidRPr="00E23815">
        <w:t xml:space="preserve">skleníkových plynů </w:t>
      </w:r>
      <w:r w:rsidRPr="00E23815">
        <w:t xml:space="preserve">draží </w:t>
      </w:r>
      <w:r w:rsidR="00F83EB1" w:rsidRPr="00E23815">
        <w:t>EIB</w:t>
      </w:r>
      <w:r w:rsidRPr="00E23815">
        <w:rPr>
          <w:vertAlign w:val="superscript"/>
        </w:rPr>
        <w:footnoteReference w:id="38"/>
      </w:r>
      <w:r w:rsidRPr="00E23815">
        <w:t xml:space="preserve">, která </w:t>
      </w:r>
      <w:r w:rsidR="001074F1" w:rsidRPr="00E23815">
        <w:t xml:space="preserve">v souladu se smlouvou uzavřenou </w:t>
      </w:r>
      <w:r w:rsidR="000B4FD0">
        <w:br/>
      </w:r>
      <w:r w:rsidR="001074F1" w:rsidRPr="00E23815">
        <w:t>s</w:t>
      </w:r>
      <w:r w:rsidR="000B4FD0">
        <w:t xml:space="preserve"> </w:t>
      </w:r>
      <w:r w:rsidR="001074F1" w:rsidRPr="00E23815">
        <w:t>Evropskou komisí</w:t>
      </w:r>
      <w:r w:rsidR="001074F1">
        <w:rPr>
          <w:rStyle w:val="Znakapoznpodarou"/>
        </w:rPr>
        <w:footnoteReference w:id="39"/>
      </w:r>
      <w:r w:rsidR="001074F1" w:rsidRPr="00E23815">
        <w:t xml:space="preserve"> (dále také „</w:t>
      </w:r>
      <w:r w:rsidR="001074F1">
        <w:t xml:space="preserve">Smlouva mezi </w:t>
      </w:r>
      <w:r w:rsidR="001074F1" w:rsidRPr="00E23815">
        <w:t>EK</w:t>
      </w:r>
      <w:r w:rsidR="001074F1">
        <w:t xml:space="preserve"> a EIB</w:t>
      </w:r>
      <w:r w:rsidR="001074F1" w:rsidRPr="00E23815">
        <w:t xml:space="preserve">“) posuzuje investiční návrhy předložené členskými státy a </w:t>
      </w:r>
      <w:r w:rsidRPr="00E23815">
        <w:t xml:space="preserve">je odpovědná i za další správu výnosů </w:t>
      </w:r>
      <w:r w:rsidR="00E65366" w:rsidRPr="00E23815">
        <w:t>z dražeb</w:t>
      </w:r>
      <w:r w:rsidR="00005AFD" w:rsidRPr="00E23815">
        <w:t>.</w:t>
      </w:r>
      <w:r w:rsidR="003C7251" w:rsidRPr="00E23815">
        <w:t xml:space="preserve"> Dalšími zdroji </w:t>
      </w:r>
      <w:proofErr w:type="spellStart"/>
      <w:r w:rsidR="003C7251" w:rsidRPr="00E23815">
        <w:t>ModF</w:t>
      </w:r>
      <w:proofErr w:type="spellEnd"/>
      <w:r w:rsidR="003C7251" w:rsidRPr="00E23815">
        <w:t xml:space="preserve"> jsou tak i výnosy z</w:t>
      </w:r>
      <w:r w:rsidR="00BD3887">
        <w:t xml:space="preserve"> </w:t>
      </w:r>
      <w:r w:rsidR="003C7251" w:rsidRPr="00E23815">
        <w:t xml:space="preserve">investování prostředků </w:t>
      </w:r>
      <w:proofErr w:type="spellStart"/>
      <w:r w:rsidR="003C7251" w:rsidRPr="00E23815">
        <w:t>ModF</w:t>
      </w:r>
      <w:proofErr w:type="spellEnd"/>
      <w:r w:rsidR="003C7251" w:rsidRPr="00E23815">
        <w:t xml:space="preserve">, které provádí EIB, přičemž toto investování je </w:t>
      </w:r>
      <w:r w:rsidR="00BD3887">
        <w:t>uskutečňováno</w:t>
      </w:r>
      <w:r w:rsidR="003C7251" w:rsidRPr="00E23815">
        <w:t xml:space="preserve"> na riziko a ve prospěch přijímajících členských států</w:t>
      </w:r>
      <w:r w:rsidR="0060429B">
        <w:t>.</w:t>
      </w:r>
      <w:r w:rsidR="003C7251" w:rsidRPr="00E23815">
        <w:rPr>
          <w:vertAlign w:val="superscript"/>
        </w:rPr>
        <w:footnoteReference w:id="40"/>
      </w:r>
      <w:r w:rsidR="003C7251" w:rsidRPr="00E23815">
        <w:t xml:space="preserve"> </w:t>
      </w:r>
      <w:r w:rsidR="001074F1">
        <w:t xml:space="preserve">Struktura </w:t>
      </w:r>
      <w:r w:rsidR="001074F1">
        <w:lastRenderedPageBreak/>
        <w:t>aktiv reprezentující podíl členského státu EU na těchto aktivech se proto v čase mění. S tím souvis</w:t>
      </w:r>
      <w:r w:rsidR="0060429B">
        <w:t>ej</w:t>
      </w:r>
      <w:r w:rsidR="001074F1">
        <w:t>í i změny ve vykazované hodnotě tohoto podílu v čase.</w:t>
      </w:r>
    </w:p>
    <w:p w14:paraId="1AB39A0D" w14:textId="30AAC050" w:rsidR="00E82EBB" w:rsidRPr="00E23815" w:rsidRDefault="00E82EBB" w:rsidP="00E82EBB">
      <w:pPr>
        <w:spacing w:after="0"/>
        <w:jc w:val="both"/>
        <w:rPr>
          <w:iCs/>
        </w:rPr>
      </w:pPr>
    </w:p>
    <w:p w14:paraId="7729B38B" w14:textId="7245B892" w:rsidR="00E82EBB" w:rsidRDefault="00E82EBB" w:rsidP="00E82EBB">
      <w:pPr>
        <w:spacing w:after="0"/>
        <w:jc w:val="both"/>
        <w:rPr>
          <w:iCs/>
        </w:rPr>
      </w:pPr>
      <w:r w:rsidRPr="00E23815">
        <w:rPr>
          <w:iCs/>
        </w:rPr>
        <w:t xml:space="preserve">MŽP má </w:t>
      </w:r>
      <w:r w:rsidR="001074F1">
        <w:rPr>
          <w:iCs/>
        </w:rPr>
        <w:t xml:space="preserve">prostřednictvím </w:t>
      </w:r>
      <w:r w:rsidR="001074F1" w:rsidRPr="00E23815">
        <w:t xml:space="preserve">tzv. </w:t>
      </w:r>
      <w:r w:rsidR="0060429B">
        <w:t>„</w:t>
      </w:r>
      <w:r w:rsidR="0060429B" w:rsidRPr="00AF65F6">
        <w:rPr>
          <w:i/>
        </w:rPr>
        <w:t>v</w:t>
      </w:r>
      <w:r w:rsidR="001074F1" w:rsidRPr="00E23815">
        <w:rPr>
          <w:i/>
        </w:rPr>
        <w:t>ýkazu dostupných finančních prostředků</w:t>
      </w:r>
      <w:r w:rsidR="0060429B">
        <w:rPr>
          <w:i/>
        </w:rPr>
        <w:t>“</w:t>
      </w:r>
      <w:r w:rsidR="001074F1" w:rsidRPr="00E23815">
        <w:t>, který mu zasílá EIB</w:t>
      </w:r>
      <w:r w:rsidR="001074F1">
        <w:t>,</w:t>
      </w:r>
      <w:r w:rsidR="001074F1" w:rsidRPr="00E23815">
        <w:t xml:space="preserve"> </w:t>
      </w:r>
      <w:r w:rsidRPr="00E23815">
        <w:rPr>
          <w:iCs/>
        </w:rPr>
        <w:t xml:space="preserve">k dispozici informace o stavu dostupných finančních prostředků představujících podíl ČR na finančních aktivech </w:t>
      </w:r>
      <w:proofErr w:type="spellStart"/>
      <w:r w:rsidRPr="00E23815">
        <w:rPr>
          <w:iCs/>
        </w:rPr>
        <w:t>ModF</w:t>
      </w:r>
      <w:proofErr w:type="spellEnd"/>
      <w:r w:rsidRPr="00E23815">
        <w:rPr>
          <w:iCs/>
        </w:rPr>
        <w:t xml:space="preserve"> a od roku 2022 tento podíl </w:t>
      </w:r>
      <w:r w:rsidR="0060429B" w:rsidRPr="00E23815">
        <w:rPr>
          <w:iCs/>
        </w:rPr>
        <w:t xml:space="preserve">vykazuje </w:t>
      </w:r>
      <w:r w:rsidRPr="00E23815">
        <w:rPr>
          <w:iCs/>
        </w:rPr>
        <w:t xml:space="preserve">v ÚZ </w:t>
      </w:r>
      <w:r w:rsidR="0060429B">
        <w:rPr>
          <w:iCs/>
        </w:rPr>
        <w:t xml:space="preserve">(v aktivech) </w:t>
      </w:r>
      <w:r w:rsidRPr="00E23815">
        <w:rPr>
          <w:iCs/>
        </w:rPr>
        <w:t xml:space="preserve">jako dlouhodobý nehmotný majetek na účtu 069 – </w:t>
      </w:r>
      <w:r w:rsidRPr="00E23815">
        <w:rPr>
          <w:i/>
          <w:iCs/>
        </w:rPr>
        <w:t>Ostatní dlouhodobý finanční majetek</w:t>
      </w:r>
      <w:r w:rsidRPr="00E23815">
        <w:rPr>
          <w:iCs/>
        </w:rPr>
        <w:t xml:space="preserve"> a </w:t>
      </w:r>
      <w:r w:rsidR="0060429B">
        <w:rPr>
          <w:iCs/>
        </w:rPr>
        <w:t xml:space="preserve">zároveň jako </w:t>
      </w:r>
      <w:r w:rsidRPr="00E23815">
        <w:rPr>
          <w:iCs/>
        </w:rPr>
        <w:t xml:space="preserve">vlastní zdroje na účtu 401 – </w:t>
      </w:r>
      <w:r w:rsidRPr="00E23815">
        <w:rPr>
          <w:i/>
          <w:iCs/>
        </w:rPr>
        <w:t>Jmění účetní jednotky</w:t>
      </w:r>
      <w:r w:rsidRPr="00E23815">
        <w:rPr>
          <w:iCs/>
        </w:rPr>
        <w:t>.</w:t>
      </w:r>
    </w:p>
    <w:p w14:paraId="15D9DF00" w14:textId="77777777" w:rsidR="002E2AA9" w:rsidRDefault="002E2AA9" w:rsidP="00E82EBB">
      <w:pPr>
        <w:spacing w:after="0"/>
        <w:jc w:val="both"/>
        <w:rPr>
          <w:iCs/>
        </w:rPr>
      </w:pPr>
    </w:p>
    <w:p w14:paraId="624CAE15" w14:textId="77777777" w:rsidR="002E2AA9" w:rsidRPr="00E23815" w:rsidRDefault="002E2AA9" w:rsidP="002E2AA9">
      <w:pPr>
        <w:spacing w:after="0"/>
        <w:jc w:val="both"/>
        <w:rPr>
          <w:bCs/>
        </w:rPr>
      </w:pPr>
      <w:r w:rsidRPr="00E23815">
        <w:t xml:space="preserve">Podíl ČR v </w:t>
      </w:r>
      <w:proofErr w:type="spellStart"/>
      <w:r w:rsidRPr="00E23815">
        <w:t>ModF</w:t>
      </w:r>
      <w:proofErr w:type="spellEnd"/>
      <w:r w:rsidRPr="00E23815">
        <w:t xml:space="preserve"> je určen pouze pro ČR k čerpání v letech 2021–2030 a žádný jiný členský stát tyto prostředky nemůže čerpat</w:t>
      </w:r>
      <w:r>
        <w:t>,</w:t>
      </w:r>
      <w:r w:rsidRPr="00E23815">
        <w:t xml:space="preserve"> ani s nimi jinak disponovat. </w:t>
      </w:r>
      <w:r w:rsidRPr="00E23815">
        <w:rPr>
          <w:bCs/>
        </w:rPr>
        <w:t xml:space="preserve">NKÚ předpokládá dlouhodobý prospěch pro ČR a účtování MŽP o podílu na aktivech </w:t>
      </w:r>
      <w:proofErr w:type="spellStart"/>
      <w:r w:rsidRPr="00E23815">
        <w:rPr>
          <w:bCs/>
        </w:rPr>
        <w:t>ModF</w:t>
      </w:r>
      <w:proofErr w:type="spellEnd"/>
      <w:r>
        <w:rPr>
          <w:bCs/>
        </w:rPr>
        <w:t xml:space="preserve"> proto</w:t>
      </w:r>
      <w:r w:rsidRPr="00E23815">
        <w:rPr>
          <w:bCs/>
        </w:rPr>
        <w:t xml:space="preserve"> shledal jako správné.</w:t>
      </w:r>
    </w:p>
    <w:p w14:paraId="32BF467A" w14:textId="77777777" w:rsidR="002E2AA9" w:rsidRPr="00E23815" w:rsidRDefault="002E2AA9" w:rsidP="002E2AA9">
      <w:pPr>
        <w:spacing w:after="0"/>
        <w:jc w:val="both"/>
        <w:rPr>
          <w:bCs/>
        </w:rPr>
      </w:pPr>
    </w:p>
    <w:p w14:paraId="6EFF90E8" w14:textId="7B6AE18D" w:rsidR="00A047A1" w:rsidRPr="00E23815" w:rsidRDefault="00F77FF5" w:rsidP="00E82EBB">
      <w:pPr>
        <w:spacing w:after="0"/>
        <w:jc w:val="both"/>
        <w:rPr>
          <w:iCs/>
        </w:rPr>
      </w:pPr>
      <w:r w:rsidRPr="00625DB1">
        <w:rPr>
          <w:b/>
          <w:iCs/>
        </w:rPr>
        <w:t>NKÚ u</w:t>
      </w:r>
      <w:r w:rsidR="00E82EBB" w:rsidRPr="00625DB1">
        <w:rPr>
          <w:b/>
          <w:iCs/>
        </w:rPr>
        <w:t>pozorňuje</w:t>
      </w:r>
      <w:r w:rsidRPr="00625DB1">
        <w:rPr>
          <w:b/>
          <w:iCs/>
        </w:rPr>
        <w:t xml:space="preserve"> na skutečnost,</w:t>
      </w:r>
      <w:r w:rsidR="00E82EBB" w:rsidRPr="00625DB1">
        <w:rPr>
          <w:b/>
          <w:iCs/>
        </w:rPr>
        <w:t xml:space="preserve"> že MŽP v </w:t>
      </w:r>
      <w:r w:rsidRPr="00625DB1">
        <w:rPr>
          <w:b/>
          <w:iCs/>
        </w:rPr>
        <w:t>ÚZ</w:t>
      </w:r>
      <w:r w:rsidR="00E82EBB" w:rsidRPr="00625DB1">
        <w:rPr>
          <w:b/>
          <w:iCs/>
        </w:rPr>
        <w:t xml:space="preserve"> vykázalo na účt</w:t>
      </w:r>
      <w:r w:rsidR="003C7251" w:rsidRPr="00625DB1">
        <w:rPr>
          <w:b/>
          <w:iCs/>
        </w:rPr>
        <w:t>ech</w:t>
      </w:r>
      <w:r w:rsidR="00E82EBB" w:rsidRPr="00625DB1">
        <w:rPr>
          <w:b/>
          <w:iCs/>
        </w:rPr>
        <w:t xml:space="preserve"> 069 – </w:t>
      </w:r>
      <w:r w:rsidR="00E82EBB" w:rsidRPr="00625DB1">
        <w:rPr>
          <w:b/>
          <w:i/>
          <w:iCs/>
        </w:rPr>
        <w:t>Ostatní dlouhodobý finanční majetek</w:t>
      </w:r>
      <w:r w:rsidR="00E82EBB" w:rsidRPr="00625DB1">
        <w:rPr>
          <w:b/>
          <w:iCs/>
        </w:rPr>
        <w:t xml:space="preserve"> a 401 – </w:t>
      </w:r>
      <w:r w:rsidR="00E82EBB" w:rsidRPr="00625DB1">
        <w:rPr>
          <w:b/>
          <w:i/>
          <w:iCs/>
        </w:rPr>
        <w:t>Jmění účetní jednotky</w:t>
      </w:r>
      <w:r w:rsidR="00E82EBB" w:rsidRPr="00625DB1">
        <w:rPr>
          <w:b/>
          <w:iCs/>
        </w:rPr>
        <w:t xml:space="preserve"> částku 24</w:t>
      </w:r>
      <w:r w:rsidRPr="00625DB1">
        <w:rPr>
          <w:b/>
          <w:iCs/>
        </w:rPr>
        <w:t>,</w:t>
      </w:r>
      <w:r w:rsidR="00E82EBB" w:rsidRPr="00625DB1">
        <w:rPr>
          <w:b/>
          <w:iCs/>
        </w:rPr>
        <w:t>5</w:t>
      </w:r>
      <w:r w:rsidRPr="00625DB1">
        <w:rPr>
          <w:b/>
          <w:iCs/>
        </w:rPr>
        <w:t xml:space="preserve"> mld.</w:t>
      </w:r>
      <w:r w:rsidR="00E82EBB" w:rsidRPr="00625DB1">
        <w:rPr>
          <w:b/>
          <w:iCs/>
        </w:rPr>
        <w:t xml:space="preserve"> Kč, která představuje výši podílu ČR na finančních aktivech </w:t>
      </w:r>
      <w:proofErr w:type="spellStart"/>
      <w:r w:rsidR="00E82EBB" w:rsidRPr="00625DB1">
        <w:rPr>
          <w:b/>
          <w:iCs/>
        </w:rPr>
        <w:t>ModF</w:t>
      </w:r>
      <w:proofErr w:type="spellEnd"/>
      <w:r w:rsidR="00E82EBB" w:rsidRPr="00625DB1">
        <w:rPr>
          <w:b/>
          <w:iCs/>
        </w:rPr>
        <w:t xml:space="preserve"> spravovaných </w:t>
      </w:r>
      <w:r w:rsidR="00F83EB1" w:rsidRPr="00625DB1">
        <w:rPr>
          <w:b/>
          <w:iCs/>
        </w:rPr>
        <w:t>EIB</w:t>
      </w:r>
      <w:r w:rsidR="00E82EBB" w:rsidRPr="00625DB1">
        <w:rPr>
          <w:b/>
          <w:iCs/>
        </w:rPr>
        <w:t xml:space="preserve">. MŽP tedy vykazuje ve své </w:t>
      </w:r>
      <w:r w:rsidRPr="00625DB1">
        <w:rPr>
          <w:b/>
          <w:iCs/>
        </w:rPr>
        <w:t>účetní závěrce</w:t>
      </w:r>
      <w:r w:rsidR="00E82EBB" w:rsidRPr="00625DB1">
        <w:rPr>
          <w:b/>
          <w:iCs/>
        </w:rPr>
        <w:t xml:space="preserve"> aktiva, která sice mají formu dostupných finančních prostředků ČR, avšak vzhledem k ustanovení § 12 odst. 1 zákona č. 383/</w:t>
      </w:r>
      <w:r w:rsidR="00E82EBB" w:rsidRPr="006927A1">
        <w:rPr>
          <w:b/>
          <w:iCs/>
        </w:rPr>
        <w:t xml:space="preserve">2012 Sb. </w:t>
      </w:r>
      <w:r w:rsidR="006927A1" w:rsidRPr="006927A1">
        <w:rPr>
          <w:b/>
          <w:bCs/>
        </w:rPr>
        <w:t>ve znění</w:t>
      </w:r>
      <w:r w:rsidR="0060429B">
        <w:rPr>
          <w:b/>
          <w:bCs/>
        </w:rPr>
        <w:t xml:space="preserve"> </w:t>
      </w:r>
      <w:r w:rsidR="006927A1" w:rsidRPr="006927A1">
        <w:rPr>
          <w:b/>
          <w:bCs/>
        </w:rPr>
        <w:t xml:space="preserve">účinném k datu ukončení kontroly NKÚ </w:t>
      </w:r>
      <w:r w:rsidR="00E82EBB" w:rsidRPr="006927A1">
        <w:rPr>
          <w:b/>
          <w:iCs/>
        </w:rPr>
        <w:t>nemohou být tyto finanční prostředky příjmem státního rozpočtu</w:t>
      </w:r>
      <w:r w:rsidR="00C610D9" w:rsidRPr="006927A1">
        <w:rPr>
          <w:rStyle w:val="Znakapoznpodarou"/>
          <w:b/>
          <w:iCs/>
        </w:rPr>
        <w:footnoteReference w:id="41"/>
      </w:r>
      <w:r w:rsidR="00E82EBB" w:rsidRPr="006927A1">
        <w:rPr>
          <w:b/>
          <w:iCs/>
        </w:rPr>
        <w:t>. Finanční prostředky převedené z</w:t>
      </w:r>
      <w:r w:rsidR="0060429B">
        <w:rPr>
          <w:b/>
          <w:iCs/>
        </w:rPr>
        <w:t xml:space="preserve"> </w:t>
      </w:r>
      <w:r w:rsidR="00F83EB1" w:rsidRPr="006927A1">
        <w:rPr>
          <w:b/>
          <w:iCs/>
        </w:rPr>
        <w:t>EIB</w:t>
      </w:r>
      <w:r w:rsidR="00E82EBB" w:rsidRPr="006927A1">
        <w:rPr>
          <w:b/>
          <w:iCs/>
        </w:rPr>
        <w:t xml:space="preserve"> České republice</w:t>
      </w:r>
      <w:r w:rsidR="00E82EBB" w:rsidRPr="00625DB1">
        <w:rPr>
          <w:b/>
          <w:iCs/>
        </w:rPr>
        <w:t xml:space="preserve"> a jejich čerpání na stanovený účel jsou již předmětem účetnictví </w:t>
      </w:r>
      <w:r w:rsidR="00F83EB1" w:rsidRPr="00625DB1">
        <w:rPr>
          <w:b/>
          <w:iCs/>
        </w:rPr>
        <w:t>SFŽP</w:t>
      </w:r>
      <w:r w:rsidR="00E82EBB" w:rsidRPr="00625DB1">
        <w:rPr>
          <w:b/>
          <w:iCs/>
        </w:rPr>
        <w:t xml:space="preserve"> a tyto transakce neovliv</w:t>
      </w:r>
      <w:r w:rsidRPr="00625DB1">
        <w:rPr>
          <w:b/>
          <w:iCs/>
        </w:rPr>
        <w:t>ňují</w:t>
      </w:r>
      <w:r w:rsidR="00E82EBB" w:rsidRPr="00625DB1">
        <w:rPr>
          <w:b/>
          <w:iCs/>
        </w:rPr>
        <w:t xml:space="preserve"> výsledek hospodaření MŽP</w:t>
      </w:r>
      <w:r w:rsidR="00E82EBB" w:rsidRPr="00AF65F6">
        <w:rPr>
          <w:b/>
          <w:iCs/>
        </w:rPr>
        <w:t>.</w:t>
      </w:r>
      <w:r w:rsidR="00E82EBB" w:rsidRPr="00E23815">
        <w:rPr>
          <w:iCs/>
        </w:rPr>
        <w:t xml:space="preserve"> Nastavené postupy účtování nevedou na rozdíl od povolenek na emise </w:t>
      </w:r>
      <w:r w:rsidR="00BA3E7C" w:rsidRPr="00E23815">
        <w:t>skleníkových plynů</w:t>
      </w:r>
      <w:r w:rsidR="00BA3E7C" w:rsidRPr="00E23815">
        <w:rPr>
          <w:iCs/>
        </w:rPr>
        <w:t xml:space="preserve"> </w:t>
      </w:r>
      <w:r w:rsidR="00E82EBB" w:rsidRPr="00E23815">
        <w:rPr>
          <w:iCs/>
        </w:rPr>
        <w:t>k</w:t>
      </w:r>
      <w:r w:rsidRPr="00E23815">
        <w:rPr>
          <w:iCs/>
        </w:rPr>
        <w:t> </w:t>
      </w:r>
      <w:r w:rsidR="00E82EBB" w:rsidRPr="00E23815">
        <w:rPr>
          <w:iCs/>
        </w:rPr>
        <w:t xml:space="preserve">navyšování zůstatku účtu 401 – </w:t>
      </w:r>
      <w:r w:rsidR="00E82EBB" w:rsidRPr="00E23815">
        <w:rPr>
          <w:i/>
          <w:iCs/>
        </w:rPr>
        <w:t>Jmění účetní jednotky</w:t>
      </w:r>
      <w:r w:rsidR="00E82EBB" w:rsidRPr="00E23815">
        <w:rPr>
          <w:iCs/>
        </w:rPr>
        <w:t>.</w:t>
      </w:r>
    </w:p>
    <w:p w14:paraId="5D670546" w14:textId="77777777" w:rsidR="009D156E" w:rsidRPr="00E23815" w:rsidRDefault="009D156E" w:rsidP="009D156E">
      <w:pPr>
        <w:spacing w:after="0"/>
        <w:jc w:val="both"/>
        <w:rPr>
          <w:iCs/>
        </w:rPr>
      </w:pPr>
    </w:p>
    <w:p w14:paraId="544224F9" w14:textId="77777777" w:rsidR="00A047A1" w:rsidRPr="00E23815" w:rsidRDefault="00A047A1" w:rsidP="009D156E">
      <w:pPr>
        <w:spacing w:after="0"/>
        <w:jc w:val="both"/>
        <w:rPr>
          <w:iCs/>
        </w:rPr>
      </w:pPr>
    </w:p>
    <w:p w14:paraId="0891366F" w14:textId="4E5BC94B" w:rsidR="000B531B" w:rsidRPr="00E23815" w:rsidRDefault="00B34E87" w:rsidP="005D22D4">
      <w:pPr>
        <w:pStyle w:val="Styl2"/>
        <w:numPr>
          <w:ilvl w:val="2"/>
          <w:numId w:val="7"/>
        </w:numPr>
        <w:ind w:left="1418" w:hanging="698"/>
      </w:pPr>
      <w:bookmarkStart w:id="7" w:name="_Hlk145075580"/>
      <w:r w:rsidRPr="00E23815">
        <w:t>P</w:t>
      </w:r>
      <w:r w:rsidR="00933D80" w:rsidRPr="00E23815">
        <w:t>rostředk</w:t>
      </w:r>
      <w:r w:rsidRPr="00E23815">
        <w:t>y</w:t>
      </w:r>
      <w:r w:rsidR="00933D80" w:rsidRPr="00E23815">
        <w:t xml:space="preserve"> </w:t>
      </w:r>
      <w:r w:rsidR="005D22D4">
        <w:t>o</w:t>
      </w:r>
      <w:r w:rsidR="00933D80" w:rsidRPr="00E23815">
        <w:t xml:space="preserve">peračního programu </w:t>
      </w:r>
      <w:r w:rsidR="00933D80" w:rsidRPr="00AF65F6">
        <w:rPr>
          <w:i/>
        </w:rPr>
        <w:t xml:space="preserve">Životní prostředí </w:t>
      </w:r>
      <w:bookmarkStart w:id="8" w:name="_Hlk148794841"/>
      <w:r w:rsidR="005D22D4" w:rsidRPr="00AF65F6">
        <w:rPr>
          <w:i/>
        </w:rPr>
        <w:t>2014</w:t>
      </w:r>
      <w:r w:rsidR="005D22D4" w:rsidRPr="00AF65F6">
        <w:rPr>
          <w:rFonts w:asciiTheme="minorHAnsi" w:hAnsiTheme="minorHAnsi" w:cstheme="minorHAnsi"/>
          <w:i/>
          <w:iCs/>
        </w:rPr>
        <w:t>–2020</w:t>
      </w:r>
      <w:r w:rsidR="005D22D4">
        <w:rPr>
          <w:rFonts w:asciiTheme="minorHAnsi" w:hAnsiTheme="minorHAnsi" w:cstheme="minorHAnsi"/>
          <w:iCs/>
          <w:sz w:val="20"/>
          <w:szCs w:val="20"/>
        </w:rPr>
        <w:t xml:space="preserve"> </w:t>
      </w:r>
      <w:bookmarkEnd w:id="8"/>
      <w:r w:rsidR="00933D80" w:rsidRPr="00E23815">
        <w:t>poskytnut</w:t>
      </w:r>
      <w:r w:rsidRPr="00E23815">
        <w:t>é</w:t>
      </w:r>
      <w:r w:rsidR="00933D80" w:rsidRPr="00E23815">
        <w:t xml:space="preserve"> státnímu fondu</w:t>
      </w:r>
      <w:bookmarkEnd w:id="7"/>
    </w:p>
    <w:p w14:paraId="45E1E8DC" w14:textId="23854D22" w:rsidR="00F20252" w:rsidRPr="00E23815" w:rsidRDefault="00F20252" w:rsidP="00F20252">
      <w:pPr>
        <w:spacing w:after="0"/>
        <w:jc w:val="both"/>
        <w:rPr>
          <w:iCs/>
        </w:rPr>
      </w:pPr>
      <w:r w:rsidRPr="00E23815">
        <w:rPr>
          <w:iCs/>
        </w:rPr>
        <w:t xml:space="preserve">MŽP </w:t>
      </w:r>
      <w:r w:rsidR="00C53CE7" w:rsidRPr="00E23815">
        <w:rPr>
          <w:iCs/>
        </w:rPr>
        <w:t>uzavřelo v</w:t>
      </w:r>
      <w:r w:rsidR="006B35E3">
        <w:rPr>
          <w:iCs/>
        </w:rPr>
        <w:t xml:space="preserve"> </w:t>
      </w:r>
      <w:r w:rsidR="00C53CE7" w:rsidRPr="00E23815">
        <w:rPr>
          <w:iCs/>
        </w:rPr>
        <w:t xml:space="preserve">roce 2017 </w:t>
      </w:r>
      <w:r w:rsidRPr="00E23815">
        <w:rPr>
          <w:iCs/>
        </w:rPr>
        <w:t>jakožto říd</w:t>
      </w:r>
      <w:r w:rsidR="002E2AA9">
        <w:rPr>
          <w:iCs/>
        </w:rPr>
        <w:t>i</w:t>
      </w:r>
      <w:r w:rsidRPr="00E23815">
        <w:rPr>
          <w:iCs/>
        </w:rPr>
        <w:t xml:space="preserve">cí orgán </w:t>
      </w:r>
      <w:r w:rsidR="005D22D4">
        <w:rPr>
          <w:iCs/>
        </w:rPr>
        <w:t>o</w:t>
      </w:r>
      <w:r w:rsidR="002E2AA9" w:rsidRPr="00E23815">
        <w:rPr>
          <w:iCs/>
        </w:rPr>
        <w:t xml:space="preserve">peračního programu </w:t>
      </w:r>
      <w:r w:rsidR="005D22D4" w:rsidRPr="00AF65F6">
        <w:rPr>
          <w:i/>
          <w:iCs/>
        </w:rPr>
        <w:t>Ž</w:t>
      </w:r>
      <w:r w:rsidR="002E2AA9" w:rsidRPr="00AF65F6">
        <w:rPr>
          <w:i/>
          <w:iCs/>
        </w:rPr>
        <w:t xml:space="preserve">ivotní prostředí </w:t>
      </w:r>
      <w:r w:rsidR="006B35E3">
        <w:rPr>
          <w:i/>
          <w:iCs/>
        </w:rPr>
        <w:br/>
      </w:r>
      <w:r w:rsidR="005D22D4" w:rsidRPr="005D22D4">
        <w:rPr>
          <w:i/>
        </w:rPr>
        <w:t>2014</w:t>
      </w:r>
      <w:r w:rsidR="005D22D4" w:rsidRPr="00AF65F6">
        <w:rPr>
          <w:rFonts w:asciiTheme="minorHAnsi" w:hAnsiTheme="minorHAnsi" w:cstheme="minorHAnsi"/>
          <w:i/>
          <w:iCs/>
        </w:rPr>
        <w:t>–2020</w:t>
      </w:r>
      <w:r w:rsidR="005D22D4" w:rsidRPr="00AF65F6">
        <w:rPr>
          <w:rFonts w:asciiTheme="minorHAnsi" w:hAnsiTheme="minorHAnsi" w:cstheme="minorHAnsi"/>
          <w:iCs/>
        </w:rPr>
        <w:t xml:space="preserve"> </w:t>
      </w:r>
      <w:r w:rsidR="002E2AA9" w:rsidRPr="00E23815">
        <w:rPr>
          <w:iCs/>
        </w:rPr>
        <w:t>(dále také „OPŽP“)</w:t>
      </w:r>
      <w:r w:rsidRPr="00E23815">
        <w:rPr>
          <w:iCs/>
        </w:rPr>
        <w:t xml:space="preserve"> se </w:t>
      </w:r>
      <w:r w:rsidR="00C53CE7" w:rsidRPr="00E23815">
        <w:rPr>
          <w:iCs/>
        </w:rPr>
        <w:t>s</w:t>
      </w:r>
      <w:r w:rsidRPr="00E23815">
        <w:rPr>
          <w:iCs/>
        </w:rPr>
        <w:t xml:space="preserve">tátním fondem </w:t>
      </w:r>
      <w:r w:rsidRPr="00E23815">
        <w:rPr>
          <w:i/>
          <w:iCs/>
        </w:rPr>
        <w:t xml:space="preserve">Dohodu o financování dle čl. 38 odst. 7 Nařízení </w:t>
      </w:r>
      <w:r w:rsidR="00C53CE7" w:rsidRPr="00E23815">
        <w:rPr>
          <w:i/>
          <w:iCs/>
        </w:rPr>
        <w:t>Evropského parlamentu</w:t>
      </w:r>
      <w:r w:rsidRPr="00E23815">
        <w:rPr>
          <w:i/>
          <w:iCs/>
        </w:rPr>
        <w:t xml:space="preserve"> a Rady (EU) č. 1303/2013 (Obecné nařízení) pro specifický cíl 3.5: Snížit environmentální rizika a rozvíjet systémy jejich řízení</w:t>
      </w:r>
      <w:r w:rsidR="002E2AA9">
        <w:rPr>
          <w:iCs/>
        </w:rPr>
        <w:t xml:space="preserve"> </w:t>
      </w:r>
      <w:r w:rsidR="002E2AA9" w:rsidRPr="00E23815">
        <w:rPr>
          <w:iCs/>
        </w:rPr>
        <w:t>(dále také „Dohoda“)</w:t>
      </w:r>
      <w:r w:rsidRPr="00E23815">
        <w:rPr>
          <w:iCs/>
        </w:rPr>
        <w:t>. Dle Obecného nařízení</w:t>
      </w:r>
      <w:r w:rsidR="005D22D4" w:rsidRPr="00AF65F6">
        <w:rPr>
          <w:rStyle w:val="Znakapoznpodarou"/>
          <w:iCs/>
        </w:rPr>
        <w:footnoteReference w:id="42"/>
      </w:r>
      <w:r w:rsidRPr="005D22D4">
        <w:rPr>
          <w:iCs/>
        </w:rPr>
        <w:t xml:space="preserve"> </w:t>
      </w:r>
      <w:r w:rsidRPr="00E23815">
        <w:rPr>
          <w:iCs/>
        </w:rPr>
        <w:t>říd</w:t>
      </w:r>
      <w:r w:rsidR="00721820">
        <w:rPr>
          <w:iCs/>
        </w:rPr>
        <w:t>i</w:t>
      </w:r>
      <w:r w:rsidRPr="00E23815">
        <w:rPr>
          <w:iCs/>
        </w:rPr>
        <w:t>cí orgán takovou dohodu uzavírá se správcem finančního nástroje</w:t>
      </w:r>
      <w:r w:rsidR="00C53CE7" w:rsidRPr="00E23815">
        <w:rPr>
          <w:rStyle w:val="Znakapoznpodarou"/>
          <w:iCs/>
        </w:rPr>
        <w:footnoteReference w:id="43"/>
      </w:r>
      <w:r w:rsidRPr="00E23815">
        <w:rPr>
          <w:iCs/>
        </w:rPr>
        <w:t xml:space="preserve">. Dle Dohody má </w:t>
      </w:r>
      <w:r w:rsidR="00C53CE7" w:rsidRPr="00E23815">
        <w:rPr>
          <w:iCs/>
        </w:rPr>
        <w:t>finanční nástroj</w:t>
      </w:r>
      <w:r w:rsidRPr="00E23815">
        <w:rPr>
          <w:iCs/>
        </w:rPr>
        <w:t xml:space="preserve"> charakter dluhového nástroje</w:t>
      </w:r>
      <w:r w:rsidR="005D22D4">
        <w:rPr>
          <w:iCs/>
        </w:rPr>
        <w:t>, jde o</w:t>
      </w:r>
      <w:r w:rsidRPr="00E23815">
        <w:rPr>
          <w:iCs/>
        </w:rPr>
        <w:t xml:space="preserve"> zápůjčk</w:t>
      </w:r>
      <w:r w:rsidR="006F1E9F">
        <w:rPr>
          <w:iCs/>
        </w:rPr>
        <w:t>u</w:t>
      </w:r>
      <w:r w:rsidR="005D22D4">
        <w:rPr>
          <w:iCs/>
        </w:rPr>
        <w:t xml:space="preserve"> ze zdrojů EU</w:t>
      </w:r>
      <w:r w:rsidRPr="00E23815">
        <w:rPr>
          <w:iCs/>
        </w:rPr>
        <w:t xml:space="preserve"> </w:t>
      </w:r>
      <w:r w:rsidR="005D22D4">
        <w:rPr>
          <w:iCs/>
        </w:rPr>
        <w:t>(</w:t>
      </w:r>
      <w:r w:rsidRPr="00E23815">
        <w:rPr>
          <w:iCs/>
        </w:rPr>
        <w:t>dle podmínek Obecného nařízení</w:t>
      </w:r>
      <w:r w:rsidR="005D22D4">
        <w:rPr>
          <w:iCs/>
        </w:rPr>
        <w:t>)</w:t>
      </w:r>
      <w:r w:rsidRPr="00E23815">
        <w:rPr>
          <w:iCs/>
        </w:rPr>
        <w:t xml:space="preserve"> doplněn</w:t>
      </w:r>
      <w:r w:rsidR="006F1E9F">
        <w:rPr>
          <w:iCs/>
        </w:rPr>
        <w:t>ou</w:t>
      </w:r>
      <w:r w:rsidRPr="00E23815">
        <w:rPr>
          <w:iCs/>
        </w:rPr>
        <w:t xml:space="preserve"> o dotaci z</w:t>
      </w:r>
      <w:r w:rsidR="00C53CE7" w:rsidRPr="00E23815">
        <w:rPr>
          <w:iCs/>
        </w:rPr>
        <w:t> </w:t>
      </w:r>
      <w:r w:rsidRPr="00E23815">
        <w:rPr>
          <w:iCs/>
        </w:rPr>
        <w:t xml:space="preserve">prostředků </w:t>
      </w:r>
      <w:r w:rsidR="00C53CE7" w:rsidRPr="00E23815">
        <w:rPr>
          <w:iCs/>
        </w:rPr>
        <w:t>státního fondu</w:t>
      </w:r>
      <w:r w:rsidRPr="00E23815">
        <w:rPr>
          <w:iCs/>
        </w:rPr>
        <w:t>.</w:t>
      </w:r>
    </w:p>
    <w:p w14:paraId="06AF2408" w14:textId="77777777" w:rsidR="00C53CE7" w:rsidRPr="00E23815" w:rsidRDefault="00C53CE7" w:rsidP="00F20252">
      <w:pPr>
        <w:spacing w:after="0"/>
        <w:jc w:val="both"/>
        <w:rPr>
          <w:iCs/>
        </w:rPr>
      </w:pPr>
    </w:p>
    <w:p w14:paraId="0805EDCC" w14:textId="77777777" w:rsidR="00247C94" w:rsidRPr="00E23815" w:rsidRDefault="00F20252" w:rsidP="00F20252">
      <w:pPr>
        <w:spacing w:after="0"/>
        <w:jc w:val="both"/>
        <w:rPr>
          <w:iCs/>
        </w:rPr>
      </w:pPr>
      <w:r w:rsidRPr="00E23815">
        <w:rPr>
          <w:iCs/>
        </w:rPr>
        <w:lastRenderedPageBreak/>
        <w:t xml:space="preserve">V Dohodě se stanoví role MŽP a </w:t>
      </w:r>
      <w:r w:rsidR="00C53CE7" w:rsidRPr="00E23815">
        <w:rPr>
          <w:iCs/>
        </w:rPr>
        <w:t>státního fondu</w:t>
      </w:r>
      <w:r w:rsidRPr="00E23815">
        <w:rPr>
          <w:iCs/>
        </w:rPr>
        <w:t xml:space="preserve"> při realizaci </w:t>
      </w:r>
      <w:r w:rsidR="00C53CE7" w:rsidRPr="00E23815">
        <w:rPr>
          <w:iCs/>
        </w:rPr>
        <w:t>finančního nástroje</w:t>
      </w:r>
      <w:r w:rsidRPr="00E23815">
        <w:rPr>
          <w:iCs/>
        </w:rPr>
        <w:t xml:space="preserve">. Ve smyslu zákona </w:t>
      </w:r>
      <w:r w:rsidR="00A41736">
        <w:rPr>
          <w:iCs/>
        </w:rPr>
        <w:t xml:space="preserve">České národní rady </w:t>
      </w:r>
      <w:r w:rsidRPr="00E23815">
        <w:rPr>
          <w:iCs/>
        </w:rPr>
        <w:t>č. 388/1991 Sb.</w:t>
      </w:r>
      <w:r w:rsidR="00F83EB1" w:rsidRPr="00E23815">
        <w:rPr>
          <w:rStyle w:val="Znakapoznpodarou"/>
          <w:iCs/>
        </w:rPr>
        <w:footnoteReference w:id="44"/>
      </w:r>
      <w:r w:rsidRPr="00E23815">
        <w:rPr>
          <w:iCs/>
        </w:rPr>
        <w:t xml:space="preserve"> a Obecného nařízení touto Dohodou MŽP společně </w:t>
      </w:r>
      <w:r w:rsidR="00C53CE7" w:rsidRPr="00E23815">
        <w:rPr>
          <w:iCs/>
        </w:rPr>
        <w:t>se státním fondem</w:t>
      </w:r>
      <w:r w:rsidRPr="00E23815">
        <w:rPr>
          <w:iCs/>
        </w:rPr>
        <w:t xml:space="preserve"> stanoví postupy pro poskytování podpory z</w:t>
      </w:r>
      <w:r w:rsidR="00C53CE7" w:rsidRPr="00E23815">
        <w:rPr>
          <w:iCs/>
        </w:rPr>
        <w:t> </w:t>
      </w:r>
      <w:r w:rsidRPr="00E23815">
        <w:rPr>
          <w:iCs/>
        </w:rPr>
        <w:t>prostředků MŽP, která bude následně kryta z rozpočtu EU v rámci OPŽP.</w:t>
      </w:r>
    </w:p>
    <w:p w14:paraId="66806900" w14:textId="77777777" w:rsidR="00247C94" w:rsidRPr="00E23815" w:rsidRDefault="00247C94" w:rsidP="00F20252">
      <w:pPr>
        <w:spacing w:after="0"/>
        <w:jc w:val="both"/>
        <w:rPr>
          <w:iCs/>
        </w:rPr>
      </w:pPr>
    </w:p>
    <w:p w14:paraId="67490030" w14:textId="0970319B" w:rsidR="00C53CE7" w:rsidRPr="00E23815" w:rsidRDefault="00C53CE7" w:rsidP="00F20252">
      <w:pPr>
        <w:spacing w:after="0"/>
        <w:jc w:val="both"/>
        <w:rPr>
          <w:iCs/>
        </w:rPr>
      </w:pPr>
      <w:r w:rsidRPr="00E23815">
        <w:rPr>
          <w:iCs/>
        </w:rPr>
        <w:t xml:space="preserve">Z Dohody vyplývá, že prostředky </w:t>
      </w:r>
      <w:r w:rsidR="00247C94" w:rsidRPr="00E23815">
        <w:rPr>
          <w:iCs/>
        </w:rPr>
        <w:t xml:space="preserve">odpovídající alokaci finančního nástroje v OPŽP byly státnímu fondu poskytnuty Ministerstvem životního prostředí na základě </w:t>
      </w:r>
      <w:r w:rsidR="006F1E9F">
        <w:rPr>
          <w:iCs/>
        </w:rPr>
        <w:t>„r</w:t>
      </w:r>
      <w:r w:rsidR="00247C94" w:rsidRPr="00E23815">
        <w:rPr>
          <w:iCs/>
        </w:rPr>
        <w:t>ozhodnutí o poskytnutí dotace</w:t>
      </w:r>
      <w:r w:rsidR="006F1E9F">
        <w:rPr>
          <w:iCs/>
        </w:rPr>
        <w:t>“</w:t>
      </w:r>
      <w:r w:rsidR="00247C94" w:rsidRPr="00E23815">
        <w:rPr>
          <w:iCs/>
        </w:rPr>
        <w:t xml:space="preserve"> podle </w:t>
      </w:r>
      <w:r w:rsidR="004920BD">
        <w:rPr>
          <w:iCs/>
        </w:rPr>
        <w:t xml:space="preserve">ustanovení </w:t>
      </w:r>
      <w:r w:rsidR="00247C94" w:rsidRPr="00E23815">
        <w:rPr>
          <w:iCs/>
        </w:rPr>
        <w:t>§ 14 odst. 4 zákona č. 218/2000 Sb.</w:t>
      </w:r>
    </w:p>
    <w:p w14:paraId="76990D72" w14:textId="77777777" w:rsidR="00C53CE7" w:rsidRPr="00E23815" w:rsidRDefault="00C53CE7" w:rsidP="00F20252">
      <w:pPr>
        <w:spacing w:after="0"/>
        <w:jc w:val="both"/>
        <w:rPr>
          <w:iCs/>
        </w:rPr>
      </w:pPr>
    </w:p>
    <w:p w14:paraId="68A5D0B6" w14:textId="286BEF30" w:rsidR="000B531B" w:rsidRPr="00E23815" w:rsidRDefault="00247C94" w:rsidP="009D156E">
      <w:pPr>
        <w:spacing w:after="0"/>
        <w:jc w:val="both"/>
        <w:rPr>
          <w:iCs/>
        </w:rPr>
      </w:pPr>
      <w:r w:rsidRPr="00E23815">
        <w:rPr>
          <w:iCs/>
        </w:rPr>
        <w:t xml:space="preserve">Obdobné finanční nástroje vykazují i jiné </w:t>
      </w:r>
      <w:r w:rsidR="00F83EB1" w:rsidRPr="00E23815">
        <w:rPr>
          <w:iCs/>
        </w:rPr>
        <w:t>OSS</w:t>
      </w:r>
      <w:r w:rsidRPr="00E23815">
        <w:rPr>
          <w:iCs/>
        </w:rPr>
        <w:t xml:space="preserve">, které prostředky vložené do finančních nástrojů spolufinancovaných z rozpočtu EU nebo </w:t>
      </w:r>
      <w:r w:rsidR="006F1E9F">
        <w:rPr>
          <w:iCs/>
        </w:rPr>
        <w:t xml:space="preserve">krytých </w:t>
      </w:r>
      <w:r w:rsidRPr="00E23815">
        <w:rPr>
          <w:iCs/>
        </w:rPr>
        <w:t xml:space="preserve">pouze z národních zdrojů vykazují např. jako dlouhodobý finanční </w:t>
      </w:r>
      <w:r w:rsidR="002E2AA9" w:rsidRPr="00E23815">
        <w:rPr>
          <w:iCs/>
        </w:rPr>
        <w:t>majetek</w:t>
      </w:r>
      <w:r w:rsidR="002E2AA9" w:rsidRPr="00E23815">
        <w:rPr>
          <w:rStyle w:val="Znakapoznpodarou"/>
          <w:iCs/>
        </w:rPr>
        <w:footnoteReference w:id="45"/>
      </w:r>
      <w:r w:rsidRPr="00E23815">
        <w:rPr>
          <w:iCs/>
        </w:rPr>
        <w:t xml:space="preserve">. </w:t>
      </w:r>
      <w:r w:rsidR="00EB3A1B" w:rsidRPr="00E23815">
        <w:rPr>
          <w:iCs/>
        </w:rPr>
        <w:t xml:space="preserve">NKÚ upozorňuje na skutečnost, že MŽP vykázalo v ÚZ na účtu 471 – </w:t>
      </w:r>
      <w:r w:rsidR="00EB3A1B" w:rsidRPr="00E23815">
        <w:rPr>
          <w:i/>
          <w:iCs/>
        </w:rPr>
        <w:t>Dlouhodobé poskytnuté zálohy na transfery</w:t>
      </w:r>
      <w:r w:rsidR="00EB3A1B" w:rsidRPr="00E23815">
        <w:rPr>
          <w:iCs/>
        </w:rPr>
        <w:t xml:space="preserve"> částku ve výši 0,2 mld. Kč představující peněžní prostředky poskytnuté dle Dohody státnímu fondu. </w:t>
      </w:r>
      <w:r w:rsidRPr="00E23815">
        <w:rPr>
          <w:iCs/>
        </w:rPr>
        <w:t>Uvedený postup MŽP spočívající ve vykazování finančního nástroje jako dlouhodob</w:t>
      </w:r>
      <w:r w:rsidR="006F1E9F">
        <w:rPr>
          <w:iCs/>
        </w:rPr>
        <w:t>ých</w:t>
      </w:r>
      <w:r w:rsidRPr="00E23815">
        <w:rPr>
          <w:iCs/>
        </w:rPr>
        <w:t xml:space="preserve"> poskytnut</w:t>
      </w:r>
      <w:r w:rsidR="006F1E9F">
        <w:rPr>
          <w:iCs/>
        </w:rPr>
        <w:t>ých</w:t>
      </w:r>
      <w:r w:rsidRPr="00E23815">
        <w:rPr>
          <w:iCs/>
        </w:rPr>
        <w:t xml:space="preserve"> záloh na transfery </w:t>
      </w:r>
      <w:r w:rsidR="00087C24" w:rsidRPr="00E23815">
        <w:rPr>
          <w:iCs/>
        </w:rPr>
        <w:t>nebyl vyhodnocen jako</w:t>
      </w:r>
      <w:r w:rsidRPr="00E23815">
        <w:rPr>
          <w:iCs/>
        </w:rPr>
        <w:t xml:space="preserve"> nesprávný, neboť </w:t>
      </w:r>
      <w:r w:rsidR="00EB3A1B" w:rsidRPr="00E23815">
        <w:rPr>
          <w:iCs/>
        </w:rPr>
        <w:t>dle</w:t>
      </w:r>
      <w:r w:rsidRPr="00E23815">
        <w:rPr>
          <w:iCs/>
        </w:rPr>
        <w:t xml:space="preserve"> Dohod</w:t>
      </w:r>
      <w:r w:rsidR="00EB3A1B" w:rsidRPr="00E23815">
        <w:rPr>
          <w:iCs/>
        </w:rPr>
        <w:t>y jsou</w:t>
      </w:r>
      <w:r w:rsidRPr="00E23815">
        <w:rPr>
          <w:iCs/>
        </w:rPr>
        <w:t xml:space="preserve"> převod</w:t>
      </w:r>
      <w:r w:rsidR="00EB3A1B" w:rsidRPr="00E23815">
        <w:rPr>
          <w:iCs/>
        </w:rPr>
        <w:t>y</w:t>
      </w:r>
      <w:r w:rsidRPr="00E23815">
        <w:rPr>
          <w:iCs/>
        </w:rPr>
        <w:t xml:space="preserve"> prostředků do finančního nástroje </w:t>
      </w:r>
      <w:r w:rsidR="00EB3A1B" w:rsidRPr="00E23815">
        <w:rPr>
          <w:iCs/>
        </w:rPr>
        <w:t xml:space="preserve">prováděny </w:t>
      </w:r>
      <w:r w:rsidRPr="00E23815">
        <w:rPr>
          <w:iCs/>
        </w:rPr>
        <w:t xml:space="preserve">na základě </w:t>
      </w:r>
      <w:r w:rsidR="006F1E9F">
        <w:rPr>
          <w:iCs/>
        </w:rPr>
        <w:t>r</w:t>
      </w:r>
      <w:r w:rsidRPr="00E23815">
        <w:rPr>
          <w:iCs/>
        </w:rPr>
        <w:t>ozhodnutí o poskytnutí dotace</w:t>
      </w:r>
      <w:r w:rsidR="002E2AA9">
        <w:rPr>
          <w:iCs/>
        </w:rPr>
        <w:t xml:space="preserve"> </w:t>
      </w:r>
      <w:r w:rsidR="002E2AA9" w:rsidRPr="00E23815">
        <w:rPr>
          <w:iCs/>
        </w:rPr>
        <w:t>a prostředky jsou u MŽP vykázány jako aktiva v podobě zálohy na transfery</w:t>
      </w:r>
      <w:r w:rsidRPr="00E23815">
        <w:rPr>
          <w:iCs/>
        </w:rPr>
        <w:t>.</w:t>
      </w:r>
    </w:p>
    <w:p w14:paraId="3C44D186" w14:textId="77777777" w:rsidR="000B531B" w:rsidRPr="00E23815" w:rsidRDefault="000B531B" w:rsidP="009D156E">
      <w:pPr>
        <w:spacing w:after="0"/>
        <w:jc w:val="both"/>
        <w:rPr>
          <w:iCs/>
        </w:rPr>
      </w:pPr>
    </w:p>
    <w:p w14:paraId="3726E1BD" w14:textId="77777777" w:rsidR="009D156E" w:rsidRPr="00E23815" w:rsidRDefault="009D156E" w:rsidP="007E110A">
      <w:pPr>
        <w:spacing w:after="0"/>
        <w:rPr>
          <w:iCs/>
        </w:rPr>
      </w:pPr>
    </w:p>
    <w:p w14:paraId="69AEE441" w14:textId="77777777" w:rsidR="00A75011" w:rsidRPr="00E23815" w:rsidRDefault="00A75011" w:rsidP="008226C5">
      <w:pPr>
        <w:pStyle w:val="Styl2"/>
        <w:numPr>
          <w:ilvl w:val="0"/>
          <w:numId w:val="7"/>
        </w:numPr>
        <w:ind w:left="340" w:hanging="340"/>
        <w:jc w:val="both"/>
      </w:pPr>
      <w:r w:rsidRPr="00E23815">
        <w:t xml:space="preserve">Údaje předkládané </w:t>
      </w:r>
      <w:r w:rsidR="007E110A" w:rsidRPr="00E23815">
        <w:t>M</w:t>
      </w:r>
      <w:r w:rsidR="003D0D8A" w:rsidRPr="00E23815">
        <w:t>inisterstvem životního prostředí</w:t>
      </w:r>
      <w:r w:rsidR="00F11CA7" w:rsidRPr="00E23815">
        <w:t xml:space="preserve"> pro hodnocení plnění </w:t>
      </w:r>
      <w:r w:rsidR="00F95077" w:rsidRPr="00E23815">
        <w:t xml:space="preserve">státního </w:t>
      </w:r>
      <w:r w:rsidR="00F11CA7" w:rsidRPr="00E23815">
        <w:t>rozpočtu</w:t>
      </w:r>
      <w:r w:rsidRPr="00E23815">
        <w:t xml:space="preserve"> za rok 202</w:t>
      </w:r>
      <w:r w:rsidR="005C5441" w:rsidRPr="00E23815">
        <w:t>2</w:t>
      </w:r>
    </w:p>
    <w:p w14:paraId="75776E39" w14:textId="77777777" w:rsidR="000F25CA" w:rsidRPr="00E23815" w:rsidRDefault="000F25CA" w:rsidP="000F25CA">
      <w:pPr>
        <w:pStyle w:val="Styl2"/>
        <w:numPr>
          <w:ilvl w:val="1"/>
          <w:numId w:val="7"/>
        </w:numPr>
        <w:ind w:left="431" w:hanging="431"/>
      </w:pPr>
      <w:r w:rsidRPr="00E23815">
        <w:t>Opravy chyb v klasifikaci rozpočtových příjmů v průběhu roku 2022</w:t>
      </w:r>
    </w:p>
    <w:p w14:paraId="01CC6E08" w14:textId="77777777" w:rsidR="000F25CA" w:rsidRPr="00E23815" w:rsidRDefault="000F25CA" w:rsidP="000F25CA">
      <w:pPr>
        <w:jc w:val="both"/>
        <w:rPr>
          <w:rFonts w:asciiTheme="minorHAnsi" w:hAnsiTheme="minorHAnsi" w:cstheme="minorHAnsi"/>
          <w:spacing w:val="-2"/>
        </w:rPr>
      </w:pPr>
      <w:r w:rsidRPr="00E23815">
        <w:rPr>
          <w:rFonts w:asciiTheme="minorHAnsi" w:hAnsiTheme="minorHAnsi" w:cstheme="minorHAnsi"/>
          <w:spacing w:val="-2"/>
        </w:rPr>
        <w:t>NKÚ zahájil kontrolu již v průběhu rozpočtového období 2022, což umožnilo Ministerstvu životního prostředí provést opravy nedostatků identifikovaných v oblasti rozpočtu ještě před sestavením výkazu FIN 1-12 OSS.</w:t>
      </w:r>
    </w:p>
    <w:p w14:paraId="1AA5DCFC" w14:textId="77777777" w:rsidR="000F25CA" w:rsidRPr="00E23815" w:rsidRDefault="00317E2B" w:rsidP="000F25CA">
      <w:pPr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</w:rPr>
        <w:t xml:space="preserve">MŽP tak v průběhu kontroly </w:t>
      </w:r>
      <w:r w:rsidR="000F25CA" w:rsidRPr="00E23815">
        <w:rPr>
          <w:rFonts w:asciiTheme="minorHAnsi" w:hAnsiTheme="minorHAnsi"/>
        </w:rPr>
        <w:t>oprav</w:t>
      </w:r>
      <w:r w:rsidRPr="00E23815">
        <w:rPr>
          <w:rFonts w:asciiTheme="minorHAnsi" w:hAnsiTheme="minorHAnsi"/>
        </w:rPr>
        <w:t>ilo</w:t>
      </w:r>
      <w:r w:rsidR="000F25CA" w:rsidRPr="00E23815">
        <w:rPr>
          <w:rFonts w:asciiTheme="minorHAnsi" w:hAnsiTheme="minorHAnsi"/>
        </w:rPr>
        <w:t xml:space="preserve"> nedostat</w:t>
      </w:r>
      <w:r w:rsidRPr="00E23815">
        <w:rPr>
          <w:rFonts w:asciiTheme="minorHAnsi" w:hAnsiTheme="minorHAnsi"/>
        </w:rPr>
        <w:t>ek</w:t>
      </w:r>
      <w:r w:rsidR="000F25CA" w:rsidRPr="00E23815">
        <w:rPr>
          <w:rFonts w:asciiTheme="minorHAnsi" w:hAnsiTheme="minorHAnsi"/>
        </w:rPr>
        <w:t xml:space="preserve"> ve výši 2,0 mil. Kč</w:t>
      </w:r>
      <w:r w:rsidRPr="00E23815">
        <w:rPr>
          <w:rFonts w:asciiTheme="minorHAnsi" w:hAnsiTheme="minorHAnsi"/>
        </w:rPr>
        <w:t>, který</w:t>
      </w:r>
      <w:r w:rsidR="000F25CA" w:rsidRPr="00E23815">
        <w:rPr>
          <w:rFonts w:asciiTheme="minorHAnsi" w:hAnsiTheme="minorHAnsi"/>
        </w:rPr>
        <w:t xml:space="preserve"> spočíval v</w:t>
      </w:r>
      <w:r w:rsidR="00F0033D" w:rsidRPr="00E23815">
        <w:rPr>
          <w:rFonts w:asciiTheme="minorHAnsi" w:hAnsiTheme="minorHAnsi"/>
        </w:rPr>
        <w:t xml:space="preserve"> nesprávně použité rozpočtové polož</w:t>
      </w:r>
      <w:r w:rsidRPr="00E23815">
        <w:rPr>
          <w:rFonts w:asciiTheme="minorHAnsi" w:hAnsiTheme="minorHAnsi"/>
        </w:rPr>
        <w:t>ce</w:t>
      </w:r>
      <w:r w:rsidR="00F0033D" w:rsidRPr="00E23815">
        <w:rPr>
          <w:rFonts w:asciiTheme="minorHAnsi" w:hAnsiTheme="minorHAnsi"/>
        </w:rPr>
        <w:t xml:space="preserve"> </w:t>
      </w:r>
      <w:r w:rsidR="00F0033D" w:rsidRPr="00E23815">
        <w:rPr>
          <w:rFonts w:asciiTheme="minorHAnsi" w:hAnsiTheme="minorHAnsi" w:cstheme="minorHAnsi"/>
          <w:iCs/>
        </w:rPr>
        <w:t xml:space="preserve">4118 – </w:t>
      </w:r>
      <w:r w:rsidR="00F0033D" w:rsidRPr="00E23815">
        <w:rPr>
          <w:rFonts w:asciiTheme="minorHAnsi" w:hAnsiTheme="minorHAnsi" w:cstheme="minorHAnsi"/>
          <w:i/>
          <w:iCs/>
        </w:rPr>
        <w:t>Neinvestiční převody z Národního fondu</w:t>
      </w:r>
      <w:r w:rsidR="00F0033D" w:rsidRPr="00E23815">
        <w:rPr>
          <w:rFonts w:asciiTheme="minorHAnsi" w:hAnsiTheme="minorHAnsi" w:cstheme="minorHAnsi"/>
          <w:iCs/>
        </w:rPr>
        <w:t xml:space="preserve"> u investičních prostředků, které </w:t>
      </w:r>
      <w:r w:rsidRPr="00E23815">
        <w:rPr>
          <w:rFonts w:asciiTheme="minorHAnsi" w:hAnsiTheme="minorHAnsi" w:cstheme="minorHAnsi"/>
          <w:iCs/>
        </w:rPr>
        <w:t>měly</w:t>
      </w:r>
      <w:r w:rsidR="00F0033D" w:rsidRPr="00E23815">
        <w:rPr>
          <w:rFonts w:asciiTheme="minorHAnsi" w:hAnsiTheme="minorHAnsi" w:cstheme="minorHAnsi"/>
          <w:iCs/>
        </w:rPr>
        <w:t xml:space="preserve"> být zatříděny na rozpočtovou položku </w:t>
      </w:r>
      <w:r w:rsidR="00F0033D" w:rsidRPr="00E23815">
        <w:rPr>
          <w:rFonts w:asciiTheme="minorHAnsi" w:hAnsiTheme="minorHAnsi" w:cstheme="minorHAnsi"/>
          <w:bCs/>
        </w:rPr>
        <w:t xml:space="preserve">4218 – </w:t>
      </w:r>
      <w:r w:rsidR="00F0033D" w:rsidRPr="00E23815">
        <w:rPr>
          <w:rFonts w:asciiTheme="minorHAnsi" w:hAnsiTheme="minorHAnsi" w:cstheme="minorHAnsi"/>
          <w:bCs/>
          <w:i/>
        </w:rPr>
        <w:t>Investiční převody z Národního fondu</w:t>
      </w:r>
      <w:r w:rsidR="00F0033D" w:rsidRPr="00E23815">
        <w:rPr>
          <w:rFonts w:asciiTheme="minorHAnsi" w:hAnsiTheme="minorHAnsi" w:cstheme="minorHAnsi"/>
          <w:bCs/>
        </w:rPr>
        <w:t>.</w:t>
      </w:r>
      <w:r w:rsidR="007C0267" w:rsidRPr="00E23815">
        <w:rPr>
          <w:rFonts w:asciiTheme="minorHAnsi" w:hAnsiTheme="minorHAnsi"/>
        </w:rPr>
        <w:t xml:space="preserve"> </w:t>
      </w:r>
    </w:p>
    <w:p w14:paraId="681B6C3D" w14:textId="77777777" w:rsidR="000F25CA" w:rsidRPr="00E23815" w:rsidRDefault="000F25CA" w:rsidP="00B238BD">
      <w:pPr>
        <w:spacing w:after="0"/>
        <w:jc w:val="both"/>
      </w:pPr>
    </w:p>
    <w:p w14:paraId="7F1455F2" w14:textId="77777777" w:rsidR="00F0033D" w:rsidRPr="00E23815" w:rsidRDefault="00F0033D" w:rsidP="00F0033D">
      <w:pPr>
        <w:pStyle w:val="Styl2"/>
        <w:numPr>
          <w:ilvl w:val="1"/>
          <w:numId w:val="7"/>
        </w:numPr>
        <w:ind w:left="431" w:hanging="431"/>
      </w:pPr>
      <w:r w:rsidRPr="00E23815">
        <w:t>Neopravené nesprávnosti ve výkazu FIN 1-12 OSS</w:t>
      </w:r>
    </w:p>
    <w:p w14:paraId="4A32136F" w14:textId="2B8BCE3E" w:rsidR="00F0033D" w:rsidRPr="00E23815" w:rsidRDefault="00F0033D" w:rsidP="00F0033D">
      <w:pPr>
        <w:ind w:right="-103"/>
        <w:jc w:val="both"/>
        <w:rPr>
          <w:rFonts w:asciiTheme="minorHAnsi" w:hAnsiTheme="minorHAnsi" w:cstheme="minorHAnsi"/>
          <w:b/>
          <w:bCs/>
          <w:spacing w:val="-2"/>
        </w:rPr>
      </w:pPr>
      <w:r w:rsidRPr="00E23815">
        <w:rPr>
          <w:rFonts w:asciiTheme="minorHAnsi" w:hAnsiTheme="minorHAnsi" w:cstheme="minorHAnsi"/>
          <w:b/>
          <w:bCs/>
          <w:spacing w:val="-2"/>
        </w:rPr>
        <w:t xml:space="preserve">V údajích </w:t>
      </w:r>
      <w:r w:rsidR="00F83EB1" w:rsidRPr="00E23815">
        <w:rPr>
          <w:rFonts w:asciiTheme="minorHAnsi" w:hAnsiTheme="minorHAnsi" w:cstheme="minorHAnsi"/>
          <w:b/>
          <w:bCs/>
          <w:spacing w:val="-2"/>
        </w:rPr>
        <w:t xml:space="preserve">výkazu </w:t>
      </w:r>
      <w:r w:rsidRPr="00E23815">
        <w:rPr>
          <w:rFonts w:asciiTheme="minorHAnsi" w:hAnsiTheme="minorHAnsi" w:cstheme="minorHAnsi"/>
          <w:b/>
          <w:bCs/>
          <w:spacing w:val="-2"/>
        </w:rPr>
        <w:t>FIN 1-12 OSS</w:t>
      </w:r>
      <w:r w:rsidRPr="00E23815">
        <w:rPr>
          <w:rFonts w:cs="Calibri"/>
          <w:b/>
          <w:bCs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 xml:space="preserve">kontrola </w:t>
      </w:r>
      <w:r w:rsidR="00A41736">
        <w:rPr>
          <w:rFonts w:asciiTheme="minorHAnsi" w:hAnsiTheme="minorHAnsi" w:cstheme="minorHAnsi"/>
          <w:b/>
          <w:bCs/>
          <w:spacing w:val="-2"/>
        </w:rPr>
        <w:t xml:space="preserve">NKÚ </w:t>
      </w:r>
      <w:r w:rsidRPr="00E23815">
        <w:rPr>
          <w:rFonts w:asciiTheme="minorHAnsi" w:hAnsiTheme="minorHAnsi" w:cstheme="minorHAnsi"/>
          <w:b/>
          <w:bCs/>
          <w:spacing w:val="-2"/>
        </w:rPr>
        <w:t xml:space="preserve">zjistila, že některé informace nevykázalo </w:t>
      </w:r>
      <w:r w:rsidR="006F1E9F" w:rsidRPr="00E23815">
        <w:rPr>
          <w:rFonts w:asciiTheme="minorHAnsi" w:hAnsiTheme="minorHAnsi" w:cstheme="minorHAnsi"/>
          <w:b/>
          <w:bCs/>
          <w:spacing w:val="-2"/>
        </w:rPr>
        <w:t xml:space="preserve">MŽP </w:t>
      </w:r>
      <w:r w:rsidRPr="00E23815">
        <w:rPr>
          <w:rFonts w:asciiTheme="minorHAnsi" w:hAnsiTheme="minorHAnsi" w:cs="Calibri"/>
          <w:b/>
        </w:rPr>
        <w:t>v</w:t>
      </w:r>
      <w:r w:rsidR="008D4250">
        <w:rPr>
          <w:rFonts w:asciiTheme="minorHAnsi" w:hAnsiTheme="minorHAnsi" w:cs="Calibri"/>
          <w:b/>
        </w:rPr>
        <w:t> </w:t>
      </w:r>
      <w:r w:rsidRPr="00E23815">
        <w:rPr>
          <w:rFonts w:asciiTheme="minorHAnsi" w:hAnsiTheme="minorHAnsi" w:cstheme="minorHAnsi"/>
          <w:b/>
        </w:rPr>
        <w:t>souladu s vyhláškou č.</w:t>
      </w:r>
      <w:r w:rsidR="003479E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b/>
        </w:rPr>
        <w:t>412/2021 Sb.</w:t>
      </w:r>
      <w:r w:rsidR="007C6902" w:rsidRPr="00E23815">
        <w:rPr>
          <w:rFonts w:asciiTheme="minorHAnsi" w:hAnsiTheme="minorHAnsi" w:cstheme="minorHAnsi"/>
          <w:b/>
        </w:rPr>
        <w:t xml:space="preserve"> </w:t>
      </w:r>
      <w:r w:rsidR="006F1E9F">
        <w:rPr>
          <w:rFonts w:asciiTheme="minorHAnsi" w:hAnsiTheme="minorHAnsi" w:cstheme="minorHAnsi"/>
          <w:b/>
        </w:rPr>
        <w:t>J</w:t>
      </w:r>
      <w:r w:rsidR="007C6902" w:rsidRPr="00E23815">
        <w:rPr>
          <w:rFonts w:asciiTheme="minorHAnsi" w:hAnsiTheme="minorHAnsi" w:cstheme="minorHAnsi"/>
          <w:b/>
        </w:rPr>
        <w:t xml:space="preserve">ednalo se o nesprávnosti v </w:t>
      </w:r>
      <w:r w:rsidRPr="00E23815">
        <w:rPr>
          <w:rFonts w:asciiTheme="minorHAnsi" w:hAnsiTheme="minorHAnsi" w:cstheme="minorHAnsi"/>
          <w:b/>
          <w:bCs/>
          <w:spacing w:val="-2"/>
        </w:rPr>
        <w:t>celkové výši 42,2</w:t>
      </w:r>
      <w:r w:rsidR="003479E5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23815">
        <w:rPr>
          <w:rFonts w:asciiTheme="minorHAnsi" w:hAnsiTheme="minorHAnsi" w:cstheme="minorHAnsi"/>
          <w:b/>
          <w:bCs/>
          <w:spacing w:val="-2"/>
        </w:rPr>
        <w:t>mil. Kč</w:t>
      </w:r>
      <w:r w:rsidR="007C6902" w:rsidRPr="00E23815">
        <w:rPr>
          <w:rFonts w:asciiTheme="minorHAnsi" w:hAnsiTheme="minorHAnsi" w:cstheme="minorHAnsi"/>
          <w:b/>
          <w:bCs/>
          <w:spacing w:val="-2"/>
        </w:rPr>
        <w:t xml:space="preserve">, které </w:t>
      </w:r>
      <w:r w:rsidRPr="00E23815">
        <w:rPr>
          <w:rFonts w:asciiTheme="minorHAnsi" w:hAnsiTheme="minorHAnsi" w:cstheme="minorHAnsi"/>
          <w:b/>
          <w:bCs/>
          <w:spacing w:val="-2"/>
        </w:rPr>
        <w:t xml:space="preserve">nebyly významné. </w:t>
      </w:r>
    </w:p>
    <w:p w14:paraId="7E20602A" w14:textId="77777777" w:rsidR="00F0033D" w:rsidRPr="00E23815" w:rsidRDefault="00F0033D" w:rsidP="00AF65F6">
      <w:pPr>
        <w:keepNext/>
        <w:jc w:val="both"/>
        <w:rPr>
          <w:rFonts w:asciiTheme="minorHAnsi" w:hAnsiTheme="minorHAnsi" w:cstheme="minorHAnsi"/>
          <w:spacing w:val="-2"/>
        </w:rPr>
      </w:pPr>
      <w:r w:rsidRPr="00E23815">
        <w:rPr>
          <w:rFonts w:asciiTheme="minorHAnsi" w:hAnsiTheme="minorHAnsi" w:cstheme="minorHAnsi"/>
          <w:spacing w:val="-2"/>
        </w:rPr>
        <w:lastRenderedPageBreak/>
        <w:t>Nesprávnosti vznikly zejména tím, že MŽP:</w:t>
      </w:r>
    </w:p>
    <w:p w14:paraId="3B16191A" w14:textId="19264E00" w:rsidR="00F0033D" w:rsidRPr="00E23815" w:rsidRDefault="00E30F27" w:rsidP="00F0033D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 xml:space="preserve">zatřídilo příjmy investičního charakteru </w:t>
      </w:r>
      <w:r w:rsidR="00F93A5D" w:rsidRPr="00E23815">
        <w:t xml:space="preserve">ve výši 24,4 mil. Kč </w:t>
      </w:r>
      <w:r w:rsidRPr="00E23815">
        <w:t xml:space="preserve">na rozpočtovou položku </w:t>
      </w:r>
      <w:r w:rsidR="004920BD">
        <w:br/>
      </w:r>
      <w:r w:rsidRPr="00E23815">
        <w:rPr>
          <w:rFonts w:asciiTheme="minorHAnsi" w:eastAsia="Calibri" w:hAnsiTheme="minorHAnsi" w:cstheme="minorHAnsi"/>
        </w:rPr>
        <w:t xml:space="preserve">4118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eastAsia="Calibri" w:hAnsiTheme="minorHAnsi" w:cstheme="minorHAnsi"/>
        </w:rPr>
        <w:t xml:space="preserve"> </w:t>
      </w:r>
      <w:r w:rsidRPr="00E23815">
        <w:rPr>
          <w:rFonts w:asciiTheme="minorHAnsi" w:eastAsia="Calibri" w:hAnsiTheme="minorHAnsi" w:cstheme="minorHAnsi"/>
          <w:i/>
        </w:rPr>
        <w:t>Neinvestiční převody z Národního fondu</w:t>
      </w:r>
      <w:r w:rsidR="008D33CE" w:rsidRPr="00E23815">
        <w:t xml:space="preserve">, přestože je mělo zatřídit na rozpočtovou položku </w:t>
      </w:r>
      <w:r w:rsidR="00F93A5D" w:rsidRPr="00E23815">
        <w:rPr>
          <w:rFonts w:asciiTheme="minorHAnsi" w:eastAsia="Calibri" w:hAnsiTheme="minorHAnsi" w:cstheme="minorHAnsi"/>
        </w:rPr>
        <w:t xml:space="preserve">4218 </w:t>
      </w:r>
      <w:r w:rsidR="00F93A5D" w:rsidRPr="00E23815">
        <w:rPr>
          <w:rFonts w:asciiTheme="minorHAnsi" w:hAnsiTheme="minorHAnsi" w:cstheme="minorHAnsi"/>
        </w:rPr>
        <w:t>–</w:t>
      </w:r>
      <w:r w:rsidR="00F93A5D" w:rsidRPr="00E23815">
        <w:rPr>
          <w:rFonts w:asciiTheme="minorHAnsi" w:eastAsia="Calibri" w:hAnsiTheme="minorHAnsi" w:cstheme="minorHAnsi"/>
        </w:rPr>
        <w:t xml:space="preserve"> </w:t>
      </w:r>
      <w:r w:rsidR="00F93A5D" w:rsidRPr="00E23815">
        <w:rPr>
          <w:rFonts w:asciiTheme="minorHAnsi" w:eastAsia="Calibri" w:hAnsiTheme="minorHAnsi" w:cstheme="minorHAnsi"/>
          <w:i/>
        </w:rPr>
        <w:t>Investiční převody z Národního fondu</w:t>
      </w:r>
      <w:r w:rsidR="006F1E9F">
        <w:rPr>
          <w:rFonts w:asciiTheme="minorHAnsi" w:hAnsiTheme="minorHAnsi" w:cstheme="minorHAnsi"/>
        </w:rPr>
        <w:t>;</w:t>
      </w:r>
    </w:p>
    <w:p w14:paraId="59CDDF5F" w14:textId="63F92493" w:rsidR="00F512F4" w:rsidRPr="00E23815" w:rsidRDefault="00F512F4" w:rsidP="00F0033D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 xml:space="preserve">dotaci ve výši 12,6 mil. Kč </w:t>
      </w:r>
      <w:r w:rsidR="006F1E9F" w:rsidRPr="00E23815">
        <w:t xml:space="preserve">poskytnutou </w:t>
      </w:r>
      <w:r w:rsidR="00173AB3" w:rsidRPr="00E23815">
        <w:t xml:space="preserve">organizaci, která je zapsaným ústavem, </w:t>
      </w:r>
      <w:r w:rsidR="006F1E9F" w:rsidRPr="00E23815">
        <w:t xml:space="preserve">zatřídilo </w:t>
      </w:r>
      <w:r w:rsidRPr="00E23815">
        <w:t xml:space="preserve">na rozpočtovou položku </w:t>
      </w:r>
      <w:r w:rsidR="00173AB3" w:rsidRPr="00E23815">
        <w:rPr>
          <w:rFonts w:asciiTheme="minorHAnsi" w:hAnsiTheme="minorHAnsi" w:cstheme="minorHAnsi"/>
        </w:rPr>
        <w:t xml:space="preserve">5229 – </w:t>
      </w:r>
      <w:r w:rsidR="00173AB3" w:rsidRPr="00E23815">
        <w:rPr>
          <w:rFonts w:asciiTheme="minorHAnsi" w:hAnsiTheme="minorHAnsi" w:cstheme="minorHAnsi"/>
          <w:i/>
        </w:rPr>
        <w:t>Ostatní neinvestiční transfery neziskovým a podobným organizacím</w:t>
      </w:r>
      <w:r w:rsidRPr="00E23815">
        <w:rPr>
          <w:rFonts w:asciiTheme="minorHAnsi" w:hAnsiTheme="minorHAnsi" w:cstheme="minorHAnsi"/>
          <w:bCs/>
          <w:iCs/>
        </w:rPr>
        <w:t xml:space="preserve">, přestože ji mělo zatřídit na rozpočtovou položku </w:t>
      </w:r>
      <w:r w:rsidR="00173AB3" w:rsidRPr="00E23815">
        <w:rPr>
          <w:rFonts w:asciiTheme="minorHAnsi" w:hAnsiTheme="minorHAnsi" w:cstheme="minorHAnsi"/>
        </w:rPr>
        <w:t>5221</w:t>
      </w:r>
      <w:r w:rsidR="004920BD">
        <w:rPr>
          <w:rFonts w:asciiTheme="minorHAnsi" w:hAnsiTheme="minorHAnsi" w:cstheme="minorHAnsi"/>
        </w:rPr>
        <w:t> </w:t>
      </w:r>
      <w:r w:rsidR="00173AB3" w:rsidRPr="00E23815">
        <w:rPr>
          <w:rFonts w:asciiTheme="minorHAnsi" w:hAnsiTheme="minorHAnsi" w:cstheme="minorHAnsi"/>
        </w:rPr>
        <w:t>– </w:t>
      </w:r>
      <w:r w:rsidR="00173AB3" w:rsidRPr="00E23815">
        <w:rPr>
          <w:rFonts w:asciiTheme="minorHAnsi" w:hAnsiTheme="minorHAnsi" w:cstheme="minorHAnsi"/>
          <w:i/>
        </w:rPr>
        <w:t>Neinvestiční transfery fundacím, ústavům a obecně prospěšným společnostem</w:t>
      </w:r>
      <w:r w:rsidR="006F1E9F">
        <w:rPr>
          <w:rFonts w:asciiTheme="minorHAnsi" w:hAnsiTheme="minorHAnsi" w:cstheme="minorHAnsi"/>
        </w:rPr>
        <w:t>;</w:t>
      </w:r>
    </w:p>
    <w:p w14:paraId="49FF330D" w14:textId="67FCF6F6" w:rsidR="00173AB3" w:rsidRPr="00E23815" w:rsidRDefault="00173AB3" w:rsidP="00173AB3">
      <w:pPr>
        <w:pStyle w:val="Odstavecseseznamem"/>
        <w:numPr>
          <w:ilvl w:val="0"/>
          <w:numId w:val="17"/>
        </w:numPr>
        <w:ind w:left="426" w:hanging="426"/>
        <w:contextualSpacing w:val="0"/>
        <w:jc w:val="both"/>
      </w:pPr>
      <w:r w:rsidRPr="00E23815">
        <w:t xml:space="preserve">dotaci ve výši 5,2 mil. Kč </w:t>
      </w:r>
      <w:r w:rsidR="006F1E9F" w:rsidRPr="00E23815">
        <w:t xml:space="preserve">poskytnutou </w:t>
      </w:r>
      <w:r w:rsidRPr="00E23815">
        <w:t xml:space="preserve">obchodní společnosti, která je krajskou nemocnicí, </w:t>
      </w:r>
      <w:r w:rsidR="006F1E9F" w:rsidRPr="00E23815">
        <w:t xml:space="preserve">zatřídilo </w:t>
      </w:r>
      <w:r w:rsidRPr="00E23815">
        <w:t xml:space="preserve">na rozpočtovou položku </w:t>
      </w:r>
      <w:r w:rsidRPr="00E23815">
        <w:rPr>
          <w:rFonts w:asciiTheme="minorHAnsi" w:hAnsiTheme="minorHAnsi" w:cstheme="minorHAnsi"/>
          <w:bCs/>
          <w:iCs/>
        </w:rPr>
        <w:t>6313 –</w:t>
      </w:r>
      <w:r w:rsidRPr="00E23815">
        <w:rPr>
          <w:rFonts w:asciiTheme="minorHAnsi" w:hAnsiTheme="minorHAnsi" w:cstheme="minorHAnsi"/>
          <w:b/>
          <w:bCs/>
          <w:i/>
          <w:iCs/>
        </w:rPr>
        <w:t> </w:t>
      </w:r>
      <w:r w:rsidRPr="00E23815">
        <w:rPr>
          <w:rFonts w:asciiTheme="minorHAnsi" w:hAnsiTheme="minorHAnsi" w:cstheme="minorHAnsi"/>
          <w:bCs/>
          <w:i/>
          <w:iCs/>
        </w:rPr>
        <w:t>Investiční transfery nefinančním podnikatelům</w:t>
      </w:r>
      <w:r w:rsidRPr="00E23815">
        <w:rPr>
          <w:rFonts w:asciiTheme="minorHAnsi" w:hAnsiTheme="minorHAnsi" w:cstheme="minorHAnsi"/>
          <w:bCs/>
          <w:iCs/>
        </w:rPr>
        <w:t xml:space="preserve">, přestože ji mělo zatřídit na rozpočtovou položku </w:t>
      </w:r>
      <w:r w:rsidRPr="00E23815">
        <w:rPr>
          <w:rFonts w:asciiTheme="minorHAnsi" w:hAnsiTheme="minorHAnsi" w:cstheme="minorHAnsi"/>
        </w:rPr>
        <w:t>6316 – </w:t>
      </w:r>
      <w:r w:rsidRPr="00E23815">
        <w:rPr>
          <w:rFonts w:asciiTheme="minorHAnsi" w:hAnsiTheme="minorHAnsi" w:cstheme="minorHAnsi"/>
          <w:i/>
        </w:rPr>
        <w:t>Investiční transfery obecním a krajským nemocnicím – obchodním společnostem</w:t>
      </w:r>
      <w:r w:rsidRPr="00E23815">
        <w:rPr>
          <w:rFonts w:asciiTheme="minorHAnsi" w:hAnsiTheme="minorHAnsi" w:cstheme="minorHAnsi"/>
        </w:rPr>
        <w:t>.</w:t>
      </w:r>
    </w:p>
    <w:p w14:paraId="5E565702" w14:textId="77777777" w:rsidR="00447026" w:rsidRPr="00E23815" w:rsidRDefault="00447026" w:rsidP="00447026">
      <w:pPr>
        <w:jc w:val="both"/>
      </w:pPr>
    </w:p>
    <w:p w14:paraId="3154C709" w14:textId="77777777" w:rsidR="00173AB3" w:rsidRPr="00E23815" w:rsidRDefault="00173AB3" w:rsidP="00173AB3">
      <w:pPr>
        <w:pStyle w:val="Styl2"/>
        <w:numPr>
          <w:ilvl w:val="1"/>
          <w:numId w:val="7"/>
        </w:numPr>
        <w:ind w:left="431" w:hanging="431"/>
      </w:pPr>
      <w:r w:rsidRPr="00E23815">
        <w:t xml:space="preserve">Spolehlivost údajů </w:t>
      </w:r>
      <w:r w:rsidR="00F83EB1" w:rsidRPr="00E23815">
        <w:t xml:space="preserve">výkazu </w:t>
      </w:r>
      <w:r w:rsidRPr="00E23815">
        <w:t>FIN 1-12 OSS</w:t>
      </w:r>
    </w:p>
    <w:p w14:paraId="1C647FE9" w14:textId="77777777" w:rsidR="00034564" w:rsidRPr="00E23815" w:rsidRDefault="00034564" w:rsidP="00B238BD">
      <w:pPr>
        <w:spacing w:after="0"/>
        <w:jc w:val="both"/>
      </w:pPr>
      <w:r w:rsidRPr="00E23815">
        <w:t>Pro posouzení významnosti zjištěných nesprávností v údajích předkládaných pro hodnocení plnění</w:t>
      </w:r>
      <w:r w:rsidR="00F95077" w:rsidRPr="00E23815">
        <w:t xml:space="preserve"> </w:t>
      </w:r>
      <w:r w:rsidR="00AA122F" w:rsidRPr="00E23815">
        <w:t xml:space="preserve">státního </w:t>
      </w:r>
      <w:r w:rsidRPr="00E23815">
        <w:t xml:space="preserve">rozpočtu </w:t>
      </w:r>
      <w:r w:rsidR="000176F5" w:rsidRPr="00E23815">
        <w:t>stanovil</w:t>
      </w:r>
      <w:r w:rsidR="00EE2163" w:rsidRPr="00E23815">
        <w:t xml:space="preserve"> NKÚ </w:t>
      </w:r>
      <w:r w:rsidR="009C3CD0" w:rsidRPr="00E23815">
        <w:t>hladin</w:t>
      </w:r>
      <w:r w:rsidR="000176F5" w:rsidRPr="00E23815">
        <w:t>u</w:t>
      </w:r>
      <w:r w:rsidR="009C3CD0" w:rsidRPr="00E23815">
        <w:t xml:space="preserve"> </w:t>
      </w:r>
      <w:r w:rsidRPr="00E23815">
        <w:t>významnost</w:t>
      </w:r>
      <w:r w:rsidR="009C3CD0" w:rsidRPr="00E23815">
        <w:t>i</w:t>
      </w:r>
      <w:r w:rsidRPr="00E23815">
        <w:t xml:space="preserve"> ve výši </w:t>
      </w:r>
      <w:r w:rsidR="00173AB3" w:rsidRPr="00E23815">
        <w:t>489</w:t>
      </w:r>
      <w:r w:rsidR="005C5441" w:rsidRPr="00E23815">
        <w:t xml:space="preserve"> </w:t>
      </w:r>
      <w:r w:rsidRPr="00E23815">
        <w:t>mil. Kč</w:t>
      </w:r>
      <w:r w:rsidR="00E45ADC" w:rsidRPr="00E23815">
        <w:rPr>
          <w:rStyle w:val="Znakapoznpodarou"/>
        </w:rPr>
        <w:footnoteReference w:id="46"/>
      </w:r>
      <w:r w:rsidRPr="00E23815">
        <w:t>.</w:t>
      </w:r>
    </w:p>
    <w:p w14:paraId="568BC6BD" w14:textId="77777777" w:rsidR="000471B4" w:rsidRPr="00E23815" w:rsidRDefault="000471B4" w:rsidP="00B238BD">
      <w:pPr>
        <w:spacing w:after="0"/>
        <w:jc w:val="both"/>
        <w:rPr>
          <w:rFonts w:asciiTheme="minorHAnsi" w:hAnsiTheme="minorHAnsi" w:cstheme="minorHAnsi"/>
        </w:rPr>
      </w:pPr>
    </w:p>
    <w:p w14:paraId="4B542A3C" w14:textId="32082B33" w:rsidR="00690CEB" w:rsidRPr="00E23815" w:rsidRDefault="00A14AEE" w:rsidP="00B238BD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NKÚ provedl ve výkazu </w:t>
      </w:r>
      <w:r w:rsidR="00640EC0" w:rsidRPr="00E23815">
        <w:rPr>
          <w:rFonts w:asciiTheme="minorHAnsi" w:hAnsiTheme="minorHAnsi" w:cstheme="minorHAnsi"/>
        </w:rPr>
        <w:t xml:space="preserve">pro hodnocení plnění rozpočtu </w:t>
      </w:r>
      <w:r w:rsidR="00B4792D" w:rsidRPr="00E23815">
        <w:rPr>
          <w:rFonts w:asciiTheme="minorHAnsi" w:hAnsiTheme="minorHAnsi" w:cstheme="minorHAnsi"/>
        </w:rPr>
        <w:t>MŽP</w:t>
      </w:r>
      <w:r w:rsidRPr="00E23815">
        <w:rPr>
          <w:rFonts w:asciiTheme="minorHAnsi" w:hAnsiTheme="minorHAnsi" w:cstheme="minorHAnsi"/>
        </w:rPr>
        <w:t xml:space="preserve"> sestavené</w:t>
      </w:r>
      <w:r w:rsidR="00E3390A" w:rsidRPr="00E23815">
        <w:rPr>
          <w:rFonts w:asciiTheme="minorHAnsi" w:hAnsiTheme="minorHAnsi" w:cstheme="minorHAnsi"/>
        </w:rPr>
        <w:t>m</w:t>
      </w:r>
      <w:r w:rsidRPr="00E23815">
        <w:rPr>
          <w:rFonts w:asciiTheme="minorHAnsi" w:hAnsiTheme="minorHAnsi" w:cstheme="minorHAnsi"/>
        </w:rPr>
        <w:t xml:space="preserve"> k 31. </w:t>
      </w:r>
      <w:r w:rsidR="009C2388" w:rsidRPr="00E23815">
        <w:rPr>
          <w:rFonts w:asciiTheme="minorHAnsi" w:hAnsiTheme="minorHAnsi" w:cstheme="minorHAnsi"/>
        </w:rPr>
        <w:t>prosinci</w:t>
      </w:r>
      <w:r w:rsidR="008439D5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2022 </w:t>
      </w:r>
      <w:r w:rsidR="000B4FD0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u</w:t>
      </w:r>
      <w:r w:rsidR="000B4FD0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údajů o příjmech a výdajích ve sloupci </w:t>
      </w:r>
      <w:r w:rsidR="005E4943" w:rsidRPr="00E23815">
        <w:rPr>
          <w:rFonts w:asciiTheme="minorHAnsi" w:hAnsiTheme="minorHAnsi" w:cstheme="minorHAnsi"/>
          <w:i/>
        </w:rPr>
        <w:t>S</w:t>
      </w:r>
      <w:r w:rsidRPr="00E23815">
        <w:rPr>
          <w:rFonts w:asciiTheme="minorHAnsi" w:hAnsiTheme="minorHAnsi" w:cstheme="minorHAnsi"/>
          <w:i/>
        </w:rPr>
        <w:t>kutečnost</w:t>
      </w:r>
      <w:r w:rsidRPr="00E23815">
        <w:rPr>
          <w:rFonts w:asciiTheme="minorHAnsi" w:hAnsiTheme="minorHAnsi" w:cstheme="minorHAnsi"/>
        </w:rPr>
        <w:t xml:space="preserve"> kontrolu správnosti jejich druhového</w:t>
      </w:r>
      <w:r w:rsidR="001A391B" w:rsidRPr="00E23815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</w:rPr>
        <w:t xml:space="preserve"> odvětvového </w:t>
      </w:r>
      <w:r w:rsidR="001A391B" w:rsidRPr="00E23815">
        <w:rPr>
          <w:rFonts w:asciiTheme="minorHAnsi" w:hAnsiTheme="minorHAnsi" w:cstheme="minorHAnsi"/>
        </w:rPr>
        <w:t>a prostorového třídění</w:t>
      </w:r>
      <w:r w:rsidRPr="00E23815">
        <w:rPr>
          <w:rFonts w:asciiTheme="minorHAnsi" w:hAnsiTheme="minorHAnsi" w:cstheme="minorHAnsi"/>
        </w:rPr>
        <w:t xml:space="preserve"> dle rozpočtové skladby.</w:t>
      </w:r>
    </w:p>
    <w:p w14:paraId="76E51703" w14:textId="77777777" w:rsidR="000471B4" w:rsidRPr="00E23815" w:rsidRDefault="000471B4" w:rsidP="00B238BD">
      <w:pPr>
        <w:spacing w:after="0"/>
        <w:jc w:val="both"/>
        <w:rPr>
          <w:rFonts w:asciiTheme="minorHAnsi" w:hAnsiTheme="minorHAnsi" w:cstheme="minorHAnsi"/>
        </w:rPr>
      </w:pPr>
    </w:p>
    <w:p w14:paraId="4DB0B86A" w14:textId="3ADC9EEE" w:rsidR="00447026" w:rsidRPr="00E23815" w:rsidRDefault="00447026" w:rsidP="00AF65F6">
      <w:pPr>
        <w:spacing w:after="0"/>
        <w:jc w:val="both"/>
        <w:rPr>
          <w:rFonts w:asciiTheme="minorHAnsi" w:hAnsiTheme="minorHAnsi" w:cstheme="minorHAnsi"/>
          <w:spacing w:val="-2"/>
        </w:rPr>
      </w:pPr>
      <w:r w:rsidRPr="0030739F">
        <w:rPr>
          <w:rFonts w:asciiTheme="minorHAnsi" w:hAnsiTheme="minorHAnsi" w:cstheme="minorHAnsi"/>
          <w:spacing w:val="-2"/>
        </w:rPr>
        <w:t>Ve výkazu FIN 1-12 OSS</w:t>
      </w:r>
      <w:r w:rsidR="0030739F">
        <w:rPr>
          <w:rFonts w:asciiTheme="minorHAnsi" w:hAnsiTheme="minorHAnsi" w:cstheme="minorHAnsi"/>
          <w:spacing w:val="-2"/>
        </w:rPr>
        <w:t xml:space="preserve"> </w:t>
      </w:r>
      <w:r w:rsidRPr="0030739F">
        <w:rPr>
          <w:rFonts w:asciiTheme="minorHAnsi" w:hAnsiTheme="minorHAnsi" w:cstheme="minorHAnsi"/>
          <w:spacing w:val="-2"/>
        </w:rPr>
        <w:t>s</w:t>
      </w:r>
      <w:r w:rsidRPr="0030739F">
        <w:rPr>
          <w:rFonts w:eastAsia="Calibri" w:cs="Calibri"/>
        </w:rPr>
        <w:t>estaveném</w:t>
      </w:r>
      <w:r w:rsidRPr="00E23815">
        <w:rPr>
          <w:rFonts w:eastAsia="Calibri" w:cs="Calibri"/>
        </w:rPr>
        <w:t xml:space="preserve"> po provedení oprav</w:t>
      </w:r>
      <w:r w:rsidR="0030739F">
        <w:rPr>
          <w:rFonts w:eastAsia="Calibri" w:cs="Calibri"/>
        </w:rPr>
        <w:t>y</w:t>
      </w:r>
      <w:r w:rsidRPr="00E23815">
        <w:rPr>
          <w:rFonts w:eastAsia="Calibri" w:cs="Calibri"/>
        </w:rPr>
        <w:t xml:space="preserve"> (uveden</w:t>
      </w:r>
      <w:r w:rsidR="0030739F">
        <w:rPr>
          <w:rFonts w:eastAsia="Calibri" w:cs="Calibri"/>
        </w:rPr>
        <w:t>é</w:t>
      </w:r>
      <w:r w:rsidRPr="00E23815">
        <w:rPr>
          <w:rFonts w:eastAsia="Calibri" w:cs="Calibri"/>
        </w:rPr>
        <w:t xml:space="preserve"> v</w:t>
      </w:r>
      <w:r w:rsidR="0030739F">
        <w:rPr>
          <w:rFonts w:eastAsia="Calibri" w:cs="Calibri"/>
        </w:rPr>
        <w:t xml:space="preserve"> </w:t>
      </w:r>
      <w:r w:rsidRPr="00E23815">
        <w:rPr>
          <w:rFonts w:eastAsia="Calibri" w:cs="Calibri"/>
        </w:rPr>
        <w:t>části IV.2.1</w:t>
      </w:r>
      <w:r w:rsidR="00317E2B" w:rsidRPr="00E23815">
        <w:rPr>
          <w:rFonts w:eastAsia="Calibri" w:cs="Calibri"/>
        </w:rPr>
        <w:t xml:space="preserve"> tohoto kontrolního závěru</w:t>
      </w:r>
      <w:r w:rsidRPr="00E23815">
        <w:rPr>
          <w:rFonts w:eastAsia="Calibri" w:cs="Calibri"/>
        </w:rPr>
        <w:t>) kontrola zjistila</w:t>
      </w:r>
      <w:r w:rsidRPr="00E23815">
        <w:rPr>
          <w:rFonts w:asciiTheme="minorHAnsi" w:hAnsiTheme="minorHAnsi" w:cstheme="minorHAnsi"/>
          <w:spacing w:val="-2"/>
        </w:rPr>
        <w:t>, že MŽP nevykázalo některé informace v souladu s vyhláškou č. 412/2021 Sb. (viz část IV.2.2</w:t>
      </w:r>
      <w:r w:rsidR="00317E2B" w:rsidRPr="00E23815">
        <w:rPr>
          <w:rFonts w:asciiTheme="minorHAnsi" w:hAnsiTheme="minorHAnsi" w:cstheme="minorHAnsi"/>
          <w:spacing w:val="-2"/>
        </w:rPr>
        <w:t xml:space="preserve"> tohoto kontrolního závěru</w:t>
      </w:r>
      <w:r w:rsidRPr="00E23815">
        <w:rPr>
          <w:rFonts w:asciiTheme="minorHAnsi" w:hAnsiTheme="minorHAnsi" w:cstheme="minorHAnsi"/>
          <w:spacing w:val="-2"/>
        </w:rPr>
        <w:t>). Jednalo se o</w:t>
      </w:r>
      <w:r w:rsidR="0030739F">
        <w:rPr>
          <w:rFonts w:asciiTheme="minorHAnsi" w:hAnsiTheme="minorHAnsi" w:cstheme="minorHAnsi"/>
          <w:spacing w:val="-2"/>
        </w:rPr>
        <w:t xml:space="preserve"> </w:t>
      </w:r>
      <w:r w:rsidRPr="00E23815">
        <w:rPr>
          <w:rFonts w:asciiTheme="minorHAnsi" w:hAnsiTheme="minorHAnsi" w:cstheme="minorHAnsi"/>
          <w:spacing w:val="-2"/>
        </w:rPr>
        <w:t>údaje v celkové výši 42,2 mil. Kč v rozsahu uvedeném v následující tabulce.</w:t>
      </w:r>
    </w:p>
    <w:p w14:paraId="0F9F8AC2" w14:textId="77777777" w:rsidR="00447026" w:rsidRPr="00E23815" w:rsidRDefault="00447026" w:rsidP="0030739F">
      <w:pPr>
        <w:pStyle w:val="Titulek"/>
        <w:tabs>
          <w:tab w:val="right" w:pos="9070"/>
        </w:tabs>
        <w:spacing w:after="40"/>
      </w:pPr>
      <w:r w:rsidRPr="00E23815">
        <w:t xml:space="preserve">Tabulka č. 5: Přehled vyčíslených nesprávností zjištěných ve výkazu FIN 1-12 OSS </w:t>
      </w:r>
      <w:r w:rsidRPr="00E23815">
        <w:tab/>
        <w:t>(v mil. Kč)</w:t>
      </w:r>
    </w:p>
    <w:tbl>
      <w:tblPr>
        <w:tblW w:w="9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238"/>
        <w:gridCol w:w="2098"/>
        <w:gridCol w:w="2098"/>
      </w:tblGrid>
      <w:tr w:rsidR="00447026" w:rsidRPr="00E23815" w14:paraId="32D7C9C0" w14:textId="77777777" w:rsidTr="00AF65F6">
        <w:trPr>
          <w:trHeight w:val="300"/>
          <w:tblHeader/>
        </w:trPr>
        <w:tc>
          <w:tcPr>
            <w:tcW w:w="9099" w:type="dxa"/>
            <w:gridSpan w:val="4"/>
            <w:tcBorders>
              <w:top w:val="single" w:sz="4" w:space="0" w:color="auto"/>
            </w:tcBorders>
            <w:shd w:val="clear" w:color="auto" w:fill="E5F1FF"/>
            <w:vAlign w:val="center"/>
            <w:hideMark/>
          </w:tcPr>
          <w:p w14:paraId="769AFC8E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Nesprávnost v údajích předkládaných pro hodnocení plnění rozpočtu</w:t>
            </w:r>
          </w:p>
        </w:tc>
      </w:tr>
      <w:tr w:rsidR="00447026" w:rsidRPr="00E23815" w14:paraId="521A115E" w14:textId="77777777" w:rsidTr="00AF65F6">
        <w:trPr>
          <w:trHeight w:val="300"/>
          <w:tblHeader/>
        </w:trPr>
        <w:tc>
          <w:tcPr>
            <w:tcW w:w="2665" w:type="dxa"/>
            <w:vMerge w:val="restart"/>
            <w:tcBorders>
              <w:top w:val="single" w:sz="4" w:space="0" w:color="auto"/>
            </w:tcBorders>
            <w:shd w:val="clear" w:color="auto" w:fill="E5F1FF"/>
            <w:vAlign w:val="center"/>
            <w:hideMark/>
          </w:tcPr>
          <w:p w14:paraId="1B638F76" w14:textId="3CC9D698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</w:tcBorders>
            <w:shd w:val="clear" w:color="auto" w:fill="E5F1FF"/>
            <w:vAlign w:val="center"/>
            <w:hideMark/>
          </w:tcPr>
          <w:p w14:paraId="55836AFF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Hodnotová chyba</w:t>
            </w:r>
          </w:p>
        </w:tc>
        <w:tc>
          <w:tcPr>
            <w:tcW w:w="2098" w:type="dxa"/>
            <w:vMerge w:val="restart"/>
            <w:shd w:val="clear" w:color="auto" w:fill="E5F1FF"/>
            <w:vAlign w:val="center"/>
            <w:hideMark/>
          </w:tcPr>
          <w:p w14:paraId="2DAC9D44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Celková započtená nesprávnost</w:t>
            </w:r>
          </w:p>
        </w:tc>
      </w:tr>
      <w:tr w:rsidR="00447026" w:rsidRPr="00E23815" w14:paraId="65BE8C66" w14:textId="77777777" w:rsidTr="00AF65F6">
        <w:trPr>
          <w:trHeight w:val="300"/>
          <w:tblHeader/>
        </w:trPr>
        <w:tc>
          <w:tcPr>
            <w:tcW w:w="2665" w:type="dxa"/>
            <w:vMerge/>
            <w:shd w:val="clear" w:color="auto" w:fill="BFBFBF" w:themeFill="background1" w:themeFillShade="BF"/>
            <w:vAlign w:val="center"/>
            <w:hideMark/>
          </w:tcPr>
          <w:p w14:paraId="4D1930EB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E5F1FF"/>
            <w:vAlign w:val="center"/>
            <w:hideMark/>
          </w:tcPr>
          <w:p w14:paraId="5A76852E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Nadhodnocení</w:t>
            </w:r>
          </w:p>
        </w:tc>
        <w:tc>
          <w:tcPr>
            <w:tcW w:w="2098" w:type="dxa"/>
            <w:shd w:val="clear" w:color="auto" w:fill="E5F1FF"/>
            <w:vAlign w:val="center"/>
            <w:hideMark/>
          </w:tcPr>
          <w:p w14:paraId="0FE01F70" w14:textId="77777777" w:rsidR="00447026" w:rsidRPr="00E23815" w:rsidRDefault="00447026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Podhodnocení</w:t>
            </w:r>
          </w:p>
        </w:tc>
        <w:tc>
          <w:tcPr>
            <w:tcW w:w="2098" w:type="dxa"/>
            <w:vMerge/>
            <w:shd w:val="clear" w:color="auto" w:fill="FBE4D5" w:themeFill="accent2" w:themeFillTint="33"/>
            <w:vAlign w:val="center"/>
            <w:hideMark/>
          </w:tcPr>
          <w:p w14:paraId="2422CA7B" w14:textId="77777777" w:rsidR="00447026" w:rsidRPr="00E23815" w:rsidRDefault="00447026" w:rsidP="000F78D8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47026" w:rsidRPr="00E23815" w14:paraId="50992ABF" w14:textId="77777777" w:rsidTr="00AF65F6">
        <w:trPr>
          <w:trHeight w:val="300"/>
        </w:trPr>
        <w:tc>
          <w:tcPr>
            <w:tcW w:w="2665" w:type="dxa"/>
            <w:shd w:val="clear" w:color="auto" w:fill="FFFFFF" w:themeFill="background1"/>
            <w:noWrap/>
            <w:vAlign w:val="center"/>
            <w:hideMark/>
          </w:tcPr>
          <w:p w14:paraId="5A1D1C57" w14:textId="263A5FA9" w:rsidR="00447026" w:rsidRPr="00E23815" w:rsidRDefault="00447026" w:rsidP="00AF65F6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CELKOVÁ NESPRÁVNOST ZA</w:t>
            </w:r>
            <w:r w:rsidR="0030739F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PŘÍJMY A VÝDAJE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</w:tcPr>
          <w:p w14:paraId="29D5160A" w14:textId="77777777" w:rsidR="00447026" w:rsidRPr="00E23815" w:rsidRDefault="00447026" w:rsidP="000F78D8">
            <w:pPr>
              <w:spacing w:after="0"/>
              <w:ind w:right="50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42,2</w:t>
            </w:r>
          </w:p>
        </w:tc>
        <w:tc>
          <w:tcPr>
            <w:tcW w:w="2098" w:type="dxa"/>
            <w:shd w:val="clear" w:color="auto" w:fill="FFFFFF" w:themeFill="background1"/>
            <w:noWrap/>
            <w:vAlign w:val="center"/>
          </w:tcPr>
          <w:p w14:paraId="6EBB4EB4" w14:textId="77777777" w:rsidR="00447026" w:rsidRPr="00E23815" w:rsidRDefault="00447026" w:rsidP="000F78D8">
            <w:pPr>
              <w:spacing w:after="0"/>
              <w:ind w:right="47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42,2</w:t>
            </w:r>
          </w:p>
        </w:tc>
        <w:tc>
          <w:tcPr>
            <w:tcW w:w="2098" w:type="dxa"/>
            <w:shd w:val="clear" w:color="auto" w:fill="FFFFFF" w:themeFill="background1"/>
            <w:noWrap/>
            <w:vAlign w:val="center"/>
          </w:tcPr>
          <w:p w14:paraId="22C73DC3" w14:textId="77777777" w:rsidR="00447026" w:rsidRPr="00E23815" w:rsidRDefault="00447026" w:rsidP="000F78D8">
            <w:pPr>
              <w:spacing w:after="0"/>
              <w:ind w:right="45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42,2</w:t>
            </w:r>
          </w:p>
        </w:tc>
      </w:tr>
      <w:tr w:rsidR="00447026" w:rsidRPr="00E23815" w14:paraId="5708EC3C" w14:textId="77777777" w:rsidTr="00AF65F6">
        <w:trPr>
          <w:trHeight w:val="300"/>
        </w:trPr>
        <w:tc>
          <w:tcPr>
            <w:tcW w:w="2665" w:type="dxa"/>
            <w:noWrap/>
            <w:vAlign w:val="center"/>
            <w:hideMark/>
          </w:tcPr>
          <w:p w14:paraId="1F09B11D" w14:textId="77777777" w:rsidR="00447026" w:rsidRPr="00E23815" w:rsidRDefault="00447026" w:rsidP="000F78D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Příjmy</w:t>
            </w:r>
          </w:p>
        </w:tc>
        <w:tc>
          <w:tcPr>
            <w:tcW w:w="2238" w:type="dxa"/>
            <w:noWrap/>
            <w:vAlign w:val="center"/>
          </w:tcPr>
          <w:p w14:paraId="51DC6333" w14:textId="77777777" w:rsidR="00447026" w:rsidRPr="00E23815" w:rsidRDefault="00447026" w:rsidP="000F78D8">
            <w:pPr>
              <w:spacing w:after="0"/>
              <w:ind w:right="5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24,5</w:t>
            </w:r>
          </w:p>
        </w:tc>
        <w:tc>
          <w:tcPr>
            <w:tcW w:w="2098" w:type="dxa"/>
            <w:noWrap/>
            <w:vAlign w:val="center"/>
          </w:tcPr>
          <w:p w14:paraId="0ED6882D" w14:textId="77777777" w:rsidR="00447026" w:rsidRPr="00E23815" w:rsidRDefault="00447026" w:rsidP="000F78D8">
            <w:pPr>
              <w:spacing w:after="0"/>
              <w:ind w:right="4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24,5</w:t>
            </w:r>
          </w:p>
        </w:tc>
        <w:tc>
          <w:tcPr>
            <w:tcW w:w="2098" w:type="dxa"/>
            <w:noWrap/>
            <w:vAlign w:val="center"/>
          </w:tcPr>
          <w:p w14:paraId="5732E85C" w14:textId="77777777" w:rsidR="00447026" w:rsidRPr="00E23815" w:rsidRDefault="00447026" w:rsidP="000F78D8">
            <w:pPr>
              <w:spacing w:after="0"/>
              <w:ind w:right="4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24,5</w:t>
            </w:r>
          </w:p>
        </w:tc>
      </w:tr>
      <w:tr w:rsidR="00447026" w:rsidRPr="00E23815" w14:paraId="151E5BD2" w14:textId="77777777" w:rsidTr="00AF65F6">
        <w:trPr>
          <w:trHeight w:val="300"/>
        </w:trPr>
        <w:tc>
          <w:tcPr>
            <w:tcW w:w="2665" w:type="dxa"/>
            <w:noWrap/>
            <w:vAlign w:val="center"/>
            <w:hideMark/>
          </w:tcPr>
          <w:p w14:paraId="0C5B9955" w14:textId="77777777" w:rsidR="00447026" w:rsidRPr="00E23815" w:rsidRDefault="00447026" w:rsidP="000F78D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Výdaje</w:t>
            </w:r>
          </w:p>
        </w:tc>
        <w:tc>
          <w:tcPr>
            <w:tcW w:w="2238" w:type="dxa"/>
            <w:noWrap/>
            <w:vAlign w:val="center"/>
          </w:tcPr>
          <w:p w14:paraId="31161C0F" w14:textId="77777777" w:rsidR="00447026" w:rsidRPr="00E23815" w:rsidRDefault="00447026" w:rsidP="000F78D8">
            <w:pPr>
              <w:spacing w:after="0"/>
              <w:ind w:right="50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17,8</w:t>
            </w:r>
          </w:p>
        </w:tc>
        <w:tc>
          <w:tcPr>
            <w:tcW w:w="2098" w:type="dxa"/>
            <w:noWrap/>
            <w:vAlign w:val="center"/>
          </w:tcPr>
          <w:p w14:paraId="383F3E8C" w14:textId="77777777" w:rsidR="00447026" w:rsidRPr="00E23815" w:rsidRDefault="00447026" w:rsidP="000F78D8">
            <w:pPr>
              <w:spacing w:after="0"/>
              <w:ind w:right="4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17,8</w:t>
            </w:r>
          </w:p>
        </w:tc>
        <w:tc>
          <w:tcPr>
            <w:tcW w:w="2098" w:type="dxa"/>
            <w:noWrap/>
            <w:vAlign w:val="center"/>
          </w:tcPr>
          <w:p w14:paraId="6D4F4531" w14:textId="77777777" w:rsidR="00447026" w:rsidRPr="00E23815" w:rsidRDefault="00447026" w:rsidP="000F78D8">
            <w:pPr>
              <w:spacing w:after="0"/>
              <w:ind w:right="4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17,8</w:t>
            </w:r>
          </w:p>
        </w:tc>
      </w:tr>
    </w:tbl>
    <w:p w14:paraId="48B533DF" w14:textId="77777777" w:rsidR="00447026" w:rsidRPr="00E23815" w:rsidRDefault="00447026" w:rsidP="00447026">
      <w:pPr>
        <w:spacing w:before="40" w:after="0"/>
        <w:rPr>
          <w:rFonts w:asciiTheme="minorHAnsi" w:eastAsiaTheme="minorHAnsi" w:hAnsiTheme="minorHAnsi" w:cs="Calibri"/>
          <w:bCs/>
          <w:sz w:val="20"/>
          <w:szCs w:val="20"/>
        </w:rPr>
      </w:pPr>
      <w:r w:rsidRPr="00E23815">
        <w:rPr>
          <w:rFonts w:asciiTheme="minorHAnsi" w:eastAsiaTheme="minorHAnsi" w:hAnsiTheme="minorHAnsi" w:cs="Calibri"/>
          <w:b/>
          <w:sz w:val="20"/>
          <w:szCs w:val="20"/>
        </w:rPr>
        <w:t>Zdroj:</w:t>
      </w:r>
      <w:r w:rsidRPr="00E23815">
        <w:rPr>
          <w:rFonts w:asciiTheme="minorHAnsi" w:eastAsiaTheme="minorHAnsi" w:hAnsiTheme="minorHAnsi" w:cs="Calibri"/>
          <w:bCs/>
          <w:sz w:val="20"/>
          <w:szCs w:val="20"/>
        </w:rPr>
        <w:t xml:space="preserve"> výpočet provedl NKÚ na základě dat získaných kontrolou.</w:t>
      </w:r>
    </w:p>
    <w:p w14:paraId="6A93CEC5" w14:textId="77777777" w:rsidR="00447026" w:rsidRPr="00E23815" w:rsidRDefault="00447026" w:rsidP="009D290B">
      <w:pPr>
        <w:spacing w:after="0"/>
        <w:jc w:val="both"/>
        <w:rPr>
          <w:rFonts w:asciiTheme="minorHAnsi" w:hAnsiTheme="minorHAnsi" w:cstheme="minorHAnsi"/>
        </w:rPr>
      </w:pPr>
    </w:p>
    <w:p w14:paraId="437056D3" w14:textId="77777777" w:rsidR="000471B4" w:rsidRPr="00E23815" w:rsidRDefault="000471B4" w:rsidP="00625DB1">
      <w:pPr>
        <w:spacing w:before="120"/>
        <w:jc w:val="both"/>
        <w:rPr>
          <w:rFonts w:asciiTheme="minorHAnsi" w:hAnsiTheme="minorHAnsi" w:cstheme="minorHAnsi"/>
        </w:rPr>
      </w:pPr>
      <w:r w:rsidRPr="00E23815">
        <w:rPr>
          <w:rFonts w:cs="Calibri"/>
        </w:rPr>
        <w:t>Celková výše nesprávností, které kontrola v</w:t>
      </w:r>
      <w:r w:rsidR="00F83EB1" w:rsidRPr="00E23815">
        <w:rPr>
          <w:rFonts w:cs="Calibri"/>
        </w:rPr>
        <w:t> </w:t>
      </w:r>
      <w:r w:rsidRPr="00E23815">
        <w:rPr>
          <w:rFonts w:cs="Calibri"/>
        </w:rPr>
        <w:t>údajích</w:t>
      </w:r>
      <w:r w:rsidR="00F83EB1" w:rsidRPr="00E23815">
        <w:rPr>
          <w:rFonts w:cs="Calibri"/>
        </w:rPr>
        <w:t xml:space="preserve"> výkazu</w:t>
      </w:r>
      <w:r w:rsidRPr="00E23815">
        <w:rPr>
          <w:rFonts w:cs="Calibri"/>
        </w:rPr>
        <w:t xml:space="preserve"> FIN 1-12 OSS zjistila a vyčíslila, není významná</w:t>
      </w:r>
      <w:r w:rsidR="00CC4139">
        <w:rPr>
          <w:rFonts w:asciiTheme="minorHAnsi" w:hAnsiTheme="minorHAnsi" w:cstheme="minorHAnsi"/>
        </w:rPr>
        <w:t>.</w:t>
      </w:r>
    </w:p>
    <w:p w14:paraId="47BFAEC6" w14:textId="77777777" w:rsidR="000471B4" w:rsidRPr="00E23815" w:rsidRDefault="000471B4" w:rsidP="00AF65F6">
      <w:pPr>
        <w:spacing w:before="120" w:after="0"/>
        <w:jc w:val="both"/>
        <w:rPr>
          <w:rFonts w:asciiTheme="minorHAnsi" w:hAnsiTheme="minorHAnsi" w:cs="Calibri"/>
          <w:b/>
        </w:rPr>
      </w:pPr>
      <w:r w:rsidRPr="00E23815">
        <w:rPr>
          <w:rFonts w:eastAsiaTheme="minorHAnsi" w:cs="Calibri"/>
          <w:b/>
        </w:rPr>
        <w:t>Dle NKÚ byl uvedený výkaz pro hodnocení plnění rozpočtu ve všech významných ohledech sestaven v souladu s příslušnými právními předpisy</w:t>
      </w:r>
      <w:r w:rsidRPr="00E23815">
        <w:rPr>
          <w:rFonts w:asciiTheme="minorHAnsi" w:hAnsiTheme="minorHAnsi" w:cs="Calibri"/>
          <w:b/>
        </w:rPr>
        <w:t>.</w:t>
      </w:r>
    </w:p>
    <w:p w14:paraId="1FA0BEC5" w14:textId="77777777" w:rsidR="000471B4" w:rsidRPr="00E23815" w:rsidRDefault="000471B4" w:rsidP="009D290B">
      <w:pPr>
        <w:spacing w:after="0"/>
        <w:jc w:val="both"/>
        <w:rPr>
          <w:rFonts w:asciiTheme="minorHAnsi" w:hAnsiTheme="minorHAnsi" w:cstheme="minorHAnsi"/>
        </w:rPr>
      </w:pPr>
    </w:p>
    <w:p w14:paraId="74C34110" w14:textId="77777777" w:rsidR="003D0D8A" w:rsidRPr="00E23815" w:rsidRDefault="003D0D8A" w:rsidP="00063F65">
      <w:pPr>
        <w:spacing w:after="0"/>
        <w:jc w:val="both"/>
        <w:rPr>
          <w:rFonts w:asciiTheme="minorHAnsi" w:hAnsiTheme="minorHAnsi" w:cs="Calibri"/>
          <w:b/>
        </w:rPr>
      </w:pPr>
    </w:p>
    <w:p w14:paraId="01A3F72E" w14:textId="77777777" w:rsidR="008254AB" w:rsidRPr="00E23815" w:rsidRDefault="008254AB" w:rsidP="008254AB">
      <w:pPr>
        <w:keepNext/>
        <w:numPr>
          <w:ilvl w:val="0"/>
          <w:numId w:val="7"/>
        </w:numPr>
        <w:spacing w:after="240"/>
        <w:outlineLvl w:val="1"/>
        <w:rPr>
          <w:rFonts w:eastAsia="Calibri" w:cs="Calibri"/>
          <w:b/>
        </w:rPr>
      </w:pPr>
      <w:r w:rsidRPr="00E23815">
        <w:rPr>
          <w:rFonts w:eastAsia="Calibri" w:cs="Calibri"/>
          <w:b/>
        </w:rPr>
        <w:lastRenderedPageBreak/>
        <w:t>Závěrečný účet kapitoly státní</w:t>
      </w:r>
      <w:r w:rsidR="00A41736">
        <w:rPr>
          <w:rFonts w:eastAsia="Calibri" w:cs="Calibri"/>
          <w:b/>
        </w:rPr>
        <w:t>ho</w:t>
      </w:r>
      <w:r w:rsidRPr="00E23815">
        <w:rPr>
          <w:rFonts w:eastAsia="Calibri" w:cs="Calibri"/>
          <w:b/>
        </w:rPr>
        <w:t xml:space="preserve"> rozpočtu 315 – </w:t>
      </w:r>
      <w:r w:rsidRPr="00E23815">
        <w:rPr>
          <w:rFonts w:eastAsia="Calibri" w:cs="Calibri"/>
          <w:b/>
          <w:i/>
        </w:rPr>
        <w:t>Ministerstvo životního prostředí</w:t>
      </w:r>
    </w:p>
    <w:p w14:paraId="0A4E56A3" w14:textId="6575C1E1" w:rsidR="00FC11A2" w:rsidRPr="00E23815" w:rsidRDefault="00FC11A2" w:rsidP="0024175E">
      <w:pPr>
        <w:spacing w:before="120"/>
        <w:jc w:val="both"/>
        <w:rPr>
          <w:bCs/>
          <w:lang w:eastAsia="cs-CZ"/>
        </w:rPr>
      </w:pPr>
      <w:r w:rsidRPr="00E23815">
        <w:rPr>
          <w:bCs/>
          <w:lang w:eastAsia="cs-CZ"/>
        </w:rPr>
        <w:t xml:space="preserve">NKÚ zjistil, že </w:t>
      </w:r>
      <w:r w:rsidR="0024175E" w:rsidRPr="00E23815">
        <w:rPr>
          <w:bCs/>
          <w:lang w:eastAsia="cs-CZ"/>
        </w:rPr>
        <w:t>MŽP</w:t>
      </w:r>
      <w:r w:rsidRPr="00E23815">
        <w:rPr>
          <w:bCs/>
          <w:lang w:eastAsia="cs-CZ"/>
        </w:rPr>
        <w:t xml:space="preserve"> v</w:t>
      </w:r>
      <w:r w:rsidR="003479E5">
        <w:rPr>
          <w:bCs/>
          <w:lang w:eastAsia="cs-CZ"/>
        </w:rPr>
        <w:t xml:space="preserve"> </w:t>
      </w:r>
      <w:r w:rsidRPr="00E23815">
        <w:rPr>
          <w:bCs/>
          <w:lang w:eastAsia="cs-CZ"/>
        </w:rPr>
        <w:t>předloženém návrhu ZÚ 2022 neuvedl</w:t>
      </w:r>
      <w:r w:rsidR="0024175E" w:rsidRPr="00E23815">
        <w:rPr>
          <w:bCs/>
          <w:lang w:eastAsia="cs-CZ"/>
        </w:rPr>
        <w:t>o</w:t>
      </w:r>
      <w:r w:rsidRPr="00E23815">
        <w:rPr>
          <w:bCs/>
          <w:lang w:eastAsia="cs-CZ"/>
        </w:rPr>
        <w:t xml:space="preserve"> některé </w:t>
      </w:r>
      <w:r w:rsidR="0024175E" w:rsidRPr="00E23815">
        <w:rPr>
          <w:bCs/>
          <w:lang w:eastAsia="cs-CZ"/>
        </w:rPr>
        <w:t>informace</w:t>
      </w:r>
      <w:r w:rsidRPr="00E23815">
        <w:rPr>
          <w:bCs/>
          <w:lang w:eastAsia="cs-CZ"/>
        </w:rPr>
        <w:t xml:space="preserve"> správně</w:t>
      </w:r>
      <w:r w:rsidR="0024175E" w:rsidRPr="00E23815">
        <w:rPr>
          <w:rFonts w:asciiTheme="minorHAnsi" w:hAnsiTheme="minorHAnsi" w:cstheme="minorHAnsi"/>
        </w:rPr>
        <w:t>. Jednalo se zejména o nesprávn</w:t>
      </w:r>
      <w:r w:rsidR="003479E5">
        <w:rPr>
          <w:rFonts w:asciiTheme="minorHAnsi" w:hAnsiTheme="minorHAnsi" w:cstheme="minorHAnsi"/>
        </w:rPr>
        <w:t>ě</w:t>
      </w:r>
      <w:r w:rsidR="0024175E" w:rsidRPr="00E23815">
        <w:rPr>
          <w:rFonts w:asciiTheme="minorHAnsi" w:hAnsiTheme="minorHAnsi" w:cstheme="minorHAnsi"/>
        </w:rPr>
        <w:t xml:space="preserve"> číselné údaje a chybějící komentáře</w:t>
      </w:r>
      <w:r w:rsidR="003479E5">
        <w:rPr>
          <w:rFonts w:asciiTheme="minorHAnsi" w:hAnsiTheme="minorHAnsi" w:cstheme="minorHAnsi"/>
        </w:rPr>
        <w:t>,</w:t>
      </w:r>
      <w:r w:rsidR="0024175E" w:rsidRPr="00E23815">
        <w:rPr>
          <w:rFonts w:asciiTheme="minorHAnsi" w:hAnsiTheme="minorHAnsi" w:cstheme="minorHAnsi"/>
        </w:rPr>
        <w:t xml:space="preserve"> např. vyčíslení </w:t>
      </w:r>
      <w:r w:rsidR="003479E5">
        <w:rPr>
          <w:rFonts w:asciiTheme="minorHAnsi" w:hAnsiTheme="minorHAnsi" w:cstheme="minorHAnsi"/>
        </w:rPr>
        <w:br/>
      </w:r>
      <w:r w:rsidR="0024175E" w:rsidRPr="00E23815">
        <w:rPr>
          <w:rFonts w:asciiTheme="minorHAnsi" w:hAnsiTheme="minorHAnsi" w:cstheme="minorHAnsi"/>
          <w:bCs/>
        </w:rPr>
        <w:t>dopadů a</w:t>
      </w:r>
      <w:r w:rsidR="003479E5">
        <w:rPr>
          <w:rFonts w:asciiTheme="minorHAnsi" w:hAnsiTheme="minorHAnsi" w:cstheme="minorHAnsi"/>
          <w:bCs/>
        </w:rPr>
        <w:t xml:space="preserve"> </w:t>
      </w:r>
      <w:r w:rsidR="0024175E" w:rsidRPr="00E23815">
        <w:rPr>
          <w:rFonts w:asciiTheme="minorHAnsi" w:hAnsiTheme="minorHAnsi" w:cstheme="minorHAnsi"/>
          <w:bCs/>
        </w:rPr>
        <w:t xml:space="preserve">zhodnocení účinnosti legislativních a dalších významných změn podle vyhlášky č. 419/2001 Sb. </w:t>
      </w:r>
      <w:r w:rsidR="00033988">
        <w:rPr>
          <w:rFonts w:asciiTheme="minorHAnsi" w:hAnsiTheme="minorHAnsi" w:cstheme="minorHAnsi"/>
          <w:bCs/>
        </w:rPr>
        <w:t>(</w:t>
      </w:r>
      <w:r w:rsidR="0024175E" w:rsidRPr="00E23815">
        <w:rPr>
          <w:rFonts w:asciiTheme="minorHAnsi" w:hAnsiTheme="minorHAnsi" w:cstheme="minorHAnsi"/>
          <w:bCs/>
        </w:rPr>
        <w:t>příloh</w:t>
      </w:r>
      <w:r w:rsidR="00033988">
        <w:rPr>
          <w:rFonts w:asciiTheme="minorHAnsi" w:hAnsiTheme="minorHAnsi" w:cstheme="minorHAnsi"/>
          <w:bCs/>
        </w:rPr>
        <w:t>a</w:t>
      </w:r>
      <w:r w:rsidR="0024175E" w:rsidRPr="00E23815">
        <w:rPr>
          <w:rFonts w:asciiTheme="minorHAnsi" w:hAnsiTheme="minorHAnsi" w:cstheme="minorHAnsi"/>
          <w:bCs/>
        </w:rPr>
        <w:t xml:space="preserve"> č. 1, část první, </w:t>
      </w:r>
      <w:r w:rsidR="00033988">
        <w:rPr>
          <w:rFonts w:asciiTheme="minorHAnsi" w:hAnsiTheme="minorHAnsi" w:cstheme="minorHAnsi"/>
          <w:bCs/>
        </w:rPr>
        <w:t>h</w:t>
      </w:r>
      <w:r w:rsidR="0024175E" w:rsidRPr="00E23815">
        <w:rPr>
          <w:rFonts w:asciiTheme="minorHAnsi" w:hAnsiTheme="minorHAnsi" w:cstheme="minorHAnsi"/>
          <w:bCs/>
        </w:rPr>
        <w:t>lava I</w:t>
      </w:r>
      <w:r w:rsidR="00033988">
        <w:rPr>
          <w:rFonts w:asciiTheme="minorHAnsi" w:hAnsiTheme="minorHAnsi" w:cstheme="minorHAnsi"/>
          <w:bCs/>
        </w:rPr>
        <w:t>).</w:t>
      </w:r>
    </w:p>
    <w:p w14:paraId="7A5E6429" w14:textId="77777777" w:rsidR="00FC11A2" w:rsidRPr="00E23815" w:rsidRDefault="000A5061" w:rsidP="0024175E">
      <w:pPr>
        <w:spacing w:before="120"/>
        <w:jc w:val="both"/>
        <w:rPr>
          <w:bCs/>
          <w:lang w:eastAsia="cs-CZ"/>
        </w:rPr>
      </w:pPr>
      <w:bookmarkStart w:id="9" w:name="_Toc105083305"/>
      <w:r w:rsidRPr="00E23815">
        <w:rPr>
          <w:bCs/>
          <w:lang w:eastAsia="cs-CZ"/>
        </w:rPr>
        <w:t>MŽP v</w:t>
      </w:r>
      <w:r w:rsidR="00FC11A2" w:rsidRPr="00E23815">
        <w:rPr>
          <w:bCs/>
          <w:lang w:eastAsia="cs-CZ"/>
        </w:rPr>
        <w:t xml:space="preserve">šechny </w:t>
      </w:r>
      <w:r w:rsidRPr="00E23815">
        <w:rPr>
          <w:bCs/>
          <w:lang w:eastAsia="cs-CZ"/>
        </w:rPr>
        <w:t xml:space="preserve">tyto </w:t>
      </w:r>
      <w:r w:rsidR="00FC11A2" w:rsidRPr="00E23815">
        <w:rPr>
          <w:bCs/>
          <w:lang w:eastAsia="cs-CZ"/>
        </w:rPr>
        <w:t>zjištěné nedostatky v průběhu kontroly opravil</w:t>
      </w:r>
      <w:r w:rsidRPr="00E23815">
        <w:rPr>
          <w:bCs/>
          <w:lang w:eastAsia="cs-CZ"/>
        </w:rPr>
        <w:t>o</w:t>
      </w:r>
      <w:r w:rsidR="00FC11A2" w:rsidRPr="00E23815">
        <w:rPr>
          <w:bCs/>
          <w:lang w:eastAsia="cs-CZ"/>
        </w:rPr>
        <w:t xml:space="preserve"> a ve finálním ZÚ 2022 se již nevyskytovaly.</w:t>
      </w:r>
    </w:p>
    <w:p w14:paraId="12356009" w14:textId="57D30ACD" w:rsidR="000A5061" w:rsidRPr="00E23815" w:rsidRDefault="000A5061" w:rsidP="0024175E">
      <w:pPr>
        <w:spacing w:before="120"/>
        <w:jc w:val="both"/>
        <w:rPr>
          <w:bCs/>
          <w:lang w:eastAsia="cs-CZ"/>
        </w:rPr>
      </w:pPr>
      <w:r w:rsidRPr="00E23815">
        <w:rPr>
          <w:bCs/>
          <w:lang w:eastAsia="cs-CZ"/>
        </w:rPr>
        <w:t xml:space="preserve">MŽP však </w:t>
      </w:r>
      <w:r w:rsidR="008B222B" w:rsidRPr="00E23815">
        <w:rPr>
          <w:bCs/>
          <w:lang w:eastAsia="cs-CZ"/>
        </w:rPr>
        <w:t xml:space="preserve">ani ve finálním ZÚ 2022 </w:t>
      </w:r>
      <w:r w:rsidR="008D6AFD" w:rsidRPr="00E23815">
        <w:rPr>
          <w:bCs/>
          <w:lang w:eastAsia="cs-CZ"/>
        </w:rPr>
        <w:t>neuvedlo</w:t>
      </w:r>
      <w:r w:rsidRPr="00E23815">
        <w:rPr>
          <w:rFonts w:asciiTheme="minorHAnsi" w:hAnsiTheme="minorHAnsi" w:cstheme="minorHAnsi"/>
          <w:bCs/>
        </w:rPr>
        <w:t xml:space="preserve"> hodnocení naplňování principů hospodárnosti, efektivnosti a účelnosti podle vyhlášky</w:t>
      </w:r>
      <w:r w:rsidR="008D6AFD" w:rsidRPr="00E23815">
        <w:rPr>
          <w:rFonts w:asciiTheme="minorHAnsi" w:hAnsiTheme="minorHAnsi" w:cstheme="minorHAnsi"/>
          <w:bCs/>
        </w:rPr>
        <w:t xml:space="preserve"> č. 419/2001 Sb.</w:t>
      </w:r>
      <w:r w:rsidRPr="00E23815">
        <w:rPr>
          <w:rFonts w:asciiTheme="minorHAnsi" w:hAnsiTheme="minorHAnsi" w:cstheme="minorHAnsi"/>
          <w:bCs/>
        </w:rPr>
        <w:t xml:space="preserve"> </w:t>
      </w:r>
      <w:r w:rsidR="00033988">
        <w:rPr>
          <w:rFonts w:asciiTheme="minorHAnsi" w:hAnsiTheme="minorHAnsi" w:cstheme="minorHAnsi"/>
          <w:bCs/>
        </w:rPr>
        <w:t>(</w:t>
      </w:r>
      <w:r w:rsidRPr="00E23815">
        <w:rPr>
          <w:rFonts w:asciiTheme="minorHAnsi" w:hAnsiTheme="minorHAnsi" w:cstheme="minorHAnsi"/>
          <w:bCs/>
        </w:rPr>
        <w:t>příloh</w:t>
      </w:r>
      <w:r w:rsidR="00033988">
        <w:rPr>
          <w:rFonts w:asciiTheme="minorHAnsi" w:hAnsiTheme="minorHAnsi" w:cstheme="minorHAnsi"/>
          <w:bCs/>
        </w:rPr>
        <w:t>a</w:t>
      </w:r>
      <w:r w:rsidRPr="00E23815">
        <w:rPr>
          <w:rFonts w:asciiTheme="minorHAnsi" w:hAnsiTheme="minorHAnsi" w:cstheme="minorHAnsi"/>
          <w:bCs/>
        </w:rPr>
        <w:t xml:space="preserve"> č. 1, část první, </w:t>
      </w:r>
      <w:r w:rsidR="00033988">
        <w:rPr>
          <w:rFonts w:asciiTheme="minorHAnsi" w:hAnsiTheme="minorHAnsi" w:cstheme="minorHAnsi"/>
          <w:bCs/>
        </w:rPr>
        <w:t>h</w:t>
      </w:r>
      <w:r w:rsidRPr="00E23815">
        <w:rPr>
          <w:rFonts w:asciiTheme="minorHAnsi" w:hAnsiTheme="minorHAnsi" w:cstheme="minorHAnsi"/>
          <w:bCs/>
        </w:rPr>
        <w:t>lava I</w:t>
      </w:r>
      <w:r w:rsidR="00033988">
        <w:rPr>
          <w:rFonts w:asciiTheme="minorHAnsi" w:hAnsiTheme="minorHAnsi" w:cstheme="minorHAnsi"/>
          <w:bCs/>
        </w:rPr>
        <w:t>,</w:t>
      </w:r>
      <w:r w:rsidRPr="00E23815">
        <w:rPr>
          <w:rFonts w:asciiTheme="minorHAnsi" w:hAnsiTheme="minorHAnsi" w:cstheme="minorHAnsi"/>
          <w:bCs/>
        </w:rPr>
        <w:t xml:space="preserve"> bod 5, písm. a)</w:t>
      </w:r>
      <w:r w:rsidR="00033988">
        <w:rPr>
          <w:rFonts w:asciiTheme="minorHAnsi" w:hAnsiTheme="minorHAnsi" w:cstheme="minorHAnsi"/>
          <w:bCs/>
        </w:rPr>
        <w:t xml:space="preserve"> této vyhlášky),</w:t>
      </w:r>
      <w:r w:rsidR="00CC4139">
        <w:rPr>
          <w:rFonts w:asciiTheme="minorHAnsi" w:hAnsiTheme="minorHAnsi" w:cstheme="minorHAnsi"/>
          <w:bCs/>
        </w:rPr>
        <w:t xml:space="preserve"> a to</w:t>
      </w:r>
      <w:r w:rsidR="008D6AFD" w:rsidRPr="00E23815">
        <w:rPr>
          <w:rFonts w:asciiTheme="minorHAnsi" w:hAnsiTheme="minorHAnsi" w:cstheme="minorHAnsi"/>
          <w:bCs/>
        </w:rPr>
        <w:t xml:space="preserve"> u kapitolou spravovaných dotačních programů.</w:t>
      </w:r>
      <w:r w:rsidR="00987E34" w:rsidRPr="00E23815">
        <w:rPr>
          <w:rFonts w:asciiTheme="minorHAnsi" w:hAnsiTheme="minorHAnsi" w:cstheme="minorHAnsi"/>
          <w:bCs/>
        </w:rPr>
        <w:t xml:space="preserve"> Jednalo se o jeden z nových požadavků novely vyhlášky č. 419/2001 Sb.</w:t>
      </w:r>
      <w:r w:rsidR="00CC4139">
        <w:rPr>
          <w:rFonts w:asciiTheme="minorHAnsi" w:hAnsiTheme="minorHAnsi" w:cstheme="minorHAnsi"/>
          <w:bCs/>
        </w:rPr>
        <w:t xml:space="preserve"> účinné </w:t>
      </w:r>
      <w:r w:rsidR="00090E46">
        <w:rPr>
          <w:rFonts w:asciiTheme="minorHAnsi" w:hAnsiTheme="minorHAnsi" w:cstheme="minorHAnsi"/>
          <w:bCs/>
        </w:rPr>
        <w:t>od</w:t>
      </w:r>
      <w:r w:rsidR="00033988">
        <w:rPr>
          <w:rFonts w:asciiTheme="minorHAnsi" w:hAnsiTheme="minorHAnsi" w:cstheme="minorHAnsi"/>
          <w:bCs/>
        </w:rPr>
        <w:t xml:space="preserve"> </w:t>
      </w:r>
      <w:r w:rsidR="00CC4139">
        <w:rPr>
          <w:rFonts w:asciiTheme="minorHAnsi" w:hAnsiTheme="minorHAnsi" w:cstheme="minorHAnsi"/>
          <w:bCs/>
        </w:rPr>
        <w:t>1. ledn</w:t>
      </w:r>
      <w:r w:rsidR="00090E46">
        <w:rPr>
          <w:rFonts w:asciiTheme="minorHAnsi" w:hAnsiTheme="minorHAnsi" w:cstheme="minorHAnsi"/>
          <w:bCs/>
        </w:rPr>
        <w:t>a</w:t>
      </w:r>
      <w:r w:rsidR="00CC4139">
        <w:rPr>
          <w:rFonts w:asciiTheme="minorHAnsi" w:hAnsiTheme="minorHAnsi" w:cstheme="minorHAnsi"/>
          <w:bCs/>
        </w:rPr>
        <w:t xml:space="preserve"> 2023.</w:t>
      </w:r>
      <w:r w:rsidR="00446BFE" w:rsidRPr="00E23815">
        <w:rPr>
          <w:rFonts w:asciiTheme="minorHAnsi" w:hAnsiTheme="minorHAnsi" w:cstheme="minorHAnsi"/>
          <w:bCs/>
        </w:rPr>
        <w:t xml:space="preserve"> </w:t>
      </w:r>
      <w:r w:rsidR="00E96391">
        <w:rPr>
          <w:rFonts w:asciiTheme="minorHAnsi" w:hAnsiTheme="minorHAnsi" w:cstheme="minorHAnsi"/>
        </w:rPr>
        <w:t xml:space="preserve">S ohledem na celkový rozsah údajů v ZÚ </w:t>
      </w:r>
      <w:r w:rsidR="00033988">
        <w:rPr>
          <w:rFonts w:asciiTheme="minorHAnsi" w:hAnsiTheme="minorHAnsi" w:cstheme="minorHAnsi"/>
        </w:rPr>
        <w:t xml:space="preserve">2022 </w:t>
      </w:r>
      <w:r w:rsidR="00E96391">
        <w:rPr>
          <w:rFonts w:asciiTheme="minorHAnsi" w:hAnsiTheme="minorHAnsi" w:cstheme="minorHAnsi"/>
        </w:rPr>
        <w:t>nevyhodnotil NKÚ tuto nesprávnost jako významnou.</w:t>
      </w:r>
    </w:p>
    <w:bookmarkEnd w:id="9"/>
    <w:p w14:paraId="24B20121" w14:textId="77777777" w:rsidR="00FC11A2" w:rsidRPr="00E23815" w:rsidRDefault="000A5061" w:rsidP="00AF65F6">
      <w:pPr>
        <w:spacing w:before="120" w:after="0"/>
        <w:jc w:val="both"/>
        <w:rPr>
          <w:bCs/>
          <w:lang w:eastAsia="cs-CZ"/>
        </w:rPr>
      </w:pPr>
      <w:r w:rsidRPr="00E23815">
        <w:rPr>
          <w:rFonts w:eastAsiaTheme="minorHAnsi" w:cs="Calibri"/>
          <w:b/>
        </w:rPr>
        <w:t xml:space="preserve">Dle NKÚ je závěrečný účet kapitoly státního rozpočtu 315 – </w:t>
      </w:r>
      <w:r w:rsidRPr="00E23815">
        <w:rPr>
          <w:rFonts w:eastAsiaTheme="minorHAnsi" w:cs="Calibri"/>
          <w:b/>
          <w:i/>
        </w:rPr>
        <w:t>Ministerstvo životního prostředí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eastAsiaTheme="minorHAnsi" w:cs="Calibri"/>
          <w:b/>
        </w:rPr>
        <w:t xml:space="preserve">za rok 2022 sestaven v rozsahu dle vyhlášky č. 419/2001 Sb. </w:t>
      </w:r>
      <w:r w:rsidRPr="00E23815">
        <w:rPr>
          <w:b/>
        </w:rPr>
        <w:t xml:space="preserve">Informace uvedené v ZÚ </w:t>
      </w:r>
      <w:r w:rsidR="00033988">
        <w:rPr>
          <w:b/>
        </w:rPr>
        <w:t xml:space="preserve">2022 </w:t>
      </w:r>
      <w:r w:rsidRPr="00E23815">
        <w:rPr>
          <w:b/>
        </w:rPr>
        <w:t>odpovídají údajům v rozpočtovém systému, finančním výkazům a údajům z dalších evidencí</w:t>
      </w:r>
      <w:r w:rsidRPr="00E23815">
        <w:rPr>
          <w:rFonts w:eastAsiaTheme="minorHAnsi" w:cs="Calibri"/>
          <w:b/>
        </w:rPr>
        <w:t>.</w:t>
      </w:r>
    </w:p>
    <w:p w14:paraId="5BE209E1" w14:textId="77777777" w:rsidR="00E57955" w:rsidRPr="00E23815" w:rsidRDefault="00E57955" w:rsidP="00063F65">
      <w:pPr>
        <w:spacing w:after="0"/>
        <w:jc w:val="both"/>
      </w:pPr>
    </w:p>
    <w:p w14:paraId="09A1F41A" w14:textId="77777777" w:rsidR="008254AB" w:rsidRPr="00E23815" w:rsidRDefault="008254AB" w:rsidP="00063F65">
      <w:pPr>
        <w:spacing w:after="0"/>
        <w:jc w:val="both"/>
      </w:pPr>
    </w:p>
    <w:p w14:paraId="251E4A7C" w14:textId="77777777" w:rsidR="00F53F58" w:rsidRPr="00E23815" w:rsidRDefault="00F53F58" w:rsidP="008226C5">
      <w:pPr>
        <w:pStyle w:val="Styl2"/>
        <w:numPr>
          <w:ilvl w:val="0"/>
          <w:numId w:val="7"/>
        </w:numPr>
        <w:ind w:left="340" w:hanging="340"/>
      </w:pPr>
      <w:r w:rsidRPr="00E23815">
        <w:t xml:space="preserve">Vnitřní kontrolní systém </w:t>
      </w:r>
      <w:r w:rsidR="00AA122F" w:rsidRPr="00E23815">
        <w:t>M</w:t>
      </w:r>
      <w:r w:rsidR="00666F80" w:rsidRPr="00E23815">
        <w:t>ŽP</w:t>
      </w:r>
    </w:p>
    <w:p w14:paraId="161C4400" w14:textId="74427CA1" w:rsidR="00063F65" w:rsidRPr="00E23815" w:rsidRDefault="00C402B5" w:rsidP="00B238BD">
      <w:pPr>
        <w:pStyle w:val="Odstavecseseznamem"/>
        <w:spacing w:after="0"/>
        <w:ind w:left="0"/>
        <w:jc w:val="both"/>
        <w:rPr>
          <w:rFonts w:cs="Calibri"/>
        </w:rPr>
      </w:pPr>
      <w:r w:rsidRPr="00E23815">
        <w:rPr>
          <w:rFonts w:asciiTheme="minorHAnsi" w:hAnsiTheme="minorHAnsi" w:cstheme="minorHAnsi"/>
        </w:rPr>
        <w:t>NKÚ v průběhu kontroly zjistil ve vedení účetnictví</w:t>
      </w:r>
      <w:r w:rsidR="00033988" w:rsidRPr="00033988">
        <w:rPr>
          <w:rFonts w:asciiTheme="minorHAnsi" w:hAnsiTheme="minorHAnsi" w:cstheme="minorHAnsi"/>
        </w:rPr>
        <w:t xml:space="preserve"> </w:t>
      </w:r>
      <w:r w:rsidR="00033988" w:rsidRPr="00E23815">
        <w:rPr>
          <w:rFonts w:asciiTheme="minorHAnsi" w:hAnsiTheme="minorHAnsi" w:cstheme="minorHAnsi"/>
        </w:rPr>
        <w:t>významné nedostatky</w:t>
      </w:r>
      <w:r w:rsidRPr="00E23815">
        <w:rPr>
          <w:rFonts w:asciiTheme="minorHAnsi" w:hAnsiTheme="minorHAnsi" w:cstheme="minorHAnsi"/>
        </w:rPr>
        <w:t xml:space="preserve">, které VKS </w:t>
      </w:r>
      <w:r w:rsidR="00AD5772" w:rsidRPr="00E23815">
        <w:rPr>
          <w:rFonts w:asciiTheme="minorHAnsi" w:hAnsiTheme="minorHAnsi" w:cstheme="minorHAnsi"/>
        </w:rPr>
        <w:t>MŽP</w:t>
      </w:r>
      <w:r w:rsidRPr="00E23815">
        <w:rPr>
          <w:rFonts w:asciiTheme="minorHAnsi" w:hAnsiTheme="minorHAnsi" w:cstheme="minorHAnsi"/>
        </w:rPr>
        <w:t xml:space="preserve"> neidentifikoval. Tyto nedostatky, jejichž souhrnný dopad na zůstatky položek ÚZ byl ve výši </w:t>
      </w:r>
      <w:r w:rsidR="00AD5772" w:rsidRPr="00E23815">
        <w:rPr>
          <w:rFonts w:asciiTheme="minorHAnsi" w:hAnsiTheme="minorHAnsi" w:cstheme="minorHAnsi"/>
        </w:rPr>
        <w:t xml:space="preserve">40,2 </w:t>
      </w:r>
      <w:r w:rsidRPr="00E23815">
        <w:rPr>
          <w:rFonts w:asciiTheme="minorHAnsi" w:hAnsiTheme="minorHAnsi" w:cstheme="minorHAnsi"/>
        </w:rPr>
        <w:t>ml</w:t>
      </w:r>
      <w:r w:rsidR="00AD5772" w:rsidRPr="00E23815">
        <w:rPr>
          <w:rFonts w:asciiTheme="minorHAnsi" w:hAnsiTheme="minorHAnsi" w:cstheme="minorHAnsi"/>
        </w:rPr>
        <w:t>d</w:t>
      </w:r>
      <w:r w:rsidRPr="00E23815">
        <w:rPr>
          <w:rFonts w:asciiTheme="minorHAnsi" w:hAnsiTheme="minorHAnsi" w:cstheme="minorHAnsi"/>
        </w:rPr>
        <w:t xml:space="preserve">. Kč, však </w:t>
      </w:r>
      <w:r w:rsidR="00AD5772" w:rsidRPr="00E23815">
        <w:rPr>
          <w:rFonts w:asciiTheme="minorHAnsi" w:hAnsiTheme="minorHAnsi" w:cstheme="minorHAnsi"/>
        </w:rPr>
        <w:t>MŽP</w:t>
      </w:r>
      <w:r w:rsidRPr="00E23815">
        <w:rPr>
          <w:rFonts w:asciiTheme="minorHAnsi" w:hAnsiTheme="minorHAnsi" w:cstheme="minorHAnsi"/>
        </w:rPr>
        <w:t xml:space="preserve"> následně v průběhu kontroly opravil</w:t>
      </w:r>
      <w:r w:rsidR="00AD5772" w:rsidRPr="00E23815">
        <w:rPr>
          <w:rFonts w:asciiTheme="minorHAnsi" w:hAnsiTheme="minorHAnsi" w:cstheme="minorHAnsi"/>
        </w:rPr>
        <w:t>o</w:t>
      </w:r>
      <w:r w:rsidRPr="00E23815">
        <w:rPr>
          <w:rFonts w:asciiTheme="minorHAnsi" w:hAnsiTheme="minorHAnsi" w:cstheme="minorHAnsi"/>
        </w:rPr>
        <w:t xml:space="preserve"> a přijal</w:t>
      </w:r>
      <w:r w:rsidR="00AD5772" w:rsidRPr="00E23815">
        <w:rPr>
          <w:rFonts w:asciiTheme="minorHAnsi" w:hAnsiTheme="minorHAnsi" w:cstheme="minorHAnsi"/>
        </w:rPr>
        <w:t>o</w:t>
      </w:r>
      <w:r w:rsidRPr="00E23815">
        <w:rPr>
          <w:rFonts w:asciiTheme="minorHAnsi" w:hAnsiTheme="minorHAnsi" w:cstheme="minorHAnsi"/>
        </w:rPr>
        <w:t xml:space="preserve"> taková systémová opatření ve VKS, aby k nim nadále nedocházelo (viz část IV.1.1</w:t>
      </w:r>
      <w:r w:rsidR="00317E2B" w:rsidRPr="00E23815">
        <w:rPr>
          <w:rFonts w:asciiTheme="minorHAnsi" w:hAnsiTheme="minorHAnsi" w:cstheme="minorHAnsi"/>
        </w:rPr>
        <w:t xml:space="preserve"> tohoto kontrolního závěru</w:t>
      </w:r>
      <w:r w:rsidR="00AD5772" w:rsidRPr="00E23815">
        <w:rPr>
          <w:rFonts w:asciiTheme="minorHAnsi" w:hAnsiTheme="minorHAnsi" w:cstheme="minorHAnsi"/>
        </w:rPr>
        <w:t xml:space="preserve">). </w:t>
      </w:r>
    </w:p>
    <w:p w14:paraId="55697C61" w14:textId="77777777" w:rsidR="00B238BD" w:rsidRPr="00E23815" w:rsidRDefault="00B238BD" w:rsidP="009D290B">
      <w:pPr>
        <w:pStyle w:val="Odstavecseseznamem"/>
        <w:spacing w:after="0"/>
        <w:ind w:left="0"/>
        <w:jc w:val="both"/>
        <w:rPr>
          <w:rFonts w:cs="Calibri"/>
        </w:rPr>
      </w:pPr>
    </w:p>
    <w:p w14:paraId="4AD580E9" w14:textId="77777777" w:rsidR="00063F65" w:rsidRPr="00E23815" w:rsidRDefault="00063F65" w:rsidP="00B238BD">
      <w:pPr>
        <w:spacing w:after="0"/>
        <w:jc w:val="both"/>
        <w:rPr>
          <w:rFonts w:eastAsia="Calibri"/>
        </w:rPr>
      </w:pPr>
      <w:r w:rsidRPr="00E23815">
        <w:rPr>
          <w:rFonts w:eastAsia="Calibri"/>
        </w:rPr>
        <w:t xml:space="preserve">V případě údajů předkládaných </w:t>
      </w:r>
      <w:r w:rsidR="00F83EB1" w:rsidRPr="00E23815">
        <w:rPr>
          <w:rFonts w:eastAsia="Calibri"/>
        </w:rPr>
        <w:t>M</w:t>
      </w:r>
      <w:r w:rsidR="00AD5772" w:rsidRPr="00E23815">
        <w:rPr>
          <w:rFonts w:eastAsia="Calibri"/>
        </w:rPr>
        <w:t>inisterstvem životního prostředí</w:t>
      </w:r>
      <w:r w:rsidRPr="00E23815">
        <w:rPr>
          <w:rFonts w:eastAsia="Calibri"/>
        </w:rPr>
        <w:t xml:space="preserve"> pro hodnocení plnění státního rozpočtu za rok 2022 NKÚ zjistil, že jsou tříděny ve všech významných ohledech v souladu s vyhláškou č. 412/2021 Sb. (viz část IV.2</w:t>
      </w:r>
      <w:r w:rsidR="00317E2B" w:rsidRPr="00E23815">
        <w:rPr>
          <w:rFonts w:eastAsia="Calibri"/>
        </w:rPr>
        <w:t xml:space="preserve"> tohoto kontrolního závěru</w:t>
      </w:r>
      <w:r w:rsidRPr="00E23815">
        <w:rPr>
          <w:rFonts w:eastAsia="Calibri"/>
        </w:rPr>
        <w:t>).</w:t>
      </w:r>
    </w:p>
    <w:p w14:paraId="7BBF4528" w14:textId="77777777" w:rsidR="00AD5772" w:rsidRPr="00E23815" w:rsidRDefault="00AD5772" w:rsidP="00B238BD">
      <w:pPr>
        <w:spacing w:after="0"/>
        <w:jc w:val="both"/>
        <w:rPr>
          <w:rFonts w:eastAsia="Calibri"/>
        </w:rPr>
      </w:pPr>
    </w:p>
    <w:p w14:paraId="73CCF98D" w14:textId="607ADB8D" w:rsidR="00AD5772" w:rsidRPr="00E23815" w:rsidRDefault="00AD5772" w:rsidP="00B238BD">
      <w:pPr>
        <w:spacing w:after="0"/>
        <w:jc w:val="both"/>
      </w:pPr>
      <w:r w:rsidRPr="00E23815">
        <w:rPr>
          <w:bCs/>
        </w:rPr>
        <w:t xml:space="preserve">NKÚ dále zjistil, že závěrečný účet kapitoly státního rozpočtu 315 – </w:t>
      </w:r>
      <w:r w:rsidRPr="00E23815">
        <w:rPr>
          <w:bCs/>
          <w:i/>
          <w:iCs/>
        </w:rPr>
        <w:t>Ministerstvo životního prostředí</w:t>
      </w:r>
      <w:r w:rsidRPr="00E23815">
        <w:rPr>
          <w:bCs/>
        </w:rPr>
        <w:t xml:space="preserve"> za rok 2022 byl sestaven v rozsahu dle vyhlášky č. 419/2001 Sb. a informace v něm uvedené odpovídají údajům v rozpočtovém systému, finančním výkazům a</w:t>
      </w:r>
      <w:r w:rsidR="000B4FD0">
        <w:rPr>
          <w:bCs/>
        </w:rPr>
        <w:t xml:space="preserve"> </w:t>
      </w:r>
      <w:r w:rsidRPr="00E23815">
        <w:rPr>
          <w:bCs/>
        </w:rPr>
        <w:t>údajům z dalších evidencí</w:t>
      </w:r>
      <w:r w:rsidRPr="00E23815" w:rsidDel="001416E0">
        <w:rPr>
          <w:bCs/>
        </w:rPr>
        <w:t xml:space="preserve"> </w:t>
      </w:r>
      <w:r w:rsidRPr="00E23815">
        <w:t>(viz část IV.3</w:t>
      </w:r>
      <w:r w:rsidR="00317E2B" w:rsidRPr="00E23815">
        <w:t xml:space="preserve"> tohoto kontrolního závěru</w:t>
      </w:r>
      <w:r w:rsidRPr="00E23815">
        <w:t>).</w:t>
      </w:r>
    </w:p>
    <w:p w14:paraId="198E9754" w14:textId="77777777" w:rsidR="00A97BAB" w:rsidRPr="00E23815" w:rsidRDefault="00A97BAB" w:rsidP="00B238BD">
      <w:pPr>
        <w:spacing w:after="0"/>
        <w:jc w:val="both"/>
        <w:rPr>
          <w:rFonts w:eastAsia="Calibri"/>
        </w:rPr>
      </w:pPr>
    </w:p>
    <w:p w14:paraId="0E5023CC" w14:textId="5C850FA6" w:rsidR="00063F65" w:rsidRPr="00E23815" w:rsidRDefault="00063F65" w:rsidP="006B0C14">
      <w:pPr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NKÚ </w:t>
      </w:r>
      <w:r w:rsidR="006B0C14" w:rsidRPr="00E23815">
        <w:rPr>
          <w:rFonts w:asciiTheme="minorHAnsi" w:hAnsiTheme="minorHAnsi" w:cstheme="minorHAnsi"/>
        </w:rPr>
        <w:t xml:space="preserve">rovněž zjistil případy porušení jiných </w:t>
      </w:r>
      <w:r w:rsidR="00033988" w:rsidRPr="00E23815">
        <w:rPr>
          <w:rFonts w:asciiTheme="minorHAnsi" w:hAnsiTheme="minorHAnsi" w:cstheme="minorHAnsi"/>
        </w:rPr>
        <w:t xml:space="preserve">právních předpisů </w:t>
      </w:r>
      <w:r w:rsidR="006B0C14" w:rsidRPr="00E23815">
        <w:rPr>
          <w:rFonts w:asciiTheme="minorHAnsi" w:hAnsiTheme="minorHAnsi" w:cstheme="minorHAnsi"/>
        </w:rPr>
        <w:t xml:space="preserve">než předpisů upravujících účetnictví, a to porušení rozpočtových pravidel v případě agendy </w:t>
      </w:r>
      <w:r w:rsidR="006B0C14" w:rsidRPr="00AF65F6">
        <w:rPr>
          <w:rFonts w:asciiTheme="minorHAnsi" w:hAnsiTheme="minorHAnsi" w:cstheme="minorHAnsi"/>
          <w:i/>
        </w:rPr>
        <w:t>Modernizačního fondu</w:t>
      </w:r>
      <w:r w:rsidR="006B0C14" w:rsidRPr="00E23815">
        <w:rPr>
          <w:rFonts w:asciiTheme="minorHAnsi" w:hAnsiTheme="minorHAnsi" w:cstheme="minorHAnsi"/>
        </w:rPr>
        <w:t xml:space="preserve"> (viz část IV.5</w:t>
      </w:r>
      <w:r w:rsidR="00317E2B" w:rsidRPr="00E23815">
        <w:rPr>
          <w:rFonts w:asciiTheme="minorHAnsi" w:hAnsiTheme="minorHAnsi" w:cstheme="minorHAnsi"/>
        </w:rPr>
        <w:t xml:space="preserve"> tohoto kontrolního závěru</w:t>
      </w:r>
      <w:r w:rsidR="006B0C14" w:rsidRPr="00E23815">
        <w:rPr>
          <w:rFonts w:asciiTheme="minorHAnsi" w:hAnsiTheme="minorHAnsi" w:cstheme="minorHAnsi"/>
        </w:rPr>
        <w:t xml:space="preserve">) a </w:t>
      </w:r>
      <w:r w:rsidR="00837792">
        <w:rPr>
          <w:rFonts w:asciiTheme="minorHAnsi" w:hAnsiTheme="minorHAnsi" w:cstheme="minorHAnsi"/>
        </w:rPr>
        <w:t xml:space="preserve">dále </w:t>
      </w:r>
      <w:r w:rsidR="006B0C14" w:rsidRPr="00E23815">
        <w:rPr>
          <w:rFonts w:asciiTheme="minorHAnsi" w:hAnsiTheme="minorHAnsi" w:cstheme="minorHAnsi"/>
        </w:rPr>
        <w:t>postupu při plnění povinnost</w:t>
      </w:r>
      <w:r w:rsidR="00033988">
        <w:rPr>
          <w:rFonts w:asciiTheme="minorHAnsi" w:hAnsiTheme="minorHAnsi" w:cstheme="minorHAnsi"/>
        </w:rPr>
        <w:t>í</w:t>
      </w:r>
      <w:r w:rsidR="006B0C14" w:rsidRPr="00E23815">
        <w:rPr>
          <w:rFonts w:asciiTheme="minorHAnsi" w:hAnsiTheme="minorHAnsi" w:cstheme="minorHAnsi"/>
        </w:rPr>
        <w:t xml:space="preserve"> stanovených pro poskytovatele dotace v</w:t>
      </w:r>
      <w:r w:rsidR="002B21B2">
        <w:rPr>
          <w:rFonts w:asciiTheme="minorHAnsi" w:hAnsiTheme="minorHAnsi" w:cstheme="minorHAnsi"/>
        </w:rPr>
        <w:t xml:space="preserve"> ustanovení </w:t>
      </w:r>
      <w:r w:rsidR="006B0C14" w:rsidRPr="00E23815">
        <w:rPr>
          <w:rFonts w:asciiTheme="minorHAnsi" w:hAnsiTheme="minorHAnsi" w:cstheme="minorHAnsi"/>
        </w:rPr>
        <w:t>§</w:t>
      </w:r>
      <w:r w:rsidR="000F78D8">
        <w:rPr>
          <w:rFonts w:asciiTheme="minorHAnsi" w:hAnsiTheme="minorHAnsi" w:cstheme="minorHAnsi"/>
        </w:rPr>
        <w:t> </w:t>
      </w:r>
      <w:r w:rsidR="006B0C14" w:rsidRPr="00E23815">
        <w:rPr>
          <w:rFonts w:asciiTheme="minorHAnsi" w:hAnsiTheme="minorHAnsi" w:cstheme="minorHAnsi"/>
        </w:rPr>
        <w:t xml:space="preserve">14f odst. 7 </w:t>
      </w:r>
      <w:r w:rsidR="00DB1A60">
        <w:rPr>
          <w:rFonts w:asciiTheme="minorHAnsi" w:hAnsiTheme="minorHAnsi" w:cstheme="minorHAnsi"/>
        </w:rPr>
        <w:t>zákona č. 218/2000 Sb</w:t>
      </w:r>
      <w:r w:rsidR="006B0C14" w:rsidRPr="00E23815">
        <w:rPr>
          <w:rFonts w:asciiTheme="minorHAnsi" w:hAnsiTheme="minorHAnsi" w:cstheme="minorHAnsi"/>
        </w:rPr>
        <w:t>.</w:t>
      </w:r>
    </w:p>
    <w:p w14:paraId="3379F804" w14:textId="77777777" w:rsidR="00CF7111" w:rsidRPr="00E23815" w:rsidRDefault="00CF7111" w:rsidP="00476D94">
      <w:pPr>
        <w:spacing w:after="0"/>
        <w:jc w:val="both"/>
        <w:rPr>
          <w:rFonts w:cs="Calibri"/>
          <w:b/>
        </w:rPr>
      </w:pPr>
      <w:r w:rsidRPr="00E23815">
        <w:rPr>
          <w:rFonts w:cs="Calibri"/>
          <w:b/>
        </w:rPr>
        <w:t>NKÚ upozor</w:t>
      </w:r>
      <w:r w:rsidR="00B238BD" w:rsidRPr="00E23815">
        <w:rPr>
          <w:rFonts w:cs="Calibri"/>
          <w:b/>
        </w:rPr>
        <w:t>ňuje,</w:t>
      </w:r>
      <w:r w:rsidRPr="00E23815">
        <w:rPr>
          <w:rFonts w:cs="Calibri"/>
          <w:b/>
        </w:rPr>
        <w:t xml:space="preserve"> </w:t>
      </w:r>
      <w:r w:rsidR="00B238BD" w:rsidRPr="00E23815">
        <w:rPr>
          <w:rFonts w:cs="Calibri"/>
          <w:b/>
        </w:rPr>
        <w:t xml:space="preserve">že VKS </w:t>
      </w:r>
      <w:r w:rsidR="006B0C14" w:rsidRPr="00E23815">
        <w:rPr>
          <w:rFonts w:cs="Calibri"/>
          <w:b/>
        </w:rPr>
        <w:t xml:space="preserve">MŽP </w:t>
      </w:r>
      <w:r w:rsidR="00B238BD" w:rsidRPr="00E23815">
        <w:rPr>
          <w:rFonts w:cs="Calibri"/>
          <w:b/>
        </w:rPr>
        <w:t xml:space="preserve">u </w:t>
      </w:r>
      <w:r w:rsidRPr="00E23815">
        <w:rPr>
          <w:rFonts w:cs="Calibri"/>
          <w:b/>
        </w:rPr>
        <w:t>někter</w:t>
      </w:r>
      <w:r w:rsidR="00B238BD" w:rsidRPr="00E23815">
        <w:rPr>
          <w:rFonts w:cs="Calibri"/>
          <w:b/>
        </w:rPr>
        <w:t>ých</w:t>
      </w:r>
      <w:r w:rsidRPr="00E23815">
        <w:rPr>
          <w:rFonts w:cs="Calibri"/>
          <w:b/>
        </w:rPr>
        <w:t xml:space="preserve"> operac</w:t>
      </w:r>
      <w:r w:rsidR="00B238BD" w:rsidRPr="00E23815">
        <w:rPr>
          <w:rFonts w:cs="Calibri"/>
          <w:b/>
        </w:rPr>
        <w:t xml:space="preserve">í </w:t>
      </w:r>
      <w:r w:rsidRPr="00E23815">
        <w:rPr>
          <w:rFonts w:cs="Calibri"/>
          <w:b/>
        </w:rPr>
        <w:t xml:space="preserve">neodhalil </w:t>
      </w:r>
      <w:r w:rsidR="00B238BD" w:rsidRPr="00E23815">
        <w:rPr>
          <w:rFonts w:cs="Calibri"/>
          <w:b/>
        </w:rPr>
        <w:t xml:space="preserve">včas </w:t>
      </w:r>
      <w:r w:rsidRPr="00E23815">
        <w:rPr>
          <w:rFonts w:cs="Calibri"/>
          <w:b/>
        </w:rPr>
        <w:t>rizika a</w:t>
      </w:r>
      <w:r w:rsidR="00B238BD" w:rsidRPr="00E23815">
        <w:rPr>
          <w:rFonts w:cs="Calibri"/>
          <w:b/>
        </w:rPr>
        <w:t xml:space="preserve"> </w:t>
      </w:r>
      <w:r w:rsidRPr="00E23815">
        <w:rPr>
          <w:rFonts w:cs="Calibri"/>
          <w:b/>
        </w:rPr>
        <w:t xml:space="preserve">nezabránil porušení právních předpisů. Uvedené nedostatky však nebyly takového rozsahu, aby byly ze strany NKÚ vyhodnoceny jako významné, proto NKÚ v rámci prověřovaných operací vyhodnotil </w:t>
      </w:r>
      <w:r w:rsidR="00A0541E" w:rsidRPr="00E23815">
        <w:rPr>
          <w:rFonts w:cs="Calibri"/>
          <w:b/>
        </w:rPr>
        <w:t>VKS</w:t>
      </w:r>
      <w:r w:rsidRPr="00E23815">
        <w:rPr>
          <w:rFonts w:cs="Calibri"/>
          <w:b/>
        </w:rPr>
        <w:t xml:space="preserve"> jako účinný.</w:t>
      </w:r>
    </w:p>
    <w:p w14:paraId="692C800D" w14:textId="77777777" w:rsidR="00476D94" w:rsidRPr="00E23815" w:rsidRDefault="00476D94" w:rsidP="00476D94">
      <w:pPr>
        <w:spacing w:after="0"/>
        <w:jc w:val="both"/>
        <w:rPr>
          <w:rFonts w:cs="Calibri"/>
        </w:rPr>
      </w:pPr>
    </w:p>
    <w:p w14:paraId="6B396151" w14:textId="77777777" w:rsidR="0035024E" w:rsidRPr="00E23815" w:rsidRDefault="0035024E" w:rsidP="00476D94">
      <w:pPr>
        <w:spacing w:after="0"/>
        <w:jc w:val="both"/>
        <w:rPr>
          <w:rFonts w:cs="Calibri"/>
        </w:rPr>
      </w:pPr>
    </w:p>
    <w:p w14:paraId="13573E2A" w14:textId="77777777" w:rsidR="002C1426" w:rsidRPr="00E23815" w:rsidRDefault="00BE7EA5" w:rsidP="008226C5">
      <w:pPr>
        <w:pStyle w:val="Styl2"/>
        <w:numPr>
          <w:ilvl w:val="0"/>
          <w:numId w:val="7"/>
        </w:numPr>
        <w:ind w:left="340" w:hanging="340"/>
      </w:pPr>
      <w:r w:rsidRPr="00E23815">
        <w:lastRenderedPageBreak/>
        <w:t>Skutečnosti nasvědčující porušení rozpočtové kázně</w:t>
      </w:r>
    </w:p>
    <w:p w14:paraId="14F88DBA" w14:textId="61B0ED06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MŽP v letech 2021 a 2022 neoprávněně použilo peněžní prostředky prioritní osy 6: </w:t>
      </w:r>
      <w:r w:rsidRPr="00AF65F6">
        <w:rPr>
          <w:rFonts w:asciiTheme="minorHAnsi" w:hAnsiTheme="minorHAnsi" w:cstheme="minorHAnsi"/>
          <w:b/>
          <w:i/>
        </w:rPr>
        <w:t>Technická pomoc</w:t>
      </w:r>
      <w:r w:rsidRPr="00E23815">
        <w:rPr>
          <w:rFonts w:asciiTheme="minorHAnsi" w:hAnsiTheme="minorHAnsi" w:cstheme="minorHAnsi"/>
          <w:b/>
        </w:rPr>
        <w:t xml:space="preserve"> </w:t>
      </w:r>
      <w:r w:rsidR="00F83EB1" w:rsidRPr="00E23815">
        <w:rPr>
          <w:rFonts w:asciiTheme="minorHAnsi" w:hAnsiTheme="minorHAnsi" w:cstheme="minorHAnsi"/>
          <w:b/>
        </w:rPr>
        <w:t>OPŽP</w:t>
      </w:r>
      <w:r w:rsidRPr="00E23815">
        <w:rPr>
          <w:rFonts w:asciiTheme="minorHAnsi" w:hAnsiTheme="minorHAnsi" w:cstheme="minorHAnsi"/>
          <w:b/>
        </w:rPr>
        <w:t>, která je financována z rozpočtu EU</w:t>
      </w:r>
      <w:r w:rsidR="004A21C2" w:rsidRPr="00E23815">
        <w:rPr>
          <w:rFonts w:asciiTheme="minorHAnsi" w:hAnsiTheme="minorHAnsi" w:cstheme="minorHAnsi"/>
          <w:b/>
        </w:rPr>
        <w:t xml:space="preserve"> (</w:t>
      </w:r>
      <w:r w:rsidRPr="00AF65F6">
        <w:rPr>
          <w:rFonts w:asciiTheme="minorHAnsi" w:hAnsiTheme="minorHAnsi" w:cstheme="minorHAnsi"/>
          <w:b/>
          <w:i/>
        </w:rPr>
        <w:t>Fond soudržnosti</w:t>
      </w:r>
      <w:r w:rsidR="004A21C2" w:rsidRPr="00E23815">
        <w:rPr>
          <w:rFonts w:asciiTheme="minorHAnsi" w:hAnsiTheme="minorHAnsi" w:cstheme="minorHAnsi"/>
          <w:b/>
        </w:rPr>
        <w:t>)</w:t>
      </w:r>
      <w:r w:rsidRPr="00E23815">
        <w:rPr>
          <w:rFonts w:asciiTheme="minorHAnsi" w:hAnsiTheme="minorHAnsi" w:cstheme="minorHAnsi"/>
          <w:b/>
        </w:rPr>
        <w:t>. NKÚ zjistil takový případ v roce 2021 ve výši až 357 013 Kč a další případ v roce 2022 ve výši až 1</w:t>
      </w:r>
      <w:r w:rsidR="008D4250">
        <w:rPr>
          <w:rFonts w:asciiTheme="minorHAnsi" w:hAnsiTheme="minorHAnsi" w:cstheme="minorHAnsi"/>
          <w:b/>
        </w:rPr>
        <w:t> </w:t>
      </w:r>
      <w:r w:rsidRPr="00E23815">
        <w:rPr>
          <w:rFonts w:asciiTheme="minorHAnsi" w:hAnsiTheme="minorHAnsi" w:cstheme="minorHAnsi"/>
          <w:b/>
        </w:rPr>
        <w:t>919</w:t>
      </w:r>
      <w:r w:rsidR="008D4250">
        <w:rPr>
          <w:rFonts w:asciiTheme="minorHAnsi" w:hAnsiTheme="minorHAnsi" w:cstheme="minorHAnsi"/>
          <w:b/>
        </w:rPr>
        <w:t> </w:t>
      </w:r>
      <w:r w:rsidRPr="00E23815">
        <w:rPr>
          <w:rFonts w:asciiTheme="minorHAnsi" w:hAnsiTheme="minorHAnsi" w:cstheme="minorHAnsi"/>
          <w:b/>
        </w:rPr>
        <w:t>466</w:t>
      </w:r>
      <w:r w:rsidR="008D4250">
        <w:rPr>
          <w:rFonts w:asciiTheme="minorHAnsi" w:hAnsiTheme="minorHAnsi" w:cstheme="minorHAnsi"/>
          <w:b/>
        </w:rPr>
        <w:t> </w:t>
      </w:r>
      <w:r w:rsidRPr="00E23815">
        <w:rPr>
          <w:rFonts w:asciiTheme="minorHAnsi" w:hAnsiTheme="minorHAnsi" w:cstheme="minorHAnsi"/>
          <w:b/>
        </w:rPr>
        <w:t>Kč.</w:t>
      </w:r>
    </w:p>
    <w:p w14:paraId="1E61E274" w14:textId="77777777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</w:p>
    <w:p w14:paraId="2C39335D" w14:textId="4DD00146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Z prostředků prioritní osy 6: </w:t>
      </w:r>
      <w:r w:rsidRPr="00AF65F6">
        <w:rPr>
          <w:rFonts w:asciiTheme="minorHAnsi" w:hAnsiTheme="minorHAnsi" w:cstheme="minorHAnsi"/>
          <w:i/>
        </w:rPr>
        <w:t>Technická pomoc</w:t>
      </w:r>
      <w:r w:rsidRPr="00E23815">
        <w:rPr>
          <w:rFonts w:asciiTheme="minorHAnsi" w:hAnsiTheme="minorHAnsi" w:cstheme="minorHAnsi"/>
        </w:rPr>
        <w:t xml:space="preserve"> </w:t>
      </w:r>
      <w:r w:rsidR="00F83EB1" w:rsidRPr="00E23815">
        <w:rPr>
          <w:rFonts w:asciiTheme="minorHAnsi" w:hAnsiTheme="minorHAnsi" w:cstheme="minorHAnsi"/>
        </w:rPr>
        <w:t>OPŽP</w:t>
      </w:r>
      <w:r w:rsidR="006E126C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lze v rámci projektů </w:t>
      </w:r>
      <w:r w:rsidR="002E2B50" w:rsidRPr="00E23815">
        <w:rPr>
          <w:rFonts w:asciiTheme="minorHAnsi" w:hAnsiTheme="minorHAnsi" w:cstheme="minorHAnsi"/>
        </w:rPr>
        <w:t xml:space="preserve">realizovaných MŽP </w:t>
      </w:r>
      <w:r w:rsidRPr="00E23815">
        <w:rPr>
          <w:rFonts w:asciiTheme="minorHAnsi" w:hAnsiTheme="minorHAnsi" w:cstheme="minorHAnsi"/>
        </w:rPr>
        <w:t xml:space="preserve">financovat výdaje na osobní náklady </w:t>
      </w:r>
      <w:r w:rsidR="005F0EFF" w:rsidRPr="00E23815">
        <w:rPr>
          <w:rFonts w:asciiTheme="minorHAnsi" w:hAnsiTheme="minorHAnsi" w:cstheme="minorHAnsi"/>
        </w:rPr>
        <w:t xml:space="preserve">pouze </w:t>
      </w:r>
      <w:r w:rsidR="005F0EFF">
        <w:rPr>
          <w:rFonts w:asciiTheme="minorHAnsi" w:hAnsiTheme="minorHAnsi" w:cstheme="minorHAnsi"/>
        </w:rPr>
        <w:t xml:space="preserve">u těch </w:t>
      </w:r>
      <w:r w:rsidRPr="00E23815">
        <w:rPr>
          <w:rFonts w:asciiTheme="minorHAnsi" w:hAnsiTheme="minorHAnsi" w:cstheme="minorHAnsi"/>
        </w:rPr>
        <w:t xml:space="preserve">zaměstnanců, kteří se podílejí na implementaci </w:t>
      </w:r>
      <w:r w:rsidR="00F83EB1" w:rsidRPr="00E23815">
        <w:rPr>
          <w:rFonts w:asciiTheme="minorHAnsi" w:hAnsiTheme="minorHAnsi" w:cstheme="minorHAnsi"/>
        </w:rPr>
        <w:t>OPŽP</w:t>
      </w:r>
      <w:r w:rsidRPr="00E23815">
        <w:rPr>
          <w:rFonts w:asciiTheme="minorHAnsi" w:hAnsiTheme="minorHAnsi" w:cstheme="minorHAnsi"/>
        </w:rPr>
        <w:t xml:space="preserve">, ukončování programového období 2007–2013, přípravě programového období 2021–2027 a od 1. </w:t>
      </w:r>
      <w:r w:rsidR="006641FC">
        <w:rPr>
          <w:rFonts w:asciiTheme="minorHAnsi" w:hAnsiTheme="minorHAnsi" w:cstheme="minorHAnsi"/>
        </w:rPr>
        <w:t>srpna</w:t>
      </w:r>
      <w:r w:rsidRPr="00E23815">
        <w:rPr>
          <w:rFonts w:asciiTheme="minorHAnsi" w:hAnsiTheme="minorHAnsi" w:cstheme="minorHAnsi"/>
        </w:rPr>
        <w:t xml:space="preserve"> 2021 také na implementaci </w:t>
      </w:r>
      <w:r w:rsidR="00A53A66">
        <w:rPr>
          <w:rFonts w:asciiTheme="minorHAnsi" w:hAnsiTheme="minorHAnsi" w:cstheme="minorHAnsi"/>
        </w:rPr>
        <w:t>o</w:t>
      </w:r>
      <w:r w:rsidRPr="00E23815">
        <w:rPr>
          <w:rFonts w:asciiTheme="minorHAnsi" w:hAnsiTheme="minorHAnsi" w:cstheme="minorHAnsi"/>
        </w:rPr>
        <w:t xml:space="preserve">peračního programu </w:t>
      </w:r>
      <w:r w:rsidRPr="00AF65F6">
        <w:rPr>
          <w:rFonts w:asciiTheme="minorHAnsi" w:hAnsiTheme="minorHAnsi" w:cstheme="minorHAnsi"/>
          <w:i/>
        </w:rPr>
        <w:t>Spravedlivá transformace 2021</w:t>
      </w:r>
      <w:r w:rsidR="006E126C" w:rsidRPr="00AF65F6">
        <w:rPr>
          <w:rFonts w:asciiTheme="minorHAnsi" w:hAnsiTheme="minorHAnsi" w:cstheme="minorHAnsi"/>
          <w:i/>
        </w:rPr>
        <w:t>–</w:t>
      </w:r>
      <w:r w:rsidRPr="00AF65F6">
        <w:rPr>
          <w:rFonts w:asciiTheme="minorHAnsi" w:hAnsiTheme="minorHAnsi" w:cstheme="minorHAnsi"/>
          <w:i/>
        </w:rPr>
        <w:t>2027</w:t>
      </w:r>
      <w:r w:rsidRPr="00E23815">
        <w:rPr>
          <w:rFonts w:asciiTheme="minorHAnsi" w:hAnsiTheme="minorHAnsi" w:cstheme="minorHAnsi"/>
        </w:rPr>
        <w:t>.</w:t>
      </w:r>
    </w:p>
    <w:p w14:paraId="29744B9B" w14:textId="77777777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</w:p>
    <w:p w14:paraId="6D854476" w14:textId="551EEAE6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MŽP však v</w:t>
      </w:r>
      <w:r w:rsidR="005F0EFF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rámci projektů </w:t>
      </w:r>
      <w:r w:rsidRPr="00AF65F6">
        <w:rPr>
          <w:rFonts w:asciiTheme="minorHAnsi" w:hAnsiTheme="minorHAnsi" w:cstheme="minorHAnsi"/>
          <w:i/>
        </w:rPr>
        <w:t>Administrativní zabezpečení Operačního programu Životní prostředí 2014–2020</w:t>
      </w:r>
      <w:r w:rsidRPr="00E23815">
        <w:rPr>
          <w:rFonts w:asciiTheme="minorHAnsi" w:hAnsiTheme="minorHAnsi" w:cstheme="minorHAnsi"/>
        </w:rPr>
        <w:t xml:space="preserve"> (II. a III. etapa) financovalo z prostředků </w:t>
      </w:r>
      <w:r w:rsidRPr="00AF65F6">
        <w:rPr>
          <w:rFonts w:asciiTheme="minorHAnsi" w:hAnsiTheme="minorHAnsi" w:cstheme="minorHAnsi"/>
          <w:i/>
        </w:rPr>
        <w:t>Fondu soudržnosti</w:t>
      </w:r>
      <w:r w:rsidRPr="00E23815">
        <w:rPr>
          <w:rFonts w:asciiTheme="minorHAnsi" w:hAnsiTheme="minorHAnsi" w:cstheme="minorHAnsi"/>
        </w:rPr>
        <w:t xml:space="preserve"> také úhradu osobních nákladů zaměstnanců, kteří vykonávali agendu </w:t>
      </w:r>
      <w:r w:rsidRPr="00AF65F6">
        <w:rPr>
          <w:rFonts w:asciiTheme="minorHAnsi" w:hAnsiTheme="minorHAnsi" w:cstheme="minorHAnsi"/>
          <w:i/>
        </w:rPr>
        <w:t>Modernizačního fondu</w:t>
      </w:r>
      <w:r w:rsidRPr="00E23815">
        <w:rPr>
          <w:rFonts w:asciiTheme="minorHAnsi" w:hAnsiTheme="minorHAnsi" w:cstheme="minorHAnsi"/>
        </w:rPr>
        <w:t>, a to v celkové výši až 2</w:t>
      </w:r>
      <w:r w:rsidR="005F0EFF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276</w:t>
      </w:r>
      <w:r w:rsidR="005F0EFF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4</w:t>
      </w:r>
      <w:r w:rsidR="00837792">
        <w:rPr>
          <w:rFonts w:asciiTheme="minorHAnsi" w:hAnsiTheme="minorHAnsi" w:cstheme="minorHAnsi"/>
        </w:rPr>
        <w:t>80</w:t>
      </w:r>
      <w:r w:rsidR="005F0EFF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Kč.</w:t>
      </w:r>
    </w:p>
    <w:p w14:paraId="2CA043D3" w14:textId="77777777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</w:p>
    <w:p w14:paraId="1B56D14B" w14:textId="024908FC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Výdaje na osobní náklady zaměstnanců, kteří vykonávali činnosti související s agendou </w:t>
      </w:r>
      <w:r w:rsidRPr="00AF65F6">
        <w:rPr>
          <w:rFonts w:asciiTheme="minorHAnsi" w:hAnsiTheme="minorHAnsi" w:cstheme="minorHAnsi"/>
          <w:i/>
        </w:rPr>
        <w:t>Modernizačního fondu</w:t>
      </w:r>
      <w:r w:rsidRPr="00E23815">
        <w:rPr>
          <w:rFonts w:asciiTheme="minorHAnsi" w:hAnsiTheme="minorHAnsi" w:cstheme="minorHAnsi"/>
        </w:rPr>
        <w:t>, nesplňují věcné vymezení způsobilých výdajů prioritní osy 6:</w:t>
      </w:r>
      <w:r w:rsidR="00E16D96" w:rsidRPr="00E23815">
        <w:rPr>
          <w:rFonts w:asciiTheme="minorHAnsi" w:hAnsiTheme="minorHAnsi" w:cstheme="minorHAnsi"/>
        </w:rPr>
        <w:t> </w:t>
      </w:r>
      <w:r w:rsidRPr="00AF65F6">
        <w:rPr>
          <w:rFonts w:asciiTheme="minorHAnsi" w:hAnsiTheme="minorHAnsi" w:cstheme="minorHAnsi"/>
          <w:i/>
        </w:rPr>
        <w:t>Technická pomoc</w:t>
      </w:r>
      <w:r w:rsidRPr="00E23815">
        <w:rPr>
          <w:rFonts w:asciiTheme="minorHAnsi" w:hAnsiTheme="minorHAnsi" w:cstheme="minorHAnsi"/>
        </w:rPr>
        <w:t xml:space="preserve"> </w:t>
      </w:r>
      <w:r w:rsidR="00F83EB1" w:rsidRPr="00E23815">
        <w:rPr>
          <w:rFonts w:asciiTheme="minorHAnsi" w:hAnsiTheme="minorHAnsi" w:cstheme="minorHAnsi"/>
        </w:rPr>
        <w:t>OPŽP</w:t>
      </w:r>
      <w:r w:rsidR="005F0EFF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</w:rPr>
        <w:t xml:space="preserve"> </w:t>
      </w:r>
      <w:r w:rsidR="005F0EFF" w:rsidRPr="00E23815">
        <w:rPr>
          <w:rFonts w:asciiTheme="minorHAnsi" w:hAnsiTheme="minorHAnsi" w:cstheme="minorHAnsi"/>
        </w:rPr>
        <w:t xml:space="preserve">proto </w:t>
      </w:r>
      <w:r w:rsidRPr="00E23815">
        <w:rPr>
          <w:rFonts w:asciiTheme="minorHAnsi" w:hAnsiTheme="minorHAnsi" w:cstheme="minorHAnsi"/>
        </w:rPr>
        <w:t xml:space="preserve">MŽP nebylo oprávněno proplacení těchto výdajů </w:t>
      </w:r>
      <w:r w:rsidR="00494DB3" w:rsidRPr="00E23815">
        <w:rPr>
          <w:rFonts w:asciiTheme="minorHAnsi" w:hAnsiTheme="minorHAnsi" w:cstheme="minorHAnsi"/>
        </w:rPr>
        <w:t xml:space="preserve">z rozpočtu EU </w:t>
      </w:r>
      <w:r w:rsidRPr="00E23815">
        <w:rPr>
          <w:rFonts w:asciiTheme="minorHAnsi" w:hAnsiTheme="minorHAnsi" w:cstheme="minorHAnsi"/>
        </w:rPr>
        <w:t>požadovat.</w:t>
      </w:r>
    </w:p>
    <w:p w14:paraId="6CA7E357" w14:textId="77777777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</w:rPr>
      </w:pPr>
    </w:p>
    <w:p w14:paraId="7FC96A2D" w14:textId="77777777" w:rsidR="00F1076B" w:rsidRPr="00E23815" w:rsidRDefault="00F1076B" w:rsidP="00F1076B">
      <w:pPr>
        <w:spacing w:after="0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MŽP tak neoprávněně použilo peněžní prostředky státního rozpočtu ve smyslu ustanovení § 3 písm. e) zákona č. 218/2000 Sb. </w:t>
      </w:r>
    </w:p>
    <w:p w14:paraId="6CFB3E00" w14:textId="77777777" w:rsidR="00F1076B" w:rsidRPr="00E23815" w:rsidRDefault="00F1076B" w:rsidP="00B238BD">
      <w:pPr>
        <w:spacing w:after="0"/>
        <w:jc w:val="both"/>
        <w:rPr>
          <w:rFonts w:asciiTheme="minorHAnsi" w:hAnsiTheme="minorHAnsi" w:cstheme="minorHAnsi"/>
        </w:rPr>
      </w:pPr>
    </w:p>
    <w:p w14:paraId="7D86775D" w14:textId="77777777" w:rsidR="008254AB" w:rsidRPr="00E23815" w:rsidRDefault="008254AB" w:rsidP="00B15537">
      <w:pPr>
        <w:spacing w:after="0"/>
        <w:jc w:val="both"/>
        <w:rPr>
          <w:rFonts w:asciiTheme="minorHAnsi" w:hAnsiTheme="minorHAnsi" w:cstheme="minorHAnsi"/>
        </w:rPr>
      </w:pPr>
    </w:p>
    <w:p w14:paraId="2A9E243F" w14:textId="77777777" w:rsidR="00CF7111" w:rsidRPr="00E23815" w:rsidRDefault="00CF7111" w:rsidP="008226C5">
      <w:pPr>
        <w:pStyle w:val="Styl2"/>
        <w:numPr>
          <w:ilvl w:val="0"/>
          <w:numId w:val="7"/>
        </w:numPr>
        <w:ind w:left="340" w:hanging="340"/>
      </w:pPr>
      <w:r w:rsidRPr="00E23815">
        <w:t xml:space="preserve">Vyhodnocení opatření přijatých k nápravě nedostatků </w:t>
      </w:r>
      <w:r w:rsidR="00B06FC8" w:rsidRPr="00E23815">
        <w:t>uvedených v kontrolním závěru z</w:t>
      </w:r>
      <w:r w:rsidR="00595049" w:rsidRPr="00E23815">
        <w:t> </w:t>
      </w:r>
      <w:r w:rsidRPr="00E23815">
        <w:t>KA č. 1</w:t>
      </w:r>
      <w:r w:rsidR="00B735EE" w:rsidRPr="00E23815">
        <w:t>7</w:t>
      </w:r>
      <w:r w:rsidRPr="00E23815">
        <w:t>/</w:t>
      </w:r>
      <w:r w:rsidR="00B735EE" w:rsidRPr="00E23815">
        <w:t>18</w:t>
      </w:r>
    </w:p>
    <w:p w14:paraId="0FE1494D" w14:textId="77777777" w:rsidR="00B735EE" w:rsidRPr="00E23815" w:rsidRDefault="004A6081" w:rsidP="006033C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Vláda ČR svým usnesením ze dne </w:t>
      </w:r>
      <w:r w:rsidR="00B735EE" w:rsidRPr="00E23815">
        <w:rPr>
          <w:rFonts w:asciiTheme="minorHAnsi" w:hAnsiTheme="minorHAnsi" w:cstheme="minorHAnsi"/>
        </w:rPr>
        <w:t>19. červ</w:t>
      </w:r>
      <w:r w:rsidRPr="00E23815">
        <w:rPr>
          <w:rFonts w:asciiTheme="minorHAnsi" w:hAnsiTheme="minorHAnsi" w:cstheme="minorHAnsi"/>
        </w:rPr>
        <w:t>na 20</w:t>
      </w:r>
      <w:r w:rsidR="00B735EE" w:rsidRPr="00E23815">
        <w:rPr>
          <w:rFonts w:asciiTheme="minorHAnsi" w:hAnsiTheme="minorHAnsi" w:cstheme="minorHAnsi"/>
        </w:rPr>
        <w:t>18</w:t>
      </w:r>
      <w:r w:rsidRPr="00E23815">
        <w:rPr>
          <w:rFonts w:asciiTheme="minorHAnsi" w:hAnsiTheme="minorHAnsi" w:cstheme="minorHAnsi"/>
        </w:rPr>
        <w:t xml:space="preserve"> č. </w:t>
      </w:r>
      <w:r w:rsidR="00B735EE" w:rsidRPr="00E23815">
        <w:rPr>
          <w:rFonts w:asciiTheme="minorHAnsi" w:hAnsiTheme="minorHAnsi" w:cstheme="minorHAnsi"/>
        </w:rPr>
        <w:t xml:space="preserve">383 </w:t>
      </w:r>
      <w:r w:rsidR="00B735EE" w:rsidRPr="00E23815">
        <w:rPr>
          <w:rFonts w:cs="Calibri"/>
        </w:rPr>
        <w:t xml:space="preserve">vzala na vědomí kontrolní závěr z KA č. 17/18 i stanovisko MŽP k tomuto kontrolnímu závěru a uložila ministru životního prostředí ve stanovených termínech realizovat celkem 18 opatření </w:t>
      </w:r>
      <w:r w:rsidR="00B735EE" w:rsidRPr="00E23815">
        <w:rPr>
          <w:rFonts w:asciiTheme="minorHAnsi" w:hAnsiTheme="minorHAnsi" w:cstheme="minorHAnsi"/>
        </w:rPr>
        <w:t>k nápravě zjištěných nedostatků</w:t>
      </w:r>
      <w:r w:rsidRPr="00E23815">
        <w:rPr>
          <w:rFonts w:asciiTheme="minorHAnsi" w:hAnsiTheme="minorHAnsi" w:cstheme="minorHAnsi"/>
        </w:rPr>
        <w:t xml:space="preserve">. </w:t>
      </w:r>
    </w:p>
    <w:p w14:paraId="50C5BC3B" w14:textId="77777777" w:rsidR="00B735EE" w:rsidRPr="00E23815" w:rsidRDefault="00B735EE" w:rsidP="006033CB">
      <w:pPr>
        <w:spacing w:after="0"/>
        <w:jc w:val="both"/>
        <w:rPr>
          <w:rFonts w:asciiTheme="minorHAnsi" w:hAnsiTheme="minorHAnsi" w:cstheme="minorHAnsi"/>
        </w:rPr>
      </w:pPr>
    </w:p>
    <w:p w14:paraId="4CD2F22F" w14:textId="2A0CA6AE" w:rsidR="00CF7111" w:rsidRPr="00E23815" w:rsidRDefault="004A6081" w:rsidP="006033CB">
      <w:pPr>
        <w:spacing w:after="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M</w:t>
      </w:r>
      <w:r w:rsidR="00B735EE" w:rsidRPr="00E23815">
        <w:rPr>
          <w:rFonts w:asciiTheme="minorHAnsi" w:hAnsiTheme="minorHAnsi" w:cstheme="minorHAnsi"/>
        </w:rPr>
        <w:t>ŽP</w:t>
      </w:r>
      <w:r w:rsidRPr="00E23815">
        <w:rPr>
          <w:rFonts w:asciiTheme="minorHAnsi" w:hAnsiTheme="minorHAnsi" w:cstheme="minorHAnsi"/>
        </w:rPr>
        <w:t xml:space="preserve"> realizoval</w:t>
      </w:r>
      <w:r w:rsidR="00B735EE" w:rsidRPr="00E23815">
        <w:rPr>
          <w:rFonts w:asciiTheme="minorHAnsi" w:hAnsiTheme="minorHAnsi" w:cstheme="minorHAnsi"/>
        </w:rPr>
        <w:t>o</w:t>
      </w:r>
      <w:r w:rsidRPr="00E23815">
        <w:rPr>
          <w:rFonts w:asciiTheme="minorHAnsi" w:hAnsiTheme="minorHAnsi" w:cstheme="minorHAnsi"/>
        </w:rPr>
        <w:t xml:space="preserve"> úplně a správně </w:t>
      </w:r>
      <w:r w:rsidR="00B735EE" w:rsidRPr="00E23815">
        <w:rPr>
          <w:rFonts w:asciiTheme="minorHAnsi" w:hAnsiTheme="minorHAnsi" w:cstheme="minorHAnsi"/>
        </w:rPr>
        <w:t xml:space="preserve">všech </w:t>
      </w:r>
      <w:r w:rsidRPr="00E23815">
        <w:rPr>
          <w:rFonts w:asciiTheme="minorHAnsi" w:hAnsiTheme="minorHAnsi" w:cstheme="minorHAnsi"/>
        </w:rPr>
        <w:t>18 opatření</w:t>
      </w:r>
      <w:r w:rsidR="00A32A5B" w:rsidRPr="00E23815">
        <w:rPr>
          <w:rFonts w:asciiTheme="minorHAnsi" w:hAnsiTheme="minorHAnsi" w:cstheme="minorHAnsi"/>
        </w:rPr>
        <w:t xml:space="preserve">, přičemž nesprávné ocenění povolenek na emise </w:t>
      </w:r>
      <w:r w:rsidR="00317E2B" w:rsidRPr="00E23815">
        <w:rPr>
          <w:rFonts w:asciiTheme="minorHAnsi" w:hAnsiTheme="minorHAnsi" w:cstheme="minorHAnsi"/>
        </w:rPr>
        <w:t xml:space="preserve">skleníkových plynů </w:t>
      </w:r>
      <w:r w:rsidR="00A32A5B" w:rsidRPr="00E23815">
        <w:rPr>
          <w:rFonts w:asciiTheme="minorHAnsi" w:hAnsiTheme="minorHAnsi" w:cstheme="minorHAnsi"/>
        </w:rPr>
        <w:t xml:space="preserve">provedené v roce 2016 ve výši 0,5 mld. Kč </w:t>
      </w:r>
      <w:r w:rsidR="00317E2B" w:rsidRPr="00E23815">
        <w:rPr>
          <w:rFonts w:asciiTheme="minorHAnsi" w:hAnsiTheme="minorHAnsi"/>
        </w:rPr>
        <w:t>opravilo</w:t>
      </w:r>
      <w:r w:rsidR="00A32A5B" w:rsidRPr="00E23815">
        <w:rPr>
          <w:rFonts w:asciiTheme="minorHAnsi" w:hAnsiTheme="minorHAnsi"/>
        </w:rPr>
        <w:t xml:space="preserve"> až na základě upozornění NKÚ v průběhu kontrol</w:t>
      </w:r>
      <w:r w:rsidR="005F0EFF">
        <w:rPr>
          <w:rFonts w:asciiTheme="minorHAnsi" w:hAnsiTheme="minorHAnsi"/>
        </w:rPr>
        <w:t>ní akce č. 22/18</w:t>
      </w:r>
      <w:r w:rsidR="00A32A5B" w:rsidRPr="00E23815">
        <w:rPr>
          <w:rFonts w:asciiTheme="minorHAnsi" w:hAnsiTheme="minorHAnsi"/>
        </w:rPr>
        <w:t xml:space="preserve"> (viz část IV.1.1</w:t>
      </w:r>
      <w:r w:rsidR="00317E2B" w:rsidRPr="00E23815">
        <w:rPr>
          <w:rFonts w:asciiTheme="minorHAnsi" w:hAnsiTheme="minorHAnsi"/>
        </w:rPr>
        <w:t xml:space="preserve"> tohoto kontrolního závěru</w:t>
      </w:r>
      <w:r w:rsidR="00A32A5B" w:rsidRPr="00E23815">
        <w:rPr>
          <w:rFonts w:asciiTheme="minorHAnsi" w:hAnsiTheme="minorHAnsi"/>
        </w:rPr>
        <w:t>)</w:t>
      </w:r>
      <w:r w:rsidR="00C01175" w:rsidRPr="00E23815">
        <w:rPr>
          <w:rFonts w:asciiTheme="minorHAnsi" w:hAnsiTheme="minorHAnsi" w:cstheme="minorHAnsi"/>
        </w:rPr>
        <w:t>.</w:t>
      </w:r>
      <w:r w:rsidRPr="00E23815">
        <w:rPr>
          <w:rFonts w:asciiTheme="minorHAnsi" w:hAnsiTheme="minorHAnsi" w:cstheme="minorHAnsi"/>
        </w:rPr>
        <w:t xml:space="preserve"> </w:t>
      </w:r>
    </w:p>
    <w:p w14:paraId="53A1CB3E" w14:textId="77777777" w:rsidR="002C6DBA" w:rsidRPr="00E23815" w:rsidRDefault="002C6DBA" w:rsidP="009D290B">
      <w:pPr>
        <w:spacing w:after="0" w:line="259" w:lineRule="auto"/>
        <w:rPr>
          <w:rFonts w:asciiTheme="minorHAnsi" w:eastAsiaTheme="minorHAnsi" w:hAnsiTheme="minorHAnsi" w:cstheme="minorHAnsi"/>
          <w:b/>
          <w:szCs w:val="28"/>
        </w:rPr>
      </w:pPr>
      <w:r w:rsidRPr="00E23815">
        <w:br w:type="page"/>
      </w:r>
    </w:p>
    <w:p w14:paraId="00FEDF05" w14:textId="77777777" w:rsidR="00112642" w:rsidRPr="00E23815" w:rsidRDefault="00A640AE" w:rsidP="00E41EAE">
      <w:pPr>
        <w:pStyle w:val="Nadpis1"/>
        <w:keepNext/>
        <w:spacing w:after="0" w:line="240" w:lineRule="auto"/>
        <w:jc w:val="left"/>
        <w:rPr>
          <w:sz w:val="24"/>
        </w:rPr>
      </w:pPr>
      <w:r w:rsidRPr="00E23815">
        <w:rPr>
          <w:sz w:val="24"/>
        </w:rPr>
        <w:lastRenderedPageBreak/>
        <w:t>Seznam zkratek</w:t>
      </w:r>
    </w:p>
    <w:p w14:paraId="4CBE7FF5" w14:textId="77777777" w:rsidR="00B3037C" w:rsidRPr="00E23815" w:rsidRDefault="00B3037C" w:rsidP="00B3037C">
      <w:pPr>
        <w:spacing w:after="0"/>
      </w:pPr>
    </w:p>
    <w:p w14:paraId="433FBC3C" w14:textId="3BE7A4F6" w:rsidR="007D189B" w:rsidRDefault="003D4818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proofErr w:type="spellStart"/>
      <w:r>
        <w:rPr>
          <w:rFonts w:asciiTheme="minorHAnsi" w:eastAsiaTheme="minorHAnsi" w:hAnsiTheme="minorHAnsi" w:cstheme="minorHAnsi"/>
        </w:rPr>
        <w:t>AEAs</w:t>
      </w:r>
      <w:proofErr w:type="spellEnd"/>
      <w:r w:rsidR="007D189B">
        <w:rPr>
          <w:rFonts w:asciiTheme="minorHAnsi" w:eastAsiaTheme="minorHAnsi" w:hAnsiTheme="minorHAnsi" w:cstheme="minorHAnsi"/>
        </w:rPr>
        <w:tab/>
      </w:r>
      <w:r w:rsidR="007D189B" w:rsidRPr="00E23815">
        <w:rPr>
          <w:rFonts w:asciiTheme="minorHAnsi" w:eastAsiaTheme="minorHAnsi" w:hAnsiTheme="minorHAnsi" w:cstheme="minorHAnsi"/>
        </w:rPr>
        <w:t>roční emisní příděl</w:t>
      </w:r>
      <w:r w:rsidR="007D189B">
        <w:rPr>
          <w:rFonts w:asciiTheme="minorHAnsi" w:eastAsiaTheme="minorHAnsi" w:hAnsiTheme="minorHAnsi" w:cstheme="minorHAnsi"/>
        </w:rPr>
        <w:t>y</w:t>
      </w:r>
    </w:p>
    <w:p w14:paraId="7F25341E" w14:textId="77777777" w:rsidR="007D189B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CSÚIS</w:t>
      </w:r>
      <w:r w:rsidRPr="00E23815">
        <w:rPr>
          <w:rFonts w:asciiTheme="minorHAnsi" w:eastAsiaTheme="minorHAnsi" w:hAnsiTheme="minorHAnsi" w:cstheme="minorHAnsi"/>
        </w:rPr>
        <w:tab/>
      </w:r>
      <w:r w:rsidRPr="00AF65F6">
        <w:rPr>
          <w:rFonts w:asciiTheme="minorHAnsi" w:eastAsiaTheme="minorHAnsi" w:hAnsiTheme="minorHAnsi" w:cstheme="minorHAnsi"/>
          <w:i/>
        </w:rPr>
        <w:t>Centrální systém účetních informací státu</w:t>
      </w:r>
    </w:p>
    <w:p w14:paraId="514D596F" w14:textId="77777777" w:rsid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ČR</w:t>
      </w:r>
      <w:r>
        <w:rPr>
          <w:rFonts w:asciiTheme="minorHAnsi" w:eastAsiaTheme="minorHAnsi" w:hAnsiTheme="minorHAnsi" w:cstheme="minorHAnsi"/>
        </w:rPr>
        <w:tab/>
        <w:t>Česká republika</w:t>
      </w:r>
    </w:p>
    <w:p w14:paraId="1F6CDEF4" w14:textId="77777777" w:rsidR="007D189B" w:rsidRPr="00E23815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ČSÚ</w:t>
      </w:r>
      <w:r>
        <w:rPr>
          <w:rFonts w:asciiTheme="minorHAnsi" w:eastAsiaTheme="minorHAnsi" w:hAnsiTheme="minorHAnsi" w:cstheme="minorHAnsi"/>
        </w:rPr>
        <w:tab/>
        <w:t>Český statistický úřad</w:t>
      </w:r>
    </w:p>
    <w:p w14:paraId="2EB1F223" w14:textId="77777777" w:rsidR="007D189B" w:rsidRPr="00E23815" w:rsidRDefault="007D189B" w:rsidP="00AF65F6">
      <w:pPr>
        <w:tabs>
          <w:tab w:val="left" w:pos="2552"/>
        </w:tabs>
        <w:ind w:left="2550" w:hanging="2550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Dohoda</w:t>
      </w:r>
      <w:r w:rsidRPr="00E23815">
        <w:rPr>
          <w:rFonts w:asciiTheme="minorHAnsi" w:eastAsiaTheme="minorHAnsi" w:hAnsiTheme="minorHAnsi" w:cstheme="minorHAnsi"/>
        </w:rPr>
        <w:tab/>
      </w:r>
      <w:r w:rsidRPr="00E23815">
        <w:rPr>
          <w:rFonts w:asciiTheme="minorHAnsi" w:eastAsiaTheme="minorHAnsi" w:hAnsiTheme="minorHAnsi" w:cstheme="minorHAnsi"/>
        </w:rPr>
        <w:tab/>
      </w:r>
      <w:proofErr w:type="spellStart"/>
      <w:r w:rsidRPr="00AF65F6">
        <w:rPr>
          <w:i/>
          <w:iCs/>
        </w:rPr>
        <w:t>Dohoda</w:t>
      </w:r>
      <w:proofErr w:type="spellEnd"/>
      <w:r w:rsidRPr="00AF65F6">
        <w:rPr>
          <w:i/>
          <w:iCs/>
        </w:rPr>
        <w:t xml:space="preserve"> o financování dle čl. 38 odst. 7 Nařízení Evropského parlamentu a Rady (EU) č. 1303/2013 (Obecné nařízení) pro specifický cíl 3.5: Snížit environmentální rizika a rozvíjet systémy jejich řízení</w:t>
      </w:r>
    </w:p>
    <w:p w14:paraId="7BA2E4BB" w14:textId="77777777" w:rsidR="007D189B" w:rsidRPr="00E23815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EIB</w:t>
      </w:r>
      <w:r w:rsidRPr="00E23815">
        <w:rPr>
          <w:rFonts w:asciiTheme="minorHAnsi" w:eastAsiaTheme="minorHAnsi" w:hAnsiTheme="minorHAnsi" w:cstheme="minorHAnsi"/>
        </w:rPr>
        <w:tab/>
        <w:t>Evropská investiční banka</w:t>
      </w:r>
    </w:p>
    <w:p w14:paraId="332DC6BB" w14:textId="77777777" w:rsidR="007D189B" w:rsidRPr="00E23815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EK</w:t>
      </w:r>
      <w:r w:rsidRPr="00E23815">
        <w:rPr>
          <w:rFonts w:asciiTheme="minorHAnsi" w:eastAsiaTheme="minorHAnsi" w:hAnsiTheme="minorHAnsi" w:cstheme="minorHAnsi"/>
        </w:rPr>
        <w:tab/>
        <w:t>Evropská komise</w:t>
      </w:r>
    </w:p>
    <w:p w14:paraId="7E2DC3E1" w14:textId="77777777" w:rsid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EP</w:t>
      </w:r>
      <w:r>
        <w:rPr>
          <w:rFonts w:asciiTheme="minorHAnsi" w:eastAsiaTheme="minorHAnsi" w:hAnsiTheme="minorHAnsi" w:cstheme="minorHAnsi"/>
        </w:rPr>
        <w:tab/>
        <w:t>emisní povolenky (resp. povolenky na emise skleníkových plynů)</w:t>
      </w:r>
    </w:p>
    <w:p w14:paraId="3CC087AC" w14:textId="77777777" w:rsidR="00812472" w:rsidRDefault="00812472" w:rsidP="0081247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EU</w:t>
      </w:r>
      <w:r>
        <w:rPr>
          <w:rFonts w:asciiTheme="minorHAnsi" w:eastAsiaTheme="minorHAnsi" w:hAnsiTheme="minorHAnsi" w:cstheme="minorHAnsi"/>
        </w:rPr>
        <w:tab/>
        <w:t>Evropská unie</w:t>
      </w:r>
    </w:p>
    <w:p w14:paraId="4121B1EB" w14:textId="42633488" w:rsidR="007D189B" w:rsidRPr="00E23815" w:rsidRDefault="007D189B" w:rsidP="00AF65F6">
      <w:pPr>
        <w:tabs>
          <w:tab w:val="left" w:pos="2552"/>
        </w:tabs>
        <w:ind w:left="2550" w:hanging="2550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EU ETS</w:t>
      </w:r>
      <w:r w:rsidRPr="00E23815">
        <w:rPr>
          <w:rFonts w:asciiTheme="minorHAnsi" w:eastAsiaTheme="minorHAnsi" w:hAnsiTheme="minorHAnsi" w:cstheme="minorHAnsi"/>
        </w:rPr>
        <w:tab/>
      </w:r>
      <w:r w:rsidRPr="00E23815">
        <w:rPr>
          <w:rFonts w:asciiTheme="minorHAnsi" w:hAnsiTheme="minorHAnsi" w:cstheme="minorHAnsi"/>
        </w:rPr>
        <w:t>systém pro obchodování s povolenkami na emise skleníkových plynů v</w:t>
      </w:r>
      <w:r>
        <w:rPr>
          <w:rFonts w:asciiTheme="minorHAnsi" w:hAnsiTheme="minorHAnsi" w:cstheme="minorHAnsi"/>
        </w:rPr>
        <w:t> EU</w:t>
      </w:r>
    </w:p>
    <w:p w14:paraId="44B35572" w14:textId="77777777" w:rsid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HDP</w:t>
      </w:r>
      <w:r>
        <w:rPr>
          <w:rFonts w:asciiTheme="minorHAnsi" w:eastAsiaTheme="minorHAnsi" w:hAnsiTheme="minorHAnsi" w:cstheme="minorHAnsi"/>
        </w:rPr>
        <w:tab/>
        <w:t>hrubý domácí produkt</w:t>
      </w:r>
    </w:p>
    <w:p w14:paraId="2EE1BE6C" w14:textId="77777777" w:rsidR="007D189B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KA</w:t>
      </w:r>
      <w:r w:rsidRPr="00E23815">
        <w:rPr>
          <w:rFonts w:asciiTheme="minorHAnsi" w:eastAsiaTheme="minorHAnsi" w:hAnsiTheme="minorHAnsi" w:cstheme="minorHAnsi"/>
        </w:rPr>
        <w:tab/>
        <w:t>kontrolní akce Nejvyššího kontrolního úřadu</w:t>
      </w:r>
    </w:p>
    <w:p w14:paraId="7BE99AEE" w14:textId="75C76E3F" w:rsidR="007D189B" w:rsidRPr="00E23815" w:rsidRDefault="007D189B" w:rsidP="00583902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proofErr w:type="spellStart"/>
      <w:r w:rsidRPr="00E23815">
        <w:rPr>
          <w:rFonts w:asciiTheme="minorHAnsi" w:eastAsiaTheme="minorHAnsi" w:hAnsiTheme="minorHAnsi" w:cstheme="minorHAnsi"/>
        </w:rPr>
        <w:t>ModF</w:t>
      </w:r>
      <w:proofErr w:type="spellEnd"/>
      <w:r w:rsidR="000B4FD0">
        <w:rPr>
          <w:rFonts w:asciiTheme="minorHAnsi" w:eastAsiaTheme="minorHAnsi" w:hAnsiTheme="minorHAnsi" w:cstheme="minorHAnsi"/>
        </w:rPr>
        <w:t xml:space="preserve"> (MF)</w:t>
      </w:r>
      <w:r w:rsidRPr="00E23815">
        <w:rPr>
          <w:rFonts w:asciiTheme="minorHAnsi" w:eastAsiaTheme="minorHAnsi" w:hAnsiTheme="minorHAnsi" w:cstheme="minorHAnsi"/>
        </w:rPr>
        <w:tab/>
      </w:r>
      <w:r w:rsidRPr="00AF65F6">
        <w:rPr>
          <w:rFonts w:asciiTheme="minorHAnsi" w:eastAsiaTheme="minorHAnsi" w:hAnsiTheme="minorHAnsi" w:cstheme="minorHAnsi"/>
          <w:i/>
        </w:rPr>
        <w:t>Modernizační fond</w:t>
      </w:r>
    </w:p>
    <w:p w14:paraId="4BE9849C" w14:textId="77777777" w:rsidR="007D189B" w:rsidRPr="00E23815" w:rsidRDefault="007D189B" w:rsidP="00797EE3">
      <w:pPr>
        <w:tabs>
          <w:tab w:val="left" w:pos="2552"/>
        </w:tabs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MŽP</w:t>
      </w:r>
      <w:r w:rsidRPr="00E23815">
        <w:rPr>
          <w:rFonts w:asciiTheme="minorHAnsi" w:eastAsiaTheme="minorHAnsi" w:hAnsiTheme="minorHAnsi" w:cstheme="minorHAnsi"/>
        </w:rPr>
        <w:tab/>
      </w:r>
      <w:r w:rsidRPr="00E23815">
        <w:rPr>
          <w:rFonts w:cs="Calibri"/>
          <w:iCs/>
        </w:rPr>
        <w:t>Ministerstvo životního prostředí</w:t>
      </w:r>
    </w:p>
    <w:p w14:paraId="58914118" w14:textId="77777777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NKÚ</w:t>
      </w:r>
      <w:r w:rsidRPr="00E23815">
        <w:rPr>
          <w:rFonts w:asciiTheme="minorHAnsi" w:eastAsiaTheme="minorHAnsi" w:hAnsiTheme="minorHAnsi" w:cstheme="minorHAnsi"/>
        </w:rPr>
        <w:tab/>
        <w:t>Nejvyšší kontrolní úřad</w:t>
      </w:r>
    </w:p>
    <w:p w14:paraId="577B0930" w14:textId="77777777" w:rsidR="007D189B" w:rsidRDefault="007D189B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Obecné nařízení</w:t>
      </w:r>
      <w:r>
        <w:rPr>
          <w:rFonts w:asciiTheme="minorHAnsi" w:eastAsiaTheme="minorHAnsi" w:hAnsiTheme="minorHAnsi" w:cstheme="minorHAnsi"/>
        </w:rPr>
        <w:tab/>
      </w:r>
      <w:proofErr w:type="spellStart"/>
      <w:r w:rsidR="00812472" w:rsidRPr="00812472">
        <w:rPr>
          <w:rFonts w:asciiTheme="minorHAnsi" w:eastAsiaTheme="minorHAnsi" w:hAnsiTheme="minorHAnsi" w:cstheme="minorHAnsi"/>
        </w:rPr>
        <w:t>Nařízení</w:t>
      </w:r>
      <w:proofErr w:type="spellEnd"/>
      <w:r w:rsidR="00812472" w:rsidRPr="00812472">
        <w:rPr>
          <w:rFonts w:asciiTheme="minorHAnsi" w:eastAsiaTheme="minorHAnsi" w:hAnsiTheme="minorHAnsi" w:cstheme="minorHAnsi"/>
        </w:rPr>
        <w:t xml:space="preserve"> Evropského parlamentu a Rady (EU) č. 1303/2013 ze dne 17. prosince 2013, o společných ustanoveních o Evropském fondu pro regionální rozvoj, Evropském sociálním fondu, Fondu soudržnosti, Evropském zemědělském fondu pro rozvoj venkova a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Evropském námořním a rybářském fondu, o obecných ustanoveních o Evropském fondu pro regionální rozvoj, Evropském sociálním fondu, Fondu soudržnosti a Evropském námořním a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rybářském fondu a o zrušení nařízení Rady (ES) č. 1083/2006</w:t>
      </w:r>
    </w:p>
    <w:p w14:paraId="261C5D9E" w14:textId="72E31EA5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OPŽP</w:t>
      </w:r>
      <w:r w:rsidRPr="00E23815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>o</w:t>
      </w:r>
      <w:r w:rsidRPr="00E23815">
        <w:rPr>
          <w:rFonts w:asciiTheme="minorHAnsi" w:eastAsiaTheme="minorHAnsi" w:hAnsiTheme="minorHAnsi" w:cstheme="minorHAnsi"/>
        </w:rPr>
        <w:t xml:space="preserve">perační program </w:t>
      </w:r>
      <w:r w:rsidRPr="00AF65F6">
        <w:rPr>
          <w:rFonts w:asciiTheme="minorHAnsi" w:eastAsiaTheme="minorHAnsi" w:hAnsiTheme="minorHAnsi" w:cstheme="minorHAnsi"/>
          <w:i/>
        </w:rPr>
        <w:t>Životní prostředí 2014–2020</w:t>
      </w:r>
    </w:p>
    <w:p w14:paraId="29402E72" w14:textId="77777777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OSS</w:t>
      </w:r>
      <w:r w:rsidRPr="00E23815">
        <w:rPr>
          <w:rFonts w:asciiTheme="minorHAnsi" w:eastAsiaTheme="minorHAnsi" w:hAnsiTheme="minorHAnsi" w:cstheme="minorHAnsi"/>
        </w:rPr>
        <w:tab/>
        <w:t>organizační složka/složky státu</w:t>
      </w:r>
    </w:p>
    <w:p w14:paraId="1E42A029" w14:textId="77777777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REP</w:t>
      </w:r>
      <w:r w:rsidRPr="00E23815">
        <w:rPr>
          <w:rFonts w:asciiTheme="minorHAnsi" w:eastAsiaTheme="minorHAnsi" w:hAnsiTheme="minorHAnsi" w:cstheme="minorHAnsi"/>
        </w:rPr>
        <w:tab/>
        <w:t>roční emisní příděl</w:t>
      </w:r>
    </w:p>
    <w:p w14:paraId="7D070913" w14:textId="77777777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SFŽP</w:t>
      </w:r>
      <w:r w:rsidRPr="00E23815">
        <w:rPr>
          <w:rFonts w:asciiTheme="minorHAnsi" w:eastAsiaTheme="minorHAnsi" w:hAnsiTheme="minorHAnsi" w:cstheme="minorHAnsi"/>
        </w:rPr>
        <w:tab/>
        <w:t>Státní fond životního prostředí</w:t>
      </w:r>
    </w:p>
    <w:p w14:paraId="11F42959" w14:textId="086239B3" w:rsidR="007D189B" w:rsidRDefault="007D189B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Směrnice</w:t>
      </w:r>
      <w:r>
        <w:rPr>
          <w:rFonts w:asciiTheme="minorHAnsi" w:eastAsiaTheme="minorHAnsi" w:hAnsiTheme="minorHAnsi" w:cstheme="minorHAnsi"/>
        </w:rPr>
        <w:tab/>
      </w:r>
      <w:proofErr w:type="spellStart"/>
      <w:r w:rsidR="00812472">
        <w:rPr>
          <w:rFonts w:asciiTheme="minorHAnsi" w:eastAsiaTheme="minorHAnsi" w:hAnsiTheme="minorHAnsi" w:cstheme="minorHAnsi"/>
        </w:rPr>
        <w:t>s</w:t>
      </w:r>
      <w:r w:rsidR="00812472" w:rsidRPr="00812472">
        <w:rPr>
          <w:rFonts w:asciiTheme="minorHAnsi" w:eastAsiaTheme="minorHAnsi" w:hAnsiTheme="minorHAnsi" w:cstheme="minorHAnsi"/>
        </w:rPr>
        <w:t>měrnice</w:t>
      </w:r>
      <w:proofErr w:type="spellEnd"/>
      <w:r w:rsidR="00812472" w:rsidRPr="00812472">
        <w:rPr>
          <w:rFonts w:asciiTheme="minorHAnsi" w:eastAsiaTheme="minorHAnsi" w:hAnsiTheme="minorHAnsi" w:cstheme="minorHAnsi"/>
        </w:rPr>
        <w:t xml:space="preserve"> Evropského parlamentu a Rady 2003/87/ES ze dne 13.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října 2003, o vytvoření systému pro obchodování s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povolenkami na emise skleníkových plynů ve Společenství a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o</w:t>
      </w:r>
      <w:r w:rsidR="00812472">
        <w:rPr>
          <w:rFonts w:asciiTheme="minorHAnsi" w:eastAsiaTheme="minorHAnsi" w:hAnsiTheme="minorHAnsi" w:cstheme="minorHAnsi"/>
        </w:rPr>
        <w:t> </w:t>
      </w:r>
      <w:r w:rsidR="00812472" w:rsidRPr="00812472">
        <w:rPr>
          <w:rFonts w:asciiTheme="minorHAnsi" w:eastAsiaTheme="minorHAnsi" w:hAnsiTheme="minorHAnsi" w:cstheme="minorHAnsi"/>
        </w:rPr>
        <w:t>změně směrnice Rady 96/61/ES</w:t>
      </w:r>
      <w:r w:rsidR="00354344">
        <w:rPr>
          <w:rFonts w:asciiTheme="minorHAnsi" w:eastAsiaTheme="minorHAnsi" w:hAnsiTheme="minorHAnsi" w:cstheme="minorHAnsi"/>
        </w:rPr>
        <w:t>, ve znění pozdějších předpisů</w:t>
      </w:r>
    </w:p>
    <w:p w14:paraId="3B4C31EA" w14:textId="77777777" w:rsidR="000B4FD0" w:rsidRDefault="000B4FD0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</w:p>
    <w:p w14:paraId="5EE2F028" w14:textId="643942F5" w:rsidR="007D189B" w:rsidRPr="00E23815" w:rsidRDefault="007D189B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lastRenderedPageBreak/>
        <w:t>Smlouva mezi EK a EIB</w:t>
      </w:r>
      <w:r w:rsidRPr="00E23815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>s</w:t>
      </w:r>
      <w:r w:rsidRPr="00E23815">
        <w:rPr>
          <w:rFonts w:asciiTheme="minorHAnsi" w:eastAsiaTheme="minorHAnsi" w:hAnsiTheme="minorHAnsi" w:cstheme="minorHAnsi"/>
        </w:rPr>
        <w:t xml:space="preserve">mlouva uzavřená mezi EK a EIB pod názvem </w:t>
      </w:r>
      <w:r w:rsidRPr="00AF65F6">
        <w:rPr>
          <w:rFonts w:asciiTheme="minorHAnsi" w:eastAsiaTheme="minorHAnsi" w:hAnsiTheme="minorHAnsi" w:cstheme="minorHAnsi"/>
          <w:i/>
        </w:rPr>
        <w:t xml:space="preserve">COOPERATION AGREEMENT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between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THE EUROPEAN COMMISSION and THE EUROPEAN INVESTMENT BANK on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the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Modernisation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Fund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set up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pursuant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to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Article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gramStart"/>
      <w:r w:rsidRPr="00AF65F6">
        <w:rPr>
          <w:rFonts w:asciiTheme="minorHAnsi" w:eastAsiaTheme="minorHAnsi" w:hAnsiTheme="minorHAnsi" w:cstheme="minorHAnsi"/>
          <w:i/>
        </w:rPr>
        <w:t>10d</w:t>
      </w:r>
      <w:proofErr w:type="gram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of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Directive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2003/87/EC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of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the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European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Parliament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and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of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the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Council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of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13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October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2003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establishing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a</w:t>
      </w:r>
      <w:r>
        <w:rPr>
          <w:rFonts w:asciiTheme="minorHAnsi" w:eastAsiaTheme="minorHAnsi" w:hAnsiTheme="minorHAnsi" w:cstheme="minorHAnsi"/>
          <w:i/>
        </w:rPr>
        <w:t> 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system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for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greenhouse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gas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emission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allowance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trading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within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the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Union and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amending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Council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eastAsiaTheme="minorHAnsi" w:hAnsiTheme="minorHAnsi" w:cstheme="minorHAnsi"/>
          <w:i/>
        </w:rPr>
        <w:t>Directive</w:t>
      </w:r>
      <w:proofErr w:type="spellEnd"/>
      <w:r w:rsidRPr="00AF65F6">
        <w:rPr>
          <w:rFonts w:asciiTheme="minorHAnsi" w:eastAsiaTheme="minorHAnsi" w:hAnsiTheme="minorHAnsi" w:cstheme="minorHAnsi"/>
          <w:i/>
        </w:rPr>
        <w:t xml:space="preserve"> 96/61/EC</w:t>
      </w:r>
    </w:p>
    <w:p w14:paraId="43240A8B" w14:textId="5AA57B10" w:rsid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SÚ</w:t>
      </w:r>
      <w:r w:rsidR="00AF65F6">
        <w:rPr>
          <w:rFonts w:asciiTheme="minorHAnsi" w:eastAsiaTheme="minorHAnsi" w:hAnsiTheme="minorHAnsi" w:cstheme="minorHAnsi"/>
        </w:rPr>
        <w:t xml:space="preserve"> (SÚČ)</w:t>
      </w:r>
      <w:r>
        <w:rPr>
          <w:rFonts w:asciiTheme="minorHAnsi" w:eastAsiaTheme="minorHAnsi" w:hAnsiTheme="minorHAnsi" w:cstheme="minorHAnsi"/>
        </w:rPr>
        <w:tab/>
        <w:t>syntetický účet</w:t>
      </w:r>
    </w:p>
    <w:p w14:paraId="58B5526F" w14:textId="77777777" w:rsidR="007D189B" w:rsidRPr="00E23815" w:rsidRDefault="007D189B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ÚZ</w:t>
      </w:r>
      <w:r w:rsidRPr="00E23815">
        <w:rPr>
          <w:rFonts w:asciiTheme="minorHAnsi" w:eastAsiaTheme="minorHAnsi" w:hAnsiTheme="minorHAnsi" w:cstheme="minorHAnsi"/>
        </w:rPr>
        <w:tab/>
        <w:t xml:space="preserve">účetní závěrka Ministerstva životního prostředí sestavená k 31. prosinci 2022 </w:t>
      </w:r>
    </w:p>
    <w:p w14:paraId="3F28414B" w14:textId="77777777" w:rsidR="007D189B" w:rsidRPr="00E23815" w:rsidRDefault="007D189B" w:rsidP="00583902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VKS</w:t>
      </w:r>
      <w:r w:rsidRPr="00E23815">
        <w:rPr>
          <w:rFonts w:asciiTheme="minorHAnsi" w:eastAsiaTheme="minorHAnsi" w:hAnsiTheme="minorHAnsi" w:cstheme="minorHAnsi"/>
        </w:rPr>
        <w:tab/>
        <w:t>vnitřní kontrolní systém</w:t>
      </w:r>
    </w:p>
    <w:p w14:paraId="065DB357" w14:textId="77777777" w:rsidR="007D189B" w:rsidRPr="00E23815" w:rsidRDefault="007D189B" w:rsidP="00AF65F6">
      <w:pPr>
        <w:tabs>
          <w:tab w:val="left" w:pos="2552"/>
        </w:tabs>
        <w:ind w:left="2552" w:hanging="2552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výkaz FIN 1-12 OSS</w:t>
      </w:r>
      <w:r w:rsidRPr="00E23815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>„</w:t>
      </w:r>
      <w:r w:rsidRPr="00E23815">
        <w:rPr>
          <w:rFonts w:asciiTheme="minorHAnsi" w:eastAsiaTheme="minorHAnsi" w:hAnsiTheme="minorHAnsi" w:cstheme="minorHAnsi"/>
        </w:rPr>
        <w:t>výkaz pro hodnocení plnění rozpočtu správců kapitol a organizačních složek státu</w:t>
      </w:r>
      <w:r>
        <w:rPr>
          <w:rFonts w:asciiTheme="minorHAnsi" w:eastAsiaTheme="minorHAnsi" w:hAnsiTheme="minorHAnsi" w:cstheme="minorHAnsi"/>
        </w:rPr>
        <w:t>“</w:t>
      </w:r>
      <w:r w:rsidRPr="00E23815">
        <w:rPr>
          <w:rFonts w:asciiTheme="minorHAnsi" w:eastAsiaTheme="minorHAnsi" w:hAnsiTheme="minorHAnsi" w:cstheme="minorHAnsi"/>
        </w:rPr>
        <w:t xml:space="preserve"> Ministerstva životního prostředí </w:t>
      </w:r>
      <w:r>
        <w:rPr>
          <w:rFonts w:asciiTheme="minorHAnsi" w:eastAsiaTheme="minorHAnsi" w:hAnsiTheme="minorHAnsi" w:cstheme="minorHAnsi"/>
        </w:rPr>
        <w:br/>
      </w:r>
      <w:r w:rsidRPr="00E23815">
        <w:rPr>
          <w:rFonts w:asciiTheme="minorHAnsi" w:eastAsiaTheme="minorHAnsi" w:hAnsiTheme="minorHAnsi" w:cstheme="minorHAnsi"/>
        </w:rPr>
        <w:t>za rok 2022</w:t>
      </w:r>
    </w:p>
    <w:p w14:paraId="7F050D3D" w14:textId="77777777" w:rsid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  <w:r w:rsidRPr="00E23815">
        <w:rPr>
          <w:rFonts w:asciiTheme="minorHAnsi" w:eastAsiaTheme="minorHAnsi" w:hAnsiTheme="minorHAnsi" w:cstheme="minorHAnsi"/>
        </w:rPr>
        <w:t>ZÚ</w:t>
      </w:r>
      <w:r w:rsidRPr="00E23815">
        <w:rPr>
          <w:rFonts w:asciiTheme="minorHAnsi" w:eastAsiaTheme="minorHAnsi" w:hAnsiTheme="minorHAnsi" w:cstheme="minorHAnsi"/>
        </w:rPr>
        <w:tab/>
        <w:t>závěrečný účet kapitoly 315</w:t>
      </w:r>
      <w:r>
        <w:rPr>
          <w:rFonts w:asciiTheme="minorHAnsi" w:eastAsiaTheme="minorHAnsi" w:hAnsiTheme="minorHAnsi" w:cstheme="minorHAnsi"/>
        </w:rPr>
        <w:t xml:space="preserve"> –</w:t>
      </w:r>
      <w:r w:rsidRPr="00E23815">
        <w:rPr>
          <w:rFonts w:asciiTheme="minorHAnsi" w:eastAsiaTheme="minorHAnsi" w:hAnsiTheme="minorHAnsi" w:cstheme="minorHAnsi"/>
        </w:rPr>
        <w:t xml:space="preserve"> </w:t>
      </w:r>
      <w:r w:rsidRPr="00AF65F6">
        <w:rPr>
          <w:rFonts w:asciiTheme="minorHAnsi" w:eastAsiaTheme="minorHAnsi" w:hAnsiTheme="minorHAnsi" w:cstheme="minorHAnsi"/>
          <w:i/>
        </w:rPr>
        <w:t>Ministerstvo životního prostředí</w:t>
      </w:r>
    </w:p>
    <w:p w14:paraId="7FD9CE00" w14:textId="77777777" w:rsidR="007D189B" w:rsidRPr="007D189B" w:rsidRDefault="007D189B" w:rsidP="00E0528E">
      <w:pPr>
        <w:tabs>
          <w:tab w:val="left" w:pos="2552"/>
        </w:tabs>
        <w:ind w:left="2552" w:hanging="2552"/>
        <w:jc w:val="both"/>
        <w:rPr>
          <w:rFonts w:asciiTheme="minorHAnsi" w:eastAsiaTheme="minorHAnsi" w:hAnsiTheme="minorHAnsi" w:cstheme="minorHAnsi"/>
        </w:rPr>
      </w:pPr>
    </w:p>
    <w:p w14:paraId="61C0C51E" w14:textId="77777777" w:rsidR="000D791D" w:rsidRPr="00E23815" w:rsidRDefault="000D791D" w:rsidP="00124170">
      <w:pPr>
        <w:tabs>
          <w:tab w:val="left" w:pos="2552"/>
        </w:tabs>
        <w:ind w:left="3540" w:hanging="3540"/>
        <w:rPr>
          <w:rFonts w:asciiTheme="minorHAnsi" w:eastAsiaTheme="minorHAnsi" w:hAnsiTheme="minorHAnsi" w:cstheme="minorHAnsi"/>
        </w:rPr>
      </w:pPr>
    </w:p>
    <w:p w14:paraId="3B56F820" w14:textId="77777777" w:rsidR="00DC4A58" w:rsidRPr="00E23815" w:rsidRDefault="00DC4A58" w:rsidP="00F86B28">
      <w:pPr>
        <w:spacing w:after="160" w:line="259" w:lineRule="auto"/>
        <w:rPr>
          <w:rFonts w:cstheme="minorHAnsi"/>
          <w:b/>
          <w:bCs/>
        </w:rPr>
        <w:sectPr w:rsidR="00DC4A58" w:rsidRPr="00E23815" w:rsidSect="005E725E">
          <w:headerReference w:type="default" r:id="rId32"/>
          <w:footerReference w:type="default" r:id="rId33"/>
          <w:footerReference w:type="first" r:id="rId3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279B081" w14:textId="77777777" w:rsidR="00EB3525" w:rsidRDefault="00EB3525" w:rsidP="00EB3525">
      <w:pPr>
        <w:pStyle w:val="Titulek"/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Příloha č. 1</w:t>
      </w:r>
    </w:p>
    <w:p w14:paraId="61750646" w14:textId="59619748" w:rsidR="008001A2" w:rsidRPr="00AF65F6" w:rsidRDefault="008001A2" w:rsidP="00A446DE">
      <w:pPr>
        <w:pStyle w:val="Titulek"/>
        <w:spacing w:after="0"/>
        <w:jc w:val="both"/>
        <w:rPr>
          <w:rFonts w:asciiTheme="minorHAnsi" w:eastAsia="Calibri" w:hAnsiTheme="minorHAnsi" w:cstheme="minorHAnsi"/>
          <w:b w:val="0"/>
        </w:rPr>
      </w:pPr>
      <w:r>
        <w:rPr>
          <w:rFonts w:asciiTheme="minorHAnsi" w:hAnsiTheme="minorHAnsi" w:cstheme="minorHAnsi"/>
        </w:rPr>
        <w:t>Vybrané</w:t>
      </w:r>
      <w:r w:rsidR="00B30E19">
        <w:rPr>
          <w:rFonts w:asciiTheme="minorHAnsi" w:hAnsiTheme="minorHAnsi" w:cstheme="minorHAnsi"/>
        </w:rPr>
        <w:t xml:space="preserve"> informace</w:t>
      </w:r>
      <w:r>
        <w:rPr>
          <w:rFonts w:asciiTheme="minorHAnsi" w:hAnsiTheme="minorHAnsi" w:cstheme="minorHAnsi"/>
        </w:rPr>
        <w:t xml:space="preserve"> z přílohy ÚZ</w:t>
      </w:r>
      <w:r w:rsidR="00AF65F6">
        <w:rPr>
          <w:rFonts w:asciiTheme="minorHAnsi" w:hAnsiTheme="minorHAnsi" w:cstheme="minorHAnsi"/>
        </w:rPr>
        <w:t xml:space="preserve"> </w:t>
      </w:r>
      <w:r w:rsidR="00AF65F6" w:rsidRPr="00171491">
        <w:rPr>
          <w:rFonts w:asciiTheme="minorHAnsi" w:hAnsiTheme="minorHAnsi" w:cstheme="minorHAnsi"/>
          <w:b w:val="0"/>
          <w:sz w:val="20"/>
        </w:rPr>
        <w:t>(</w:t>
      </w:r>
      <w:r w:rsidR="000B4FD0">
        <w:rPr>
          <w:rFonts w:asciiTheme="minorHAnsi" w:hAnsiTheme="minorHAnsi" w:cstheme="minorHAnsi"/>
          <w:b w:val="0"/>
          <w:sz w:val="20"/>
        </w:rPr>
        <w:t xml:space="preserve">autentická </w:t>
      </w:r>
      <w:r w:rsidR="007F227A">
        <w:rPr>
          <w:rFonts w:asciiTheme="minorHAnsi" w:hAnsiTheme="minorHAnsi" w:cstheme="minorHAnsi"/>
          <w:b w:val="0"/>
          <w:sz w:val="20"/>
        </w:rPr>
        <w:t xml:space="preserve">příloha </w:t>
      </w:r>
      <w:r w:rsidR="00AF65F6" w:rsidRPr="00171491">
        <w:rPr>
          <w:rFonts w:asciiTheme="minorHAnsi" w:hAnsiTheme="minorHAnsi" w:cstheme="minorHAnsi"/>
          <w:b w:val="0"/>
          <w:sz w:val="20"/>
        </w:rPr>
        <w:t>ÚZ</w:t>
      </w:r>
      <w:r w:rsidR="007F227A">
        <w:rPr>
          <w:rFonts w:asciiTheme="minorHAnsi" w:hAnsiTheme="minorHAnsi" w:cstheme="minorHAnsi"/>
          <w:b w:val="0"/>
          <w:sz w:val="20"/>
        </w:rPr>
        <w:t>, která nebyla zveřejněna v portálu MONITOR</w:t>
      </w:r>
      <w:r w:rsidR="00AF65F6" w:rsidRPr="00171491">
        <w:rPr>
          <w:rFonts w:asciiTheme="minorHAnsi" w:hAnsiTheme="minorHAnsi" w:cstheme="minorHAnsi"/>
          <w:b w:val="0"/>
          <w:sz w:val="20"/>
        </w:rPr>
        <w:t>)</w:t>
      </w:r>
    </w:p>
    <w:p w14:paraId="617E9B39" w14:textId="77777777" w:rsidR="008001A2" w:rsidRDefault="008001A2" w:rsidP="008001A2">
      <w:pPr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284336" w:rsidRPr="00295400" w14:paraId="48A15304" w14:textId="77777777" w:rsidTr="006C4B17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115B3D8" w14:textId="63A45674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A.2. Informace podle § 7 odst. 4 zákona</w:t>
            </w:r>
          </w:p>
        </w:tc>
      </w:tr>
      <w:tr w:rsidR="00284336" w:rsidRPr="00295400" w14:paraId="004C957A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FFA895B" w14:textId="740B4DD5" w:rsidR="00284336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MŽP za účelem dosažení lepšího věrného a poctivého obrazu předmětu účetnictví a finanční situace provedlo následující změny: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MŽP oproti roku 2021 na účtu 069 a 401 vykázalo prostředky ČR v </w:t>
            </w:r>
            <w:r w:rsidRPr="009C3986">
              <w:rPr>
                <w:rFonts w:cstheme="minorHAnsi"/>
                <w:sz w:val="20"/>
                <w:szCs w:val="20"/>
                <w:lang w:eastAsia="cs-CZ"/>
              </w:rPr>
              <w:t>Modernizačním fondu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vytv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. dle směrnice 2003/87/ES čl.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10d - k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31. 12. 2021 mělo ČR disponibilní prostředky v EIB ve výši 802 453 155,18 EUR, ale MŽP tyto prostředky k 31. 12. 2021 nebyly vykázány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</w:p>
          <w:p w14:paraId="79745E24" w14:textId="55760B8C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- na účtu 015 jsou vykazovány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, oproti rokům 2019 až 2021 MŽP změnilo způsob vykazování při vyřazení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z důvodu splnění povinnosti dle Rozhodnutí EU 406 - tj. MŽP vyřadilo jednotky v množství odpovídajícímu skutečným emisím vykázaných za roky 2016 až 2018 - do roku 2021 MŽP účtovalo prostřednictvím účtu 551 v celkové výši 4 113 510 044,16 a snížilo VH, v roce 2022 MŽP účtovalo o vyřazení prostřednictvím účtu 401 a náklady předchozích let opravilo prostřednictvím účtu 408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MŽP oproti rokům 2019 až 2021 MŽP k 31. 12. 2022 vykázalo z důvodu oznámení skutečného stavu emisí závazek na účtu 378 ve výši 1 961 297 035,20 a snížilo stav účtu 401 - závazek vyjadřuje povinnost vyřadit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v množství, které odpovídá skutečnému stavu emisí - tato transakce se uskutečnila převodem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v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registru Unie v březnu 2023, závazek byl oceněn pořizovací cenou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zařazených do majetku v roce 2018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změna postupu vykazování vyřazení povolenek určených k dražbám do rezervy tržní stability (RTS) - v roce 2021 MŽP vykazovalo na účtu 543 ve výši 7 810 343 000,- a snížilo výsledek hospodaření roku 2021 a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zúčtovalo rozdíl z přecenění prostřednictvím výnosů na účtu 664 ve výši 3 781 139 150,- , v roce 2022 MŽP účtovalo o vyřazení prostřednictvím účtu 401, a náklady a výnosy předchozích let opravilo prostřednictvím účtu 408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</w:p>
        </w:tc>
      </w:tr>
      <w:tr w:rsidR="00284336" w:rsidRPr="00295400" w14:paraId="7CE53167" w14:textId="77777777" w:rsidTr="006C4B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</w:tcPr>
          <w:p w14:paraId="150F0951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284336" w:rsidRPr="00295400" w14:paraId="02C1E617" w14:textId="77777777" w:rsidTr="006C4B17">
        <w:tc>
          <w:tcPr>
            <w:tcW w:w="0" w:type="auto"/>
            <w:tcBorders>
              <w:top w:val="nil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FA547D6" w14:textId="51A4DE79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A.3. Informace podle § 7 odst. 5 zákona</w:t>
            </w:r>
          </w:p>
        </w:tc>
      </w:tr>
      <w:tr w:rsidR="00284336" w:rsidRPr="00295400" w14:paraId="4049076A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3A4B1E2" w14:textId="0E4CE524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Obecné - popis metod aplikovaných v roce 2022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kurzové rozdíly jsou účtovány u zahraničních pracovních cest a u plateb do zahraničí (transfery MO, faktury) a EP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Emisní povolenky (EP)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používané účetní metody popsány ve Směrnici MŽP č. 9/2022 o nakládání s emisními povolenkami a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ročními emisními příděly a jejich účetní evidenci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EP jsou majetkem dle zákona č. 383/2012 Sb.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emisní povolenky, které MŽP bezplatně alokuje vybraným subjektům (SÚČ 015) a které draží (SÚČ 035).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účtování je prováděno na základě údajů z majetkové evidence, kam jsou povolenky zařazovány na základě aukčních kalendářů a vyřazovány při jejich prodeji či převodu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u EP určených k prodeji dochází k čtvrtletnímu přecenění reálnou hodnotou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EP k bezplatné alokaci jsou oceněny cenou poslední dražby a již nejsou přeceňovány.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část povolenek původně určených k prodeji byla stažena do rezervy tržní stability, která měla za cíl zvýšit cenu povolenek na trhu, vyřazení těchto povolenek z účetnictví proběhlo proti SÚČ 401.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Roční emisní příděly (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>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používané účetní metody popsány ve Směrnici MŽP č. 9/2022 o nakládání s emisními povolenkami a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ročními emisními příděly a jejich účetní evidenci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jsou majetkem dle zákona č. 383/2012 Sb.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lze chápat jako emisní povolenky na národní úrovni, stanovují, kolik emisí může ČR jako celek vyprodukovat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přebytek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je možné prodat (tato transakce mezi ČR a Německem proběhla, ale příjemcem prostředků je ze zákona SFŽP)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lastRenderedPageBreak/>
              <w:t>- účtování probíhá prostřednictvím SÚČ 015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zařazení do majetku proběhlo v roce 2018 na základě dat od odborného útvaru - dle Rejstříku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na období 2014 - 2020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ocenění proběhlo na základě historické dosažené prodejní ceny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-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jsou na základě skutečných emisí z majetku vyřazovány, část nevyčerpaného zůstatku byla v roce 2022 prodána a v roce 2023 byly veškeré nespotřebované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vyřazeny.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Modernizační Fond (MF)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-ČR má podíl v MF, který je tvořen výnosy z dražeb povolenek - jde o specificky vyčleněnou část EP, prostředky jsou uchovávány v EIB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EIB je na základě schválených projektů následně poskytuje přímo SFŽP (příjmy z MF jsou ze zákona příjmem SFŽP)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o disponibilním zůstatku v EIB pro ČR účtuje MŽP (na základě podkladu od EIB) prostřednictvím účtu 069 (cca 24,5 mld. Kč)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>- zůstatek představuje peníze z již vydražených emisní povolenek snížený o již vyplacené prostředky pro SFŽP.</w:t>
            </w:r>
          </w:p>
        </w:tc>
      </w:tr>
    </w:tbl>
    <w:p w14:paraId="4CAE55F5" w14:textId="77777777" w:rsidR="008001A2" w:rsidRDefault="008001A2" w:rsidP="008001A2">
      <w:pPr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4"/>
      </w:tblGrid>
      <w:tr w:rsidR="00284336" w:rsidRPr="00295400" w14:paraId="2D60EF6F" w14:textId="77777777" w:rsidTr="006C4B17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72479C9" w14:textId="2B2A7FD4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A</w:t>
            </w:r>
            <w:r w:rsidRPr="00862556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.6. Informace podle § 19 odst. 6 zákona</w:t>
            </w:r>
          </w:p>
        </w:tc>
      </w:tr>
      <w:tr w:rsidR="00284336" w:rsidRPr="00295400" w14:paraId="55756A50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ACE3FE0" w14:textId="7DBADB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K 31. 12. 2022 byly na účtech 015, 035, 154, 556, 378, 401 a 407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určené ke splnění závazku dle rozhodnutí EU 406 na období 2013-2020,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 předkupním právem a nevyužité jednotky: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účet 015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celkem 2 710 989 628,16 Kč a na účtu 035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určených k prodeji 185 542 145,28 Kč.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Na účtech 556/154 byla vytvořena opravná položka ve výši 726 389 565,44 Kč. K 31.12. bylo zaúčtování na účty 401/378 částka -1 961 267 035,20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Kč - což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odpovídá skutečnému odpovídajícímu množství emisí, které musí ČR pokrýt jednotkami AEA. Na účtu 407 přecenění k 31.12.2022 ve výši 67 910 850,56 Kč (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předkupním právem).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Na účtu 401 je vykázáno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ve výši 1 129 902 086,72 Kč.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br/>
              <w:t xml:space="preserve">Předkupní právo nebylo využito a dne 22. 3. 2023 byly vyřazeny všechny nevyužité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, protože období jejich použitelnosti již bylo ukončeno a výše uvedené byly skutečně odúčtovány s tím, že na SÚ 401 zůstává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rep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poř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. cena prodaných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126 726 497,92 Kč.</w:t>
            </w:r>
          </w:p>
        </w:tc>
      </w:tr>
    </w:tbl>
    <w:p w14:paraId="147C554F" w14:textId="77777777" w:rsidR="00284336" w:rsidRDefault="00284336" w:rsidP="008001A2">
      <w:pPr>
        <w:rPr>
          <w:rFonts w:asciiTheme="minorHAnsi" w:eastAsia="Calibri" w:hAnsiTheme="minorHAnsi" w:cstheme="minorHAnsi"/>
        </w:rPr>
      </w:pPr>
    </w:p>
    <w:p w14:paraId="00E16DCD" w14:textId="77777777" w:rsidR="00284336" w:rsidRDefault="00284336" w:rsidP="008001A2">
      <w:pPr>
        <w:rPr>
          <w:rFonts w:cstheme="minorHAnsi"/>
          <w:b/>
          <w:bCs/>
          <w:color w:val="000000"/>
          <w:szCs w:val="27"/>
          <w:lang w:eastAsia="cs-CZ"/>
        </w:rPr>
      </w:pPr>
      <w:r w:rsidRPr="00A77EAD">
        <w:rPr>
          <w:rFonts w:cstheme="minorHAnsi"/>
          <w:b/>
          <w:bCs/>
          <w:color w:val="000000"/>
          <w:szCs w:val="27"/>
          <w:lang w:eastAsia="cs-CZ"/>
        </w:rPr>
        <w:t>E.1. Doplňující informace k položkám rozvahy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5797"/>
        <w:gridCol w:w="2260"/>
      </w:tblGrid>
      <w:tr w:rsidR="00284336" w:rsidRPr="00295400" w14:paraId="28512791" w14:textId="77777777" w:rsidTr="003C4CE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FFFFFF" w:themeColor="background1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33E0A7E" w14:textId="77777777" w:rsidR="00284336" w:rsidRPr="00295400" w:rsidRDefault="00284336" w:rsidP="003C4CE5">
            <w:pPr>
              <w:spacing w:after="0"/>
              <w:ind w:right="-89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K položce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256661" w14:textId="77777777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Doplňující informace k položkám rozvahy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000000"/>
              <w:right w:val="single" w:sz="4" w:space="0" w:color="auto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BD57E0A" w14:textId="77777777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Částka</w:t>
            </w:r>
            <w:r>
              <w:rPr>
                <w:rFonts w:cstheme="minorHAnsi"/>
                <w:b/>
                <w:bCs/>
                <w:color w:val="FFFFFF"/>
                <w:sz w:val="20"/>
                <w:szCs w:val="20"/>
              </w:rPr>
              <w:t xml:space="preserve"> v Kč</w:t>
            </w:r>
          </w:p>
        </w:tc>
      </w:tr>
      <w:tr w:rsidR="00284336" w:rsidRPr="00295400" w14:paraId="7DB38B55" w14:textId="77777777" w:rsidTr="003C4C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C67A8A9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A.I.4.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FBE4412" w14:textId="0F35E50A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Povolenky na emise a preferenční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limity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 015 má MŽP emisní povolenky, která následně v rámci bezplatné alokace poskytuje třetím osobám (některé z nich jsou i vybrané účetní jednotky). Dále jsou na účtu 015 vedeny roční emisní příděly, které jsou majetkem České republiky. Emisní příděly jsou spotřebovávány na základě emisí produkovaných ČR.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14636DE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5 277 930 674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284336" w:rsidRPr="00295400" w14:paraId="713E2CB8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BF52DEB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A.I.9.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7EF8748" w14:textId="06497124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Dlouhodobý nehmotný majetek určený k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prodeji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 035 má MŽP emisní povolenky, které jsou dle dražebního kalendáře určeny k</w:t>
            </w:r>
            <w:r w:rsidR="003C4CE5">
              <w:rPr>
                <w:rFonts w:cstheme="minorHAnsi"/>
                <w:sz w:val="20"/>
                <w:szCs w:val="20"/>
              </w:rPr>
              <w:t> </w:t>
            </w:r>
            <w:r w:rsidRPr="00295400">
              <w:rPr>
                <w:rFonts w:cstheme="minorHAnsi"/>
                <w:sz w:val="20"/>
                <w:szCs w:val="20"/>
              </w:rPr>
              <w:t xml:space="preserve">dražbě. Tyto povolenky jsou pravidelně draženy na energetické burze v Lipsku prostřednictvím společnosti OTE, které výnosy posílá na účet MŽP. Dále jsou na tomto účtu vedeny </w:t>
            </w:r>
            <w:proofErr w:type="spellStart"/>
            <w:r w:rsidRPr="00295400">
              <w:rPr>
                <w:rFonts w:cstheme="minorHAnsi"/>
                <w:sz w:val="20"/>
                <w:szCs w:val="20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</w:rPr>
              <w:t xml:space="preserve"> s předkupním právem.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B25B92F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27 211 903 950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284336" w:rsidRPr="00295400" w14:paraId="2749B086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946775E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A.III.6.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F5E39FA" w14:textId="188C3C8D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Ostatní dlouhodobý finanční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majetek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 069 účtováno o</w:t>
            </w:r>
            <w:r w:rsidR="003C4CE5">
              <w:rPr>
                <w:rFonts w:cstheme="minorHAnsi"/>
                <w:sz w:val="20"/>
                <w:szCs w:val="20"/>
              </w:rPr>
              <w:t> </w:t>
            </w:r>
            <w:r w:rsidRPr="00295400">
              <w:rPr>
                <w:rFonts w:cstheme="minorHAnsi"/>
                <w:sz w:val="20"/>
                <w:szCs w:val="20"/>
              </w:rPr>
              <w:t xml:space="preserve">zůstatku disponibilních prostředků </w:t>
            </w:r>
            <w:r w:rsidRPr="003C4CE5">
              <w:rPr>
                <w:rFonts w:cstheme="minorHAnsi"/>
                <w:sz w:val="20"/>
                <w:szCs w:val="20"/>
              </w:rPr>
              <w:t>Modernizačního fondu</w:t>
            </w:r>
            <w:r w:rsidRPr="00295400">
              <w:rPr>
                <w:rFonts w:cstheme="minorHAnsi"/>
                <w:sz w:val="20"/>
                <w:szCs w:val="20"/>
              </w:rPr>
              <w:t xml:space="preserve"> v EIB pro ČR. Tyto prostředky jsou následně příjmem SFŽP. MŽP o nich účtuje na základě podkladů od EIB.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CE2E3CA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24 517 804 797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284336" w:rsidRPr="00295400" w14:paraId="2798CD28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105CD22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C.I.1.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69B83FD" w14:textId="11C61CDF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Jmění účetní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jednotky - MŽP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zde účtuje mimo jiné nabytí EP (emisních povolenek) a jejich umístění do rezervy tržní stability, </w:t>
            </w:r>
            <w:proofErr w:type="spellStart"/>
            <w:r w:rsidRPr="00295400">
              <w:rPr>
                <w:rFonts w:cstheme="minorHAnsi"/>
                <w:sz w:val="20"/>
                <w:szCs w:val="20"/>
              </w:rPr>
              <w:lastRenderedPageBreak/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</w:rPr>
              <w:t xml:space="preserve"> (ročních emisních přídělů) a o </w:t>
            </w:r>
            <w:r w:rsidRPr="003C4CE5">
              <w:rPr>
                <w:rFonts w:cstheme="minorHAnsi"/>
                <w:sz w:val="20"/>
                <w:szCs w:val="20"/>
              </w:rPr>
              <w:t>Modernizačním fondu</w:t>
            </w:r>
            <w:r w:rsidRPr="00295400">
              <w:rPr>
                <w:rFonts w:cstheme="minorHAnsi"/>
                <w:sz w:val="20"/>
                <w:szCs w:val="20"/>
              </w:rPr>
              <w:t>, čímž dochází k neustálému nárůstu jmění účetní jednotky. Celá částka je 240 546 083 889,39 Kč.</w:t>
            </w:r>
            <w:r w:rsidRPr="00295400">
              <w:rPr>
                <w:rFonts w:cstheme="minorHAnsi"/>
                <w:sz w:val="20"/>
                <w:szCs w:val="20"/>
              </w:rPr>
              <w:br/>
              <w:t>Cca 80</w:t>
            </w:r>
            <w:r w:rsidR="00F94205">
              <w:rPr>
                <w:rFonts w:cstheme="minorHAnsi"/>
                <w:sz w:val="20"/>
                <w:szCs w:val="20"/>
              </w:rPr>
              <w:t xml:space="preserve"> </w:t>
            </w:r>
            <w:r w:rsidRPr="00295400">
              <w:rPr>
                <w:rFonts w:cstheme="minorHAnsi"/>
                <w:sz w:val="20"/>
                <w:szCs w:val="20"/>
              </w:rPr>
              <w:t xml:space="preserve">% zůstatku tvoří účtování o dlouhodobém nehmotném majetku (EP, </w:t>
            </w:r>
            <w:proofErr w:type="spellStart"/>
            <w:r w:rsidRPr="00295400">
              <w:rPr>
                <w:rFonts w:cstheme="minorHAnsi"/>
                <w:sz w:val="20"/>
                <w:szCs w:val="20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</w:rPr>
              <w:t>...), dalších cca 10</w:t>
            </w:r>
            <w:r w:rsidR="00F94205">
              <w:rPr>
                <w:rFonts w:cstheme="minorHAnsi"/>
                <w:sz w:val="20"/>
                <w:szCs w:val="20"/>
              </w:rPr>
              <w:t xml:space="preserve"> </w:t>
            </w:r>
            <w:r w:rsidRPr="00295400">
              <w:rPr>
                <w:rFonts w:cstheme="minorHAnsi"/>
                <w:sz w:val="20"/>
                <w:szCs w:val="20"/>
              </w:rPr>
              <w:t xml:space="preserve">% je zůstatek </w:t>
            </w:r>
            <w:r w:rsidRPr="003C4CE5">
              <w:rPr>
                <w:rFonts w:cstheme="minorHAnsi"/>
                <w:sz w:val="20"/>
                <w:szCs w:val="20"/>
              </w:rPr>
              <w:t>Modernizačního fondu</w:t>
            </w:r>
            <w:r w:rsidRPr="00295400">
              <w:rPr>
                <w:rFonts w:cstheme="minorHAnsi"/>
                <w:sz w:val="20"/>
                <w:szCs w:val="20"/>
              </w:rPr>
              <w:t>. Jmění je naopak snižováno primárně transfery na pořízení majetku pro zřízené státní příspěvkové organizace.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7237DAA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lastRenderedPageBreak/>
              <w:t>240 546 083 889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39</w:t>
            </w:r>
          </w:p>
        </w:tc>
      </w:tr>
      <w:tr w:rsidR="00284336" w:rsidRPr="00295400" w14:paraId="5861C328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034EAD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C.I.6.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5EDFFD8" w14:textId="784E46BD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Jiné oceňovací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rozdíly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 407 mají největší vliv změny ocenění emisních povolenek a ročních emisních přídělů. Jde o přecenění reálnou hodnotou.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67CAF66" w14:textId="6DFCB58C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-2 070 351 645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284336" w:rsidRPr="00295400" w14:paraId="549DD9F7" w14:textId="77777777" w:rsidTr="006C4B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988ACF9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C.I.7.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B60A552" w14:textId="52F0392B" w:rsidR="00284336" w:rsidRPr="00295400" w:rsidRDefault="00284336" w:rsidP="003C4C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Opravy předcházejících účetních období - MŽP zde v roce 2022 zaúčtovalo opravu r. 2021 - chybně zaúčtovanou vratku EP (emisních povolenek) EUA určených k dražbě v návaznosti na aktualizaci dražebního kalendáře z důvodu aplikace tržní stabilizační rezervy.</w:t>
            </w:r>
            <w:r w:rsidRPr="00295400">
              <w:rPr>
                <w:rFonts w:cstheme="minorHAnsi"/>
                <w:sz w:val="20"/>
                <w:szCs w:val="20"/>
              </w:rPr>
              <w:br/>
            </w:r>
            <w:r w:rsidRPr="00295400">
              <w:rPr>
                <w:rFonts w:cstheme="minorHAnsi"/>
                <w:sz w:val="20"/>
                <w:szCs w:val="20"/>
              </w:rPr>
              <w:br/>
              <w:t>V roce 2022 provedeny následné významné opravy:</w:t>
            </w:r>
            <w:r w:rsidRPr="00295400">
              <w:rPr>
                <w:rFonts w:cstheme="minorHAnsi"/>
                <w:sz w:val="20"/>
                <w:szCs w:val="20"/>
              </w:rPr>
              <w:br/>
              <w:t>MD 3 781 139 150 D 7 810 343 000 = vyřazení povolenek do tržní stabilizační rezervy a opravy jeho přecenění</w:t>
            </w:r>
            <w:r w:rsidRPr="00295400">
              <w:rPr>
                <w:rFonts w:cstheme="minorHAnsi"/>
                <w:sz w:val="20"/>
                <w:szCs w:val="20"/>
              </w:rPr>
              <w:br/>
              <w:t xml:space="preserve">D 4 113 510 044,16 = oprava účtování </w:t>
            </w:r>
            <w:proofErr w:type="spellStart"/>
            <w:r w:rsidRPr="00295400">
              <w:rPr>
                <w:rFonts w:cstheme="minorHAnsi"/>
                <w:sz w:val="20"/>
                <w:szCs w:val="20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</w:rPr>
              <w:t xml:space="preserve"> roku 2021.</w:t>
            </w:r>
            <w:r w:rsidRPr="00295400">
              <w:rPr>
                <w:rFonts w:cstheme="minorHAnsi"/>
                <w:sz w:val="20"/>
                <w:szCs w:val="20"/>
              </w:rPr>
              <w:br/>
              <w:t xml:space="preserve">D 2 100 599 042,08 = oprava účtování </w:t>
            </w:r>
            <w:proofErr w:type="spellStart"/>
            <w:r w:rsidRPr="00295400">
              <w:rPr>
                <w:rFonts w:cstheme="minorHAnsi"/>
                <w:sz w:val="20"/>
                <w:szCs w:val="20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</w:rPr>
              <w:t xml:space="preserve"> roku 2019.</w:t>
            </w:r>
            <w:r w:rsidRPr="00295400">
              <w:rPr>
                <w:rFonts w:cstheme="minorHAnsi"/>
                <w:sz w:val="20"/>
                <w:szCs w:val="20"/>
              </w:rPr>
              <w:br/>
              <w:t>D 716 687 335,95 = oprava přecenění EP.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5B324F6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12 262 933 005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32</w:t>
            </w:r>
          </w:p>
        </w:tc>
      </w:tr>
      <w:tr w:rsidR="00284336" w:rsidRPr="00295400" w14:paraId="44CF43A9" w14:textId="77777777" w:rsidTr="003C4C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6BFC873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C.IV.1.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679B6F3" w14:textId="561A6AD5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Příjmový účet organizačních složek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státu - SÚČ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222 slouží k účtování pohybů na příjmovém účtu MŽP. Největší příjmy byly z prodeje EP (16,4 mld. Kč) a z EU (7,7 mld. Kč).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66C5395" w14:textId="4E814F89" w:rsidR="00284336" w:rsidRPr="00295400" w:rsidRDefault="00284336" w:rsidP="003C4CE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-24 338 712 412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284336" w:rsidRPr="00295400" w14:paraId="18A61EEE" w14:textId="77777777" w:rsidTr="003C4C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637DA3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C.IV.4.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9D7CEDA" w14:textId="7639B9B4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Agregované příjmy a výdaje předcházejících účetních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období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SÚČ 404 jsou agregace celkových příjmů a výdajů do roku 2021.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727459B" w14:textId="1F962634" w:rsidR="00284336" w:rsidRPr="00295400" w:rsidRDefault="00284336" w:rsidP="003C4CE5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-35 095 970 682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284336" w:rsidRPr="00295400" w14:paraId="3A851918" w14:textId="77777777" w:rsidTr="003C4C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7FD5F36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D.III.38.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E3A70CA" w14:textId="02D32972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 xml:space="preserve">Ostatní krátkodobé </w:t>
            </w:r>
            <w:proofErr w:type="gramStart"/>
            <w:r w:rsidRPr="00295400">
              <w:rPr>
                <w:rFonts w:cstheme="minorHAnsi"/>
                <w:sz w:val="20"/>
                <w:szCs w:val="20"/>
              </w:rPr>
              <w:t>závazky - na</w:t>
            </w:r>
            <w:proofErr w:type="gramEnd"/>
            <w:r w:rsidRPr="00295400">
              <w:rPr>
                <w:rFonts w:cstheme="minorHAnsi"/>
                <w:sz w:val="20"/>
                <w:szCs w:val="20"/>
              </w:rPr>
              <w:t xml:space="preserve"> SÚ 378 se nejvíce projevil účetní zápis 401/378 týkající se ročních emisních přídělů na účtu v Registru k 31.12.2022 (cca 58,65 mil. ks přídělů).</w:t>
            </w:r>
          </w:p>
        </w:tc>
        <w:tc>
          <w:tcPr>
            <w:tcW w:w="2260" w:type="dxa"/>
            <w:vAlign w:val="center"/>
            <w:hideMark/>
          </w:tcPr>
          <w:p w14:paraId="7305A483" w14:textId="26877462" w:rsidR="00284336" w:rsidRPr="00295400" w:rsidRDefault="00284336" w:rsidP="003C4CE5">
            <w:pPr>
              <w:spacing w:after="0"/>
              <w:ind w:right="142"/>
              <w:jc w:val="right"/>
              <w:rPr>
                <w:rFonts w:cstheme="minorHAnsi"/>
                <w:sz w:val="20"/>
                <w:szCs w:val="20"/>
              </w:rPr>
            </w:pPr>
            <w:r w:rsidRPr="00295400">
              <w:rPr>
                <w:rFonts w:cstheme="minorHAnsi"/>
                <w:sz w:val="20"/>
                <w:szCs w:val="20"/>
              </w:rPr>
              <w:t>1 961 267 035</w:t>
            </w:r>
            <w:r w:rsidR="00F94205">
              <w:rPr>
                <w:rFonts w:cstheme="minorHAnsi"/>
                <w:sz w:val="20"/>
                <w:szCs w:val="20"/>
              </w:rPr>
              <w:t>,</w:t>
            </w:r>
            <w:r w:rsidRPr="00295400"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14:paraId="1F208FF4" w14:textId="77777777" w:rsidR="00284336" w:rsidRDefault="00284336" w:rsidP="008001A2">
      <w:pPr>
        <w:rPr>
          <w:rFonts w:asciiTheme="minorHAnsi" w:eastAsia="Calibri" w:hAnsiTheme="minorHAnsi" w:cstheme="minorHAnsi"/>
        </w:rPr>
      </w:pPr>
    </w:p>
    <w:p w14:paraId="3F3F3C23" w14:textId="77777777" w:rsidR="00284336" w:rsidRDefault="00284336" w:rsidP="008001A2">
      <w:pPr>
        <w:rPr>
          <w:rFonts w:cstheme="minorHAnsi"/>
          <w:b/>
          <w:bCs/>
          <w:color w:val="000000"/>
          <w:szCs w:val="27"/>
          <w:lang w:eastAsia="cs-CZ"/>
        </w:rPr>
      </w:pPr>
      <w:r w:rsidRPr="00A77EAD">
        <w:rPr>
          <w:rFonts w:cstheme="minorHAnsi"/>
          <w:b/>
          <w:bCs/>
          <w:color w:val="000000"/>
          <w:szCs w:val="27"/>
          <w:lang w:eastAsia="cs-CZ"/>
        </w:rPr>
        <w:t>E.2. Doplňující informace k položkám výkazu zisku a ztráty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5826"/>
        <w:gridCol w:w="2261"/>
      </w:tblGrid>
      <w:tr w:rsidR="00B25304" w:rsidRPr="00295400" w14:paraId="30F5BDEA" w14:textId="77777777" w:rsidTr="003C4CE5">
        <w:trPr>
          <w:trHeight w:val="39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7F2E2E7" w14:textId="77777777" w:rsidR="00284336" w:rsidRPr="00295400" w:rsidRDefault="00284336" w:rsidP="003C4CE5">
            <w:pPr>
              <w:spacing w:after="0"/>
              <w:ind w:right="-12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K položce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BF7B01B" w14:textId="77777777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Doplňující informace k položkám výkazu zisku a ztráty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82BBCC6" w14:textId="77777777" w:rsidR="00284336" w:rsidRPr="00295400" w:rsidRDefault="00284336" w:rsidP="006C4B17">
            <w:pPr>
              <w:spacing w:after="0"/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>Částka</w:t>
            </w:r>
            <w:r>
              <w:rPr>
                <w:rFonts w:cstheme="minorHAnsi"/>
                <w:b/>
                <w:bCs/>
                <w:color w:val="FFFFFF"/>
                <w:sz w:val="20"/>
                <w:szCs w:val="20"/>
                <w:lang w:eastAsia="cs-CZ"/>
              </w:rPr>
              <w:t xml:space="preserve"> v Kč</w:t>
            </w:r>
          </w:p>
        </w:tc>
      </w:tr>
      <w:tr w:rsidR="00284336" w:rsidRPr="00295400" w14:paraId="370BE2D2" w14:textId="77777777" w:rsidTr="003C4CE5">
        <w:tc>
          <w:tcPr>
            <w:tcW w:w="5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838682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A.I.24.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6CC1485" w14:textId="5630A835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Dary a jiná bezúplatná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předání - naprostou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většinu objemu na SU 543 tvoří bezplatná alokace emisních povolenek, minoritní částí jsou protokolární dary v rámci zahraničních aktivit ministerstva.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E3C36B8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30 732 165 824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284336" w:rsidRPr="00295400" w14:paraId="3895E044" w14:textId="77777777" w:rsidTr="006C4B17"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09720C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A.I.29.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B691572" w14:textId="19DAE212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Prodaný dlouhodobý nehmotný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majetek - na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SÚ 552 se objevují dražené emisní povolenky v podobě jejich prodaného množství a</w:t>
            </w:r>
            <w:r w:rsidR="00AF65F6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účetní ceny a v roce 2022 prodané </w:t>
            </w:r>
            <w:proofErr w:type="spell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AEAs</w:t>
            </w:r>
            <w:proofErr w:type="spellEnd"/>
            <w:r w:rsidRPr="00295400">
              <w:rPr>
                <w:rFonts w:cstheme="minorHAnsi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9687D25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16 097 817 572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64</w:t>
            </w:r>
          </w:p>
        </w:tc>
      </w:tr>
      <w:tr w:rsidR="00284336" w:rsidRPr="00295400" w14:paraId="7FB6E83D" w14:textId="77777777" w:rsidTr="006C4B17"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8C952DD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A.I.33.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E7CD10A" w14:textId="6AF4259F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Tvorba a zúčtování opravných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položek - na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SÚ 556 je primárně opravná položka k ročním emisním přídělům.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56C1D8F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726 888 954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12</w:t>
            </w:r>
          </w:p>
        </w:tc>
      </w:tr>
      <w:tr w:rsidR="00284336" w:rsidRPr="00295400" w14:paraId="69C3C5FF" w14:textId="77777777" w:rsidTr="006C4B17"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6F85E94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B.I.13.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1511555" w14:textId="5499E90C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Výnosy z prodeje dlouhodobého nehmotného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majetku - na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SÚ 645 se objevují vydražené emisní povolenky v podobě jejich prodaného množství a realizované ceny, výše výnosů ovlivněna také kurzem CZK/EUR.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EAC0EE2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16 544 039 563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98</w:t>
            </w:r>
          </w:p>
        </w:tc>
      </w:tr>
      <w:tr w:rsidR="00284336" w:rsidRPr="00295400" w14:paraId="51123A56" w14:textId="77777777" w:rsidTr="006C4B17"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68FB5EF" w14:textId="77777777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B.II.4.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24353B0" w14:textId="2F8E613B" w:rsidR="00284336" w:rsidRPr="00295400" w:rsidRDefault="00284336" w:rsidP="006C4B17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Výnosy z přecenění reálnou </w:t>
            </w:r>
            <w:proofErr w:type="gramStart"/>
            <w:r w:rsidRPr="00295400">
              <w:rPr>
                <w:rFonts w:cstheme="minorHAnsi"/>
                <w:sz w:val="20"/>
                <w:szCs w:val="20"/>
                <w:lang w:eastAsia="cs-CZ"/>
              </w:rPr>
              <w:t>hodnotou - na</w:t>
            </w:r>
            <w:proofErr w:type="gramEnd"/>
            <w:r w:rsidRPr="00295400">
              <w:rPr>
                <w:rFonts w:cstheme="minorHAnsi"/>
                <w:sz w:val="20"/>
                <w:szCs w:val="20"/>
                <w:lang w:eastAsia="cs-CZ"/>
              </w:rPr>
              <w:t xml:space="preserve"> SÚ 664 se objevuje přecenění emisních povolenek určených k prodeji.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BEE53D1" w14:textId="77777777" w:rsidR="00284336" w:rsidRPr="00295400" w:rsidRDefault="00284336" w:rsidP="006C4B17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295400">
              <w:rPr>
                <w:rFonts w:cstheme="minorHAnsi"/>
                <w:sz w:val="20"/>
                <w:szCs w:val="20"/>
                <w:lang w:eastAsia="cs-CZ"/>
              </w:rPr>
              <w:t>4 009 117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 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200</w:t>
            </w:r>
            <w:r w:rsidR="00F94205">
              <w:rPr>
                <w:rFonts w:cstheme="minorHAnsi"/>
                <w:sz w:val="20"/>
                <w:szCs w:val="20"/>
                <w:lang w:eastAsia="cs-CZ"/>
              </w:rPr>
              <w:t>,</w:t>
            </w:r>
            <w:r w:rsidRPr="00295400">
              <w:rPr>
                <w:rFonts w:cstheme="minorHAnsi"/>
                <w:sz w:val="20"/>
                <w:szCs w:val="20"/>
                <w:lang w:eastAsia="cs-CZ"/>
              </w:rPr>
              <w:t>00</w:t>
            </w:r>
          </w:p>
        </w:tc>
      </w:tr>
    </w:tbl>
    <w:p w14:paraId="4354E509" w14:textId="77777777" w:rsidR="00EB3525" w:rsidRDefault="00EB3525" w:rsidP="00EB3525">
      <w:pPr>
        <w:pStyle w:val="Titulek"/>
        <w:spacing w:after="0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Příloha č. 2</w:t>
      </w:r>
    </w:p>
    <w:p w14:paraId="2AE36469" w14:textId="16514AFB" w:rsidR="00A446DE" w:rsidRPr="00E23815" w:rsidRDefault="00A446DE" w:rsidP="003C4CE5">
      <w:pPr>
        <w:pStyle w:val="Titulek"/>
        <w:tabs>
          <w:tab w:val="right" w:pos="9070"/>
        </w:tabs>
        <w:spacing w:before="360"/>
        <w:jc w:val="both"/>
        <w:rPr>
          <w:rFonts w:asciiTheme="minorHAnsi" w:eastAsia="Calibri" w:hAnsiTheme="minorHAnsi" w:cstheme="minorHAnsi"/>
        </w:rPr>
      </w:pPr>
      <w:r w:rsidRPr="00E23815">
        <w:rPr>
          <w:rFonts w:asciiTheme="minorHAnsi" w:eastAsia="Calibri" w:hAnsiTheme="minorHAnsi" w:cstheme="minorHAnsi"/>
        </w:rPr>
        <w:t>Rozdíly v zůstatcích položek rozvahy, výkazu zisku a ztráty, přílohy, přehledu o</w:t>
      </w:r>
      <w:r w:rsidR="00AF65F6">
        <w:rPr>
          <w:rFonts w:asciiTheme="minorHAnsi" w:eastAsia="Calibri" w:hAnsiTheme="minorHAnsi" w:cstheme="minorHAnsi"/>
        </w:rPr>
        <w:t xml:space="preserve"> </w:t>
      </w:r>
      <w:r w:rsidRPr="00E23815">
        <w:rPr>
          <w:rFonts w:asciiTheme="minorHAnsi" w:eastAsia="Calibri" w:hAnsiTheme="minorHAnsi" w:cstheme="minorHAnsi"/>
        </w:rPr>
        <w:t>peněžních tocích a přehledu o změnách vlastního kapitálu v</w:t>
      </w:r>
      <w:r w:rsidR="00AF65F6">
        <w:rPr>
          <w:rFonts w:asciiTheme="minorHAnsi" w:eastAsia="Calibri" w:hAnsiTheme="minorHAnsi" w:cstheme="minorHAnsi"/>
        </w:rPr>
        <w:t xml:space="preserve"> </w:t>
      </w:r>
      <w:r w:rsidRPr="00E23815">
        <w:rPr>
          <w:rFonts w:asciiTheme="minorHAnsi" w:eastAsia="Calibri" w:hAnsiTheme="minorHAnsi" w:cstheme="minorHAnsi"/>
        </w:rPr>
        <w:t xml:space="preserve">konsolidačních účetních záznamech a sestavené účetní závěrce k 31. </w:t>
      </w:r>
      <w:r w:rsidR="00F97135">
        <w:rPr>
          <w:rFonts w:asciiTheme="minorHAnsi" w:eastAsia="Calibri" w:hAnsiTheme="minorHAnsi" w:cstheme="minorHAnsi"/>
        </w:rPr>
        <w:t>prosinci</w:t>
      </w:r>
      <w:r w:rsidRPr="00E23815">
        <w:rPr>
          <w:rFonts w:asciiTheme="minorHAnsi" w:eastAsia="Calibri" w:hAnsiTheme="minorHAnsi" w:cstheme="minorHAnsi"/>
        </w:rPr>
        <w:t xml:space="preserve"> 2022 </w:t>
      </w:r>
      <w:r w:rsidR="00B464CC">
        <w:rPr>
          <w:rFonts w:asciiTheme="minorHAnsi" w:eastAsia="Calibri" w:hAnsiTheme="minorHAnsi" w:cstheme="minorHAnsi"/>
        </w:rPr>
        <w:tab/>
      </w:r>
      <w:r w:rsidRPr="00E23815">
        <w:rPr>
          <w:rFonts w:asciiTheme="minorHAnsi" w:eastAsia="Calibri" w:hAnsiTheme="minorHAnsi" w:cstheme="minorHAnsi"/>
        </w:rPr>
        <w:t>(v Kč)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75"/>
        <w:gridCol w:w="1843"/>
        <w:gridCol w:w="1842"/>
      </w:tblGrid>
      <w:tr w:rsidR="00A446DE" w:rsidRPr="00E23815" w14:paraId="475E72A2" w14:textId="77777777" w:rsidTr="003C4CE5">
        <w:trPr>
          <w:trHeight w:val="26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3195109" w14:textId="11BAF2E7" w:rsidR="00A446DE" w:rsidRPr="00E23815" w:rsidRDefault="00B464CC" w:rsidP="000F78D8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a název položky v účetním výkazu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68AE7" w14:textId="66C7F47A" w:rsidR="00A446DE" w:rsidRPr="00E23815" w:rsidRDefault="00A446DE" w:rsidP="000F78D8">
            <w:pPr>
              <w:spacing w:after="0"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Konsolidační účetní záznamy k 31.</w:t>
            </w:r>
            <w:r w:rsidR="00B464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7334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prosinci</w:t>
            </w: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2022 </w:t>
            </w:r>
            <w:r w:rsidR="00B464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uvedené </w:t>
            </w: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 portálu MONITOR do</w:t>
            </w:r>
            <w:r w:rsidR="00B464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20.</w:t>
            </w:r>
            <w:r w:rsidR="00B464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7334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července</w:t>
            </w: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BA871" w14:textId="1FFAEC3A" w:rsidR="00A446DE" w:rsidRPr="00E23815" w:rsidRDefault="00A446DE" w:rsidP="000F78D8">
            <w:pPr>
              <w:spacing w:after="0" w:line="252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závěrka sestavená k 31.</w:t>
            </w:r>
            <w:r w:rsidR="00B464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7334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prosinci</w:t>
            </w: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F89DFE0" w14:textId="77777777" w:rsidR="00A446DE" w:rsidRPr="00E23815" w:rsidRDefault="00A446DE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A446DE" w:rsidRPr="00E23815" w14:paraId="4E9B189B" w14:textId="77777777" w:rsidTr="003C4CE5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09E07" w14:textId="77777777" w:rsidR="00A446DE" w:rsidRPr="00E23815" w:rsidRDefault="00A446DE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Rozvaha</w:t>
            </w:r>
          </w:p>
        </w:tc>
      </w:tr>
      <w:tr w:rsidR="00A446DE" w:rsidRPr="00E23815" w14:paraId="0FD1EB41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BD6A4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A.III.6. Ostatní dlouhodobý finanční majetek (069)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60D5E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BCD67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24 517 804 797,12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3C4CE" w14:textId="784539DE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24 517 804 797,12 </w:t>
            </w:r>
          </w:p>
        </w:tc>
      </w:tr>
      <w:tr w:rsidR="00A446DE" w:rsidRPr="00E23815" w14:paraId="1AF44244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ADCFB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A.IV.6. Dlouhodobé poskytnuté zálohy na transfery (471)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C3DCA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11 417 100 598,83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B0F22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11 293 442 822,74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03DEC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123 657 776,09 </w:t>
            </w:r>
          </w:p>
        </w:tc>
      </w:tr>
      <w:tr w:rsidR="00A446DE" w:rsidRPr="00E23815" w14:paraId="59DA997A" w14:textId="77777777" w:rsidTr="003C4CE5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EFD63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B.II.33. Ostatní krátkodobé pohledávky (377)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B968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12 135 555,06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A3C74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14 693 522,98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DFEF4" w14:textId="12CA00D2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2 557 967,92 </w:t>
            </w:r>
          </w:p>
        </w:tc>
      </w:tr>
      <w:tr w:rsidR="00A446DE" w:rsidRPr="00E23815" w14:paraId="02636E9A" w14:textId="77777777" w:rsidTr="003C4CE5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EB80F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cs-CZ"/>
              </w:rPr>
            </w:pPr>
            <w:r w:rsidRPr="00E2381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cs-CZ"/>
              </w:rPr>
              <w:t>Korekce k B.II.33. Ostatní krátkodobé pohledávky (199)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7F004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E2381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11 430 388,80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F97C1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E2381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11 941 982,38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D99D5" w14:textId="6A8E45D6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3C4CE5">
              <w:rPr>
                <w:rFonts w:cs="Calibri"/>
                <w:sz w:val="18"/>
                <w:szCs w:val="18"/>
              </w:rPr>
              <w:t>−</w:t>
            </w:r>
            <w:r w:rsidR="00A446DE" w:rsidRPr="00E23815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511 593,58</w:t>
            </w:r>
          </w:p>
        </w:tc>
      </w:tr>
      <w:tr w:rsidR="00A446DE" w:rsidRPr="00E23815" w14:paraId="3EBFADFC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6C4D7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C.I.1. Jmění účetní jednotky (401)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A3D1C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216 535 709 216,93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70CD9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240 546 083 889,39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4CB15" w14:textId="6F1A22DE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24 010 374 672,46 </w:t>
            </w:r>
          </w:p>
        </w:tc>
      </w:tr>
      <w:tr w:rsidR="00A446DE" w:rsidRPr="00E23815" w14:paraId="7A6DEAAE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26FB7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C.I.6. Jiné oceňovací rozdíly (407)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4B125" w14:textId="58B88FB7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1 882 506 609,61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CC756" w14:textId="3B6E3D11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2 070 351 645,56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8017D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187 845 035,95 </w:t>
            </w:r>
          </w:p>
        </w:tc>
      </w:tr>
      <w:tr w:rsidR="00A446DE" w:rsidRPr="00E23815" w14:paraId="4D8024FB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0FFFB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C.I.7. Opravy předcházejících účetních období (408)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93A3F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11 567 657 844,71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C323D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12 262 933 005,32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604693" w14:textId="0F2989FF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695 275 160,61 </w:t>
            </w:r>
          </w:p>
        </w:tc>
      </w:tr>
      <w:tr w:rsidR="00A446DE" w:rsidRPr="00E23815" w14:paraId="702F722B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79823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D.III.37 Dohadné účty pasivní (389)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44038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4 768 336 825,65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08574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5 070 871 715,95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C7634" w14:textId="479FC6CA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302 534 890,30 </w:t>
            </w:r>
          </w:p>
        </w:tc>
      </w:tr>
      <w:tr w:rsidR="00A446DE" w:rsidRPr="00E23815" w14:paraId="7C61D6EF" w14:textId="77777777" w:rsidTr="003C4CE5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BCE2F" w14:textId="77777777" w:rsidR="00A446DE" w:rsidRPr="00E23815" w:rsidRDefault="00A446DE" w:rsidP="000F78D8">
            <w:pPr>
              <w:spacing w:after="0" w:line="25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Výkaz zisku a ztráty</w:t>
            </w:r>
          </w:p>
        </w:tc>
      </w:tr>
      <w:tr w:rsidR="00A446DE" w:rsidRPr="00E23815" w14:paraId="038B96BA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F8450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A.I.33. Tvorba a zúčtování opravných položek (556)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3C3B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726 377 360,54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77DE01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726 888 954,12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CB1BD" w14:textId="579A1457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511 593,58 </w:t>
            </w:r>
          </w:p>
        </w:tc>
      </w:tr>
      <w:tr w:rsidR="00A446DE" w:rsidRPr="00E23815" w14:paraId="7A203588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202D0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A.III.3. Náklady vybraných ústředních vládních institucí na předfinancování transferů (575)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2A39B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12 792 802 083,05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B3411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13 218 994 749,44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96A4F" w14:textId="4D0B2918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426 192 666,39 </w:t>
            </w:r>
          </w:p>
        </w:tc>
      </w:tr>
      <w:tr w:rsidR="00A446DE" w:rsidRPr="00E23815" w14:paraId="4CA72B6D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2A4A2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B.I.9. Smluvní pokuty a úroky z prodlení (641)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2A901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75 281,36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A5027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2 633 249,28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191E7" w14:textId="40344F3E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2 557 967,92 </w:t>
            </w:r>
          </w:p>
        </w:tc>
      </w:tr>
      <w:tr w:rsidR="00A446DE" w:rsidRPr="00E23815" w14:paraId="7C839739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9CCA3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B.I.16. Čerpání fondů (648)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C7376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12 805 873,90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6656F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13 019 270,15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E3EFE" w14:textId="31D0C8FA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213 396,25 </w:t>
            </w:r>
          </w:p>
        </w:tc>
      </w:tr>
      <w:tr w:rsidR="00A446DE" w:rsidRPr="00E23815" w14:paraId="6487A096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D56C6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B.I.17. Ostatní výnosy (649)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6C784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37 596 936,44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0E7C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37 383 540,19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8621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213 396,25 </w:t>
            </w:r>
          </w:p>
        </w:tc>
      </w:tr>
      <w:tr w:rsidR="00A446DE" w:rsidRPr="00E23815" w14:paraId="2542EFB5" w14:textId="77777777" w:rsidTr="003C4CE5">
        <w:trPr>
          <w:trHeight w:val="26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875FB" w14:textId="77777777" w:rsidR="00A446DE" w:rsidRPr="00E23815" w:rsidRDefault="00A446DE" w:rsidP="000F78D8">
            <w:pPr>
              <w:spacing w:after="0" w:line="25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Příloha</w:t>
            </w:r>
          </w:p>
        </w:tc>
      </w:tr>
      <w:tr w:rsidR="00A446DE" w:rsidRPr="00E23815" w14:paraId="403CF7F2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2BE36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P.IV.12. Dlouhodobé podmíněné pohledávky ze soudních sporů, správních řízení a jiných řízení (948)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7CDB8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18 899 853,18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BFD36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3 387 470,00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DD3A4" w14:textId="77777777" w:rsidR="00A446DE" w:rsidRPr="00E23815" w:rsidRDefault="00A446DE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15 512 383,18 </w:t>
            </w:r>
          </w:p>
        </w:tc>
      </w:tr>
      <w:tr w:rsidR="00A446DE" w:rsidRPr="00E23815" w14:paraId="002C6570" w14:textId="77777777" w:rsidTr="003C4CE5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0CFAF" w14:textId="77777777" w:rsidR="00A446DE" w:rsidRPr="00E23815" w:rsidRDefault="00A446DE" w:rsidP="000F78D8">
            <w:pPr>
              <w:spacing w:after="0" w:line="252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Přehled o peněžních tocích</w:t>
            </w:r>
          </w:p>
        </w:tc>
      </w:tr>
      <w:tr w:rsidR="00A446DE" w:rsidRPr="00E23815" w14:paraId="20EB72C8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C2CB7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A.I.2. Změna stavu opravných položek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C36B6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726 377 360,54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B97E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726 888 954,12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9EF360" w14:textId="31BAF54A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511 593,58 </w:t>
            </w:r>
          </w:p>
        </w:tc>
      </w:tr>
      <w:tr w:rsidR="00A446DE" w:rsidRPr="00E23815" w14:paraId="5F3A3891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F3262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A.I.6. Ostatní úpravy o nepeněžní operace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C9745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28 851 133 371,58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3F85A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30 812 400 406,78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B56B5" w14:textId="6C60E2E2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1 961 267 035,20 </w:t>
            </w:r>
          </w:p>
        </w:tc>
      </w:tr>
      <w:tr w:rsidR="00A446DE" w:rsidRPr="00E23815" w14:paraId="55967282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8F235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A.II.1. Změna stavu krátkodobých pohledávek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0CBCC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140 963 848,91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72434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138 405 880,99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4C997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2 557 967,92 </w:t>
            </w:r>
          </w:p>
        </w:tc>
      </w:tr>
      <w:tr w:rsidR="00A446DE" w:rsidRPr="00E23815" w14:paraId="5624E542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3B81A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A.II.2.</w:t>
            </w:r>
            <w:r w:rsidRPr="00E23815">
              <w:rPr>
                <w:rFonts w:asciiTheme="minorHAnsi" w:hAnsiTheme="minorHAnsi" w:cstheme="minorHAnsi"/>
              </w:rPr>
              <w:t xml:space="preserve"> 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Změna stavu krátkodobých závazků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A6CE1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2 689 342 857,76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FA663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1 030 610 712,86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F1C12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1 658 732 144,90 </w:t>
            </w:r>
          </w:p>
        </w:tc>
      </w:tr>
      <w:tr w:rsidR="00A446DE" w:rsidRPr="00E23815" w14:paraId="7C381E80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C0598" w14:textId="2A45D9CD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C.III. Změna stavu dlouhodobých pohledávek (+/</w:t>
            </w:r>
            <w:r w:rsidR="00B464CC" w:rsidRPr="00D60FCD">
              <w:rPr>
                <w:rFonts w:cs="Calibri"/>
                <w:sz w:val="20"/>
                <w:szCs w:val="20"/>
              </w:rPr>
              <w:t>−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F7249" w14:textId="54C154BB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6 040 842 227,78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01ABC" w14:textId="17DC59CF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5 917 184 451,69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E6B53" w14:textId="7B6E25CC" w:rsidR="00A446DE" w:rsidRPr="00E23815" w:rsidRDefault="00B464CC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123 657 776,09 </w:t>
            </w:r>
          </w:p>
        </w:tc>
      </w:tr>
      <w:tr w:rsidR="00A446DE" w:rsidRPr="00E23815" w14:paraId="113059C4" w14:textId="77777777" w:rsidTr="003C4CE5">
        <w:trPr>
          <w:trHeight w:val="34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6FC0E" w14:textId="77777777" w:rsidR="00A446DE" w:rsidRPr="00E23815" w:rsidRDefault="00A446DE" w:rsidP="00AF65F6">
            <w:pPr>
              <w:keepNext/>
              <w:spacing w:after="0" w:line="252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Přehled o změnách vlastního kapitálu</w:t>
            </w:r>
          </w:p>
        </w:tc>
      </w:tr>
      <w:tr w:rsidR="00A446DE" w:rsidRPr="00E23815" w14:paraId="106BE0D3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05BEB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A.I.3. Bezúplatné převody (snížení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30430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15 443 848 791,06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479A8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15 957 372 756,44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C022A" w14:textId="4BAD0DE0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513 523 965,38</w:t>
            </w:r>
          </w:p>
        </w:tc>
      </w:tr>
      <w:tr w:rsidR="00A446DE" w:rsidRPr="00E23815" w14:paraId="463DDDFF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CB0C8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A.I.6. Ostatní (zvýšení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6AFFD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6 424 909,40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A53C0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24 530 323 547,24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BDA98" w14:textId="48FA3380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24 523 898 637,84</w:t>
            </w:r>
          </w:p>
        </w:tc>
      </w:tr>
      <w:tr w:rsidR="00A446DE" w:rsidRPr="00E23815" w14:paraId="591B863B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A653D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A.VI.2. Oceňovací rozdíly u majetku určeného k prodeji (snížení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ABAB0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16 344 880 510,65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8D080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16 532 725 546,60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7AD1" w14:textId="41968945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187 845 035,95</w:t>
            </w:r>
          </w:p>
        </w:tc>
      </w:tr>
      <w:tr w:rsidR="00A446DE" w:rsidRPr="00E23815" w14:paraId="4089BBC2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96B44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A.VII.2. Opravy předchozích účetních období (zvýšení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BD68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2 115 917 376,70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33757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2 817 286 378,03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EE87C" w14:textId="471CF8C1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701 369 001,33</w:t>
            </w:r>
          </w:p>
        </w:tc>
      </w:tr>
      <w:tr w:rsidR="00A446DE" w:rsidRPr="00E23815" w14:paraId="6EF6C9DB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4CBBA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A.VII.2. Opravy předchozích účetních období (snížení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89F00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8835D" w14:textId="77777777" w:rsidR="00A446DE" w:rsidRPr="00E23815" w:rsidRDefault="00A446DE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6 093 840,72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461BF" w14:textId="3D7FD20A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6 093 840,72</w:t>
            </w:r>
          </w:p>
        </w:tc>
      </w:tr>
      <w:tr w:rsidR="00A446DE" w:rsidRPr="00E23815" w14:paraId="7D96E1D5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ABEF0" w14:textId="77777777" w:rsidR="00A446DE" w:rsidRPr="00E23815" w:rsidRDefault="00A446DE" w:rsidP="00AF65F6">
            <w:pPr>
              <w:keepNext/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D. Příjmový a výdajový účet rozpočtového hospodaření (zvýšení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BB1B7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14 252 067 002,29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D799E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25 705 070 927,14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F8ED3" w14:textId="6BA99FDF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11 453 003 924,85</w:t>
            </w:r>
          </w:p>
        </w:tc>
      </w:tr>
      <w:tr w:rsidR="00A446DE" w:rsidRPr="00E23815" w14:paraId="6101CF6F" w14:textId="77777777" w:rsidTr="003C4CE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29687" w14:textId="77777777" w:rsidR="00A446DE" w:rsidRPr="00E23815" w:rsidRDefault="00A446DE" w:rsidP="000F78D8">
            <w:pPr>
              <w:spacing w:after="0" w:line="252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D. Příjmový a výdajový účet rozpočtového hospodaření (snížení stavu)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56D1F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14 131 572 913,26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7FAF3" w14:textId="77777777" w:rsidR="00A446DE" w:rsidRPr="00E23815" w:rsidRDefault="00A446DE" w:rsidP="000F78D8">
            <w:pPr>
              <w:spacing w:after="0" w:line="252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25 584 576 838,11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3416D" w14:textId="656730D6" w:rsidR="00A446DE" w:rsidRPr="00E23815" w:rsidRDefault="00B464CC" w:rsidP="000F78D8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60FCD">
              <w:rPr>
                <w:rFonts w:cs="Calibri"/>
                <w:sz w:val="20"/>
                <w:szCs w:val="20"/>
              </w:rPr>
              <w:t>−</w:t>
            </w:r>
            <w:r w:rsidR="00A446DE" w:rsidRPr="00E2381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11 453 003 924,85</w:t>
            </w:r>
          </w:p>
        </w:tc>
      </w:tr>
    </w:tbl>
    <w:p w14:paraId="1D7FB130" w14:textId="77777777" w:rsidR="00A446DE" w:rsidRPr="000F78D8" w:rsidRDefault="00A446DE" w:rsidP="00A446DE">
      <w:pPr>
        <w:rPr>
          <w:rFonts w:asciiTheme="minorHAnsi" w:hAnsiTheme="minorHAnsi" w:cstheme="minorHAnsi"/>
          <w:bCs/>
          <w:sz w:val="20"/>
          <w:szCs w:val="20"/>
        </w:rPr>
      </w:pPr>
      <w:r w:rsidRPr="00A3472E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0F78D8">
        <w:rPr>
          <w:rFonts w:asciiTheme="minorHAnsi" w:hAnsiTheme="minorHAnsi" w:cstheme="minorHAnsi"/>
          <w:bCs/>
          <w:sz w:val="20"/>
          <w:szCs w:val="20"/>
        </w:rPr>
        <w:t xml:space="preserve"> konsolidační účetní záznamy k 31. </w:t>
      </w:r>
      <w:r w:rsidR="00F77027">
        <w:rPr>
          <w:rFonts w:asciiTheme="minorHAnsi" w:hAnsiTheme="minorHAnsi" w:cstheme="minorHAnsi"/>
          <w:bCs/>
          <w:sz w:val="20"/>
          <w:szCs w:val="20"/>
        </w:rPr>
        <w:t>prosinci</w:t>
      </w:r>
      <w:r w:rsidRPr="000F78D8">
        <w:rPr>
          <w:rFonts w:asciiTheme="minorHAnsi" w:hAnsiTheme="minorHAnsi" w:cstheme="minorHAnsi"/>
          <w:bCs/>
          <w:sz w:val="20"/>
          <w:szCs w:val="20"/>
        </w:rPr>
        <w:t xml:space="preserve"> 2022</w:t>
      </w:r>
      <w:r w:rsidR="000F78D8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0F78D8">
        <w:rPr>
          <w:rFonts w:asciiTheme="minorHAnsi" w:hAnsiTheme="minorHAnsi" w:cstheme="minorHAnsi"/>
          <w:bCs/>
          <w:sz w:val="20"/>
          <w:szCs w:val="20"/>
        </w:rPr>
        <w:t>ÚZ</w:t>
      </w:r>
      <w:r w:rsidR="000F78D8">
        <w:rPr>
          <w:rFonts w:asciiTheme="minorHAnsi" w:hAnsiTheme="minorHAnsi" w:cstheme="minorHAnsi"/>
          <w:bCs/>
          <w:sz w:val="20"/>
          <w:szCs w:val="20"/>
        </w:rPr>
        <w:t xml:space="preserve"> a výpočet NKÚ</w:t>
      </w:r>
      <w:r w:rsidRPr="000F78D8">
        <w:rPr>
          <w:rFonts w:asciiTheme="minorHAnsi" w:hAnsiTheme="minorHAnsi" w:cstheme="minorHAnsi"/>
          <w:bCs/>
          <w:sz w:val="20"/>
          <w:szCs w:val="20"/>
        </w:rPr>
        <w:t>.</w:t>
      </w:r>
    </w:p>
    <w:p w14:paraId="46BD4C70" w14:textId="77777777" w:rsidR="00A446DE" w:rsidRPr="00E23815" w:rsidRDefault="00A446DE" w:rsidP="00A446DE">
      <w:pPr>
        <w:sectPr w:rsidR="00A446DE" w:rsidRPr="00E23815" w:rsidSect="00EB3525">
          <w:headerReference w:type="default" r:id="rId35"/>
          <w:headerReference w:type="first" r:id="rId36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2A41E5" w14:textId="77777777" w:rsidR="00EB3525" w:rsidRDefault="00EB3525" w:rsidP="00EB3525">
      <w:pPr>
        <w:pStyle w:val="Nadpis1"/>
        <w:keepNext/>
        <w:spacing w:after="120" w:line="240" w:lineRule="auto"/>
        <w:jc w:val="right"/>
        <w:rPr>
          <w:sz w:val="24"/>
        </w:rPr>
      </w:pPr>
      <w:r>
        <w:rPr>
          <w:sz w:val="24"/>
        </w:rPr>
        <w:lastRenderedPageBreak/>
        <w:t>Příloha č. 3</w:t>
      </w:r>
    </w:p>
    <w:p w14:paraId="5B2EECE5" w14:textId="77777777" w:rsidR="00423B1E" w:rsidRPr="00E23815" w:rsidRDefault="009C3EFB" w:rsidP="007D6AD1">
      <w:pPr>
        <w:pStyle w:val="Nadpis1"/>
        <w:keepNext/>
        <w:spacing w:after="120" w:line="240" w:lineRule="auto"/>
        <w:jc w:val="left"/>
      </w:pPr>
      <w:r w:rsidRPr="00E23815">
        <w:rPr>
          <w:sz w:val="24"/>
        </w:rPr>
        <w:t xml:space="preserve">Rozdíl mezi saldem peněžních toků a výsledkem hospodaření </w:t>
      </w:r>
      <w:r w:rsidR="00562BD8" w:rsidRPr="00E23815">
        <w:rPr>
          <w:sz w:val="24"/>
        </w:rPr>
        <w:t>MŽP</w:t>
      </w:r>
    </w:p>
    <w:p w14:paraId="3242ECF3" w14:textId="42A5AAF9" w:rsidR="001535D0" w:rsidRPr="00E23815" w:rsidRDefault="001535D0" w:rsidP="001535D0">
      <w:pPr>
        <w:jc w:val="both"/>
        <w:rPr>
          <w:rFonts w:cstheme="minorHAnsi"/>
        </w:rPr>
      </w:pPr>
      <w:r w:rsidRPr="00E23815">
        <w:rPr>
          <w:rFonts w:cstheme="minorHAnsi"/>
        </w:rPr>
        <w:t>Převažujícími činnostmi MŽP jsou alokace povolenek</w:t>
      </w:r>
      <w:r w:rsidR="00494DB3" w:rsidRPr="00E23815">
        <w:rPr>
          <w:rFonts w:cstheme="minorHAnsi"/>
        </w:rPr>
        <w:t xml:space="preserve"> na emise</w:t>
      </w:r>
      <w:r w:rsidRPr="00E23815">
        <w:rPr>
          <w:rFonts w:cstheme="minorHAnsi"/>
        </w:rPr>
        <w:t xml:space="preserve"> </w:t>
      </w:r>
      <w:r w:rsidR="00B337A7" w:rsidRPr="00E23815">
        <w:rPr>
          <w:rFonts w:cstheme="minorHAnsi"/>
        </w:rPr>
        <w:t xml:space="preserve">skleníkových plynů </w:t>
      </w:r>
      <w:r w:rsidRPr="00E23815">
        <w:rPr>
          <w:rFonts w:cstheme="minorHAnsi"/>
        </w:rPr>
        <w:t xml:space="preserve">provozovatelům </w:t>
      </w:r>
      <w:r w:rsidR="00DB2B2E" w:rsidRPr="00E23815">
        <w:rPr>
          <w:rFonts w:asciiTheme="minorHAnsi" w:hAnsiTheme="minorHAnsi" w:cstheme="minorHAnsi"/>
        </w:rPr>
        <w:t xml:space="preserve">zařízení nebo letadel v rámci systému pro obchodování s povolenkami na emise skleníkových plynů v </w:t>
      </w:r>
      <w:r w:rsidR="002C53E3">
        <w:rPr>
          <w:rFonts w:asciiTheme="minorHAnsi" w:hAnsiTheme="minorHAnsi" w:cstheme="minorHAnsi"/>
        </w:rPr>
        <w:t>E</w:t>
      </w:r>
      <w:r w:rsidR="00DB2B2E" w:rsidRPr="00E23815">
        <w:rPr>
          <w:rFonts w:asciiTheme="minorHAnsi" w:hAnsiTheme="minorHAnsi" w:cstheme="minorHAnsi"/>
        </w:rPr>
        <w:t>U</w:t>
      </w:r>
      <w:r w:rsidR="00DB2B2E" w:rsidRPr="00E23815" w:rsidDel="00243109">
        <w:rPr>
          <w:rFonts w:asciiTheme="minorHAnsi" w:hAnsiTheme="minorHAnsi" w:cstheme="minorHAnsi"/>
        </w:rPr>
        <w:t xml:space="preserve"> </w:t>
      </w:r>
      <w:r w:rsidR="00DB2B2E" w:rsidRPr="00E23815">
        <w:rPr>
          <w:rFonts w:asciiTheme="minorHAnsi" w:hAnsiTheme="minorHAnsi" w:cstheme="minorHAnsi"/>
        </w:rPr>
        <w:t>(dále také „EU ETS“)</w:t>
      </w:r>
      <w:r w:rsidRPr="00E23815">
        <w:rPr>
          <w:rFonts w:cstheme="minorHAnsi"/>
        </w:rPr>
        <w:t>, správa povolenek</w:t>
      </w:r>
      <w:r w:rsidR="00494DB3" w:rsidRPr="00E23815">
        <w:rPr>
          <w:rFonts w:cstheme="minorHAnsi"/>
        </w:rPr>
        <w:t xml:space="preserve"> na emise</w:t>
      </w:r>
      <w:r w:rsidR="00B337A7" w:rsidRPr="00E23815">
        <w:rPr>
          <w:rFonts w:cstheme="minorHAnsi"/>
        </w:rPr>
        <w:t xml:space="preserve"> skleníkových plynů</w:t>
      </w:r>
      <w:r w:rsidRPr="00E23815">
        <w:rPr>
          <w:rFonts w:cstheme="minorHAnsi"/>
        </w:rPr>
        <w:t xml:space="preserve"> a souvisejících nástrojů, se kterými je MŽP příslušné hospodařit dle zákona č.</w:t>
      </w:r>
      <w:r w:rsidR="00DB5838">
        <w:rPr>
          <w:rFonts w:cstheme="minorHAnsi"/>
        </w:rPr>
        <w:t> </w:t>
      </w:r>
      <w:r w:rsidRPr="00E23815">
        <w:rPr>
          <w:rFonts w:cstheme="minorHAnsi"/>
        </w:rPr>
        <w:t>383/2012</w:t>
      </w:r>
      <w:r w:rsidR="00DB5838">
        <w:rPr>
          <w:rFonts w:cstheme="minorHAnsi"/>
        </w:rPr>
        <w:t> </w:t>
      </w:r>
      <w:r w:rsidRPr="00E23815">
        <w:rPr>
          <w:rFonts w:cstheme="minorHAnsi"/>
        </w:rPr>
        <w:t xml:space="preserve">Sb., a </w:t>
      </w:r>
      <w:r w:rsidR="00494DB3" w:rsidRPr="00E23815">
        <w:rPr>
          <w:rFonts w:cstheme="minorHAnsi"/>
        </w:rPr>
        <w:t xml:space="preserve">dále </w:t>
      </w:r>
      <w:r w:rsidRPr="00E23815">
        <w:rPr>
          <w:rFonts w:cstheme="minorHAnsi"/>
        </w:rPr>
        <w:t>poskytování a přijímání transferů za účelem plnění úkolů v oblasti ochrany ovzduší, ochrany vod, ochrany přírody a krajiny, ochrany klimatu, energetiky a</w:t>
      </w:r>
      <w:r w:rsidR="002C53E3">
        <w:rPr>
          <w:rFonts w:cstheme="minorHAnsi"/>
        </w:rPr>
        <w:t> </w:t>
      </w:r>
      <w:r w:rsidRPr="00E23815">
        <w:rPr>
          <w:rFonts w:cstheme="minorHAnsi"/>
        </w:rPr>
        <w:t>odpadového hospodářství.</w:t>
      </w:r>
    </w:p>
    <w:p w14:paraId="4C89055C" w14:textId="77777777" w:rsidR="001535D0" w:rsidRPr="00E23815" w:rsidRDefault="001535D0" w:rsidP="001535D0">
      <w:pPr>
        <w:spacing w:after="0"/>
        <w:jc w:val="both"/>
        <w:rPr>
          <w:rFonts w:cstheme="minorHAnsi"/>
        </w:rPr>
      </w:pPr>
    </w:p>
    <w:p w14:paraId="3F9F8785" w14:textId="77777777" w:rsidR="00E240B6" w:rsidRPr="00E23815" w:rsidRDefault="001535D0" w:rsidP="001535D0">
      <w:pPr>
        <w:jc w:val="both"/>
        <w:rPr>
          <w:rFonts w:asciiTheme="minorHAnsi" w:hAnsiTheme="minorHAnsi"/>
        </w:rPr>
      </w:pPr>
      <w:r w:rsidRPr="00E23815">
        <w:rPr>
          <w:rFonts w:cstheme="minorHAnsi"/>
        </w:rPr>
        <w:t xml:space="preserve">Tyto činnosti měly zásadní vliv na vykázané účetní i rozpočtové informace k 31. </w:t>
      </w:r>
      <w:r w:rsidR="00F77027">
        <w:rPr>
          <w:rFonts w:cstheme="minorHAnsi"/>
        </w:rPr>
        <w:t>prosinci</w:t>
      </w:r>
      <w:r w:rsidRPr="00E23815">
        <w:rPr>
          <w:rFonts w:cstheme="minorHAnsi"/>
        </w:rPr>
        <w:t xml:space="preserve"> 2022, kde se promítly zejména následujícím způsobem:</w:t>
      </w:r>
    </w:p>
    <w:p w14:paraId="661EBEC6" w14:textId="689CE58D" w:rsidR="00E240B6" w:rsidRPr="00AF65F6" w:rsidRDefault="002C53E3" w:rsidP="00AF65F6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E240B6" w:rsidRPr="00AF65F6">
        <w:rPr>
          <w:rFonts w:asciiTheme="minorHAnsi" w:hAnsiTheme="minorHAnsi"/>
          <w:b/>
        </w:rPr>
        <w:t>blast účetních údajů (výkazy</w:t>
      </w:r>
      <w:r w:rsidR="00F42D7C" w:rsidRPr="00AF65F6">
        <w:rPr>
          <w:rFonts w:asciiTheme="minorHAnsi" w:hAnsiTheme="minorHAnsi"/>
          <w:b/>
        </w:rPr>
        <w:t>:</w:t>
      </w:r>
      <w:r w:rsidR="00E240B6" w:rsidRPr="00AF65F6">
        <w:rPr>
          <w:rFonts w:asciiTheme="minorHAnsi" w:hAnsiTheme="minorHAnsi"/>
          <w:b/>
        </w:rPr>
        <w:t xml:space="preserve"> rozvaha, výkaz zisku a ztráty a příloha</w:t>
      </w:r>
      <w:r w:rsidR="001535D0" w:rsidRPr="00AF65F6">
        <w:rPr>
          <w:rFonts w:asciiTheme="minorHAnsi" w:hAnsiTheme="minorHAnsi"/>
          <w:b/>
        </w:rPr>
        <w:t xml:space="preserve"> ÚZ</w:t>
      </w:r>
      <w:r w:rsidR="00E240B6" w:rsidRPr="00AF65F6">
        <w:rPr>
          <w:rFonts w:asciiTheme="minorHAnsi" w:hAnsiTheme="minorHAnsi"/>
          <w:b/>
        </w:rPr>
        <w:t>)</w:t>
      </w:r>
    </w:p>
    <w:p w14:paraId="44899A61" w14:textId="253B01D0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>prostřednictvím dlouhodobého nehmotného majetku</w:t>
      </w:r>
      <w:r w:rsidRPr="00E23815">
        <w:rPr>
          <w:rFonts w:asciiTheme="minorHAnsi" w:hAnsiTheme="minorHAnsi" w:cstheme="minorHAnsi"/>
        </w:rPr>
        <w:t xml:space="preserve"> </w:t>
      </w:r>
      <w:bookmarkStart w:id="10" w:name="_Hlk135919786"/>
      <w:r w:rsidRPr="00E23815">
        <w:rPr>
          <w:rFonts w:asciiTheme="minorHAnsi" w:hAnsiTheme="minorHAnsi" w:cstheme="minorHAnsi"/>
        </w:rPr>
        <w:t>z</w:t>
      </w:r>
      <w:r w:rsidR="00CC2110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titulu hospodař</w:t>
      </w:r>
      <w:r w:rsidR="00E727F0" w:rsidRPr="00E23815">
        <w:rPr>
          <w:rFonts w:asciiTheme="minorHAnsi" w:hAnsiTheme="minorHAnsi" w:cstheme="minorHAnsi"/>
        </w:rPr>
        <w:t>ení</w:t>
      </w:r>
      <w:r w:rsidRPr="00E23815">
        <w:rPr>
          <w:rFonts w:asciiTheme="minorHAnsi" w:hAnsiTheme="minorHAnsi" w:cstheme="minorHAnsi"/>
        </w:rPr>
        <w:t xml:space="preserve"> s</w:t>
      </w:r>
      <w:r w:rsidR="00A3472E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povolenkami</w:t>
      </w:r>
      <w:r w:rsidR="00494DB3" w:rsidRPr="00E23815">
        <w:rPr>
          <w:rFonts w:asciiTheme="minorHAnsi" w:hAnsiTheme="minorHAnsi" w:cstheme="minorHAnsi"/>
        </w:rPr>
        <w:t xml:space="preserve"> na emise</w:t>
      </w:r>
      <w:r w:rsidRPr="00E23815">
        <w:rPr>
          <w:rFonts w:asciiTheme="minorHAnsi" w:hAnsiTheme="minorHAnsi" w:cstheme="minorHAnsi"/>
        </w:rPr>
        <w:t xml:space="preserve"> </w:t>
      </w:r>
      <w:r w:rsidR="00E727F0" w:rsidRPr="00E23815">
        <w:rPr>
          <w:rFonts w:cstheme="minorHAnsi"/>
        </w:rPr>
        <w:t>skleníkových plynů</w:t>
      </w:r>
      <w:r w:rsidR="00E727F0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a</w:t>
      </w:r>
      <w:r w:rsidR="00CC2110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ročními emisními příděly </w:t>
      </w:r>
      <w:bookmarkEnd w:id="10"/>
      <w:r w:rsidRPr="00E23815">
        <w:rPr>
          <w:rFonts w:asciiTheme="minorHAnsi" w:hAnsiTheme="minorHAnsi" w:cstheme="minorHAnsi"/>
        </w:rPr>
        <w:t xml:space="preserve">na účtu </w:t>
      </w:r>
      <w:r w:rsidR="00A3472E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 xml:space="preserve">015 – </w:t>
      </w:r>
      <w:r w:rsidRPr="00E23815">
        <w:rPr>
          <w:rFonts w:asciiTheme="minorHAnsi" w:hAnsiTheme="minorHAnsi" w:cstheme="minorHAnsi"/>
          <w:i/>
        </w:rPr>
        <w:t>Povolenky na emise a</w:t>
      </w:r>
      <w:r w:rsidR="00CC2110">
        <w:rPr>
          <w:rFonts w:asciiTheme="minorHAnsi" w:hAnsiTheme="minorHAnsi" w:cstheme="minorHAnsi"/>
          <w:i/>
        </w:rPr>
        <w:t xml:space="preserve"> </w:t>
      </w:r>
      <w:r w:rsidRPr="00E23815">
        <w:rPr>
          <w:rFonts w:asciiTheme="minorHAnsi" w:hAnsiTheme="minorHAnsi" w:cstheme="minorHAnsi"/>
          <w:i/>
        </w:rPr>
        <w:t xml:space="preserve">preferenční limity </w:t>
      </w:r>
      <w:r w:rsidRPr="00E23815">
        <w:rPr>
          <w:rFonts w:asciiTheme="minorHAnsi" w:hAnsiTheme="minorHAnsi" w:cstheme="minorHAnsi"/>
        </w:rPr>
        <w:t>ve výši 5 277,93 mil. Kč brutto, resp. 4</w:t>
      </w:r>
      <w:r w:rsidR="0012234B" w:rsidRPr="00E23815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551,54</w:t>
      </w:r>
      <w:r w:rsidR="0012234B" w:rsidRPr="00E23815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mil. Kč netto, a</w:t>
      </w:r>
      <w:r w:rsidR="00CC2110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dále na účtu 035 – </w:t>
      </w:r>
      <w:r w:rsidRPr="00E23815">
        <w:rPr>
          <w:rFonts w:asciiTheme="minorHAnsi" w:hAnsiTheme="minorHAnsi" w:cstheme="minorHAnsi"/>
          <w:i/>
        </w:rPr>
        <w:t>Dlouhodobý nehmotný majetek určený k prodeji</w:t>
      </w:r>
      <w:r w:rsidRPr="00E23815">
        <w:rPr>
          <w:rFonts w:asciiTheme="minorHAnsi" w:hAnsiTheme="minorHAnsi" w:cstheme="minorHAnsi"/>
        </w:rPr>
        <w:t xml:space="preserve"> ve výši 27 211,90 mil. Kč</w:t>
      </w:r>
      <w:r w:rsidRPr="00E23815">
        <w:rPr>
          <w:rFonts w:asciiTheme="minorHAnsi" w:hAnsiTheme="minorHAnsi" w:cstheme="minorHAnsi"/>
          <w:vertAlign w:val="superscript"/>
        </w:rPr>
        <w:footnoteReference w:id="47"/>
      </w:r>
      <w:r w:rsidR="002C53E3">
        <w:rPr>
          <w:rFonts w:asciiTheme="minorHAnsi" w:hAnsiTheme="minorHAnsi" w:cstheme="minorHAnsi"/>
        </w:rPr>
        <w:t>;</w:t>
      </w:r>
    </w:p>
    <w:p w14:paraId="6DF45D04" w14:textId="0BF1A637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prostřednictvím dlouhodobého finančního majetku </w:t>
      </w:r>
      <w:r w:rsidRPr="00E23815">
        <w:rPr>
          <w:rFonts w:asciiTheme="minorHAnsi" w:hAnsiTheme="minorHAnsi" w:cstheme="minorHAnsi"/>
        </w:rPr>
        <w:t>z</w:t>
      </w:r>
      <w:r w:rsidR="00291E47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titulu podílu ČR v </w:t>
      </w:r>
      <w:r w:rsidRPr="00AF65F6">
        <w:rPr>
          <w:rFonts w:asciiTheme="minorHAnsi" w:hAnsiTheme="minorHAnsi" w:cstheme="minorHAnsi"/>
          <w:i/>
        </w:rPr>
        <w:t>Modernizačním fondu</w:t>
      </w:r>
      <w:r w:rsidRPr="00E23815">
        <w:rPr>
          <w:rFonts w:asciiTheme="minorHAnsi" w:hAnsiTheme="minorHAnsi" w:cstheme="minorHAnsi"/>
        </w:rPr>
        <w:t xml:space="preserve"> spravovaném </w:t>
      </w:r>
      <w:r w:rsidR="00F83EB1" w:rsidRPr="00E23815">
        <w:rPr>
          <w:rFonts w:asciiTheme="minorHAnsi" w:hAnsiTheme="minorHAnsi" w:cstheme="minorHAnsi"/>
        </w:rPr>
        <w:t>EIB</w:t>
      </w:r>
      <w:r w:rsidR="00E727F0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na účtu 069 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 xml:space="preserve">Ostatní dlouhodobý finanční majetek </w:t>
      </w:r>
      <w:r w:rsidRPr="00E23815">
        <w:rPr>
          <w:rFonts w:asciiTheme="minorHAnsi" w:hAnsiTheme="minorHAnsi" w:cstheme="minorHAnsi"/>
        </w:rPr>
        <w:t>ve výši 24 517,80 mil. Kč</w:t>
      </w:r>
      <w:r w:rsidR="002C53E3">
        <w:rPr>
          <w:rFonts w:asciiTheme="minorHAnsi" w:hAnsiTheme="minorHAnsi" w:cstheme="minorHAnsi"/>
        </w:rPr>
        <w:t>;</w:t>
      </w:r>
    </w:p>
    <w:p w14:paraId="52A1643A" w14:textId="3116AE2D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prostřednictvím dlouhodobých pohledávek </w:t>
      </w:r>
      <w:r w:rsidRPr="00E23815">
        <w:rPr>
          <w:rFonts w:asciiTheme="minorHAnsi" w:hAnsiTheme="minorHAnsi" w:cstheme="minorHAnsi"/>
        </w:rPr>
        <w:t>z titulu poskytování záloh na transfery na účtu 471 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>Dlouhodobé poskytnuté zálohy na transfery</w:t>
      </w:r>
      <w:r w:rsidRPr="00E23815">
        <w:rPr>
          <w:rFonts w:asciiTheme="minorHAnsi" w:hAnsiTheme="minorHAnsi" w:cstheme="minorHAnsi"/>
        </w:rPr>
        <w:t xml:space="preserve"> </w:t>
      </w:r>
      <w:r w:rsidR="00E727F0" w:rsidRPr="00E23815">
        <w:rPr>
          <w:rFonts w:asciiTheme="minorHAnsi" w:hAnsiTheme="minorHAnsi" w:cstheme="minorHAnsi"/>
        </w:rPr>
        <w:t xml:space="preserve">ve výši </w:t>
      </w:r>
      <w:r w:rsidRPr="00E23815">
        <w:rPr>
          <w:rFonts w:asciiTheme="minorHAnsi" w:hAnsiTheme="minorHAnsi" w:cstheme="minorHAnsi"/>
        </w:rPr>
        <w:t>11 293,44 mil. Kč</w:t>
      </w:r>
      <w:r w:rsidR="002C53E3">
        <w:rPr>
          <w:rFonts w:asciiTheme="minorHAnsi" w:hAnsiTheme="minorHAnsi" w:cstheme="minorHAnsi"/>
          <w:b/>
        </w:rPr>
        <w:t>;</w:t>
      </w:r>
    </w:p>
    <w:p w14:paraId="148EF5FD" w14:textId="4E24BC0E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  <w:b/>
        </w:rPr>
        <w:t xml:space="preserve">prostřednictvím krátkodobých závazků </w:t>
      </w:r>
      <w:r w:rsidRPr="00E23815">
        <w:rPr>
          <w:rFonts w:asciiTheme="minorHAnsi" w:hAnsiTheme="minorHAnsi" w:cstheme="minorHAnsi"/>
        </w:rPr>
        <w:t xml:space="preserve">z titulu poskytování transferů na účtu </w:t>
      </w:r>
      <w:r w:rsidR="00A3472E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 xml:space="preserve">389 – </w:t>
      </w:r>
      <w:r w:rsidRPr="00E23815">
        <w:rPr>
          <w:rFonts w:asciiTheme="minorHAnsi" w:hAnsiTheme="minorHAnsi" w:cstheme="minorHAnsi"/>
          <w:i/>
        </w:rPr>
        <w:t>Dohadné účty pasivní</w:t>
      </w:r>
      <w:r w:rsidRPr="00E23815">
        <w:rPr>
          <w:rFonts w:asciiTheme="minorHAnsi" w:hAnsiTheme="minorHAnsi" w:cstheme="minorHAnsi"/>
        </w:rPr>
        <w:t xml:space="preserve"> ve výši 5 070,87 mil. Kč a z titulu bezplatně nabytých </w:t>
      </w:r>
      <w:r w:rsidR="00377159" w:rsidRPr="00E23815">
        <w:rPr>
          <w:rFonts w:asciiTheme="minorHAnsi" w:hAnsiTheme="minorHAnsi" w:cstheme="minorHAnsi"/>
        </w:rPr>
        <w:t>jednotek ročních emisních přídělů určených ke splnění závazku ČR za rok 2020</w:t>
      </w:r>
      <w:r w:rsidRPr="00E23815">
        <w:rPr>
          <w:rFonts w:asciiTheme="minorHAnsi" w:hAnsiTheme="minorHAnsi" w:cstheme="minorHAnsi"/>
        </w:rPr>
        <w:t xml:space="preserve"> na účtu 378 – </w:t>
      </w:r>
      <w:r w:rsidRPr="00044D82">
        <w:rPr>
          <w:rFonts w:asciiTheme="minorHAnsi" w:hAnsiTheme="minorHAnsi" w:cstheme="minorHAnsi"/>
          <w:i/>
        </w:rPr>
        <w:t>Ostatní krátkodobé závazky</w:t>
      </w:r>
      <w:r w:rsidRPr="00E23815">
        <w:rPr>
          <w:rFonts w:asciiTheme="minorHAnsi" w:hAnsiTheme="minorHAnsi" w:cstheme="minorHAnsi"/>
        </w:rPr>
        <w:t xml:space="preserve"> ve výši 1 961,27 mil. Kč</w:t>
      </w:r>
      <w:r w:rsidR="002C53E3">
        <w:rPr>
          <w:rFonts w:asciiTheme="minorHAnsi" w:hAnsiTheme="minorHAnsi" w:cstheme="minorHAnsi"/>
        </w:rPr>
        <w:t>;</w:t>
      </w:r>
    </w:p>
    <w:p w14:paraId="4B7FBA7C" w14:textId="41567936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  <w:b/>
        </w:rPr>
        <w:t xml:space="preserve">prostřednictvím jmění účetní jednotky a upravujících položek </w:t>
      </w:r>
      <w:r w:rsidRPr="00E23815">
        <w:rPr>
          <w:rFonts w:asciiTheme="minorHAnsi" w:hAnsiTheme="minorHAnsi" w:cstheme="minorHAnsi"/>
        </w:rPr>
        <w:t>z titulu hospodař</w:t>
      </w:r>
      <w:r w:rsidR="00E727F0" w:rsidRPr="00E23815">
        <w:rPr>
          <w:rFonts w:asciiTheme="minorHAnsi" w:hAnsiTheme="minorHAnsi" w:cstheme="minorHAnsi"/>
        </w:rPr>
        <w:t>ení</w:t>
      </w:r>
      <w:r w:rsidRPr="00E23815">
        <w:rPr>
          <w:rFonts w:asciiTheme="minorHAnsi" w:hAnsiTheme="minorHAnsi" w:cstheme="minorHAnsi"/>
        </w:rPr>
        <w:t xml:space="preserve"> </w:t>
      </w:r>
      <w:r w:rsidR="007F227A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s</w:t>
      </w:r>
      <w:r w:rsidR="007F227A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povolenkami </w:t>
      </w:r>
      <w:r w:rsidR="00377159" w:rsidRPr="00E23815">
        <w:rPr>
          <w:rFonts w:asciiTheme="minorHAnsi" w:hAnsiTheme="minorHAnsi" w:cstheme="minorHAnsi"/>
        </w:rPr>
        <w:t xml:space="preserve">na emise </w:t>
      </w:r>
      <w:r w:rsidR="00E727F0" w:rsidRPr="00E23815">
        <w:rPr>
          <w:rFonts w:cstheme="minorHAnsi"/>
        </w:rPr>
        <w:t>skleníkových plynů</w:t>
      </w:r>
      <w:r w:rsidR="00E727F0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a ročními emisními příděly na účtu </w:t>
      </w:r>
      <w:r w:rsidR="002C53E3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 xml:space="preserve">401 – </w:t>
      </w:r>
      <w:r w:rsidRPr="00E23815">
        <w:rPr>
          <w:rFonts w:asciiTheme="minorHAnsi" w:hAnsiTheme="minorHAnsi" w:cstheme="minorHAnsi"/>
          <w:i/>
        </w:rPr>
        <w:t>Jmění účetní jednotky</w:t>
      </w:r>
      <w:r w:rsidRPr="00E23815">
        <w:rPr>
          <w:rFonts w:asciiTheme="minorHAnsi" w:hAnsiTheme="minorHAnsi" w:cstheme="minorHAnsi"/>
        </w:rPr>
        <w:t xml:space="preserve"> ve výši 240 546,</w:t>
      </w:r>
      <w:r w:rsidR="00415B84">
        <w:rPr>
          <w:rFonts w:asciiTheme="minorHAnsi" w:hAnsiTheme="minorHAnsi" w:cstheme="minorHAnsi"/>
        </w:rPr>
        <w:t>08</w:t>
      </w:r>
      <w:r w:rsidRPr="00E23815">
        <w:rPr>
          <w:rStyle w:val="Znakapoznpodarou"/>
          <w:rFonts w:asciiTheme="minorHAnsi" w:hAnsiTheme="minorHAnsi" w:cstheme="minorHAnsi"/>
        </w:rPr>
        <w:footnoteReference w:id="48"/>
      </w:r>
      <w:r w:rsidRPr="00E23815">
        <w:rPr>
          <w:rFonts w:asciiTheme="minorHAnsi" w:hAnsiTheme="minorHAnsi" w:cstheme="minorHAnsi"/>
        </w:rPr>
        <w:t xml:space="preserve"> mil. Kč, na účtu 407 – </w:t>
      </w:r>
      <w:r w:rsidRPr="00E23815">
        <w:rPr>
          <w:rFonts w:asciiTheme="minorHAnsi" w:hAnsiTheme="minorHAnsi" w:cstheme="minorHAnsi"/>
          <w:i/>
        </w:rPr>
        <w:t xml:space="preserve">Jiné oceňovací rozdíly </w:t>
      </w:r>
      <w:r w:rsidRPr="00E23815">
        <w:rPr>
          <w:rFonts w:asciiTheme="minorHAnsi" w:hAnsiTheme="minorHAnsi" w:cstheme="minorHAnsi"/>
        </w:rPr>
        <w:t>ve</w:t>
      </w:r>
      <w:r w:rsidR="002C53E3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výši</w:t>
      </w:r>
      <w:r w:rsidR="002C53E3">
        <w:rPr>
          <w:rFonts w:asciiTheme="minorHAnsi" w:hAnsiTheme="minorHAnsi" w:cstheme="minorHAnsi"/>
        </w:rPr>
        <w:t xml:space="preserve"> </w:t>
      </w:r>
      <w:r w:rsidR="002C53E3" w:rsidRPr="00660E99">
        <w:rPr>
          <w:rFonts w:cs="Calibri"/>
        </w:rPr>
        <w:t>−</w:t>
      </w:r>
      <w:r w:rsidRPr="00E23815">
        <w:rPr>
          <w:rFonts w:asciiTheme="minorHAnsi" w:hAnsiTheme="minorHAnsi" w:cstheme="minorHAnsi"/>
        </w:rPr>
        <w:t xml:space="preserve">2 070,35 mil. Kč a dále na účtu 408 – </w:t>
      </w:r>
      <w:r w:rsidRPr="00E23815">
        <w:rPr>
          <w:rFonts w:asciiTheme="minorHAnsi" w:hAnsiTheme="minorHAnsi" w:cstheme="minorHAnsi"/>
          <w:i/>
        </w:rPr>
        <w:t xml:space="preserve">Opravy předcházejících účetních období </w:t>
      </w:r>
      <w:r w:rsidRPr="00E23815">
        <w:rPr>
          <w:rFonts w:asciiTheme="minorHAnsi" w:hAnsiTheme="minorHAnsi" w:cstheme="minorHAnsi"/>
        </w:rPr>
        <w:t>ve výši 12 262,93 mil. Kč</w:t>
      </w:r>
      <w:r w:rsidR="002C53E3">
        <w:rPr>
          <w:rFonts w:asciiTheme="minorHAnsi" w:hAnsiTheme="minorHAnsi" w:cstheme="minorHAnsi"/>
        </w:rPr>
        <w:t>;</w:t>
      </w:r>
    </w:p>
    <w:p w14:paraId="7E21FD23" w14:textId="78654751" w:rsidR="001535D0" w:rsidRPr="00E23815" w:rsidRDefault="001535D0" w:rsidP="00243109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v rámci nákladů z činnosti </w:t>
      </w:r>
      <w:r w:rsidRPr="00E23815">
        <w:rPr>
          <w:rFonts w:asciiTheme="minorHAnsi" w:hAnsiTheme="minorHAnsi" w:cstheme="minorHAnsi"/>
        </w:rPr>
        <w:t xml:space="preserve">z titulu </w:t>
      </w:r>
      <w:r w:rsidR="008A7647" w:rsidRPr="00E23815">
        <w:rPr>
          <w:rFonts w:asciiTheme="minorHAnsi" w:hAnsiTheme="minorHAnsi" w:cstheme="minorHAnsi"/>
        </w:rPr>
        <w:t xml:space="preserve">přidělení bezplatných </w:t>
      </w:r>
      <w:r w:rsidRPr="00E23815">
        <w:rPr>
          <w:rFonts w:asciiTheme="minorHAnsi" w:hAnsiTheme="minorHAnsi" w:cstheme="minorHAnsi"/>
        </w:rPr>
        <w:t xml:space="preserve">povolenek </w:t>
      </w:r>
      <w:r w:rsidR="00377159" w:rsidRPr="00E23815">
        <w:rPr>
          <w:rFonts w:asciiTheme="minorHAnsi" w:hAnsiTheme="minorHAnsi" w:cstheme="minorHAnsi"/>
        </w:rPr>
        <w:t>na emise</w:t>
      </w:r>
      <w:r w:rsidRPr="00E23815">
        <w:rPr>
          <w:rFonts w:asciiTheme="minorHAnsi" w:hAnsiTheme="minorHAnsi" w:cstheme="minorHAnsi"/>
        </w:rPr>
        <w:t xml:space="preserve"> </w:t>
      </w:r>
      <w:r w:rsidR="00BA3E7C" w:rsidRPr="00E23815">
        <w:t>skleníkových plynů</w:t>
      </w:r>
      <w:r w:rsidR="00BA3E7C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provozovatelům zařízení</w:t>
      </w:r>
      <w:r w:rsidR="00377159" w:rsidRPr="00E23815">
        <w:rPr>
          <w:rFonts w:asciiTheme="minorHAnsi" w:hAnsiTheme="minorHAnsi" w:cstheme="minorHAnsi"/>
        </w:rPr>
        <w:t xml:space="preserve"> </w:t>
      </w:r>
      <w:r w:rsidR="00243109" w:rsidRPr="00E23815">
        <w:rPr>
          <w:rFonts w:asciiTheme="minorHAnsi" w:hAnsiTheme="minorHAnsi" w:cstheme="minorHAnsi"/>
        </w:rPr>
        <w:t xml:space="preserve">nebo </w:t>
      </w:r>
      <w:r w:rsidRPr="00E23815">
        <w:rPr>
          <w:rFonts w:asciiTheme="minorHAnsi" w:hAnsiTheme="minorHAnsi" w:cstheme="minorHAnsi"/>
        </w:rPr>
        <w:t xml:space="preserve">letadel v rámci EU ETS na účtu </w:t>
      </w:r>
      <w:r w:rsidR="002C53E3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543</w:t>
      </w:r>
      <w:r w:rsidR="00DB5838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>Dary a jiná bezúplatná předání</w:t>
      </w:r>
      <w:r w:rsidRPr="00E23815">
        <w:rPr>
          <w:rFonts w:asciiTheme="minorHAnsi" w:hAnsiTheme="minorHAnsi" w:cstheme="minorHAnsi"/>
        </w:rPr>
        <w:t xml:space="preserve"> ve výši 30 732,17 mil. Kč a dále z titulu </w:t>
      </w:r>
      <w:r w:rsidR="002C53E3">
        <w:rPr>
          <w:rFonts w:asciiTheme="minorHAnsi" w:hAnsiTheme="minorHAnsi" w:cstheme="minorHAnsi"/>
        </w:rPr>
        <w:t xml:space="preserve">prodaného dlouhodobého majetku v souvislosti se </w:t>
      </w:r>
      <w:r w:rsidRPr="00E23815">
        <w:rPr>
          <w:rFonts w:asciiTheme="minorHAnsi" w:hAnsiTheme="minorHAnsi" w:cstheme="minorHAnsi"/>
        </w:rPr>
        <w:t>zapojení</w:t>
      </w:r>
      <w:r w:rsidR="002C53E3">
        <w:rPr>
          <w:rFonts w:asciiTheme="minorHAnsi" w:hAnsiTheme="minorHAnsi" w:cstheme="minorHAnsi"/>
        </w:rPr>
        <w:t>m</w:t>
      </w:r>
      <w:r w:rsidRPr="00E23815">
        <w:rPr>
          <w:rFonts w:asciiTheme="minorHAnsi" w:hAnsiTheme="minorHAnsi" w:cstheme="minorHAnsi"/>
        </w:rPr>
        <w:t xml:space="preserve"> do </w:t>
      </w:r>
      <w:r w:rsidR="002C53E3">
        <w:rPr>
          <w:rFonts w:asciiTheme="minorHAnsi" w:hAnsiTheme="minorHAnsi" w:cstheme="minorHAnsi"/>
        </w:rPr>
        <w:t>EU ETS</w:t>
      </w:r>
      <w:r w:rsidRPr="00E23815">
        <w:rPr>
          <w:rFonts w:asciiTheme="minorHAnsi" w:hAnsiTheme="minorHAnsi" w:cstheme="minorHAnsi"/>
        </w:rPr>
        <w:t xml:space="preserve"> na účtu 552 –</w:t>
      </w:r>
      <w:r w:rsidRPr="00E23815">
        <w:rPr>
          <w:rFonts w:asciiTheme="minorHAnsi" w:hAnsiTheme="minorHAnsi" w:cstheme="minorHAnsi"/>
          <w:i/>
        </w:rPr>
        <w:t xml:space="preserve"> Prodaný dlouhodobý nehmotný majetek</w:t>
      </w:r>
      <w:r w:rsidRPr="00E23815">
        <w:rPr>
          <w:rFonts w:asciiTheme="minorHAnsi" w:hAnsiTheme="minorHAnsi" w:cstheme="minorHAnsi"/>
        </w:rPr>
        <w:t xml:space="preserve"> ve výši 16 097,82</w:t>
      </w:r>
      <w:r w:rsidR="00DB5838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mil. Kč</w:t>
      </w:r>
      <w:r w:rsidR="002C53E3">
        <w:rPr>
          <w:rFonts w:asciiTheme="minorHAnsi" w:hAnsiTheme="minorHAnsi" w:cstheme="minorHAnsi"/>
        </w:rPr>
        <w:t>;</w:t>
      </w:r>
    </w:p>
    <w:p w14:paraId="78F91C9A" w14:textId="527EB5B4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lastRenderedPageBreak/>
        <w:t xml:space="preserve">v rámci nákladů na transfery </w:t>
      </w:r>
      <w:r w:rsidRPr="00E23815">
        <w:rPr>
          <w:rFonts w:asciiTheme="minorHAnsi" w:hAnsiTheme="minorHAnsi" w:cstheme="minorHAnsi"/>
        </w:rPr>
        <w:t>z titulu poskytování transferů na účtu 571 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>Náklady vybraných ústředních vládních institucí na transfery</w:t>
      </w:r>
      <w:r w:rsidRPr="00E23815">
        <w:rPr>
          <w:rFonts w:asciiTheme="minorHAnsi" w:hAnsiTheme="minorHAnsi" w:cstheme="minorHAnsi"/>
        </w:rPr>
        <w:t xml:space="preserve"> ve výši 5 372,45 mil. Kč a</w:t>
      </w:r>
      <w:r w:rsidR="00291E47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na účtu</w:t>
      </w:r>
      <w:r w:rsidR="00291E47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575 –</w:t>
      </w:r>
      <w:r w:rsidR="00A3472E">
        <w:rPr>
          <w:rFonts w:asciiTheme="minorHAnsi" w:hAnsiTheme="minorHAnsi" w:cstheme="minorHAnsi"/>
          <w:i/>
        </w:rPr>
        <w:t> </w:t>
      </w:r>
      <w:r w:rsidRPr="00E23815">
        <w:rPr>
          <w:rFonts w:asciiTheme="minorHAnsi" w:hAnsiTheme="minorHAnsi" w:cstheme="minorHAnsi"/>
          <w:i/>
        </w:rPr>
        <w:t>Náklady vybraných ústředních vládních institucí na předfinancování transferů</w:t>
      </w:r>
      <w:r w:rsidRPr="00E23815">
        <w:rPr>
          <w:rFonts w:asciiTheme="minorHAnsi" w:hAnsiTheme="minorHAnsi" w:cstheme="minorHAnsi"/>
        </w:rPr>
        <w:t xml:space="preserve"> ve výši 13 218,99 mil. Kč</w:t>
      </w:r>
      <w:r w:rsidR="00FA1485">
        <w:rPr>
          <w:rFonts w:asciiTheme="minorHAnsi" w:hAnsiTheme="minorHAnsi" w:cstheme="minorHAnsi"/>
        </w:rPr>
        <w:t>;</w:t>
      </w:r>
    </w:p>
    <w:p w14:paraId="07CB2793" w14:textId="411AA06C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v rámci výnosů z činnosti </w:t>
      </w:r>
      <w:r w:rsidRPr="00E23815">
        <w:rPr>
          <w:rFonts w:asciiTheme="minorHAnsi" w:hAnsiTheme="minorHAnsi" w:cstheme="minorHAnsi"/>
        </w:rPr>
        <w:t xml:space="preserve">z titulu prodeje povolenek </w:t>
      </w:r>
      <w:r w:rsidR="00243109" w:rsidRPr="00E23815">
        <w:rPr>
          <w:rFonts w:asciiTheme="minorHAnsi" w:hAnsiTheme="minorHAnsi" w:cstheme="minorHAnsi"/>
        </w:rPr>
        <w:t>na emise</w:t>
      </w:r>
      <w:r w:rsidRPr="00E23815">
        <w:rPr>
          <w:rFonts w:asciiTheme="minorHAnsi" w:hAnsiTheme="minorHAnsi" w:cstheme="minorHAnsi"/>
        </w:rPr>
        <w:t xml:space="preserve"> </w:t>
      </w:r>
      <w:r w:rsidR="00E727F0" w:rsidRPr="00E23815">
        <w:rPr>
          <w:rFonts w:cstheme="minorHAnsi"/>
        </w:rPr>
        <w:t>skleníkových plynů</w:t>
      </w:r>
      <w:r w:rsidR="00E727F0" w:rsidRPr="00E23815">
        <w:rPr>
          <w:rFonts w:asciiTheme="minorHAnsi" w:hAnsiTheme="minorHAnsi" w:cstheme="minorHAnsi"/>
        </w:rPr>
        <w:t xml:space="preserve"> </w:t>
      </w:r>
      <w:r w:rsidR="00FA1485">
        <w:rPr>
          <w:rFonts w:asciiTheme="minorHAnsi" w:hAnsiTheme="minorHAnsi" w:cstheme="minorHAnsi"/>
        </w:rPr>
        <w:t>prostřednictvím</w:t>
      </w:r>
      <w:r w:rsidRPr="00E23815">
        <w:rPr>
          <w:rFonts w:asciiTheme="minorHAnsi" w:hAnsiTheme="minorHAnsi" w:cstheme="minorHAnsi"/>
        </w:rPr>
        <w:t xml:space="preserve"> EU ETS na účtu 645 –</w:t>
      </w:r>
      <w:r w:rsidRPr="00E23815">
        <w:rPr>
          <w:rFonts w:asciiTheme="minorHAnsi" w:hAnsiTheme="minorHAnsi" w:cstheme="minorHAnsi"/>
          <w:i/>
        </w:rPr>
        <w:t xml:space="preserve"> Výnosy z prodeje dlouhodobého nehmotného majetku</w:t>
      </w:r>
      <w:r w:rsidRPr="00E23815">
        <w:rPr>
          <w:rFonts w:asciiTheme="minorHAnsi" w:hAnsiTheme="minorHAnsi" w:cstheme="minorHAnsi"/>
        </w:rPr>
        <w:t xml:space="preserve"> ve výši 16 544,04 mil. Kč</w:t>
      </w:r>
      <w:r w:rsidR="00FA1485">
        <w:rPr>
          <w:rFonts w:asciiTheme="minorHAnsi" w:hAnsiTheme="minorHAnsi" w:cstheme="minorHAnsi"/>
        </w:rPr>
        <w:t>;</w:t>
      </w:r>
    </w:p>
    <w:p w14:paraId="17B9EDF9" w14:textId="35891B96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 xml:space="preserve">v rámci finančních výnosů </w:t>
      </w:r>
      <w:r w:rsidRPr="00E23815">
        <w:rPr>
          <w:rFonts w:asciiTheme="minorHAnsi" w:hAnsiTheme="minorHAnsi" w:cstheme="minorHAnsi"/>
        </w:rPr>
        <w:t>z titulu přecenění povolenek</w:t>
      </w:r>
      <w:r w:rsidR="00243109" w:rsidRPr="00E23815">
        <w:rPr>
          <w:rFonts w:asciiTheme="minorHAnsi" w:hAnsiTheme="minorHAnsi" w:cstheme="minorHAnsi"/>
        </w:rPr>
        <w:t xml:space="preserve"> na emise</w:t>
      </w:r>
      <w:r w:rsidRPr="00E23815">
        <w:rPr>
          <w:rFonts w:asciiTheme="minorHAnsi" w:hAnsiTheme="minorHAnsi" w:cstheme="minorHAnsi"/>
        </w:rPr>
        <w:t xml:space="preserve"> </w:t>
      </w:r>
      <w:r w:rsidR="00E727F0" w:rsidRPr="00E23815">
        <w:rPr>
          <w:rFonts w:cstheme="minorHAnsi"/>
        </w:rPr>
        <w:t>skleníkových plynů</w:t>
      </w:r>
      <w:r w:rsidR="00E727F0" w:rsidRPr="00E23815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a</w:t>
      </w:r>
      <w:r w:rsidR="00A3472E">
        <w:rPr>
          <w:rFonts w:asciiTheme="minorHAnsi" w:hAnsiTheme="minorHAnsi" w:cstheme="minorHAnsi"/>
        </w:rPr>
        <w:t> </w:t>
      </w:r>
      <w:r w:rsidR="00E727F0" w:rsidRPr="00E23815">
        <w:rPr>
          <w:rFonts w:asciiTheme="minorHAnsi" w:hAnsiTheme="minorHAnsi" w:cstheme="minorHAnsi"/>
        </w:rPr>
        <w:t xml:space="preserve">ročních emisních přídělů </w:t>
      </w:r>
      <w:r w:rsidRPr="00E23815">
        <w:rPr>
          <w:rFonts w:asciiTheme="minorHAnsi" w:hAnsiTheme="minorHAnsi" w:cstheme="minorHAnsi"/>
        </w:rPr>
        <w:t>reálnou hodnotou na účtu 664 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>Výnosy z přecenění reálnou hodnotou</w:t>
      </w:r>
      <w:r w:rsidRPr="00E23815">
        <w:rPr>
          <w:rFonts w:asciiTheme="minorHAnsi" w:hAnsiTheme="minorHAnsi" w:cstheme="minorHAnsi"/>
        </w:rPr>
        <w:t xml:space="preserve"> ve výši 4 009,12 mil. Kč</w:t>
      </w:r>
      <w:r w:rsidR="00FA1485">
        <w:rPr>
          <w:rFonts w:asciiTheme="minorHAnsi" w:hAnsiTheme="minorHAnsi" w:cstheme="minorHAnsi"/>
        </w:rPr>
        <w:t>;</w:t>
      </w:r>
    </w:p>
    <w:p w14:paraId="52EB2C71" w14:textId="3F52107F" w:rsidR="001535D0" w:rsidRPr="00E23815" w:rsidRDefault="001535D0" w:rsidP="008226C5">
      <w:pPr>
        <w:numPr>
          <w:ilvl w:val="0"/>
          <w:numId w:val="11"/>
        </w:numPr>
        <w:spacing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>v</w:t>
      </w:r>
      <w:r w:rsidR="007F227A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b/>
        </w:rPr>
        <w:t>rámci výnosů z</w:t>
      </w:r>
      <w:r w:rsidR="00FA148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b/>
        </w:rPr>
        <w:t xml:space="preserve">transferů </w:t>
      </w:r>
      <w:r w:rsidRPr="00E23815">
        <w:rPr>
          <w:rFonts w:asciiTheme="minorHAnsi" w:hAnsiTheme="minorHAnsi" w:cstheme="minorHAnsi"/>
        </w:rPr>
        <w:t>z</w:t>
      </w:r>
      <w:r w:rsidR="007F227A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titulu poskytování a přijímání transferů na účtu </w:t>
      </w:r>
      <w:r w:rsidR="00A3472E">
        <w:rPr>
          <w:rFonts w:asciiTheme="minorHAnsi" w:hAnsiTheme="minorHAnsi" w:cstheme="minorHAnsi"/>
        </w:rPr>
        <w:br/>
      </w:r>
      <w:r w:rsidRPr="00E23815">
        <w:rPr>
          <w:rFonts w:asciiTheme="minorHAnsi" w:hAnsiTheme="minorHAnsi" w:cstheme="minorHAnsi"/>
        </w:rPr>
        <w:t>675 –</w:t>
      </w:r>
      <w:r w:rsidRPr="00E23815">
        <w:rPr>
          <w:rFonts w:asciiTheme="minorHAnsi" w:hAnsiTheme="minorHAnsi" w:cstheme="minorHAnsi"/>
          <w:i/>
        </w:rPr>
        <w:t xml:space="preserve"> Výnosy vybraných ústředních vládních institucí z předfinancování transferů</w:t>
      </w:r>
      <w:r w:rsidRPr="00E23815">
        <w:rPr>
          <w:rFonts w:asciiTheme="minorHAnsi" w:hAnsiTheme="minorHAnsi" w:cstheme="minorHAnsi"/>
        </w:rPr>
        <w:t xml:space="preserve"> ve výši 7 640,26 mil. Kč</w:t>
      </w:r>
      <w:r w:rsidR="00FA1485">
        <w:rPr>
          <w:rFonts w:asciiTheme="minorHAnsi" w:hAnsiTheme="minorHAnsi" w:cstheme="minorHAnsi"/>
        </w:rPr>
        <w:t>;</w:t>
      </w:r>
    </w:p>
    <w:p w14:paraId="2314D3BA" w14:textId="47E23F2B" w:rsidR="00E240B6" w:rsidRPr="00E23815" w:rsidRDefault="001535D0" w:rsidP="00AF65F6">
      <w:pPr>
        <w:numPr>
          <w:ilvl w:val="0"/>
          <w:numId w:val="11"/>
        </w:numPr>
        <w:spacing w:after="0" w:line="256" w:lineRule="auto"/>
        <w:jc w:val="both"/>
        <w:rPr>
          <w:rFonts w:asciiTheme="minorHAnsi" w:hAnsiTheme="minorHAnsi" w:cstheme="minorHAnsi"/>
          <w:b/>
        </w:rPr>
      </w:pPr>
      <w:r w:rsidRPr="00E23815">
        <w:rPr>
          <w:rFonts w:asciiTheme="minorHAnsi" w:hAnsiTheme="minorHAnsi" w:cstheme="minorHAnsi"/>
          <w:b/>
        </w:rPr>
        <w:t>prostřednictvím podrozvahových účtů</w:t>
      </w:r>
      <w:r w:rsidRPr="00E23815">
        <w:rPr>
          <w:rFonts w:asciiTheme="minorHAnsi" w:hAnsiTheme="minorHAnsi" w:cstheme="minorHAnsi"/>
        </w:rPr>
        <w:t xml:space="preserve"> z titulu poskytování a přijímání transferů</w:t>
      </w:r>
      <w:r w:rsidR="00FA1485">
        <w:rPr>
          <w:rFonts w:asciiTheme="minorHAnsi" w:hAnsiTheme="minorHAnsi" w:cstheme="minorHAnsi"/>
        </w:rPr>
        <w:t>,</w:t>
      </w:r>
      <w:r w:rsidRPr="00E23815">
        <w:rPr>
          <w:rFonts w:asciiTheme="minorHAnsi" w:hAnsiTheme="minorHAnsi" w:cstheme="minorHAnsi"/>
        </w:rPr>
        <w:t xml:space="preserve"> a to zejména na účtu 956 –</w:t>
      </w:r>
      <w:r w:rsidRPr="00E23815">
        <w:rPr>
          <w:rFonts w:asciiTheme="minorHAnsi" w:hAnsiTheme="minorHAnsi" w:cstheme="minorHAnsi"/>
          <w:b/>
        </w:rPr>
        <w:t xml:space="preserve"> </w:t>
      </w:r>
      <w:r w:rsidRPr="00E23815">
        <w:rPr>
          <w:rFonts w:asciiTheme="minorHAnsi" w:hAnsiTheme="minorHAnsi" w:cstheme="minorHAnsi"/>
          <w:i/>
        </w:rPr>
        <w:t>Ostatní dlouhodobé podmíněné závazky z transferů</w:t>
      </w:r>
      <w:r w:rsidRPr="00E23815">
        <w:rPr>
          <w:rFonts w:asciiTheme="minorHAnsi" w:hAnsiTheme="minorHAnsi" w:cstheme="minorHAnsi"/>
        </w:rPr>
        <w:t xml:space="preserve"> ve výši 27 755,65 mil. Kč, na účtu 911 – </w:t>
      </w:r>
      <w:r w:rsidRPr="00E23815">
        <w:rPr>
          <w:rFonts w:asciiTheme="minorHAnsi" w:hAnsiTheme="minorHAnsi" w:cstheme="minorHAnsi"/>
          <w:i/>
        </w:rPr>
        <w:t>Krátkodobé podmíněné pohledávky z předfinancování transferů</w:t>
      </w:r>
      <w:r w:rsidRPr="00E23815">
        <w:rPr>
          <w:rFonts w:asciiTheme="minorHAnsi" w:hAnsiTheme="minorHAnsi" w:cstheme="minorHAnsi"/>
        </w:rPr>
        <w:t xml:space="preserve"> ve výši 14 711,53 mil. Kč, na účtu 916 –</w:t>
      </w:r>
      <w:r w:rsidRPr="00E23815">
        <w:rPr>
          <w:rFonts w:asciiTheme="minorHAnsi" w:hAnsiTheme="minorHAnsi" w:cstheme="minorHAnsi"/>
          <w:i/>
        </w:rPr>
        <w:t xml:space="preserve"> Ostatní krátkodobé podmíněné závazky z transferů</w:t>
      </w:r>
      <w:r w:rsidRPr="00E23815">
        <w:rPr>
          <w:rFonts w:asciiTheme="minorHAnsi" w:hAnsiTheme="minorHAnsi" w:cstheme="minorHAnsi"/>
        </w:rPr>
        <w:t xml:space="preserve"> ve výši 1 244,53 mil. Kč a dále na účtu 986 – </w:t>
      </w:r>
      <w:r w:rsidRPr="00E23815">
        <w:rPr>
          <w:rFonts w:asciiTheme="minorHAnsi" w:hAnsiTheme="minorHAnsi" w:cstheme="minorHAnsi"/>
          <w:i/>
        </w:rPr>
        <w:t>Dlouhodobé podmíněné závazky ze soudních sporů, správních řízení a jiných řízení</w:t>
      </w:r>
      <w:r w:rsidRPr="00E23815">
        <w:rPr>
          <w:rFonts w:asciiTheme="minorHAnsi" w:hAnsiTheme="minorHAnsi" w:cstheme="minorHAnsi"/>
        </w:rPr>
        <w:t xml:space="preserve"> ve výši 1 453,27 mil. Kč a na účtu 945 –</w:t>
      </w:r>
      <w:r w:rsidRPr="00E23815">
        <w:rPr>
          <w:rFonts w:asciiTheme="minorHAnsi" w:hAnsiTheme="minorHAnsi" w:cstheme="minorHAnsi"/>
          <w:i/>
        </w:rPr>
        <w:t xml:space="preserve"> Dlouhodobé podmíněné úhrady pohledávek z přijatých zajištění</w:t>
      </w:r>
      <w:r w:rsidRPr="00E23815">
        <w:rPr>
          <w:rFonts w:asciiTheme="minorHAnsi" w:hAnsiTheme="minorHAnsi" w:cstheme="minorHAnsi"/>
        </w:rPr>
        <w:t xml:space="preserve"> ve výši 1</w:t>
      </w:r>
      <w:r w:rsidR="00291E47">
        <w:rPr>
          <w:rFonts w:asciiTheme="minorHAnsi" w:hAnsiTheme="minorHAnsi" w:cstheme="minorHAnsi"/>
        </w:rPr>
        <w:t> </w:t>
      </w:r>
      <w:r w:rsidRPr="00E23815">
        <w:rPr>
          <w:rFonts w:asciiTheme="minorHAnsi" w:hAnsiTheme="minorHAnsi" w:cstheme="minorHAnsi"/>
        </w:rPr>
        <w:t>029,89 mil. Kč</w:t>
      </w:r>
      <w:r w:rsidR="00FA1485">
        <w:rPr>
          <w:rFonts w:asciiTheme="minorHAnsi" w:hAnsiTheme="minorHAnsi" w:cstheme="minorHAnsi"/>
        </w:rPr>
        <w:t>;</w:t>
      </w:r>
      <w:r w:rsidRPr="00E23815">
        <w:rPr>
          <w:rFonts w:ascii="Times New Roman" w:eastAsia="Calibri" w:hAnsi="Times New Roman"/>
          <w:lang w:eastAsia="cs-CZ"/>
        </w:rPr>
        <w:t xml:space="preserve"> </w:t>
      </w:r>
    </w:p>
    <w:p w14:paraId="710B56E4" w14:textId="77777777" w:rsidR="00DB5838" w:rsidRDefault="00DB5838" w:rsidP="00AF65F6">
      <w:pPr>
        <w:spacing w:after="0"/>
        <w:rPr>
          <w:rFonts w:asciiTheme="minorHAnsi" w:hAnsiTheme="minorHAnsi"/>
          <w:b/>
        </w:rPr>
      </w:pPr>
    </w:p>
    <w:p w14:paraId="5B115E3D" w14:textId="4D9E3CD9" w:rsidR="00E240B6" w:rsidRPr="00AF65F6" w:rsidRDefault="00FA1485" w:rsidP="00AF65F6">
      <w:pPr>
        <w:pStyle w:val="Odstavecseseznamem"/>
        <w:numPr>
          <w:ilvl w:val="0"/>
          <w:numId w:val="29"/>
        </w:numPr>
        <w:ind w:left="284" w:hanging="284"/>
        <w:contextualSpacing w:val="0"/>
        <w:rPr>
          <w:rFonts w:asciiTheme="minorHAnsi" w:hAnsiTheme="minorHAnsi"/>
          <w:b/>
        </w:rPr>
      </w:pPr>
      <w:r w:rsidRPr="00AF65F6">
        <w:rPr>
          <w:rFonts w:asciiTheme="minorHAnsi" w:hAnsiTheme="minorHAnsi"/>
          <w:b/>
        </w:rPr>
        <w:t>o</w:t>
      </w:r>
      <w:r w:rsidR="00E240B6" w:rsidRPr="00AF65F6">
        <w:rPr>
          <w:rFonts w:asciiTheme="minorHAnsi" w:hAnsiTheme="minorHAnsi"/>
          <w:b/>
        </w:rPr>
        <w:t>blast rozpočtových údajů (výkaz</w:t>
      </w:r>
      <w:r w:rsidR="001535D0" w:rsidRPr="00AF65F6">
        <w:rPr>
          <w:rFonts w:asciiTheme="minorHAnsi" w:hAnsiTheme="minorHAnsi"/>
          <w:b/>
        </w:rPr>
        <w:t xml:space="preserve"> pro hodnocení plnění rozpočtu</w:t>
      </w:r>
      <w:r w:rsidR="00E240B6" w:rsidRPr="00AF65F6">
        <w:rPr>
          <w:rFonts w:asciiTheme="minorHAnsi" w:hAnsiTheme="minorHAnsi"/>
          <w:b/>
        </w:rPr>
        <w:t xml:space="preserve"> FIN 1-12 OSS)</w:t>
      </w:r>
    </w:p>
    <w:p w14:paraId="44593C47" w14:textId="358B3DE2" w:rsidR="0012234B" w:rsidRPr="00E23815" w:rsidRDefault="0012234B" w:rsidP="008226C5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/>
          <w:b/>
        </w:rPr>
      </w:pPr>
      <w:r w:rsidRPr="00E23815">
        <w:rPr>
          <w:rFonts w:asciiTheme="minorHAnsi" w:hAnsiTheme="minorHAnsi"/>
          <w:b/>
        </w:rPr>
        <w:t xml:space="preserve">v rámci kapitálových příjmů </w:t>
      </w:r>
      <w:r w:rsidRPr="00E23815">
        <w:rPr>
          <w:rFonts w:asciiTheme="minorHAnsi" w:hAnsiTheme="minorHAnsi"/>
        </w:rPr>
        <w:t xml:space="preserve">z titulu prodeje povolenek </w:t>
      </w:r>
      <w:r w:rsidR="00243109" w:rsidRPr="00E23815">
        <w:rPr>
          <w:rFonts w:asciiTheme="minorHAnsi" w:hAnsiTheme="minorHAnsi"/>
        </w:rPr>
        <w:t>na emise</w:t>
      </w:r>
      <w:r w:rsidRPr="00E23815">
        <w:rPr>
          <w:rFonts w:asciiTheme="minorHAnsi" w:hAnsiTheme="minorHAnsi"/>
        </w:rPr>
        <w:t xml:space="preserve"> </w:t>
      </w:r>
      <w:r w:rsidR="00E727F0" w:rsidRPr="00E23815">
        <w:rPr>
          <w:rFonts w:cstheme="minorHAnsi"/>
        </w:rPr>
        <w:t>skleníkových plynů</w:t>
      </w:r>
      <w:r w:rsidR="00E727F0" w:rsidRPr="00E23815">
        <w:rPr>
          <w:rFonts w:asciiTheme="minorHAnsi" w:hAnsiTheme="minorHAnsi"/>
        </w:rPr>
        <w:t xml:space="preserve"> </w:t>
      </w:r>
      <w:r w:rsidR="00FA1485">
        <w:rPr>
          <w:rFonts w:asciiTheme="minorHAnsi" w:hAnsiTheme="minorHAnsi"/>
        </w:rPr>
        <w:t>prostřednictvím</w:t>
      </w:r>
      <w:r w:rsidRPr="00E23815">
        <w:rPr>
          <w:rFonts w:asciiTheme="minorHAnsi" w:hAnsiTheme="minorHAnsi"/>
        </w:rPr>
        <w:t xml:space="preserve"> EU ETS na rozpočtové položce 3114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Příjem z prodeje nehmotného dlouhodobého majetku</w:t>
      </w:r>
      <w:r w:rsidRPr="00E23815">
        <w:rPr>
          <w:rFonts w:asciiTheme="minorHAnsi" w:hAnsiTheme="minorHAnsi"/>
        </w:rPr>
        <w:t xml:space="preserve"> ve výši 16 464,42 mil. Kč;</w:t>
      </w:r>
    </w:p>
    <w:p w14:paraId="2E6A3BC6" w14:textId="39D1CE49" w:rsidR="0012234B" w:rsidRPr="00E23815" w:rsidRDefault="0012234B" w:rsidP="00AF65F6">
      <w:pPr>
        <w:pStyle w:val="Odstavecseseznamem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Theme="minorHAnsi" w:hAnsiTheme="minorHAnsi"/>
          <w:b/>
        </w:rPr>
      </w:pPr>
      <w:r w:rsidRPr="00E23815">
        <w:rPr>
          <w:rFonts w:asciiTheme="minorHAnsi" w:hAnsiTheme="minorHAnsi"/>
          <w:b/>
        </w:rPr>
        <w:t xml:space="preserve">v rámci přijatých </w:t>
      </w:r>
      <w:r w:rsidRPr="00E23815">
        <w:rPr>
          <w:rFonts w:asciiTheme="minorHAnsi" w:hAnsiTheme="minorHAnsi"/>
        </w:rPr>
        <w:t xml:space="preserve">transferů z titulu přijímání transferů na rozpočtové položce </w:t>
      </w:r>
      <w:r w:rsidR="00A3472E">
        <w:rPr>
          <w:rFonts w:asciiTheme="minorHAnsi" w:hAnsiTheme="minorHAnsi"/>
        </w:rPr>
        <w:br/>
      </w:r>
      <w:r w:rsidRPr="00E23815">
        <w:rPr>
          <w:rFonts w:asciiTheme="minorHAnsi" w:hAnsiTheme="minorHAnsi"/>
        </w:rPr>
        <w:t xml:space="preserve">4218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Investiční převody z Národního fondu</w:t>
      </w:r>
      <w:r w:rsidRPr="00E23815">
        <w:rPr>
          <w:rFonts w:asciiTheme="minorHAnsi" w:hAnsiTheme="minorHAnsi"/>
        </w:rPr>
        <w:t xml:space="preserve"> </w:t>
      </w:r>
      <w:r w:rsidR="00FA1485">
        <w:rPr>
          <w:rFonts w:asciiTheme="minorHAnsi" w:hAnsiTheme="minorHAnsi"/>
        </w:rPr>
        <w:t xml:space="preserve">ve výši </w:t>
      </w:r>
      <w:r w:rsidRPr="00E23815">
        <w:rPr>
          <w:rFonts w:asciiTheme="minorHAnsi" w:hAnsiTheme="minorHAnsi"/>
        </w:rPr>
        <w:t xml:space="preserve">5 807,11 mil. Kč a </w:t>
      </w:r>
      <w:r w:rsidR="00FA1485">
        <w:rPr>
          <w:rFonts w:asciiTheme="minorHAnsi" w:hAnsiTheme="minorHAnsi"/>
        </w:rPr>
        <w:t xml:space="preserve">na </w:t>
      </w:r>
      <w:r w:rsidRPr="00E23815">
        <w:rPr>
          <w:rFonts w:asciiTheme="minorHAnsi" w:hAnsiTheme="minorHAnsi"/>
        </w:rPr>
        <w:t xml:space="preserve">rozpočtové položce 4118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  <w:i/>
        </w:rPr>
        <w:t>Neinvestiční převody z Národního fondu</w:t>
      </w:r>
      <w:r w:rsidRPr="00E23815">
        <w:rPr>
          <w:rFonts w:asciiTheme="minorHAnsi" w:hAnsiTheme="minorHAnsi"/>
        </w:rPr>
        <w:t xml:space="preserve"> ve výši 1 844,04 mil. Kč;</w:t>
      </w:r>
    </w:p>
    <w:p w14:paraId="3C83D573" w14:textId="40E38F6D" w:rsidR="0012234B" w:rsidRPr="00E23815" w:rsidRDefault="0012234B" w:rsidP="00AF65F6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</w:rPr>
      </w:pPr>
      <w:r w:rsidRPr="00E23815">
        <w:rPr>
          <w:rFonts w:asciiTheme="minorHAnsi" w:hAnsiTheme="minorHAnsi"/>
          <w:b/>
        </w:rPr>
        <w:t xml:space="preserve">v rámci běžných výdajů </w:t>
      </w:r>
      <w:r w:rsidRPr="00E23815">
        <w:rPr>
          <w:rFonts w:asciiTheme="minorHAnsi" w:hAnsiTheme="minorHAnsi"/>
        </w:rPr>
        <w:t xml:space="preserve">z titulu poskytování neinvestičních transferů SFŽP a příspěvků příspěvkovým organizacím na rozpočtové položce 5312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Neinvestiční transfery státním fondům</w:t>
      </w:r>
      <w:r w:rsidRPr="00E23815">
        <w:rPr>
          <w:rFonts w:asciiTheme="minorHAnsi" w:hAnsiTheme="minorHAnsi"/>
        </w:rPr>
        <w:t xml:space="preserve"> ve výši 4 052,19 mil. Kč a </w:t>
      </w:r>
      <w:r w:rsidR="00FA1485">
        <w:rPr>
          <w:rFonts w:asciiTheme="minorHAnsi" w:hAnsiTheme="minorHAnsi"/>
        </w:rPr>
        <w:t xml:space="preserve">na </w:t>
      </w:r>
      <w:r w:rsidRPr="00E23815">
        <w:rPr>
          <w:rFonts w:asciiTheme="minorHAnsi" w:hAnsiTheme="minorHAnsi"/>
        </w:rPr>
        <w:t xml:space="preserve">rozpočtové položce 5331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Neinvestiční příspěvky zřízeným příspěvkovým organizacím</w:t>
      </w:r>
      <w:r w:rsidRPr="00E23815">
        <w:rPr>
          <w:rFonts w:asciiTheme="minorHAnsi" w:hAnsiTheme="minorHAnsi"/>
        </w:rPr>
        <w:t xml:space="preserve"> ve výši 1 375,08 mil. Kč;</w:t>
      </w:r>
    </w:p>
    <w:p w14:paraId="28A0714C" w14:textId="025C6FA7" w:rsidR="00E240B6" w:rsidRPr="00E23815" w:rsidRDefault="0012234B" w:rsidP="00AF65F6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  <w:b/>
        </w:rPr>
      </w:pPr>
      <w:r w:rsidRPr="00E23815">
        <w:rPr>
          <w:rFonts w:asciiTheme="minorHAnsi" w:hAnsiTheme="minorHAnsi"/>
          <w:b/>
        </w:rPr>
        <w:t xml:space="preserve">v rámci kapitálových výdajů </w:t>
      </w:r>
      <w:r w:rsidRPr="00E23815">
        <w:rPr>
          <w:rFonts w:asciiTheme="minorHAnsi" w:hAnsiTheme="minorHAnsi"/>
        </w:rPr>
        <w:t>z titulu poskytování investičních transferů na rozpočtové položce 6332</w:t>
      </w:r>
      <w:r w:rsidR="00291E47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Investiční transfery státním fondům</w:t>
      </w:r>
      <w:r w:rsidRPr="00E23815">
        <w:rPr>
          <w:rFonts w:asciiTheme="minorHAnsi" w:hAnsiTheme="minorHAnsi"/>
        </w:rPr>
        <w:t xml:space="preserve"> ve výši 8 211,79 mil. Kč, </w:t>
      </w:r>
      <w:r w:rsidR="00FA1485">
        <w:rPr>
          <w:rFonts w:asciiTheme="minorHAnsi" w:hAnsiTheme="minorHAnsi"/>
        </w:rPr>
        <w:t xml:space="preserve">na </w:t>
      </w:r>
      <w:r w:rsidRPr="00E23815">
        <w:rPr>
          <w:rFonts w:asciiTheme="minorHAnsi" w:hAnsiTheme="minorHAnsi"/>
        </w:rPr>
        <w:t xml:space="preserve">rozpočtové položce 6313 </w:t>
      </w:r>
      <w:r w:rsidRPr="00E23815">
        <w:rPr>
          <w:rFonts w:asciiTheme="minorHAnsi" w:hAnsiTheme="minorHAnsi" w:cstheme="minorHAnsi"/>
        </w:rPr>
        <w:t xml:space="preserve">– </w:t>
      </w:r>
      <w:r w:rsidRPr="00E23815">
        <w:rPr>
          <w:rFonts w:asciiTheme="minorHAnsi" w:hAnsiTheme="minorHAnsi"/>
          <w:i/>
        </w:rPr>
        <w:t>Investiční transfery nefinančním podnikatelům-právnickým osobám</w:t>
      </w:r>
      <w:r w:rsidRPr="00E23815">
        <w:rPr>
          <w:rFonts w:asciiTheme="minorHAnsi" w:hAnsiTheme="minorHAnsi"/>
        </w:rPr>
        <w:t xml:space="preserve"> ve výši 2 314,78 mil. Kč,</w:t>
      </w:r>
      <w:r w:rsidR="00FA1485">
        <w:rPr>
          <w:rFonts w:asciiTheme="minorHAnsi" w:hAnsiTheme="minorHAnsi"/>
        </w:rPr>
        <w:t xml:space="preserve"> na</w:t>
      </w:r>
      <w:r w:rsidRPr="00E23815">
        <w:rPr>
          <w:rFonts w:asciiTheme="minorHAnsi" w:hAnsiTheme="minorHAnsi"/>
        </w:rPr>
        <w:t xml:space="preserve"> rozpočtové položce 6371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Účelové investiční transfery nepodnikajícím fyzickým osobám</w:t>
      </w:r>
      <w:r w:rsidRPr="00E23815">
        <w:rPr>
          <w:rFonts w:asciiTheme="minorHAnsi" w:hAnsiTheme="minorHAnsi"/>
        </w:rPr>
        <w:t xml:space="preserve"> ve výši 1 802,94 mil. Kč, </w:t>
      </w:r>
      <w:r w:rsidR="00FA1485">
        <w:rPr>
          <w:rFonts w:asciiTheme="minorHAnsi" w:hAnsiTheme="minorHAnsi"/>
        </w:rPr>
        <w:t xml:space="preserve">na </w:t>
      </w:r>
      <w:r w:rsidRPr="00E23815">
        <w:rPr>
          <w:rFonts w:asciiTheme="minorHAnsi" w:hAnsiTheme="minorHAnsi"/>
        </w:rPr>
        <w:t xml:space="preserve">rozpočtové položce 6341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Investiční transfery obcím</w:t>
      </w:r>
      <w:r w:rsidRPr="00E23815">
        <w:rPr>
          <w:rFonts w:asciiTheme="minorHAnsi" w:hAnsiTheme="minorHAnsi"/>
        </w:rPr>
        <w:t xml:space="preserve"> ve výši 1 651,06 mil. Kč a</w:t>
      </w:r>
      <w:r w:rsidR="00FA1485">
        <w:rPr>
          <w:rFonts w:asciiTheme="minorHAnsi" w:hAnsiTheme="minorHAnsi"/>
        </w:rPr>
        <w:t xml:space="preserve"> na </w:t>
      </w:r>
      <w:r w:rsidRPr="00E23815">
        <w:rPr>
          <w:rFonts w:asciiTheme="minorHAnsi" w:hAnsiTheme="minorHAnsi"/>
        </w:rPr>
        <w:t xml:space="preserve">rozpočtové položce 6342 </w:t>
      </w:r>
      <w:r w:rsidRPr="00E23815">
        <w:rPr>
          <w:rFonts w:asciiTheme="minorHAnsi" w:hAnsiTheme="minorHAnsi" w:cstheme="minorHAnsi"/>
        </w:rPr>
        <w:t>–</w:t>
      </w:r>
      <w:r w:rsidRPr="00E23815">
        <w:rPr>
          <w:rFonts w:asciiTheme="minorHAnsi" w:hAnsiTheme="minorHAnsi"/>
        </w:rPr>
        <w:t xml:space="preserve"> </w:t>
      </w:r>
      <w:r w:rsidRPr="00E23815">
        <w:rPr>
          <w:rFonts w:asciiTheme="minorHAnsi" w:hAnsiTheme="minorHAnsi"/>
          <w:i/>
        </w:rPr>
        <w:t>Investiční transfery krajům</w:t>
      </w:r>
      <w:r w:rsidRPr="00E23815">
        <w:rPr>
          <w:rFonts w:asciiTheme="minorHAnsi" w:hAnsiTheme="minorHAnsi"/>
        </w:rPr>
        <w:t xml:space="preserve"> ve výši 1 209,52 mil. Kč.</w:t>
      </w:r>
      <w:r w:rsidR="00E240B6" w:rsidRPr="00E23815">
        <w:rPr>
          <w:rFonts w:asciiTheme="minorHAnsi" w:hAnsiTheme="minorHAnsi"/>
        </w:rPr>
        <w:t xml:space="preserve"> </w:t>
      </w:r>
    </w:p>
    <w:p w14:paraId="2E274641" w14:textId="77777777" w:rsidR="00E240B6" w:rsidRPr="00E23815" w:rsidRDefault="00E240B6" w:rsidP="00E240B6">
      <w:pPr>
        <w:spacing w:after="0"/>
        <w:jc w:val="both"/>
        <w:rPr>
          <w:rFonts w:cs="Calibri"/>
        </w:rPr>
      </w:pPr>
    </w:p>
    <w:p w14:paraId="7A0D3EEB" w14:textId="77777777" w:rsidR="00E727F0" w:rsidRPr="00E23815" w:rsidRDefault="00E727F0" w:rsidP="00AF65F6">
      <w:pPr>
        <w:keepNext/>
        <w:spacing w:after="0"/>
        <w:jc w:val="both"/>
      </w:pPr>
      <w:r w:rsidRPr="00E23815">
        <w:lastRenderedPageBreak/>
        <w:t xml:space="preserve">Na hospodaření MŽP se dá nahlížet dvěma různými způsoby: </w:t>
      </w:r>
    </w:p>
    <w:p w14:paraId="6933B2C8" w14:textId="77777777" w:rsidR="00E727F0" w:rsidRPr="00E23815" w:rsidRDefault="00E727F0" w:rsidP="00E727F0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</w:rPr>
      </w:pPr>
      <w:r w:rsidRPr="00E23815">
        <w:t>lze sledovat plnění rozpočtu, tj. využívat výkaznictví založené na peněžní bázi</w:t>
      </w:r>
      <w:r w:rsidRPr="00E23815">
        <w:rPr>
          <w:rStyle w:val="Znakapoznpodarou"/>
        </w:rPr>
        <w:footnoteReference w:id="49"/>
      </w:r>
      <w:r w:rsidR="00FA1485">
        <w:t>,</w:t>
      </w:r>
    </w:p>
    <w:p w14:paraId="7F5E94C5" w14:textId="77777777" w:rsidR="00E727F0" w:rsidRPr="00E23815" w:rsidRDefault="00E727F0" w:rsidP="00E727F0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</w:rPr>
      </w:pPr>
      <w:r w:rsidRPr="00E23815">
        <w:t>nebo lze sledovat údaje z účetnictví, tj. používat výkaznictví založené na akruální bázi</w:t>
      </w:r>
      <w:r w:rsidRPr="00E23815">
        <w:rPr>
          <w:rStyle w:val="Znakapoznpodarou"/>
        </w:rPr>
        <w:footnoteReference w:id="50"/>
      </w:r>
      <w:r w:rsidRPr="00E23815">
        <w:t>.</w:t>
      </w:r>
    </w:p>
    <w:p w14:paraId="6A7E3BE8" w14:textId="77777777" w:rsidR="00E727F0" w:rsidRPr="00E23815" w:rsidRDefault="00E727F0" w:rsidP="00E240B6">
      <w:pPr>
        <w:jc w:val="both"/>
        <w:rPr>
          <w:rFonts w:cs="Calibri"/>
          <w:bCs/>
        </w:rPr>
      </w:pPr>
    </w:p>
    <w:p w14:paraId="07CD1451" w14:textId="77777777" w:rsidR="00E727F0" w:rsidRPr="00E23815" w:rsidRDefault="007745F3" w:rsidP="00E240B6">
      <w:pPr>
        <w:jc w:val="both"/>
        <w:rPr>
          <w:rFonts w:cs="Calibri"/>
          <w:b/>
          <w:bCs/>
        </w:rPr>
      </w:pPr>
      <w:r w:rsidRPr="00E23815">
        <w:rPr>
          <w:rFonts w:cs="Calibri"/>
          <w:b/>
          <w:bCs/>
        </w:rPr>
        <w:t>Porovnáním výsledku rozpočtového hospodaření MŽP za rok 2022 hodnoceného na bázi peněžních toků a na akruální bázi byl zjištěn rozdíl ve výši 38 752,19 mil. Kč.</w:t>
      </w:r>
    </w:p>
    <w:p w14:paraId="61912384" w14:textId="78653315" w:rsidR="00E727F0" w:rsidRPr="00E23815" w:rsidRDefault="007745F3" w:rsidP="00E240B6">
      <w:pPr>
        <w:jc w:val="both"/>
        <w:rPr>
          <w:rFonts w:cs="Calibri"/>
          <w:bCs/>
        </w:rPr>
      </w:pPr>
      <w:r w:rsidRPr="00E23815">
        <w:rPr>
          <w:rFonts w:cs="Calibri"/>
          <w:bCs/>
        </w:rPr>
        <w:t>Výsledn</w:t>
      </w:r>
      <w:r w:rsidR="00FA1485">
        <w:rPr>
          <w:rFonts w:cs="Calibri"/>
          <w:bCs/>
        </w:rPr>
        <w:t>ým</w:t>
      </w:r>
      <w:r w:rsidRPr="00E23815">
        <w:rPr>
          <w:rFonts w:cs="Calibri"/>
          <w:bCs/>
        </w:rPr>
        <w:t xml:space="preserve"> </w:t>
      </w:r>
      <w:r w:rsidRPr="00E23815">
        <w:rPr>
          <w:rFonts w:cs="Calibri"/>
          <w:b/>
          <w:bCs/>
        </w:rPr>
        <w:t>sald</w:t>
      </w:r>
      <w:r w:rsidR="00FA1485">
        <w:rPr>
          <w:rFonts w:cs="Calibri"/>
          <w:b/>
          <w:bCs/>
        </w:rPr>
        <w:t>em</w:t>
      </w:r>
      <w:r w:rsidRPr="00E23815">
        <w:rPr>
          <w:rFonts w:cs="Calibri"/>
          <w:b/>
          <w:bCs/>
        </w:rPr>
        <w:t xml:space="preserve"> peněžních toků</w:t>
      </w:r>
      <w:r w:rsidRPr="00E23815">
        <w:rPr>
          <w:rFonts w:cs="Calibri"/>
          <w:bCs/>
        </w:rPr>
        <w:t xml:space="preserve"> dle výkazu pro hodnocení plnění rozpočtu byl </w:t>
      </w:r>
      <w:r w:rsidRPr="00E23815">
        <w:rPr>
          <w:rFonts w:cs="Calibri"/>
          <w:b/>
          <w:bCs/>
        </w:rPr>
        <w:t>deficit ve výši 120,49 mil. Kč</w:t>
      </w:r>
      <w:r w:rsidRPr="00AF65F6">
        <w:rPr>
          <w:rFonts w:cs="Calibri"/>
          <w:b/>
          <w:bCs/>
        </w:rPr>
        <w:t>.</w:t>
      </w:r>
    </w:p>
    <w:p w14:paraId="180C72B8" w14:textId="5D659F6B" w:rsidR="00E727F0" w:rsidRPr="00E23815" w:rsidRDefault="007745F3" w:rsidP="00E240B6">
      <w:pPr>
        <w:jc w:val="both"/>
        <w:rPr>
          <w:rFonts w:cs="Calibri"/>
          <w:bCs/>
        </w:rPr>
      </w:pPr>
      <w:r w:rsidRPr="00E23815">
        <w:rPr>
          <w:rFonts w:cs="Calibri"/>
          <w:b/>
          <w:bCs/>
        </w:rPr>
        <w:t>Výsled</w:t>
      </w:r>
      <w:r w:rsidR="00FA1485">
        <w:rPr>
          <w:rFonts w:cs="Calibri"/>
          <w:b/>
          <w:bCs/>
        </w:rPr>
        <w:t>kem</w:t>
      </w:r>
      <w:r w:rsidRPr="00E23815">
        <w:rPr>
          <w:rFonts w:cs="Calibri"/>
          <w:b/>
          <w:bCs/>
        </w:rPr>
        <w:t xml:space="preserve"> hospodaření běžného účetního období</w:t>
      </w:r>
      <w:r w:rsidRPr="00E23815">
        <w:rPr>
          <w:rFonts w:cs="Calibri"/>
          <w:bCs/>
        </w:rPr>
        <w:t xml:space="preserve"> dle účetního výkazu zisku a ztráty </w:t>
      </w:r>
      <w:r w:rsidRPr="00E23815">
        <w:rPr>
          <w:rFonts w:cs="Calibri"/>
          <w:b/>
          <w:bCs/>
        </w:rPr>
        <w:t>byl</w:t>
      </w:r>
      <w:r w:rsidR="00FA1485">
        <w:rPr>
          <w:rFonts w:cs="Calibri"/>
          <w:b/>
          <w:bCs/>
        </w:rPr>
        <w:t>a</w:t>
      </w:r>
      <w:r w:rsidRPr="00E23815">
        <w:rPr>
          <w:rFonts w:cs="Calibri"/>
          <w:b/>
          <w:bCs/>
        </w:rPr>
        <w:t xml:space="preserve"> ztráta ve výši 38 872,69 mil. Kč</w:t>
      </w:r>
      <w:r w:rsidRPr="00AF65F6">
        <w:rPr>
          <w:rFonts w:cs="Calibri"/>
          <w:b/>
          <w:bCs/>
        </w:rPr>
        <w:t>.</w:t>
      </w:r>
    </w:p>
    <w:p w14:paraId="3099C8AC" w14:textId="07BC746D" w:rsidR="00E240B6" w:rsidRPr="00E23815" w:rsidRDefault="00E727F0" w:rsidP="00E240B6">
      <w:pPr>
        <w:jc w:val="both"/>
        <w:rPr>
          <w:rFonts w:eastAsia="Calibri" w:cs="Calibri"/>
        </w:rPr>
      </w:pPr>
      <w:r w:rsidRPr="00E23815">
        <w:rPr>
          <w:rFonts w:cs="Calibri"/>
          <w:bCs/>
        </w:rPr>
        <w:t>Rozpočtové hospodaření tak skončilo s výsledkem více než 322krát lepším</w:t>
      </w:r>
      <w:r w:rsidR="00DB5838">
        <w:rPr>
          <w:rFonts w:cs="Calibri"/>
          <w:bCs/>
        </w:rPr>
        <w:t>,</w:t>
      </w:r>
      <w:r w:rsidRPr="00E23815">
        <w:rPr>
          <w:rFonts w:cs="Calibri"/>
          <w:bCs/>
        </w:rPr>
        <w:t xml:space="preserve"> než by se zdálo dle účetního výsledku hospodaření. </w:t>
      </w:r>
      <w:r w:rsidR="007745F3" w:rsidRPr="00E23815">
        <w:rPr>
          <w:rFonts w:cs="Calibri"/>
          <w:bCs/>
        </w:rPr>
        <w:t xml:space="preserve">Hlavní </w:t>
      </w:r>
      <w:r w:rsidR="00926C5F" w:rsidRPr="00E23815">
        <w:rPr>
          <w:rFonts w:cs="Calibri"/>
          <w:bCs/>
        </w:rPr>
        <w:t>skutečnosti</w:t>
      </w:r>
      <w:r w:rsidR="007745F3" w:rsidRPr="00E23815">
        <w:rPr>
          <w:rFonts w:cs="Calibri"/>
          <w:bCs/>
        </w:rPr>
        <w:t>, které způsob</w:t>
      </w:r>
      <w:r w:rsidR="00926C5F" w:rsidRPr="00E23815">
        <w:rPr>
          <w:rFonts w:cs="Calibri"/>
          <w:bCs/>
        </w:rPr>
        <w:t>ily</w:t>
      </w:r>
      <w:r w:rsidR="007745F3" w:rsidRPr="00E23815">
        <w:rPr>
          <w:rFonts w:cs="Calibri"/>
          <w:bCs/>
        </w:rPr>
        <w:t xml:space="preserve"> rozdíl</w:t>
      </w:r>
      <w:r w:rsidR="00FA1485" w:rsidRPr="00E23815">
        <w:rPr>
          <w:rFonts w:cs="Calibri"/>
          <w:bCs/>
        </w:rPr>
        <w:t xml:space="preserve"> 38 752,19</w:t>
      </w:r>
      <w:r w:rsidR="00FA1485">
        <w:rPr>
          <w:rFonts w:cs="Calibri"/>
          <w:bCs/>
        </w:rPr>
        <w:t> </w:t>
      </w:r>
      <w:r w:rsidR="00FA1485" w:rsidRPr="00E23815">
        <w:rPr>
          <w:rFonts w:cs="Calibri"/>
          <w:bCs/>
        </w:rPr>
        <w:t xml:space="preserve">mil. Kč </w:t>
      </w:r>
      <w:r w:rsidR="007745F3" w:rsidRPr="00E23815">
        <w:rPr>
          <w:rFonts w:cs="Calibri"/>
          <w:bCs/>
        </w:rPr>
        <w:t>mezi saldem peněžních toků a</w:t>
      </w:r>
      <w:r w:rsidR="001555A0">
        <w:rPr>
          <w:rFonts w:cs="Calibri"/>
          <w:bCs/>
        </w:rPr>
        <w:t xml:space="preserve"> </w:t>
      </w:r>
      <w:r w:rsidR="007745F3" w:rsidRPr="00E23815">
        <w:rPr>
          <w:rFonts w:cs="Calibri"/>
          <w:bCs/>
        </w:rPr>
        <w:t>výsledkem hospodaření</w:t>
      </w:r>
      <w:r w:rsidR="00FA1485">
        <w:rPr>
          <w:rFonts w:cs="Calibri"/>
          <w:bCs/>
        </w:rPr>
        <w:t>,</w:t>
      </w:r>
      <w:r w:rsidR="007745F3" w:rsidRPr="00E23815">
        <w:rPr>
          <w:rFonts w:cs="Calibri"/>
          <w:bCs/>
        </w:rPr>
        <w:t xml:space="preserve"> jsou uvedeny v</w:t>
      </w:r>
      <w:r w:rsidR="001555A0">
        <w:rPr>
          <w:rFonts w:cs="Calibri"/>
          <w:bCs/>
        </w:rPr>
        <w:t> </w:t>
      </w:r>
      <w:r w:rsidR="007745F3" w:rsidRPr="00E23815">
        <w:rPr>
          <w:rFonts w:cs="Calibri"/>
          <w:bCs/>
        </w:rPr>
        <w:t>následující tabulce</w:t>
      </w:r>
      <w:r w:rsidR="00E240B6" w:rsidRPr="00E23815">
        <w:rPr>
          <w:rFonts w:eastAsia="Calibri" w:cs="Calibri"/>
        </w:rPr>
        <w:t xml:space="preserve">. </w:t>
      </w:r>
      <w:r w:rsidR="00926C5F" w:rsidRPr="00E23815">
        <w:rPr>
          <w:rFonts w:eastAsia="Calibri" w:cs="Calibri"/>
        </w:rPr>
        <w:t xml:space="preserve">Jednalo se především o </w:t>
      </w:r>
      <w:r w:rsidR="00CC2110">
        <w:rPr>
          <w:rFonts w:eastAsia="Calibri" w:cs="Calibri"/>
        </w:rPr>
        <w:t xml:space="preserve">bezúplatné </w:t>
      </w:r>
      <w:r w:rsidR="00B75F08" w:rsidRPr="00E23815">
        <w:rPr>
          <w:rFonts w:eastAsia="Calibri" w:cs="Calibri"/>
        </w:rPr>
        <w:t xml:space="preserve">přidělování </w:t>
      </w:r>
      <w:r w:rsidR="00926C5F" w:rsidRPr="00E23815">
        <w:rPr>
          <w:rFonts w:eastAsia="Calibri" w:cs="Calibri"/>
        </w:rPr>
        <w:t>povolenek na emise skleníkových plynů a</w:t>
      </w:r>
      <w:r w:rsidR="001555A0">
        <w:rPr>
          <w:rFonts w:eastAsia="Calibri" w:cs="Calibri"/>
        </w:rPr>
        <w:t> o </w:t>
      </w:r>
      <w:r w:rsidR="00926C5F" w:rsidRPr="00E23815">
        <w:rPr>
          <w:rFonts w:eastAsia="Calibri" w:cs="Calibri"/>
        </w:rPr>
        <w:t>prodej</w:t>
      </w:r>
      <w:r w:rsidR="001555A0">
        <w:rPr>
          <w:rFonts w:eastAsia="Calibri" w:cs="Calibri"/>
        </w:rPr>
        <w:t>e</w:t>
      </w:r>
      <w:r w:rsidR="00CC2110">
        <w:rPr>
          <w:rFonts w:eastAsia="Calibri" w:cs="Calibri"/>
        </w:rPr>
        <w:t xml:space="preserve"> těchto povolenek</w:t>
      </w:r>
      <w:r w:rsidR="00926C5F" w:rsidRPr="00E23815">
        <w:rPr>
          <w:rFonts w:eastAsia="Calibri" w:cs="Calibri"/>
        </w:rPr>
        <w:t xml:space="preserve">, kdy byl </w:t>
      </w:r>
      <w:r w:rsidR="001555A0" w:rsidRPr="00E23815">
        <w:rPr>
          <w:rFonts w:eastAsia="Calibri" w:cs="Calibri"/>
        </w:rPr>
        <w:t xml:space="preserve">do nákladů zachycen úbytek majetku </w:t>
      </w:r>
      <w:r w:rsidR="00926C5F" w:rsidRPr="00E23815">
        <w:rPr>
          <w:rFonts w:eastAsia="Calibri" w:cs="Calibri"/>
        </w:rPr>
        <w:t xml:space="preserve">v řádu desítek </w:t>
      </w:r>
      <w:r w:rsidR="001555A0">
        <w:rPr>
          <w:rFonts w:eastAsia="Calibri" w:cs="Calibri"/>
        </w:rPr>
        <w:t>miliard korun</w:t>
      </w:r>
      <w:r w:rsidR="00CC2110">
        <w:rPr>
          <w:rFonts w:eastAsia="Calibri" w:cs="Calibri"/>
        </w:rPr>
        <w:t>, přičemž však nedošlo k žádnému výdeji peněžních prostředků</w:t>
      </w:r>
      <w:r w:rsidR="00926C5F" w:rsidRPr="00E23815">
        <w:rPr>
          <w:rFonts w:eastAsia="Calibri" w:cs="Calibri"/>
        </w:rPr>
        <w:t>.</w:t>
      </w:r>
    </w:p>
    <w:p w14:paraId="16B4416F" w14:textId="77777777" w:rsidR="00BB6830" w:rsidRPr="00E23815" w:rsidRDefault="00BB6830" w:rsidP="00742592">
      <w:pPr>
        <w:pStyle w:val="Titulek"/>
        <w:tabs>
          <w:tab w:val="right" w:pos="9070"/>
        </w:tabs>
        <w:ind w:left="1418" w:hanging="1418"/>
        <w:jc w:val="both"/>
      </w:pPr>
      <w:r w:rsidRPr="00E23815">
        <w:t>Tabulka č.</w:t>
      </w:r>
      <w:r w:rsidR="00AF4CF7" w:rsidRPr="00E23815">
        <w:t xml:space="preserve"> 1</w:t>
      </w:r>
      <w:r w:rsidRPr="00E23815">
        <w:t>:</w:t>
      </w:r>
      <w:r w:rsidR="00742592" w:rsidRPr="00E23815">
        <w:t xml:space="preserve"> Hlavní vlivy způsobující rozdíly mezi saldem peněžních toků a výsledkem hospodaření MŽP k 31.</w:t>
      </w:r>
      <w:r w:rsidR="001555A0">
        <w:t xml:space="preserve"> </w:t>
      </w:r>
      <w:r w:rsidR="00F97135">
        <w:t>prosinc</w:t>
      </w:r>
      <w:r w:rsidR="008E11A7">
        <w:t>i</w:t>
      </w:r>
      <w:r w:rsidR="00742592" w:rsidRPr="00E23815">
        <w:t xml:space="preserve"> 2022 </w:t>
      </w:r>
      <w:r w:rsidR="001555A0">
        <w:tab/>
      </w:r>
      <w:r w:rsidR="00742592" w:rsidRPr="00E23815">
        <w:t>(v mil. Kč)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268"/>
      </w:tblGrid>
      <w:tr w:rsidR="00B807B3" w:rsidRPr="00E23815" w14:paraId="36658F1A" w14:textId="77777777" w:rsidTr="00920ECE">
        <w:trPr>
          <w:trHeight w:val="315"/>
        </w:trPr>
        <w:tc>
          <w:tcPr>
            <w:tcW w:w="0" w:type="auto"/>
            <w:gridSpan w:val="4"/>
            <w:shd w:val="clear" w:color="000000" w:fill="E5F1FF"/>
            <w:noWrap/>
            <w:vAlign w:val="center"/>
            <w:hideMark/>
          </w:tcPr>
          <w:p w14:paraId="1C3EF5BA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Hlavní vlivy způsobující rozdíly mezi příjmy a výnosy</w:t>
            </w:r>
          </w:p>
        </w:tc>
      </w:tr>
      <w:tr w:rsidR="00B807B3" w:rsidRPr="00E23815" w14:paraId="422FFE54" w14:textId="77777777" w:rsidTr="00742592">
        <w:trPr>
          <w:trHeight w:val="315"/>
          <w:tblHeader/>
        </w:trPr>
        <w:tc>
          <w:tcPr>
            <w:tcW w:w="4962" w:type="dxa"/>
            <w:shd w:val="clear" w:color="000000" w:fill="E5F1FF"/>
            <w:noWrap/>
            <w:vAlign w:val="center"/>
            <w:hideMark/>
          </w:tcPr>
          <w:p w14:paraId="712FAA90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17" w:type="dxa"/>
            <w:shd w:val="clear" w:color="000000" w:fill="E5F1FF"/>
            <w:noWrap/>
            <w:vAlign w:val="center"/>
            <w:hideMark/>
          </w:tcPr>
          <w:p w14:paraId="4CAF5983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příjmy</w:t>
            </w:r>
          </w:p>
        </w:tc>
        <w:tc>
          <w:tcPr>
            <w:tcW w:w="1418" w:type="dxa"/>
            <w:shd w:val="clear" w:color="000000" w:fill="E5F1FF"/>
            <w:noWrap/>
            <w:vAlign w:val="center"/>
            <w:hideMark/>
          </w:tcPr>
          <w:p w14:paraId="7E09D286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</w:p>
        </w:tc>
        <w:tc>
          <w:tcPr>
            <w:tcW w:w="1268" w:type="dxa"/>
            <w:shd w:val="clear" w:color="000000" w:fill="E5F1FF"/>
            <w:vAlign w:val="center"/>
            <w:hideMark/>
          </w:tcPr>
          <w:p w14:paraId="59DE5A03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742592" w:rsidRPr="00E23815" w14:paraId="5393A817" w14:textId="77777777" w:rsidTr="00742592">
        <w:trPr>
          <w:trHeight w:val="615"/>
        </w:trPr>
        <w:tc>
          <w:tcPr>
            <w:tcW w:w="4962" w:type="dxa"/>
            <w:shd w:val="clear" w:color="auto" w:fill="auto"/>
            <w:vAlign w:val="center"/>
            <w:hideMark/>
          </w:tcPr>
          <w:p w14:paraId="463CC32B" w14:textId="63CB2A26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Prodej povolenek </w:t>
            </w:r>
            <w:r w:rsidR="00243109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na emise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727F0" w:rsidRPr="00E23815">
              <w:rPr>
                <w:rFonts w:cstheme="minorHAnsi"/>
                <w:sz w:val="20"/>
                <w:szCs w:val="20"/>
              </w:rPr>
              <w:t>skleníkových plynů</w:t>
            </w:r>
            <w:r w:rsidR="00E727F0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 rámci EU</w:t>
            </w:r>
            <w:r w:rsidR="001555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ETS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181C9E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16 464,42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0EA4A0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16 544,04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8CE760C" w14:textId="041CE89F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AF65F6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79,62</w:t>
            </w:r>
          </w:p>
        </w:tc>
      </w:tr>
      <w:tr w:rsidR="00742592" w:rsidRPr="00E23815" w14:paraId="5703FC67" w14:textId="77777777" w:rsidTr="00742592">
        <w:trPr>
          <w:trHeight w:val="615"/>
        </w:trPr>
        <w:tc>
          <w:tcPr>
            <w:tcW w:w="4962" w:type="dxa"/>
            <w:shd w:val="clear" w:color="auto" w:fill="auto"/>
            <w:vAlign w:val="center"/>
            <w:hideMark/>
          </w:tcPr>
          <w:p w14:paraId="62A44C40" w14:textId="77777777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Výnosy z přecenění na reálnou hodnotu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0E218B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29B9B9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4 009,12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4C6BB16" w14:textId="6414D60E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4 009,12</w:t>
            </w:r>
          </w:p>
        </w:tc>
      </w:tr>
      <w:tr w:rsidR="00742592" w:rsidRPr="00E23815" w14:paraId="7702366F" w14:textId="77777777" w:rsidTr="00742592">
        <w:trPr>
          <w:trHeight w:val="615"/>
        </w:trPr>
        <w:tc>
          <w:tcPr>
            <w:tcW w:w="4962" w:type="dxa"/>
            <w:shd w:val="clear" w:color="auto" w:fill="auto"/>
            <w:vAlign w:val="center"/>
            <w:hideMark/>
          </w:tcPr>
          <w:p w14:paraId="4EF6EB36" w14:textId="77777777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Změna stavu krátkodobých pohledávek </w:t>
            </w:r>
            <w:r w:rsidR="00CC41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stanovená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nepřímou metodou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AA50C1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E8E9A9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B58C173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140,96</w:t>
            </w:r>
          </w:p>
        </w:tc>
      </w:tr>
      <w:tr w:rsidR="00B807B3" w:rsidRPr="00E23815" w14:paraId="293482E6" w14:textId="77777777" w:rsidTr="00742592">
        <w:trPr>
          <w:trHeight w:val="315"/>
        </w:trPr>
        <w:tc>
          <w:tcPr>
            <w:tcW w:w="7797" w:type="dxa"/>
            <w:gridSpan w:val="3"/>
            <w:shd w:val="clear" w:color="000000" w:fill="F2C6C9"/>
            <w:noWrap/>
            <w:vAlign w:val="center"/>
            <w:hideMark/>
          </w:tcPr>
          <w:p w14:paraId="2AEF427A" w14:textId="77777777" w:rsidR="00B807B3" w:rsidRPr="00E23815" w:rsidRDefault="00B807B3" w:rsidP="000F78D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účetní operace celkem</w:t>
            </w:r>
          </w:p>
        </w:tc>
        <w:tc>
          <w:tcPr>
            <w:tcW w:w="1268" w:type="dxa"/>
            <w:shd w:val="clear" w:color="000000" w:fill="F2C6C9"/>
            <w:noWrap/>
            <w:vAlign w:val="center"/>
            <w:hideMark/>
          </w:tcPr>
          <w:p w14:paraId="37D6096E" w14:textId="0E64BD11" w:rsidR="00B807B3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cs="Calibri"/>
                <w:b/>
                <w:sz w:val="20"/>
                <w:szCs w:val="20"/>
              </w:rPr>
              <w:t>3 947,77</w:t>
            </w:r>
          </w:p>
        </w:tc>
      </w:tr>
      <w:tr w:rsidR="00B807B3" w:rsidRPr="00E23815" w14:paraId="1CA07DB6" w14:textId="77777777" w:rsidTr="00566C2A">
        <w:trPr>
          <w:trHeight w:val="315"/>
        </w:trPr>
        <w:tc>
          <w:tcPr>
            <w:tcW w:w="0" w:type="auto"/>
            <w:gridSpan w:val="4"/>
            <w:shd w:val="clear" w:color="000000" w:fill="E5F1FF"/>
            <w:noWrap/>
            <w:vAlign w:val="center"/>
            <w:hideMark/>
          </w:tcPr>
          <w:p w14:paraId="5E8E8566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Hlavní vlivy způsobující rozdíly mezi výdaji a náklady</w:t>
            </w:r>
          </w:p>
        </w:tc>
      </w:tr>
      <w:tr w:rsidR="00B807B3" w:rsidRPr="00E23815" w14:paraId="29FDA8C1" w14:textId="77777777" w:rsidTr="00742592">
        <w:trPr>
          <w:trHeight w:val="315"/>
        </w:trPr>
        <w:tc>
          <w:tcPr>
            <w:tcW w:w="4962" w:type="dxa"/>
            <w:shd w:val="clear" w:color="000000" w:fill="E5F1FF"/>
            <w:noWrap/>
            <w:vAlign w:val="center"/>
            <w:hideMark/>
          </w:tcPr>
          <w:p w14:paraId="540378EC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417" w:type="dxa"/>
            <w:shd w:val="clear" w:color="000000" w:fill="E5F1FF"/>
            <w:noWrap/>
            <w:vAlign w:val="center"/>
            <w:hideMark/>
          </w:tcPr>
          <w:p w14:paraId="2442CC5A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</w:p>
        </w:tc>
        <w:tc>
          <w:tcPr>
            <w:tcW w:w="1418" w:type="dxa"/>
            <w:shd w:val="clear" w:color="000000" w:fill="E5F1FF"/>
            <w:noWrap/>
            <w:vAlign w:val="center"/>
            <w:hideMark/>
          </w:tcPr>
          <w:p w14:paraId="31A671A3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</w:p>
        </w:tc>
        <w:tc>
          <w:tcPr>
            <w:tcW w:w="1268" w:type="dxa"/>
            <w:shd w:val="clear" w:color="000000" w:fill="E5F1FF"/>
            <w:vAlign w:val="center"/>
            <w:hideMark/>
          </w:tcPr>
          <w:p w14:paraId="596244FE" w14:textId="77777777" w:rsidR="00B807B3" w:rsidRPr="00E23815" w:rsidRDefault="00B807B3" w:rsidP="000F78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</w:p>
        </w:tc>
      </w:tr>
      <w:tr w:rsidR="00742592" w:rsidRPr="00E23815" w14:paraId="7E2636DC" w14:textId="77777777" w:rsidTr="00742592">
        <w:trPr>
          <w:trHeight w:val="31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033FBDD9" w14:textId="49B5F0D2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Odpisy </w:t>
            </w:r>
            <w:r w:rsidR="001555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dlouhodobého majetku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62D71E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E376F6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50,02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A579CC7" w14:textId="63E4723E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50,02</w:t>
            </w:r>
          </w:p>
        </w:tc>
      </w:tr>
      <w:tr w:rsidR="00742592" w:rsidRPr="00E23815" w14:paraId="4DED1A6D" w14:textId="77777777" w:rsidTr="00742592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14:paraId="1B139B72" w14:textId="77777777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Opravné položky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3F3243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7829FA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726,89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2DEF3C68" w14:textId="4DFF9914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726,89</w:t>
            </w:r>
          </w:p>
        </w:tc>
      </w:tr>
      <w:tr w:rsidR="00742592" w:rsidRPr="00E23815" w14:paraId="55E40385" w14:textId="77777777" w:rsidTr="00742592">
        <w:trPr>
          <w:trHeight w:val="31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1C1BADBA" w14:textId="77777777" w:rsidR="00742592" w:rsidRPr="00E23815" w:rsidRDefault="008A7647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Přidělení bezplatných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povolenek </w:t>
            </w:r>
            <w:r w:rsidR="00243109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na emise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A3E7C" w:rsidRPr="00E23815">
              <w:rPr>
                <w:sz w:val="20"/>
                <w:szCs w:val="20"/>
              </w:rPr>
              <w:t>skleníkových plynů</w:t>
            </w:r>
            <w:r w:rsidR="00BA3E7C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provozovatelům zařízení</w:t>
            </w:r>
            <w:r w:rsidR="00243109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nebo</w:t>
            </w:r>
            <w:r w:rsidR="00E727F0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letadel v rámci EU ETS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48226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61D3E2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30 732,17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50A441D" w14:textId="61A064F6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30 732,17</w:t>
            </w:r>
          </w:p>
        </w:tc>
      </w:tr>
      <w:tr w:rsidR="00742592" w:rsidRPr="00E23815" w14:paraId="372A667C" w14:textId="77777777" w:rsidTr="00742592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14:paraId="2767F03E" w14:textId="77777777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Prodaný dlouhodobý majetek v souvislosti se zapojení</w:t>
            </w:r>
            <w:r w:rsidR="00243109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m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do </w:t>
            </w:r>
            <w:r w:rsidR="00243109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EU ETS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835B7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B19A59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16 097,82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F7B459C" w14:textId="614E2342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16 097,82</w:t>
            </w:r>
          </w:p>
        </w:tc>
      </w:tr>
      <w:tr w:rsidR="00742592" w:rsidRPr="00E23815" w14:paraId="47FDD2C0" w14:textId="77777777" w:rsidTr="00742592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70AA83C7" w14:textId="77777777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Náklady z přecenění na reálnou hodnotu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8E563D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8F4031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33,96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9E966D" w14:textId="0DAB786A" w:rsidR="00742592" w:rsidRPr="00E23815" w:rsidRDefault="001555A0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33,96</w:t>
            </w:r>
          </w:p>
        </w:tc>
      </w:tr>
      <w:tr w:rsidR="00742592" w:rsidRPr="00E23815" w14:paraId="7E42C49D" w14:textId="77777777" w:rsidTr="00742592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6F8AF307" w14:textId="10D46CBA" w:rsidR="00742592" w:rsidRPr="00E23815" w:rsidRDefault="00742592" w:rsidP="000F78D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poskytnuté zálohy na transfery (počítáno z</w:t>
            </w:r>
            <w:r w:rsidR="001555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obratu účtu 471 </w:t>
            </w:r>
            <w:r w:rsidR="001555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F78D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Dlouhodobé poskytnuté zálohy</w:t>
            </w:r>
            <w:r w:rsidR="001555A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 xml:space="preserve"> na transfery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9A473C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5 917,18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AB8DA7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5663D19" w14:textId="77777777" w:rsidR="00742592" w:rsidRPr="00E23815" w:rsidRDefault="00742592" w:rsidP="000F78D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5 917,18</w:t>
            </w:r>
          </w:p>
        </w:tc>
      </w:tr>
      <w:tr w:rsidR="00742592" w:rsidRPr="00E23815" w14:paraId="36F4D587" w14:textId="77777777" w:rsidTr="00742592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14:paraId="627DC7C0" w14:textId="791B2200" w:rsidR="00742592" w:rsidRPr="00E23815" w:rsidRDefault="00742592" w:rsidP="00742592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lastRenderedPageBreak/>
              <w:t xml:space="preserve">Úpravy </w:t>
            </w:r>
            <w:r w:rsidR="00F7702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odhadu nákladů spotřebovaných k datu ÚZ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z</w:t>
            </w:r>
            <w:r w:rsidR="00A97F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poskytnutých transferů</w:t>
            </w:r>
            <w:r w:rsidR="00F77027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v průběhu roku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(počítáno z</w:t>
            </w:r>
            <w:r w:rsidR="00A97FF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obratu účtů 571 a 575)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4EF63" w14:textId="77777777" w:rsidR="00742592" w:rsidRPr="00E23815" w:rsidRDefault="00742592" w:rsidP="0074259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406C40" w14:textId="77777777" w:rsidR="00742592" w:rsidRPr="00E23815" w:rsidRDefault="00742592" w:rsidP="0074259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988,29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F85B170" w14:textId="20F44812" w:rsidR="00742592" w:rsidRPr="00E23815" w:rsidRDefault="00A97FFE" w:rsidP="00742592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988,29</w:t>
            </w:r>
          </w:p>
        </w:tc>
      </w:tr>
      <w:tr w:rsidR="00B807B3" w:rsidRPr="00E23815" w14:paraId="0BEBAAE1" w14:textId="77777777" w:rsidTr="00742592">
        <w:trPr>
          <w:trHeight w:val="315"/>
        </w:trPr>
        <w:tc>
          <w:tcPr>
            <w:tcW w:w="7797" w:type="dxa"/>
            <w:gridSpan w:val="3"/>
            <w:shd w:val="clear" w:color="000000" w:fill="F2C6C9"/>
            <w:noWrap/>
            <w:vAlign w:val="center"/>
            <w:hideMark/>
          </w:tcPr>
          <w:p w14:paraId="69B06C97" w14:textId="77777777" w:rsidR="00B807B3" w:rsidRPr="00E23815" w:rsidRDefault="00B807B3" w:rsidP="00B807B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účetní operace celkem</w:t>
            </w:r>
          </w:p>
        </w:tc>
        <w:tc>
          <w:tcPr>
            <w:tcW w:w="1268" w:type="dxa"/>
            <w:shd w:val="clear" w:color="000000" w:fill="F2C6C9"/>
            <w:noWrap/>
            <w:vAlign w:val="center"/>
            <w:hideMark/>
          </w:tcPr>
          <w:p w14:paraId="3042C0D0" w14:textId="567DADEF" w:rsidR="00B807B3" w:rsidRPr="00E23815" w:rsidRDefault="00A97FFE" w:rsidP="00B807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6523">
              <w:rPr>
                <w:rFonts w:cs="Calibri"/>
                <w:sz w:val="20"/>
                <w:szCs w:val="20"/>
              </w:rPr>
              <w:t>−</w:t>
            </w:r>
            <w:r w:rsidR="00742592"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42 711,96</w:t>
            </w:r>
          </w:p>
        </w:tc>
      </w:tr>
      <w:tr w:rsidR="00742592" w:rsidRPr="00E23815" w14:paraId="3C5EA6E8" w14:textId="77777777" w:rsidTr="00742592">
        <w:trPr>
          <w:trHeight w:val="608"/>
        </w:trPr>
        <w:tc>
          <w:tcPr>
            <w:tcW w:w="7797" w:type="dxa"/>
            <w:gridSpan w:val="3"/>
            <w:shd w:val="clear" w:color="000000" w:fill="F2C6C9"/>
            <w:vAlign w:val="center"/>
            <w:hideMark/>
          </w:tcPr>
          <w:p w14:paraId="6B073FDE" w14:textId="77777777" w:rsidR="00742592" w:rsidRPr="00E23815" w:rsidRDefault="00742592" w:rsidP="00742592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MŽP za významné operace celkem (diference ve výši 11,99 mil. Kč je považována za nevýznamnou)</w:t>
            </w:r>
          </w:p>
        </w:tc>
        <w:tc>
          <w:tcPr>
            <w:tcW w:w="1268" w:type="dxa"/>
            <w:shd w:val="clear" w:color="000000" w:fill="F2C6C9"/>
            <w:noWrap/>
            <w:vAlign w:val="center"/>
            <w:hideMark/>
          </w:tcPr>
          <w:p w14:paraId="102A2874" w14:textId="77777777" w:rsidR="00742592" w:rsidRPr="00E23815" w:rsidRDefault="00742592" w:rsidP="0074259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8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38 764,19</w:t>
            </w:r>
          </w:p>
        </w:tc>
      </w:tr>
    </w:tbl>
    <w:p w14:paraId="1635F809" w14:textId="77777777" w:rsidR="00F86B28" w:rsidRPr="00E23815" w:rsidRDefault="00B807B3" w:rsidP="00AF65F6">
      <w:pPr>
        <w:spacing w:before="40" w:after="0"/>
        <w:ind w:left="567" w:hanging="567"/>
        <w:rPr>
          <w:rFonts w:eastAsia="Calibri" w:cs="Calibri"/>
          <w:sz w:val="20"/>
          <w:szCs w:val="20"/>
        </w:rPr>
      </w:pPr>
      <w:r w:rsidRPr="00E23815">
        <w:rPr>
          <w:rFonts w:eastAsia="Calibri" w:cs="Calibri"/>
          <w:b/>
          <w:bCs/>
          <w:sz w:val="20"/>
          <w:szCs w:val="20"/>
        </w:rPr>
        <w:t>Zdroj:</w:t>
      </w:r>
      <w:r w:rsidRPr="00E23815">
        <w:rPr>
          <w:rFonts w:eastAsia="Calibri" w:cs="Calibri"/>
          <w:sz w:val="20"/>
          <w:szCs w:val="20"/>
        </w:rPr>
        <w:t xml:space="preserve"> </w:t>
      </w:r>
      <w:r w:rsidR="00A97FFE">
        <w:rPr>
          <w:rFonts w:eastAsia="Calibri" w:cs="Calibri"/>
          <w:sz w:val="20"/>
          <w:szCs w:val="20"/>
        </w:rPr>
        <w:tab/>
      </w:r>
      <w:r w:rsidRPr="00E23815">
        <w:rPr>
          <w:rFonts w:eastAsia="Calibri" w:cs="Calibri"/>
          <w:sz w:val="20"/>
          <w:szCs w:val="20"/>
        </w:rPr>
        <w:t xml:space="preserve">účetní data </w:t>
      </w:r>
      <w:r w:rsidR="00742592" w:rsidRPr="00E23815">
        <w:rPr>
          <w:rFonts w:eastAsia="Calibri" w:cs="Calibri"/>
          <w:sz w:val="20"/>
          <w:szCs w:val="20"/>
        </w:rPr>
        <w:t>MŽP</w:t>
      </w:r>
      <w:r w:rsidRPr="00E23815">
        <w:rPr>
          <w:rFonts w:eastAsia="Calibri" w:cs="Calibri"/>
          <w:sz w:val="20"/>
          <w:szCs w:val="20"/>
        </w:rPr>
        <w:t xml:space="preserve"> za rok 2022, ÚZ; zpracov</w:t>
      </w:r>
      <w:r w:rsidR="00316530" w:rsidRPr="00E23815">
        <w:rPr>
          <w:rFonts w:eastAsia="Calibri" w:cs="Calibri"/>
          <w:sz w:val="20"/>
          <w:szCs w:val="20"/>
        </w:rPr>
        <w:t>al</w:t>
      </w:r>
      <w:r w:rsidRPr="00E23815">
        <w:rPr>
          <w:rFonts w:eastAsia="Calibri" w:cs="Calibri"/>
          <w:sz w:val="20"/>
          <w:szCs w:val="20"/>
        </w:rPr>
        <w:t xml:space="preserve"> NKÚ.</w:t>
      </w:r>
    </w:p>
    <w:p w14:paraId="2F793E5F" w14:textId="45C4311F" w:rsidR="00316530" w:rsidRPr="00AF65F6" w:rsidRDefault="00742592" w:rsidP="00AF65F6">
      <w:pPr>
        <w:ind w:left="567" w:hanging="567"/>
        <w:jc w:val="both"/>
        <w:rPr>
          <w:sz w:val="20"/>
          <w:szCs w:val="20"/>
        </w:rPr>
      </w:pPr>
      <w:r w:rsidRPr="00E23815">
        <w:rPr>
          <w:b/>
          <w:bCs/>
          <w:sz w:val="20"/>
          <w:szCs w:val="20"/>
        </w:rPr>
        <w:t>Pozn.:</w:t>
      </w:r>
      <w:r w:rsidRPr="00E23815">
        <w:rPr>
          <w:b/>
          <w:bCs/>
          <w:i/>
          <w:sz w:val="20"/>
          <w:szCs w:val="20"/>
        </w:rPr>
        <w:t xml:space="preserve"> </w:t>
      </w:r>
      <w:r w:rsidR="00A97FFE">
        <w:rPr>
          <w:b/>
          <w:bCs/>
          <w:i/>
          <w:sz w:val="20"/>
          <w:szCs w:val="20"/>
        </w:rPr>
        <w:tab/>
      </w:r>
      <w:r w:rsidR="00A97FFE">
        <w:rPr>
          <w:bCs/>
          <w:sz w:val="20"/>
          <w:szCs w:val="20"/>
        </w:rPr>
        <w:t>V</w:t>
      </w:r>
      <w:r w:rsidRPr="000F78D8">
        <w:rPr>
          <w:bCs/>
          <w:sz w:val="20"/>
          <w:szCs w:val="20"/>
        </w:rPr>
        <w:t> některých případech náklady nepředstavují spotřebované zdroje, ale vycházejí ze specifik MŽP</w:t>
      </w:r>
      <w:r w:rsidR="00B96907">
        <w:rPr>
          <w:bCs/>
          <w:sz w:val="20"/>
          <w:szCs w:val="20"/>
        </w:rPr>
        <w:t>.</w:t>
      </w:r>
      <w:r w:rsidRPr="000F78D8">
        <w:rPr>
          <w:bCs/>
          <w:sz w:val="20"/>
          <w:szCs w:val="20"/>
        </w:rPr>
        <w:t xml:space="preserve"> </w:t>
      </w:r>
      <w:r w:rsidR="00B96907">
        <w:rPr>
          <w:bCs/>
          <w:sz w:val="20"/>
          <w:szCs w:val="20"/>
        </w:rPr>
        <w:t>V</w:t>
      </w:r>
      <w:r w:rsidRPr="000F78D8">
        <w:rPr>
          <w:bCs/>
          <w:sz w:val="20"/>
          <w:szCs w:val="20"/>
        </w:rPr>
        <w:t xml:space="preserve"> důsledku ustanovení § 17 odst. 1 zákona č. 383/2012 Sb. MŽP na účtech 543 – </w:t>
      </w:r>
      <w:r w:rsidRPr="000F78D8">
        <w:rPr>
          <w:bCs/>
          <w:i/>
          <w:sz w:val="20"/>
          <w:szCs w:val="20"/>
        </w:rPr>
        <w:t>Dary a jiná bezúplatná předání</w:t>
      </w:r>
      <w:r w:rsidRPr="000F78D8">
        <w:rPr>
          <w:bCs/>
          <w:sz w:val="20"/>
          <w:szCs w:val="20"/>
        </w:rPr>
        <w:t xml:space="preserve"> a 552 – </w:t>
      </w:r>
      <w:r w:rsidRPr="000F78D8">
        <w:rPr>
          <w:bCs/>
          <w:i/>
          <w:sz w:val="20"/>
          <w:szCs w:val="20"/>
        </w:rPr>
        <w:t>Prodaný dlouhodobý nehmotný majetek</w:t>
      </w:r>
      <w:r w:rsidRPr="000F78D8">
        <w:rPr>
          <w:bCs/>
          <w:sz w:val="20"/>
          <w:szCs w:val="20"/>
        </w:rPr>
        <w:t xml:space="preserve"> vykázalo náklady v celkové výši 46 829,99 mil. Kč, které představují úbytek aktiv (</w:t>
      </w:r>
      <w:r w:rsidR="00A97FFE">
        <w:rPr>
          <w:bCs/>
          <w:sz w:val="20"/>
          <w:szCs w:val="20"/>
        </w:rPr>
        <w:t>EP</w:t>
      </w:r>
      <w:r w:rsidRPr="000F78D8">
        <w:rPr>
          <w:bCs/>
          <w:sz w:val="20"/>
          <w:szCs w:val="20"/>
        </w:rPr>
        <w:t xml:space="preserve"> bezplatně předané provozovatelům zařízení/letadel a dále prodané </w:t>
      </w:r>
      <w:r w:rsidR="00A97FFE">
        <w:rPr>
          <w:bCs/>
          <w:sz w:val="20"/>
          <w:szCs w:val="20"/>
        </w:rPr>
        <w:t>EP</w:t>
      </w:r>
      <w:r w:rsidRPr="000F78D8">
        <w:rPr>
          <w:bCs/>
          <w:sz w:val="20"/>
          <w:szCs w:val="20"/>
        </w:rPr>
        <w:t xml:space="preserve"> a jednotky </w:t>
      </w:r>
      <w:proofErr w:type="spellStart"/>
      <w:r w:rsidRPr="000F78D8">
        <w:rPr>
          <w:bCs/>
          <w:sz w:val="20"/>
          <w:szCs w:val="20"/>
        </w:rPr>
        <w:t>AEA</w:t>
      </w:r>
      <w:r w:rsidR="00A97FFE">
        <w:rPr>
          <w:bCs/>
          <w:sz w:val="20"/>
          <w:szCs w:val="20"/>
        </w:rPr>
        <w:t>s</w:t>
      </w:r>
      <w:proofErr w:type="spellEnd"/>
      <w:r w:rsidR="00A97FFE">
        <w:rPr>
          <w:bCs/>
          <w:sz w:val="20"/>
          <w:szCs w:val="20"/>
        </w:rPr>
        <w:t xml:space="preserve"> na období </w:t>
      </w:r>
      <w:r w:rsidRPr="000F78D8">
        <w:rPr>
          <w:bCs/>
          <w:sz w:val="20"/>
          <w:szCs w:val="20"/>
        </w:rPr>
        <w:t>2013</w:t>
      </w:r>
      <w:r w:rsidR="00A97FFE">
        <w:rPr>
          <w:bCs/>
          <w:sz w:val="20"/>
          <w:szCs w:val="20"/>
        </w:rPr>
        <w:t>–2020</w:t>
      </w:r>
      <w:r w:rsidRPr="000F78D8">
        <w:rPr>
          <w:bCs/>
          <w:sz w:val="20"/>
          <w:szCs w:val="20"/>
        </w:rPr>
        <w:t>).</w:t>
      </w:r>
    </w:p>
    <w:p w14:paraId="595A98D4" w14:textId="77777777" w:rsidR="00F86B28" w:rsidRPr="00E23815" w:rsidRDefault="00F86B28" w:rsidP="00840A6E">
      <w:pPr>
        <w:jc w:val="both"/>
        <w:rPr>
          <w:rFonts w:cstheme="minorHAnsi"/>
        </w:rPr>
        <w:sectPr w:rsidR="00F86B28" w:rsidRPr="00E23815" w:rsidSect="00415B84">
          <w:headerReference w:type="default" r:id="rId37"/>
          <w:headerReference w:type="first" r:id="rId3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bookmarkStart w:id="11" w:name="_Hlk77770840"/>
    </w:p>
    <w:p w14:paraId="03A5E073" w14:textId="77777777" w:rsidR="00EB3525" w:rsidRDefault="00EB3525" w:rsidP="00EB3525">
      <w:pPr>
        <w:pStyle w:val="Nadpis2"/>
        <w:keepNext/>
        <w:keepLines/>
        <w:numPr>
          <w:ilvl w:val="0"/>
          <w:numId w:val="0"/>
        </w:numPr>
        <w:spacing w:after="120" w:line="240" w:lineRule="auto"/>
        <w:contextualSpacing w:val="0"/>
        <w:jc w:val="right"/>
      </w:pPr>
      <w:bookmarkStart w:id="12" w:name="_Ref131498121"/>
      <w:bookmarkStart w:id="13" w:name="_Ref132890540"/>
      <w:bookmarkStart w:id="14" w:name="_Toc131682139"/>
      <w:bookmarkStart w:id="15" w:name="_Toc133218593"/>
      <w:bookmarkEnd w:id="11"/>
      <w:r>
        <w:lastRenderedPageBreak/>
        <w:t>Příloha č. 4</w:t>
      </w:r>
    </w:p>
    <w:p w14:paraId="0DA050AE" w14:textId="77777777" w:rsidR="00235924" w:rsidRPr="00E23815" w:rsidRDefault="00235924" w:rsidP="00A97FFE">
      <w:pPr>
        <w:pStyle w:val="Nadpis2"/>
        <w:keepNext/>
        <w:keepLines/>
        <w:numPr>
          <w:ilvl w:val="1"/>
          <w:numId w:val="4"/>
        </w:numPr>
        <w:spacing w:after="120" w:line="240" w:lineRule="auto"/>
        <w:ind w:left="284" w:hanging="284"/>
        <w:contextualSpacing w:val="0"/>
      </w:pPr>
      <w:r w:rsidRPr="00E23815">
        <w:t>Využívání účetních informací M</w:t>
      </w:r>
      <w:r w:rsidR="00562BD8" w:rsidRPr="00E23815">
        <w:t>ŽP</w:t>
      </w:r>
      <w:r w:rsidRPr="00E23815">
        <w:t xml:space="preserve"> externími uživateli vč. zpětné vazby od nich</w:t>
      </w:r>
      <w:bookmarkEnd w:id="12"/>
      <w:bookmarkEnd w:id="13"/>
      <w:bookmarkEnd w:id="14"/>
      <w:bookmarkEnd w:id="15"/>
    </w:p>
    <w:p w14:paraId="5A43DFD4" w14:textId="77777777" w:rsidR="00086A73" w:rsidRPr="00E23815" w:rsidRDefault="00086A73" w:rsidP="00086A73">
      <w:pPr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 xml:space="preserve">MŽP uvedlo jako </w:t>
      </w:r>
      <w:r w:rsidRPr="00E23815">
        <w:rPr>
          <w:rFonts w:asciiTheme="minorHAnsi" w:hAnsiTheme="minorHAnsi" w:cstheme="minorHAnsi"/>
          <w:u w:val="single"/>
        </w:rPr>
        <w:t>externí uživatele</w:t>
      </w:r>
      <w:r w:rsidRPr="00E23815">
        <w:rPr>
          <w:rFonts w:asciiTheme="minorHAnsi" w:hAnsiTheme="minorHAnsi" w:cstheme="minorHAnsi"/>
        </w:rPr>
        <w:t xml:space="preserve"> údajů ze svých účetních závěrek:</w:t>
      </w:r>
    </w:p>
    <w:p w14:paraId="78EE9FD4" w14:textId="31ACD9D9" w:rsidR="00086A73" w:rsidRPr="00E23815" w:rsidRDefault="00920ECE" w:rsidP="008226C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financí</w:t>
      </w:r>
      <w:r w:rsidR="00086A73" w:rsidRPr="00E23815">
        <w:rPr>
          <w:rFonts w:asciiTheme="minorHAnsi" w:hAnsiTheme="minorHAnsi" w:cstheme="minorHAnsi"/>
        </w:rPr>
        <w:t xml:space="preserve">, které zveřejňuje účetní závěrky prostřednictvím informačního portálu </w:t>
      </w:r>
      <w:r w:rsidR="00A97FFE">
        <w:rPr>
          <w:rFonts w:asciiTheme="minorHAnsi" w:hAnsiTheme="minorHAnsi" w:cstheme="minorHAnsi"/>
        </w:rPr>
        <w:t>MONITOR</w:t>
      </w:r>
      <w:r w:rsidR="00086A73" w:rsidRPr="00E23815">
        <w:rPr>
          <w:rFonts w:asciiTheme="minorHAnsi" w:hAnsiTheme="minorHAnsi" w:cstheme="minorHAnsi"/>
        </w:rPr>
        <w:t xml:space="preserve"> (https://monitor.statnipokladna.cz/) a sestavuje účetní výkazy za ČR</w:t>
      </w:r>
      <w:r w:rsidR="00086A73" w:rsidRPr="00E23815">
        <w:rPr>
          <w:rFonts w:asciiTheme="minorHAnsi" w:hAnsiTheme="minorHAnsi" w:cstheme="minorHAnsi"/>
          <w:bCs/>
          <w:lang w:eastAsia="cs-CZ"/>
        </w:rPr>
        <w:t xml:space="preserve">. V minulosti </w:t>
      </w:r>
      <w:r w:rsidR="004B2C4C">
        <w:rPr>
          <w:rFonts w:asciiTheme="minorHAnsi" w:hAnsiTheme="minorHAnsi" w:cstheme="minorHAnsi"/>
        </w:rPr>
        <w:t>Ministerstvo financí</w:t>
      </w:r>
      <w:r w:rsidR="004B2C4C" w:rsidRPr="00E23815">
        <w:rPr>
          <w:rFonts w:asciiTheme="minorHAnsi" w:hAnsiTheme="minorHAnsi" w:cstheme="minorHAnsi"/>
          <w:bCs/>
          <w:lang w:eastAsia="cs-CZ"/>
        </w:rPr>
        <w:t xml:space="preserve"> </w:t>
      </w:r>
      <w:r w:rsidR="00086A73" w:rsidRPr="00E23815">
        <w:rPr>
          <w:rFonts w:asciiTheme="minorHAnsi" w:hAnsiTheme="minorHAnsi" w:cstheme="minorHAnsi"/>
          <w:bCs/>
          <w:lang w:eastAsia="cs-CZ"/>
        </w:rPr>
        <w:t>s</w:t>
      </w:r>
      <w:r w:rsidR="008B0516">
        <w:rPr>
          <w:rFonts w:asciiTheme="minorHAnsi" w:hAnsiTheme="minorHAnsi" w:cstheme="minorHAnsi"/>
          <w:bCs/>
          <w:lang w:eastAsia="cs-CZ"/>
        </w:rPr>
        <w:t xml:space="preserve"> </w:t>
      </w:r>
      <w:r w:rsidR="00086A73" w:rsidRPr="00E23815">
        <w:rPr>
          <w:rFonts w:asciiTheme="minorHAnsi" w:hAnsiTheme="minorHAnsi" w:cstheme="minorHAnsi"/>
          <w:bCs/>
          <w:lang w:eastAsia="cs-CZ"/>
        </w:rPr>
        <w:t xml:space="preserve">využitím informací o vybraných nákladech vytvářelo </w:t>
      </w:r>
      <w:r w:rsidR="00A97FFE" w:rsidRPr="00E23815">
        <w:rPr>
          <w:rFonts w:asciiTheme="minorHAnsi" w:hAnsiTheme="minorHAnsi" w:cstheme="minorHAnsi"/>
          <w:bCs/>
          <w:lang w:eastAsia="cs-CZ"/>
        </w:rPr>
        <w:t xml:space="preserve">rovněž </w:t>
      </w:r>
      <w:r w:rsidR="00086A73" w:rsidRPr="00E23815">
        <w:rPr>
          <w:rFonts w:asciiTheme="minorHAnsi" w:hAnsiTheme="minorHAnsi" w:cstheme="minorHAnsi"/>
          <w:bCs/>
          <w:lang w:eastAsia="cs-CZ"/>
        </w:rPr>
        <w:t>tzv. reporty hospodaření, které následně sloužily k sestavení reportu hospodaření za všechna ministerstva</w:t>
      </w:r>
      <w:r w:rsidR="00A97FFE">
        <w:rPr>
          <w:rFonts w:asciiTheme="minorHAnsi" w:hAnsiTheme="minorHAnsi" w:cstheme="minorHAnsi"/>
          <w:bCs/>
          <w:lang w:eastAsia="cs-CZ"/>
        </w:rPr>
        <w:t>;</w:t>
      </w:r>
    </w:p>
    <w:p w14:paraId="757683B8" w14:textId="0D1D72B0" w:rsidR="00086A73" w:rsidRPr="00E23815" w:rsidRDefault="00920ECE" w:rsidP="008226C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Český statistický úřad (dále také „</w:t>
      </w:r>
      <w:r w:rsidR="00086A73" w:rsidRPr="00E23815">
        <w:rPr>
          <w:rFonts w:asciiTheme="minorHAnsi" w:hAnsiTheme="minorHAnsi" w:cstheme="minorHAnsi"/>
        </w:rPr>
        <w:t>ČSÚ</w:t>
      </w:r>
      <w:r>
        <w:rPr>
          <w:rFonts w:asciiTheme="minorHAnsi" w:hAnsiTheme="minorHAnsi" w:cstheme="minorHAnsi"/>
        </w:rPr>
        <w:t>“)</w:t>
      </w:r>
      <w:r w:rsidR="00086A73" w:rsidRPr="00E23815">
        <w:rPr>
          <w:rFonts w:asciiTheme="minorHAnsi" w:hAnsiTheme="minorHAnsi" w:cstheme="minorHAnsi"/>
        </w:rPr>
        <w:t>, který využívá data z účetnictví v rámci statistického vykazování dle ESA 2010. Za tímto účelem využívá ČSÚ kromě údajů účetní závěrky i údaje z tzv. pomocného analytického přehledu</w:t>
      </w:r>
      <w:r w:rsidR="00A97FFE">
        <w:rPr>
          <w:rFonts w:asciiTheme="minorHAnsi" w:hAnsiTheme="minorHAnsi" w:cstheme="minorHAnsi"/>
        </w:rPr>
        <w:t>;</w:t>
      </w:r>
    </w:p>
    <w:p w14:paraId="5EA825D9" w14:textId="77777777" w:rsidR="00086A73" w:rsidRPr="00E23815" w:rsidRDefault="00086A73" w:rsidP="008226C5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  <w:bCs/>
          <w:lang w:eastAsia="cs-CZ"/>
        </w:rPr>
        <w:t>NKÚ, který údaje z účetních závěrek MŽP využívá při kontrolní činnosti.</w:t>
      </w:r>
    </w:p>
    <w:p w14:paraId="73C0E758" w14:textId="35C41661" w:rsidR="00086A73" w:rsidRPr="00E23815" w:rsidRDefault="00086A73" w:rsidP="00086A73">
      <w:pPr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  <w:bCs/>
          <w:lang w:eastAsia="cs-CZ"/>
        </w:rPr>
        <w:t xml:space="preserve">Výše uvedené subjekty využívají data předávaná ze strany MŽP do CSÚIS, přičemž zpětnou vazbu získává MŽP od ČSÚ (oblast vykazování emisních povolenek) a nově i od </w:t>
      </w:r>
      <w:r w:rsidR="004B2C4C">
        <w:rPr>
          <w:rFonts w:asciiTheme="minorHAnsi" w:hAnsiTheme="minorHAnsi" w:cstheme="minorHAnsi"/>
        </w:rPr>
        <w:t>Ministerstva financí</w:t>
      </w:r>
      <w:r w:rsidRPr="00E23815">
        <w:rPr>
          <w:rFonts w:asciiTheme="minorHAnsi" w:hAnsiTheme="minorHAnsi" w:cstheme="minorHAnsi"/>
          <w:bCs/>
          <w:lang w:eastAsia="cs-CZ"/>
        </w:rPr>
        <w:t xml:space="preserve"> na </w:t>
      </w:r>
      <w:r w:rsidR="004B2C4C">
        <w:rPr>
          <w:rFonts w:asciiTheme="minorHAnsi" w:hAnsiTheme="minorHAnsi" w:cstheme="minorHAnsi"/>
          <w:bCs/>
          <w:lang w:eastAsia="cs-CZ"/>
        </w:rPr>
        <w:t xml:space="preserve">tzv. </w:t>
      </w:r>
      <w:r w:rsidRPr="00E23815">
        <w:rPr>
          <w:rFonts w:asciiTheme="minorHAnsi" w:hAnsiTheme="minorHAnsi" w:cstheme="minorHAnsi"/>
          <w:bCs/>
          <w:lang w:eastAsia="cs-CZ"/>
        </w:rPr>
        <w:t>metodických dnech.</w:t>
      </w:r>
    </w:p>
    <w:p w14:paraId="4A78224A" w14:textId="3DC57A44" w:rsidR="00086A73" w:rsidRPr="00E23815" w:rsidRDefault="00086A73" w:rsidP="00086A73">
      <w:pPr>
        <w:spacing w:after="240"/>
        <w:jc w:val="both"/>
        <w:rPr>
          <w:rFonts w:asciiTheme="minorHAnsi" w:eastAsia="Calibri" w:hAnsiTheme="minorHAnsi" w:cstheme="minorHAnsi"/>
        </w:rPr>
      </w:pPr>
      <w:r w:rsidRPr="00E23815">
        <w:rPr>
          <w:rFonts w:asciiTheme="minorHAnsi" w:hAnsiTheme="minorHAnsi" w:cstheme="minorHAnsi"/>
          <w:bCs/>
          <w:lang w:eastAsia="cs-CZ"/>
        </w:rPr>
        <w:t>Možnost využití účetních informací vnímá MŽP i u občanů, a to prostřednictvím informačního portálu M</w:t>
      </w:r>
      <w:r w:rsidR="00A97FFE">
        <w:rPr>
          <w:rFonts w:asciiTheme="minorHAnsi" w:hAnsiTheme="minorHAnsi" w:cstheme="minorHAnsi"/>
          <w:bCs/>
          <w:lang w:eastAsia="cs-CZ"/>
        </w:rPr>
        <w:t>ONITOR</w:t>
      </w:r>
      <w:r w:rsidRPr="00E23815">
        <w:rPr>
          <w:rFonts w:asciiTheme="minorHAnsi" w:hAnsiTheme="minorHAnsi" w:cstheme="minorHAnsi"/>
          <w:bCs/>
          <w:lang w:eastAsia="cs-CZ"/>
        </w:rPr>
        <w:t>.</w:t>
      </w:r>
    </w:p>
    <w:p w14:paraId="7DC84C84" w14:textId="77777777" w:rsidR="00FC2B6C" w:rsidRPr="00E23815" w:rsidRDefault="00FC2B6C" w:rsidP="00A97FFE">
      <w:pPr>
        <w:pStyle w:val="Nadpis2"/>
        <w:keepNext/>
        <w:keepLines/>
        <w:numPr>
          <w:ilvl w:val="1"/>
          <w:numId w:val="4"/>
        </w:numPr>
        <w:spacing w:after="120" w:line="240" w:lineRule="auto"/>
        <w:ind w:left="284" w:hanging="284"/>
        <w:contextualSpacing w:val="0"/>
      </w:pPr>
      <w:bookmarkStart w:id="16" w:name="_Toc131682140"/>
      <w:bookmarkStart w:id="17" w:name="_Toc133218594"/>
      <w:r w:rsidRPr="00E23815">
        <w:t xml:space="preserve">Využívání účetních informací jiných vybraných účetních jednotek </w:t>
      </w:r>
      <w:bookmarkEnd w:id="16"/>
      <w:bookmarkEnd w:id="17"/>
      <w:r w:rsidR="00612638" w:rsidRPr="00E23815">
        <w:t>Ministerstvem životního prostředí</w:t>
      </w:r>
    </w:p>
    <w:p w14:paraId="082C69C7" w14:textId="6208A70F" w:rsidR="00FC2B6C" w:rsidRPr="00AF65F6" w:rsidRDefault="00612638" w:rsidP="00FC2B6C">
      <w:pPr>
        <w:spacing w:before="120" w:after="240"/>
        <w:jc w:val="both"/>
        <w:rPr>
          <w:rFonts w:asciiTheme="minorHAnsi" w:hAnsiTheme="minorHAnsi" w:cstheme="minorHAnsi"/>
          <w:lang w:eastAsia="cs-CZ"/>
        </w:rPr>
      </w:pPr>
      <w:r w:rsidRPr="00E23815">
        <w:rPr>
          <w:rFonts w:cs="Calibri"/>
          <w:bCs/>
          <w:lang w:eastAsia="cs-CZ"/>
        </w:rPr>
        <w:t xml:space="preserve">MŽP využívá účetní informace resortních organizací při sestavování závěrečného účtu. </w:t>
      </w:r>
      <w:r w:rsidR="008D3426">
        <w:rPr>
          <w:rFonts w:cs="Calibri"/>
          <w:bCs/>
          <w:lang w:eastAsia="cs-CZ"/>
        </w:rPr>
        <w:br/>
      </w:r>
      <w:r w:rsidRPr="00E23815">
        <w:rPr>
          <w:rFonts w:cs="Calibri"/>
          <w:bCs/>
          <w:lang w:eastAsia="cs-CZ"/>
        </w:rPr>
        <w:t>V</w:t>
      </w:r>
      <w:r w:rsidR="008D3426">
        <w:rPr>
          <w:rFonts w:cs="Calibri"/>
          <w:bCs/>
          <w:lang w:eastAsia="cs-CZ"/>
        </w:rPr>
        <w:t xml:space="preserve"> </w:t>
      </w:r>
      <w:r w:rsidRPr="00E23815">
        <w:rPr>
          <w:rFonts w:cs="Calibri"/>
          <w:bCs/>
          <w:lang w:eastAsia="cs-CZ"/>
        </w:rPr>
        <w:t xml:space="preserve">minulosti MŽP na základě účetních údajů podřízených organizací rozhodovalo </w:t>
      </w:r>
      <w:r w:rsidR="008B0516" w:rsidRPr="00E23815">
        <w:rPr>
          <w:rFonts w:cs="Calibri"/>
          <w:bCs/>
          <w:lang w:eastAsia="cs-CZ"/>
        </w:rPr>
        <w:t xml:space="preserve">také </w:t>
      </w:r>
      <w:r w:rsidRPr="00E23815">
        <w:rPr>
          <w:rFonts w:cs="Calibri"/>
          <w:bCs/>
          <w:lang w:eastAsia="cs-CZ"/>
        </w:rPr>
        <w:t xml:space="preserve">o financování </w:t>
      </w:r>
      <w:r w:rsidR="008B0516">
        <w:rPr>
          <w:rFonts w:cs="Calibri"/>
          <w:bCs/>
          <w:lang w:eastAsia="cs-CZ"/>
        </w:rPr>
        <w:t>těchto</w:t>
      </w:r>
      <w:r w:rsidRPr="00E23815">
        <w:rPr>
          <w:rFonts w:cs="Calibri"/>
          <w:bCs/>
          <w:lang w:eastAsia="cs-CZ"/>
        </w:rPr>
        <w:t xml:space="preserve"> organizací, např. v případě národních parků predikovalo hodnotu tržeb, které národní parky získají za vytěženou dřevní hmotu.</w:t>
      </w:r>
    </w:p>
    <w:p w14:paraId="2AE2BAA8" w14:textId="77777777" w:rsidR="00FC2B6C" w:rsidRPr="00E23815" w:rsidRDefault="00FC2B6C" w:rsidP="00AF65F6">
      <w:pPr>
        <w:pStyle w:val="Nadpis2"/>
        <w:keepNext/>
        <w:keepLines/>
        <w:numPr>
          <w:ilvl w:val="1"/>
          <w:numId w:val="4"/>
        </w:numPr>
        <w:spacing w:after="120" w:line="240" w:lineRule="auto"/>
        <w:ind w:left="284" w:hanging="284"/>
        <w:contextualSpacing w:val="0"/>
      </w:pPr>
      <w:bookmarkStart w:id="18" w:name="_Toc131682141"/>
      <w:bookmarkStart w:id="19" w:name="_Toc133218595"/>
      <w:r w:rsidRPr="00E23815">
        <w:t xml:space="preserve">Využívání účetních informací </w:t>
      </w:r>
      <w:r w:rsidR="007D6FB1" w:rsidRPr="00E23815">
        <w:t>MŽP</w:t>
      </w:r>
      <w:r w:rsidRPr="00E23815">
        <w:t xml:space="preserve"> pro účely vlastního rozhodování a řízení</w:t>
      </w:r>
      <w:bookmarkEnd w:id="18"/>
      <w:bookmarkEnd w:id="19"/>
    </w:p>
    <w:p w14:paraId="571F7DD2" w14:textId="77777777" w:rsidR="00D53143" w:rsidRPr="00E23815" w:rsidRDefault="00D53143" w:rsidP="00D53143">
      <w:pPr>
        <w:jc w:val="both"/>
        <w:rPr>
          <w:rFonts w:asciiTheme="minorHAnsi" w:hAnsiTheme="minorHAnsi" w:cstheme="minorHAnsi"/>
          <w:bCs/>
          <w:lang w:eastAsia="cs-CZ"/>
        </w:rPr>
      </w:pPr>
      <w:bookmarkStart w:id="20" w:name="_Hlk105488036"/>
      <w:r w:rsidRPr="00E23815">
        <w:rPr>
          <w:rFonts w:asciiTheme="minorHAnsi" w:hAnsiTheme="minorHAnsi" w:cstheme="minorHAnsi"/>
          <w:bCs/>
          <w:lang w:eastAsia="cs-CZ"/>
        </w:rPr>
        <w:t>Protože je MŽP organizační složkou státu</w:t>
      </w:r>
      <w:r w:rsidR="00926C5F" w:rsidRPr="00E23815">
        <w:rPr>
          <w:rFonts w:asciiTheme="minorHAnsi" w:hAnsiTheme="minorHAnsi" w:cstheme="minorHAnsi"/>
          <w:bCs/>
          <w:lang w:eastAsia="cs-CZ"/>
        </w:rPr>
        <w:t xml:space="preserve"> financovanou prostřednictvím státního rozpočtu</w:t>
      </w:r>
      <w:r w:rsidRPr="00E23815">
        <w:rPr>
          <w:rFonts w:asciiTheme="minorHAnsi" w:hAnsiTheme="minorHAnsi" w:cstheme="minorHAnsi"/>
          <w:bCs/>
          <w:lang w:eastAsia="cs-CZ"/>
        </w:rPr>
        <w:t xml:space="preserve">, využívá primárně rozpočtové informace (údaje o příjmech a výdajích). </w:t>
      </w:r>
      <w:bookmarkEnd w:id="20"/>
    </w:p>
    <w:p w14:paraId="6E2AC35E" w14:textId="77777777" w:rsidR="00D53143" w:rsidRPr="00E23815" w:rsidRDefault="00D53143" w:rsidP="00D53143">
      <w:pPr>
        <w:jc w:val="both"/>
        <w:rPr>
          <w:rFonts w:asciiTheme="minorHAnsi" w:hAnsiTheme="minorHAnsi" w:cstheme="minorHAnsi"/>
          <w:bCs/>
          <w:lang w:eastAsia="cs-CZ"/>
        </w:rPr>
      </w:pPr>
      <w:r w:rsidRPr="00E23815">
        <w:rPr>
          <w:rFonts w:asciiTheme="minorHAnsi" w:hAnsiTheme="minorHAnsi" w:cstheme="minorHAnsi"/>
          <w:bCs/>
          <w:lang w:eastAsia="cs-CZ"/>
        </w:rPr>
        <w:t>Z účetních údajů využívá MŽP údaje o výnosech z ostatních sdílených daní a poplatků</w:t>
      </w:r>
      <w:r w:rsidR="008630CD" w:rsidRPr="00E23815">
        <w:rPr>
          <w:rFonts w:asciiTheme="minorHAnsi" w:hAnsiTheme="minorHAnsi" w:cstheme="minorHAnsi"/>
          <w:bCs/>
          <w:lang w:eastAsia="cs-CZ"/>
        </w:rPr>
        <w:t xml:space="preserve"> (</w:t>
      </w:r>
      <w:r w:rsidR="00530DCA" w:rsidRPr="00E23815">
        <w:rPr>
          <w:rFonts w:asciiTheme="minorHAnsi" w:hAnsiTheme="minorHAnsi" w:cstheme="minorHAnsi"/>
          <w:bCs/>
          <w:lang w:eastAsia="cs-CZ"/>
        </w:rPr>
        <w:t>položka B.V. výkazu zisku a ztráty)</w:t>
      </w:r>
      <w:r w:rsidRPr="00E23815">
        <w:rPr>
          <w:rFonts w:asciiTheme="minorHAnsi" w:hAnsiTheme="minorHAnsi" w:cstheme="minorHAnsi"/>
          <w:bCs/>
          <w:lang w:eastAsia="cs-CZ"/>
        </w:rPr>
        <w:t>, a to pro rozhodnutí o výši částky, kterou uvoln</w:t>
      </w:r>
      <w:r w:rsidR="00DB5838">
        <w:rPr>
          <w:rFonts w:asciiTheme="minorHAnsi" w:hAnsiTheme="minorHAnsi" w:cstheme="minorHAnsi"/>
          <w:bCs/>
          <w:lang w:eastAsia="cs-CZ"/>
        </w:rPr>
        <w:t>í</w:t>
      </w:r>
      <w:r w:rsidRPr="00E23815">
        <w:rPr>
          <w:rFonts w:asciiTheme="minorHAnsi" w:hAnsiTheme="minorHAnsi" w:cstheme="minorHAnsi"/>
          <w:bCs/>
          <w:lang w:eastAsia="cs-CZ"/>
        </w:rPr>
        <w:t xml:space="preserve"> </w:t>
      </w:r>
      <w:r w:rsidR="00F83EB1" w:rsidRPr="00E23815">
        <w:rPr>
          <w:rFonts w:asciiTheme="minorHAnsi" w:hAnsiTheme="minorHAnsi" w:cstheme="minorHAnsi"/>
          <w:bCs/>
          <w:lang w:eastAsia="cs-CZ"/>
        </w:rPr>
        <w:t xml:space="preserve">státní </w:t>
      </w:r>
      <w:r w:rsidR="00767D13" w:rsidRPr="00E23815">
        <w:rPr>
          <w:rFonts w:asciiTheme="minorHAnsi" w:hAnsiTheme="minorHAnsi" w:cstheme="minorHAnsi"/>
          <w:bCs/>
          <w:lang w:eastAsia="cs-CZ"/>
        </w:rPr>
        <w:t xml:space="preserve">příspěvkové organizaci </w:t>
      </w:r>
      <w:r w:rsidRPr="00E23815">
        <w:rPr>
          <w:rFonts w:asciiTheme="minorHAnsi" w:hAnsiTheme="minorHAnsi" w:cstheme="minorHAnsi"/>
          <w:bCs/>
          <w:lang w:eastAsia="cs-CZ"/>
        </w:rPr>
        <w:t>a na stará důlní díla. Jedná se o výnosy z následujících sdílených poplatků:</w:t>
      </w:r>
    </w:p>
    <w:p w14:paraId="7995E46E" w14:textId="7088E994" w:rsidR="00D53143" w:rsidRPr="00E23815" w:rsidRDefault="00D53143" w:rsidP="008226C5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poplatky za znečišťování ovzduší dle zákona č. 201/2012 Sb.</w:t>
      </w:r>
      <w:r w:rsidR="00767D13" w:rsidRPr="00E23815">
        <w:rPr>
          <w:rStyle w:val="Znakapoznpodarou"/>
          <w:rFonts w:asciiTheme="minorHAnsi" w:hAnsiTheme="minorHAnsi" w:cstheme="minorHAnsi"/>
        </w:rPr>
        <w:footnoteReference w:id="51"/>
      </w:r>
      <w:r w:rsidRPr="00E23815">
        <w:rPr>
          <w:rFonts w:asciiTheme="minorHAnsi" w:hAnsiTheme="minorHAnsi" w:cstheme="minorHAnsi"/>
        </w:rPr>
        <w:t xml:space="preserve"> – výběr poplatků zajišťují celní úřady</w:t>
      </w:r>
      <w:r w:rsidR="008B0516">
        <w:rPr>
          <w:rFonts w:asciiTheme="minorHAnsi" w:hAnsiTheme="minorHAnsi" w:cstheme="minorHAnsi"/>
        </w:rPr>
        <w:t>;</w:t>
      </w:r>
    </w:p>
    <w:p w14:paraId="066956C3" w14:textId="74007EDF" w:rsidR="00D53143" w:rsidRPr="00E23815" w:rsidRDefault="00D53143" w:rsidP="008226C5">
      <w:pPr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úhrady z</w:t>
      </w:r>
      <w:r w:rsidR="008B0516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dobývacího prostoru a úhrady z</w:t>
      </w:r>
      <w:r w:rsidR="008B0516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>vydobytých nerostů dle zákona č. 44/1988 Sb.</w:t>
      </w:r>
      <w:r w:rsidR="00767D13" w:rsidRPr="00E23815">
        <w:rPr>
          <w:rStyle w:val="Znakapoznpodarou"/>
          <w:rFonts w:asciiTheme="minorHAnsi" w:hAnsiTheme="minorHAnsi" w:cstheme="minorHAnsi"/>
        </w:rPr>
        <w:footnoteReference w:id="52"/>
      </w:r>
      <w:r w:rsidRPr="00E23815">
        <w:rPr>
          <w:rFonts w:asciiTheme="minorHAnsi" w:hAnsiTheme="minorHAnsi" w:cstheme="minorHAnsi"/>
        </w:rPr>
        <w:t xml:space="preserve"> – výběr poplatků zajišťují obvodní báňské úřady.</w:t>
      </w:r>
    </w:p>
    <w:p w14:paraId="123221A1" w14:textId="0BE4F911" w:rsidR="00FC2B6C" w:rsidRPr="00E23815" w:rsidRDefault="00D53143" w:rsidP="009C20F9">
      <w:pPr>
        <w:spacing w:before="120"/>
        <w:jc w:val="both"/>
        <w:rPr>
          <w:rFonts w:asciiTheme="minorHAnsi" w:hAnsiTheme="minorHAnsi" w:cstheme="minorHAnsi"/>
        </w:rPr>
      </w:pPr>
      <w:r w:rsidRPr="00E23815">
        <w:rPr>
          <w:rFonts w:asciiTheme="minorHAnsi" w:hAnsiTheme="minorHAnsi" w:cstheme="minorHAnsi"/>
        </w:rPr>
        <w:t>V</w:t>
      </w:r>
      <w:r w:rsidR="008B0516">
        <w:rPr>
          <w:rFonts w:asciiTheme="minorHAnsi" w:hAnsiTheme="minorHAnsi" w:cstheme="minorHAnsi"/>
        </w:rPr>
        <w:t xml:space="preserve"> </w:t>
      </w:r>
      <w:r w:rsidRPr="00E23815">
        <w:rPr>
          <w:rFonts w:asciiTheme="minorHAnsi" w:hAnsiTheme="minorHAnsi" w:cstheme="minorHAnsi"/>
        </w:rPr>
        <w:t xml:space="preserve">oblasti sestavování a hodnocení plnění rozpočtu využívá MŽP účetní informace </w:t>
      </w:r>
      <w:r w:rsidR="004B2C4C">
        <w:rPr>
          <w:rFonts w:asciiTheme="minorHAnsi" w:hAnsiTheme="minorHAnsi" w:cstheme="minorHAnsi"/>
        </w:rPr>
        <w:br/>
      </w:r>
      <w:r w:rsidR="00767D13" w:rsidRPr="00E23815">
        <w:rPr>
          <w:rFonts w:asciiTheme="minorHAnsi" w:hAnsiTheme="minorHAnsi" w:cstheme="minorHAnsi"/>
        </w:rPr>
        <w:t>o</w:t>
      </w:r>
      <w:r w:rsidR="004B2C4C">
        <w:rPr>
          <w:rFonts w:asciiTheme="minorHAnsi" w:hAnsiTheme="minorHAnsi" w:cstheme="minorHAnsi"/>
        </w:rPr>
        <w:t xml:space="preserve"> </w:t>
      </w:r>
      <w:r w:rsidR="00767D13" w:rsidRPr="00E23815">
        <w:rPr>
          <w:rFonts w:asciiTheme="minorHAnsi" w:hAnsiTheme="minorHAnsi" w:cstheme="minorHAnsi"/>
        </w:rPr>
        <w:t>bezúplatných převodech</w:t>
      </w:r>
      <w:r w:rsidR="006F3D2C" w:rsidRPr="00E23815">
        <w:rPr>
          <w:rFonts w:asciiTheme="minorHAnsi" w:hAnsiTheme="minorHAnsi" w:cstheme="minorHAnsi"/>
        </w:rPr>
        <w:t xml:space="preserve"> dlouhodobého</w:t>
      </w:r>
      <w:r w:rsidR="00767D13" w:rsidRPr="00E23815">
        <w:rPr>
          <w:rFonts w:asciiTheme="minorHAnsi" w:hAnsiTheme="minorHAnsi" w:cstheme="minorHAnsi"/>
        </w:rPr>
        <w:t xml:space="preserve"> majetku </w:t>
      </w:r>
      <w:r w:rsidR="00530DCA" w:rsidRPr="00E23815">
        <w:rPr>
          <w:rFonts w:asciiTheme="minorHAnsi" w:hAnsiTheme="minorHAnsi" w:cstheme="minorHAnsi"/>
        </w:rPr>
        <w:t xml:space="preserve">(položky </w:t>
      </w:r>
      <w:r w:rsidR="00C32B10" w:rsidRPr="00E23815">
        <w:rPr>
          <w:rFonts w:asciiTheme="minorHAnsi" w:hAnsiTheme="minorHAnsi" w:cstheme="minorHAnsi"/>
        </w:rPr>
        <w:t>stálých aktiv z</w:t>
      </w:r>
      <w:r w:rsidR="00530DCA" w:rsidRPr="00E23815">
        <w:rPr>
          <w:rFonts w:asciiTheme="minorHAnsi" w:hAnsiTheme="minorHAnsi" w:cstheme="minorHAnsi"/>
        </w:rPr>
        <w:t xml:space="preserve"> rozvahy) </w:t>
      </w:r>
      <w:r w:rsidR="00767D13" w:rsidRPr="00E23815">
        <w:rPr>
          <w:rFonts w:asciiTheme="minorHAnsi" w:hAnsiTheme="minorHAnsi" w:cstheme="minorHAnsi"/>
        </w:rPr>
        <w:t>a</w:t>
      </w:r>
      <w:r w:rsidR="0084470D">
        <w:rPr>
          <w:rFonts w:asciiTheme="minorHAnsi" w:hAnsiTheme="minorHAnsi" w:cstheme="minorHAnsi"/>
        </w:rPr>
        <w:t> </w:t>
      </w:r>
      <w:r w:rsidR="00767D13" w:rsidRPr="00E23815">
        <w:rPr>
          <w:rFonts w:asciiTheme="minorHAnsi" w:hAnsiTheme="minorHAnsi" w:cstheme="minorHAnsi"/>
        </w:rPr>
        <w:t>o</w:t>
      </w:r>
      <w:r w:rsidR="0084470D">
        <w:rPr>
          <w:rFonts w:asciiTheme="minorHAnsi" w:hAnsiTheme="minorHAnsi" w:cstheme="minorHAnsi"/>
        </w:rPr>
        <w:t> </w:t>
      </w:r>
      <w:r w:rsidR="00767D13" w:rsidRPr="00E23815">
        <w:rPr>
          <w:rFonts w:asciiTheme="minorHAnsi" w:hAnsiTheme="minorHAnsi" w:cstheme="minorHAnsi"/>
        </w:rPr>
        <w:t xml:space="preserve">poskytnutých zálohách </w:t>
      </w:r>
      <w:r w:rsidR="00530DCA" w:rsidRPr="00E23815">
        <w:rPr>
          <w:rFonts w:asciiTheme="minorHAnsi" w:hAnsiTheme="minorHAnsi" w:cstheme="minorHAnsi"/>
        </w:rPr>
        <w:t xml:space="preserve">(položka B.II. rozvahy) </w:t>
      </w:r>
      <w:r w:rsidRPr="00E23815">
        <w:rPr>
          <w:rFonts w:asciiTheme="minorHAnsi" w:hAnsiTheme="minorHAnsi" w:cstheme="minorHAnsi"/>
        </w:rPr>
        <w:t>pro sestavení závěrečného účtu.</w:t>
      </w:r>
    </w:p>
    <w:p w14:paraId="2840C61A" w14:textId="77777777" w:rsidR="006B765F" w:rsidRPr="00E23815" w:rsidRDefault="00F00D49" w:rsidP="00AF65F6">
      <w:pPr>
        <w:pStyle w:val="Nadpis2"/>
        <w:keepNext/>
        <w:keepLines/>
        <w:numPr>
          <w:ilvl w:val="1"/>
          <w:numId w:val="4"/>
        </w:numPr>
        <w:spacing w:after="120" w:line="240" w:lineRule="auto"/>
        <w:ind w:left="284" w:hanging="284"/>
        <w:contextualSpacing w:val="0"/>
      </w:pPr>
      <w:r w:rsidRPr="00E23815">
        <w:rPr>
          <w:rFonts w:cs="Calibri"/>
          <w:b w:val="0"/>
          <w:bCs/>
          <w:lang w:eastAsia="cs-CZ"/>
        </w:rPr>
        <w:br w:type="page"/>
      </w:r>
      <w:r w:rsidR="006B765F" w:rsidRPr="00E23815">
        <w:lastRenderedPageBreak/>
        <w:t>Informace vykazované na podrozvahových účtech</w:t>
      </w:r>
    </w:p>
    <w:p w14:paraId="57FC9827" w14:textId="77777777" w:rsidR="006B765F" w:rsidRPr="00E23815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E23815">
        <w:rPr>
          <w:rFonts w:asciiTheme="minorHAnsi" w:hAnsiTheme="minorHAnsi" w:cstheme="minorHAnsi"/>
          <w:bCs/>
          <w:iCs/>
        </w:rPr>
        <w:t>Zákon č. 563/1991 Sb. v</w:t>
      </w:r>
      <w:r w:rsidR="0084470D">
        <w:rPr>
          <w:rFonts w:asciiTheme="minorHAnsi" w:hAnsiTheme="minorHAnsi" w:cstheme="minorHAnsi"/>
          <w:bCs/>
          <w:iCs/>
        </w:rPr>
        <w:t xml:space="preserve"> ustanovení </w:t>
      </w:r>
      <w:r w:rsidRPr="00E23815">
        <w:rPr>
          <w:rFonts w:asciiTheme="minorHAnsi" w:hAnsiTheme="minorHAnsi" w:cstheme="minorHAnsi"/>
          <w:bCs/>
          <w:iCs/>
        </w:rPr>
        <w:t xml:space="preserve">§ 7 odst. 5 stanovuje pro vybrané účetní jednotky povinnost uvádět v příloze účetní závěrky informace o stavu účtů v knize podrozvahových účtů. </w:t>
      </w:r>
    </w:p>
    <w:p w14:paraId="1065FFAA" w14:textId="77777777" w:rsidR="006B765F" w:rsidRPr="00E23815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E23815">
        <w:rPr>
          <w:rFonts w:asciiTheme="minorHAnsi" w:hAnsiTheme="minorHAnsi" w:cstheme="minorHAnsi"/>
          <w:bCs/>
          <w:iCs/>
        </w:rPr>
        <w:t>Uspořádání a označování podrozvahových účtů stanovuje příloha č. 5 vyhláš</w:t>
      </w:r>
      <w:r w:rsidR="00F34B20" w:rsidRPr="00E23815">
        <w:rPr>
          <w:rFonts w:asciiTheme="minorHAnsi" w:hAnsiTheme="minorHAnsi" w:cstheme="minorHAnsi"/>
          <w:bCs/>
          <w:iCs/>
        </w:rPr>
        <w:t>ky</w:t>
      </w:r>
      <w:r w:rsidRPr="00E23815">
        <w:rPr>
          <w:rFonts w:asciiTheme="minorHAnsi" w:hAnsiTheme="minorHAnsi" w:cstheme="minorHAnsi"/>
          <w:bCs/>
          <w:iCs/>
        </w:rPr>
        <w:t xml:space="preserve"> č. 410/2009 Sb. a </w:t>
      </w:r>
      <w:r w:rsidR="00F34B20" w:rsidRPr="00E23815">
        <w:rPr>
          <w:rFonts w:asciiTheme="minorHAnsi" w:hAnsiTheme="minorHAnsi" w:cstheme="minorHAnsi"/>
          <w:bCs/>
          <w:iCs/>
        </w:rPr>
        <w:t>také</w:t>
      </w:r>
      <w:r w:rsidRPr="00E23815">
        <w:rPr>
          <w:rFonts w:asciiTheme="minorHAnsi" w:hAnsiTheme="minorHAnsi" w:cstheme="minorHAnsi"/>
          <w:bCs/>
          <w:iCs/>
        </w:rPr>
        <w:t xml:space="preserve"> směrn</w:t>
      </w:r>
      <w:r w:rsidR="00F34B20" w:rsidRPr="00E23815">
        <w:rPr>
          <w:rFonts w:asciiTheme="minorHAnsi" w:hAnsiTheme="minorHAnsi" w:cstheme="minorHAnsi"/>
          <w:bCs/>
          <w:iCs/>
        </w:rPr>
        <w:t>á</w:t>
      </w:r>
      <w:r w:rsidRPr="00E23815">
        <w:rPr>
          <w:rFonts w:asciiTheme="minorHAnsi" w:hAnsiTheme="minorHAnsi" w:cstheme="minorHAnsi"/>
          <w:bCs/>
          <w:iCs/>
        </w:rPr>
        <w:t xml:space="preserve"> účtov</w:t>
      </w:r>
      <w:r w:rsidR="00F34B20" w:rsidRPr="00E23815">
        <w:rPr>
          <w:rFonts w:asciiTheme="minorHAnsi" w:hAnsiTheme="minorHAnsi" w:cstheme="minorHAnsi"/>
          <w:bCs/>
          <w:iCs/>
        </w:rPr>
        <w:t>á</w:t>
      </w:r>
      <w:r w:rsidRPr="00E23815">
        <w:rPr>
          <w:rFonts w:asciiTheme="minorHAnsi" w:hAnsiTheme="minorHAnsi" w:cstheme="minorHAnsi"/>
          <w:bCs/>
          <w:iCs/>
        </w:rPr>
        <w:t xml:space="preserve"> osnov</w:t>
      </w:r>
      <w:r w:rsidR="00F34B20" w:rsidRPr="00E23815">
        <w:rPr>
          <w:rFonts w:asciiTheme="minorHAnsi" w:hAnsiTheme="minorHAnsi" w:cstheme="minorHAnsi"/>
          <w:bCs/>
          <w:iCs/>
        </w:rPr>
        <w:t>a</w:t>
      </w:r>
      <w:r w:rsidRPr="00E23815">
        <w:rPr>
          <w:rFonts w:asciiTheme="minorHAnsi" w:hAnsiTheme="minorHAnsi" w:cstheme="minorHAnsi"/>
          <w:bCs/>
          <w:iCs/>
        </w:rPr>
        <w:t xml:space="preserve">, která je pro vybrané účetní jednotky dle </w:t>
      </w:r>
      <w:r w:rsidR="003E6E79" w:rsidRPr="00E23815">
        <w:rPr>
          <w:rFonts w:asciiTheme="minorHAnsi" w:hAnsiTheme="minorHAnsi" w:cstheme="minorHAnsi"/>
          <w:bCs/>
          <w:iCs/>
        </w:rPr>
        <w:t xml:space="preserve">ustanovení </w:t>
      </w:r>
      <w:r w:rsidRPr="00E23815">
        <w:rPr>
          <w:rFonts w:asciiTheme="minorHAnsi" w:hAnsiTheme="minorHAnsi" w:cstheme="minorHAnsi"/>
          <w:bCs/>
          <w:iCs/>
        </w:rPr>
        <w:t>§ 76 této vyhlášky závazná. Obsahové vymezení podrozvahových účtů je pak upraveno v</w:t>
      </w:r>
      <w:r w:rsidR="003E6E79" w:rsidRPr="00E23815">
        <w:rPr>
          <w:rFonts w:asciiTheme="minorHAnsi" w:hAnsiTheme="minorHAnsi" w:cstheme="minorHAnsi"/>
          <w:bCs/>
          <w:iCs/>
        </w:rPr>
        <w:t> ustanovení</w:t>
      </w:r>
      <w:r w:rsidR="008B0516">
        <w:rPr>
          <w:rFonts w:asciiTheme="minorHAnsi" w:hAnsiTheme="minorHAnsi" w:cstheme="minorHAnsi"/>
          <w:bCs/>
          <w:iCs/>
        </w:rPr>
        <w:t>ch</w:t>
      </w:r>
      <w:r w:rsidR="003E6E79" w:rsidRPr="00E23815">
        <w:rPr>
          <w:rFonts w:asciiTheme="minorHAnsi" w:hAnsiTheme="minorHAnsi" w:cstheme="minorHAnsi"/>
          <w:bCs/>
          <w:iCs/>
        </w:rPr>
        <w:t xml:space="preserve"> </w:t>
      </w:r>
      <w:r w:rsidRPr="00E23815">
        <w:rPr>
          <w:rFonts w:asciiTheme="minorHAnsi" w:hAnsiTheme="minorHAnsi" w:cstheme="minorHAnsi"/>
          <w:bCs/>
          <w:iCs/>
        </w:rPr>
        <w:t>§</w:t>
      </w:r>
      <w:r w:rsidR="007770C6" w:rsidRPr="00E23815">
        <w:rPr>
          <w:rFonts w:asciiTheme="minorHAnsi" w:hAnsiTheme="minorHAnsi" w:cstheme="minorHAnsi"/>
          <w:bCs/>
          <w:iCs/>
        </w:rPr>
        <w:t> </w:t>
      </w:r>
      <w:r w:rsidRPr="00E23815">
        <w:rPr>
          <w:rFonts w:asciiTheme="minorHAnsi" w:hAnsiTheme="minorHAnsi" w:cstheme="minorHAnsi"/>
          <w:bCs/>
          <w:iCs/>
        </w:rPr>
        <w:t>49 až 54 vyhlášky č. 410/2009 Sb.</w:t>
      </w:r>
    </w:p>
    <w:p w14:paraId="340DDB06" w14:textId="77777777" w:rsidR="006B765F" w:rsidRPr="00E23815" w:rsidRDefault="006B765F" w:rsidP="006B765F">
      <w:pPr>
        <w:jc w:val="both"/>
        <w:rPr>
          <w:rFonts w:asciiTheme="minorHAnsi" w:hAnsiTheme="minorHAnsi" w:cstheme="minorHAnsi"/>
          <w:bCs/>
          <w:iCs/>
        </w:rPr>
      </w:pPr>
      <w:r w:rsidRPr="00E23815">
        <w:rPr>
          <w:rFonts w:asciiTheme="minorHAnsi" w:hAnsiTheme="minorHAnsi" w:cstheme="minorHAnsi"/>
          <w:bCs/>
          <w:iCs/>
        </w:rPr>
        <w:t>Údaje o stavu účtů v</w:t>
      </w:r>
      <w:r w:rsidR="007770C6" w:rsidRPr="00E23815">
        <w:rPr>
          <w:rFonts w:asciiTheme="minorHAnsi" w:hAnsiTheme="minorHAnsi" w:cstheme="minorHAnsi"/>
          <w:bCs/>
          <w:iCs/>
        </w:rPr>
        <w:t xml:space="preserve"> </w:t>
      </w:r>
      <w:r w:rsidRPr="00E23815">
        <w:rPr>
          <w:rFonts w:asciiTheme="minorHAnsi" w:hAnsiTheme="minorHAnsi" w:cstheme="minorHAnsi"/>
          <w:bCs/>
          <w:iCs/>
        </w:rPr>
        <w:t xml:space="preserve">knize podrozvahových účtů jsou rovněž součástí účetních výkazů za Českou republiku dle </w:t>
      </w:r>
      <w:r w:rsidR="003E6E79" w:rsidRPr="00E23815">
        <w:rPr>
          <w:rFonts w:asciiTheme="minorHAnsi" w:hAnsiTheme="minorHAnsi" w:cstheme="minorHAnsi"/>
          <w:bCs/>
          <w:iCs/>
        </w:rPr>
        <w:t xml:space="preserve">ustanovení </w:t>
      </w:r>
      <w:r w:rsidRPr="00E23815">
        <w:rPr>
          <w:rFonts w:asciiTheme="minorHAnsi" w:hAnsiTheme="minorHAnsi" w:cstheme="minorHAnsi"/>
          <w:bCs/>
          <w:iCs/>
        </w:rPr>
        <w:t xml:space="preserve">§ </w:t>
      </w:r>
      <w:proofErr w:type="gramStart"/>
      <w:r w:rsidRPr="00E23815">
        <w:rPr>
          <w:rFonts w:asciiTheme="minorHAnsi" w:hAnsiTheme="minorHAnsi" w:cstheme="minorHAnsi"/>
          <w:bCs/>
          <w:iCs/>
        </w:rPr>
        <w:t>23b</w:t>
      </w:r>
      <w:proofErr w:type="gramEnd"/>
      <w:r w:rsidRPr="00E23815">
        <w:rPr>
          <w:rFonts w:asciiTheme="minorHAnsi" w:hAnsiTheme="minorHAnsi" w:cstheme="minorHAnsi"/>
          <w:bCs/>
          <w:iCs/>
        </w:rPr>
        <w:t xml:space="preserve"> zákona č. 563/1991 Sb. a vyhlášky č. 312/2014 Sb.</w:t>
      </w:r>
      <w:r w:rsidRPr="00E23815">
        <w:rPr>
          <w:rStyle w:val="Znakapoznpodarou"/>
          <w:rFonts w:asciiTheme="minorHAnsi" w:hAnsiTheme="minorHAnsi" w:cstheme="minorHAnsi"/>
          <w:bCs/>
          <w:iCs/>
        </w:rPr>
        <w:footnoteReference w:id="53"/>
      </w:r>
      <w:r w:rsidRPr="00E23815">
        <w:rPr>
          <w:rFonts w:asciiTheme="minorHAnsi" w:hAnsiTheme="minorHAnsi" w:cstheme="minorHAnsi"/>
          <w:bCs/>
          <w:iCs/>
        </w:rPr>
        <w:t xml:space="preserve"> </w:t>
      </w:r>
    </w:p>
    <w:p w14:paraId="12984CD9" w14:textId="77777777" w:rsidR="006B765F" w:rsidRPr="00E23815" w:rsidRDefault="007D7411" w:rsidP="006B765F">
      <w:pPr>
        <w:jc w:val="both"/>
        <w:rPr>
          <w:rFonts w:asciiTheme="minorHAnsi" w:hAnsiTheme="minorHAnsi" w:cstheme="minorHAnsi"/>
          <w:bCs/>
        </w:rPr>
      </w:pPr>
      <w:r w:rsidRPr="00E23815">
        <w:rPr>
          <w:rFonts w:asciiTheme="minorHAnsi" w:hAnsiTheme="minorHAnsi" w:cstheme="minorHAnsi"/>
          <w:bCs/>
        </w:rPr>
        <w:t>Na podrozvahových účtech se účtuje o skutečnostech, o nichž se neúčtuje na rozvahových účtech. Jedná se o tzv. podmíněné pohledávky, podmíněné závazky a další podrozvahová aktiva a pasiva, která souvis</w:t>
      </w:r>
      <w:r w:rsidR="008B0516">
        <w:rPr>
          <w:rFonts w:asciiTheme="minorHAnsi" w:hAnsiTheme="minorHAnsi" w:cstheme="minorHAnsi"/>
          <w:bCs/>
        </w:rPr>
        <w:t>ej</w:t>
      </w:r>
      <w:r w:rsidRPr="00E23815">
        <w:rPr>
          <w:rFonts w:asciiTheme="minorHAnsi" w:hAnsiTheme="minorHAnsi" w:cstheme="minorHAnsi"/>
          <w:bCs/>
        </w:rPr>
        <w:t>í s budoucím přírůstkem nebo úbytkem majetku nebo jiného aktiva, závazku nebo jiného pasiva, ke kterému může dojít na základě stanovené podmínky nebo podmínek.</w:t>
      </w:r>
    </w:p>
    <w:p w14:paraId="77C8E83C" w14:textId="77777777" w:rsidR="003804FB" w:rsidRPr="00E23815" w:rsidRDefault="008B04F8" w:rsidP="008B04F8">
      <w:pPr>
        <w:spacing w:before="120"/>
        <w:jc w:val="both"/>
        <w:rPr>
          <w:rFonts w:asciiTheme="minorHAnsi" w:hAnsiTheme="minorHAnsi" w:cstheme="minorHAnsi"/>
          <w:szCs w:val="20"/>
          <w:lang w:eastAsia="cs-CZ"/>
        </w:rPr>
      </w:pPr>
      <w:r w:rsidRPr="00E23815">
        <w:rPr>
          <w:rFonts w:asciiTheme="minorHAnsi" w:hAnsiTheme="minorHAnsi" w:cstheme="minorHAnsi"/>
          <w:szCs w:val="20"/>
          <w:lang w:eastAsia="cs-CZ"/>
        </w:rPr>
        <w:t>MŽP nemělo v roce 2022 vnitřním předpisem stanovenou hladinu významnosti pro účtování na podrozvahové účty.</w:t>
      </w:r>
    </w:p>
    <w:p w14:paraId="718249F8" w14:textId="77777777" w:rsidR="008B04F8" w:rsidRPr="00E23815" w:rsidRDefault="00124A9F" w:rsidP="00AF65F6">
      <w:pPr>
        <w:spacing w:after="0"/>
        <w:jc w:val="both"/>
        <w:rPr>
          <w:rFonts w:cs="Calibri"/>
          <w:lang w:eastAsia="cs-CZ"/>
        </w:rPr>
      </w:pPr>
      <w:r w:rsidRPr="00E23815">
        <w:rPr>
          <w:rFonts w:cs="Calibri"/>
          <w:lang w:eastAsia="cs-CZ"/>
        </w:rPr>
        <w:t xml:space="preserve">Z celkového počtu účetních zápisů (po vyloučení účetních zápisů na účtu 999 – </w:t>
      </w:r>
      <w:r w:rsidRPr="00E23815">
        <w:rPr>
          <w:rFonts w:cs="Calibri"/>
          <w:i/>
          <w:lang w:eastAsia="cs-CZ"/>
        </w:rPr>
        <w:t>Vyrovnávací účet k podrozvahovým účtům</w:t>
      </w:r>
      <w:r w:rsidRPr="00E23815">
        <w:rPr>
          <w:rFonts w:cs="Calibri"/>
          <w:lang w:eastAsia="cs-CZ"/>
        </w:rPr>
        <w:t xml:space="preserve">), které MŽP v roce 2022 zaúčtovalo, se </w:t>
      </w:r>
      <w:r w:rsidRPr="00E23815">
        <w:rPr>
          <w:rFonts w:cs="Calibri"/>
          <w:b/>
          <w:lang w:eastAsia="cs-CZ"/>
        </w:rPr>
        <w:t>7,4 %</w:t>
      </w:r>
      <w:r w:rsidRPr="00E23815">
        <w:rPr>
          <w:rFonts w:cs="Calibri"/>
          <w:lang w:eastAsia="cs-CZ"/>
        </w:rPr>
        <w:t xml:space="preserve"> </w:t>
      </w:r>
      <w:r w:rsidR="002B2AA7">
        <w:rPr>
          <w:rFonts w:cs="Calibri"/>
          <w:lang w:eastAsia="cs-CZ"/>
        </w:rPr>
        <w:t xml:space="preserve">(15 003 z 203 144) </w:t>
      </w:r>
      <w:r w:rsidRPr="00E23815">
        <w:rPr>
          <w:rFonts w:cs="Calibri"/>
          <w:lang w:eastAsia="cs-CZ"/>
        </w:rPr>
        <w:t>účetních zápisů týkalo podrozvahových účtů.</w:t>
      </w:r>
    </w:p>
    <w:p w14:paraId="2E5C98D2" w14:textId="77777777" w:rsidR="0088673C" w:rsidRPr="00E23815" w:rsidRDefault="0088673C" w:rsidP="00AF65F6">
      <w:pPr>
        <w:spacing w:after="0"/>
        <w:jc w:val="both"/>
      </w:pPr>
    </w:p>
    <w:p w14:paraId="315F6F28" w14:textId="77777777" w:rsidR="003238E9" w:rsidRPr="00E23815" w:rsidRDefault="003238E9" w:rsidP="003238E9">
      <w:pPr>
        <w:jc w:val="both"/>
        <w:rPr>
          <w:b/>
          <w:iCs/>
        </w:rPr>
      </w:pPr>
      <w:bookmarkStart w:id="21" w:name="_Toc131682148"/>
      <w:bookmarkStart w:id="22" w:name="_Toc133218602"/>
      <w:bookmarkStart w:id="23" w:name="_Toc141260891"/>
      <w:r w:rsidRPr="00E23815">
        <w:rPr>
          <w:b/>
          <w:iCs/>
        </w:rPr>
        <w:t>Podíl zůstatků podrozvahových účtů na aktivech netto a cizích zdrojích</w:t>
      </w:r>
      <w:bookmarkEnd w:id="21"/>
      <w:bookmarkEnd w:id="22"/>
      <w:bookmarkEnd w:id="23"/>
    </w:p>
    <w:p w14:paraId="35381438" w14:textId="5E1B1672" w:rsidR="003238E9" w:rsidRPr="00E23815" w:rsidRDefault="003238E9" w:rsidP="003238E9">
      <w:pPr>
        <w:spacing w:after="0"/>
        <w:jc w:val="both"/>
        <w:rPr>
          <w:rFonts w:cs="Calibri"/>
          <w:lang w:eastAsia="cs-CZ"/>
        </w:rPr>
      </w:pPr>
      <w:r w:rsidRPr="00E23815">
        <w:rPr>
          <w:rFonts w:cs="Calibri"/>
          <w:szCs w:val="20"/>
          <w:lang w:eastAsia="cs-CZ"/>
        </w:rPr>
        <w:t>Celková výše zůstatků vykázaných na podrozvahových účtech MŽP se v letech 2020 až 2022 pohybovala v rozmezí 29,4 mld. Kč (v roce 2021) až 47,4 mld. Kč (v roce 2022)</w:t>
      </w:r>
      <w:r w:rsidRPr="00E23815">
        <w:rPr>
          <w:rFonts w:cs="Calibri"/>
          <w:lang w:eastAsia="cs-CZ"/>
        </w:rPr>
        <w:t xml:space="preserve">. </w:t>
      </w:r>
    </w:p>
    <w:p w14:paraId="436C7525" w14:textId="77777777" w:rsidR="003238E9" w:rsidRPr="00E23815" w:rsidRDefault="003238E9" w:rsidP="003238E9">
      <w:pPr>
        <w:spacing w:after="0"/>
        <w:jc w:val="both"/>
        <w:rPr>
          <w:rFonts w:cs="Calibri"/>
          <w:lang w:eastAsia="cs-CZ"/>
        </w:rPr>
      </w:pPr>
    </w:p>
    <w:p w14:paraId="32D6ED40" w14:textId="1167D5BE" w:rsidR="003238E9" w:rsidRPr="00E23815" w:rsidRDefault="003238E9" w:rsidP="003238E9">
      <w:pPr>
        <w:spacing w:after="0"/>
        <w:jc w:val="both"/>
        <w:rPr>
          <w:rFonts w:cs="Calibri"/>
          <w:lang w:eastAsia="cs-CZ"/>
        </w:rPr>
      </w:pPr>
      <w:r w:rsidRPr="00E23815">
        <w:rPr>
          <w:rFonts w:cs="Calibri"/>
          <w:szCs w:val="20"/>
          <w:lang w:eastAsia="cs-CZ"/>
        </w:rPr>
        <w:t xml:space="preserve">Celková výše zůstatků vykázaných na podrozvahových účtech MŽP za období 2020 až 2022 je významná i ve srovnání s celkovými aktivy netto a cizími zdroji. </w:t>
      </w:r>
      <w:r w:rsidRPr="00E23815">
        <w:rPr>
          <w:rFonts w:cs="Calibri"/>
          <w:lang w:eastAsia="cs-CZ"/>
        </w:rPr>
        <w:t xml:space="preserve">Jak ukazuje tabulka č. </w:t>
      </w:r>
      <w:r w:rsidR="00920ECE">
        <w:rPr>
          <w:rFonts w:cs="Calibri"/>
          <w:lang w:eastAsia="cs-CZ"/>
        </w:rPr>
        <w:t>1</w:t>
      </w:r>
      <w:r w:rsidRPr="00E23815">
        <w:rPr>
          <w:rFonts w:cs="Calibri"/>
          <w:lang w:eastAsia="cs-CZ"/>
        </w:rPr>
        <w:t xml:space="preserve"> níže, podmíněná aktiva vykázaná u MŽP k</w:t>
      </w:r>
      <w:r w:rsidR="008B0516">
        <w:rPr>
          <w:rFonts w:cs="Calibri"/>
          <w:lang w:eastAsia="cs-CZ"/>
        </w:rPr>
        <w:t xml:space="preserve"> </w:t>
      </w:r>
      <w:r w:rsidRPr="00E23815">
        <w:rPr>
          <w:rFonts w:cs="Calibri"/>
          <w:lang w:eastAsia="cs-CZ"/>
        </w:rPr>
        <w:t>31.</w:t>
      </w:r>
      <w:r w:rsidR="008B0516">
        <w:rPr>
          <w:rFonts w:cs="Calibri"/>
          <w:lang w:eastAsia="cs-CZ"/>
        </w:rPr>
        <w:t xml:space="preserve"> </w:t>
      </w:r>
      <w:r w:rsidR="006641FC">
        <w:rPr>
          <w:rFonts w:cs="Calibri"/>
          <w:lang w:eastAsia="cs-CZ"/>
        </w:rPr>
        <w:t>prosinci</w:t>
      </w:r>
      <w:r w:rsidR="008B0516">
        <w:rPr>
          <w:rFonts w:cs="Calibri"/>
          <w:lang w:eastAsia="cs-CZ"/>
        </w:rPr>
        <w:t xml:space="preserve"> </w:t>
      </w:r>
      <w:r w:rsidRPr="00E23815">
        <w:rPr>
          <w:rFonts w:cs="Calibri"/>
          <w:lang w:eastAsia="cs-CZ"/>
        </w:rPr>
        <w:t xml:space="preserve">2022 na podrozvaze činila </w:t>
      </w:r>
      <w:r w:rsidR="00783C74" w:rsidRPr="00E23815">
        <w:rPr>
          <w:rFonts w:cs="Calibri"/>
          <w:lang w:eastAsia="cs-CZ"/>
        </w:rPr>
        <w:t>téměř čtvrtinu</w:t>
      </w:r>
      <w:r w:rsidRPr="00E23815">
        <w:rPr>
          <w:rFonts w:cs="Calibri"/>
          <w:lang w:eastAsia="cs-CZ"/>
        </w:rPr>
        <w:t xml:space="preserve"> hodnoty</w:t>
      </w:r>
      <w:r w:rsidR="008B0516">
        <w:rPr>
          <w:rFonts w:cs="Calibri"/>
          <w:lang w:eastAsia="cs-CZ"/>
        </w:rPr>
        <w:t xml:space="preserve"> </w:t>
      </w:r>
      <w:r w:rsidRPr="00E23815">
        <w:rPr>
          <w:rFonts w:cs="Calibri"/>
          <w:lang w:eastAsia="cs-CZ"/>
        </w:rPr>
        <w:t>celkových aktiv netto MŽP. Podmíněné závazky, které MŽP vykázalo k</w:t>
      </w:r>
      <w:r w:rsidR="008B0516">
        <w:rPr>
          <w:rFonts w:cs="Calibri"/>
          <w:lang w:eastAsia="cs-CZ"/>
        </w:rPr>
        <w:t xml:space="preserve"> </w:t>
      </w:r>
      <w:r w:rsidRPr="00E23815">
        <w:rPr>
          <w:rFonts w:cs="Calibri"/>
          <w:lang w:eastAsia="cs-CZ"/>
        </w:rPr>
        <w:t>31.</w:t>
      </w:r>
      <w:r w:rsidR="008B0516">
        <w:rPr>
          <w:rFonts w:cs="Calibri"/>
          <w:lang w:eastAsia="cs-CZ"/>
        </w:rPr>
        <w:t xml:space="preserve"> </w:t>
      </w:r>
      <w:r w:rsidR="006641FC">
        <w:rPr>
          <w:rFonts w:cs="Calibri"/>
          <w:lang w:eastAsia="cs-CZ"/>
        </w:rPr>
        <w:t>prosinci</w:t>
      </w:r>
      <w:r w:rsidR="008B0516">
        <w:rPr>
          <w:rFonts w:cs="Calibri"/>
          <w:lang w:eastAsia="cs-CZ"/>
        </w:rPr>
        <w:t xml:space="preserve"> </w:t>
      </w:r>
      <w:r w:rsidRPr="00E23815">
        <w:rPr>
          <w:rFonts w:cs="Calibri"/>
          <w:lang w:eastAsia="cs-CZ"/>
        </w:rPr>
        <w:t xml:space="preserve">2022, pak </w:t>
      </w:r>
      <w:r w:rsidR="00E85B9D" w:rsidRPr="00E23815">
        <w:rPr>
          <w:rFonts w:cs="Calibri"/>
          <w:lang w:eastAsia="cs-CZ"/>
        </w:rPr>
        <w:t>téměř</w:t>
      </w:r>
      <w:r w:rsidRPr="00E23815">
        <w:rPr>
          <w:rFonts w:cs="Calibri"/>
          <w:lang w:eastAsia="cs-CZ"/>
        </w:rPr>
        <w:t xml:space="preserve"> 4,5krát převýšily hodnotu cizích zdrojů v rozvaze.</w:t>
      </w:r>
    </w:p>
    <w:p w14:paraId="7A587DCC" w14:textId="77777777" w:rsidR="003238E9" w:rsidRPr="00E23815" w:rsidRDefault="003238E9" w:rsidP="003238E9">
      <w:pPr>
        <w:spacing w:after="0"/>
        <w:rPr>
          <w:rFonts w:cs="Calibri"/>
        </w:rPr>
      </w:pPr>
    </w:p>
    <w:p w14:paraId="2FDEFB3D" w14:textId="6A5DE8A2" w:rsidR="003238E9" w:rsidRPr="00AF65F6" w:rsidRDefault="003238E9" w:rsidP="00AF65F6">
      <w:pPr>
        <w:tabs>
          <w:tab w:val="right" w:pos="9070"/>
        </w:tabs>
        <w:ind w:left="1304" w:hanging="1304"/>
        <w:jc w:val="both"/>
        <w:rPr>
          <w:rFonts w:cs="Calibri"/>
          <w:iCs/>
        </w:rPr>
      </w:pPr>
      <w:r w:rsidRPr="00AF65F6">
        <w:rPr>
          <w:rFonts w:cs="Calibri"/>
          <w:b/>
          <w:bCs/>
        </w:rPr>
        <w:t xml:space="preserve">Tabulka č. </w:t>
      </w:r>
      <w:r w:rsidR="00090E46" w:rsidRPr="00AF65F6">
        <w:rPr>
          <w:rFonts w:cs="Calibri"/>
          <w:b/>
          <w:bCs/>
        </w:rPr>
        <w:t>1</w:t>
      </w:r>
      <w:r w:rsidR="00115179" w:rsidRPr="00AF65F6">
        <w:rPr>
          <w:rFonts w:cs="Calibri"/>
          <w:b/>
          <w:bCs/>
        </w:rPr>
        <w:t xml:space="preserve">: </w:t>
      </w:r>
      <w:r w:rsidR="008B0516">
        <w:rPr>
          <w:rFonts w:cs="Calibri"/>
          <w:b/>
          <w:bCs/>
        </w:rPr>
        <w:tab/>
      </w:r>
      <w:r w:rsidRPr="00AF65F6">
        <w:rPr>
          <w:rFonts w:cs="Calibri"/>
          <w:b/>
          <w:bCs/>
          <w:lang w:eastAsia="cs-CZ"/>
        </w:rPr>
        <w:t>Srovnání zůstatků podrozvahových účtů s</w:t>
      </w:r>
      <w:r w:rsidR="004B2C4C">
        <w:rPr>
          <w:rFonts w:cs="Calibri"/>
          <w:b/>
          <w:bCs/>
          <w:lang w:eastAsia="cs-CZ"/>
        </w:rPr>
        <w:t xml:space="preserve"> </w:t>
      </w:r>
      <w:r w:rsidRPr="00AF65F6">
        <w:rPr>
          <w:rFonts w:cs="Calibri"/>
          <w:b/>
          <w:bCs/>
          <w:lang w:eastAsia="cs-CZ"/>
        </w:rPr>
        <w:t>údaji o celkových aktivech netto a</w:t>
      </w:r>
      <w:r w:rsidR="008B0516">
        <w:rPr>
          <w:rFonts w:cs="Calibri"/>
          <w:b/>
          <w:bCs/>
          <w:lang w:eastAsia="cs-CZ"/>
        </w:rPr>
        <w:t> </w:t>
      </w:r>
      <w:r w:rsidRPr="00AF65F6">
        <w:rPr>
          <w:rFonts w:cs="Calibri"/>
          <w:b/>
          <w:bCs/>
          <w:lang w:eastAsia="cs-CZ"/>
        </w:rPr>
        <w:t>cizích zdrojích za roky 2020 až 2022</w:t>
      </w:r>
      <w:r w:rsidRPr="00AF65F6">
        <w:rPr>
          <w:rFonts w:cs="Calibri"/>
          <w:b/>
          <w:bCs/>
        </w:rPr>
        <w:t xml:space="preserve"> </w:t>
      </w:r>
      <w:r w:rsidR="008B0516">
        <w:rPr>
          <w:rFonts w:cs="Calibri"/>
          <w:b/>
          <w:bCs/>
        </w:rPr>
        <w:tab/>
      </w:r>
      <w:r w:rsidRPr="00AF65F6">
        <w:rPr>
          <w:rFonts w:cs="Calibri"/>
          <w:b/>
          <w:bCs/>
        </w:rPr>
        <w:t xml:space="preserve">(v </w:t>
      </w:r>
      <w:r w:rsidR="00B648AB" w:rsidRPr="00AF65F6">
        <w:rPr>
          <w:rFonts w:cs="Calibri"/>
          <w:b/>
          <w:bCs/>
        </w:rPr>
        <w:t xml:space="preserve">mil. </w:t>
      </w:r>
      <w:r w:rsidRPr="00AF65F6">
        <w:rPr>
          <w:rFonts w:cs="Calibri"/>
          <w:b/>
          <w:bCs/>
        </w:rPr>
        <w:t>Kč, podíly v %)</w:t>
      </w:r>
    </w:p>
    <w:tbl>
      <w:tblPr>
        <w:tblStyle w:val="Mkatabulky5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134"/>
        <w:gridCol w:w="1134"/>
      </w:tblGrid>
      <w:tr w:rsidR="007938D5" w:rsidRPr="00E23815" w14:paraId="6B1258CA" w14:textId="77777777" w:rsidTr="00AF65F6">
        <w:trPr>
          <w:trHeight w:val="397"/>
          <w:tblHeader/>
        </w:trPr>
        <w:tc>
          <w:tcPr>
            <w:tcW w:w="851" w:type="dxa"/>
            <w:shd w:val="clear" w:color="auto" w:fill="E5F1FF"/>
            <w:vAlign w:val="center"/>
          </w:tcPr>
          <w:p w14:paraId="18591E04" w14:textId="555B428A" w:rsidR="003238E9" w:rsidRPr="00E23815" w:rsidRDefault="003238E9" w:rsidP="003238E9">
            <w:pPr>
              <w:spacing w:after="0"/>
              <w:jc w:val="center"/>
              <w:rPr>
                <w:rFonts w:cs="Calibri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E5F1FF"/>
            <w:vAlign w:val="center"/>
          </w:tcPr>
          <w:p w14:paraId="2DE1448A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  <w:bookmarkStart w:id="24" w:name="_Hlk129346161"/>
            <w:r w:rsidRPr="00AF65F6">
              <w:rPr>
                <w:rFonts w:cs="Calibri"/>
                <w:b/>
                <w:bCs/>
                <w:iCs/>
                <w:sz w:val="20"/>
                <w:szCs w:val="20"/>
              </w:rPr>
              <w:t>Položka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360F27BE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7E74740B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/>
                <w:bCs/>
                <w:iCs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5494C9E6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/>
                <w:bCs/>
                <w:iCs/>
                <w:sz w:val="20"/>
                <w:szCs w:val="20"/>
              </w:rPr>
              <w:t>2020</w:t>
            </w:r>
          </w:p>
        </w:tc>
      </w:tr>
      <w:tr w:rsidR="007938D5" w:rsidRPr="00E23815" w14:paraId="55223BCA" w14:textId="77777777" w:rsidTr="00AF65F6">
        <w:trPr>
          <w:trHeight w:val="284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39E52E3A" w14:textId="77777777" w:rsidR="003238E9" w:rsidRPr="00AF65F6" w:rsidRDefault="003238E9" w:rsidP="00AF65F6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>A</w:t>
            </w:r>
            <w:r w:rsidR="008B0516" w:rsidRPr="00AF65F6">
              <w:rPr>
                <w:rFonts w:cs="Calibri"/>
                <w:sz w:val="20"/>
                <w:szCs w:val="20"/>
              </w:rPr>
              <w:t>ktiva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282B2FD4" w14:textId="2914893E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 xml:space="preserve">Podrozvaha </w:t>
            </w:r>
            <w:r w:rsidR="007938D5" w:rsidRPr="007938D5">
              <w:rPr>
                <w:rFonts w:cs="Calibri"/>
                <w:sz w:val="20"/>
                <w:szCs w:val="20"/>
              </w:rPr>
              <w:t>–</w:t>
            </w:r>
            <w:r w:rsidRPr="00AF65F6">
              <w:rPr>
                <w:rFonts w:cs="Calibri"/>
                <w:sz w:val="20"/>
                <w:szCs w:val="20"/>
              </w:rPr>
              <w:t xml:space="preserve"> </w:t>
            </w:r>
            <w:r w:rsidRPr="00AF65F6">
              <w:rPr>
                <w:rFonts w:cs="Calibri"/>
                <w:b/>
                <w:sz w:val="20"/>
                <w:szCs w:val="20"/>
              </w:rPr>
              <w:t>podmíněná aktiva</w:t>
            </w:r>
            <w:r w:rsidRPr="00AF65F6">
              <w:rPr>
                <w:rFonts w:cs="Calibri"/>
                <w:sz w:val="20"/>
                <w:szCs w:val="20"/>
              </w:rPr>
              <w:t xml:space="preserve"> celkem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BD699CE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15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831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D739BF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5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33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CF19EB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7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050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,9</w:t>
            </w:r>
          </w:p>
        </w:tc>
      </w:tr>
      <w:tr w:rsidR="007938D5" w:rsidRPr="00E23815" w14:paraId="149AD001" w14:textId="77777777" w:rsidTr="00AF65F6">
        <w:trPr>
          <w:trHeight w:val="284"/>
        </w:trPr>
        <w:tc>
          <w:tcPr>
            <w:tcW w:w="851" w:type="dxa"/>
            <w:vMerge/>
            <w:shd w:val="clear" w:color="auto" w:fill="FFFFFF"/>
            <w:vAlign w:val="center"/>
          </w:tcPr>
          <w:p w14:paraId="1D5C920C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035B8BCA" w14:textId="13E1D296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 xml:space="preserve">Rozvaha </w:t>
            </w:r>
            <w:r w:rsidR="007938D5" w:rsidRPr="007938D5">
              <w:rPr>
                <w:rFonts w:cs="Calibri"/>
                <w:sz w:val="20"/>
                <w:szCs w:val="20"/>
              </w:rPr>
              <w:t>–</w:t>
            </w:r>
            <w:r w:rsidRPr="00AF65F6">
              <w:rPr>
                <w:rFonts w:cs="Calibri"/>
                <w:sz w:val="20"/>
                <w:szCs w:val="20"/>
              </w:rPr>
              <w:t xml:space="preserve"> </w:t>
            </w:r>
            <w:r w:rsidRPr="00AF65F6">
              <w:rPr>
                <w:rFonts w:cs="Calibri"/>
                <w:b/>
                <w:sz w:val="20"/>
                <w:szCs w:val="20"/>
              </w:rPr>
              <w:t>celková aktiva</w:t>
            </w:r>
            <w:r w:rsidRPr="00AF65F6">
              <w:rPr>
                <w:rFonts w:cs="Calibri"/>
                <w:sz w:val="20"/>
                <w:szCs w:val="20"/>
              </w:rPr>
              <w:t xml:space="preserve"> (netto hodnota)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A0E650D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68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557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47850E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40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483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C8420D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31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251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,3</w:t>
            </w:r>
          </w:p>
        </w:tc>
      </w:tr>
      <w:tr w:rsidR="007938D5" w:rsidRPr="00E23815" w14:paraId="6D4BFFC4" w14:textId="77777777" w:rsidTr="00AF65F6">
        <w:trPr>
          <w:trHeight w:val="284"/>
        </w:trPr>
        <w:tc>
          <w:tcPr>
            <w:tcW w:w="851" w:type="dxa"/>
            <w:vMerge/>
            <w:shd w:val="clear" w:color="auto" w:fill="FFFFFF"/>
            <w:vAlign w:val="center"/>
          </w:tcPr>
          <w:p w14:paraId="122A83B1" w14:textId="77777777" w:rsidR="003238E9" w:rsidRPr="00AF65F6" w:rsidRDefault="003238E9" w:rsidP="003238E9">
            <w:pPr>
              <w:spacing w:after="0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040AE22A" w14:textId="77777777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Podíl podmíněných aktiv na celkových aktivech netto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09315F6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>23,1 %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BE5AC2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13,2 %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AC7687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22,6 %</w:t>
            </w:r>
          </w:p>
        </w:tc>
      </w:tr>
      <w:tr w:rsidR="007938D5" w:rsidRPr="00E23815" w14:paraId="70BEFD66" w14:textId="77777777" w:rsidTr="00AF65F6">
        <w:trPr>
          <w:trHeight w:val="284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17A00388" w14:textId="77777777" w:rsidR="003238E9" w:rsidRPr="00AF65F6" w:rsidRDefault="003238E9" w:rsidP="00AF65F6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>P</w:t>
            </w:r>
            <w:r w:rsidR="008B0516" w:rsidRPr="00AF65F6">
              <w:rPr>
                <w:rFonts w:cs="Calibri"/>
                <w:sz w:val="20"/>
                <w:szCs w:val="20"/>
              </w:rPr>
              <w:t>asiva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70B43FA9" w14:textId="59588DC5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 xml:space="preserve">Podrozvaha </w:t>
            </w:r>
            <w:r w:rsidR="007938D5" w:rsidRPr="007938D5">
              <w:rPr>
                <w:rFonts w:cs="Calibri"/>
                <w:sz w:val="20"/>
                <w:szCs w:val="20"/>
              </w:rPr>
              <w:t>–</w:t>
            </w:r>
            <w:r w:rsidRPr="00AF65F6">
              <w:rPr>
                <w:rFonts w:cs="Calibri"/>
                <w:sz w:val="20"/>
                <w:szCs w:val="20"/>
              </w:rPr>
              <w:t xml:space="preserve"> </w:t>
            </w:r>
            <w:r w:rsidRPr="00AF65F6">
              <w:rPr>
                <w:rFonts w:cs="Calibri"/>
                <w:b/>
                <w:sz w:val="20"/>
                <w:szCs w:val="20"/>
              </w:rPr>
              <w:t>podmíněné závazky</w:t>
            </w:r>
            <w:r w:rsidRPr="00AF65F6">
              <w:rPr>
                <w:rFonts w:cs="Calibri"/>
                <w:sz w:val="20"/>
                <w:szCs w:val="20"/>
              </w:rPr>
              <w:t xml:space="preserve"> celkem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DFB2CA2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31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543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C0E9B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24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047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91C48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33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311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,7</w:t>
            </w:r>
          </w:p>
        </w:tc>
      </w:tr>
      <w:tr w:rsidR="007938D5" w:rsidRPr="00E23815" w14:paraId="2515802D" w14:textId="77777777" w:rsidTr="00AF65F6">
        <w:trPr>
          <w:trHeight w:val="284"/>
        </w:trPr>
        <w:tc>
          <w:tcPr>
            <w:tcW w:w="851" w:type="dxa"/>
            <w:vMerge/>
            <w:shd w:val="clear" w:color="auto" w:fill="FFFFFF"/>
          </w:tcPr>
          <w:p w14:paraId="6A0C2D03" w14:textId="77777777" w:rsidR="003238E9" w:rsidRPr="00E23815" w:rsidRDefault="003238E9" w:rsidP="003238E9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7027A8C6" w14:textId="3543B122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 xml:space="preserve">Rozvaha </w:t>
            </w:r>
            <w:r w:rsidR="007938D5" w:rsidRPr="007938D5">
              <w:rPr>
                <w:rFonts w:cs="Calibri"/>
                <w:sz w:val="20"/>
                <w:szCs w:val="20"/>
              </w:rPr>
              <w:t>–</w:t>
            </w:r>
            <w:r w:rsidRPr="00AF65F6">
              <w:rPr>
                <w:rFonts w:cs="Calibri"/>
                <w:sz w:val="20"/>
                <w:szCs w:val="20"/>
              </w:rPr>
              <w:t xml:space="preserve"> </w:t>
            </w:r>
            <w:r w:rsidRPr="00AF65F6">
              <w:rPr>
                <w:rFonts w:cs="Calibri"/>
                <w:b/>
                <w:sz w:val="20"/>
                <w:szCs w:val="20"/>
              </w:rPr>
              <w:t>cizí zdroje</w:t>
            </w:r>
            <w:r w:rsidRPr="00AF65F6">
              <w:rPr>
                <w:rFonts w:cs="Calibri"/>
                <w:sz w:val="20"/>
                <w:szCs w:val="20"/>
              </w:rPr>
              <w:t xml:space="preserve"> celkem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C82A838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7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081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7C4295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4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089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1350F4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5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 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133</w:t>
            </w:r>
            <w:r w:rsidR="00B648AB" w:rsidRPr="00AF65F6">
              <w:rPr>
                <w:rFonts w:cs="Calibri"/>
                <w:bCs/>
                <w:iCs/>
                <w:sz w:val="20"/>
                <w:szCs w:val="20"/>
              </w:rPr>
              <w:t>,</w:t>
            </w:r>
            <w:r w:rsidRPr="00AF65F6">
              <w:rPr>
                <w:rFonts w:cs="Calibri"/>
                <w:bCs/>
                <w:iCs/>
                <w:sz w:val="20"/>
                <w:szCs w:val="20"/>
              </w:rPr>
              <w:t>3</w:t>
            </w:r>
          </w:p>
        </w:tc>
      </w:tr>
      <w:tr w:rsidR="007938D5" w:rsidRPr="00E23815" w14:paraId="6E7FF9FE" w14:textId="77777777" w:rsidTr="00AF65F6">
        <w:trPr>
          <w:trHeight w:val="284"/>
        </w:trPr>
        <w:tc>
          <w:tcPr>
            <w:tcW w:w="851" w:type="dxa"/>
            <w:vMerge/>
            <w:shd w:val="clear" w:color="auto" w:fill="FFFFFF"/>
          </w:tcPr>
          <w:p w14:paraId="44E30887" w14:textId="77777777" w:rsidR="003238E9" w:rsidRPr="00E23815" w:rsidRDefault="003238E9" w:rsidP="003238E9">
            <w:pPr>
              <w:spacing w:after="0"/>
              <w:rPr>
                <w:rFonts w:cs="Calibri"/>
                <w:bCs/>
                <w:iCs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54CAF623" w14:textId="77777777" w:rsidR="003238E9" w:rsidRPr="00AF65F6" w:rsidRDefault="003238E9" w:rsidP="003238E9">
            <w:pPr>
              <w:spacing w:after="0"/>
              <w:rPr>
                <w:rFonts w:cs="Calibri"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Podíl podmíněných závazků na celkových cizích zdrojích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951876B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sz w:val="20"/>
                <w:szCs w:val="20"/>
              </w:rPr>
              <w:t>445,4 %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C4BA2A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588,1 %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2689C3" w14:textId="77777777" w:rsidR="003238E9" w:rsidRPr="00AF65F6" w:rsidRDefault="003238E9" w:rsidP="00AF65F6">
            <w:pPr>
              <w:spacing w:after="0"/>
              <w:jc w:val="right"/>
              <w:rPr>
                <w:rFonts w:cs="Calibri"/>
                <w:bCs/>
                <w:iCs/>
                <w:sz w:val="20"/>
                <w:szCs w:val="20"/>
              </w:rPr>
            </w:pPr>
            <w:r w:rsidRPr="00AF65F6">
              <w:rPr>
                <w:rFonts w:cs="Calibri"/>
                <w:bCs/>
                <w:iCs/>
                <w:sz w:val="20"/>
                <w:szCs w:val="20"/>
              </w:rPr>
              <w:t>648,9 %</w:t>
            </w:r>
          </w:p>
        </w:tc>
      </w:tr>
    </w:tbl>
    <w:bookmarkEnd w:id="24"/>
    <w:p w14:paraId="3EA684BA" w14:textId="00C9EF1A" w:rsidR="003238E9" w:rsidRPr="00B96907" w:rsidRDefault="003238E9" w:rsidP="003238E9">
      <w:pPr>
        <w:spacing w:after="0"/>
        <w:jc w:val="both"/>
        <w:rPr>
          <w:rFonts w:cs="Calibri"/>
          <w:sz w:val="20"/>
          <w:szCs w:val="20"/>
        </w:rPr>
      </w:pPr>
      <w:r w:rsidRPr="00AD295E">
        <w:rPr>
          <w:rFonts w:cs="Calibri"/>
          <w:b/>
          <w:sz w:val="20"/>
          <w:szCs w:val="20"/>
        </w:rPr>
        <w:t>Zdroj:</w:t>
      </w:r>
      <w:r w:rsidRPr="00B96907">
        <w:rPr>
          <w:rFonts w:cs="Calibri"/>
          <w:sz w:val="20"/>
          <w:szCs w:val="20"/>
        </w:rPr>
        <w:t xml:space="preserve"> </w:t>
      </w:r>
      <w:r w:rsidR="008B0516">
        <w:rPr>
          <w:rFonts w:cs="Calibri"/>
          <w:sz w:val="20"/>
          <w:szCs w:val="20"/>
        </w:rPr>
        <w:t>ú</w:t>
      </w:r>
      <w:r w:rsidRPr="00B96907">
        <w:rPr>
          <w:rFonts w:cs="Calibri"/>
          <w:sz w:val="20"/>
          <w:szCs w:val="20"/>
        </w:rPr>
        <w:t>četní závěrky MŽP za roky 2020 až 2022</w:t>
      </w:r>
      <w:r w:rsidR="007938D5">
        <w:rPr>
          <w:rFonts w:cs="Calibri"/>
          <w:sz w:val="20"/>
          <w:szCs w:val="20"/>
        </w:rPr>
        <w:t>;</w:t>
      </w:r>
      <w:r w:rsidRPr="00B96907">
        <w:rPr>
          <w:rFonts w:cs="Calibri"/>
          <w:sz w:val="20"/>
          <w:szCs w:val="20"/>
        </w:rPr>
        <w:t xml:space="preserve"> výpočet</w:t>
      </w:r>
      <w:r w:rsidR="00B96907">
        <w:rPr>
          <w:rFonts w:cs="Calibri"/>
          <w:sz w:val="20"/>
          <w:szCs w:val="20"/>
        </w:rPr>
        <w:t xml:space="preserve"> NKÚ.</w:t>
      </w:r>
    </w:p>
    <w:p w14:paraId="153EAC5D" w14:textId="77777777" w:rsidR="003238E9" w:rsidRPr="00E23815" w:rsidRDefault="003238E9" w:rsidP="008B04F8">
      <w:pPr>
        <w:jc w:val="both"/>
        <w:rPr>
          <w:b/>
          <w:iCs/>
        </w:rPr>
      </w:pPr>
      <w:bookmarkStart w:id="25" w:name="_Toc131673765"/>
      <w:bookmarkStart w:id="26" w:name="_Toc141260892"/>
      <w:r w:rsidRPr="00E23815">
        <w:rPr>
          <w:b/>
          <w:iCs/>
        </w:rPr>
        <w:lastRenderedPageBreak/>
        <w:t>Vyčíslení výše zůstatků podmíněných závazků dle kategorií</w:t>
      </w:r>
      <w:bookmarkEnd w:id="25"/>
      <w:bookmarkEnd w:id="26"/>
    </w:p>
    <w:p w14:paraId="206728A1" w14:textId="6DD7F69C" w:rsidR="003D308A" w:rsidRPr="00E23815" w:rsidRDefault="003D308A" w:rsidP="00AF65F6">
      <w:pPr>
        <w:spacing w:after="0"/>
        <w:jc w:val="both"/>
      </w:pPr>
      <w:r w:rsidRPr="00E23815">
        <w:t>Podmíněné závazky lze rozdělit do tří kategorií z</w:t>
      </w:r>
      <w:r w:rsidR="007938D5">
        <w:t xml:space="preserve"> </w:t>
      </w:r>
      <w:r w:rsidRPr="00E23815">
        <w:t>hlediska pravděpodobnosti vzniku</w:t>
      </w:r>
      <w:r w:rsidR="00A01BB8" w:rsidRPr="00E23815">
        <w:t xml:space="preserve"> rozvahových závazků</w:t>
      </w:r>
      <w:r w:rsidRPr="00E23815">
        <w:t xml:space="preserve">. Rozdělení do těchto kategorií </w:t>
      </w:r>
      <w:r w:rsidR="007938D5">
        <w:t>u</w:t>
      </w:r>
      <w:r w:rsidRPr="00E23815">
        <w:t xml:space="preserve"> MŽP uvádí následující tabulka.</w:t>
      </w:r>
    </w:p>
    <w:p w14:paraId="308E6ED9" w14:textId="77777777" w:rsidR="003D308A" w:rsidRPr="00E23815" w:rsidRDefault="003D308A" w:rsidP="00AF65F6">
      <w:pPr>
        <w:spacing w:after="0"/>
        <w:jc w:val="both"/>
        <w:rPr>
          <w:i/>
          <w:iCs/>
        </w:rPr>
      </w:pPr>
    </w:p>
    <w:p w14:paraId="633F43CF" w14:textId="77777777" w:rsidR="003D308A" w:rsidRPr="00AF65F6" w:rsidRDefault="003D308A" w:rsidP="003D308A">
      <w:pPr>
        <w:jc w:val="both"/>
        <w:rPr>
          <w:iCs/>
        </w:rPr>
      </w:pPr>
      <w:r w:rsidRPr="00AF65F6">
        <w:rPr>
          <w:b/>
          <w:bCs/>
        </w:rPr>
        <w:t xml:space="preserve">Tabulka č. </w:t>
      </w:r>
      <w:r w:rsidR="00090E46" w:rsidRPr="00AF65F6">
        <w:rPr>
          <w:b/>
          <w:bCs/>
        </w:rPr>
        <w:t>2</w:t>
      </w:r>
      <w:r w:rsidRPr="00AF65F6">
        <w:rPr>
          <w:b/>
          <w:bCs/>
        </w:rPr>
        <w:t>: Kategorie podmíněných závazků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03"/>
        <w:gridCol w:w="2022"/>
        <w:gridCol w:w="2420"/>
        <w:gridCol w:w="2020"/>
      </w:tblGrid>
      <w:tr w:rsidR="003D308A" w:rsidRPr="00E23815" w14:paraId="5832DA4A" w14:textId="77777777" w:rsidTr="00115179">
        <w:trPr>
          <w:tblHeader/>
        </w:trPr>
        <w:tc>
          <w:tcPr>
            <w:tcW w:w="2603" w:type="dxa"/>
            <w:shd w:val="clear" w:color="auto" w:fill="E5F1FF"/>
            <w:vAlign w:val="center"/>
          </w:tcPr>
          <w:p w14:paraId="0D195942" w14:textId="77777777" w:rsidR="003D308A" w:rsidRPr="00E23815" w:rsidRDefault="003D308A" w:rsidP="00B9690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Kategorie podmíněných závazků</w:t>
            </w:r>
          </w:p>
        </w:tc>
        <w:tc>
          <w:tcPr>
            <w:tcW w:w="2022" w:type="dxa"/>
            <w:shd w:val="clear" w:color="auto" w:fill="E5F1FF"/>
            <w:vAlign w:val="center"/>
          </w:tcPr>
          <w:p w14:paraId="2081F286" w14:textId="77777777" w:rsidR="003D308A" w:rsidRPr="00E23815" w:rsidRDefault="003D308A" w:rsidP="00B9690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Výše zůstatku k 31.</w:t>
            </w:r>
            <w:r w:rsidR="00115179"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F971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prosinci</w:t>
            </w: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2022</w:t>
            </w:r>
          </w:p>
          <w:p w14:paraId="3441C557" w14:textId="77777777" w:rsidR="003D308A" w:rsidRPr="00E23815" w:rsidRDefault="003D308A" w:rsidP="00B9690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(v </w:t>
            </w:r>
            <w:r w:rsidR="00B648AB"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mil. </w:t>
            </w: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4440" w:type="dxa"/>
            <w:gridSpan w:val="2"/>
            <w:shd w:val="clear" w:color="auto" w:fill="E5F1FF"/>
            <w:vAlign w:val="center"/>
          </w:tcPr>
          <w:p w14:paraId="5A3C5918" w14:textId="77777777" w:rsidR="003D308A" w:rsidRPr="00E23815" w:rsidRDefault="003D308A" w:rsidP="00B9690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Podrozvahové účty a jejich zůstatky (v </w:t>
            </w:r>
            <w:r w:rsidR="00B648AB"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mil. </w:t>
            </w:r>
            <w:r w:rsidRPr="00E238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Kč)</w:t>
            </w:r>
          </w:p>
        </w:tc>
      </w:tr>
      <w:tr w:rsidR="003D308A" w:rsidRPr="00E23815" w14:paraId="7500CEBD" w14:textId="77777777" w:rsidTr="00AF65F6">
        <w:tc>
          <w:tcPr>
            <w:tcW w:w="2603" w:type="dxa"/>
            <w:vMerge w:val="restart"/>
            <w:vAlign w:val="center"/>
          </w:tcPr>
          <w:p w14:paraId="31ED2A4A" w14:textId="111CAC85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V podstatě jisté a</w:t>
            </w:r>
            <w:r w:rsidR="007938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očekávané</w:t>
            </w:r>
            <w:r w:rsidRPr="00E238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2022" w:type="dxa"/>
            <w:vMerge w:val="restart"/>
            <w:vAlign w:val="center"/>
          </w:tcPr>
          <w:p w14:paraId="727C37D0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="00B648AB"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090</w:t>
            </w:r>
            <w:r w:rsidR="00B648AB"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,7</w:t>
            </w:r>
          </w:p>
        </w:tc>
        <w:tc>
          <w:tcPr>
            <w:tcW w:w="2420" w:type="dxa"/>
            <w:vAlign w:val="center"/>
          </w:tcPr>
          <w:p w14:paraId="22762C16" w14:textId="141328E2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916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> –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Ostatní krátkodobé podmíněné závazky z</w:t>
            </w:r>
            <w:r w:rsidR="007938D5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transferů</w:t>
            </w:r>
          </w:p>
        </w:tc>
        <w:tc>
          <w:tcPr>
            <w:tcW w:w="2020" w:type="dxa"/>
            <w:vAlign w:val="center"/>
          </w:tcPr>
          <w:p w14:paraId="2A8615D8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244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D308A" w:rsidRPr="00E23815" w14:paraId="34669D89" w14:textId="77777777" w:rsidTr="00AF65F6">
        <w:tc>
          <w:tcPr>
            <w:tcW w:w="2603" w:type="dxa"/>
            <w:vMerge/>
            <w:vAlign w:val="center"/>
          </w:tcPr>
          <w:p w14:paraId="3B082F9B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44172C65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80EE56C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954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> –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Dlouhodobé podmíněné závazky ze zahraničních transferů</w:t>
            </w:r>
          </w:p>
        </w:tc>
        <w:tc>
          <w:tcPr>
            <w:tcW w:w="2020" w:type="dxa"/>
            <w:vAlign w:val="center"/>
          </w:tcPr>
          <w:p w14:paraId="7E844C0D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,1</w:t>
            </w:r>
          </w:p>
        </w:tc>
      </w:tr>
      <w:tr w:rsidR="003D308A" w:rsidRPr="00E23815" w14:paraId="3683D7C8" w14:textId="77777777" w:rsidTr="00AF65F6">
        <w:tc>
          <w:tcPr>
            <w:tcW w:w="2603" w:type="dxa"/>
            <w:vMerge/>
            <w:vAlign w:val="center"/>
          </w:tcPr>
          <w:p w14:paraId="5FB672B3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755B2660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4DC198D" w14:textId="3E14334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956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> –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Ostatní dlouhodobé podmíněné závazky z</w:t>
            </w:r>
            <w:r w:rsidR="007938D5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transferů</w:t>
            </w:r>
          </w:p>
        </w:tc>
        <w:tc>
          <w:tcPr>
            <w:tcW w:w="2020" w:type="dxa"/>
            <w:vAlign w:val="center"/>
          </w:tcPr>
          <w:p w14:paraId="4ACD069F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755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,7</w:t>
            </w:r>
          </w:p>
        </w:tc>
      </w:tr>
      <w:tr w:rsidR="003D308A" w:rsidRPr="00E23815" w14:paraId="778CDA46" w14:textId="77777777" w:rsidTr="00AF65F6">
        <w:tc>
          <w:tcPr>
            <w:tcW w:w="2603" w:type="dxa"/>
            <w:vMerge/>
            <w:vAlign w:val="center"/>
          </w:tcPr>
          <w:p w14:paraId="7AF9DB36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5E5B925D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7A0ADB6A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971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Krátkodobé podmíněné závazky ze smluv o pořízení dlouhodobého majetku</w:t>
            </w:r>
          </w:p>
        </w:tc>
        <w:tc>
          <w:tcPr>
            <w:tcW w:w="2020" w:type="dxa"/>
            <w:vAlign w:val="center"/>
          </w:tcPr>
          <w:p w14:paraId="0D90655A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3D308A" w:rsidRPr="00E23815" w14:paraId="282E9984" w14:textId="77777777" w:rsidTr="00AF65F6">
        <w:tc>
          <w:tcPr>
            <w:tcW w:w="2603" w:type="dxa"/>
            <w:vMerge/>
            <w:vAlign w:val="center"/>
          </w:tcPr>
          <w:p w14:paraId="719EB28D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7034C6A0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3B4EE9F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972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Dlouhodobé podmíněné závazky ze smluv o pořízení dlouhodobého majetku</w:t>
            </w:r>
          </w:p>
        </w:tc>
        <w:tc>
          <w:tcPr>
            <w:tcW w:w="2020" w:type="dxa"/>
            <w:vAlign w:val="center"/>
          </w:tcPr>
          <w:p w14:paraId="3F332566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D308A" w:rsidRPr="00E23815" w14:paraId="25B2A5FE" w14:textId="77777777" w:rsidTr="00AF65F6">
        <w:tc>
          <w:tcPr>
            <w:tcW w:w="2603" w:type="dxa"/>
            <w:vMerge/>
            <w:vAlign w:val="center"/>
          </w:tcPr>
          <w:p w14:paraId="1EC4202B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6512C279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1BBB8648" w14:textId="28000815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973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Krátkodobé podmíněné závazky z</w:t>
            </w:r>
            <w:r w:rsidR="007938D5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jiných smluv</w:t>
            </w:r>
          </w:p>
        </w:tc>
        <w:tc>
          <w:tcPr>
            <w:tcW w:w="2020" w:type="dxa"/>
            <w:vAlign w:val="center"/>
          </w:tcPr>
          <w:p w14:paraId="041B4855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D308A" w:rsidRPr="00E23815" w14:paraId="0D23663A" w14:textId="77777777" w:rsidTr="00AF65F6">
        <w:tc>
          <w:tcPr>
            <w:tcW w:w="2603" w:type="dxa"/>
            <w:vMerge/>
            <w:vAlign w:val="center"/>
          </w:tcPr>
          <w:p w14:paraId="5196D531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227DA36D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8F35248" w14:textId="2442C694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974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Dlouhodobé podmíněné závazky z</w:t>
            </w:r>
            <w:r w:rsidR="007938D5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jiných smluv</w:t>
            </w:r>
          </w:p>
        </w:tc>
        <w:tc>
          <w:tcPr>
            <w:tcW w:w="2020" w:type="dxa"/>
            <w:vAlign w:val="center"/>
          </w:tcPr>
          <w:p w14:paraId="39A86B26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567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D308A" w:rsidRPr="00E23815" w14:paraId="3B0B7047" w14:textId="77777777" w:rsidTr="00AF65F6">
        <w:tc>
          <w:tcPr>
            <w:tcW w:w="2603" w:type="dxa"/>
            <w:vAlign w:val="center"/>
          </w:tcPr>
          <w:p w14:paraId="2215753F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Podmíněné specifickým rizikem</w:t>
            </w:r>
            <w:r w:rsidRPr="00E238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55"/>
            </w:r>
          </w:p>
        </w:tc>
        <w:tc>
          <w:tcPr>
            <w:tcW w:w="2022" w:type="dxa"/>
            <w:vAlign w:val="center"/>
          </w:tcPr>
          <w:p w14:paraId="2C3FB1E1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648AB"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453</w:t>
            </w:r>
            <w:r w:rsidR="00B648AB"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20" w:type="dxa"/>
            <w:vAlign w:val="center"/>
          </w:tcPr>
          <w:p w14:paraId="2297BCDD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986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Dlouhodobé podmíněné závazky ze soudních sporů, správních řízení a jiných řízení</w:t>
            </w:r>
          </w:p>
        </w:tc>
        <w:tc>
          <w:tcPr>
            <w:tcW w:w="2020" w:type="dxa"/>
            <w:vAlign w:val="center"/>
          </w:tcPr>
          <w:p w14:paraId="32351FA3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453</w:t>
            </w:r>
            <w:r w:rsidR="00B648AB" w:rsidRPr="00E23815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</w:p>
        </w:tc>
      </w:tr>
      <w:tr w:rsidR="003D308A" w:rsidRPr="00E23815" w14:paraId="1A872427" w14:textId="77777777" w:rsidTr="00AF65F6">
        <w:tc>
          <w:tcPr>
            <w:tcW w:w="2603" w:type="dxa"/>
            <w:vAlign w:val="center"/>
          </w:tcPr>
          <w:p w14:paraId="40DF393F" w14:textId="77777777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Nejisté, neočekávané k plnění</w:t>
            </w:r>
            <w:r w:rsidRPr="00E238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2022" w:type="dxa"/>
            <w:vAlign w:val="center"/>
          </w:tcPr>
          <w:p w14:paraId="4EA3FD7A" w14:textId="77777777" w:rsidR="003D308A" w:rsidRPr="00E23815" w:rsidRDefault="003D308A" w:rsidP="00AF65F6">
            <w:pPr>
              <w:spacing w:after="0"/>
              <w:ind w:right="51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b/>
                <w:sz w:val="20"/>
                <w:szCs w:val="20"/>
              </w:rPr>
              <w:t>0,0</w:t>
            </w:r>
          </w:p>
        </w:tc>
        <w:tc>
          <w:tcPr>
            <w:tcW w:w="2420" w:type="dxa"/>
            <w:vAlign w:val="center"/>
          </w:tcPr>
          <w:p w14:paraId="04401820" w14:textId="30C8D10A" w:rsidR="003D308A" w:rsidRPr="00E23815" w:rsidRDefault="003D308A" w:rsidP="00B969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965</w:t>
            </w:r>
            <w:r w:rsidR="00E85B9D" w:rsidRPr="00E2381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Krátkodobé podmíněné závazky z</w:t>
            </w:r>
            <w:r w:rsidR="007938D5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B96907">
              <w:rPr>
                <w:rFonts w:asciiTheme="minorHAnsi" w:hAnsiTheme="minorHAnsi" w:cstheme="minorHAnsi"/>
                <w:i/>
                <w:sz w:val="20"/>
                <w:szCs w:val="20"/>
              </w:rPr>
              <w:t>důvodu užívání cizího majetku na základě smlouvy o výpůjčce</w:t>
            </w:r>
          </w:p>
        </w:tc>
        <w:tc>
          <w:tcPr>
            <w:tcW w:w="2020" w:type="dxa"/>
            <w:vAlign w:val="center"/>
          </w:tcPr>
          <w:p w14:paraId="29EA3F32" w14:textId="77777777" w:rsidR="003D308A" w:rsidRPr="00E23815" w:rsidRDefault="003D308A" w:rsidP="00AF65F6">
            <w:pPr>
              <w:spacing w:after="0"/>
              <w:ind w:right="6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23815">
              <w:rPr>
                <w:rFonts w:asciiTheme="minorHAnsi" w:hAnsiTheme="minorHAnsi" w:cstheme="minorHAnsi"/>
                <w:sz w:val="20"/>
                <w:szCs w:val="20"/>
              </w:rPr>
              <w:t>0,0</w:t>
            </w:r>
          </w:p>
        </w:tc>
      </w:tr>
    </w:tbl>
    <w:p w14:paraId="4D82AE7B" w14:textId="402F68B3" w:rsidR="003D308A" w:rsidRPr="00B96907" w:rsidRDefault="003D308A" w:rsidP="003C4CE5">
      <w:pPr>
        <w:jc w:val="both"/>
        <w:rPr>
          <w:rFonts w:asciiTheme="minorHAnsi" w:hAnsiTheme="minorHAnsi" w:cstheme="minorHAnsi"/>
          <w:sz w:val="20"/>
          <w:szCs w:val="20"/>
        </w:rPr>
      </w:pPr>
      <w:r w:rsidRPr="00920CD0">
        <w:rPr>
          <w:rFonts w:asciiTheme="minorHAnsi" w:hAnsiTheme="minorHAnsi" w:cstheme="minorHAnsi"/>
          <w:b/>
          <w:sz w:val="20"/>
          <w:szCs w:val="20"/>
        </w:rPr>
        <w:t>Zdroj:</w:t>
      </w:r>
      <w:r w:rsidRPr="00B96907">
        <w:rPr>
          <w:rFonts w:asciiTheme="minorHAnsi" w:hAnsiTheme="minorHAnsi" w:cstheme="minorHAnsi"/>
          <w:sz w:val="20"/>
          <w:szCs w:val="20"/>
        </w:rPr>
        <w:t xml:space="preserve"> </w:t>
      </w:r>
      <w:r w:rsidR="007938D5">
        <w:rPr>
          <w:rFonts w:asciiTheme="minorHAnsi" w:hAnsiTheme="minorHAnsi" w:cstheme="minorHAnsi"/>
          <w:sz w:val="20"/>
          <w:szCs w:val="20"/>
        </w:rPr>
        <w:t>p</w:t>
      </w:r>
      <w:r w:rsidRPr="00B96907">
        <w:rPr>
          <w:rFonts w:asciiTheme="minorHAnsi" w:hAnsiTheme="minorHAnsi" w:cstheme="minorHAnsi"/>
          <w:sz w:val="20"/>
          <w:szCs w:val="20"/>
        </w:rPr>
        <w:t>říloha ÚZ k 31.</w:t>
      </w:r>
      <w:r w:rsidR="003C4CE5">
        <w:rPr>
          <w:rFonts w:asciiTheme="minorHAnsi" w:hAnsiTheme="minorHAnsi" w:cstheme="minorHAnsi"/>
          <w:sz w:val="20"/>
          <w:szCs w:val="20"/>
        </w:rPr>
        <w:t xml:space="preserve"> </w:t>
      </w:r>
      <w:r w:rsidR="00F97135">
        <w:rPr>
          <w:rFonts w:asciiTheme="minorHAnsi" w:hAnsiTheme="minorHAnsi" w:cstheme="minorHAnsi"/>
          <w:sz w:val="20"/>
          <w:szCs w:val="20"/>
        </w:rPr>
        <w:t>prosinci</w:t>
      </w:r>
      <w:r w:rsidRPr="00B96907">
        <w:rPr>
          <w:rFonts w:asciiTheme="minorHAnsi" w:hAnsiTheme="minorHAnsi" w:cstheme="minorHAnsi"/>
          <w:sz w:val="20"/>
          <w:szCs w:val="20"/>
        </w:rPr>
        <w:t xml:space="preserve"> 2022</w:t>
      </w:r>
      <w:r w:rsidR="008D3426">
        <w:rPr>
          <w:rFonts w:asciiTheme="minorHAnsi" w:hAnsiTheme="minorHAnsi" w:cstheme="minorHAnsi"/>
          <w:sz w:val="20"/>
          <w:szCs w:val="20"/>
        </w:rPr>
        <w:t>;</w:t>
      </w:r>
      <w:r w:rsidRPr="00B96907">
        <w:rPr>
          <w:rFonts w:asciiTheme="minorHAnsi" w:hAnsiTheme="minorHAnsi" w:cstheme="minorHAnsi"/>
          <w:sz w:val="20"/>
          <w:szCs w:val="20"/>
        </w:rPr>
        <w:t xml:space="preserve"> výpočet</w:t>
      </w:r>
      <w:r w:rsidR="00B96907" w:rsidRPr="00B96907">
        <w:rPr>
          <w:rFonts w:asciiTheme="minorHAnsi" w:hAnsiTheme="minorHAnsi" w:cstheme="minorHAnsi"/>
          <w:sz w:val="20"/>
          <w:szCs w:val="20"/>
        </w:rPr>
        <w:t xml:space="preserve"> </w:t>
      </w:r>
      <w:r w:rsidR="007938D5">
        <w:rPr>
          <w:rFonts w:asciiTheme="minorHAnsi" w:hAnsiTheme="minorHAnsi" w:cstheme="minorHAnsi"/>
          <w:sz w:val="20"/>
          <w:szCs w:val="20"/>
        </w:rPr>
        <w:t xml:space="preserve">provedl </w:t>
      </w:r>
      <w:r w:rsidR="00B96907" w:rsidRPr="00B96907">
        <w:rPr>
          <w:rFonts w:asciiTheme="minorHAnsi" w:hAnsiTheme="minorHAnsi" w:cstheme="minorHAnsi"/>
          <w:sz w:val="20"/>
          <w:szCs w:val="20"/>
        </w:rPr>
        <w:t>NKÚ.</w:t>
      </w:r>
    </w:p>
    <w:p w14:paraId="296C7502" w14:textId="2FB27F18" w:rsidR="003D308A" w:rsidRDefault="003D308A" w:rsidP="00AF65F6">
      <w:pPr>
        <w:spacing w:after="0"/>
        <w:jc w:val="both"/>
      </w:pPr>
    </w:p>
    <w:p w14:paraId="40D19CC7" w14:textId="25FAD30B" w:rsidR="003D308A" w:rsidRPr="00E23815" w:rsidRDefault="003D308A" w:rsidP="004B2C4C">
      <w:pPr>
        <w:spacing w:after="0"/>
        <w:jc w:val="both"/>
      </w:pPr>
      <w:r w:rsidRPr="00E23815">
        <w:t xml:space="preserve">Kategorie podrozvahových závazků, jejichž budoucí vykázání v hlavní knize na rozvahovém účtu je </w:t>
      </w:r>
      <w:r w:rsidRPr="00E23815">
        <w:rPr>
          <w:b/>
        </w:rPr>
        <w:t>v podstatě jisté a očekáv</w:t>
      </w:r>
      <w:r w:rsidR="007938D5">
        <w:rPr>
          <w:b/>
        </w:rPr>
        <w:t>a</w:t>
      </w:r>
      <w:r w:rsidRPr="00E23815">
        <w:rPr>
          <w:b/>
        </w:rPr>
        <w:t>né,</w:t>
      </w:r>
      <w:r w:rsidRPr="00E23815">
        <w:t xml:space="preserve"> je nejrozsáhlejší. Jedná se o vykázané podmíněné závazky MŽP týkající se převážně závazků z</w:t>
      </w:r>
      <w:r w:rsidR="008D3426">
        <w:t xml:space="preserve"> </w:t>
      </w:r>
      <w:r w:rsidRPr="00E23815">
        <w:t>transferů, ze smluv o pořízení dlouhodobého majetku a</w:t>
      </w:r>
      <w:r w:rsidR="0071349E">
        <w:t> </w:t>
      </w:r>
      <w:r w:rsidRPr="00E23815">
        <w:t>z jiných smluv.</w:t>
      </w:r>
    </w:p>
    <w:p w14:paraId="55BA9A77" w14:textId="357BA32C" w:rsidR="003238E9" w:rsidRPr="00E23815" w:rsidRDefault="003D308A" w:rsidP="004B2C4C">
      <w:pPr>
        <w:spacing w:before="240" w:after="0"/>
        <w:jc w:val="both"/>
      </w:pPr>
      <w:r w:rsidRPr="00E23815">
        <w:lastRenderedPageBreak/>
        <w:t xml:space="preserve">Kategorie podrozvahových závazků, jejichž budoucí vykázání v hlavní knize na rozvahovém účtu je </w:t>
      </w:r>
      <w:r w:rsidRPr="00E23815">
        <w:rPr>
          <w:b/>
        </w:rPr>
        <w:t>podmíněn</w:t>
      </w:r>
      <w:r w:rsidR="0071349E">
        <w:rPr>
          <w:b/>
        </w:rPr>
        <w:t>o</w:t>
      </w:r>
      <w:r w:rsidRPr="00E23815">
        <w:rPr>
          <w:b/>
        </w:rPr>
        <w:t xml:space="preserve"> specifickým rizikem, </w:t>
      </w:r>
      <w:r w:rsidRPr="00E23815">
        <w:t>zahrnuje v</w:t>
      </w:r>
      <w:r w:rsidR="007C7B40">
        <w:t xml:space="preserve"> </w:t>
      </w:r>
      <w:r w:rsidRPr="00E23815">
        <w:t xml:space="preserve">případě MŽP soudní spory, jejichž účastníkem je MŽP. Tyto spory jsou vedeny s právnickými i fyzickými osobami a MŽP je dále člení na obecné soudní spory a soudní spory týkající se </w:t>
      </w:r>
      <w:proofErr w:type="spellStart"/>
      <w:r w:rsidRPr="00E23815">
        <w:t>fotovoltaických</w:t>
      </w:r>
      <w:proofErr w:type="spellEnd"/>
      <w:r w:rsidRPr="00E23815">
        <w:t xml:space="preserve"> elektráren.</w:t>
      </w:r>
    </w:p>
    <w:p w14:paraId="72C4AC3B" w14:textId="77777777" w:rsidR="003D308A" w:rsidRPr="00E23815" w:rsidRDefault="003D308A" w:rsidP="00AF65F6">
      <w:pPr>
        <w:spacing w:after="0"/>
        <w:jc w:val="both"/>
      </w:pPr>
    </w:p>
    <w:p w14:paraId="7E104DF0" w14:textId="77777777" w:rsidR="003D308A" w:rsidRPr="00E23815" w:rsidRDefault="003D308A" w:rsidP="003D308A">
      <w:pPr>
        <w:keepNext/>
        <w:keepLines/>
        <w:numPr>
          <w:ilvl w:val="3"/>
          <w:numId w:val="0"/>
        </w:numPr>
        <w:spacing w:after="240"/>
        <w:ind w:left="964" w:hanging="964"/>
        <w:jc w:val="both"/>
        <w:outlineLvl w:val="3"/>
        <w:rPr>
          <w:rFonts w:cs="Calibri"/>
          <w:b/>
          <w:iCs/>
        </w:rPr>
      </w:pPr>
      <w:bookmarkStart w:id="27" w:name="_Toc141260893"/>
      <w:r w:rsidRPr="00E23815">
        <w:rPr>
          <w:rFonts w:cs="Calibri"/>
          <w:b/>
          <w:iCs/>
        </w:rPr>
        <w:t>Vyčíslení výše zůstatků podmíněných pohledávek dle kategorií</w:t>
      </w:r>
      <w:bookmarkEnd w:id="27"/>
    </w:p>
    <w:p w14:paraId="528AEFCA" w14:textId="7F2B3AB8" w:rsidR="0017305E" w:rsidRPr="00E23815" w:rsidRDefault="0017305E" w:rsidP="0017305E">
      <w:pPr>
        <w:jc w:val="both"/>
      </w:pPr>
      <w:r w:rsidRPr="00E23815">
        <w:t>Podmíněné pohledávky lze rozdělit do tří kategorií z</w:t>
      </w:r>
      <w:r w:rsidR="0071349E">
        <w:t xml:space="preserve"> </w:t>
      </w:r>
      <w:r w:rsidRPr="00E23815">
        <w:t>hlediska pravděpodobnosti vzniku</w:t>
      </w:r>
      <w:r w:rsidR="00A01BB8" w:rsidRPr="00E23815">
        <w:t xml:space="preserve"> </w:t>
      </w:r>
      <w:r w:rsidRPr="00E23815">
        <w:t>rozva</w:t>
      </w:r>
      <w:r w:rsidR="00A01BB8" w:rsidRPr="00E23815">
        <w:t>hových pohledávek</w:t>
      </w:r>
      <w:r w:rsidRPr="00E23815">
        <w:t xml:space="preserve">. Rozdělení do těchto kategorií </w:t>
      </w:r>
      <w:r w:rsidR="0071349E">
        <w:t>u</w:t>
      </w:r>
      <w:r w:rsidRPr="00E23815">
        <w:t xml:space="preserve"> MŽP uvádí následující tabulka.</w:t>
      </w:r>
    </w:p>
    <w:p w14:paraId="371DFF1C" w14:textId="77777777" w:rsidR="0017305E" w:rsidRPr="00E23815" w:rsidRDefault="0017305E" w:rsidP="0017305E">
      <w:pPr>
        <w:jc w:val="both"/>
        <w:rPr>
          <w:i/>
          <w:iCs/>
        </w:rPr>
      </w:pPr>
      <w:r w:rsidRPr="00E23815">
        <w:rPr>
          <w:b/>
          <w:bCs/>
        </w:rPr>
        <w:t xml:space="preserve">Tabulka č. </w:t>
      </w:r>
      <w:r w:rsidR="00EB3525">
        <w:rPr>
          <w:b/>
          <w:bCs/>
        </w:rPr>
        <w:t>3</w:t>
      </w:r>
      <w:r w:rsidRPr="00E23815">
        <w:rPr>
          <w:b/>
          <w:bCs/>
        </w:rPr>
        <w:t>: Kategorie podmíněných pohledávek</w:t>
      </w:r>
    </w:p>
    <w:tbl>
      <w:tblPr>
        <w:tblStyle w:val="Mkatabulky"/>
        <w:tblW w:w="9093" w:type="dxa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3544"/>
        <w:gridCol w:w="1580"/>
      </w:tblGrid>
      <w:tr w:rsidR="0017305E" w:rsidRPr="00E23815" w14:paraId="226A03AF" w14:textId="77777777" w:rsidTr="00AF65F6">
        <w:trPr>
          <w:tblHeader/>
        </w:trPr>
        <w:tc>
          <w:tcPr>
            <w:tcW w:w="1985" w:type="dxa"/>
            <w:shd w:val="clear" w:color="auto" w:fill="E5F1FF"/>
            <w:vAlign w:val="center"/>
          </w:tcPr>
          <w:p w14:paraId="14D0B023" w14:textId="77777777" w:rsidR="0017305E" w:rsidRPr="00E23815" w:rsidRDefault="0017305E" w:rsidP="00B9690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23815">
              <w:rPr>
                <w:b/>
                <w:bCs/>
                <w:sz w:val="20"/>
                <w:szCs w:val="20"/>
              </w:rPr>
              <w:t>Kategorie podmíněných pohledávek</w:t>
            </w:r>
          </w:p>
        </w:tc>
        <w:tc>
          <w:tcPr>
            <w:tcW w:w="1984" w:type="dxa"/>
            <w:shd w:val="clear" w:color="auto" w:fill="E5F1FF"/>
            <w:vAlign w:val="center"/>
          </w:tcPr>
          <w:p w14:paraId="2501F5D3" w14:textId="38789503" w:rsidR="0017305E" w:rsidRPr="00E23815" w:rsidRDefault="0017305E" w:rsidP="00B9690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23815">
              <w:rPr>
                <w:b/>
                <w:bCs/>
                <w:sz w:val="20"/>
                <w:szCs w:val="20"/>
              </w:rPr>
              <w:t>Výše zůstatku k 31.</w:t>
            </w:r>
            <w:r w:rsidR="0071349E">
              <w:rPr>
                <w:b/>
                <w:bCs/>
                <w:sz w:val="20"/>
                <w:szCs w:val="20"/>
              </w:rPr>
              <w:t> </w:t>
            </w:r>
            <w:r w:rsidR="00F97135">
              <w:rPr>
                <w:b/>
                <w:bCs/>
                <w:sz w:val="20"/>
                <w:szCs w:val="20"/>
              </w:rPr>
              <w:t>prosinci</w:t>
            </w:r>
            <w:r w:rsidRPr="00E23815">
              <w:rPr>
                <w:b/>
                <w:bCs/>
                <w:sz w:val="20"/>
                <w:szCs w:val="20"/>
              </w:rPr>
              <w:t xml:space="preserve"> 2022</w:t>
            </w:r>
          </w:p>
          <w:p w14:paraId="57406197" w14:textId="77777777" w:rsidR="0017305E" w:rsidRPr="00E23815" w:rsidRDefault="0017305E" w:rsidP="00B9690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23815">
              <w:rPr>
                <w:b/>
                <w:bCs/>
                <w:sz w:val="20"/>
                <w:szCs w:val="20"/>
              </w:rPr>
              <w:t xml:space="preserve">(v </w:t>
            </w:r>
            <w:r w:rsidR="00B648AB" w:rsidRPr="00E23815">
              <w:rPr>
                <w:b/>
                <w:bCs/>
                <w:sz w:val="20"/>
                <w:szCs w:val="20"/>
              </w:rPr>
              <w:t xml:space="preserve">mil. </w:t>
            </w:r>
            <w:r w:rsidRPr="00E23815">
              <w:rPr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5124" w:type="dxa"/>
            <w:gridSpan w:val="2"/>
            <w:shd w:val="clear" w:color="auto" w:fill="E5F1FF"/>
            <w:vAlign w:val="center"/>
          </w:tcPr>
          <w:p w14:paraId="5BECB1B3" w14:textId="77777777" w:rsidR="0017305E" w:rsidRPr="00E23815" w:rsidRDefault="0017305E" w:rsidP="00B9690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23815">
              <w:rPr>
                <w:b/>
                <w:bCs/>
                <w:sz w:val="20"/>
                <w:szCs w:val="20"/>
              </w:rPr>
              <w:t xml:space="preserve">Podrozvahové účty a jejich zůstatky (v </w:t>
            </w:r>
            <w:r w:rsidR="00B648AB" w:rsidRPr="00E23815">
              <w:rPr>
                <w:b/>
                <w:bCs/>
                <w:sz w:val="20"/>
                <w:szCs w:val="20"/>
              </w:rPr>
              <w:t xml:space="preserve">mil. </w:t>
            </w:r>
            <w:r w:rsidRPr="00E23815">
              <w:rPr>
                <w:b/>
                <w:bCs/>
                <w:sz w:val="20"/>
                <w:szCs w:val="20"/>
              </w:rPr>
              <w:t>Kč)</w:t>
            </w:r>
          </w:p>
        </w:tc>
      </w:tr>
      <w:tr w:rsidR="0017305E" w:rsidRPr="00E23815" w14:paraId="4C2F8C45" w14:textId="77777777" w:rsidTr="00AF65F6">
        <w:tc>
          <w:tcPr>
            <w:tcW w:w="1985" w:type="dxa"/>
            <w:vMerge w:val="restart"/>
            <w:vAlign w:val="center"/>
          </w:tcPr>
          <w:p w14:paraId="581C1A61" w14:textId="04F96AC9" w:rsidR="0017305E" w:rsidRPr="00E23815" w:rsidRDefault="00E85B9D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V podstatě jisté a</w:t>
            </w:r>
            <w:r w:rsidR="0071349E"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očekávané</w:t>
            </w:r>
            <w:r w:rsidRPr="00E23815">
              <w:rPr>
                <w:rStyle w:val="Znakapoznpodarou"/>
                <w:sz w:val="20"/>
                <w:szCs w:val="20"/>
              </w:rPr>
              <w:footnoteReference w:id="57"/>
            </w:r>
          </w:p>
        </w:tc>
        <w:tc>
          <w:tcPr>
            <w:tcW w:w="1984" w:type="dxa"/>
            <w:vMerge w:val="restart"/>
            <w:vAlign w:val="center"/>
          </w:tcPr>
          <w:p w14:paraId="492CD1DB" w14:textId="77777777" w:rsidR="0017305E" w:rsidRPr="00E23815" w:rsidRDefault="00E85B9D" w:rsidP="00AF65F6">
            <w:pPr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E23815">
              <w:rPr>
                <w:b/>
                <w:sz w:val="20"/>
                <w:szCs w:val="20"/>
              </w:rPr>
              <w:t>14</w:t>
            </w:r>
            <w:r w:rsidR="00B648AB" w:rsidRPr="00E23815">
              <w:rPr>
                <w:b/>
                <w:sz w:val="20"/>
                <w:szCs w:val="20"/>
              </w:rPr>
              <w:t> </w:t>
            </w:r>
            <w:r w:rsidRPr="00E23815">
              <w:rPr>
                <w:b/>
                <w:sz w:val="20"/>
                <w:szCs w:val="20"/>
              </w:rPr>
              <w:t>760</w:t>
            </w:r>
            <w:r w:rsidR="00B648AB" w:rsidRPr="00E23815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3544" w:type="dxa"/>
          </w:tcPr>
          <w:p w14:paraId="577B977F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911</w:t>
            </w:r>
            <w:r w:rsidR="00E85B9D" w:rsidRPr="00E23815"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–</w:t>
            </w:r>
            <w:r w:rsidR="00E85B9D" w:rsidRPr="00E23815">
              <w:rPr>
                <w:sz w:val="20"/>
                <w:szCs w:val="20"/>
              </w:rPr>
              <w:t> </w:t>
            </w:r>
            <w:r w:rsidRPr="00B96907">
              <w:rPr>
                <w:i/>
                <w:sz w:val="20"/>
                <w:szCs w:val="20"/>
              </w:rPr>
              <w:t>Krátkodobé podmíněné pohledávky z předfinancování transferů</w:t>
            </w:r>
          </w:p>
        </w:tc>
        <w:tc>
          <w:tcPr>
            <w:tcW w:w="1580" w:type="dxa"/>
            <w:vAlign w:val="center"/>
          </w:tcPr>
          <w:p w14:paraId="3B6FD447" w14:textId="77777777" w:rsidR="0017305E" w:rsidRPr="00E23815" w:rsidRDefault="0017305E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14</w:t>
            </w:r>
            <w:r w:rsidR="00B648AB" w:rsidRPr="00E23815"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711</w:t>
            </w:r>
            <w:r w:rsidR="00B648AB" w:rsidRPr="00E23815">
              <w:rPr>
                <w:sz w:val="20"/>
                <w:szCs w:val="20"/>
              </w:rPr>
              <w:t>,</w:t>
            </w:r>
            <w:r w:rsidRPr="00E23815">
              <w:rPr>
                <w:sz w:val="20"/>
                <w:szCs w:val="20"/>
              </w:rPr>
              <w:t>5</w:t>
            </w:r>
          </w:p>
        </w:tc>
      </w:tr>
      <w:tr w:rsidR="0017305E" w:rsidRPr="00E23815" w14:paraId="2F5F0CB2" w14:textId="77777777" w:rsidTr="00AF65F6">
        <w:tc>
          <w:tcPr>
            <w:tcW w:w="1985" w:type="dxa"/>
            <w:vMerge/>
            <w:vAlign w:val="center"/>
          </w:tcPr>
          <w:p w14:paraId="57252328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6C2AB8B" w14:textId="77777777" w:rsidR="0017305E" w:rsidRPr="00E23815" w:rsidRDefault="0017305E" w:rsidP="00AF65F6">
            <w:pPr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3BD08F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913</w:t>
            </w:r>
            <w:r w:rsidR="00E85B9D" w:rsidRPr="00E23815"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–</w:t>
            </w:r>
            <w:r w:rsidR="00E85B9D" w:rsidRPr="00E23815">
              <w:rPr>
                <w:sz w:val="20"/>
                <w:szCs w:val="20"/>
              </w:rPr>
              <w:t> </w:t>
            </w:r>
            <w:r w:rsidRPr="00B96907">
              <w:rPr>
                <w:i/>
                <w:sz w:val="20"/>
                <w:szCs w:val="20"/>
              </w:rPr>
              <w:t>Krátkodobé podmíněné pohledávky ze zahraničních transferů</w:t>
            </w:r>
          </w:p>
        </w:tc>
        <w:tc>
          <w:tcPr>
            <w:tcW w:w="1580" w:type="dxa"/>
            <w:vAlign w:val="center"/>
          </w:tcPr>
          <w:p w14:paraId="52BCC85A" w14:textId="77777777" w:rsidR="0017305E" w:rsidRPr="00E23815" w:rsidRDefault="0017305E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48</w:t>
            </w:r>
            <w:r w:rsidR="00B648AB" w:rsidRPr="00E23815">
              <w:rPr>
                <w:sz w:val="20"/>
                <w:szCs w:val="20"/>
              </w:rPr>
              <w:t>,</w:t>
            </w:r>
            <w:r w:rsidRPr="00E23815">
              <w:rPr>
                <w:sz w:val="20"/>
                <w:szCs w:val="20"/>
              </w:rPr>
              <w:t>8</w:t>
            </w:r>
          </w:p>
        </w:tc>
      </w:tr>
      <w:tr w:rsidR="0017305E" w:rsidRPr="00E23815" w14:paraId="15646EF0" w14:textId="77777777" w:rsidTr="00AF65F6">
        <w:tc>
          <w:tcPr>
            <w:tcW w:w="1985" w:type="dxa"/>
            <w:vMerge/>
            <w:vAlign w:val="center"/>
          </w:tcPr>
          <w:p w14:paraId="6C76E6FF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888B8C7" w14:textId="77777777" w:rsidR="0017305E" w:rsidRPr="00E23815" w:rsidRDefault="0017305E" w:rsidP="00AF65F6">
            <w:pPr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2572C0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934</w:t>
            </w:r>
            <w:r w:rsidR="00E85B9D" w:rsidRPr="00E23815"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–</w:t>
            </w:r>
            <w:r w:rsidR="00E85B9D" w:rsidRPr="00E23815">
              <w:rPr>
                <w:sz w:val="20"/>
                <w:szCs w:val="20"/>
              </w:rPr>
              <w:t> </w:t>
            </w:r>
            <w:r w:rsidRPr="00B96907">
              <w:rPr>
                <w:i/>
                <w:sz w:val="20"/>
                <w:szCs w:val="20"/>
              </w:rPr>
              <w:t>Dlouhodobé podmíněné pohledávky z jiných smluv</w:t>
            </w:r>
          </w:p>
        </w:tc>
        <w:tc>
          <w:tcPr>
            <w:tcW w:w="1580" w:type="dxa"/>
            <w:vAlign w:val="center"/>
          </w:tcPr>
          <w:p w14:paraId="57AFFC07" w14:textId="77777777" w:rsidR="0017305E" w:rsidRPr="00E23815" w:rsidRDefault="00B648AB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0,</w:t>
            </w:r>
            <w:r w:rsidR="0017305E" w:rsidRPr="00E23815">
              <w:rPr>
                <w:sz w:val="20"/>
                <w:szCs w:val="20"/>
              </w:rPr>
              <w:t>3</w:t>
            </w:r>
          </w:p>
        </w:tc>
      </w:tr>
      <w:tr w:rsidR="0017305E" w:rsidRPr="00E23815" w14:paraId="0D95CC0A" w14:textId="77777777" w:rsidTr="00AF65F6">
        <w:tc>
          <w:tcPr>
            <w:tcW w:w="1985" w:type="dxa"/>
            <w:vAlign w:val="center"/>
          </w:tcPr>
          <w:p w14:paraId="4900B139" w14:textId="77777777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Podmíněné specifickými okolnostmi</w:t>
            </w:r>
            <w:r w:rsidRPr="00E23815">
              <w:rPr>
                <w:sz w:val="20"/>
                <w:szCs w:val="20"/>
                <w:vertAlign w:val="superscript"/>
              </w:rPr>
              <w:footnoteReference w:id="58"/>
            </w:r>
          </w:p>
        </w:tc>
        <w:tc>
          <w:tcPr>
            <w:tcW w:w="1984" w:type="dxa"/>
            <w:vAlign w:val="center"/>
          </w:tcPr>
          <w:p w14:paraId="3A9BAED9" w14:textId="77777777" w:rsidR="0017305E" w:rsidRPr="00E23815" w:rsidRDefault="0017305E" w:rsidP="00AF65F6">
            <w:pPr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E23815">
              <w:rPr>
                <w:b/>
                <w:sz w:val="20"/>
                <w:szCs w:val="20"/>
              </w:rPr>
              <w:t>3</w:t>
            </w:r>
            <w:r w:rsidR="00B648AB" w:rsidRPr="00E23815">
              <w:rPr>
                <w:b/>
                <w:sz w:val="20"/>
                <w:szCs w:val="20"/>
              </w:rPr>
              <w:t>,4</w:t>
            </w:r>
          </w:p>
        </w:tc>
        <w:tc>
          <w:tcPr>
            <w:tcW w:w="3544" w:type="dxa"/>
          </w:tcPr>
          <w:p w14:paraId="018F9E31" w14:textId="6F825A90" w:rsidR="0017305E" w:rsidRPr="00E23815" w:rsidRDefault="0017305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948</w:t>
            </w:r>
            <w:r w:rsidR="00E85B9D" w:rsidRPr="00E23815">
              <w:rPr>
                <w:sz w:val="20"/>
                <w:szCs w:val="20"/>
              </w:rPr>
              <w:t> – </w:t>
            </w:r>
            <w:r w:rsidRPr="00B96907">
              <w:rPr>
                <w:i/>
                <w:sz w:val="20"/>
                <w:szCs w:val="20"/>
              </w:rPr>
              <w:t>Dlouhodobé podmíněné pohledávky ze soudních sporů, správních</w:t>
            </w:r>
            <w:r w:rsidR="0071349E">
              <w:rPr>
                <w:i/>
                <w:sz w:val="20"/>
                <w:szCs w:val="20"/>
              </w:rPr>
              <w:t> </w:t>
            </w:r>
            <w:r w:rsidRPr="00B96907">
              <w:rPr>
                <w:i/>
                <w:sz w:val="20"/>
                <w:szCs w:val="20"/>
              </w:rPr>
              <w:t>řízení a jiných řízení</w:t>
            </w:r>
          </w:p>
        </w:tc>
        <w:tc>
          <w:tcPr>
            <w:tcW w:w="1580" w:type="dxa"/>
            <w:vAlign w:val="center"/>
          </w:tcPr>
          <w:p w14:paraId="7DB46BBA" w14:textId="77777777" w:rsidR="0017305E" w:rsidRPr="00E23815" w:rsidRDefault="0017305E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3</w:t>
            </w:r>
            <w:r w:rsidR="00B648AB" w:rsidRPr="00E23815">
              <w:rPr>
                <w:sz w:val="20"/>
                <w:szCs w:val="20"/>
              </w:rPr>
              <w:t>,4</w:t>
            </w:r>
          </w:p>
        </w:tc>
      </w:tr>
      <w:tr w:rsidR="0071349E" w:rsidRPr="00E23815" w14:paraId="6520E293" w14:textId="77777777" w:rsidTr="00AF65F6">
        <w:tc>
          <w:tcPr>
            <w:tcW w:w="1985" w:type="dxa"/>
            <w:vMerge w:val="restart"/>
            <w:vAlign w:val="center"/>
          </w:tcPr>
          <w:p w14:paraId="46C15840" w14:textId="76D93355" w:rsidR="0071349E" w:rsidRPr="00E23815" w:rsidRDefault="0071349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Nejisté a</w:t>
            </w:r>
            <w:r>
              <w:rPr>
                <w:sz w:val="20"/>
                <w:szCs w:val="20"/>
              </w:rPr>
              <w:t> </w:t>
            </w:r>
            <w:r w:rsidRPr="00E23815">
              <w:rPr>
                <w:sz w:val="20"/>
                <w:szCs w:val="20"/>
              </w:rPr>
              <w:t>neočekávané</w:t>
            </w:r>
            <w:r w:rsidRPr="00E23815">
              <w:rPr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1984" w:type="dxa"/>
            <w:vMerge w:val="restart"/>
            <w:vAlign w:val="center"/>
          </w:tcPr>
          <w:p w14:paraId="02636712" w14:textId="77777777" w:rsidR="0071349E" w:rsidRPr="00E23815" w:rsidRDefault="0071349E" w:rsidP="00AF65F6">
            <w:pPr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E23815">
              <w:rPr>
                <w:b/>
                <w:sz w:val="20"/>
                <w:szCs w:val="20"/>
              </w:rPr>
              <w:t>1 060,9</w:t>
            </w:r>
          </w:p>
        </w:tc>
        <w:tc>
          <w:tcPr>
            <w:tcW w:w="3544" w:type="dxa"/>
          </w:tcPr>
          <w:p w14:paraId="3A75CC85" w14:textId="059328D0" w:rsidR="0071349E" w:rsidRPr="00E23815" w:rsidRDefault="0071349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924 – </w:t>
            </w:r>
            <w:r w:rsidRPr="00B96907">
              <w:rPr>
                <w:i/>
                <w:sz w:val="20"/>
                <w:szCs w:val="20"/>
              </w:rPr>
              <w:t xml:space="preserve">Krátkodobé </w:t>
            </w:r>
            <w:bookmarkStart w:id="28" w:name="_Hlk138850079"/>
            <w:r w:rsidRPr="00B96907">
              <w:rPr>
                <w:i/>
                <w:sz w:val="20"/>
                <w:szCs w:val="20"/>
              </w:rPr>
              <w:t>podmíněné pohledávky z důvodu užívání majetku jinou osobou na základě smlouvy o</w:t>
            </w:r>
            <w:r>
              <w:rPr>
                <w:i/>
                <w:sz w:val="20"/>
                <w:szCs w:val="20"/>
              </w:rPr>
              <w:t> </w:t>
            </w:r>
            <w:r w:rsidRPr="00B96907">
              <w:rPr>
                <w:i/>
                <w:sz w:val="20"/>
                <w:szCs w:val="20"/>
              </w:rPr>
              <w:t>výpůjčce</w:t>
            </w:r>
            <w:bookmarkEnd w:id="28"/>
          </w:p>
        </w:tc>
        <w:tc>
          <w:tcPr>
            <w:tcW w:w="1580" w:type="dxa"/>
            <w:vAlign w:val="center"/>
          </w:tcPr>
          <w:p w14:paraId="5433DFE3" w14:textId="77777777" w:rsidR="0071349E" w:rsidRPr="00E23815" w:rsidRDefault="0071349E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31,0</w:t>
            </w:r>
          </w:p>
        </w:tc>
      </w:tr>
      <w:tr w:rsidR="0071349E" w:rsidRPr="00E23815" w14:paraId="6213237E" w14:textId="77777777" w:rsidTr="00AF65F6">
        <w:tc>
          <w:tcPr>
            <w:tcW w:w="1985" w:type="dxa"/>
            <w:vMerge/>
          </w:tcPr>
          <w:p w14:paraId="39A11CCF" w14:textId="77777777" w:rsidR="0071349E" w:rsidRPr="00E23815" w:rsidRDefault="0071349E" w:rsidP="00B96907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DB1141" w14:textId="77777777" w:rsidR="0071349E" w:rsidRPr="00E23815" w:rsidRDefault="0071349E" w:rsidP="00B96907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31E593" w14:textId="77777777" w:rsidR="0071349E" w:rsidRPr="00E23815" w:rsidRDefault="0071349E" w:rsidP="00B96907">
            <w:pPr>
              <w:spacing w:after="0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945 – </w:t>
            </w:r>
            <w:r w:rsidRPr="00B96907">
              <w:rPr>
                <w:i/>
                <w:sz w:val="20"/>
                <w:szCs w:val="20"/>
              </w:rPr>
              <w:t>Dlouhodobé podmíněné úhrady pohledávek z přijatých zajištění</w:t>
            </w:r>
          </w:p>
        </w:tc>
        <w:tc>
          <w:tcPr>
            <w:tcW w:w="1580" w:type="dxa"/>
            <w:vAlign w:val="center"/>
          </w:tcPr>
          <w:p w14:paraId="7C40EEB9" w14:textId="77777777" w:rsidR="0071349E" w:rsidRPr="00E23815" w:rsidRDefault="0071349E" w:rsidP="00AF65F6">
            <w:pPr>
              <w:spacing w:after="0"/>
              <w:ind w:right="283"/>
              <w:jc w:val="right"/>
              <w:rPr>
                <w:sz w:val="20"/>
                <w:szCs w:val="20"/>
              </w:rPr>
            </w:pPr>
            <w:r w:rsidRPr="00E23815">
              <w:rPr>
                <w:sz w:val="20"/>
                <w:szCs w:val="20"/>
              </w:rPr>
              <w:t>1 029,9</w:t>
            </w:r>
          </w:p>
        </w:tc>
      </w:tr>
    </w:tbl>
    <w:p w14:paraId="13459562" w14:textId="002A7DA4" w:rsidR="0017305E" w:rsidRPr="00B96907" w:rsidRDefault="0017305E" w:rsidP="00AF65F6">
      <w:pPr>
        <w:spacing w:after="0"/>
        <w:jc w:val="both"/>
        <w:rPr>
          <w:sz w:val="20"/>
          <w:szCs w:val="20"/>
        </w:rPr>
      </w:pPr>
      <w:r w:rsidRPr="00920CD0">
        <w:rPr>
          <w:b/>
          <w:sz w:val="20"/>
          <w:szCs w:val="20"/>
        </w:rPr>
        <w:t>Zdroj:</w:t>
      </w:r>
      <w:r w:rsidRPr="00B96907">
        <w:rPr>
          <w:sz w:val="20"/>
          <w:szCs w:val="20"/>
        </w:rPr>
        <w:t xml:space="preserve"> </w:t>
      </w:r>
      <w:r w:rsidR="0071349E">
        <w:rPr>
          <w:sz w:val="20"/>
          <w:szCs w:val="20"/>
        </w:rPr>
        <w:t>p</w:t>
      </w:r>
      <w:r w:rsidRPr="00B96907">
        <w:rPr>
          <w:sz w:val="20"/>
          <w:szCs w:val="20"/>
        </w:rPr>
        <w:t xml:space="preserve">říloha ÚZ k 31. </w:t>
      </w:r>
      <w:r w:rsidR="00F97135">
        <w:rPr>
          <w:sz w:val="20"/>
          <w:szCs w:val="20"/>
        </w:rPr>
        <w:t>prosinci</w:t>
      </w:r>
      <w:r w:rsidRPr="00B96907">
        <w:rPr>
          <w:sz w:val="20"/>
          <w:szCs w:val="20"/>
        </w:rPr>
        <w:t xml:space="preserve"> 2022</w:t>
      </w:r>
      <w:r w:rsidR="008D3426">
        <w:rPr>
          <w:sz w:val="20"/>
          <w:szCs w:val="20"/>
        </w:rPr>
        <w:t>;</w:t>
      </w:r>
      <w:r w:rsidRPr="00B96907">
        <w:rPr>
          <w:sz w:val="20"/>
          <w:szCs w:val="20"/>
        </w:rPr>
        <w:t xml:space="preserve"> výpočet</w:t>
      </w:r>
      <w:r w:rsidR="00B96907">
        <w:rPr>
          <w:sz w:val="20"/>
          <w:szCs w:val="20"/>
        </w:rPr>
        <w:t xml:space="preserve"> </w:t>
      </w:r>
      <w:r w:rsidR="0071349E">
        <w:rPr>
          <w:sz w:val="20"/>
          <w:szCs w:val="20"/>
        </w:rPr>
        <w:t xml:space="preserve">provedl </w:t>
      </w:r>
      <w:r w:rsidR="00B96907">
        <w:rPr>
          <w:sz w:val="20"/>
          <w:szCs w:val="20"/>
        </w:rPr>
        <w:t>NKÚ.</w:t>
      </w:r>
    </w:p>
    <w:p w14:paraId="6F8086B2" w14:textId="77777777" w:rsidR="0017305E" w:rsidRPr="00AF65F6" w:rsidRDefault="0017305E" w:rsidP="00AF65F6">
      <w:pPr>
        <w:spacing w:after="0"/>
        <w:jc w:val="both"/>
      </w:pPr>
    </w:p>
    <w:p w14:paraId="30BC606A" w14:textId="79915A72" w:rsidR="0017305E" w:rsidRPr="00E23815" w:rsidRDefault="0017305E" w:rsidP="0017305E">
      <w:pPr>
        <w:jc w:val="both"/>
      </w:pPr>
      <w:r w:rsidRPr="004823AF">
        <w:t>Kategorie podrozvahových pohledávek</w:t>
      </w:r>
      <w:r w:rsidRPr="00E23815">
        <w:t xml:space="preserve">, jejichž budoucí vykázání v hlavní knize na rozvahovém účtu je </w:t>
      </w:r>
      <w:r w:rsidRPr="00E23815">
        <w:rPr>
          <w:b/>
        </w:rPr>
        <w:t>v podstatě jisté a očekáv</w:t>
      </w:r>
      <w:r w:rsidR="004823AF">
        <w:rPr>
          <w:b/>
        </w:rPr>
        <w:t>a</w:t>
      </w:r>
      <w:r w:rsidRPr="00E23815">
        <w:rPr>
          <w:b/>
        </w:rPr>
        <w:t>né,</w:t>
      </w:r>
      <w:r w:rsidRPr="00E23815">
        <w:t xml:space="preserve"> je nejrozsáhlejší. Jedná se o vykázané podmíněné pohledávky MŽP týkající se převážně pohledávek z transferů a z jiných smluv. </w:t>
      </w:r>
    </w:p>
    <w:p w14:paraId="45CB7ED3" w14:textId="5847D208" w:rsidR="0017305E" w:rsidRPr="00E23815" w:rsidRDefault="0017305E" w:rsidP="0017305E">
      <w:pPr>
        <w:jc w:val="both"/>
      </w:pPr>
      <w:r w:rsidRPr="00E23815">
        <w:t xml:space="preserve">Kategorie podrozvahových pohledávek, jejichž budoucí vykázání v hlavní knize na rozvahovém účtu je </w:t>
      </w:r>
      <w:r w:rsidRPr="00E23815">
        <w:rPr>
          <w:b/>
        </w:rPr>
        <w:t>podmíněn</w:t>
      </w:r>
      <w:r w:rsidR="004823AF">
        <w:rPr>
          <w:b/>
        </w:rPr>
        <w:t>o</w:t>
      </w:r>
      <w:r w:rsidRPr="00E23815">
        <w:rPr>
          <w:b/>
        </w:rPr>
        <w:t xml:space="preserve"> specifickými okolnostmi, </w:t>
      </w:r>
      <w:r w:rsidRPr="00E23815">
        <w:t>zahrnuje v případě MŽP soudní spory, jejichž účastníkem je MŽP.</w:t>
      </w:r>
    </w:p>
    <w:p w14:paraId="3B346173" w14:textId="1D968989" w:rsidR="00546311" w:rsidRPr="0088673C" w:rsidRDefault="0017305E" w:rsidP="00545EDD">
      <w:pPr>
        <w:jc w:val="both"/>
      </w:pPr>
      <w:r w:rsidRPr="00E23815">
        <w:t>V kategorii podrozvahových pohledávek, jejichž budoucí vykázání v</w:t>
      </w:r>
      <w:r w:rsidR="004823AF">
        <w:t xml:space="preserve"> </w:t>
      </w:r>
      <w:r w:rsidRPr="00E23815">
        <w:t>hlavní knize na rozvahovém účtu</w:t>
      </w:r>
      <w:r w:rsidR="004823AF">
        <w:t xml:space="preserve"> je</w:t>
      </w:r>
      <w:r w:rsidRPr="00E23815">
        <w:t xml:space="preserve"> </w:t>
      </w:r>
      <w:r w:rsidRPr="00E23815">
        <w:rPr>
          <w:b/>
        </w:rPr>
        <w:t>nejisté a neočekáv</w:t>
      </w:r>
      <w:r w:rsidR="004823AF">
        <w:rPr>
          <w:b/>
        </w:rPr>
        <w:t>a</w:t>
      </w:r>
      <w:r w:rsidRPr="00E23815">
        <w:rPr>
          <w:b/>
        </w:rPr>
        <w:t>né,</w:t>
      </w:r>
      <w:r w:rsidRPr="00E23815">
        <w:t xml:space="preserve"> se v případě MŽP jedná o podmíněné pohledávky </w:t>
      </w:r>
      <w:r w:rsidR="004B2C4C">
        <w:br/>
      </w:r>
      <w:r w:rsidRPr="00E23815">
        <w:t>z</w:t>
      </w:r>
      <w:r w:rsidR="004B2C4C">
        <w:t xml:space="preserve"> </w:t>
      </w:r>
      <w:r w:rsidRPr="00E23815">
        <w:t>důvodu užívání majetku jinou osobou na základě smlouvy o výpůjčce a v</w:t>
      </w:r>
      <w:r w:rsidR="004823AF">
        <w:t xml:space="preserve"> </w:t>
      </w:r>
      <w:r w:rsidRPr="00E23815">
        <w:t xml:space="preserve">ojedinělých případech o zástavní práva u </w:t>
      </w:r>
      <w:r w:rsidR="004823AF" w:rsidRPr="00E23815">
        <w:t xml:space="preserve">dotací </w:t>
      </w:r>
      <w:r w:rsidRPr="00E23815">
        <w:t xml:space="preserve">poskytovaných </w:t>
      </w:r>
      <w:r w:rsidR="004823AF">
        <w:t>na</w:t>
      </w:r>
      <w:r w:rsidRPr="00E23815">
        <w:t xml:space="preserve"> velk</w:t>
      </w:r>
      <w:r w:rsidR="004823AF">
        <w:t>é</w:t>
      </w:r>
      <w:r w:rsidRPr="00E23815">
        <w:t xml:space="preserve"> projekt</w:t>
      </w:r>
      <w:r w:rsidR="004823AF">
        <w:t>y</w:t>
      </w:r>
      <w:r w:rsidRPr="00E23815">
        <w:t>.</w:t>
      </w:r>
    </w:p>
    <w:sectPr w:rsidR="00546311" w:rsidRPr="0088673C" w:rsidSect="00415B84">
      <w:headerReference w:type="default" r:id="rId39"/>
      <w:headerReference w:type="first" r:id="rId4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48057" w14:textId="77777777" w:rsidR="000B4FD0" w:rsidRDefault="000B4FD0">
      <w:pPr>
        <w:spacing w:after="0"/>
      </w:pPr>
      <w:r>
        <w:separator/>
      </w:r>
    </w:p>
  </w:endnote>
  <w:endnote w:type="continuationSeparator" w:id="0">
    <w:p w14:paraId="36F6F802" w14:textId="77777777" w:rsidR="000B4FD0" w:rsidRDefault="000B4FD0">
      <w:pPr>
        <w:spacing w:after="0"/>
      </w:pPr>
      <w:r>
        <w:continuationSeparator/>
      </w:r>
    </w:p>
  </w:endnote>
  <w:endnote w:type="continuationNotice" w:id="1">
    <w:p w14:paraId="6737D63A" w14:textId="77777777" w:rsidR="000B4FD0" w:rsidRDefault="000B4F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242651"/>
      <w:docPartObj>
        <w:docPartGallery w:val="Page Numbers (Bottom of Page)"/>
        <w:docPartUnique/>
      </w:docPartObj>
    </w:sdtPr>
    <w:sdtEndPr/>
    <w:sdtContent>
      <w:p w14:paraId="7C0B860C" w14:textId="77777777" w:rsidR="000B4FD0" w:rsidRDefault="000B4F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226FC5" w14:textId="77777777" w:rsidR="000B4FD0" w:rsidRDefault="000B4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678D" w14:textId="77777777" w:rsidR="000B4FD0" w:rsidRDefault="000B4FD0" w:rsidP="00CE17E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58825" w14:textId="77777777" w:rsidR="000B4FD0" w:rsidRDefault="000B4FD0" w:rsidP="002B7978">
      <w:pPr>
        <w:spacing w:after="0"/>
      </w:pPr>
      <w:r>
        <w:separator/>
      </w:r>
    </w:p>
  </w:footnote>
  <w:footnote w:type="continuationSeparator" w:id="0">
    <w:p w14:paraId="427FE52E" w14:textId="77777777" w:rsidR="000B4FD0" w:rsidRDefault="000B4FD0" w:rsidP="002B7978">
      <w:pPr>
        <w:spacing w:after="0"/>
      </w:pPr>
      <w:r>
        <w:continuationSeparator/>
      </w:r>
    </w:p>
  </w:footnote>
  <w:footnote w:type="continuationNotice" w:id="1">
    <w:p w14:paraId="5CEF668A" w14:textId="77777777" w:rsidR="000B4FD0" w:rsidRDefault="000B4FD0">
      <w:pPr>
        <w:spacing w:after="0"/>
      </w:pPr>
    </w:p>
  </w:footnote>
  <w:footnote w:id="2">
    <w:p w14:paraId="4DEE01B2" w14:textId="77777777" w:rsidR="000B4FD0" w:rsidRPr="00904DB9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04DB9">
        <w:rPr>
          <w:rStyle w:val="Znakapoznpodarou"/>
          <w:rFonts w:asciiTheme="minorHAnsi" w:hAnsiTheme="minorHAnsi" w:cstheme="minorHAnsi"/>
        </w:rPr>
        <w:footnoteRef/>
      </w:r>
      <w:r w:rsidRPr="00904DB9">
        <w:rPr>
          <w:rFonts w:asciiTheme="minorHAnsi" w:hAnsiTheme="minorHAnsi" w:cstheme="minorHAnsi"/>
        </w:rPr>
        <w:t xml:space="preserve"> </w:t>
      </w:r>
      <w:r w:rsidRPr="00904DB9">
        <w:rPr>
          <w:rFonts w:asciiTheme="minorHAnsi" w:hAnsiTheme="minorHAnsi" w:cstheme="minorHAnsi"/>
        </w:rPr>
        <w:tab/>
        <w:t>Vybranými účetními jednotkami jsou podle ustanovení § 1 odst. 3 zákona č. 563/1991 Sb., o účetnictví, organizační složky státu, státní fondy podle rozpočtových pravidel, územní samosprávné celky, dobrovolné svazky obcí, příspěvkové organizace a zdravotní pojišťovny.</w:t>
      </w:r>
    </w:p>
  </w:footnote>
  <w:footnote w:id="3">
    <w:p w14:paraId="3EC3E587" w14:textId="77777777" w:rsidR="000B4FD0" w:rsidRPr="00904DB9" w:rsidRDefault="000B4FD0" w:rsidP="001430B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04DB9">
        <w:rPr>
          <w:rStyle w:val="Znakapoznpodarou"/>
          <w:rFonts w:asciiTheme="minorHAnsi" w:hAnsiTheme="minorHAnsi" w:cstheme="minorHAnsi"/>
        </w:rPr>
        <w:footnoteRef/>
      </w:r>
      <w:r w:rsidRPr="00904D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Předmětem kontroly byla ÚZ, kterou MŽP řádně sestavilo. V informačním portálu MONITOR však byla </w:t>
      </w:r>
      <w:r w:rsidRPr="00904DB9">
        <w:rPr>
          <w:rFonts w:asciiTheme="minorHAnsi" w:hAnsiTheme="minorHAnsi" w:cstheme="minorHAnsi"/>
        </w:rPr>
        <w:t>zveřejněn</w:t>
      </w:r>
      <w:r>
        <w:rPr>
          <w:rFonts w:asciiTheme="minorHAnsi" w:hAnsiTheme="minorHAnsi" w:cstheme="minorHAnsi"/>
        </w:rPr>
        <w:t>a příloha ÚZ ještě před provedením oprav ze strany MŽP. Správné a úplné údaje z přílohy ÚZ, na které je v textu odkazováno, jsou uvedeny v</w:t>
      </w:r>
      <w:r w:rsidRPr="00904DB9">
        <w:rPr>
          <w:rFonts w:asciiTheme="minorHAnsi" w:hAnsiTheme="minorHAnsi" w:cstheme="minorHAnsi"/>
        </w:rPr>
        <w:t xml:space="preserve"> přílo</w:t>
      </w:r>
      <w:r>
        <w:rPr>
          <w:rFonts w:asciiTheme="minorHAnsi" w:hAnsiTheme="minorHAnsi" w:cstheme="minorHAnsi"/>
        </w:rPr>
        <w:t>ze</w:t>
      </w:r>
      <w:r w:rsidRPr="00904DB9">
        <w:rPr>
          <w:rFonts w:asciiTheme="minorHAnsi" w:hAnsiTheme="minorHAnsi" w:cstheme="minorHAnsi"/>
        </w:rPr>
        <w:t xml:space="preserve"> č. 1</w:t>
      </w:r>
      <w:r>
        <w:rPr>
          <w:rFonts w:asciiTheme="minorHAnsi" w:hAnsiTheme="minorHAnsi" w:cstheme="minorHAnsi"/>
        </w:rPr>
        <w:t xml:space="preserve"> tohoto kontrolního závěru.</w:t>
      </w:r>
    </w:p>
  </w:footnote>
  <w:footnote w:id="4">
    <w:p w14:paraId="7C493A0A" w14:textId="751416A9" w:rsidR="000B4FD0" w:rsidRPr="00EE2923" w:rsidRDefault="000B4FD0" w:rsidP="003E66A9">
      <w:pPr>
        <w:pStyle w:val="Textpoznpodarou"/>
        <w:ind w:left="284" w:hanging="284"/>
        <w:rPr>
          <w:rFonts w:asciiTheme="minorHAnsi" w:hAnsiTheme="minorHAnsi" w:cstheme="minorHAnsi"/>
        </w:rPr>
      </w:pPr>
      <w:r w:rsidRPr="00EE2923">
        <w:rPr>
          <w:rStyle w:val="Znakapoznpodarou"/>
          <w:rFonts w:asciiTheme="minorHAnsi" w:hAnsiTheme="minorHAnsi" w:cstheme="minorHAnsi"/>
        </w:rPr>
        <w:footnoteRef/>
      </w:r>
      <w:r w:rsidRPr="00EE2923">
        <w:rPr>
          <w:rFonts w:asciiTheme="minorHAnsi" w:hAnsiTheme="minorHAnsi" w:cstheme="minorHAnsi"/>
        </w:rPr>
        <w:t xml:space="preserve"> </w:t>
      </w:r>
      <w:r w:rsidRPr="00EE29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Uvedený</w:t>
      </w:r>
      <w:r w:rsidRPr="00EE2923">
        <w:rPr>
          <w:rFonts w:asciiTheme="minorHAnsi" w:hAnsiTheme="minorHAnsi" w:cstheme="minorHAnsi"/>
        </w:rPr>
        <w:t xml:space="preserve"> stav přetrvával i k datu schválení </w:t>
      </w:r>
      <w:r>
        <w:rPr>
          <w:rFonts w:asciiTheme="minorHAnsi" w:hAnsiTheme="minorHAnsi" w:cstheme="minorHAnsi"/>
        </w:rPr>
        <w:t>tohoto kontrolního závěru</w:t>
      </w:r>
      <w:r w:rsidRPr="00EE2923">
        <w:rPr>
          <w:rFonts w:asciiTheme="minorHAnsi" w:hAnsiTheme="minorHAnsi" w:cstheme="minorHAnsi"/>
        </w:rPr>
        <w:t>.</w:t>
      </w:r>
    </w:p>
  </w:footnote>
  <w:footnote w:id="5">
    <w:p w14:paraId="20449536" w14:textId="77777777" w:rsidR="000B4FD0" w:rsidRPr="00EE2923" w:rsidRDefault="000B4FD0" w:rsidP="007C5A3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E2923">
        <w:rPr>
          <w:rStyle w:val="Znakapoznpodarou"/>
          <w:rFonts w:asciiTheme="minorHAnsi" w:hAnsiTheme="minorHAnsi" w:cstheme="minorHAnsi"/>
        </w:rPr>
        <w:footnoteRef/>
      </w:r>
      <w:r w:rsidRPr="00EE2923">
        <w:rPr>
          <w:rFonts w:asciiTheme="minorHAnsi" w:hAnsiTheme="minorHAnsi" w:cstheme="minorHAnsi"/>
        </w:rPr>
        <w:t xml:space="preserve"> </w:t>
      </w:r>
      <w:r w:rsidRPr="00EE2923">
        <w:rPr>
          <w:rFonts w:asciiTheme="minorHAnsi" w:hAnsiTheme="minorHAnsi" w:cstheme="minorHAnsi"/>
        </w:rPr>
        <w:tab/>
        <w:t>Informační portál</w:t>
      </w:r>
      <w:r w:rsidRPr="00EE2923">
        <w:rPr>
          <w:rFonts w:asciiTheme="minorHAnsi" w:hAnsiTheme="minorHAnsi" w:cstheme="minorHAnsi"/>
          <w:i/>
        </w:rPr>
        <w:t xml:space="preserve"> </w:t>
      </w:r>
      <w:r w:rsidRPr="00EE2923">
        <w:rPr>
          <w:rFonts w:asciiTheme="minorHAnsi" w:hAnsiTheme="minorHAnsi" w:cstheme="minorHAnsi"/>
          <w:iCs/>
          <w:color w:val="000000"/>
          <w:shd w:val="clear" w:color="auto" w:fill="FFFFFF"/>
        </w:rPr>
        <w:t>MONITOR</w:t>
      </w:r>
      <w:r w:rsidRPr="00EE2923">
        <w:rPr>
          <w:rFonts w:asciiTheme="minorHAnsi" w:hAnsiTheme="minorHAnsi" w:cstheme="minorHAnsi"/>
          <w:color w:val="000000"/>
          <w:shd w:val="clear" w:color="auto" w:fill="FFFFFF"/>
        </w:rPr>
        <w:t xml:space="preserve"> [online]. Výkaz pro hodnocení plnění rozpočtu [cit. 19. 9. 2023]. Dostupné z:</w:t>
      </w:r>
      <w:r w:rsidRPr="00EE2923">
        <w:rPr>
          <w:rFonts w:asciiTheme="minorHAnsi" w:hAnsiTheme="minorHAnsi" w:cstheme="minorHAnsi"/>
        </w:rPr>
        <w:t xml:space="preserve"> </w:t>
      </w:r>
      <w:hyperlink r:id="rId1" w:history="1">
        <w:r w:rsidRPr="00EE2923">
          <w:rPr>
            <w:rStyle w:val="Hypertextovodkaz"/>
            <w:rFonts w:asciiTheme="minorHAnsi" w:hAnsiTheme="minorHAnsi" w:cstheme="minorHAnsi"/>
          </w:rPr>
          <w:t xml:space="preserve">Ministerstvo životního </w:t>
        </w:r>
        <w:proofErr w:type="gramStart"/>
        <w:r w:rsidRPr="00EE2923">
          <w:rPr>
            <w:rStyle w:val="Hypertextovodkaz"/>
            <w:rFonts w:asciiTheme="minorHAnsi" w:hAnsiTheme="minorHAnsi" w:cstheme="minorHAnsi"/>
          </w:rPr>
          <w:t>prostředí - druhový</w:t>
        </w:r>
        <w:proofErr w:type="gramEnd"/>
        <w:r w:rsidRPr="00EE2923">
          <w:rPr>
            <w:rStyle w:val="Hypertextovodkaz"/>
            <w:rFonts w:asciiTheme="minorHAnsi" w:hAnsiTheme="minorHAnsi" w:cstheme="minorHAnsi"/>
          </w:rPr>
          <w:t xml:space="preserve"> </w:t>
        </w:r>
        <w:proofErr w:type="spellStart"/>
        <w:r w:rsidRPr="00EE2923">
          <w:rPr>
            <w:rStyle w:val="Hypertextovodkaz"/>
            <w:rFonts w:asciiTheme="minorHAnsi" w:hAnsiTheme="minorHAnsi" w:cstheme="minorHAnsi"/>
          </w:rPr>
          <w:t>rozklikávací</w:t>
        </w:r>
        <w:proofErr w:type="spellEnd"/>
        <w:r w:rsidRPr="00EE2923">
          <w:rPr>
            <w:rStyle w:val="Hypertextovodkaz"/>
            <w:rFonts w:asciiTheme="minorHAnsi" w:hAnsiTheme="minorHAnsi" w:cstheme="minorHAnsi"/>
          </w:rPr>
          <w:t xml:space="preserve"> rozpočet pro výdaje | Monitor (statnipokladna.cz)</w:t>
        </w:r>
      </w:hyperlink>
      <w:r w:rsidRPr="00EE2923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6">
    <w:p w14:paraId="021CEA99" w14:textId="1EB65366" w:rsidR="000B4FD0" w:rsidRPr="00AC2DCF" w:rsidRDefault="000B4FD0" w:rsidP="00457BCE">
      <w:pPr>
        <w:pStyle w:val="Textpoznpodarou"/>
        <w:ind w:left="284" w:hanging="284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C2DCF">
        <w:rPr>
          <w:rFonts w:asciiTheme="minorHAnsi" w:hAnsiTheme="minorHAnsi" w:cstheme="minorHAnsi"/>
        </w:rPr>
        <w:t>Vyhláška č. 412/2021 Sb., o rozpočtové skladbě</w:t>
      </w:r>
      <w:r>
        <w:rPr>
          <w:rFonts w:asciiTheme="minorHAnsi" w:hAnsiTheme="minorHAnsi" w:cstheme="minorHAnsi"/>
        </w:rPr>
        <w:t>.</w:t>
      </w:r>
    </w:p>
  </w:footnote>
  <w:footnote w:id="7">
    <w:p w14:paraId="2A60A8FB" w14:textId="77777777" w:rsidR="000B4FD0" w:rsidRPr="00AC2DCF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ab/>
        <w:t xml:space="preserve">Vyhláška č. 419/2001 Sb., o předkládání údajů pro vypracování návrhu státního </w:t>
      </w:r>
      <w:r>
        <w:rPr>
          <w:rFonts w:asciiTheme="minorHAnsi" w:hAnsiTheme="minorHAnsi" w:cstheme="minorHAnsi"/>
        </w:rPr>
        <w:t>závěrečného účtu</w:t>
      </w:r>
      <w:r w:rsidRPr="00AC2DCF">
        <w:rPr>
          <w:rFonts w:asciiTheme="minorHAnsi" w:hAnsiTheme="minorHAnsi" w:cstheme="minorHAnsi"/>
        </w:rPr>
        <w:t>.</w:t>
      </w:r>
    </w:p>
  </w:footnote>
  <w:footnote w:id="8">
    <w:p w14:paraId="593F5DE8" w14:textId="41FC6040" w:rsidR="000B4FD0" w:rsidRPr="00987E34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987E34">
        <w:rPr>
          <w:rStyle w:val="Znakapoznpodarou"/>
          <w:rFonts w:asciiTheme="minorHAnsi" w:hAnsiTheme="minorHAnsi" w:cstheme="minorHAnsi"/>
        </w:rPr>
        <w:footnoteRef/>
      </w:r>
      <w:r w:rsidRPr="00987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987E34">
        <w:rPr>
          <w:rFonts w:asciiTheme="minorHAnsi" w:hAnsiTheme="minorHAnsi" w:cstheme="minorHAnsi"/>
        </w:rPr>
        <w:t>Vyhláška č. 395/2022 Sb., kterou se mění vyhláška č. 419/2001 Sb., o předkládání údajů pro vypracování návrhu státního závěrečného účtu, ve znění pozdějších předpisů.</w:t>
      </w:r>
    </w:p>
  </w:footnote>
  <w:footnote w:id="9">
    <w:p w14:paraId="6F026B04" w14:textId="0801FCAC" w:rsidR="000B4FD0" w:rsidRPr="00AC2DCF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C2DCF">
        <w:rPr>
          <w:rFonts w:asciiTheme="minorHAnsi" w:hAnsiTheme="minorHAnsi" w:cstheme="minorHAnsi"/>
        </w:rPr>
        <w:t xml:space="preserve">KA č. 17/18 – </w:t>
      </w:r>
      <w:r w:rsidRPr="00AC2DCF">
        <w:rPr>
          <w:rFonts w:asciiTheme="minorHAnsi" w:hAnsiTheme="minorHAnsi" w:cstheme="minorHAnsi"/>
          <w:i/>
        </w:rPr>
        <w:t xml:space="preserve">Závěrečný účet kapitoly státního rozpočtu Ministerstvo </w:t>
      </w:r>
      <w:r>
        <w:rPr>
          <w:rFonts w:asciiTheme="minorHAnsi" w:hAnsiTheme="minorHAnsi" w:cstheme="minorHAnsi"/>
          <w:i/>
        </w:rPr>
        <w:t>životního prostředí</w:t>
      </w:r>
      <w:r w:rsidRPr="00AC2DCF">
        <w:rPr>
          <w:rFonts w:asciiTheme="minorHAnsi" w:hAnsiTheme="minorHAnsi" w:cstheme="minorHAnsi"/>
          <w:i/>
        </w:rPr>
        <w:t xml:space="preserve"> za rok 201</w:t>
      </w:r>
      <w:r>
        <w:rPr>
          <w:rFonts w:asciiTheme="minorHAnsi" w:hAnsiTheme="minorHAnsi" w:cstheme="minorHAnsi"/>
          <w:i/>
        </w:rPr>
        <w:t>6</w:t>
      </w:r>
      <w:r w:rsidRPr="00AC2DCF">
        <w:rPr>
          <w:rFonts w:asciiTheme="minorHAnsi" w:hAnsiTheme="minorHAnsi" w:cstheme="minorHAnsi"/>
          <w:i/>
        </w:rPr>
        <w:t xml:space="preserve">, účetní závěrka Ministerstva </w:t>
      </w:r>
      <w:r>
        <w:rPr>
          <w:rFonts w:asciiTheme="minorHAnsi" w:hAnsiTheme="minorHAnsi" w:cstheme="minorHAnsi"/>
          <w:i/>
        </w:rPr>
        <w:t xml:space="preserve">životního prostředí </w:t>
      </w:r>
      <w:r w:rsidRPr="00AC2DCF">
        <w:rPr>
          <w:rFonts w:asciiTheme="minorHAnsi" w:hAnsiTheme="minorHAnsi" w:cstheme="minorHAnsi"/>
          <w:i/>
        </w:rPr>
        <w:t>za rok 201</w:t>
      </w:r>
      <w:r>
        <w:rPr>
          <w:rFonts w:asciiTheme="minorHAnsi" w:hAnsiTheme="minorHAnsi" w:cstheme="minorHAnsi"/>
          <w:i/>
        </w:rPr>
        <w:t>6</w:t>
      </w:r>
      <w:r w:rsidRPr="00AC2DCF">
        <w:rPr>
          <w:rFonts w:asciiTheme="minorHAnsi" w:hAnsiTheme="minorHAnsi" w:cstheme="minorHAnsi"/>
          <w:i/>
        </w:rPr>
        <w:t xml:space="preserve"> a údaje předkládané Ministerstvem </w:t>
      </w:r>
      <w:r>
        <w:rPr>
          <w:rFonts w:asciiTheme="minorHAnsi" w:hAnsiTheme="minorHAnsi" w:cstheme="minorHAnsi"/>
          <w:i/>
        </w:rPr>
        <w:t>životního prostředí</w:t>
      </w:r>
      <w:r w:rsidRPr="00AC2DCF">
        <w:rPr>
          <w:rFonts w:asciiTheme="minorHAnsi" w:hAnsiTheme="minorHAnsi" w:cstheme="minorHAnsi"/>
          <w:i/>
        </w:rPr>
        <w:t xml:space="preserve"> pro hodnocení plnění státního rozpočtu za rok 201</w:t>
      </w:r>
      <w:r>
        <w:rPr>
          <w:rFonts w:asciiTheme="minorHAnsi" w:hAnsiTheme="minorHAnsi" w:cstheme="minorHAnsi"/>
          <w:i/>
        </w:rPr>
        <w:t>6.</w:t>
      </w:r>
    </w:p>
  </w:footnote>
  <w:footnote w:id="10">
    <w:p w14:paraId="4AD05B35" w14:textId="4F46F8C6" w:rsidR="000B4FD0" w:rsidRPr="00AC2DCF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Usnesení vlády České republiky ze dne 19. června 2018 č. 383, </w:t>
      </w:r>
      <w:r w:rsidRPr="00AC2DCF">
        <w:rPr>
          <w:rFonts w:asciiTheme="minorHAnsi" w:hAnsiTheme="minorHAnsi" w:cstheme="minorHAnsi"/>
          <w:i/>
        </w:rPr>
        <w:t>ke Kontrolnímu závěru NKÚ z KA č. 17/</w:t>
      </w:r>
      <w:r>
        <w:rPr>
          <w:rFonts w:asciiTheme="minorHAnsi" w:hAnsiTheme="minorHAnsi" w:cstheme="minorHAnsi"/>
          <w:i/>
        </w:rPr>
        <w:t>18</w:t>
      </w:r>
      <w:r w:rsidRPr="00AC2DCF">
        <w:rPr>
          <w:rFonts w:asciiTheme="minorHAnsi" w:hAnsiTheme="minorHAnsi" w:cstheme="minorHAnsi"/>
          <w:i/>
        </w:rPr>
        <w:t xml:space="preserve"> Závěrečný účet kapitoly státního rozpočtu Ministerstvo </w:t>
      </w:r>
      <w:r>
        <w:rPr>
          <w:rFonts w:asciiTheme="minorHAnsi" w:hAnsiTheme="minorHAnsi" w:cstheme="minorHAnsi"/>
          <w:i/>
        </w:rPr>
        <w:t>životního prostředí</w:t>
      </w:r>
      <w:r w:rsidRPr="00AC2DCF">
        <w:rPr>
          <w:rFonts w:asciiTheme="minorHAnsi" w:hAnsiTheme="minorHAnsi" w:cstheme="minorHAnsi"/>
          <w:i/>
        </w:rPr>
        <w:t xml:space="preserve"> za rok 201</w:t>
      </w:r>
      <w:r>
        <w:rPr>
          <w:rFonts w:asciiTheme="minorHAnsi" w:hAnsiTheme="minorHAnsi" w:cstheme="minorHAnsi"/>
          <w:i/>
        </w:rPr>
        <w:t>6</w:t>
      </w:r>
      <w:r w:rsidRPr="00AC2DCF">
        <w:rPr>
          <w:rFonts w:asciiTheme="minorHAnsi" w:hAnsiTheme="minorHAnsi" w:cstheme="minorHAnsi"/>
          <w:i/>
        </w:rPr>
        <w:t xml:space="preserve">, účetní závěrka Ministerstva </w:t>
      </w:r>
      <w:r>
        <w:rPr>
          <w:rFonts w:asciiTheme="minorHAnsi" w:hAnsiTheme="minorHAnsi" w:cstheme="minorHAnsi"/>
          <w:i/>
        </w:rPr>
        <w:t xml:space="preserve">životního prostředí </w:t>
      </w:r>
      <w:r w:rsidRPr="00AC2DCF">
        <w:rPr>
          <w:rFonts w:asciiTheme="minorHAnsi" w:hAnsiTheme="minorHAnsi" w:cstheme="minorHAnsi"/>
          <w:i/>
        </w:rPr>
        <w:t>za rok 201</w:t>
      </w:r>
      <w:r>
        <w:rPr>
          <w:rFonts w:asciiTheme="minorHAnsi" w:hAnsiTheme="minorHAnsi" w:cstheme="minorHAnsi"/>
          <w:i/>
        </w:rPr>
        <w:t>6</w:t>
      </w:r>
      <w:r w:rsidRPr="00AC2DCF">
        <w:rPr>
          <w:rFonts w:asciiTheme="minorHAnsi" w:hAnsiTheme="minorHAnsi" w:cstheme="minorHAnsi"/>
          <w:i/>
        </w:rPr>
        <w:t xml:space="preserve"> a údaje předkládané Ministerstvem </w:t>
      </w:r>
      <w:r>
        <w:rPr>
          <w:rFonts w:asciiTheme="minorHAnsi" w:hAnsiTheme="minorHAnsi" w:cstheme="minorHAnsi"/>
          <w:i/>
        </w:rPr>
        <w:t>životního prostředí</w:t>
      </w:r>
      <w:r w:rsidRPr="00AC2DCF">
        <w:rPr>
          <w:rFonts w:asciiTheme="minorHAnsi" w:hAnsiTheme="minorHAnsi" w:cstheme="minorHAnsi"/>
          <w:i/>
        </w:rPr>
        <w:t xml:space="preserve"> pro hodnocení plnění státního rozpočtu za rok 201</w:t>
      </w:r>
      <w:r>
        <w:rPr>
          <w:rFonts w:asciiTheme="minorHAnsi" w:hAnsiTheme="minorHAnsi" w:cstheme="minorHAnsi"/>
          <w:i/>
        </w:rPr>
        <w:t>6.</w:t>
      </w:r>
    </w:p>
  </w:footnote>
  <w:footnote w:id="11">
    <w:p w14:paraId="3647E9AE" w14:textId="77777777" w:rsidR="000B4FD0" w:rsidRPr="00457BCE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>Zákon č. 219/2000 Sb., o majetku České republiky a jejím vystupování v právních vztazích.</w:t>
      </w:r>
    </w:p>
  </w:footnote>
  <w:footnote w:id="12">
    <w:p w14:paraId="7FDC817D" w14:textId="77777777" w:rsidR="000B4FD0" w:rsidRPr="00457BCE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 xml:space="preserve">Zákon č. 563/1991 Sb., o účetnictví. </w:t>
      </w:r>
    </w:p>
  </w:footnote>
  <w:footnote w:id="13">
    <w:p w14:paraId="49608AFA" w14:textId="70C296CC" w:rsidR="000B4FD0" w:rsidRPr="00457BCE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57BCE">
        <w:rPr>
          <w:rFonts w:asciiTheme="minorHAnsi" w:hAnsiTheme="minorHAnsi" w:cstheme="minorHAnsi"/>
        </w:rPr>
        <w:t>Zákon č. 218/2000 Sb., o rozpočtových pravidlech a o změně některých souvisejících zákonů (rozpočtová pravidla)</w:t>
      </w:r>
      <w:r>
        <w:rPr>
          <w:rFonts w:asciiTheme="minorHAnsi" w:hAnsiTheme="minorHAnsi" w:cstheme="minorHAnsi"/>
        </w:rPr>
        <w:t>.</w:t>
      </w:r>
    </w:p>
  </w:footnote>
  <w:footnote w:id="14">
    <w:p w14:paraId="17C06852" w14:textId="77777777" w:rsidR="000B4FD0" w:rsidRPr="008D4250" w:rsidRDefault="000B4FD0" w:rsidP="008D4250">
      <w:pPr>
        <w:pStyle w:val="Textpoznpodarou"/>
        <w:ind w:left="284" w:hanging="284"/>
        <w:rPr>
          <w:rFonts w:asciiTheme="minorHAnsi" w:hAnsiTheme="minorHAnsi" w:cstheme="minorHAnsi"/>
        </w:rPr>
      </w:pPr>
      <w:r w:rsidRPr="008D4250">
        <w:rPr>
          <w:rStyle w:val="Znakapoznpodarou"/>
          <w:rFonts w:asciiTheme="minorHAnsi" w:hAnsiTheme="minorHAnsi" w:cstheme="minorHAnsi"/>
        </w:rPr>
        <w:footnoteRef/>
      </w:r>
      <w:r w:rsidRPr="008D42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D4250">
        <w:rPr>
          <w:rFonts w:asciiTheme="minorHAnsi" w:hAnsiTheme="minorHAnsi" w:cstheme="minorHAnsi"/>
        </w:rPr>
        <w:t>Zákon č. 383/2012 Sb., o podmínkách obchodování s povolenkami na emise skleníkových plynů.</w:t>
      </w:r>
    </w:p>
  </w:footnote>
  <w:footnote w:id="15">
    <w:p w14:paraId="4B6EE0EA" w14:textId="77777777" w:rsidR="000B4FD0" w:rsidRPr="00457BCE" w:rsidRDefault="000B4FD0" w:rsidP="00457BCE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>Dle ustanovení § 3 písm. o) zákona č. 218/2000 Sb. je rozpočtový systém informačním systémem veřejné správy, v němž se mj. soustřeďují údaje pro hodnocení plnění státního rozpočtu.</w:t>
      </w:r>
    </w:p>
  </w:footnote>
  <w:footnote w:id="16">
    <w:p w14:paraId="77B743A7" w14:textId="77777777" w:rsidR="000B4FD0" w:rsidRPr="00457BCE" w:rsidRDefault="000B4FD0" w:rsidP="00DF149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7">
    <w:p w14:paraId="4CAB44EB" w14:textId="77777777" w:rsidR="000B4FD0" w:rsidRPr="00457BCE" w:rsidRDefault="000B4FD0" w:rsidP="00DF149F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>MŽP je jakožto OSS povinno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8">
    <w:p w14:paraId="617FD0E6" w14:textId="77777777" w:rsidR="000B4FD0" w:rsidRPr="008D4250" w:rsidRDefault="000B4FD0" w:rsidP="0019683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D4250">
        <w:rPr>
          <w:rStyle w:val="Znakapoznpodarou"/>
          <w:rFonts w:asciiTheme="minorHAnsi" w:hAnsiTheme="minorHAnsi" w:cstheme="minorHAnsi"/>
        </w:rPr>
        <w:footnoteRef/>
      </w:r>
      <w:r w:rsidRPr="008D42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D4250">
        <w:rPr>
          <w:rFonts w:asciiTheme="minorHAnsi" w:hAnsiTheme="minorHAnsi" w:cstheme="minorHAnsi"/>
        </w:rPr>
        <w:t>Vyhláška č. 410/2009 Sb., kterou se provádějí některá ustanovení zákona č. 563/1991 Sb., o účetnictví, ve znění pozdějších předpisů, pro některé vybrané účetní jednotky.</w:t>
      </w:r>
    </w:p>
  </w:footnote>
  <w:footnote w:id="19">
    <w:p w14:paraId="7F7DE61C" w14:textId="77777777" w:rsidR="000B4FD0" w:rsidRPr="00457BCE" w:rsidRDefault="000B4FD0" w:rsidP="00BA2B3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20">
    <w:p w14:paraId="1BF1C938" w14:textId="77777777" w:rsidR="000B4FD0" w:rsidRPr="00AC2DCF" w:rsidRDefault="000B4FD0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ab/>
        <w:t>Zákon č. 320/2001 Sb., o finanční kontrole ve veřejné správě a o změně některých zákonů (zákon o finanční kontrole).</w:t>
      </w:r>
    </w:p>
  </w:footnote>
  <w:footnote w:id="21">
    <w:p w14:paraId="25C1255D" w14:textId="3CCDE432" w:rsidR="000B4FD0" w:rsidRPr="00AC2DCF" w:rsidRDefault="000B4FD0" w:rsidP="00C20965">
      <w:pPr>
        <w:pStyle w:val="Textpoznpodarou"/>
        <w:ind w:left="284" w:hanging="284"/>
        <w:jc w:val="both"/>
        <w:rPr>
          <w:rFonts w:asciiTheme="minorHAnsi" w:hAnsiTheme="minorHAnsi" w:cstheme="minorHAnsi"/>
          <w:highlight w:val="yellow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ab/>
        <w:t xml:space="preserve">Vyhláška č. 416/2004 Sb., kterou se provádí zákon č. 320/2001 Sb., o finanční kontrole ve veřejné správě </w:t>
      </w:r>
      <w:r>
        <w:rPr>
          <w:rFonts w:asciiTheme="minorHAnsi" w:hAnsiTheme="minorHAnsi" w:cstheme="minorHAnsi"/>
        </w:rPr>
        <w:br/>
      </w:r>
      <w:r w:rsidRPr="00AC2DC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>změně některých zákonů (zákon o finanční kontrole), ve znění zákona č. 309/2002 Sb., zákona č. 320/2002 Sb. a zákona č. 123/2003 Sb.</w:t>
      </w:r>
    </w:p>
  </w:footnote>
  <w:footnote w:id="22">
    <w:p w14:paraId="7DC32737" w14:textId="3E695DCD" w:rsidR="000B4FD0" w:rsidRPr="00457BCE" w:rsidRDefault="000B4FD0" w:rsidP="00CD2AB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57BCE">
        <w:rPr>
          <w:rStyle w:val="Znakapoznpodarou"/>
          <w:rFonts w:asciiTheme="minorHAnsi" w:hAnsiTheme="minorHAnsi" w:cstheme="minorHAnsi"/>
        </w:rPr>
        <w:footnoteRef/>
      </w:r>
      <w:r w:rsidRPr="00457B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57BCE">
        <w:rPr>
          <w:rFonts w:asciiTheme="minorHAnsi" w:hAnsiTheme="minorHAnsi" w:cstheme="minorHAnsi"/>
        </w:rPr>
        <w:t>Záznamy rozvaha, výkaz zisku a ztráty, přehled o peněžních tocích, přehled o změnách vlastního kapitálu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457BC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>příloha dle přílohy č. 3 k</w:t>
      </w:r>
      <w:r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>vyhlášce č. 383/2009 Sb., o účetních záznamech v</w:t>
      </w:r>
      <w:r>
        <w:rPr>
          <w:rFonts w:asciiTheme="minorHAnsi" w:hAnsiTheme="minorHAnsi" w:cstheme="minorHAnsi"/>
        </w:rPr>
        <w:t xml:space="preserve"> </w:t>
      </w:r>
      <w:r w:rsidRPr="00457BCE">
        <w:rPr>
          <w:rFonts w:asciiTheme="minorHAnsi" w:hAnsiTheme="minorHAnsi" w:cstheme="minorHAnsi"/>
        </w:rPr>
        <w:t>technické formě vybraných účetních jednotek a jejich předávání do centrálního systému účetních informací státu a požadavcích na technické a smíšené formy účetních záznamů (technická vyhláška o účetních záznamech).</w:t>
      </w:r>
    </w:p>
  </w:footnote>
  <w:footnote w:id="23">
    <w:p w14:paraId="42C45F4B" w14:textId="27E4F58A" w:rsidR="000B4FD0" w:rsidRPr="003E66A9" w:rsidRDefault="000B4FD0" w:rsidP="003E66A9">
      <w:pPr>
        <w:pStyle w:val="Textpoznpodarou"/>
        <w:ind w:left="284" w:hanging="284"/>
        <w:rPr>
          <w:rFonts w:asciiTheme="minorHAnsi" w:hAnsiTheme="minorHAnsi" w:cstheme="minorHAnsi"/>
        </w:rPr>
      </w:pPr>
      <w:r w:rsidRPr="00307092">
        <w:rPr>
          <w:rStyle w:val="Znakapoznpodarou"/>
          <w:rFonts w:asciiTheme="minorHAnsi" w:hAnsiTheme="minorHAnsi" w:cstheme="minorHAnsi"/>
        </w:rPr>
        <w:footnoteRef/>
      </w:r>
      <w:r w:rsidRPr="00307092">
        <w:rPr>
          <w:rFonts w:asciiTheme="minorHAnsi" w:hAnsiTheme="minorHAnsi" w:cstheme="minorHAnsi"/>
        </w:rPr>
        <w:t xml:space="preserve"> </w:t>
      </w:r>
      <w:r w:rsidRPr="0030709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Uvedený</w:t>
      </w:r>
      <w:r w:rsidRPr="00307092">
        <w:rPr>
          <w:rFonts w:asciiTheme="minorHAnsi" w:hAnsiTheme="minorHAnsi" w:cstheme="minorHAnsi"/>
        </w:rPr>
        <w:t xml:space="preserve"> stav přetrvával i k datu schválení </w:t>
      </w:r>
      <w:r>
        <w:rPr>
          <w:rFonts w:asciiTheme="minorHAnsi" w:hAnsiTheme="minorHAnsi" w:cstheme="minorHAnsi"/>
        </w:rPr>
        <w:t>tohoto kontrolního závěru</w:t>
      </w:r>
      <w:r w:rsidRPr="00307092">
        <w:rPr>
          <w:rFonts w:asciiTheme="minorHAnsi" w:hAnsiTheme="minorHAnsi" w:cstheme="minorHAnsi"/>
        </w:rPr>
        <w:t>.</w:t>
      </w:r>
    </w:p>
  </w:footnote>
  <w:footnote w:id="24">
    <w:p w14:paraId="028892E5" w14:textId="77777777" w:rsidR="000B4FD0" w:rsidRPr="00152790" w:rsidRDefault="000B4FD0" w:rsidP="0005421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52790">
        <w:rPr>
          <w:rStyle w:val="Znakapoznpodarou"/>
          <w:rFonts w:asciiTheme="minorHAnsi" w:hAnsiTheme="minorHAnsi" w:cstheme="minorHAnsi"/>
        </w:rPr>
        <w:footnoteRef/>
      </w:r>
      <w:r w:rsidRPr="001527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52790">
        <w:rPr>
          <w:rFonts w:asciiTheme="minorHAnsi" w:hAnsiTheme="minorHAnsi" w:cstheme="minorHAnsi"/>
        </w:rPr>
        <w:t>MŽP postupovalo v rozporu s</w:t>
      </w:r>
      <w:r>
        <w:rPr>
          <w:rFonts w:asciiTheme="minorHAnsi" w:hAnsiTheme="minorHAnsi" w:cstheme="minorHAnsi"/>
        </w:rPr>
        <w:t xml:space="preserve"> </w:t>
      </w:r>
      <w:r w:rsidRPr="00152790">
        <w:rPr>
          <w:rFonts w:asciiTheme="minorHAnsi" w:hAnsiTheme="minorHAnsi" w:cstheme="minorHAnsi"/>
        </w:rPr>
        <w:t>ustanovením § 24 odst. 6 písm. b) zákona č. 563/1991 Sb.</w:t>
      </w:r>
    </w:p>
  </w:footnote>
  <w:footnote w:id="25">
    <w:p w14:paraId="4C781C14" w14:textId="77777777" w:rsidR="000B4FD0" w:rsidRPr="00152790" w:rsidRDefault="000B4FD0" w:rsidP="00655AA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52790">
        <w:rPr>
          <w:rStyle w:val="Znakapoznpodarou"/>
          <w:rFonts w:asciiTheme="minorHAnsi" w:hAnsiTheme="minorHAnsi" w:cstheme="minorHAnsi"/>
        </w:rPr>
        <w:footnoteRef/>
      </w:r>
      <w:r w:rsidRPr="001527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52790">
        <w:rPr>
          <w:rFonts w:asciiTheme="minorHAnsi" w:hAnsiTheme="minorHAnsi" w:cstheme="minorHAnsi"/>
        </w:rPr>
        <w:t>MŽP postupovalo v rozporu s ustanovením § 3 odst. 1 zákona č. 563/1991 Sb.</w:t>
      </w:r>
    </w:p>
  </w:footnote>
  <w:footnote w:id="26">
    <w:p w14:paraId="36DA10A6" w14:textId="77777777" w:rsidR="000B4FD0" w:rsidRPr="00152790" w:rsidRDefault="000B4FD0" w:rsidP="0005421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52790">
        <w:rPr>
          <w:rStyle w:val="Znakapoznpodarou"/>
          <w:rFonts w:asciiTheme="minorHAnsi" w:hAnsiTheme="minorHAnsi" w:cstheme="minorHAnsi"/>
        </w:rPr>
        <w:footnoteRef/>
      </w:r>
      <w:r w:rsidRPr="001527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52790">
        <w:rPr>
          <w:rFonts w:asciiTheme="minorHAnsi" w:hAnsiTheme="minorHAnsi" w:cstheme="minorHAnsi"/>
        </w:rPr>
        <w:t xml:space="preserve">MŽP postupovalo v rozporu s ustanovením § 2 odst. 1 zákona č. 563/1991 Sb. ve spojení s ustanovením § 48 odst. 1 vyhlášky č. 410/2009 Sb. </w:t>
      </w:r>
    </w:p>
  </w:footnote>
  <w:footnote w:id="27">
    <w:p w14:paraId="66BD7191" w14:textId="77777777" w:rsidR="000B4FD0" w:rsidRPr="00AC2DCF" w:rsidRDefault="000B4FD0" w:rsidP="007028BF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AC2DC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C2DCF">
        <w:rPr>
          <w:rStyle w:val="Znakapoznpodarou"/>
          <w:rFonts w:asciiTheme="minorHAnsi" w:hAnsiTheme="minorHAnsi" w:cstheme="minorHAnsi"/>
          <w:sz w:val="20"/>
          <w:szCs w:val="20"/>
        </w:rPr>
        <w:t xml:space="preserve"> </w:t>
      </w:r>
      <w:r w:rsidRPr="00AC2DCF">
        <w:rPr>
          <w:rFonts w:asciiTheme="minorHAnsi" w:hAnsiTheme="minorHAnsi" w:cstheme="minorHAnsi"/>
          <w:sz w:val="20"/>
          <w:szCs w:val="20"/>
        </w:rPr>
        <w:tab/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Významnost (</w:t>
      </w:r>
      <w:proofErr w:type="spellStart"/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materialita</w:t>
      </w:r>
      <w:proofErr w:type="spellEnd"/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) reprezentuje u ÚZ hodnotu nesprávností, jejíž překročení by již mohlo ovlivnit přiměřeně znalého uživatele. Při stanovení významnosti postupuje NKÚ v souladu s </w:t>
      </w:r>
      <w:r w:rsidRPr="00AC2DCF">
        <w:rPr>
          <w:rStyle w:val="Znakapoznpodarou"/>
          <w:rFonts w:asciiTheme="minorHAnsi" w:hAnsiTheme="minorHAnsi" w:cstheme="minorHAnsi"/>
          <w:i/>
          <w:sz w:val="20"/>
          <w:szCs w:val="20"/>
          <w:vertAlign w:val="baseline"/>
        </w:rPr>
        <w:t>Kontrolními standardy NKÚ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8">
    <w:p w14:paraId="0CBAA989" w14:textId="15AC6BFA" w:rsidR="000B4FD0" w:rsidRPr="00AF65F6" w:rsidRDefault="000B4FD0" w:rsidP="007028BF">
      <w:pPr>
        <w:spacing w:after="0"/>
        <w:ind w:left="284" w:hanging="284"/>
        <w:jc w:val="both"/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</w:pPr>
      <w:r w:rsidRPr="00AC2DC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C2DCF">
        <w:rPr>
          <w:rStyle w:val="Znakapoznpodarou"/>
          <w:rFonts w:asciiTheme="minorHAnsi" w:hAnsiTheme="minorHAnsi" w:cstheme="minorHAnsi"/>
          <w:sz w:val="20"/>
          <w:szCs w:val="20"/>
        </w:rPr>
        <w:t xml:space="preserve"> </w:t>
      </w:r>
      <w:r w:rsidRPr="00AC2DC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Tj.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ve výši </w:t>
      </w:r>
      <w:r w:rsidRPr="00AC2DCF">
        <w:rPr>
          <w:rFonts w:asciiTheme="minorHAnsi" w:hAnsiTheme="minorHAnsi" w:cstheme="minorHAnsi"/>
          <w:sz w:val="20"/>
          <w:szCs w:val="20"/>
        </w:rPr>
        <w:t xml:space="preserve">cca 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2 % z</w:t>
      </w:r>
      <w:r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 </w:t>
      </w:r>
      <w:r>
        <w:rPr>
          <w:rFonts w:asciiTheme="minorHAnsi" w:hAnsiTheme="minorHAnsi" w:cstheme="minorHAnsi"/>
          <w:sz w:val="20"/>
          <w:szCs w:val="20"/>
        </w:rPr>
        <w:t>celkových nákladů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, které byly k 31. </w:t>
      </w:r>
      <w:r w:rsidRPr="00AC2DCF">
        <w:rPr>
          <w:rFonts w:asciiTheme="minorHAnsi" w:hAnsiTheme="minorHAnsi" w:cstheme="minorHAnsi"/>
          <w:sz w:val="20"/>
          <w:szCs w:val="20"/>
        </w:rPr>
        <w:t xml:space="preserve">prosinci 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2022 vykázány ve výši 6</w:t>
      </w:r>
      <w:r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>7,3</w:t>
      </w:r>
      <w:r w:rsidRPr="00AC2DCF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mld. Kč</w:t>
      </w:r>
      <w:r>
        <w:rPr>
          <w:rFonts w:asciiTheme="minorHAnsi" w:hAnsiTheme="minorHAnsi" w:cstheme="minorHAnsi"/>
          <w:sz w:val="20"/>
          <w:szCs w:val="20"/>
        </w:rPr>
        <w:t>.</w:t>
      </w:r>
    </w:p>
  </w:footnote>
  <w:footnote w:id="29">
    <w:p w14:paraId="7006A8C9" w14:textId="77777777" w:rsidR="000B4FD0" w:rsidRDefault="000B4FD0" w:rsidP="00C761F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30FCC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Jedná se zejména o tyto právní předpisy:</w:t>
      </w:r>
      <w:r w:rsidRPr="00B30FCC">
        <w:rPr>
          <w:rFonts w:asciiTheme="minorHAnsi" w:hAnsiTheme="minorHAnsi" w:cstheme="minorHAnsi"/>
        </w:rPr>
        <w:t xml:space="preserve"> </w:t>
      </w:r>
    </w:p>
    <w:p w14:paraId="4A8613D1" w14:textId="77777777" w:rsidR="000B4FD0" w:rsidRDefault="000B4FD0" w:rsidP="00C761FD">
      <w:pPr>
        <w:pStyle w:val="Textpoznpodarou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</w:rPr>
      </w:pPr>
      <w:r w:rsidRPr="00B30FCC">
        <w:rPr>
          <w:rFonts w:asciiTheme="minorHAnsi" w:hAnsiTheme="minorHAnsi" w:cstheme="minorHAnsi"/>
        </w:rPr>
        <w:t>Směrnice Evropského parlamentu a Rady 2003/87/ES ze dne 13. října 2003</w:t>
      </w:r>
      <w:r>
        <w:rPr>
          <w:rFonts w:asciiTheme="minorHAnsi" w:hAnsiTheme="minorHAnsi" w:cstheme="minorHAnsi"/>
        </w:rPr>
        <w:t>,</w:t>
      </w:r>
      <w:r w:rsidRPr="00B30FCC">
        <w:rPr>
          <w:rFonts w:asciiTheme="minorHAnsi" w:hAnsiTheme="minorHAnsi" w:cstheme="minorHAnsi"/>
        </w:rPr>
        <w:t xml:space="preserve"> o vytvoření systému pro obchodování s povolenkami na emise skleníkových plynů ve Společenství a o změně směrnice Rady 96/61/ES</w:t>
      </w:r>
      <w:r>
        <w:rPr>
          <w:rFonts w:asciiTheme="minorHAnsi" w:hAnsiTheme="minorHAnsi" w:cstheme="minorHAnsi"/>
        </w:rPr>
        <w:t>.</w:t>
      </w:r>
    </w:p>
    <w:p w14:paraId="14B308E1" w14:textId="77777777" w:rsidR="000B4FD0" w:rsidRDefault="000B4FD0" w:rsidP="00C761FD">
      <w:pPr>
        <w:pStyle w:val="Textpoznpodarou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</w:rPr>
      </w:pPr>
      <w:r w:rsidRPr="00B30FCC">
        <w:rPr>
          <w:rFonts w:asciiTheme="minorHAnsi" w:hAnsiTheme="minorHAnsi" w:cstheme="minorHAnsi"/>
        </w:rPr>
        <w:t xml:space="preserve">Nařízení </w:t>
      </w:r>
      <w:r w:rsidRPr="00ED625D">
        <w:rPr>
          <w:rFonts w:asciiTheme="minorHAnsi" w:hAnsiTheme="minorHAnsi" w:cstheme="minorHAnsi"/>
        </w:rPr>
        <w:t>Komise</w:t>
      </w:r>
      <w:r w:rsidRPr="00B30FCC">
        <w:rPr>
          <w:rFonts w:asciiTheme="minorHAnsi" w:hAnsiTheme="minorHAnsi" w:cstheme="minorHAnsi"/>
        </w:rPr>
        <w:t xml:space="preserve"> (EU) č. 1031/2010 ze dne 12. listopadu 2010</w:t>
      </w:r>
      <w:r>
        <w:rPr>
          <w:rFonts w:asciiTheme="minorHAnsi" w:hAnsiTheme="minorHAnsi" w:cstheme="minorHAnsi"/>
        </w:rPr>
        <w:t>,</w:t>
      </w:r>
      <w:r w:rsidRPr="00B30FCC">
        <w:rPr>
          <w:rFonts w:asciiTheme="minorHAnsi" w:hAnsiTheme="minorHAnsi" w:cstheme="minorHAnsi"/>
        </w:rPr>
        <w:t xml:space="preserve"> o harmonogramu, správě a jiných aspektech dražeb povolenek na emise skleníkových plynů v souladu se směrnicí Evropského parlamentu a Rady 2003/87/ES o vytvoření systému pro</w:t>
      </w:r>
      <w:r>
        <w:rPr>
          <w:rFonts w:asciiTheme="minorHAnsi" w:hAnsiTheme="minorHAnsi" w:cstheme="minorHAnsi"/>
        </w:rPr>
        <w:t xml:space="preserve"> </w:t>
      </w:r>
      <w:r w:rsidRPr="00B30FCC">
        <w:rPr>
          <w:rFonts w:asciiTheme="minorHAnsi" w:hAnsiTheme="minorHAnsi" w:cstheme="minorHAnsi"/>
        </w:rPr>
        <w:t>obchodování s povolenkami na emise skleníkových plynů ve Společenství</w:t>
      </w:r>
      <w:r>
        <w:rPr>
          <w:rFonts w:asciiTheme="minorHAnsi" w:hAnsiTheme="minorHAnsi" w:cstheme="minorHAnsi"/>
        </w:rPr>
        <w:t>.</w:t>
      </w:r>
    </w:p>
    <w:p w14:paraId="33684BF2" w14:textId="77777777" w:rsidR="000B4FD0" w:rsidRDefault="000B4FD0" w:rsidP="00C761FD">
      <w:pPr>
        <w:pStyle w:val="Textpoznpodarou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</w:rPr>
      </w:pPr>
      <w:r w:rsidRPr="00B30FCC">
        <w:rPr>
          <w:rFonts w:asciiTheme="minorHAnsi" w:hAnsiTheme="minorHAnsi" w:cstheme="minorHAnsi"/>
        </w:rPr>
        <w:t xml:space="preserve">Nařízení </w:t>
      </w:r>
      <w:r w:rsidRPr="00ED625D">
        <w:rPr>
          <w:rFonts w:asciiTheme="minorHAnsi" w:hAnsiTheme="minorHAnsi" w:cstheme="minorHAnsi"/>
        </w:rPr>
        <w:t>Komise</w:t>
      </w:r>
      <w:r w:rsidRPr="00B30FCC">
        <w:rPr>
          <w:rFonts w:asciiTheme="minorHAnsi" w:hAnsiTheme="minorHAnsi" w:cstheme="minorHAnsi"/>
        </w:rPr>
        <w:t xml:space="preserve"> v přenesené pravomoci (EU) 2019/1122 ze dne 12. března 2019, kterým se doplňuje směrnice Evropského parlamentu a Rady 2003/87/ES, pokud jde o fungování registru Unie</w:t>
      </w:r>
      <w:r>
        <w:rPr>
          <w:rFonts w:asciiTheme="minorHAnsi" w:hAnsiTheme="minorHAnsi" w:cstheme="minorHAnsi"/>
        </w:rPr>
        <w:t>.</w:t>
      </w:r>
    </w:p>
    <w:p w14:paraId="43366332" w14:textId="77777777" w:rsidR="000B4FD0" w:rsidRDefault="000B4FD0" w:rsidP="00C761FD">
      <w:pPr>
        <w:pStyle w:val="Textpoznpodarou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</w:rPr>
      </w:pPr>
      <w:r w:rsidRPr="00B30FCC">
        <w:rPr>
          <w:rFonts w:asciiTheme="minorHAnsi" w:hAnsiTheme="minorHAnsi" w:cstheme="minorHAnsi"/>
        </w:rPr>
        <w:t>Rozhodnutí Evropského parlamentu a Rady (EU) 2015/1814 ze dne 6. října 2015</w:t>
      </w:r>
      <w:r>
        <w:rPr>
          <w:rFonts w:asciiTheme="minorHAnsi" w:hAnsiTheme="minorHAnsi" w:cstheme="minorHAnsi"/>
        </w:rPr>
        <w:t>,</w:t>
      </w:r>
      <w:r w:rsidRPr="00B30FCC">
        <w:rPr>
          <w:rFonts w:asciiTheme="minorHAnsi" w:hAnsiTheme="minorHAnsi" w:cstheme="minorHAnsi"/>
        </w:rPr>
        <w:t xml:space="preserve"> o vytvoření a uplatňování rezervy tržní stability pro systém Unie pro obchodování s povolenkami na emise skleníkových plynů a</w:t>
      </w:r>
      <w:r>
        <w:rPr>
          <w:rFonts w:asciiTheme="minorHAnsi" w:hAnsiTheme="minorHAnsi" w:cstheme="minorHAnsi"/>
        </w:rPr>
        <w:t> </w:t>
      </w:r>
      <w:r w:rsidRPr="00B30FC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B30FCC">
        <w:rPr>
          <w:rFonts w:asciiTheme="minorHAnsi" w:hAnsiTheme="minorHAnsi" w:cstheme="minorHAnsi"/>
        </w:rPr>
        <w:t>změně směrnice 2003/87/ES</w:t>
      </w:r>
      <w:r>
        <w:rPr>
          <w:rFonts w:asciiTheme="minorHAnsi" w:hAnsiTheme="minorHAnsi" w:cstheme="minorHAnsi"/>
        </w:rPr>
        <w:t>.</w:t>
      </w:r>
    </w:p>
    <w:p w14:paraId="18885EAA" w14:textId="77777777" w:rsidR="000B4FD0" w:rsidRPr="00B30FCC" w:rsidRDefault="000B4FD0" w:rsidP="00C761FD">
      <w:pPr>
        <w:pStyle w:val="Textpoznpodarou"/>
        <w:numPr>
          <w:ilvl w:val="0"/>
          <w:numId w:val="23"/>
        </w:numPr>
        <w:ind w:left="567" w:hanging="283"/>
        <w:jc w:val="both"/>
        <w:rPr>
          <w:rFonts w:asciiTheme="minorHAnsi" w:hAnsiTheme="minorHAnsi" w:cstheme="minorHAnsi"/>
        </w:rPr>
      </w:pPr>
      <w:r w:rsidRPr="00ED625D">
        <w:rPr>
          <w:rFonts w:asciiTheme="minorHAnsi" w:hAnsiTheme="minorHAnsi" w:cstheme="minorHAnsi"/>
        </w:rPr>
        <w:t>Nařízení Komise</w:t>
      </w:r>
      <w:r w:rsidRPr="00B30FCC">
        <w:rPr>
          <w:rFonts w:asciiTheme="minorHAnsi" w:hAnsiTheme="minorHAnsi" w:cstheme="minorHAnsi"/>
        </w:rPr>
        <w:t xml:space="preserve"> v přenesené pravomoci (EU) 2019/331 ze dne 19. prosince 2018, kterým se stanoví přechodná pravidla harmonizovaného přidělování bezplatných povolenek na emise platná v celé Unii podle článku </w:t>
      </w:r>
      <w:proofErr w:type="gramStart"/>
      <w:r w:rsidRPr="00B30FCC">
        <w:rPr>
          <w:rFonts w:asciiTheme="minorHAnsi" w:hAnsiTheme="minorHAnsi" w:cstheme="minorHAnsi"/>
        </w:rPr>
        <w:t>10a</w:t>
      </w:r>
      <w:proofErr w:type="gramEnd"/>
      <w:r w:rsidRPr="00B30FCC">
        <w:rPr>
          <w:rFonts w:asciiTheme="minorHAnsi" w:hAnsiTheme="minorHAnsi" w:cstheme="minorHAnsi"/>
        </w:rPr>
        <w:t xml:space="preserve"> směrnice Evropského parlamentu a Rady 2003/87/ES</w:t>
      </w:r>
      <w:r>
        <w:rPr>
          <w:rFonts w:asciiTheme="minorHAnsi" w:hAnsiTheme="minorHAnsi" w:cstheme="minorHAnsi"/>
        </w:rPr>
        <w:t>.</w:t>
      </w:r>
    </w:p>
  </w:footnote>
  <w:footnote w:id="30">
    <w:p w14:paraId="42A47002" w14:textId="77777777" w:rsidR="000B4FD0" w:rsidRPr="00D92479" w:rsidRDefault="000B4FD0" w:rsidP="008A6F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92479">
        <w:rPr>
          <w:rStyle w:val="Znakapoznpodarou"/>
          <w:rFonts w:asciiTheme="minorHAnsi" w:hAnsiTheme="minorHAnsi" w:cstheme="minorHAnsi"/>
        </w:rPr>
        <w:footnoteRef/>
      </w:r>
      <w:r w:rsidRPr="00D924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92479">
        <w:rPr>
          <w:rFonts w:asciiTheme="minorHAnsi" w:hAnsiTheme="minorHAnsi" w:cstheme="minorHAnsi"/>
        </w:rPr>
        <w:t xml:space="preserve">Pro rok 2022 byly relevantní </w:t>
      </w:r>
      <w:r>
        <w:rPr>
          <w:rFonts w:asciiTheme="minorHAnsi" w:hAnsiTheme="minorHAnsi" w:cstheme="minorHAnsi"/>
        </w:rPr>
        <w:t>roční emisní příděly</w:t>
      </w:r>
      <w:r w:rsidRPr="00D92479">
        <w:rPr>
          <w:rFonts w:asciiTheme="minorHAnsi" w:hAnsiTheme="minorHAnsi" w:cstheme="minorHAnsi"/>
        </w:rPr>
        <w:t xml:space="preserve"> vytvořené na základě:</w:t>
      </w:r>
    </w:p>
    <w:p w14:paraId="3969C4CF" w14:textId="7DF53CC9" w:rsidR="000B4FD0" w:rsidRPr="00D92479" w:rsidRDefault="000B4FD0" w:rsidP="00867D6F">
      <w:pPr>
        <w:pStyle w:val="Textpoznpodarou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D92479">
        <w:rPr>
          <w:rFonts w:asciiTheme="minorHAnsi" w:hAnsiTheme="minorHAnsi" w:cstheme="minorHAnsi"/>
        </w:rPr>
        <w:t xml:space="preserve">ozhodnutí Evropského </w:t>
      </w:r>
      <w:r>
        <w:rPr>
          <w:rFonts w:asciiTheme="minorHAnsi" w:hAnsiTheme="minorHAnsi" w:cstheme="minorHAnsi"/>
        </w:rPr>
        <w:t>p</w:t>
      </w:r>
      <w:r w:rsidRPr="00D92479">
        <w:rPr>
          <w:rFonts w:asciiTheme="minorHAnsi" w:hAnsiTheme="minorHAnsi" w:cstheme="minorHAnsi"/>
        </w:rPr>
        <w:t>arlamentu a Rady č. 406/2009/ES ze dne 23. dubna 2009</w:t>
      </w:r>
      <w:r>
        <w:rPr>
          <w:rFonts w:asciiTheme="minorHAnsi" w:hAnsiTheme="minorHAnsi" w:cstheme="minorHAnsi"/>
        </w:rPr>
        <w:t>,</w:t>
      </w:r>
      <w:r w:rsidRPr="00D92479">
        <w:rPr>
          <w:rFonts w:asciiTheme="minorHAnsi" w:hAnsiTheme="minorHAnsi" w:cstheme="minorHAnsi"/>
        </w:rPr>
        <w:t xml:space="preserve"> o úsilí členských států snížit emise skleníkových plynů, aby byly splněny závazky Společenství v oblasti snížení emisí skleníkových plynů do roku 2020</w:t>
      </w:r>
      <w:r>
        <w:rPr>
          <w:rFonts w:asciiTheme="minorHAnsi" w:hAnsiTheme="minorHAnsi" w:cstheme="minorHAnsi"/>
        </w:rPr>
        <w:t>;</w:t>
      </w:r>
      <w:r w:rsidRPr="00D924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D92479">
        <w:rPr>
          <w:rFonts w:asciiTheme="minorHAnsi" w:hAnsiTheme="minorHAnsi" w:cstheme="minorHAnsi"/>
        </w:rPr>
        <w:t xml:space="preserve">oto </w:t>
      </w:r>
      <w:r>
        <w:rPr>
          <w:rFonts w:asciiTheme="minorHAnsi" w:hAnsiTheme="minorHAnsi" w:cstheme="minorHAnsi"/>
        </w:rPr>
        <w:t>r</w:t>
      </w:r>
      <w:r w:rsidRPr="00D92479">
        <w:rPr>
          <w:rFonts w:asciiTheme="minorHAnsi" w:hAnsiTheme="minorHAnsi" w:cstheme="minorHAnsi"/>
        </w:rPr>
        <w:t>ozhodnutí zavádí roční emisní příděly pro roky 2013 až 2020</w:t>
      </w:r>
      <w:r>
        <w:rPr>
          <w:rFonts w:asciiTheme="minorHAnsi" w:hAnsiTheme="minorHAnsi" w:cstheme="minorHAnsi"/>
        </w:rPr>
        <w:t>;</w:t>
      </w:r>
      <w:r w:rsidRPr="00D92479">
        <w:rPr>
          <w:rFonts w:asciiTheme="minorHAnsi" w:hAnsiTheme="minorHAnsi" w:cstheme="minorHAnsi"/>
        </w:rPr>
        <w:t xml:space="preserve"> </w:t>
      </w:r>
    </w:p>
    <w:p w14:paraId="29B00900" w14:textId="1440B445" w:rsidR="000B4FD0" w:rsidRPr="00D92479" w:rsidRDefault="000B4FD0" w:rsidP="00867D6F">
      <w:pPr>
        <w:pStyle w:val="Textpoznpodarou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D92479">
        <w:rPr>
          <w:rFonts w:asciiTheme="minorHAnsi" w:hAnsiTheme="minorHAnsi" w:cstheme="minorHAnsi"/>
        </w:rPr>
        <w:t>ařízení Evropského parlamentu a Rady (EU) 2018/842 ze dne 30. května 2018</w:t>
      </w:r>
      <w:r>
        <w:rPr>
          <w:rFonts w:asciiTheme="minorHAnsi" w:hAnsiTheme="minorHAnsi" w:cstheme="minorHAnsi"/>
        </w:rPr>
        <w:t>,</w:t>
      </w:r>
      <w:r w:rsidRPr="00D92479">
        <w:rPr>
          <w:rFonts w:asciiTheme="minorHAnsi" w:hAnsiTheme="minorHAnsi" w:cstheme="minorHAnsi"/>
        </w:rPr>
        <w:t xml:space="preserve"> o závazném každoročním snižování emisí skleníkových plynů členskými státy v období 2021 až 2030 přispívajícím k opatřením v</w:t>
      </w:r>
      <w:r>
        <w:rPr>
          <w:rFonts w:asciiTheme="minorHAnsi" w:hAnsiTheme="minorHAnsi" w:cstheme="minorHAnsi"/>
        </w:rPr>
        <w:t> </w:t>
      </w:r>
      <w:r w:rsidRPr="00D92479">
        <w:rPr>
          <w:rFonts w:asciiTheme="minorHAnsi" w:hAnsiTheme="minorHAnsi" w:cstheme="minorHAnsi"/>
        </w:rPr>
        <w:t xml:space="preserve">oblasti klimatu za účelem splnění závazků podle Pařížské dohody a o změně nařízení (EU) č. 525/2013. Toto </w:t>
      </w:r>
      <w:r>
        <w:rPr>
          <w:rFonts w:asciiTheme="minorHAnsi" w:hAnsiTheme="minorHAnsi" w:cstheme="minorHAnsi"/>
        </w:rPr>
        <w:t>n</w:t>
      </w:r>
      <w:r w:rsidRPr="00D92479">
        <w:rPr>
          <w:rFonts w:asciiTheme="minorHAnsi" w:hAnsiTheme="minorHAnsi" w:cstheme="minorHAnsi"/>
        </w:rPr>
        <w:t>ařízení zavádí roční emisní příděly pro roky 2021 až 2030.</w:t>
      </w:r>
    </w:p>
  </w:footnote>
  <w:footnote w:id="31">
    <w:p w14:paraId="615609A2" w14:textId="77777777" w:rsidR="000B4FD0" w:rsidRPr="008A6FED" w:rsidRDefault="000B4FD0" w:rsidP="008A6F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A6FED">
        <w:rPr>
          <w:rStyle w:val="Znakapoznpodarou"/>
          <w:rFonts w:asciiTheme="minorHAnsi" w:hAnsiTheme="minorHAnsi" w:cstheme="minorHAnsi"/>
        </w:rPr>
        <w:footnoteRef/>
      </w:r>
      <w:r w:rsidRPr="008A6F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A6FED">
        <w:rPr>
          <w:rFonts w:asciiTheme="minorHAnsi" w:hAnsiTheme="minorHAnsi" w:cstheme="minorHAnsi"/>
        </w:rPr>
        <w:t xml:space="preserve">Jedná se zejména o tyto právní předpisy: </w:t>
      </w:r>
    </w:p>
    <w:p w14:paraId="3CBC7461" w14:textId="77777777" w:rsidR="000B4FD0" w:rsidRPr="008A6FED" w:rsidRDefault="000B4FD0" w:rsidP="00867D6F">
      <w:pPr>
        <w:pStyle w:val="Textpoznpodarou"/>
        <w:numPr>
          <w:ilvl w:val="0"/>
          <w:numId w:val="24"/>
        </w:numPr>
        <w:ind w:left="567" w:hanging="283"/>
        <w:jc w:val="both"/>
        <w:rPr>
          <w:rFonts w:asciiTheme="minorHAnsi" w:hAnsiTheme="minorHAnsi" w:cstheme="minorHAnsi"/>
        </w:rPr>
      </w:pPr>
      <w:r w:rsidRPr="008A6FED">
        <w:rPr>
          <w:rFonts w:asciiTheme="minorHAnsi" w:hAnsiTheme="minorHAnsi" w:cstheme="minorHAnsi"/>
        </w:rPr>
        <w:t>Směrnice Evropského parlamentu a Rady 2003/87/ES ze dne 13. října 2003</w:t>
      </w:r>
      <w:r>
        <w:rPr>
          <w:rFonts w:asciiTheme="minorHAnsi" w:hAnsiTheme="minorHAnsi" w:cstheme="minorHAnsi"/>
        </w:rPr>
        <w:t>,</w:t>
      </w:r>
      <w:r w:rsidRPr="008A6FED">
        <w:rPr>
          <w:rFonts w:asciiTheme="minorHAnsi" w:hAnsiTheme="minorHAnsi" w:cstheme="minorHAnsi"/>
        </w:rPr>
        <w:t xml:space="preserve"> o vytvoření systému pro obchodování s povolenkami na emise skleníkových plynů ve Společenství a o změně směrnice Rady 96/61/ES</w:t>
      </w:r>
      <w:r>
        <w:rPr>
          <w:rFonts w:asciiTheme="minorHAnsi" w:hAnsiTheme="minorHAnsi" w:cstheme="minorHAnsi"/>
        </w:rPr>
        <w:t>.</w:t>
      </w:r>
    </w:p>
    <w:p w14:paraId="24C96FA0" w14:textId="77777777" w:rsidR="000B4FD0" w:rsidRPr="008A6FED" w:rsidRDefault="000B4FD0" w:rsidP="00867D6F">
      <w:pPr>
        <w:pStyle w:val="Textpoznpodarou"/>
        <w:numPr>
          <w:ilvl w:val="0"/>
          <w:numId w:val="24"/>
        </w:numPr>
        <w:ind w:left="567" w:hanging="283"/>
        <w:jc w:val="both"/>
        <w:rPr>
          <w:rFonts w:asciiTheme="minorHAnsi" w:hAnsiTheme="minorHAnsi" w:cstheme="minorHAnsi"/>
        </w:rPr>
      </w:pPr>
      <w:r w:rsidRPr="008A6FED">
        <w:rPr>
          <w:rFonts w:asciiTheme="minorHAnsi" w:hAnsiTheme="minorHAnsi" w:cstheme="minorHAnsi"/>
        </w:rPr>
        <w:t>Nařízení Komise (EU) č. 1031/2010 ze dne 12. listopadu 2010</w:t>
      </w:r>
      <w:r>
        <w:rPr>
          <w:rFonts w:asciiTheme="minorHAnsi" w:hAnsiTheme="minorHAnsi" w:cstheme="minorHAnsi"/>
        </w:rPr>
        <w:t>,</w:t>
      </w:r>
      <w:r w:rsidRPr="008A6FED">
        <w:rPr>
          <w:rFonts w:asciiTheme="minorHAnsi" w:hAnsiTheme="minorHAnsi" w:cstheme="minorHAnsi"/>
        </w:rPr>
        <w:t xml:space="preserve"> o harmonogramu, správě a jiných aspektech dražeb povolenek na emise skleníkových plynů v souladu se směrnicí Evropského parlamentu a Rady 2003/87/ES o vytvoření systému pro obchodování s povolenkami na emise skleníkových plynů ve Společenství</w:t>
      </w:r>
      <w:r>
        <w:rPr>
          <w:rFonts w:asciiTheme="minorHAnsi" w:hAnsiTheme="minorHAnsi" w:cstheme="minorHAnsi"/>
        </w:rPr>
        <w:t>.</w:t>
      </w:r>
    </w:p>
    <w:p w14:paraId="5ECC246A" w14:textId="77777777" w:rsidR="000B4FD0" w:rsidRPr="008A6FED" w:rsidRDefault="000B4FD0" w:rsidP="00867D6F">
      <w:pPr>
        <w:pStyle w:val="Textpoznpodarou"/>
        <w:numPr>
          <w:ilvl w:val="0"/>
          <w:numId w:val="24"/>
        </w:numPr>
        <w:ind w:left="567" w:hanging="283"/>
        <w:jc w:val="both"/>
        <w:rPr>
          <w:rFonts w:asciiTheme="minorHAnsi" w:hAnsiTheme="minorHAnsi" w:cstheme="minorHAnsi"/>
        </w:rPr>
      </w:pPr>
      <w:r w:rsidRPr="008A6FED">
        <w:rPr>
          <w:rFonts w:asciiTheme="minorHAnsi" w:hAnsiTheme="minorHAnsi" w:cstheme="minorHAnsi"/>
        </w:rPr>
        <w:t>Nařízení Komise (EU) 2020/1001 ze dne 9. července 2020, kterým se stanoví prováděcí pravidla ke směrnici Evropského parlamentu a Rady 2003/87/ES, pokud jde o fungování modernizačního fondu na podporu investic do modernizace energetických soustav a zlepšení energetické účinnosti vybraných členských států</w:t>
      </w:r>
      <w:r>
        <w:rPr>
          <w:rFonts w:asciiTheme="minorHAnsi" w:hAnsiTheme="minorHAnsi" w:cstheme="minorHAnsi"/>
        </w:rPr>
        <w:t>.</w:t>
      </w:r>
    </w:p>
  </w:footnote>
  <w:footnote w:id="32">
    <w:p w14:paraId="589DE7CC" w14:textId="74E06191" w:rsidR="000B4FD0" w:rsidRPr="00AF65F6" w:rsidRDefault="000B4FD0" w:rsidP="001074F1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F65F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F65F6">
        <w:rPr>
          <w:rFonts w:asciiTheme="minorHAnsi" w:hAnsiTheme="minorHAnsi" w:cstheme="minorHAnsi"/>
          <w:sz w:val="20"/>
          <w:szCs w:val="20"/>
        </w:rPr>
        <w:t xml:space="preserve"> </w:t>
      </w:r>
      <w:r w:rsidRPr="00AF65F6">
        <w:rPr>
          <w:rFonts w:asciiTheme="minorHAnsi" w:hAnsiTheme="minorHAnsi" w:cstheme="minorHAnsi"/>
          <w:sz w:val="20"/>
          <w:szCs w:val="20"/>
        </w:rPr>
        <w:tab/>
        <w:t xml:space="preserve">Členské státy, jež měly v roce 2013 HDP na obyvatele v tržních cenách nižší než 60 % průměru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AF65F6">
        <w:rPr>
          <w:rFonts w:asciiTheme="minorHAnsi" w:hAnsiTheme="minorHAnsi" w:cstheme="minorHAnsi"/>
          <w:sz w:val="20"/>
          <w:szCs w:val="20"/>
        </w:rPr>
        <w:t xml:space="preserve">U </w:t>
      </w:r>
      <w:r w:rsidRPr="00E05AFC">
        <w:rPr>
          <w:rFonts w:asciiTheme="minorHAnsi" w:hAnsiTheme="minorHAnsi" w:cstheme="minorHAnsi"/>
          <w:iCs/>
          <w:sz w:val="20"/>
          <w:szCs w:val="20"/>
        </w:rPr>
        <w:t>–</w:t>
      </w:r>
      <w:r w:rsidRPr="00AF65F6">
        <w:rPr>
          <w:rFonts w:asciiTheme="minorHAnsi" w:hAnsiTheme="minorHAnsi" w:cstheme="minorHAnsi"/>
          <w:sz w:val="20"/>
          <w:szCs w:val="20"/>
        </w:rPr>
        <w:t xml:space="preserve"> viz bod 1 čl. </w:t>
      </w:r>
      <w:proofErr w:type="gramStart"/>
      <w:r w:rsidRPr="00AF65F6">
        <w:rPr>
          <w:rFonts w:asciiTheme="minorHAnsi" w:hAnsiTheme="minorHAnsi" w:cstheme="minorHAnsi"/>
          <w:sz w:val="20"/>
          <w:szCs w:val="20"/>
        </w:rPr>
        <w:t>10d</w:t>
      </w:r>
      <w:proofErr w:type="gramEnd"/>
      <w:r w:rsidRPr="00AF65F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AF65F6">
        <w:rPr>
          <w:rFonts w:asciiTheme="minorHAnsi" w:hAnsiTheme="minorHAnsi" w:cstheme="minorHAnsi"/>
          <w:sz w:val="20"/>
          <w:szCs w:val="20"/>
        </w:rPr>
        <w:t>měrnice Evropského parlamentu a Rady (EU) 2018/410 ze dne 14. března 2018, kterou se mění směrnice 2003/87/ES za účelem posílení nákladově efektivních způsobů snižování emisí a investic do nízkouhlíkových technologií a rozhodnutí (EU) 2015/1814</w:t>
      </w:r>
      <w:r w:rsidRPr="00AF65F6">
        <w:rPr>
          <w:rFonts w:asciiTheme="minorHAnsi" w:hAnsiTheme="minorHAnsi" w:cstheme="minorHAnsi"/>
          <w:i/>
          <w:sz w:val="20"/>
          <w:szCs w:val="20"/>
        </w:rPr>
        <w:t>.</w:t>
      </w:r>
    </w:p>
  </w:footnote>
  <w:footnote w:id="33">
    <w:p w14:paraId="3CD26F87" w14:textId="5F0BE49F" w:rsidR="000B4FD0" w:rsidRPr="00284065" w:rsidRDefault="000B4FD0" w:rsidP="008A6FE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06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84065">
        <w:rPr>
          <w:rFonts w:asciiTheme="minorHAnsi" w:hAnsiTheme="minorHAnsi" w:cstheme="minorHAnsi"/>
          <w:sz w:val="20"/>
          <w:szCs w:val="20"/>
        </w:rPr>
        <w:t xml:space="preserve"> </w:t>
      </w:r>
      <w:r w:rsidRPr="00284065">
        <w:rPr>
          <w:rFonts w:asciiTheme="minorHAnsi" w:hAnsiTheme="minorHAnsi" w:cstheme="minorHAnsi"/>
          <w:sz w:val="20"/>
          <w:szCs w:val="20"/>
        </w:rPr>
        <w:tab/>
        <w:t xml:space="preserve">Příloha </w:t>
      </w:r>
      <w:proofErr w:type="spellStart"/>
      <w:r w:rsidRPr="00284065">
        <w:rPr>
          <w:rFonts w:asciiTheme="minorHAnsi" w:hAnsiTheme="minorHAnsi" w:cstheme="minorHAnsi"/>
          <w:sz w:val="20"/>
          <w:szCs w:val="20"/>
        </w:rPr>
        <w:t>IIb</w:t>
      </w:r>
      <w:proofErr w:type="spellEnd"/>
      <w:r w:rsidRPr="002840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84065">
        <w:rPr>
          <w:rFonts w:asciiTheme="minorHAnsi" w:hAnsiTheme="minorHAnsi" w:cstheme="minorHAnsi"/>
          <w:sz w:val="20"/>
          <w:szCs w:val="20"/>
        </w:rPr>
        <w:t xml:space="preserve">měrnice Evropského parlamentu a Rady (EU) 2018/410 ze dne 14. března 2018, kterou se mění směrnice 2003/87/ES za účelem posílení nákladově efektivních způsobů snižování emisí a investic do nízkouhlíkových technologií a rozhodnutí (EU) 2015/1814. </w:t>
      </w:r>
    </w:p>
  </w:footnote>
  <w:footnote w:id="34">
    <w:p w14:paraId="700D4F87" w14:textId="72742AAA" w:rsidR="000B4FD0" w:rsidRPr="00284065" w:rsidRDefault="000B4FD0" w:rsidP="008A6FE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06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84065">
        <w:rPr>
          <w:rFonts w:asciiTheme="minorHAnsi" w:hAnsiTheme="minorHAnsi" w:cstheme="minorHAnsi"/>
          <w:sz w:val="20"/>
          <w:szCs w:val="20"/>
        </w:rPr>
        <w:t xml:space="preserve"> </w:t>
      </w:r>
      <w:r w:rsidRPr="00284065">
        <w:rPr>
          <w:rFonts w:asciiTheme="minorHAnsi" w:hAnsiTheme="minorHAnsi" w:cstheme="minorHAnsi"/>
          <w:sz w:val="20"/>
          <w:szCs w:val="20"/>
        </w:rPr>
        <w:tab/>
        <w:t xml:space="preserve">Odstavec 1 </w:t>
      </w:r>
      <w:r>
        <w:rPr>
          <w:rFonts w:asciiTheme="minorHAnsi" w:hAnsiTheme="minorHAnsi" w:cstheme="minorHAnsi"/>
          <w:sz w:val="20"/>
          <w:szCs w:val="20"/>
        </w:rPr>
        <w:t>č</w:t>
      </w:r>
      <w:r w:rsidRPr="00284065">
        <w:rPr>
          <w:rFonts w:asciiTheme="minorHAnsi" w:hAnsiTheme="minorHAnsi" w:cstheme="minorHAnsi"/>
          <w:sz w:val="20"/>
          <w:szCs w:val="20"/>
        </w:rPr>
        <w:t>lán</w:t>
      </w:r>
      <w:r>
        <w:rPr>
          <w:rFonts w:asciiTheme="minorHAnsi" w:hAnsiTheme="minorHAnsi" w:cstheme="minorHAnsi"/>
          <w:sz w:val="20"/>
          <w:szCs w:val="20"/>
        </w:rPr>
        <w:t>ku</w:t>
      </w:r>
      <w:r w:rsidRPr="0028406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284065">
        <w:rPr>
          <w:rFonts w:asciiTheme="minorHAnsi" w:hAnsiTheme="minorHAnsi" w:cstheme="minorHAnsi"/>
          <w:sz w:val="20"/>
          <w:szCs w:val="20"/>
        </w:rPr>
        <w:t>10d</w:t>
      </w:r>
      <w:proofErr w:type="gramEnd"/>
      <w:r w:rsidRPr="002840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84065">
        <w:rPr>
          <w:rFonts w:asciiTheme="minorHAnsi" w:hAnsiTheme="minorHAnsi" w:cstheme="minorHAnsi"/>
          <w:sz w:val="20"/>
          <w:szCs w:val="20"/>
        </w:rPr>
        <w:t xml:space="preserve">měrnice Evropského parlamentu a Rady (EU) 2018/410 ze dne 14. března 2018, kterou se mění směrnice 2003/87/ES za účelem posílení nákladově efektivních způsobů snižování emisí a investic do nízkouhlíkových technologií a rozhodnutí (EU) 2015/1814. </w:t>
      </w:r>
    </w:p>
  </w:footnote>
  <w:footnote w:id="35">
    <w:p w14:paraId="49B0E4CE" w14:textId="77777777" w:rsidR="000B4FD0" w:rsidRPr="00284065" w:rsidRDefault="000B4FD0" w:rsidP="006D425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84065">
        <w:rPr>
          <w:rStyle w:val="Znakapoznpodarou"/>
          <w:rFonts w:asciiTheme="minorHAnsi" w:hAnsiTheme="minorHAnsi" w:cstheme="minorHAnsi"/>
        </w:rPr>
        <w:footnoteRef/>
      </w:r>
      <w:r w:rsidRPr="00284065">
        <w:rPr>
          <w:rFonts w:asciiTheme="minorHAnsi" w:hAnsiTheme="minorHAnsi" w:cstheme="minorHAnsi"/>
        </w:rPr>
        <w:t xml:space="preserve"> </w:t>
      </w:r>
      <w:r w:rsidRPr="00284065">
        <w:rPr>
          <w:rFonts w:asciiTheme="minorHAnsi" w:hAnsiTheme="minorHAnsi" w:cstheme="minorHAnsi"/>
        </w:rPr>
        <w:tab/>
        <w:t>Dle ustanovení § 17 odst. 1 zákona č. 383/2012 Sb. jsou povolenky na emise skleníkových plynů majetkem ČR</w:t>
      </w:r>
      <w:r>
        <w:rPr>
          <w:rFonts w:asciiTheme="minorHAnsi" w:hAnsiTheme="minorHAnsi" w:cstheme="minorHAnsi"/>
        </w:rPr>
        <w:t>,</w:t>
      </w:r>
      <w:r w:rsidRPr="00284065">
        <w:rPr>
          <w:rFonts w:asciiTheme="minorHAnsi" w:hAnsiTheme="minorHAnsi" w:cstheme="minorHAnsi"/>
        </w:rPr>
        <w:t xml:space="preserve"> se kterým hospodaří MŽP.</w:t>
      </w:r>
    </w:p>
  </w:footnote>
  <w:footnote w:id="36">
    <w:p w14:paraId="224688EE" w14:textId="5DEC72E6" w:rsidR="000B4FD0" w:rsidRPr="00AF65F6" w:rsidRDefault="000B4FD0" w:rsidP="008A6FED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F65F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F65F6">
        <w:rPr>
          <w:rFonts w:asciiTheme="minorHAnsi" w:hAnsiTheme="minorHAnsi" w:cstheme="minorHAnsi"/>
          <w:sz w:val="20"/>
          <w:szCs w:val="20"/>
        </w:rPr>
        <w:t xml:space="preserve"> </w:t>
      </w:r>
      <w:r w:rsidRPr="00AF65F6">
        <w:rPr>
          <w:rFonts w:asciiTheme="minorHAnsi" w:hAnsiTheme="minorHAnsi" w:cstheme="minorHAnsi"/>
          <w:sz w:val="20"/>
          <w:szCs w:val="20"/>
        </w:rPr>
        <w:tab/>
        <w:t>B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ezplatné povolenky přidělené podle čl. 10c odst. 4 </w:t>
      </w:r>
      <w:r>
        <w:rPr>
          <w:rFonts w:asciiTheme="minorHAnsi" w:hAnsiTheme="minorHAnsi" w:cstheme="minorHAnsi"/>
          <w:iCs/>
          <w:sz w:val="20"/>
          <w:szCs w:val="20"/>
        </w:rPr>
        <w:t xml:space="preserve">Směrnice 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nebo část těchto povolenek a množství povolenek přidělených na účely solidarity, růstu a propojení v </w:t>
      </w:r>
      <w:r>
        <w:rPr>
          <w:rFonts w:asciiTheme="minorHAnsi" w:hAnsiTheme="minorHAnsi" w:cstheme="minorHAnsi"/>
          <w:iCs/>
          <w:sz w:val="20"/>
          <w:szCs w:val="20"/>
        </w:rPr>
        <w:t>E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U v souladu s čl. 10 odst. 2 písm. b) </w:t>
      </w:r>
      <w:r>
        <w:rPr>
          <w:rFonts w:asciiTheme="minorHAnsi" w:hAnsiTheme="minorHAnsi" w:cstheme="minorHAnsi"/>
          <w:iCs/>
          <w:sz w:val="20"/>
          <w:szCs w:val="20"/>
        </w:rPr>
        <w:t xml:space="preserve">Směrnice 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nebo část tohoto množství v souladu s článkem </w:t>
      </w:r>
      <w:proofErr w:type="gramStart"/>
      <w:r w:rsidRPr="00AF65F6">
        <w:rPr>
          <w:rFonts w:asciiTheme="minorHAnsi" w:hAnsiTheme="minorHAnsi" w:cstheme="minorHAnsi"/>
          <w:iCs/>
          <w:sz w:val="20"/>
          <w:szCs w:val="20"/>
        </w:rPr>
        <w:t>10d</w:t>
      </w:r>
      <w:proofErr w:type="gramEnd"/>
      <w:r w:rsidRPr="00AF65F6">
        <w:rPr>
          <w:rFonts w:asciiTheme="minorHAnsi" w:hAnsiTheme="minorHAnsi" w:cstheme="minorHAnsi"/>
          <w:iCs/>
          <w:sz w:val="20"/>
          <w:szCs w:val="20"/>
        </w:rPr>
        <w:t xml:space="preserve"> na podporu investic v rámci </w:t>
      </w:r>
      <w:r w:rsidRPr="00AF65F6">
        <w:rPr>
          <w:rFonts w:asciiTheme="minorHAnsi" w:hAnsiTheme="minorHAnsi" w:cstheme="minorHAnsi"/>
          <w:i/>
          <w:iCs/>
          <w:sz w:val="20"/>
          <w:szCs w:val="20"/>
        </w:rPr>
        <w:t>Modernizačního fondu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, čímž se zvýší objem zdrojů přidělených danému členskému státu – viz </w:t>
      </w:r>
      <w:r w:rsidRPr="00E827B9">
        <w:rPr>
          <w:rFonts w:asciiTheme="minorHAnsi" w:hAnsiTheme="minorHAnsi" w:cstheme="minorHAnsi"/>
          <w:iCs/>
          <w:sz w:val="20"/>
          <w:szCs w:val="20"/>
        </w:rPr>
        <w:t xml:space="preserve">čl. 10d </w:t>
      </w:r>
      <w:r w:rsidRPr="00AF65F6">
        <w:rPr>
          <w:rFonts w:asciiTheme="minorHAnsi" w:hAnsiTheme="minorHAnsi" w:cstheme="minorHAnsi"/>
          <w:iCs/>
          <w:sz w:val="20"/>
          <w:szCs w:val="20"/>
        </w:rPr>
        <w:t xml:space="preserve">bod 4 </w:t>
      </w:r>
      <w:r w:rsidRPr="00AF65F6">
        <w:rPr>
          <w:rFonts w:asciiTheme="minorHAnsi" w:hAnsiTheme="minorHAnsi" w:cstheme="minorHAnsi"/>
          <w:sz w:val="20"/>
          <w:szCs w:val="20"/>
        </w:rPr>
        <w:t>Směrnice.</w:t>
      </w:r>
    </w:p>
  </w:footnote>
  <w:footnote w:id="37">
    <w:p w14:paraId="06FFE0FD" w14:textId="5300BA32" w:rsidR="000B4FD0" w:rsidRPr="00AF65F6" w:rsidRDefault="000B4FD0" w:rsidP="008A6FED">
      <w:pPr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AF65F6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F65F6">
        <w:rPr>
          <w:rFonts w:asciiTheme="minorHAnsi" w:hAnsiTheme="minorHAnsi" w:cstheme="minorHAnsi"/>
          <w:sz w:val="20"/>
          <w:szCs w:val="20"/>
        </w:rPr>
        <w:t xml:space="preserve"> </w:t>
      </w:r>
      <w:r w:rsidRPr="00AF65F6">
        <w:rPr>
          <w:rFonts w:asciiTheme="minorHAnsi" w:hAnsiTheme="minorHAnsi" w:cstheme="minorHAnsi"/>
          <w:sz w:val="20"/>
          <w:szCs w:val="20"/>
        </w:rPr>
        <w:tab/>
        <w:t>ČR využil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AF65F6">
        <w:rPr>
          <w:rFonts w:asciiTheme="minorHAnsi" w:hAnsiTheme="minorHAnsi" w:cstheme="minorHAnsi"/>
          <w:bCs/>
          <w:sz w:val="20"/>
          <w:szCs w:val="20"/>
        </w:rPr>
        <w:t>:</w:t>
      </w:r>
    </w:p>
    <w:p w14:paraId="21670B2D" w14:textId="5DF3E56E" w:rsidR="000B4FD0" w:rsidRPr="00284065" w:rsidRDefault="000B4FD0" w:rsidP="00867D6F">
      <w:pPr>
        <w:pStyle w:val="Textpoznpodarou"/>
        <w:numPr>
          <w:ilvl w:val="0"/>
          <w:numId w:val="24"/>
        </w:numPr>
        <w:ind w:left="567" w:hanging="283"/>
        <w:jc w:val="both"/>
        <w:rPr>
          <w:rFonts w:asciiTheme="minorHAnsi" w:hAnsiTheme="minorHAnsi" w:cstheme="minorHAnsi"/>
        </w:rPr>
      </w:pPr>
      <w:r w:rsidRPr="00284065">
        <w:rPr>
          <w:rFonts w:asciiTheme="minorHAnsi" w:hAnsiTheme="minorHAnsi" w:cstheme="minorHAnsi"/>
        </w:rPr>
        <w:t>všechny povolenky odpovídající bezplatné alokaci podle čl. 10c odst. 4 Směrnice, což se rovná 40 % povolenek, jež ČR obdrží podle čl. 10 odst. 2 písm. a) Směrnice, rozdělených rovnoměrně do jednotlivých let v období 2021 až 2030</w:t>
      </w:r>
      <w:r>
        <w:rPr>
          <w:rFonts w:asciiTheme="minorHAnsi" w:hAnsiTheme="minorHAnsi" w:cstheme="minorHAnsi"/>
        </w:rPr>
        <w:t>,</w:t>
      </w:r>
    </w:p>
    <w:p w14:paraId="092478D8" w14:textId="77777777" w:rsidR="000B4FD0" w:rsidRPr="00EE2923" w:rsidRDefault="000B4FD0" w:rsidP="00867D6F">
      <w:pPr>
        <w:pStyle w:val="Textpoznpodarou"/>
        <w:numPr>
          <w:ilvl w:val="0"/>
          <w:numId w:val="24"/>
        </w:numPr>
        <w:ind w:left="567" w:hanging="283"/>
        <w:jc w:val="both"/>
        <w:rPr>
          <w:rFonts w:asciiTheme="minorHAnsi" w:hAnsiTheme="minorHAnsi" w:cstheme="minorHAnsi"/>
        </w:rPr>
      </w:pPr>
      <w:r w:rsidRPr="00EE2923">
        <w:rPr>
          <w:rFonts w:asciiTheme="minorHAnsi" w:hAnsiTheme="minorHAnsi" w:cstheme="minorHAnsi"/>
        </w:rPr>
        <w:t>50 % povolenek, které ČR obdrží na účely solidarity, růstu a propojení v Unii podle čl. 10 odst. 2 písm. b) Směrnice (tzv. solidární povolenky), rozdělených rovnoměrně do jednotlivých let v období 2021 až 2030.</w:t>
      </w:r>
    </w:p>
  </w:footnote>
  <w:footnote w:id="38">
    <w:p w14:paraId="573CB27C" w14:textId="0311C955" w:rsidR="000B4FD0" w:rsidRPr="00EE2923" w:rsidRDefault="000B4FD0" w:rsidP="00CD2AB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84065">
        <w:rPr>
          <w:rStyle w:val="Znakapoznpodarou"/>
          <w:rFonts w:asciiTheme="minorHAnsi" w:hAnsiTheme="minorHAnsi" w:cstheme="minorHAnsi"/>
        </w:rPr>
        <w:footnoteRef/>
      </w:r>
      <w:r w:rsidRPr="00284065">
        <w:rPr>
          <w:rFonts w:asciiTheme="minorHAnsi" w:hAnsiTheme="minorHAnsi" w:cstheme="minorHAnsi"/>
        </w:rPr>
        <w:t xml:space="preserve"> </w:t>
      </w:r>
      <w:r w:rsidRPr="00EE2923">
        <w:rPr>
          <w:rFonts w:asciiTheme="minorHAnsi" w:hAnsiTheme="minorHAnsi" w:cstheme="minorHAnsi"/>
        </w:rPr>
        <w:tab/>
        <w:t xml:space="preserve">Čl. 24 </w:t>
      </w:r>
      <w:r>
        <w:rPr>
          <w:rFonts w:asciiTheme="minorHAnsi" w:hAnsiTheme="minorHAnsi" w:cstheme="minorHAnsi"/>
        </w:rPr>
        <w:t>n</w:t>
      </w:r>
      <w:r w:rsidRPr="00EE2923">
        <w:rPr>
          <w:rFonts w:asciiTheme="minorHAnsi" w:hAnsiTheme="minorHAnsi" w:cstheme="minorHAnsi"/>
        </w:rPr>
        <w:t>ařízení Komise (EU) č. 1031/2010 ze dne 12. listopadu 2010</w:t>
      </w:r>
      <w:r>
        <w:rPr>
          <w:rFonts w:asciiTheme="minorHAnsi" w:hAnsiTheme="minorHAnsi" w:cstheme="minorHAnsi"/>
        </w:rPr>
        <w:t>,</w:t>
      </w:r>
      <w:r w:rsidRPr="00EE2923">
        <w:rPr>
          <w:rFonts w:asciiTheme="minorHAnsi" w:hAnsiTheme="minorHAnsi" w:cstheme="minorHAnsi"/>
        </w:rPr>
        <w:t xml:space="preserve"> o harmonogramu, správě a jiných aspektech dražeb povolenek na emise skleníkových plynů v souladu se směrnicí Evropského parlamentu a Rady 2003/87/ES o vytvoření systému pro obchodování s povolenkami na emise skleníkových plynů ve Společenství. </w:t>
      </w:r>
    </w:p>
  </w:footnote>
  <w:footnote w:id="39">
    <w:p w14:paraId="4E982BD8" w14:textId="7D154936" w:rsidR="000B4FD0" w:rsidRPr="00284065" w:rsidRDefault="000B4FD0" w:rsidP="00BD38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84065">
        <w:rPr>
          <w:rStyle w:val="Znakapoznpodarou"/>
          <w:rFonts w:asciiTheme="minorHAnsi" w:hAnsiTheme="minorHAnsi" w:cstheme="minorHAnsi"/>
        </w:rPr>
        <w:footnoteRef/>
      </w:r>
      <w:r w:rsidRPr="00284065">
        <w:rPr>
          <w:rFonts w:asciiTheme="minorHAnsi" w:hAnsiTheme="minorHAnsi" w:cstheme="minorHAnsi"/>
        </w:rPr>
        <w:t xml:space="preserve"> </w:t>
      </w:r>
      <w:r w:rsidRPr="00284065">
        <w:rPr>
          <w:rFonts w:asciiTheme="minorHAnsi" w:hAnsiTheme="minorHAnsi" w:cstheme="minorHAnsi"/>
        </w:rPr>
        <w:tab/>
        <w:t xml:space="preserve">Smlouva uzavřená pod názvem </w:t>
      </w:r>
      <w:r w:rsidRPr="00AF65F6">
        <w:rPr>
          <w:rFonts w:asciiTheme="minorHAnsi" w:hAnsiTheme="minorHAnsi" w:cstheme="minorHAnsi"/>
          <w:i/>
        </w:rPr>
        <w:t xml:space="preserve">COOPERATION AGREEMENT </w:t>
      </w:r>
      <w:proofErr w:type="spellStart"/>
      <w:r w:rsidRPr="00AF65F6">
        <w:rPr>
          <w:rFonts w:asciiTheme="minorHAnsi" w:hAnsiTheme="minorHAnsi" w:cstheme="minorHAnsi"/>
          <w:i/>
        </w:rPr>
        <w:t>between</w:t>
      </w:r>
      <w:proofErr w:type="spellEnd"/>
      <w:r w:rsidRPr="00AF65F6">
        <w:rPr>
          <w:rFonts w:asciiTheme="minorHAnsi" w:hAnsiTheme="minorHAnsi" w:cstheme="minorHAnsi"/>
          <w:i/>
        </w:rPr>
        <w:t xml:space="preserve"> THE EUROPEAN COMMISSION and THE EUROPEAN INVESTMENT BANK on </w:t>
      </w:r>
      <w:proofErr w:type="spellStart"/>
      <w:r w:rsidRPr="00AF65F6">
        <w:rPr>
          <w:rFonts w:asciiTheme="minorHAnsi" w:hAnsiTheme="minorHAnsi" w:cstheme="minorHAnsi"/>
          <w:i/>
        </w:rPr>
        <w:t>the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Modernisation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Fund</w:t>
      </w:r>
      <w:proofErr w:type="spellEnd"/>
      <w:r w:rsidRPr="00AF65F6">
        <w:rPr>
          <w:rFonts w:asciiTheme="minorHAnsi" w:hAnsiTheme="minorHAnsi" w:cstheme="minorHAnsi"/>
          <w:i/>
        </w:rPr>
        <w:t xml:space="preserve"> set up </w:t>
      </w:r>
      <w:proofErr w:type="spellStart"/>
      <w:r w:rsidRPr="00AF65F6">
        <w:rPr>
          <w:rFonts w:asciiTheme="minorHAnsi" w:hAnsiTheme="minorHAnsi" w:cstheme="minorHAnsi"/>
          <w:i/>
        </w:rPr>
        <w:t>pursuant</w:t>
      </w:r>
      <w:proofErr w:type="spellEnd"/>
      <w:r w:rsidRPr="00AF65F6">
        <w:rPr>
          <w:rFonts w:asciiTheme="minorHAnsi" w:hAnsiTheme="minorHAnsi" w:cstheme="minorHAnsi"/>
          <w:i/>
        </w:rPr>
        <w:t xml:space="preserve"> to </w:t>
      </w:r>
      <w:proofErr w:type="spellStart"/>
      <w:r w:rsidRPr="00AF65F6">
        <w:rPr>
          <w:rFonts w:asciiTheme="minorHAnsi" w:hAnsiTheme="minorHAnsi" w:cstheme="minorHAnsi"/>
          <w:i/>
        </w:rPr>
        <w:t>Article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gramStart"/>
      <w:r w:rsidRPr="00AF65F6">
        <w:rPr>
          <w:rFonts w:asciiTheme="minorHAnsi" w:hAnsiTheme="minorHAnsi" w:cstheme="minorHAnsi"/>
          <w:i/>
        </w:rPr>
        <w:t>10d</w:t>
      </w:r>
      <w:proofErr w:type="gram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of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Directive</w:t>
      </w:r>
      <w:proofErr w:type="spellEnd"/>
      <w:r w:rsidRPr="00AF65F6">
        <w:rPr>
          <w:rFonts w:asciiTheme="minorHAnsi" w:hAnsiTheme="minorHAnsi" w:cstheme="minorHAnsi"/>
          <w:i/>
        </w:rPr>
        <w:t xml:space="preserve"> 2003/87/EC </w:t>
      </w:r>
      <w:proofErr w:type="spellStart"/>
      <w:r w:rsidRPr="00AF65F6">
        <w:rPr>
          <w:rFonts w:asciiTheme="minorHAnsi" w:hAnsiTheme="minorHAnsi" w:cstheme="minorHAnsi"/>
          <w:i/>
        </w:rPr>
        <w:t>of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the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European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Parliament</w:t>
      </w:r>
      <w:proofErr w:type="spellEnd"/>
      <w:r w:rsidRPr="00AF65F6">
        <w:rPr>
          <w:rFonts w:asciiTheme="minorHAnsi" w:hAnsiTheme="minorHAnsi" w:cstheme="minorHAnsi"/>
          <w:i/>
        </w:rPr>
        <w:t xml:space="preserve"> and </w:t>
      </w:r>
      <w:proofErr w:type="spellStart"/>
      <w:r w:rsidRPr="00AF65F6">
        <w:rPr>
          <w:rFonts w:asciiTheme="minorHAnsi" w:hAnsiTheme="minorHAnsi" w:cstheme="minorHAnsi"/>
          <w:i/>
        </w:rPr>
        <w:t>of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the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Council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of</w:t>
      </w:r>
      <w:proofErr w:type="spellEnd"/>
      <w:r w:rsidRPr="00AF65F6">
        <w:rPr>
          <w:rFonts w:asciiTheme="minorHAnsi" w:hAnsiTheme="minorHAnsi" w:cstheme="minorHAnsi"/>
          <w:i/>
        </w:rPr>
        <w:t xml:space="preserve"> 13 </w:t>
      </w:r>
      <w:proofErr w:type="spellStart"/>
      <w:r w:rsidRPr="00AF65F6">
        <w:rPr>
          <w:rFonts w:asciiTheme="minorHAnsi" w:hAnsiTheme="minorHAnsi" w:cstheme="minorHAnsi"/>
          <w:i/>
        </w:rPr>
        <w:t>October</w:t>
      </w:r>
      <w:proofErr w:type="spellEnd"/>
      <w:r w:rsidRPr="00AF65F6">
        <w:rPr>
          <w:rFonts w:asciiTheme="minorHAnsi" w:hAnsiTheme="minorHAnsi" w:cstheme="minorHAnsi"/>
          <w:i/>
        </w:rPr>
        <w:t xml:space="preserve"> 2003 </w:t>
      </w:r>
      <w:proofErr w:type="spellStart"/>
      <w:r w:rsidRPr="00AF65F6">
        <w:rPr>
          <w:rFonts w:asciiTheme="minorHAnsi" w:hAnsiTheme="minorHAnsi" w:cstheme="minorHAnsi"/>
          <w:i/>
        </w:rPr>
        <w:t>establishing</w:t>
      </w:r>
      <w:proofErr w:type="spellEnd"/>
      <w:r w:rsidRPr="00AF65F6">
        <w:rPr>
          <w:rFonts w:asciiTheme="minorHAnsi" w:hAnsiTheme="minorHAnsi" w:cstheme="minorHAnsi"/>
          <w:i/>
        </w:rPr>
        <w:t xml:space="preserve"> a </w:t>
      </w:r>
      <w:proofErr w:type="spellStart"/>
      <w:r w:rsidRPr="00AF65F6">
        <w:rPr>
          <w:rFonts w:asciiTheme="minorHAnsi" w:hAnsiTheme="minorHAnsi" w:cstheme="minorHAnsi"/>
          <w:i/>
        </w:rPr>
        <w:t>system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for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greenhouse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gas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emission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allowance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trading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within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the</w:t>
      </w:r>
      <w:proofErr w:type="spellEnd"/>
      <w:r w:rsidRPr="00AF65F6">
        <w:rPr>
          <w:rFonts w:asciiTheme="minorHAnsi" w:hAnsiTheme="minorHAnsi" w:cstheme="minorHAnsi"/>
          <w:i/>
        </w:rPr>
        <w:t xml:space="preserve"> Union and </w:t>
      </w:r>
      <w:proofErr w:type="spellStart"/>
      <w:r w:rsidRPr="00AF65F6">
        <w:rPr>
          <w:rFonts w:asciiTheme="minorHAnsi" w:hAnsiTheme="minorHAnsi" w:cstheme="minorHAnsi"/>
          <w:i/>
        </w:rPr>
        <w:t>amending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Council</w:t>
      </w:r>
      <w:proofErr w:type="spellEnd"/>
      <w:r w:rsidRPr="00AF65F6">
        <w:rPr>
          <w:rFonts w:asciiTheme="minorHAnsi" w:hAnsiTheme="minorHAnsi" w:cstheme="minorHAnsi"/>
          <w:i/>
        </w:rPr>
        <w:t xml:space="preserve"> </w:t>
      </w:r>
      <w:proofErr w:type="spellStart"/>
      <w:r w:rsidRPr="00AF65F6">
        <w:rPr>
          <w:rFonts w:asciiTheme="minorHAnsi" w:hAnsiTheme="minorHAnsi" w:cstheme="minorHAnsi"/>
          <w:i/>
        </w:rPr>
        <w:t>Directive</w:t>
      </w:r>
      <w:proofErr w:type="spellEnd"/>
      <w:r w:rsidRPr="00AF65F6">
        <w:rPr>
          <w:rFonts w:asciiTheme="minorHAnsi" w:hAnsiTheme="minorHAnsi" w:cstheme="minorHAnsi"/>
          <w:i/>
        </w:rPr>
        <w:t xml:space="preserve"> 96/61/EC</w:t>
      </w:r>
      <w:r>
        <w:rPr>
          <w:rFonts w:asciiTheme="minorHAnsi" w:hAnsiTheme="minorHAnsi" w:cstheme="minorHAnsi"/>
        </w:rPr>
        <w:t>.</w:t>
      </w:r>
      <w:r w:rsidRPr="00EE29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 tomu viz též</w:t>
      </w:r>
      <w:r w:rsidRPr="00EE29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EE2923">
        <w:rPr>
          <w:rFonts w:asciiTheme="minorHAnsi" w:hAnsiTheme="minorHAnsi" w:cstheme="minorHAnsi"/>
        </w:rPr>
        <w:t>četní závěrka EIB k</w:t>
      </w:r>
      <w:r>
        <w:rPr>
          <w:rFonts w:asciiTheme="minorHAnsi" w:hAnsiTheme="minorHAnsi" w:cstheme="minorHAnsi"/>
        </w:rPr>
        <w:t xml:space="preserve"> </w:t>
      </w:r>
      <w:r w:rsidRPr="00EE2923">
        <w:rPr>
          <w:rFonts w:asciiTheme="minorHAnsi" w:hAnsiTheme="minorHAnsi" w:cstheme="minorHAnsi"/>
        </w:rPr>
        <w:t>31. prosinci 2022, str. 46 a 99.</w:t>
      </w:r>
      <w:r w:rsidRPr="00EE2923">
        <w:rPr>
          <w:rFonts w:asciiTheme="minorHAnsi" w:hAnsiTheme="minorHAnsi" w:cstheme="minorHAnsi"/>
          <w:color w:val="000000"/>
          <w:shd w:val="clear" w:color="auto" w:fill="FFFFFF"/>
        </w:rPr>
        <w:t xml:space="preserve"> [cit. 19. 9. 2023]. Dostupné z: </w:t>
      </w:r>
      <w:hyperlink r:id="rId2" w:history="1">
        <w:r w:rsidRPr="00EE2923">
          <w:rPr>
            <w:rStyle w:val="Hypertextovodkaz"/>
            <w:rFonts w:asciiTheme="minorHAnsi" w:hAnsiTheme="minorHAnsi" w:cstheme="minorHAnsi"/>
            <w:shd w:val="clear" w:color="auto" w:fill="FFFFFF"/>
          </w:rPr>
          <w:t>https://www.eib.org/attachments/lucalli/20220270_eib_financial_report_2022_en.pdf</w:t>
        </w:r>
      </w:hyperlink>
      <w:r w:rsidRPr="00284065">
        <w:rPr>
          <w:rFonts w:asciiTheme="minorHAnsi" w:hAnsiTheme="minorHAnsi" w:cstheme="minorHAnsi"/>
        </w:rPr>
        <w:t>.</w:t>
      </w:r>
    </w:p>
  </w:footnote>
  <w:footnote w:id="40">
    <w:p w14:paraId="51935471" w14:textId="77777777" w:rsidR="000B4FD0" w:rsidRPr="00647447" w:rsidRDefault="000B4FD0" w:rsidP="00CD2ABA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47447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474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647447">
        <w:rPr>
          <w:rFonts w:asciiTheme="minorHAnsi" w:hAnsiTheme="minorHAnsi" w:cstheme="minorHAnsi"/>
          <w:sz w:val="20"/>
          <w:szCs w:val="20"/>
        </w:rPr>
        <w:t>Annex</w:t>
      </w:r>
      <w:proofErr w:type="spellEnd"/>
      <w:r w:rsidRPr="00647447">
        <w:rPr>
          <w:rFonts w:asciiTheme="minorHAnsi" w:hAnsiTheme="minorHAnsi" w:cstheme="minorHAnsi"/>
          <w:sz w:val="20"/>
          <w:szCs w:val="20"/>
        </w:rPr>
        <w:t xml:space="preserve"> II, </w:t>
      </w:r>
      <w:proofErr w:type="spellStart"/>
      <w:r w:rsidRPr="00647447">
        <w:rPr>
          <w:rFonts w:asciiTheme="minorHAnsi" w:hAnsiTheme="minorHAnsi" w:cstheme="minorHAnsi"/>
          <w:sz w:val="20"/>
          <w:szCs w:val="20"/>
        </w:rPr>
        <w:t>Preamble</w:t>
      </w:r>
      <w:proofErr w:type="spellEnd"/>
      <w:r w:rsidRPr="00647447">
        <w:rPr>
          <w:rFonts w:asciiTheme="minorHAnsi" w:hAnsiTheme="minorHAnsi" w:cstheme="minorHAnsi"/>
          <w:sz w:val="20"/>
          <w:szCs w:val="20"/>
        </w:rPr>
        <w:t xml:space="preserve"> Smlouvy mezi EK a EIB: „</w:t>
      </w:r>
      <w:r w:rsidRPr="00647447">
        <w:rPr>
          <w:rFonts w:asciiTheme="minorHAnsi" w:hAnsiTheme="minorHAnsi" w:cstheme="minorHAnsi"/>
          <w:i/>
          <w:sz w:val="20"/>
          <w:szCs w:val="20"/>
        </w:rPr>
        <w:t xml:space="preserve">These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assets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including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the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income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generated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thereon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will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be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invested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for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the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benefit, and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at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the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risk,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of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the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Beneficiary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Member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States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according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to a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pre-agreed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risk profile and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investment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strategy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and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specific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asset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management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guidelines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as set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out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in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Section</w:t>
      </w:r>
      <w:proofErr w:type="spellEnd"/>
      <w:r w:rsidRPr="00647447">
        <w:rPr>
          <w:rFonts w:asciiTheme="minorHAnsi" w:hAnsiTheme="minorHAnsi" w:cstheme="minorHAnsi"/>
          <w:i/>
          <w:sz w:val="20"/>
          <w:szCs w:val="20"/>
        </w:rPr>
        <w:t xml:space="preserve"> II </w:t>
      </w:r>
      <w:proofErr w:type="spellStart"/>
      <w:r w:rsidRPr="00647447">
        <w:rPr>
          <w:rFonts w:asciiTheme="minorHAnsi" w:hAnsiTheme="minorHAnsi" w:cstheme="minorHAnsi"/>
          <w:i/>
          <w:sz w:val="20"/>
          <w:szCs w:val="20"/>
        </w:rPr>
        <w:t>below</w:t>
      </w:r>
      <w:proofErr w:type="spellEnd"/>
      <w:r w:rsidRPr="00647447">
        <w:rPr>
          <w:rFonts w:asciiTheme="minorHAnsi" w:hAnsiTheme="minorHAnsi" w:cstheme="minorHAnsi"/>
          <w:sz w:val="20"/>
          <w:szCs w:val="20"/>
        </w:rPr>
        <w:t>.“</w:t>
      </w:r>
    </w:p>
  </w:footnote>
  <w:footnote w:id="41">
    <w:p w14:paraId="1C1B5356" w14:textId="719C33A2" w:rsidR="000B4FD0" w:rsidRPr="00647447" w:rsidRDefault="000B4FD0" w:rsidP="008A6FE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647447">
        <w:rPr>
          <w:rStyle w:val="Znakapoznpodarou"/>
          <w:rFonts w:asciiTheme="minorHAnsi" w:hAnsiTheme="minorHAnsi" w:cstheme="minorHAnsi"/>
        </w:rPr>
        <w:footnoteRef/>
      </w:r>
      <w:r w:rsidRPr="006474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647447">
        <w:rPr>
          <w:rFonts w:asciiTheme="minorHAnsi" w:hAnsiTheme="minorHAnsi" w:cstheme="minorHAnsi"/>
          <w:iCs/>
        </w:rPr>
        <w:t>V</w:t>
      </w:r>
      <w:r>
        <w:rPr>
          <w:rFonts w:asciiTheme="minorHAnsi" w:hAnsiTheme="minorHAnsi" w:cstheme="minorHAnsi"/>
          <w:iCs/>
        </w:rPr>
        <w:t xml:space="preserve"> ustanovení </w:t>
      </w:r>
      <w:r w:rsidRPr="00647447">
        <w:rPr>
          <w:rFonts w:asciiTheme="minorHAnsi" w:hAnsiTheme="minorHAnsi" w:cstheme="minorHAnsi"/>
          <w:iCs/>
        </w:rPr>
        <w:t xml:space="preserve">§ 12 odst. 1 zákona č. 383/2012 Sb. je stanoveno, že peněžní prostředky přidělené ČR z </w:t>
      </w:r>
      <w:proofErr w:type="spellStart"/>
      <w:r w:rsidRPr="00647447">
        <w:rPr>
          <w:rFonts w:asciiTheme="minorHAnsi" w:hAnsiTheme="minorHAnsi" w:cstheme="minorHAnsi"/>
          <w:iCs/>
        </w:rPr>
        <w:t>ModF</w:t>
      </w:r>
      <w:proofErr w:type="spellEnd"/>
      <w:r w:rsidRPr="00647447">
        <w:rPr>
          <w:rFonts w:asciiTheme="minorHAnsi" w:hAnsiTheme="minorHAnsi" w:cstheme="minorHAnsi"/>
          <w:iCs/>
        </w:rPr>
        <w:t xml:space="preserve"> jsou následně příjmem SFŽP.</w:t>
      </w:r>
    </w:p>
  </w:footnote>
  <w:footnote w:id="42">
    <w:p w14:paraId="6CCBD27C" w14:textId="77777777" w:rsidR="000B4FD0" w:rsidRPr="00CD2ABA" w:rsidRDefault="000B4FD0" w:rsidP="005D22D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2ABA">
        <w:rPr>
          <w:rStyle w:val="Znakapoznpodarou"/>
          <w:rFonts w:asciiTheme="minorHAnsi" w:hAnsiTheme="minorHAnsi" w:cstheme="minorHAnsi"/>
        </w:rPr>
        <w:footnoteRef/>
      </w:r>
      <w:r w:rsidRPr="00CD2A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2ABA">
        <w:rPr>
          <w:rFonts w:asciiTheme="minorHAnsi" w:hAnsiTheme="minorHAnsi" w:cstheme="minorHAnsi"/>
        </w:rPr>
        <w:t>Nařízení Evropského parlamentu a Rady (EU) č. 1303/2013 ze dne 17. prosince 2013</w:t>
      </w:r>
      <w:r>
        <w:rPr>
          <w:rFonts w:asciiTheme="minorHAnsi" w:hAnsiTheme="minorHAnsi" w:cstheme="minorHAnsi"/>
        </w:rPr>
        <w:t>,</w:t>
      </w:r>
      <w:r w:rsidRPr="00CD2ABA">
        <w:rPr>
          <w:rFonts w:asciiTheme="minorHAnsi" w:hAnsiTheme="minorHAnsi" w:cstheme="minorHAnsi"/>
        </w:rPr>
        <w:t xml:space="preserve">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>
        <w:rPr>
          <w:rFonts w:asciiTheme="minorHAnsi" w:hAnsiTheme="minorHAnsi" w:cstheme="minorHAnsi"/>
        </w:rPr>
        <w:t> </w:t>
      </w:r>
      <w:r w:rsidRPr="00CD2ABA">
        <w:rPr>
          <w:rFonts w:asciiTheme="minorHAnsi" w:hAnsiTheme="minorHAnsi" w:cstheme="minorHAnsi"/>
        </w:rPr>
        <w:t>Evropském námořním a rybářském fondu a o zrušení nařízení Rady (ES) č. 1083/2006.</w:t>
      </w:r>
    </w:p>
  </w:footnote>
  <w:footnote w:id="43">
    <w:p w14:paraId="6256CD7D" w14:textId="77777777" w:rsidR="000B4FD0" w:rsidRPr="00CD2ABA" w:rsidRDefault="000B4FD0" w:rsidP="00CD2ABA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2ABA">
        <w:rPr>
          <w:rStyle w:val="Znakapoznpodarou"/>
          <w:rFonts w:asciiTheme="minorHAnsi" w:hAnsiTheme="minorHAnsi" w:cstheme="minorHAnsi"/>
        </w:rPr>
        <w:footnoteRef/>
      </w:r>
      <w:r w:rsidRPr="00CD2A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2ABA">
        <w:rPr>
          <w:rFonts w:asciiTheme="minorHAnsi" w:hAnsiTheme="minorHAnsi" w:cstheme="minorHAnsi"/>
        </w:rPr>
        <w:t xml:space="preserve">Dohoda vymezuje finanční nástroj jako opatření finanční podpory Evropské unie poskytovaná z rozpočtu na doplňkovém základě a zaměřená na plnění jednoho nebo více konkrétních politických cílů Evropské unie. Tyto nástroje mohou mít formu kapitálových či </w:t>
      </w:r>
      <w:proofErr w:type="spellStart"/>
      <w:r w:rsidRPr="00CD2ABA">
        <w:rPr>
          <w:rFonts w:asciiTheme="minorHAnsi" w:hAnsiTheme="minorHAnsi" w:cstheme="minorHAnsi"/>
        </w:rPr>
        <w:t>kvazikapitálových</w:t>
      </w:r>
      <w:proofErr w:type="spellEnd"/>
      <w:r w:rsidRPr="00CD2ABA">
        <w:rPr>
          <w:rFonts w:asciiTheme="minorHAnsi" w:hAnsiTheme="minorHAnsi" w:cstheme="minorHAnsi"/>
        </w:rPr>
        <w:t xml:space="preserve"> investic, zápůjček nebo záruk anebo jiných nástrojů ke sdílení rizik a tam, kde je to vhodné, mohou být spojeny s granty.</w:t>
      </w:r>
    </w:p>
  </w:footnote>
  <w:footnote w:id="44">
    <w:p w14:paraId="37162AB9" w14:textId="77777777" w:rsidR="000B4FD0" w:rsidRPr="00CD2ABA" w:rsidRDefault="000B4FD0" w:rsidP="00CD2ABA">
      <w:pPr>
        <w:pStyle w:val="Textpoznpodarou"/>
        <w:ind w:left="284" w:hanging="284"/>
        <w:rPr>
          <w:rFonts w:asciiTheme="minorHAnsi" w:hAnsiTheme="minorHAnsi" w:cstheme="minorHAnsi"/>
        </w:rPr>
      </w:pPr>
      <w:r w:rsidRPr="00CD2ABA">
        <w:rPr>
          <w:rStyle w:val="Znakapoznpodarou"/>
          <w:rFonts w:asciiTheme="minorHAnsi" w:hAnsiTheme="minorHAnsi" w:cstheme="minorHAnsi"/>
        </w:rPr>
        <w:footnoteRef/>
      </w:r>
      <w:r w:rsidRPr="00CD2A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2ABA">
        <w:rPr>
          <w:rFonts w:asciiTheme="minorHAnsi" w:hAnsiTheme="minorHAnsi" w:cstheme="minorHAnsi"/>
        </w:rPr>
        <w:t>Z</w:t>
      </w:r>
      <w:r w:rsidRPr="00CD2ABA">
        <w:rPr>
          <w:rFonts w:asciiTheme="minorHAnsi" w:hAnsiTheme="minorHAnsi" w:cstheme="minorHAnsi"/>
          <w:iCs/>
        </w:rPr>
        <w:t xml:space="preserve">ákon </w:t>
      </w:r>
      <w:r>
        <w:rPr>
          <w:rFonts w:asciiTheme="minorHAnsi" w:hAnsiTheme="minorHAnsi" w:cstheme="minorHAnsi"/>
          <w:iCs/>
        </w:rPr>
        <w:t xml:space="preserve">České národní rady </w:t>
      </w:r>
      <w:r w:rsidRPr="00CD2ABA">
        <w:rPr>
          <w:rFonts w:asciiTheme="minorHAnsi" w:hAnsiTheme="minorHAnsi" w:cstheme="minorHAnsi"/>
          <w:iCs/>
        </w:rPr>
        <w:t>č. 388/1991 Sb., o Státním fondu životního prostředí České republiky</w:t>
      </w:r>
      <w:r>
        <w:rPr>
          <w:rFonts w:asciiTheme="minorHAnsi" w:hAnsiTheme="minorHAnsi" w:cstheme="minorHAnsi"/>
          <w:iCs/>
        </w:rPr>
        <w:t>.</w:t>
      </w:r>
    </w:p>
  </w:footnote>
  <w:footnote w:id="45">
    <w:p w14:paraId="6871CDC7" w14:textId="03427790" w:rsidR="000B4FD0" w:rsidRPr="00CD2ABA" w:rsidRDefault="000B4FD0" w:rsidP="002E2AA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D2AB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D2ABA">
        <w:rPr>
          <w:rFonts w:asciiTheme="minorHAnsi" w:hAnsiTheme="minorHAnsi" w:cstheme="minorHAnsi"/>
        </w:rPr>
        <w:t>Viz např. kontrolní závěr NKÚ z</w:t>
      </w:r>
      <w:r>
        <w:rPr>
          <w:rFonts w:asciiTheme="minorHAnsi" w:hAnsiTheme="minorHAnsi" w:cstheme="minorHAnsi"/>
        </w:rPr>
        <w:t xml:space="preserve"> </w:t>
      </w:r>
      <w:r w:rsidRPr="00CD2ABA">
        <w:rPr>
          <w:rFonts w:asciiTheme="minorHAnsi" w:hAnsiTheme="minorHAnsi" w:cstheme="minorHAnsi"/>
        </w:rPr>
        <w:t xml:space="preserve">kontrolní akce č. 20/34 </w:t>
      </w:r>
      <w:r w:rsidRPr="006F1E9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AF65F6">
        <w:rPr>
          <w:rFonts w:asciiTheme="minorHAnsi" w:hAnsiTheme="minorHAnsi" w:cstheme="minorHAnsi"/>
          <w:i/>
        </w:rPr>
        <w:t>Závěrečný účet kapitoly státního rozpočtu Ministerstvo průmyslu a obchodu za rok 2020, účetní závěrka Ministerstva průmyslu a obchodu za rok 2020 a</w:t>
      </w:r>
      <w:r>
        <w:rPr>
          <w:rFonts w:asciiTheme="minorHAnsi" w:hAnsiTheme="minorHAnsi" w:cstheme="minorHAnsi"/>
          <w:i/>
        </w:rPr>
        <w:t> </w:t>
      </w:r>
      <w:r w:rsidRPr="00AF65F6">
        <w:rPr>
          <w:rFonts w:asciiTheme="minorHAnsi" w:hAnsiTheme="minorHAnsi" w:cstheme="minorHAnsi"/>
          <w:i/>
        </w:rPr>
        <w:t>údaje předkládané Ministerstvem průmyslu a obchodu pro hodnocení plnění státního rozpočtu za rok 2020</w:t>
      </w:r>
      <w:r w:rsidRPr="00CD2ABA">
        <w:rPr>
          <w:rFonts w:asciiTheme="minorHAnsi" w:hAnsiTheme="minorHAnsi" w:cstheme="minorHAnsi"/>
        </w:rPr>
        <w:t>.</w:t>
      </w:r>
    </w:p>
  </w:footnote>
  <w:footnote w:id="46">
    <w:p w14:paraId="70F02B93" w14:textId="27F1923A" w:rsidR="000B4FD0" w:rsidRPr="00AC2DCF" w:rsidRDefault="000B4FD0" w:rsidP="00E45ADC">
      <w:p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AC2DCF">
        <w:rPr>
          <w:rFonts w:asciiTheme="minorHAnsi" w:hAnsiTheme="minorHAnsi" w:cstheme="minorHAnsi"/>
          <w:sz w:val="20"/>
          <w:szCs w:val="20"/>
        </w:rPr>
        <w:t xml:space="preserve"> </w:t>
      </w:r>
      <w:r w:rsidRPr="00AC2DC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cs-CZ"/>
        </w:rPr>
        <w:t>Tj.</w:t>
      </w:r>
      <w:r w:rsidRPr="00AC2DCF">
        <w:rPr>
          <w:rFonts w:asciiTheme="minorHAnsi" w:hAnsiTheme="minorHAnsi" w:cstheme="minorHAnsi"/>
          <w:sz w:val="20"/>
          <w:szCs w:val="20"/>
          <w:lang w:eastAsia="cs-CZ"/>
        </w:rPr>
        <w:t xml:space="preserve"> ve výši cca 2 % z celkových výdajů, které byly k 31. prosinci 2022 vykázány ve výši </w:t>
      </w:r>
      <w:r>
        <w:rPr>
          <w:rFonts w:asciiTheme="minorHAnsi" w:hAnsiTheme="minorHAnsi" w:cstheme="minorHAnsi"/>
          <w:sz w:val="20"/>
          <w:szCs w:val="20"/>
          <w:lang w:eastAsia="cs-CZ"/>
        </w:rPr>
        <w:t>24,5</w:t>
      </w:r>
      <w:r w:rsidRPr="00AC2DCF">
        <w:rPr>
          <w:rFonts w:asciiTheme="minorHAnsi" w:hAnsiTheme="minorHAnsi" w:cstheme="minorHAnsi"/>
          <w:sz w:val="20"/>
          <w:szCs w:val="20"/>
          <w:lang w:eastAsia="cs-CZ"/>
        </w:rPr>
        <w:t xml:space="preserve"> mld</w:t>
      </w:r>
      <w:r w:rsidRPr="00AC2DCF">
        <w:rPr>
          <w:rFonts w:asciiTheme="minorHAnsi" w:hAnsiTheme="minorHAnsi" w:cstheme="minorHAnsi"/>
          <w:bCs/>
          <w:color w:val="000000"/>
          <w:sz w:val="20"/>
          <w:szCs w:val="20"/>
        </w:rPr>
        <w:t>. Kč</w:t>
      </w:r>
      <w:r w:rsidRPr="00AC2DCF">
        <w:rPr>
          <w:rFonts w:asciiTheme="minorHAnsi" w:hAnsiTheme="minorHAnsi" w:cstheme="minorHAnsi"/>
          <w:sz w:val="20"/>
          <w:szCs w:val="20"/>
          <w:lang w:eastAsia="cs-CZ"/>
        </w:rPr>
        <w:t>.</w:t>
      </w:r>
    </w:p>
  </w:footnote>
  <w:footnote w:id="47">
    <w:p w14:paraId="48C48FE7" w14:textId="77777777" w:rsidR="000B4FD0" w:rsidRPr="000F78D8" w:rsidRDefault="000B4FD0" w:rsidP="000F78D8">
      <w:pPr>
        <w:pStyle w:val="Textpoznpodarou"/>
        <w:ind w:left="284" w:hanging="284"/>
        <w:rPr>
          <w:rFonts w:asciiTheme="minorHAnsi" w:hAnsiTheme="minorHAnsi" w:cstheme="minorHAnsi"/>
          <w:lang w:eastAsia="en-US"/>
        </w:rPr>
      </w:pPr>
      <w:r w:rsidRPr="000F78D8">
        <w:rPr>
          <w:rStyle w:val="Znakapoznpodarou"/>
          <w:rFonts w:asciiTheme="minorHAnsi" w:hAnsiTheme="minorHAnsi" w:cstheme="minorHAnsi"/>
        </w:rPr>
        <w:footnoteRef/>
      </w:r>
      <w:r w:rsidRPr="000F78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F78D8">
        <w:rPr>
          <w:rFonts w:asciiTheme="minorHAnsi" w:hAnsiTheme="minorHAnsi" w:cstheme="minorHAnsi"/>
        </w:rPr>
        <w:t>Netto i brutto hodnota je identická, k účtu nejsou vytvořeny korekce.</w:t>
      </w:r>
    </w:p>
  </w:footnote>
  <w:footnote w:id="48">
    <w:p w14:paraId="37D1612B" w14:textId="77777777" w:rsidR="000B4FD0" w:rsidRPr="000F78D8" w:rsidRDefault="000B4FD0" w:rsidP="000F78D8">
      <w:pPr>
        <w:pStyle w:val="Textpoznpodarou"/>
        <w:ind w:left="284" w:hanging="284"/>
        <w:rPr>
          <w:rFonts w:asciiTheme="minorHAnsi" w:hAnsiTheme="minorHAnsi" w:cstheme="minorHAnsi"/>
        </w:rPr>
      </w:pPr>
      <w:r w:rsidRPr="000F78D8">
        <w:rPr>
          <w:rStyle w:val="Znakapoznpodarou"/>
          <w:rFonts w:asciiTheme="minorHAnsi" w:hAnsiTheme="minorHAnsi" w:cstheme="minorHAnsi"/>
        </w:rPr>
        <w:footnoteRef/>
      </w:r>
      <w:r w:rsidRPr="000F78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F78D8">
        <w:rPr>
          <w:rFonts w:asciiTheme="minorHAnsi" w:hAnsiTheme="minorHAnsi" w:cstheme="minorHAnsi"/>
        </w:rPr>
        <w:t xml:space="preserve">Uveden celý zůstatek účtu k 31. </w:t>
      </w:r>
      <w:r>
        <w:rPr>
          <w:rFonts w:asciiTheme="minorHAnsi" w:hAnsiTheme="minorHAnsi" w:cstheme="minorHAnsi"/>
        </w:rPr>
        <w:t>prosinci</w:t>
      </w:r>
      <w:r w:rsidRPr="000F78D8">
        <w:rPr>
          <w:rFonts w:asciiTheme="minorHAnsi" w:hAnsiTheme="minorHAnsi" w:cstheme="minorHAnsi"/>
        </w:rPr>
        <w:t xml:space="preserve"> 2022, který ale nepředstavuje pouze operace s emisními povolenkami a REP</w:t>
      </w:r>
      <w:r>
        <w:rPr>
          <w:rFonts w:asciiTheme="minorHAnsi" w:hAnsiTheme="minorHAnsi" w:cstheme="minorHAnsi"/>
        </w:rPr>
        <w:t>.</w:t>
      </w:r>
    </w:p>
  </w:footnote>
  <w:footnote w:id="49">
    <w:p w14:paraId="768976B3" w14:textId="77777777" w:rsidR="000B4FD0" w:rsidRPr="000F78D8" w:rsidRDefault="000B4FD0" w:rsidP="000F78D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F78D8">
        <w:rPr>
          <w:rStyle w:val="Znakapoznpodarou"/>
          <w:rFonts w:asciiTheme="minorHAnsi" w:hAnsiTheme="minorHAnsi" w:cstheme="minorHAnsi"/>
        </w:rPr>
        <w:footnoteRef/>
      </w:r>
      <w:r w:rsidRPr="000F78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F78D8">
        <w:rPr>
          <w:rFonts w:asciiTheme="minorHAnsi" w:hAnsiTheme="minorHAnsi" w:cstheme="minorHAnsi"/>
        </w:rPr>
        <w:t>Peněžní báze zachycuje příjmy a výdaje peněžních prostředků</w:t>
      </w:r>
      <w:r>
        <w:rPr>
          <w:rFonts w:asciiTheme="minorHAnsi" w:hAnsiTheme="minorHAnsi" w:cstheme="minorHAnsi"/>
        </w:rPr>
        <w:t>.</w:t>
      </w:r>
    </w:p>
  </w:footnote>
  <w:footnote w:id="50">
    <w:p w14:paraId="129BA731" w14:textId="4362ABF5" w:rsidR="000B4FD0" w:rsidRPr="000F78D8" w:rsidRDefault="000B4FD0" w:rsidP="000F78D8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0F78D8">
        <w:rPr>
          <w:rStyle w:val="Znakapoznpodarou"/>
          <w:rFonts w:asciiTheme="minorHAnsi" w:hAnsiTheme="minorHAnsi" w:cstheme="minorHAnsi"/>
        </w:rPr>
        <w:footnoteRef/>
      </w:r>
      <w:r w:rsidRPr="000F78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F78D8">
        <w:rPr>
          <w:rFonts w:asciiTheme="minorHAnsi" w:hAnsiTheme="minorHAnsi" w:cstheme="minorHAnsi"/>
        </w:rPr>
        <w:t>Akruální báze (nebo také princip, koncept) je jedna ze základních účetních zásad</w:t>
      </w:r>
      <w:r>
        <w:rPr>
          <w:rFonts w:asciiTheme="minorHAnsi" w:hAnsiTheme="minorHAnsi" w:cstheme="minorHAnsi"/>
        </w:rPr>
        <w:t>,</w:t>
      </w:r>
      <w:r w:rsidRPr="000F78D8">
        <w:rPr>
          <w:rFonts w:asciiTheme="minorHAnsi" w:hAnsiTheme="minorHAnsi" w:cstheme="minorHAnsi"/>
        </w:rPr>
        <w:t xml:space="preserve"> spočívá v tom, že náklady a</w:t>
      </w:r>
      <w:r>
        <w:rPr>
          <w:rFonts w:asciiTheme="minorHAnsi" w:hAnsiTheme="minorHAnsi" w:cstheme="minorHAnsi"/>
        </w:rPr>
        <w:t> </w:t>
      </w:r>
      <w:r w:rsidRPr="000F78D8">
        <w:rPr>
          <w:rFonts w:asciiTheme="minorHAnsi" w:hAnsiTheme="minorHAnsi" w:cstheme="minorHAnsi"/>
        </w:rPr>
        <w:t>výnosy se účtují do období, se kterým věcně a časově souvisejí, aniž by bylo bráno v úvahu, kdy došlo k</w:t>
      </w:r>
      <w:r>
        <w:rPr>
          <w:rFonts w:asciiTheme="minorHAnsi" w:hAnsiTheme="minorHAnsi" w:cstheme="minorHAnsi"/>
        </w:rPr>
        <w:t> </w:t>
      </w:r>
      <w:r w:rsidRPr="000F78D8">
        <w:rPr>
          <w:rFonts w:asciiTheme="minorHAnsi" w:hAnsiTheme="minorHAnsi" w:cstheme="minorHAnsi"/>
        </w:rPr>
        <w:t>reálnému pohybu peněz, a zároveň se účtuje o nárocích (pohledávkách) a závazcích.</w:t>
      </w:r>
    </w:p>
  </w:footnote>
  <w:footnote w:id="51">
    <w:p w14:paraId="7869C782" w14:textId="77777777" w:rsidR="000B4FD0" w:rsidRPr="00767D13" w:rsidRDefault="000B4FD0" w:rsidP="00B96907">
      <w:pPr>
        <w:pStyle w:val="Textpoznpodarou"/>
        <w:ind w:left="284" w:hanging="284"/>
        <w:rPr>
          <w:rFonts w:asciiTheme="minorHAnsi" w:hAnsiTheme="minorHAnsi" w:cstheme="minorHAnsi"/>
        </w:rPr>
      </w:pPr>
      <w:r w:rsidRPr="00767D13">
        <w:rPr>
          <w:rStyle w:val="Znakapoznpodarou"/>
          <w:rFonts w:asciiTheme="minorHAnsi" w:hAnsiTheme="minorHAnsi" w:cstheme="minorHAnsi"/>
        </w:rPr>
        <w:footnoteRef/>
      </w:r>
      <w:r w:rsidRPr="00767D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Zákon </w:t>
      </w:r>
      <w:r w:rsidRPr="00767D13">
        <w:rPr>
          <w:rFonts w:asciiTheme="minorHAnsi" w:hAnsiTheme="minorHAnsi" w:cstheme="minorHAnsi"/>
        </w:rPr>
        <w:t>č. 201/2012 Sb., o ochraně ovzduší</w:t>
      </w:r>
      <w:r>
        <w:rPr>
          <w:rFonts w:asciiTheme="minorHAnsi" w:hAnsiTheme="minorHAnsi" w:cstheme="minorHAnsi"/>
        </w:rPr>
        <w:t>.</w:t>
      </w:r>
    </w:p>
  </w:footnote>
  <w:footnote w:id="52">
    <w:p w14:paraId="0D17B5B9" w14:textId="77777777" w:rsidR="000B4FD0" w:rsidRPr="00767D13" w:rsidRDefault="000B4FD0" w:rsidP="00B96907">
      <w:pPr>
        <w:pStyle w:val="Textpoznpodarou"/>
        <w:ind w:left="284" w:hanging="284"/>
        <w:rPr>
          <w:rFonts w:asciiTheme="minorHAnsi" w:hAnsiTheme="minorHAnsi" w:cstheme="minorHAnsi"/>
        </w:rPr>
      </w:pPr>
      <w:r w:rsidRPr="00767D13">
        <w:rPr>
          <w:rStyle w:val="Znakapoznpodarou"/>
          <w:rFonts w:asciiTheme="minorHAnsi" w:hAnsiTheme="minorHAnsi" w:cstheme="minorHAnsi"/>
        </w:rPr>
        <w:footnoteRef/>
      </w:r>
      <w:r w:rsidRPr="00767D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</w:t>
      </w:r>
      <w:r w:rsidRPr="00767D13">
        <w:rPr>
          <w:rFonts w:asciiTheme="minorHAnsi" w:hAnsiTheme="minorHAnsi" w:cstheme="minorHAnsi"/>
        </w:rPr>
        <w:t>ákon č. 44/1988 Sb., o ochraně a využití nerostného bohatství (horní zákon)</w:t>
      </w:r>
      <w:r>
        <w:rPr>
          <w:rFonts w:asciiTheme="minorHAnsi" w:hAnsiTheme="minorHAnsi" w:cstheme="minorHAnsi"/>
        </w:rPr>
        <w:t>.</w:t>
      </w:r>
    </w:p>
  </w:footnote>
  <w:footnote w:id="53">
    <w:p w14:paraId="61A33879" w14:textId="77777777" w:rsidR="000B4FD0" w:rsidRPr="00AC2DCF" w:rsidRDefault="000B4FD0" w:rsidP="0062114B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AC2DCF">
        <w:rPr>
          <w:rStyle w:val="Znakapoznpodarou"/>
          <w:rFonts w:asciiTheme="minorHAnsi" w:hAnsiTheme="minorHAnsi" w:cstheme="minorHAnsi"/>
        </w:rPr>
        <w:footnoteRef/>
      </w:r>
      <w:r w:rsidRPr="00AC2DCF">
        <w:rPr>
          <w:rFonts w:asciiTheme="minorHAnsi" w:hAnsiTheme="minorHAnsi" w:cstheme="minorHAnsi"/>
        </w:rPr>
        <w:t xml:space="preserve"> </w:t>
      </w:r>
      <w:r w:rsidRPr="00AC2DCF">
        <w:rPr>
          <w:rFonts w:asciiTheme="minorHAnsi" w:hAnsiTheme="minorHAnsi" w:cstheme="minorHAnsi"/>
        </w:rPr>
        <w:tab/>
        <w:t>Vyhláška č. 312/2014 Sb., o podmínkách sestavení účetních výkazů za Českou republiku (konsolidační vyhláška státu).</w:t>
      </w:r>
    </w:p>
  </w:footnote>
  <w:footnote w:id="54">
    <w:p w14:paraId="4DBA519F" w14:textId="77777777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 xml:space="preserve">Zejména z transferů a uzavřených smluv, u kterých je úhrada závazku rozpočtována a je jen otázkou času, kdy k plnění dojde. </w:t>
      </w:r>
    </w:p>
  </w:footnote>
  <w:footnote w:id="55">
    <w:p w14:paraId="7FDA2E87" w14:textId="77777777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>Mohou nastat, výsledek ale není pod kontrolou účetní jednotky, a proto pro jednotku představují sledované riziko: např. soudní spory, poskytnuté záruky aj.</w:t>
      </w:r>
    </w:p>
  </w:footnote>
  <w:footnote w:id="56">
    <w:p w14:paraId="7037F537" w14:textId="2A4365CD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 xml:space="preserve">Jsou hypotetické, jejich vznik, a tedy ani plnění nejsou předpokládány – např. náhrada </w:t>
      </w:r>
      <w:r>
        <w:rPr>
          <w:rFonts w:asciiTheme="minorHAnsi" w:hAnsiTheme="minorHAnsi" w:cstheme="minorHAnsi"/>
        </w:rPr>
        <w:t>z</w:t>
      </w:r>
      <w:r w:rsidRPr="00B96907">
        <w:rPr>
          <w:rFonts w:asciiTheme="minorHAnsi" w:hAnsiTheme="minorHAnsi" w:cstheme="minorHAnsi"/>
        </w:rPr>
        <w:t>a případné zničení vypůjčeného majetku.</w:t>
      </w:r>
    </w:p>
  </w:footnote>
  <w:footnote w:id="57">
    <w:p w14:paraId="2DC728B5" w14:textId="76A53AC4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>Zejména z</w:t>
      </w:r>
      <w:r>
        <w:rPr>
          <w:rFonts w:asciiTheme="minorHAnsi" w:hAnsiTheme="minorHAnsi" w:cstheme="minorHAnsi"/>
        </w:rPr>
        <w:t xml:space="preserve"> </w:t>
      </w:r>
      <w:r w:rsidRPr="00B96907">
        <w:rPr>
          <w:rFonts w:asciiTheme="minorHAnsi" w:hAnsiTheme="minorHAnsi" w:cstheme="minorHAnsi"/>
        </w:rPr>
        <w:t>transferů a uzavřených smluv, u kterých je vznik budoucí pohledávky pravděpodobný a je jen otázkou času, kdy k němu dojde.</w:t>
      </w:r>
    </w:p>
  </w:footnote>
  <w:footnote w:id="58">
    <w:p w14:paraId="4C71669E" w14:textId="06F2550D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>Mohou nastat, výsledek ale není pod kontrolou účetní jednotky</w:t>
      </w:r>
      <w:r>
        <w:rPr>
          <w:rFonts w:asciiTheme="minorHAnsi" w:hAnsiTheme="minorHAnsi" w:cstheme="minorHAnsi"/>
        </w:rPr>
        <w:t xml:space="preserve"> (</w:t>
      </w:r>
      <w:r w:rsidRPr="00B96907">
        <w:rPr>
          <w:rFonts w:asciiTheme="minorHAnsi" w:hAnsiTheme="minorHAnsi" w:cstheme="minorHAnsi"/>
        </w:rPr>
        <w:t xml:space="preserve">např. </w:t>
      </w:r>
      <w:r>
        <w:rPr>
          <w:rFonts w:asciiTheme="minorHAnsi" w:hAnsiTheme="minorHAnsi" w:cstheme="minorHAnsi"/>
        </w:rPr>
        <w:t xml:space="preserve">potenciální pohledávky vyplývající ze </w:t>
      </w:r>
      <w:r w:rsidRPr="00B96907">
        <w:rPr>
          <w:rFonts w:asciiTheme="minorHAnsi" w:hAnsiTheme="minorHAnsi" w:cstheme="minorHAnsi"/>
        </w:rPr>
        <w:t>soudní</w:t>
      </w:r>
      <w:r>
        <w:rPr>
          <w:rFonts w:asciiTheme="minorHAnsi" w:hAnsiTheme="minorHAnsi" w:cstheme="minorHAnsi"/>
        </w:rPr>
        <w:t>ch</w:t>
      </w:r>
      <w:r w:rsidRPr="00B96907">
        <w:rPr>
          <w:rFonts w:asciiTheme="minorHAnsi" w:hAnsiTheme="minorHAnsi" w:cstheme="minorHAnsi"/>
        </w:rPr>
        <w:t xml:space="preserve"> spor</w:t>
      </w:r>
      <w:r>
        <w:rPr>
          <w:rFonts w:asciiTheme="minorHAnsi" w:hAnsiTheme="minorHAnsi" w:cstheme="minorHAnsi"/>
        </w:rPr>
        <w:t>ů</w:t>
      </w:r>
      <w:r w:rsidRPr="00B96907">
        <w:rPr>
          <w:rFonts w:asciiTheme="minorHAnsi" w:hAnsiTheme="minorHAnsi" w:cstheme="minorHAnsi"/>
        </w:rPr>
        <w:t xml:space="preserve"> aj.</w:t>
      </w:r>
      <w:r>
        <w:rPr>
          <w:rFonts w:asciiTheme="minorHAnsi" w:hAnsiTheme="minorHAnsi" w:cstheme="minorHAnsi"/>
        </w:rPr>
        <w:t>).</w:t>
      </w:r>
    </w:p>
  </w:footnote>
  <w:footnote w:id="59">
    <w:p w14:paraId="357AA473" w14:textId="19B58AF3" w:rsidR="000B4FD0" w:rsidRPr="00B96907" w:rsidRDefault="000B4FD0" w:rsidP="00B9690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96907">
        <w:rPr>
          <w:rStyle w:val="Znakapoznpodarou"/>
          <w:rFonts w:asciiTheme="minorHAnsi" w:hAnsiTheme="minorHAnsi" w:cstheme="minorHAnsi"/>
        </w:rPr>
        <w:footnoteRef/>
      </w:r>
      <w:r w:rsidRPr="00B969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96907">
        <w:rPr>
          <w:rFonts w:asciiTheme="minorHAnsi" w:hAnsiTheme="minorHAnsi" w:cstheme="minorHAnsi"/>
        </w:rPr>
        <w:t>Jsou hypotetické, jejich vznik, a tedy ani plnění nejsou předpokládány – např. náhrada za případné zničení pronajatého majetku.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565A" w14:textId="77777777" w:rsidR="000B4FD0" w:rsidRDefault="000B4FD0" w:rsidP="00124170">
    <w:pPr>
      <w:pStyle w:val="Zhlav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D84CB" w14:textId="77777777" w:rsidR="000B4FD0" w:rsidRPr="00EB3525" w:rsidRDefault="000B4FD0" w:rsidP="00EB35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763F" w14:textId="77777777" w:rsidR="000B4FD0" w:rsidRPr="002F5988" w:rsidRDefault="000B4FD0" w:rsidP="00DC4A58">
    <w:pPr>
      <w:pStyle w:val="Zhlav"/>
      <w:jc w:val="right"/>
    </w:pPr>
    <w:r>
      <w:t>Příloha č. 1</w:t>
    </w:r>
  </w:p>
  <w:p w14:paraId="08761579" w14:textId="77777777" w:rsidR="000B4FD0" w:rsidRDefault="000B4FD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8B04" w14:textId="77777777" w:rsidR="000B4FD0" w:rsidRDefault="000B4FD0" w:rsidP="00124170">
    <w:pPr>
      <w:pStyle w:val="Zhlav"/>
      <w:tabs>
        <w:tab w:val="clear" w:pos="9072"/>
        <w:tab w:val="right" w:pos="907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2EB8" w14:textId="77777777" w:rsidR="000B4FD0" w:rsidRPr="00EB3525" w:rsidRDefault="000B4FD0" w:rsidP="00EB352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13AB7" w14:textId="77777777" w:rsidR="000B4FD0" w:rsidRPr="00EB3525" w:rsidRDefault="000B4FD0" w:rsidP="00EB3525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9F5C" w14:textId="77777777" w:rsidR="000B4FD0" w:rsidRDefault="000B4F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8C7"/>
    <w:multiLevelType w:val="hybridMultilevel"/>
    <w:tmpl w:val="84D8C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B9A"/>
    <w:multiLevelType w:val="hybridMultilevel"/>
    <w:tmpl w:val="296A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B3E"/>
    <w:multiLevelType w:val="hybridMultilevel"/>
    <w:tmpl w:val="8C727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049"/>
    <w:multiLevelType w:val="hybridMultilevel"/>
    <w:tmpl w:val="9BE06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0690F4E"/>
    <w:multiLevelType w:val="hybridMultilevel"/>
    <w:tmpl w:val="93580786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CB31643"/>
    <w:multiLevelType w:val="hybridMultilevel"/>
    <w:tmpl w:val="93942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243"/>
    <w:multiLevelType w:val="hybridMultilevel"/>
    <w:tmpl w:val="89A4F7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8223F39"/>
    <w:multiLevelType w:val="hybridMultilevel"/>
    <w:tmpl w:val="38A81668"/>
    <w:lvl w:ilvl="0" w:tplc="2BFCAA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03BCF"/>
    <w:multiLevelType w:val="hybridMultilevel"/>
    <w:tmpl w:val="8AA0AA6C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B1B4529"/>
    <w:multiLevelType w:val="hybridMultilevel"/>
    <w:tmpl w:val="FC003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6F2F"/>
    <w:multiLevelType w:val="hybridMultilevel"/>
    <w:tmpl w:val="4ECE846A"/>
    <w:lvl w:ilvl="0" w:tplc="CE2CED6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E02F03C">
      <w:start w:val="1"/>
      <w:numFmt w:val="lowerLetter"/>
      <w:lvlText w:val="%2."/>
      <w:lvlJc w:val="left"/>
      <w:pPr>
        <w:ind w:left="1440" w:hanging="360"/>
      </w:pPr>
    </w:lvl>
    <w:lvl w:ilvl="2" w:tplc="ADE6C7EE" w:tentative="1">
      <w:start w:val="1"/>
      <w:numFmt w:val="lowerRoman"/>
      <w:lvlText w:val="%3."/>
      <w:lvlJc w:val="right"/>
      <w:pPr>
        <w:ind w:left="2160" w:hanging="180"/>
      </w:pPr>
    </w:lvl>
    <w:lvl w:ilvl="3" w:tplc="A98E3622" w:tentative="1">
      <w:start w:val="1"/>
      <w:numFmt w:val="decimal"/>
      <w:lvlText w:val="%4."/>
      <w:lvlJc w:val="left"/>
      <w:pPr>
        <w:ind w:left="2880" w:hanging="360"/>
      </w:pPr>
    </w:lvl>
    <w:lvl w:ilvl="4" w:tplc="FE6AD990" w:tentative="1">
      <w:start w:val="1"/>
      <w:numFmt w:val="lowerLetter"/>
      <w:lvlText w:val="%5."/>
      <w:lvlJc w:val="left"/>
      <w:pPr>
        <w:ind w:left="3600" w:hanging="360"/>
      </w:pPr>
    </w:lvl>
    <w:lvl w:ilvl="5" w:tplc="F84C1D10" w:tentative="1">
      <w:start w:val="1"/>
      <w:numFmt w:val="lowerRoman"/>
      <w:lvlText w:val="%6."/>
      <w:lvlJc w:val="right"/>
      <w:pPr>
        <w:ind w:left="4320" w:hanging="180"/>
      </w:pPr>
    </w:lvl>
    <w:lvl w:ilvl="6" w:tplc="4F10AFD4" w:tentative="1">
      <w:start w:val="1"/>
      <w:numFmt w:val="decimal"/>
      <w:lvlText w:val="%7."/>
      <w:lvlJc w:val="left"/>
      <w:pPr>
        <w:ind w:left="5040" w:hanging="360"/>
      </w:pPr>
    </w:lvl>
    <w:lvl w:ilvl="7" w:tplc="C2E42DB0" w:tentative="1">
      <w:start w:val="1"/>
      <w:numFmt w:val="lowerLetter"/>
      <w:lvlText w:val="%8."/>
      <w:lvlJc w:val="left"/>
      <w:pPr>
        <w:ind w:left="5760" w:hanging="360"/>
      </w:pPr>
    </w:lvl>
    <w:lvl w:ilvl="8" w:tplc="0DF0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1A82"/>
    <w:multiLevelType w:val="multilevel"/>
    <w:tmpl w:val="9ED61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57C7"/>
    <w:multiLevelType w:val="hybridMultilevel"/>
    <w:tmpl w:val="EB28E6B2"/>
    <w:lvl w:ilvl="0" w:tplc="DCBA46E4">
      <w:start w:val="1"/>
      <w:numFmt w:val="bullet"/>
      <w:lvlText w:val="‒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448B"/>
    <w:multiLevelType w:val="hybridMultilevel"/>
    <w:tmpl w:val="9252C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52D"/>
    <w:multiLevelType w:val="hybridMultilevel"/>
    <w:tmpl w:val="16CAA704"/>
    <w:lvl w:ilvl="0" w:tplc="C3CCF4B4">
      <w:start w:val="1"/>
      <w:numFmt w:val="bullet"/>
      <w:lvlText w:val="‒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9396C"/>
    <w:multiLevelType w:val="hybridMultilevel"/>
    <w:tmpl w:val="6932FB46"/>
    <w:lvl w:ilvl="0" w:tplc="6B76004A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7CF7"/>
    <w:multiLevelType w:val="hybridMultilevel"/>
    <w:tmpl w:val="E732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736F1"/>
    <w:multiLevelType w:val="hybridMultilevel"/>
    <w:tmpl w:val="177EC51E"/>
    <w:lvl w:ilvl="0" w:tplc="80465FAE">
      <w:start w:val="2013"/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D456A"/>
    <w:multiLevelType w:val="multilevel"/>
    <w:tmpl w:val="7898BB76"/>
    <w:lvl w:ilvl="0">
      <w:start w:val="1"/>
      <w:numFmt w:val="decimal"/>
      <w:lvlText w:val="%1"/>
      <w:lvlJc w:val="left"/>
      <w:pPr>
        <w:ind w:left="680" w:hanging="396"/>
      </w:pPr>
      <w:rPr>
        <w:rFonts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134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1304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18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2157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5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453"/>
      </w:pPr>
      <w:rPr>
        <w:rFonts w:hint="default"/>
      </w:rPr>
    </w:lvl>
  </w:abstractNum>
  <w:abstractNum w:abstractNumId="22" w15:restartNumberingAfterBreak="0">
    <w:nsid w:val="62104979"/>
    <w:multiLevelType w:val="hybridMultilevel"/>
    <w:tmpl w:val="B4F24C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DF2570"/>
    <w:multiLevelType w:val="hybridMultilevel"/>
    <w:tmpl w:val="C164D0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AA0B9B"/>
    <w:multiLevelType w:val="multilevel"/>
    <w:tmpl w:val="B4F6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FA000D"/>
    <w:multiLevelType w:val="hybridMultilevel"/>
    <w:tmpl w:val="5DB8E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27617"/>
    <w:multiLevelType w:val="hybridMultilevel"/>
    <w:tmpl w:val="68527896"/>
    <w:lvl w:ilvl="0" w:tplc="A2DC7F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6AF1"/>
    <w:multiLevelType w:val="hybridMultilevel"/>
    <w:tmpl w:val="D5EEA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2"/>
  </w:num>
  <w:num w:numId="4">
    <w:abstractNumId w:val="21"/>
  </w:num>
  <w:num w:numId="5">
    <w:abstractNumId w:val="28"/>
  </w:num>
  <w:num w:numId="6">
    <w:abstractNumId w:val="14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9"/>
  </w:num>
  <w:num w:numId="12">
    <w:abstractNumId w:val="4"/>
  </w:num>
  <w:num w:numId="13">
    <w:abstractNumId w:val="11"/>
  </w:num>
  <w:num w:numId="14">
    <w:abstractNumId w:val="3"/>
  </w:num>
  <w:num w:numId="15">
    <w:abstractNumId w:val="25"/>
  </w:num>
  <w:num w:numId="16">
    <w:abstractNumId w:val="16"/>
  </w:num>
  <w:num w:numId="17">
    <w:abstractNumId w:val="1"/>
  </w:num>
  <w:num w:numId="18">
    <w:abstractNumId w:val="6"/>
  </w:num>
  <w:num w:numId="19">
    <w:abstractNumId w:val="20"/>
  </w:num>
  <w:num w:numId="20">
    <w:abstractNumId w:val="18"/>
  </w:num>
  <w:num w:numId="21">
    <w:abstractNumId w:val="27"/>
  </w:num>
  <w:num w:numId="22">
    <w:abstractNumId w:val="8"/>
  </w:num>
  <w:num w:numId="23">
    <w:abstractNumId w:val="22"/>
  </w:num>
  <w:num w:numId="24">
    <w:abstractNumId w:val="23"/>
  </w:num>
  <w:num w:numId="25">
    <w:abstractNumId w:val="26"/>
  </w:num>
  <w:num w:numId="26">
    <w:abstractNumId w:val="9"/>
  </w:num>
  <w:num w:numId="27">
    <w:abstractNumId w:val="10"/>
  </w:num>
  <w:num w:numId="28">
    <w:abstractNumId w:val="17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57A"/>
    <w:rsid w:val="0000091B"/>
    <w:rsid w:val="00000F8C"/>
    <w:rsid w:val="000010CB"/>
    <w:rsid w:val="0000131E"/>
    <w:rsid w:val="000015DC"/>
    <w:rsid w:val="00001659"/>
    <w:rsid w:val="00001D77"/>
    <w:rsid w:val="00002312"/>
    <w:rsid w:val="00002B29"/>
    <w:rsid w:val="00002B9A"/>
    <w:rsid w:val="00002F92"/>
    <w:rsid w:val="000030C9"/>
    <w:rsid w:val="00003812"/>
    <w:rsid w:val="00003878"/>
    <w:rsid w:val="000039E4"/>
    <w:rsid w:val="00003E52"/>
    <w:rsid w:val="00003EC4"/>
    <w:rsid w:val="00003F86"/>
    <w:rsid w:val="000042FB"/>
    <w:rsid w:val="00004461"/>
    <w:rsid w:val="000049A1"/>
    <w:rsid w:val="00004DA7"/>
    <w:rsid w:val="00004EF9"/>
    <w:rsid w:val="000050EC"/>
    <w:rsid w:val="00005413"/>
    <w:rsid w:val="00005AFD"/>
    <w:rsid w:val="000063E0"/>
    <w:rsid w:val="0000654C"/>
    <w:rsid w:val="00006589"/>
    <w:rsid w:val="00006AE8"/>
    <w:rsid w:val="00006F9D"/>
    <w:rsid w:val="000102DC"/>
    <w:rsid w:val="000102EF"/>
    <w:rsid w:val="0001038F"/>
    <w:rsid w:val="00010565"/>
    <w:rsid w:val="00010948"/>
    <w:rsid w:val="00010B7B"/>
    <w:rsid w:val="00010BF4"/>
    <w:rsid w:val="000116D6"/>
    <w:rsid w:val="000116ED"/>
    <w:rsid w:val="000118B2"/>
    <w:rsid w:val="000118FB"/>
    <w:rsid w:val="00012047"/>
    <w:rsid w:val="00012090"/>
    <w:rsid w:val="000121C2"/>
    <w:rsid w:val="00012334"/>
    <w:rsid w:val="00012409"/>
    <w:rsid w:val="0001308F"/>
    <w:rsid w:val="000136D6"/>
    <w:rsid w:val="00013900"/>
    <w:rsid w:val="00013D01"/>
    <w:rsid w:val="00013F4A"/>
    <w:rsid w:val="00014250"/>
    <w:rsid w:val="00014278"/>
    <w:rsid w:val="000148CF"/>
    <w:rsid w:val="00014D77"/>
    <w:rsid w:val="000150C6"/>
    <w:rsid w:val="0001554C"/>
    <w:rsid w:val="00015BEA"/>
    <w:rsid w:val="00015D6E"/>
    <w:rsid w:val="00015EAA"/>
    <w:rsid w:val="00015F85"/>
    <w:rsid w:val="0001655D"/>
    <w:rsid w:val="000176F5"/>
    <w:rsid w:val="000178C8"/>
    <w:rsid w:val="00017CCE"/>
    <w:rsid w:val="00017D5E"/>
    <w:rsid w:val="00017EA4"/>
    <w:rsid w:val="000205FD"/>
    <w:rsid w:val="000206ED"/>
    <w:rsid w:val="000209B1"/>
    <w:rsid w:val="0002107A"/>
    <w:rsid w:val="00021226"/>
    <w:rsid w:val="00022153"/>
    <w:rsid w:val="000221DC"/>
    <w:rsid w:val="00022E16"/>
    <w:rsid w:val="000233DE"/>
    <w:rsid w:val="0002359A"/>
    <w:rsid w:val="00024CEB"/>
    <w:rsid w:val="000254A6"/>
    <w:rsid w:val="00025582"/>
    <w:rsid w:val="00025868"/>
    <w:rsid w:val="000263DE"/>
    <w:rsid w:val="0002674F"/>
    <w:rsid w:val="00026812"/>
    <w:rsid w:val="00026B84"/>
    <w:rsid w:val="00026FB4"/>
    <w:rsid w:val="00027067"/>
    <w:rsid w:val="0002708F"/>
    <w:rsid w:val="000274A8"/>
    <w:rsid w:val="00027C18"/>
    <w:rsid w:val="000305CE"/>
    <w:rsid w:val="00030656"/>
    <w:rsid w:val="00030A71"/>
    <w:rsid w:val="00031611"/>
    <w:rsid w:val="00031D2B"/>
    <w:rsid w:val="00031DBA"/>
    <w:rsid w:val="00031FF6"/>
    <w:rsid w:val="000325A3"/>
    <w:rsid w:val="00033006"/>
    <w:rsid w:val="00033988"/>
    <w:rsid w:val="000339E8"/>
    <w:rsid w:val="000342EB"/>
    <w:rsid w:val="00034564"/>
    <w:rsid w:val="00034649"/>
    <w:rsid w:val="00034672"/>
    <w:rsid w:val="0003469E"/>
    <w:rsid w:val="0003552A"/>
    <w:rsid w:val="00035C23"/>
    <w:rsid w:val="000365ED"/>
    <w:rsid w:val="00036961"/>
    <w:rsid w:val="00036B07"/>
    <w:rsid w:val="000370CC"/>
    <w:rsid w:val="000370E9"/>
    <w:rsid w:val="00037511"/>
    <w:rsid w:val="000377B3"/>
    <w:rsid w:val="00037E92"/>
    <w:rsid w:val="000404C7"/>
    <w:rsid w:val="00040E90"/>
    <w:rsid w:val="0004116C"/>
    <w:rsid w:val="00041308"/>
    <w:rsid w:val="000415DD"/>
    <w:rsid w:val="00041B06"/>
    <w:rsid w:val="00041DA5"/>
    <w:rsid w:val="00042662"/>
    <w:rsid w:val="000428C2"/>
    <w:rsid w:val="00042F32"/>
    <w:rsid w:val="00042F6E"/>
    <w:rsid w:val="0004311E"/>
    <w:rsid w:val="0004377C"/>
    <w:rsid w:val="00043ED9"/>
    <w:rsid w:val="00044446"/>
    <w:rsid w:val="00044496"/>
    <w:rsid w:val="00044685"/>
    <w:rsid w:val="000447A6"/>
    <w:rsid w:val="00044872"/>
    <w:rsid w:val="00044B71"/>
    <w:rsid w:val="00044D82"/>
    <w:rsid w:val="00044F4C"/>
    <w:rsid w:val="0004536D"/>
    <w:rsid w:val="000453AD"/>
    <w:rsid w:val="0004554B"/>
    <w:rsid w:val="0004593F"/>
    <w:rsid w:val="00045D1D"/>
    <w:rsid w:val="00045D4B"/>
    <w:rsid w:val="0004614B"/>
    <w:rsid w:val="00046890"/>
    <w:rsid w:val="00046AB1"/>
    <w:rsid w:val="000471B4"/>
    <w:rsid w:val="000473BB"/>
    <w:rsid w:val="00047B94"/>
    <w:rsid w:val="00050275"/>
    <w:rsid w:val="00050674"/>
    <w:rsid w:val="00050BF8"/>
    <w:rsid w:val="00050E07"/>
    <w:rsid w:val="00050F32"/>
    <w:rsid w:val="00051A3C"/>
    <w:rsid w:val="00051D1C"/>
    <w:rsid w:val="000521DE"/>
    <w:rsid w:val="000521FD"/>
    <w:rsid w:val="00052289"/>
    <w:rsid w:val="0005245C"/>
    <w:rsid w:val="00052B02"/>
    <w:rsid w:val="00052C46"/>
    <w:rsid w:val="00052EE3"/>
    <w:rsid w:val="0005321F"/>
    <w:rsid w:val="00053487"/>
    <w:rsid w:val="0005356E"/>
    <w:rsid w:val="00054219"/>
    <w:rsid w:val="000542D1"/>
    <w:rsid w:val="00054662"/>
    <w:rsid w:val="000547CF"/>
    <w:rsid w:val="000548CE"/>
    <w:rsid w:val="00054A5F"/>
    <w:rsid w:val="00054D70"/>
    <w:rsid w:val="00054DA8"/>
    <w:rsid w:val="00055401"/>
    <w:rsid w:val="00055581"/>
    <w:rsid w:val="000559FC"/>
    <w:rsid w:val="00055EC4"/>
    <w:rsid w:val="000562E0"/>
    <w:rsid w:val="0005659D"/>
    <w:rsid w:val="00056618"/>
    <w:rsid w:val="00056E1C"/>
    <w:rsid w:val="00056E58"/>
    <w:rsid w:val="00056F1A"/>
    <w:rsid w:val="000570C7"/>
    <w:rsid w:val="00057428"/>
    <w:rsid w:val="00057CB7"/>
    <w:rsid w:val="00060485"/>
    <w:rsid w:val="00060CDE"/>
    <w:rsid w:val="000615D0"/>
    <w:rsid w:val="000617D1"/>
    <w:rsid w:val="00062738"/>
    <w:rsid w:val="00063109"/>
    <w:rsid w:val="00063528"/>
    <w:rsid w:val="00063906"/>
    <w:rsid w:val="00063C45"/>
    <w:rsid w:val="00063F65"/>
    <w:rsid w:val="000641B2"/>
    <w:rsid w:val="0006539C"/>
    <w:rsid w:val="00065568"/>
    <w:rsid w:val="000663B6"/>
    <w:rsid w:val="00066AC4"/>
    <w:rsid w:val="00066AD0"/>
    <w:rsid w:val="00066F74"/>
    <w:rsid w:val="00067305"/>
    <w:rsid w:val="000679D3"/>
    <w:rsid w:val="0007038C"/>
    <w:rsid w:val="00071B5F"/>
    <w:rsid w:val="00071E3F"/>
    <w:rsid w:val="000721D8"/>
    <w:rsid w:val="0007244A"/>
    <w:rsid w:val="000728F2"/>
    <w:rsid w:val="00072E4C"/>
    <w:rsid w:val="00073218"/>
    <w:rsid w:val="00073B11"/>
    <w:rsid w:val="00073F3C"/>
    <w:rsid w:val="00073FB4"/>
    <w:rsid w:val="00074148"/>
    <w:rsid w:val="0007439D"/>
    <w:rsid w:val="000744FC"/>
    <w:rsid w:val="00074829"/>
    <w:rsid w:val="0007561C"/>
    <w:rsid w:val="00075A94"/>
    <w:rsid w:val="00075BC6"/>
    <w:rsid w:val="00075CF8"/>
    <w:rsid w:val="00076191"/>
    <w:rsid w:val="00076557"/>
    <w:rsid w:val="00076EA6"/>
    <w:rsid w:val="00076F89"/>
    <w:rsid w:val="000773AB"/>
    <w:rsid w:val="00077ACA"/>
    <w:rsid w:val="00080728"/>
    <w:rsid w:val="00080832"/>
    <w:rsid w:val="00080853"/>
    <w:rsid w:val="00080C2B"/>
    <w:rsid w:val="00080C55"/>
    <w:rsid w:val="0008172A"/>
    <w:rsid w:val="00081853"/>
    <w:rsid w:val="00081916"/>
    <w:rsid w:val="000819E2"/>
    <w:rsid w:val="00081F46"/>
    <w:rsid w:val="00082128"/>
    <w:rsid w:val="000822BF"/>
    <w:rsid w:val="00082B8B"/>
    <w:rsid w:val="00082C74"/>
    <w:rsid w:val="00082D91"/>
    <w:rsid w:val="0008321B"/>
    <w:rsid w:val="000832AF"/>
    <w:rsid w:val="000834FD"/>
    <w:rsid w:val="0008352C"/>
    <w:rsid w:val="00083751"/>
    <w:rsid w:val="0008453D"/>
    <w:rsid w:val="000849FE"/>
    <w:rsid w:val="00084BDF"/>
    <w:rsid w:val="000851F9"/>
    <w:rsid w:val="00085476"/>
    <w:rsid w:val="000855CD"/>
    <w:rsid w:val="0008560C"/>
    <w:rsid w:val="00085C0A"/>
    <w:rsid w:val="00085D01"/>
    <w:rsid w:val="00085F24"/>
    <w:rsid w:val="00086337"/>
    <w:rsid w:val="00086431"/>
    <w:rsid w:val="000867C9"/>
    <w:rsid w:val="00086A73"/>
    <w:rsid w:val="000872BF"/>
    <w:rsid w:val="000878BC"/>
    <w:rsid w:val="00087C24"/>
    <w:rsid w:val="00090591"/>
    <w:rsid w:val="00090AB0"/>
    <w:rsid w:val="00090DB9"/>
    <w:rsid w:val="00090E46"/>
    <w:rsid w:val="00090F01"/>
    <w:rsid w:val="00090FA5"/>
    <w:rsid w:val="00091342"/>
    <w:rsid w:val="00091AD5"/>
    <w:rsid w:val="0009214F"/>
    <w:rsid w:val="0009232A"/>
    <w:rsid w:val="0009258D"/>
    <w:rsid w:val="00092816"/>
    <w:rsid w:val="00092C39"/>
    <w:rsid w:val="00093120"/>
    <w:rsid w:val="00093B70"/>
    <w:rsid w:val="000942C0"/>
    <w:rsid w:val="00094908"/>
    <w:rsid w:val="00094DB4"/>
    <w:rsid w:val="00094EF0"/>
    <w:rsid w:val="00095418"/>
    <w:rsid w:val="000957EE"/>
    <w:rsid w:val="00096715"/>
    <w:rsid w:val="0009689F"/>
    <w:rsid w:val="00096FA3"/>
    <w:rsid w:val="0009702E"/>
    <w:rsid w:val="000973C5"/>
    <w:rsid w:val="00097E88"/>
    <w:rsid w:val="000A06A9"/>
    <w:rsid w:val="000A0E8B"/>
    <w:rsid w:val="000A11F0"/>
    <w:rsid w:val="000A13E8"/>
    <w:rsid w:val="000A1657"/>
    <w:rsid w:val="000A1E9B"/>
    <w:rsid w:val="000A1F8A"/>
    <w:rsid w:val="000A2941"/>
    <w:rsid w:val="000A2B00"/>
    <w:rsid w:val="000A2C62"/>
    <w:rsid w:val="000A36E9"/>
    <w:rsid w:val="000A3E7E"/>
    <w:rsid w:val="000A3F7E"/>
    <w:rsid w:val="000A4006"/>
    <w:rsid w:val="000A4749"/>
    <w:rsid w:val="000A49D5"/>
    <w:rsid w:val="000A4C07"/>
    <w:rsid w:val="000A5061"/>
    <w:rsid w:val="000A5267"/>
    <w:rsid w:val="000A545F"/>
    <w:rsid w:val="000A56F7"/>
    <w:rsid w:val="000A5714"/>
    <w:rsid w:val="000A5A79"/>
    <w:rsid w:val="000A5BDF"/>
    <w:rsid w:val="000A5C4F"/>
    <w:rsid w:val="000A5D44"/>
    <w:rsid w:val="000A5ECA"/>
    <w:rsid w:val="000A5F4A"/>
    <w:rsid w:val="000A61B3"/>
    <w:rsid w:val="000A7032"/>
    <w:rsid w:val="000A7370"/>
    <w:rsid w:val="000A75DF"/>
    <w:rsid w:val="000A78B3"/>
    <w:rsid w:val="000B08C1"/>
    <w:rsid w:val="000B0C14"/>
    <w:rsid w:val="000B0DBC"/>
    <w:rsid w:val="000B169C"/>
    <w:rsid w:val="000B1794"/>
    <w:rsid w:val="000B2041"/>
    <w:rsid w:val="000B2255"/>
    <w:rsid w:val="000B2425"/>
    <w:rsid w:val="000B25A8"/>
    <w:rsid w:val="000B3825"/>
    <w:rsid w:val="000B3B5F"/>
    <w:rsid w:val="000B3BAF"/>
    <w:rsid w:val="000B4ABD"/>
    <w:rsid w:val="000B4B25"/>
    <w:rsid w:val="000B4B91"/>
    <w:rsid w:val="000B4FD0"/>
    <w:rsid w:val="000B531B"/>
    <w:rsid w:val="000B5706"/>
    <w:rsid w:val="000B57EF"/>
    <w:rsid w:val="000B59DC"/>
    <w:rsid w:val="000B5D82"/>
    <w:rsid w:val="000B63A1"/>
    <w:rsid w:val="000B69D9"/>
    <w:rsid w:val="000B78EB"/>
    <w:rsid w:val="000B7B7B"/>
    <w:rsid w:val="000B7E39"/>
    <w:rsid w:val="000B7ED0"/>
    <w:rsid w:val="000C04E6"/>
    <w:rsid w:val="000C06CC"/>
    <w:rsid w:val="000C1D99"/>
    <w:rsid w:val="000C1DDA"/>
    <w:rsid w:val="000C2191"/>
    <w:rsid w:val="000C2C6F"/>
    <w:rsid w:val="000C2C88"/>
    <w:rsid w:val="000C3CE9"/>
    <w:rsid w:val="000C3F19"/>
    <w:rsid w:val="000C454F"/>
    <w:rsid w:val="000C48B1"/>
    <w:rsid w:val="000C499E"/>
    <w:rsid w:val="000C4CB0"/>
    <w:rsid w:val="000C4D25"/>
    <w:rsid w:val="000C591E"/>
    <w:rsid w:val="000C60A3"/>
    <w:rsid w:val="000C629B"/>
    <w:rsid w:val="000C656B"/>
    <w:rsid w:val="000C69E5"/>
    <w:rsid w:val="000C6C3C"/>
    <w:rsid w:val="000C6DC8"/>
    <w:rsid w:val="000C7BCB"/>
    <w:rsid w:val="000C7DE9"/>
    <w:rsid w:val="000C7E19"/>
    <w:rsid w:val="000D06B1"/>
    <w:rsid w:val="000D0E97"/>
    <w:rsid w:val="000D1BFE"/>
    <w:rsid w:val="000D1EC1"/>
    <w:rsid w:val="000D22A5"/>
    <w:rsid w:val="000D2D2B"/>
    <w:rsid w:val="000D2F73"/>
    <w:rsid w:val="000D3481"/>
    <w:rsid w:val="000D3C04"/>
    <w:rsid w:val="000D54F2"/>
    <w:rsid w:val="000D59EF"/>
    <w:rsid w:val="000D628D"/>
    <w:rsid w:val="000D666C"/>
    <w:rsid w:val="000D6F93"/>
    <w:rsid w:val="000D70F7"/>
    <w:rsid w:val="000D72DE"/>
    <w:rsid w:val="000D7369"/>
    <w:rsid w:val="000D791D"/>
    <w:rsid w:val="000D7A6A"/>
    <w:rsid w:val="000D7A9E"/>
    <w:rsid w:val="000D7EB0"/>
    <w:rsid w:val="000E044D"/>
    <w:rsid w:val="000E049D"/>
    <w:rsid w:val="000E04F4"/>
    <w:rsid w:val="000E0723"/>
    <w:rsid w:val="000E082C"/>
    <w:rsid w:val="000E0A92"/>
    <w:rsid w:val="000E0B0D"/>
    <w:rsid w:val="000E0B18"/>
    <w:rsid w:val="000E12F1"/>
    <w:rsid w:val="000E18D0"/>
    <w:rsid w:val="000E1EC2"/>
    <w:rsid w:val="000E220A"/>
    <w:rsid w:val="000E25B5"/>
    <w:rsid w:val="000E2690"/>
    <w:rsid w:val="000E2836"/>
    <w:rsid w:val="000E295D"/>
    <w:rsid w:val="000E31D2"/>
    <w:rsid w:val="000E3621"/>
    <w:rsid w:val="000E38D3"/>
    <w:rsid w:val="000E49EF"/>
    <w:rsid w:val="000E4E62"/>
    <w:rsid w:val="000E4ED7"/>
    <w:rsid w:val="000E4F78"/>
    <w:rsid w:val="000E5E80"/>
    <w:rsid w:val="000E6A7A"/>
    <w:rsid w:val="000E6A8C"/>
    <w:rsid w:val="000E6C03"/>
    <w:rsid w:val="000E7644"/>
    <w:rsid w:val="000E7694"/>
    <w:rsid w:val="000E7D3E"/>
    <w:rsid w:val="000F09F5"/>
    <w:rsid w:val="000F1ACE"/>
    <w:rsid w:val="000F209F"/>
    <w:rsid w:val="000F2220"/>
    <w:rsid w:val="000F25CA"/>
    <w:rsid w:val="000F25E0"/>
    <w:rsid w:val="000F2B19"/>
    <w:rsid w:val="000F3D0A"/>
    <w:rsid w:val="000F3E30"/>
    <w:rsid w:val="000F41FF"/>
    <w:rsid w:val="000F42EF"/>
    <w:rsid w:val="000F449D"/>
    <w:rsid w:val="000F49CB"/>
    <w:rsid w:val="000F542D"/>
    <w:rsid w:val="000F55E2"/>
    <w:rsid w:val="000F5927"/>
    <w:rsid w:val="000F5C65"/>
    <w:rsid w:val="000F635B"/>
    <w:rsid w:val="000F707F"/>
    <w:rsid w:val="000F78D8"/>
    <w:rsid w:val="000F7A2B"/>
    <w:rsid w:val="000F7AA7"/>
    <w:rsid w:val="00100233"/>
    <w:rsid w:val="00100FAA"/>
    <w:rsid w:val="00101036"/>
    <w:rsid w:val="0010125A"/>
    <w:rsid w:val="00101CB1"/>
    <w:rsid w:val="00101CEF"/>
    <w:rsid w:val="0010292B"/>
    <w:rsid w:val="00103B0E"/>
    <w:rsid w:val="00103B3E"/>
    <w:rsid w:val="00103E92"/>
    <w:rsid w:val="00103F84"/>
    <w:rsid w:val="00104283"/>
    <w:rsid w:val="001055C3"/>
    <w:rsid w:val="00105C43"/>
    <w:rsid w:val="00106409"/>
    <w:rsid w:val="00106704"/>
    <w:rsid w:val="001074F1"/>
    <w:rsid w:val="001076FC"/>
    <w:rsid w:val="00107771"/>
    <w:rsid w:val="001077EB"/>
    <w:rsid w:val="00107D39"/>
    <w:rsid w:val="001106BD"/>
    <w:rsid w:val="001118F1"/>
    <w:rsid w:val="00111FB1"/>
    <w:rsid w:val="00112642"/>
    <w:rsid w:val="00112DFF"/>
    <w:rsid w:val="001130AB"/>
    <w:rsid w:val="0011329B"/>
    <w:rsid w:val="001137F7"/>
    <w:rsid w:val="00113B06"/>
    <w:rsid w:val="00113F2D"/>
    <w:rsid w:val="00114033"/>
    <w:rsid w:val="001141E0"/>
    <w:rsid w:val="00114527"/>
    <w:rsid w:val="00114660"/>
    <w:rsid w:val="00114968"/>
    <w:rsid w:val="00115015"/>
    <w:rsid w:val="00115179"/>
    <w:rsid w:val="001158C5"/>
    <w:rsid w:val="00115AEA"/>
    <w:rsid w:val="0011666A"/>
    <w:rsid w:val="00116A85"/>
    <w:rsid w:val="00116DD9"/>
    <w:rsid w:val="00117093"/>
    <w:rsid w:val="0011741A"/>
    <w:rsid w:val="001175F7"/>
    <w:rsid w:val="00120064"/>
    <w:rsid w:val="001202CB"/>
    <w:rsid w:val="00121946"/>
    <w:rsid w:val="00121D77"/>
    <w:rsid w:val="00121D7E"/>
    <w:rsid w:val="0012234B"/>
    <w:rsid w:val="0012286C"/>
    <w:rsid w:val="00122AD9"/>
    <w:rsid w:val="00122BD1"/>
    <w:rsid w:val="00122E3A"/>
    <w:rsid w:val="00122E42"/>
    <w:rsid w:val="001231C4"/>
    <w:rsid w:val="00123758"/>
    <w:rsid w:val="00124170"/>
    <w:rsid w:val="00124183"/>
    <w:rsid w:val="001248DC"/>
    <w:rsid w:val="00124A9F"/>
    <w:rsid w:val="00124C3F"/>
    <w:rsid w:val="00124CA1"/>
    <w:rsid w:val="00124FA7"/>
    <w:rsid w:val="0012538B"/>
    <w:rsid w:val="001256DB"/>
    <w:rsid w:val="0012623F"/>
    <w:rsid w:val="0012627E"/>
    <w:rsid w:val="00126542"/>
    <w:rsid w:val="00126597"/>
    <w:rsid w:val="0012677A"/>
    <w:rsid w:val="001268C7"/>
    <w:rsid w:val="00127270"/>
    <w:rsid w:val="001276E3"/>
    <w:rsid w:val="001305BC"/>
    <w:rsid w:val="00130CCE"/>
    <w:rsid w:val="00131465"/>
    <w:rsid w:val="001316F9"/>
    <w:rsid w:val="001317BD"/>
    <w:rsid w:val="001318BD"/>
    <w:rsid w:val="0013191D"/>
    <w:rsid w:val="00131FBF"/>
    <w:rsid w:val="0013203D"/>
    <w:rsid w:val="001322A8"/>
    <w:rsid w:val="00132721"/>
    <w:rsid w:val="001327CC"/>
    <w:rsid w:val="00133A17"/>
    <w:rsid w:val="00133CBE"/>
    <w:rsid w:val="00133D36"/>
    <w:rsid w:val="001343CE"/>
    <w:rsid w:val="001344EE"/>
    <w:rsid w:val="00134B8F"/>
    <w:rsid w:val="00135042"/>
    <w:rsid w:val="00135658"/>
    <w:rsid w:val="00135727"/>
    <w:rsid w:val="00135C15"/>
    <w:rsid w:val="00135C1E"/>
    <w:rsid w:val="00136983"/>
    <w:rsid w:val="00136A02"/>
    <w:rsid w:val="00137C89"/>
    <w:rsid w:val="00141652"/>
    <w:rsid w:val="001416E0"/>
    <w:rsid w:val="00141ABF"/>
    <w:rsid w:val="00141F5F"/>
    <w:rsid w:val="00142297"/>
    <w:rsid w:val="0014261B"/>
    <w:rsid w:val="001426BF"/>
    <w:rsid w:val="001426DD"/>
    <w:rsid w:val="001430BE"/>
    <w:rsid w:val="001433FE"/>
    <w:rsid w:val="001441BA"/>
    <w:rsid w:val="00144E09"/>
    <w:rsid w:val="00144E9E"/>
    <w:rsid w:val="0014591C"/>
    <w:rsid w:val="00145A5B"/>
    <w:rsid w:val="00145A5E"/>
    <w:rsid w:val="001468C2"/>
    <w:rsid w:val="00146B0E"/>
    <w:rsid w:val="00147136"/>
    <w:rsid w:val="00147308"/>
    <w:rsid w:val="00147320"/>
    <w:rsid w:val="00147575"/>
    <w:rsid w:val="00147CF6"/>
    <w:rsid w:val="0015019D"/>
    <w:rsid w:val="00150253"/>
    <w:rsid w:val="0015058F"/>
    <w:rsid w:val="00150A18"/>
    <w:rsid w:val="00151165"/>
    <w:rsid w:val="001519E4"/>
    <w:rsid w:val="00151EFB"/>
    <w:rsid w:val="00152790"/>
    <w:rsid w:val="0015279D"/>
    <w:rsid w:val="00152A8D"/>
    <w:rsid w:val="00152AD3"/>
    <w:rsid w:val="00152D15"/>
    <w:rsid w:val="00153444"/>
    <w:rsid w:val="001535D0"/>
    <w:rsid w:val="00153EAA"/>
    <w:rsid w:val="00153FEB"/>
    <w:rsid w:val="00154191"/>
    <w:rsid w:val="00154952"/>
    <w:rsid w:val="00154ED5"/>
    <w:rsid w:val="001555A0"/>
    <w:rsid w:val="001556C6"/>
    <w:rsid w:val="0015589D"/>
    <w:rsid w:val="00155A2A"/>
    <w:rsid w:val="00155F56"/>
    <w:rsid w:val="0015643B"/>
    <w:rsid w:val="00156820"/>
    <w:rsid w:val="001569F8"/>
    <w:rsid w:val="00156C48"/>
    <w:rsid w:val="00157675"/>
    <w:rsid w:val="001579AE"/>
    <w:rsid w:val="00157F5E"/>
    <w:rsid w:val="001601CC"/>
    <w:rsid w:val="001604D9"/>
    <w:rsid w:val="00160F7E"/>
    <w:rsid w:val="00161C6F"/>
    <w:rsid w:val="00161F5E"/>
    <w:rsid w:val="0016246A"/>
    <w:rsid w:val="001629E7"/>
    <w:rsid w:val="00163B83"/>
    <w:rsid w:val="00163BB7"/>
    <w:rsid w:val="00163CD9"/>
    <w:rsid w:val="001645E7"/>
    <w:rsid w:val="00164B81"/>
    <w:rsid w:val="00164D18"/>
    <w:rsid w:val="0016566E"/>
    <w:rsid w:val="001658FB"/>
    <w:rsid w:val="00165A56"/>
    <w:rsid w:val="00166481"/>
    <w:rsid w:val="0016709F"/>
    <w:rsid w:val="00167536"/>
    <w:rsid w:val="0016764F"/>
    <w:rsid w:val="00167779"/>
    <w:rsid w:val="001677FE"/>
    <w:rsid w:val="0017012E"/>
    <w:rsid w:val="00171017"/>
    <w:rsid w:val="00171491"/>
    <w:rsid w:val="00171682"/>
    <w:rsid w:val="00172348"/>
    <w:rsid w:val="0017305E"/>
    <w:rsid w:val="00173AB3"/>
    <w:rsid w:val="001746CB"/>
    <w:rsid w:val="00174F1F"/>
    <w:rsid w:val="001755B0"/>
    <w:rsid w:val="001755E8"/>
    <w:rsid w:val="00175789"/>
    <w:rsid w:val="00175C4F"/>
    <w:rsid w:val="00175DD4"/>
    <w:rsid w:val="00175EAB"/>
    <w:rsid w:val="00175F87"/>
    <w:rsid w:val="00176D6E"/>
    <w:rsid w:val="00176EDB"/>
    <w:rsid w:val="0017780A"/>
    <w:rsid w:val="00177BB7"/>
    <w:rsid w:val="00180384"/>
    <w:rsid w:val="00180B90"/>
    <w:rsid w:val="00180BF7"/>
    <w:rsid w:val="00180F04"/>
    <w:rsid w:val="00181225"/>
    <w:rsid w:val="00181402"/>
    <w:rsid w:val="00181725"/>
    <w:rsid w:val="00181B91"/>
    <w:rsid w:val="0018212D"/>
    <w:rsid w:val="001823A6"/>
    <w:rsid w:val="0018243E"/>
    <w:rsid w:val="00182811"/>
    <w:rsid w:val="00182A77"/>
    <w:rsid w:val="00182CAD"/>
    <w:rsid w:val="00182DA3"/>
    <w:rsid w:val="00182ED1"/>
    <w:rsid w:val="00183A42"/>
    <w:rsid w:val="00183D64"/>
    <w:rsid w:val="00183E45"/>
    <w:rsid w:val="001842ED"/>
    <w:rsid w:val="00184895"/>
    <w:rsid w:val="001848D6"/>
    <w:rsid w:val="00184BF9"/>
    <w:rsid w:val="0018590A"/>
    <w:rsid w:val="001866A7"/>
    <w:rsid w:val="00186742"/>
    <w:rsid w:val="00186EEC"/>
    <w:rsid w:val="00186F3C"/>
    <w:rsid w:val="00187AEF"/>
    <w:rsid w:val="00187C99"/>
    <w:rsid w:val="0019138B"/>
    <w:rsid w:val="0019140B"/>
    <w:rsid w:val="0019218B"/>
    <w:rsid w:val="001922C8"/>
    <w:rsid w:val="0019297D"/>
    <w:rsid w:val="00192BAA"/>
    <w:rsid w:val="001937B5"/>
    <w:rsid w:val="001937CB"/>
    <w:rsid w:val="00193A3D"/>
    <w:rsid w:val="0019444D"/>
    <w:rsid w:val="00194BE1"/>
    <w:rsid w:val="00194BE8"/>
    <w:rsid w:val="00194E00"/>
    <w:rsid w:val="00195A45"/>
    <w:rsid w:val="00196188"/>
    <w:rsid w:val="0019650F"/>
    <w:rsid w:val="0019652C"/>
    <w:rsid w:val="001967A4"/>
    <w:rsid w:val="00196835"/>
    <w:rsid w:val="00196BE6"/>
    <w:rsid w:val="00196CE6"/>
    <w:rsid w:val="00196D13"/>
    <w:rsid w:val="00197FB2"/>
    <w:rsid w:val="001A07D1"/>
    <w:rsid w:val="001A1027"/>
    <w:rsid w:val="001A1065"/>
    <w:rsid w:val="001A123E"/>
    <w:rsid w:val="001A164B"/>
    <w:rsid w:val="001A227D"/>
    <w:rsid w:val="001A2699"/>
    <w:rsid w:val="001A2929"/>
    <w:rsid w:val="001A3387"/>
    <w:rsid w:val="001A391B"/>
    <w:rsid w:val="001A3920"/>
    <w:rsid w:val="001A3A51"/>
    <w:rsid w:val="001A447E"/>
    <w:rsid w:val="001A4824"/>
    <w:rsid w:val="001A482C"/>
    <w:rsid w:val="001A49C5"/>
    <w:rsid w:val="001A4B3A"/>
    <w:rsid w:val="001A5200"/>
    <w:rsid w:val="001A58EA"/>
    <w:rsid w:val="001A5B5F"/>
    <w:rsid w:val="001A5FB6"/>
    <w:rsid w:val="001A601C"/>
    <w:rsid w:val="001A6174"/>
    <w:rsid w:val="001A6A35"/>
    <w:rsid w:val="001A6D72"/>
    <w:rsid w:val="001A7309"/>
    <w:rsid w:val="001A730F"/>
    <w:rsid w:val="001A77C1"/>
    <w:rsid w:val="001A79A3"/>
    <w:rsid w:val="001B0329"/>
    <w:rsid w:val="001B06A1"/>
    <w:rsid w:val="001B0BE7"/>
    <w:rsid w:val="001B1165"/>
    <w:rsid w:val="001B189F"/>
    <w:rsid w:val="001B19A8"/>
    <w:rsid w:val="001B1CD4"/>
    <w:rsid w:val="001B2E9E"/>
    <w:rsid w:val="001B35D3"/>
    <w:rsid w:val="001B35E0"/>
    <w:rsid w:val="001B393B"/>
    <w:rsid w:val="001B3F5D"/>
    <w:rsid w:val="001B4272"/>
    <w:rsid w:val="001B461B"/>
    <w:rsid w:val="001B48A7"/>
    <w:rsid w:val="001B4D88"/>
    <w:rsid w:val="001B5272"/>
    <w:rsid w:val="001B571E"/>
    <w:rsid w:val="001B5B1F"/>
    <w:rsid w:val="001B5FEE"/>
    <w:rsid w:val="001B654E"/>
    <w:rsid w:val="001B65AD"/>
    <w:rsid w:val="001B67E6"/>
    <w:rsid w:val="001B6B19"/>
    <w:rsid w:val="001B6F75"/>
    <w:rsid w:val="001B711C"/>
    <w:rsid w:val="001B76BE"/>
    <w:rsid w:val="001B791D"/>
    <w:rsid w:val="001B7A5B"/>
    <w:rsid w:val="001B7E21"/>
    <w:rsid w:val="001B7E65"/>
    <w:rsid w:val="001C0001"/>
    <w:rsid w:val="001C088A"/>
    <w:rsid w:val="001C0B74"/>
    <w:rsid w:val="001C1977"/>
    <w:rsid w:val="001C1C2E"/>
    <w:rsid w:val="001C2B16"/>
    <w:rsid w:val="001C2E0D"/>
    <w:rsid w:val="001C2F89"/>
    <w:rsid w:val="001C3B96"/>
    <w:rsid w:val="001C3BBD"/>
    <w:rsid w:val="001C456E"/>
    <w:rsid w:val="001C48EB"/>
    <w:rsid w:val="001C492F"/>
    <w:rsid w:val="001C4B29"/>
    <w:rsid w:val="001C4BBF"/>
    <w:rsid w:val="001C555C"/>
    <w:rsid w:val="001C649A"/>
    <w:rsid w:val="001C7145"/>
    <w:rsid w:val="001C718B"/>
    <w:rsid w:val="001C7DCC"/>
    <w:rsid w:val="001C7E3B"/>
    <w:rsid w:val="001C7EAA"/>
    <w:rsid w:val="001D0A2A"/>
    <w:rsid w:val="001D0B2E"/>
    <w:rsid w:val="001D0C3D"/>
    <w:rsid w:val="001D0C7F"/>
    <w:rsid w:val="001D10FA"/>
    <w:rsid w:val="001D163A"/>
    <w:rsid w:val="001D1680"/>
    <w:rsid w:val="001D19C3"/>
    <w:rsid w:val="001D1E4D"/>
    <w:rsid w:val="001D24A7"/>
    <w:rsid w:val="001D24FB"/>
    <w:rsid w:val="001D2A6F"/>
    <w:rsid w:val="001D2F47"/>
    <w:rsid w:val="001D2FF8"/>
    <w:rsid w:val="001D3546"/>
    <w:rsid w:val="001D3757"/>
    <w:rsid w:val="001D383E"/>
    <w:rsid w:val="001D3AF5"/>
    <w:rsid w:val="001D4050"/>
    <w:rsid w:val="001D4561"/>
    <w:rsid w:val="001D4AAF"/>
    <w:rsid w:val="001D4C2D"/>
    <w:rsid w:val="001D5309"/>
    <w:rsid w:val="001D57E4"/>
    <w:rsid w:val="001D794A"/>
    <w:rsid w:val="001D7EAE"/>
    <w:rsid w:val="001E0061"/>
    <w:rsid w:val="001E0315"/>
    <w:rsid w:val="001E0C8B"/>
    <w:rsid w:val="001E0CB2"/>
    <w:rsid w:val="001E1607"/>
    <w:rsid w:val="001E1956"/>
    <w:rsid w:val="001E1D5A"/>
    <w:rsid w:val="001E2092"/>
    <w:rsid w:val="001E2A9D"/>
    <w:rsid w:val="001E2F46"/>
    <w:rsid w:val="001E389E"/>
    <w:rsid w:val="001E416B"/>
    <w:rsid w:val="001E43F6"/>
    <w:rsid w:val="001E453B"/>
    <w:rsid w:val="001E45D2"/>
    <w:rsid w:val="001E4748"/>
    <w:rsid w:val="001E4832"/>
    <w:rsid w:val="001E54E4"/>
    <w:rsid w:val="001E58E4"/>
    <w:rsid w:val="001E5A98"/>
    <w:rsid w:val="001E5C3B"/>
    <w:rsid w:val="001E5E41"/>
    <w:rsid w:val="001E63C1"/>
    <w:rsid w:val="001E641B"/>
    <w:rsid w:val="001E668D"/>
    <w:rsid w:val="001E68B2"/>
    <w:rsid w:val="001E68F5"/>
    <w:rsid w:val="001E6D4C"/>
    <w:rsid w:val="001E6D9E"/>
    <w:rsid w:val="001E76D5"/>
    <w:rsid w:val="001E79D0"/>
    <w:rsid w:val="001E7AE0"/>
    <w:rsid w:val="001E7D4B"/>
    <w:rsid w:val="001E7FFC"/>
    <w:rsid w:val="001F0066"/>
    <w:rsid w:val="001F0BB9"/>
    <w:rsid w:val="001F0BC1"/>
    <w:rsid w:val="001F1A92"/>
    <w:rsid w:val="001F1F57"/>
    <w:rsid w:val="001F217D"/>
    <w:rsid w:val="001F24A6"/>
    <w:rsid w:val="001F264B"/>
    <w:rsid w:val="001F2AF2"/>
    <w:rsid w:val="001F2B6C"/>
    <w:rsid w:val="001F3453"/>
    <w:rsid w:val="001F396F"/>
    <w:rsid w:val="001F3DD9"/>
    <w:rsid w:val="001F41D0"/>
    <w:rsid w:val="001F445D"/>
    <w:rsid w:val="001F4BFD"/>
    <w:rsid w:val="001F4F92"/>
    <w:rsid w:val="001F559B"/>
    <w:rsid w:val="001F5A2A"/>
    <w:rsid w:val="001F5A3B"/>
    <w:rsid w:val="001F6076"/>
    <w:rsid w:val="001F6159"/>
    <w:rsid w:val="001F6607"/>
    <w:rsid w:val="001F68CD"/>
    <w:rsid w:val="001F711E"/>
    <w:rsid w:val="001F740C"/>
    <w:rsid w:val="001F78DB"/>
    <w:rsid w:val="001F7AB7"/>
    <w:rsid w:val="0020003C"/>
    <w:rsid w:val="00200185"/>
    <w:rsid w:val="0020035A"/>
    <w:rsid w:val="002007B3"/>
    <w:rsid w:val="002008C3"/>
    <w:rsid w:val="002010CA"/>
    <w:rsid w:val="00201480"/>
    <w:rsid w:val="002014C2"/>
    <w:rsid w:val="00201BAE"/>
    <w:rsid w:val="00201C4F"/>
    <w:rsid w:val="00201CD3"/>
    <w:rsid w:val="00202AEC"/>
    <w:rsid w:val="00202D4D"/>
    <w:rsid w:val="00202E1D"/>
    <w:rsid w:val="00202F91"/>
    <w:rsid w:val="00203788"/>
    <w:rsid w:val="002038B2"/>
    <w:rsid w:val="00203DF0"/>
    <w:rsid w:val="00203F77"/>
    <w:rsid w:val="00204070"/>
    <w:rsid w:val="0020473E"/>
    <w:rsid w:val="0020520F"/>
    <w:rsid w:val="002053F1"/>
    <w:rsid w:val="002055DA"/>
    <w:rsid w:val="002058A5"/>
    <w:rsid w:val="002059FD"/>
    <w:rsid w:val="00205C1D"/>
    <w:rsid w:val="00205DE4"/>
    <w:rsid w:val="0020630C"/>
    <w:rsid w:val="002065FA"/>
    <w:rsid w:val="00206C3F"/>
    <w:rsid w:val="00206F66"/>
    <w:rsid w:val="0020701F"/>
    <w:rsid w:val="0020705B"/>
    <w:rsid w:val="002072B8"/>
    <w:rsid w:val="002073BC"/>
    <w:rsid w:val="0020792D"/>
    <w:rsid w:val="00207A52"/>
    <w:rsid w:val="00207AE7"/>
    <w:rsid w:val="00207EEB"/>
    <w:rsid w:val="0021020D"/>
    <w:rsid w:val="0021095E"/>
    <w:rsid w:val="00210B80"/>
    <w:rsid w:val="00210EA9"/>
    <w:rsid w:val="00211287"/>
    <w:rsid w:val="002112A1"/>
    <w:rsid w:val="00211708"/>
    <w:rsid w:val="00211909"/>
    <w:rsid w:val="00211E0B"/>
    <w:rsid w:val="00212478"/>
    <w:rsid w:val="0021388F"/>
    <w:rsid w:val="002141AD"/>
    <w:rsid w:val="0021422E"/>
    <w:rsid w:val="002142FC"/>
    <w:rsid w:val="00214446"/>
    <w:rsid w:val="002145B6"/>
    <w:rsid w:val="00215612"/>
    <w:rsid w:val="00215616"/>
    <w:rsid w:val="00215974"/>
    <w:rsid w:val="002178EA"/>
    <w:rsid w:val="002202D3"/>
    <w:rsid w:val="0022055C"/>
    <w:rsid w:val="00220657"/>
    <w:rsid w:val="00220FB8"/>
    <w:rsid w:val="00221698"/>
    <w:rsid w:val="00221B06"/>
    <w:rsid w:val="00221E5F"/>
    <w:rsid w:val="00221ED8"/>
    <w:rsid w:val="00222CF2"/>
    <w:rsid w:val="002231D5"/>
    <w:rsid w:val="002239F2"/>
    <w:rsid w:val="00223C06"/>
    <w:rsid w:val="00223E25"/>
    <w:rsid w:val="00224178"/>
    <w:rsid w:val="00224342"/>
    <w:rsid w:val="00224417"/>
    <w:rsid w:val="00224CFA"/>
    <w:rsid w:val="0022512B"/>
    <w:rsid w:val="002255A2"/>
    <w:rsid w:val="002256BA"/>
    <w:rsid w:val="00225771"/>
    <w:rsid w:val="002257CC"/>
    <w:rsid w:val="00225E1A"/>
    <w:rsid w:val="002263EC"/>
    <w:rsid w:val="00226BA6"/>
    <w:rsid w:val="00227273"/>
    <w:rsid w:val="002272FC"/>
    <w:rsid w:val="00227A36"/>
    <w:rsid w:val="00230275"/>
    <w:rsid w:val="00230568"/>
    <w:rsid w:val="00230724"/>
    <w:rsid w:val="00230AA0"/>
    <w:rsid w:val="00230C75"/>
    <w:rsid w:val="002310EC"/>
    <w:rsid w:val="00231A23"/>
    <w:rsid w:val="00231E37"/>
    <w:rsid w:val="00232029"/>
    <w:rsid w:val="00232234"/>
    <w:rsid w:val="002322B2"/>
    <w:rsid w:val="00232A76"/>
    <w:rsid w:val="00232D4C"/>
    <w:rsid w:val="00232F32"/>
    <w:rsid w:val="00233035"/>
    <w:rsid w:val="00233606"/>
    <w:rsid w:val="00233B65"/>
    <w:rsid w:val="00233F17"/>
    <w:rsid w:val="00234399"/>
    <w:rsid w:val="002352D7"/>
    <w:rsid w:val="00235911"/>
    <w:rsid w:val="00235924"/>
    <w:rsid w:val="0023597E"/>
    <w:rsid w:val="0023599C"/>
    <w:rsid w:val="00235BAE"/>
    <w:rsid w:val="00236288"/>
    <w:rsid w:val="002363A3"/>
    <w:rsid w:val="00236493"/>
    <w:rsid w:val="00236760"/>
    <w:rsid w:val="002367E7"/>
    <w:rsid w:val="00236DA8"/>
    <w:rsid w:val="00236DCF"/>
    <w:rsid w:val="00237D37"/>
    <w:rsid w:val="0024097D"/>
    <w:rsid w:val="00241495"/>
    <w:rsid w:val="0024175E"/>
    <w:rsid w:val="00241B52"/>
    <w:rsid w:val="00241BCB"/>
    <w:rsid w:val="00241C95"/>
    <w:rsid w:val="002424FC"/>
    <w:rsid w:val="0024277A"/>
    <w:rsid w:val="00243109"/>
    <w:rsid w:val="00243613"/>
    <w:rsid w:val="00243661"/>
    <w:rsid w:val="0024378E"/>
    <w:rsid w:val="00243906"/>
    <w:rsid w:val="00243A2D"/>
    <w:rsid w:val="00243D16"/>
    <w:rsid w:val="00244B9B"/>
    <w:rsid w:val="00245288"/>
    <w:rsid w:val="002454E6"/>
    <w:rsid w:val="00245850"/>
    <w:rsid w:val="002468A1"/>
    <w:rsid w:val="00246FCB"/>
    <w:rsid w:val="00247040"/>
    <w:rsid w:val="00247441"/>
    <w:rsid w:val="002477D6"/>
    <w:rsid w:val="00247804"/>
    <w:rsid w:val="0024784B"/>
    <w:rsid w:val="00247A0D"/>
    <w:rsid w:val="00247A8C"/>
    <w:rsid w:val="00247AFD"/>
    <w:rsid w:val="00247C94"/>
    <w:rsid w:val="00247EF9"/>
    <w:rsid w:val="002500C2"/>
    <w:rsid w:val="0025010E"/>
    <w:rsid w:val="00250115"/>
    <w:rsid w:val="002513FC"/>
    <w:rsid w:val="0025166D"/>
    <w:rsid w:val="002516C5"/>
    <w:rsid w:val="00252262"/>
    <w:rsid w:val="00252999"/>
    <w:rsid w:val="00252BC7"/>
    <w:rsid w:val="00252CA2"/>
    <w:rsid w:val="00252E43"/>
    <w:rsid w:val="00253B9C"/>
    <w:rsid w:val="00253D78"/>
    <w:rsid w:val="0025480F"/>
    <w:rsid w:val="00254A73"/>
    <w:rsid w:val="0025514A"/>
    <w:rsid w:val="002553C7"/>
    <w:rsid w:val="00255EB2"/>
    <w:rsid w:val="002560D8"/>
    <w:rsid w:val="002565D8"/>
    <w:rsid w:val="00256992"/>
    <w:rsid w:val="002576B1"/>
    <w:rsid w:val="00260562"/>
    <w:rsid w:val="00260714"/>
    <w:rsid w:val="00261144"/>
    <w:rsid w:val="00261A10"/>
    <w:rsid w:val="00261C03"/>
    <w:rsid w:val="00261E6F"/>
    <w:rsid w:val="00261EB6"/>
    <w:rsid w:val="00261F08"/>
    <w:rsid w:val="00262A5E"/>
    <w:rsid w:val="002633BE"/>
    <w:rsid w:val="00263AF9"/>
    <w:rsid w:val="00263E20"/>
    <w:rsid w:val="00263FC0"/>
    <w:rsid w:val="002640B7"/>
    <w:rsid w:val="00264952"/>
    <w:rsid w:val="00264B64"/>
    <w:rsid w:val="00264E89"/>
    <w:rsid w:val="002653B6"/>
    <w:rsid w:val="0026553D"/>
    <w:rsid w:val="0026684F"/>
    <w:rsid w:val="002668D3"/>
    <w:rsid w:val="0026773F"/>
    <w:rsid w:val="00267A31"/>
    <w:rsid w:val="00267DF1"/>
    <w:rsid w:val="0027012B"/>
    <w:rsid w:val="002701E8"/>
    <w:rsid w:val="00270555"/>
    <w:rsid w:val="002705EA"/>
    <w:rsid w:val="002706A7"/>
    <w:rsid w:val="00270CEC"/>
    <w:rsid w:val="00270EFB"/>
    <w:rsid w:val="00271621"/>
    <w:rsid w:val="002723E3"/>
    <w:rsid w:val="0027260F"/>
    <w:rsid w:val="00273C0E"/>
    <w:rsid w:val="002748AE"/>
    <w:rsid w:val="00274A10"/>
    <w:rsid w:val="00274F84"/>
    <w:rsid w:val="00275193"/>
    <w:rsid w:val="00276907"/>
    <w:rsid w:val="00276D18"/>
    <w:rsid w:val="00276D86"/>
    <w:rsid w:val="00276FF1"/>
    <w:rsid w:val="002771EA"/>
    <w:rsid w:val="00277EF8"/>
    <w:rsid w:val="0028022D"/>
    <w:rsid w:val="002806CD"/>
    <w:rsid w:val="00280716"/>
    <w:rsid w:val="00280738"/>
    <w:rsid w:val="002807DA"/>
    <w:rsid w:val="00280913"/>
    <w:rsid w:val="00280CE6"/>
    <w:rsid w:val="002811B0"/>
    <w:rsid w:val="00281339"/>
    <w:rsid w:val="00281B56"/>
    <w:rsid w:val="00281BAF"/>
    <w:rsid w:val="0028239D"/>
    <w:rsid w:val="00282745"/>
    <w:rsid w:val="00282A5D"/>
    <w:rsid w:val="00282CC9"/>
    <w:rsid w:val="00282DD5"/>
    <w:rsid w:val="00282F47"/>
    <w:rsid w:val="00282F61"/>
    <w:rsid w:val="002831E1"/>
    <w:rsid w:val="0028335E"/>
    <w:rsid w:val="00283E98"/>
    <w:rsid w:val="00283F9D"/>
    <w:rsid w:val="00283FE5"/>
    <w:rsid w:val="00284065"/>
    <w:rsid w:val="00284336"/>
    <w:rsid w:val="0028508F"/>
    <w:rsid w:val="002856DF"/>
    <w:rsid w:val="00285731"/>
    <w:rsid w:val="00285875"/>
    <w:rsid w:val="00285B82"/>
    <w:rsid w:val="00285C02"/>
    <w:rsid w:val="00286527"/>
    <w:rsid w:val="00286962"/>
    <w:rsid w:val="00286992"/>
    <w:rsid w:val="00286A25"/>
    <w:rsid w:val="00286B8D"/>
    <w:rsid w:val="00286E63"/>
    <w:rsid w:val="00287593"/>
    <w:rsid w:val="00287651"/>
    <w:rsid w:val="00287DDE"/>
    <w:rsid w:val="00290260"/>
    <w:rsid w:val="002902ED"/>
    <w:rsid w:val="002902F1"/>
    <w:rsid w:val="0029075C"/>
    <w:rsid w:val="00290CBF"/>
    <w:rsid w:val="00291417"/>
    <w:rsid w:val="002914B3"/>
    <w:rsid w:val="00291E47"/>
    <w:rsid w:val="002922C5"/>
    <w:rsid w:val="00292355"/>
    <w:rsid w:val="0029287A"/>
    <w:rsid w:val="0029328F"/>
    <w:rsid w:val="0029370C"/>
    <w:rsid w:val="002940F9"/>
    <w:rsid w:val="00294E64"/>
    <w:rsid w:val="00295087"/>
    <w:rsid w:val="0029520A"/>
    <w:rsid w:val="00295A93"/>
    <w:rsid w:val="00295B5D"/>
    <w:rsid w:val="00295EFC"/>
    <w:rsid w:val="0029650F"/>
    <w:rsid w:val="00296AA5"/>
    <w:rsid w:val="00297661"/>
    <w:rsid w:val="0029772B"/>
    <w:rsid w:val="002977A4"/>
    <w:rsid w:val="00297A1A"/>
    <w:rsid w:val="00297BF1"/>
    <w:rsid w:val="00297D3D"/>
    <w:rsid w:val="002A0082"/>
    <w:rsid w:val="002A02FE"/>
    <w:rsid w:val="002A0552"/>
    <w:rsid w:val="002A08FF"/>
    <w:rsid w:val="002A091A"/>
    <w:rsid w:val="002A130C"/>
    <w:rsid w:val="002A1679"/>
    <w:rsid w:val="002A17EA"/>
    <w:rsid w:val="002A18C3"/>
    <w:rsid w:val="002A1F17"/>
    <w:rsid w:val="002A20E9"/>
    <w:rsid w:val="002A2279"/>
    <w:rsid w:val="002A28B1"/>
    <w:rsid w:val="002A2937"/>
    <w:rsid w:val="002A2B35"/>
    <w:rsid w:val="002A2D90"/>
    <w:rsid w:val="002A39A3"/>
    <w:rsid w:val="002A3A62"/>
    <w:rsid w:val="002A3B98"/>
    <w:rsid w:val="002A4667"/>
    <w:rsid w:val="002A46D6"/>
    <w:rsid w:val="002A4A03"/>
    <w:rsid w:val="002A4B22"/>
    <w:rsid w:val="002A4CFB"/>
    <w:rsid w:val="002A5276"/>
    <w:rsid w:val="002A60BD"/>
    <w:rsid w:val="002A6437"/>
    <w:rsid w:val="002A6752"/>
    <w:rsid w:val="002A6C4B"/>
    <w:rsid w:val="002A7059"/>
    <w:rsid w:val="002A706D"/>
    <w:rsid w:val="002A77B5"/>
    <w:rsid w:val="002A7B0C"/>
    <w:rsid w:val="002B0534"/>
    <w:rsid w:val="002B0775"/>
    <w:rsid w:val="002B0C1D"/>
    <w:rsid w:val="002B1337"/>
    <w:rsid w:val="002B21B2"/>
    <w:rsid w:val="002B25DC"/>
    <w:rsid w:val="002B2AA7"/>
    <w:rsid w:val="002B2D52"/>
    <w:rsid w:val="002B33D1"/>
    <w:rsid w:val="002B33E9"/>
    <w:rsid w:val="002B3676"/>
    <w:rsid w:val="002B3F57"/>
    <w:rsid w:val="002B4541"/>
    <w:rsid w:val="002B48A1"/>
    <w:rsid w:val="002B4ACE"/>
    <w:rsid w:val="002B4BE1"/>
    <w:rsid w:val="002B4FE0"/>
    <w:rsid w:val="002B5103"/>
    <w:rsid w:val="002B520E"/>
    <w:rsid w:val="002B593E"/>
    <w:rsid w:val="002B59BC"/>
    <w:rsid w:val="002B5BBD"/>
    <w:rsid w:val="002B5BE9"/>
    <w:rsid w:val="002B5E89"/>
    <w:rsid w:val="002B6311"/>
    <w:rsid w:val="002B6406"/>
    <w:rsid w:val="002B6C82"/>
    <w:rsid w:val="002B70D5"/>
    <w:rsid w:val="002B738A"/>
    <w:rsid w:val="002B7978"/>
    <w:rsid w:val="002B79CD"/>
    <w:rsid w:val="002B7BDF"/>
    <w:rsid w:val="002B7E11"/>
    <w:rsid w:val="002B7F11"/>
    <w:rsid w:val="002C0371"/>
    <w:rsid w:val="002C0562"/>
    <w:rsid w:val="002C06ED"/>
    <w:rsid w:val="002C113A"/>
    <w:rsid w:val="002C1255"/>
    <w:rsid w:val="002C1426"/>
    <w:rsid w:val="002C1566"/>
    <w:rsid w:val="002C1F2D"/>
    <w:rsid w:val="002C1FF8"/>
    <w:rsid w:val="002C2062"/>
    <w:rsid w:val="002C3AA9"/>
    <w:rsid w:val="002C3C7D"/>
    <w:rsid w:val="002C4053"/>
    <w:rsid w:val="002C44C1"/>
    <w:rsid w:val="002C4512"/>
    <w:rsid w:val="002C45B7"/>
    <w:rsid w:val="002C4FDC"/>
    <w:rsid w:val="002C53E3"/>
    <w:rsid w:val="002C561D"/>
    <w:rsid w:val="002C58BB"/>
    <w:rsid w:val="002C5952"/>
    <w:rsid w:val="002C5963"/>
    <w:rsid w:val="002C5BF8"/>
    <w:rsid w:val="002C5DFF"/>
    <w:rsid w:val="002C610A"/>
    <w:rsid w:val="002C616D"/>
    <w:rsid w:val="002C6339"/>
    <w:rsid w:val="002C640D"/>
    <w:rsid w:val="002C6539"/>
    <w:rsid w:val="002C659F"/>
    <w:rsid w:val="002C66A8"/>
    <w:rsid w:val="002C6A7C"/>
    <w:rsid w:val="002C6DBA"/>
    <w:rsid w:val="002C6F17"/>
    <w:rsid w:val="002C7334"/>
    <w:rsid w:val="002C7709"/>
    <w:rsid w:val="002C78CF"/>
    <w:rsid w:val="002D08FC"/>
    <w:rsid w:val="002D0B15"/>
    <w:rsid w:val="002D0C97"/>
    <w:rsid w:val="002D0F71"/>
    <w:rsid w:val="002D139F"/>
    <w:rsid w:val="002D24CD"/>
    <w:rsid w:val="002D2A4C"/>
    <w:rsid w:val="002D30C7"/>
    <w:rsid w:val="002D3495"/>
    <w:rsid w:val="002D35E9"/>
    <w:rsid w:val="002D4109"/>
    <w:rsid w:val="002D42BE"/>
    <w:rsid w:val="002D451F"/>
    <w:rsid w:val="002D454E"/>
    <w:rsid w:val="002D48CE"/>
    <w:rsid w:val="002D5086"/>
    <w:rsid w:val="002D512A"/>
    <w:rsid w:val="002D5D34"/>
    <w:rsid w:val="002D5FA0"/>
    <w:rsid w:val="002D6989"/>
    <w:rsid w:val="002D6C5A"/>
    <w:rsid w:val="002D7DF3"/>
    <w:rsid w:val="002E0571"/>
    <w:rsid w:val="002E06B3"/>
    <w:rsid w:val="002E090C"/>
    <w:rsid w:val="002E0E60"/>
    <w:rsid w:val="002E0FF5"/>
    <w:rsid w:val="002E16B9"/>
    <w:rsid w:val="002E1B90"/>
    <w:rsid w:val="002E1E39"/>
    <w:rsid w:val="002E291B"/>
    <w:rsid w:val="002E2AA9"/>
    <w:rsid w:val="002E2B4E"/>
    <w:rsid w:val="002E2B50"/>
    <w:rsid w:val="002E2CFA"/>
    <w:rsid w:val="002E324C"/>
    <w:rsid w:val="002E36EA"/>
    <w:rsid w:val="002E38EF"/>
    <w:rsid w:val="002E391D"/>
    <w:rsid w:val="002E391F"/>
    <w:rsid w:val="002E41BB"/>
    <w:rsid w:val="002E46CB"/>
    <w:rsid w:val="002E4A55"/>
    <w:rsid w:val="002E4D79"/>
    <w:rsid w:val="002E54F7"/>
    <w:rsid w:val="002E55E4"/>
    <w:rsid w:val="002E5FCA"/>
    <w:rsid w:val="002E71F6"/>
    <w:rsid w:val="002E74EE"/>
    <w:rsid w:val="002E75BF"/>
    <w:rsid w:val="002E76A7"/>
    <w:rsid w:val="002E78A7"/>
    <w:rsid w:val="002E7E66"/>
    <w:rsid w:val="002F02D9"/>
    <w:rsid w:val="002F03D1"/>
    <w:rsid w:val="002F05A9"/>
    <w:rsid w:val="002F13D4"/>
    <w:rsid w:val="002F196C"/>
    <w:rsid w:val="002F19A3"/>
    <w:rsid w:val="002F222D"/>
    <w:rsid w:val="002F271F"/>
    <w:rsid w:val="002F2E23"/>
    <w:rsid w:val="002F321A"/>
    <w:rsid w:val="002F375E"/>
    <w:rsid w:val="002F38D0"/>
    <w:rsid w:val="002F5061"/>
    <w:rsid w:val="002F5762"/>
    <w:rsid w:val="002F584E"/>
    <w:rsid w:val="002F62E6"/>
    <w:rsid w:val="002F660E"/>
    <w:rsid w:val="002F6F90"/>
    <w:rsid w:val="002F71C4"/>
    <w:rsid w:val="002F7BA5"/>
    <w:rsid w:val="003008F2"/>
    <w:rsid w:val="00300DE8"/>
    <w:rsid w:val="00301691"/>
    <w:rsid w:val="003026D8"/>
    <w:rsid w:val="00302EA8"/>
    <w:rsid w:val="0030330B"/>
    <w:rsid w:val="003033EF"/>
    <w:rsid w:val="00303714"/>
    <w:rsid w:val="00303AD6"/>
    <w:rsid w:val="00303BD9"/>
    <w:rsid w:val="00303DE9"/>
    <w:rsid w:val="00303DFA"/>
    <w:rsid w:val="00303FB3"/>
    <w:rsid w:val="0030463F"/>
    <w:rsid w:val="00304A16"/>
    <w:rsid w:val="003060FB"/>
    <w:rsid w:val="003061F0"/>
    <w:rsid w:val="003065EB"/>
    <w:rsid w:val="003065F1"/>
    <w:rsid w:val="00306A28"/>
    <w:rsid w:val="00306CED"/>
    <w:rsid w:val="00306DB7"/>
    <w:rsid w:val="00307089"/>
    <w:rsid w:val="00307092"/>
    <w:rsid w:val="0030739F"/>
    <w:rsid w:val="003074CF"/>
    <w:rsid w:val="003079CC"/>
    <w:rsid w:val="00307A16"/>
    <w:rsid w:val="00310273"/>
    <w:rsid w:val="0031115F"/>
    <w:rsid w:val="003125AE"/>
    <w:rsid w:val="003135C0"/>
    <w:rsid w:val="00313968"/>
    <w:rsid w:val="0031446D"/>
    <w:rsid w:val="00314558"/>
    <w:rsid w:val="0031459F"/>
    <w:rsid w:val="0031551F"/>
    <w:rsid w:val="00315816"/>
    <w:rsid w:val="00315B0B"/>
    <w:rsid w:val="00315F85"/>
    <w:rsid w:val="00315FB7"/>
    <w:rsid w:val="0031628A"/>
    <w:rsid w:val="0031647C"/>
    <w:rsid w:val="00316530"/>
    <w:rsid w:val="003165D4"/>
    <w:rsid w:val="00316BCB"/>
    <w:rsid w:val="00317CA9"/>
    <w:rsid w:val="00317CD3"/>
    <w:rsid w:val="00317E2B"/>
    <w:rsid w:val="00317FCB"/>
    <w:rsid w:val="003204F4"/>
    <w:rsid w:val="00320FC2"/>
    <w:rsid w:val="003211FC"/>
    <w:rsid w:val="00321595"/>
    <w:rsid w:val="003216DC"/>
    <w:rsid w:val="00323277"/>
    <w:rsid w:val="00323475"/>
    <w:rsid w:val="003238E9"/>
    <w:rsid w:val="00323ED7"/>
    <w:rsid w:val="00324328"/>
    <w:rsid w:val="00325142"/>
    <w:rsid w:val="003252EC"/>
    <w:rsid w:val="00325610"/>
    <w:rsid w:val="00325D2E"/>
    <w:rsid w:val="0032611A"/>
    <w:rsid w:val="00326274"/>
    <w:rsid w:val="00326719"/>
    <w:rsid w:val="00326D70"/>
    <w:rsid w:val="00326FC7"/>
    <w:rsid w:val="003271E7"/>
    <w:rsid w:val="003275F1"/>
    <w:rsid w:val="0032762F"/>
    <w:rsid w:val="00330263"/>
    <w:rsid w:val="003308F0"/>
    <w:rsid w:val="003309DF"/>
    <w:rsid w:val="003311E2"/>
    <w:rsid w:val="00331658"/>
    <w:rsid w:val="003319DD"/>
    <w:rsid w:val="003319F8"/>
    <w:rsid w:val="0033247B"/>
    <w:rsid w:val="00333E78"/>
    <w:rsid w:val="00333F86"/>
    <w:rsid w:val="00334041"/>
    <w:rsid w:val="003341E5"/>
    <w:rsid w:val="0033466E"/>
    <w:rsid w:val="00334C15"/>
    <w:rsid w:val="00334D28"/>
    <w:rsid w:val="003356AC"/>
    <w:rsid w:val="00335A64"/>
    <w:rsid w:val="0033650C"/>
    <w:rsid w:val="003367E9"/>
    <w:rsid w:val="00336C97"/>
    <w:rsid w:val="00336FCE"/>
    <w:rsid w:val="0033740F"/>
    <w:rsid w:val="00337885"/>
    <w:rsid w:val="00337CCB"/>
    <w:rsid w:val="0034002E"/>
    <w:rsid w:val="003403DF"/>
    <w:rsid w:val="003411FB"/>
    <w:rsid w:val="0034133D"/>
    <w:rsid w:val="003416B1"/>
    <w:rsid w:val="0034190C"/>
    <w:rsid w:val="00341D71"/>
    <w:rsid w:val="00341F93"/>
    <w:rsid w:val="0034228F"/>
    <w:rsid w:val="003422CC"/>
    <w:rsid w:val="00342586"/>
    <w:rsid w:val="003426E4"/>
    <w:rsid w:val="00342E28"/>
    <w:rsid w:val="003430D6"/>
    <w:rsid w:val="003432D5"/>
    <w:rsid w:val="0034386F"/>
    <w:rsid w:val="00343AB1"/>
    <w:rsid w:val="00343EC8"/>
    <w:rsid w:val="003444C4"/>
    <w:rsid w:val="00344662"/>
    <w:rsid w:val="0034549B"/>
    <w:rsid w:val="00346ADF"/>
    <w:rsid w:val="00346E29"/>
    <w:rsid w:val="0034738E"/>
    <w:rsid w:val="00347457"/>
    <w:rsid w:val="003479E5"/>
    <w:rsid w:val="00347A93"/>
    <w:rsid w:val="00347EDF"/>
    <w:rsid w:val="003500C8"/>
    <w:rsid w:val="0035024E"/>
    <w:rsid w:val="003502B3"/>
    <w:rsid w:val="00350785"/>
    <w:rsid w:val="00350CE5"/>
    <w:rsid w:val="00351AE6"/>
    <w:rsid w:val="0035229C"/>
    <w:rsid w:val="00352670"/>
    <w:rsid w:val="003539A6"/>
    <w:rsid w:val="00354344"/>
    <w:rsid w:val="00354510"/>
    <w:rsid w:val="003546DF"/>
    <w:rsid w:val="00354B16"/>
    <w:rsid w:val="0035533B"/>
    <w:rsid w:val="00355950"/>
    <w:rsid w:val="00355AB0"/>
    <w:rsid w:val="00356B7D"/>
    <w:rsid w:val="00356C5B"/>
    <w:rsid w:val="00356C66"/>
    <w:rsid w:val="003570EC"/>
    <w:rsid w:val="00357503"/>
    <w:rsid w:val="00357B9C"/>
    <w:rsid w:val="00357F64"/>
    <w:rsid w:val="00360A91"/>
    <w:rsid w:val="00360D8E"/>
    <w:rsid w:val="0036124F"/>
    <w:rsid w:val="00361537"/>
    <w:rsid w:val="00361C7A"/>
    <w:rsid w:val="00362548"/>
    <w:rsid w:val="003634E8"/>
    <w:rsid w:val="003637BB"/>
    <w:rsid w:val="00363867"/>
    <w:rsid w:val="003640D1"/>
    <w:rsid w:val="00364606"/>
    <w:rsid w:val="00364649"/>
    <w:rsid w:val="00364878"/>
    <w:rsid w:val="00364A5C"/>
    <w:rsid w:val="00364FBA"/>
    <w:rsid w:val="00365115"/>
    <w:rsid w:val="003652CE"/>
    <w:rsid w:val="00365903"/>
    <w:rsid w:val="00365AD9"/>
    <w:rsid w:val="00366026"/>
    <w:rsid w:val="0036604E"/>
    <w:rsid w:val="00366204"/>
    <w:rsid w:val="00366365"/>
    <w:rsid w:val="003664A1"/>
    <w:rsid w:val="00366983"/>
    <w:rsid w:val="00366B32"/>
    <w:rsid w:val="00366BC2"/>
    <w:rsid w:val="00366F60"/>
    <w:rsid w:val="0036729E"/>
    <w:rsid w:val="00367CD1"/>
    <w:rsid w:val="00367E2A"/>
    <w:rsid w:val="00370481"/>
    <w:rsid w:val="00370489"/>
    <w:rsid w:val="00370637"/>
    <w:rsid w:val="00370C46"/>
    <w:rsid w:val="00370E6F"/>
    <w:rsid w:val="00371092"/>
    <w:rsid w:val="0037115E"/>
    <w:rsid w:val="003715A0"/>
    <w:rsid w:val="00371BF4"/>
    <w:rsid w:val="00371D47"/>
    <w:rsid w:val="00371E79"/>
    <w:rsid w:val="00372237"/>
    <w:rsid w:val="0037290B"/>
    <w:rsid w:val="00372E24"/>
    <w:rsid w:val="00373044"/>
    <w:rsid w:val="00373721"/>
    <w:rsid w:val="003738A8"/>
    <w:rsid w:val="00373F7B"/>
    <w:rsid w:val="003741DC"/>
    <w:rsid w:val="00374646"/>
    <w:rsid w:val="00375032"/>
    <w:rsid w:val="003759B6"/>
    <w:rsid w:val="00375A81"/>
    <w:rsid w:val="00376456"/>
    <w:rsid w:val="00376FAE"/>
    <w:rsid w:val="0037709C"/>
    <w:rsid w:val="00377130"/>
    <w:rsid w:val="00377159"/>
    <w:rsid w:val="00377243"/>
    <w:rsid w:val="0037750C"/>
    <w:rsid w:val="00377C5F"/>
    <w:rsid w:val="00380469"/>
    <w:rsid w:val="003804FB"/>
    <w:rsid w:val="00380502"/>
    <w:rsid w:val="0038058B"/>
    <w:rsid w:val="00380685"/>
    <w:rsid w:val="003808DA"/>
    <w:rsid w:val="00380FFF"/>
    <w:rsid w:val="0038145B"/>
    <w:rsid w:val="00381D52"/>
    <w:rsid w:val="00381DAD"/>
    <w:rsid w:val="003823BD"/>
    <w:rsid w:val="00382976"/>
    <w:rsid w:val="00382B05"/>
    <w:rsid w:val="00382BBC"/>
    <w:rsid w:val="00382FBD"/>
    <w:rsid w:val="0038314C"/>
    <w:rsid w:val="0038329D"/>
    <w:rsid w:val="00383540"/>
    <w:rsid w:val="0038395C"/>
    <w:rsid w:val="00383F1A"/>
    <w:rsid w:val="003841A5"/>
    <w:rsid w:val="0038445D"/>
    <w:rsid w:val="00385396"/>
    <w:rsid w:val="00385C17"/>
    <w:rsid w:val="003861AF"/>
    <w:rsid w:val="003862F0"/>
    <w:rsid w:val="00386BD3"/>
    <w:rsid w:val="00387118"/>
    <w:rsid w:val="00387263"/>
    <w:rsid w:val="00387290"/>
    <w:rsid w:val="003873A4"/>
    <w:rsid w:val="00387654"/>
    <w:rsid w:val="003879E9"/>
    <w:rsid w:val="00387A0E"/>
    <w:rsid w:val="00387D65"/>
    <w:rsid w:val="00390044"/>
    <w:rsid w:val="0039075E"/>
    <w:rsid w:val="0039087D"/>
    <w:rsid w:val="00391B34"/>
    <w:rsid w:val="00391C54"/>
    <w:rsid w:val="003921D0"/>
    <w:rsid w:val="00392303"/>
    <w:rsid w:val="00392434"/>
    <w:rsid w:val="003929D8"/>
    <w:rsid w:val="00393170"/>
    <w:rsid w:val="00393398"/>
    <w:rsid w:val="003933AB"/>
    <w:rsid w:val="00393A72"/>
    <w:rsid w:val="003942AE"/>
    <w:rsid w:val="003948F4"/>
    <w:rsid w:val="00395031"/>
    <w:rsid w:val="003950D9"/>
    <w:rsid w:val="00395544"/>
    <w:rsid w:val="003957E2"/>
    <w:rsid w:val="00395ED1"/>
    <w:rsid w:val="0039625C"/>
    <w:rsid w:val="003964D2"/>
    <w:rsid w:val="00396FF7"/>
    <w:rsid w:val="00397517"/>
    <w:rsid w:val="00397AD4"/>
    <w:rsid w:val="00397C78"/>
    <w:rsid w:val="00397C93"/>
    <w:rsid w:val="003A00C2"/>
    <w:rsid w:val="003A0216"/>
    <w:rsid w:val="003A04B9"/>
    <w:rsid w:val="003A0501"/>
    <w:rsid w:val="003A0800"/>
    <w:rsid w:val="003A1E97"/>
    <w:rsid w:val="003A21C5"/>
    <w:rsid w:val="003A22A7"/>
    <w:rsid w:val="003A2302"/>
    <w:rsid w:val="003A237C"/>
    <w:rsid w:val="003A2BAB"/>
    <w:rsid w:val="003A2FA5"/>
    <w:rsid w:val="003A3161"/>
    <w:rsid w:val="003A3224"/>
    <w:rsid w:val="003A3AFF"/>
    <w:rsid w:val="003A4395"/>
    <w:rsid w:val="003A4602"/>
    <w:rsid w:val="003A4862"/>
    <w:rsid w:val="003A4B77"/>
    <w:rsid w:val="003A5587"/>
    <w:rsid w:val="003A5F72"/>
    <w:rsid w:val="003A61A5"/>
    <w:rsid w:val="003A6213"/>
    <w:rsid w:val="003A6939"/>
    <w:rsid w:val="003A6C7D"/>
    <w:rsid w:val="003A6E50"/>
    <w:rsid w:val="003A72B7"/>
    <w:rsid w:val="003A73DD"/>
    <w:rsid w:val="003A73FE"/>
    <w:rsid w:val="003A78E6"/>
    <w:rsid w:val="003B0354"/>
    <w:rsid w:val="003B09A2"/>
    <w:rsid w:val="003B0AC7"/>
    <w:rsid w:val="003B0AF7"/>
    <w:rsid w:val="003B0C90"/>
    <w:rsid w:val="003B0E12"/>
    <w:rsid w:val="003B0F9A"/>
    <w:rsid w:val="003B1447"/>
    <w:rsid w:val="003B2121"/>
    <w:rsid w:val="003B21F7"/>
    <w:rsid w:val="003B23D8"/>
    <w:rsid w:val="003B2AF1"/>
    <w:rsid w:val="003B2F3E"/>
    <w:rsid w:val="003B32FC"/>
    <w:rsid w:val="003B3341"/>
    <w:rsid w:val="003B36C3"/>
    <w:rsid w:val="003B392E"/>
    <w:rsid w:val="003B3B2E"/>
    <w:rsid w:val="003B42BC"/>
    <w:rsid w:val="003B4E0F"/>
    <w:rsid w:val="003B54C8"/>
    <w:rsid w:val="003B5B51"/>
    <w:rsid w:val="003B5E7F"/>
    <w:rsid w:val="003B61DA"/>
    <w:rsid w:val="003B6303"/>
    <w:rsid w:val="003B668F"/>
    <w:rsid w:val="003B6769"/>
    <w:rsid w:val="003B699F"/>
    <w:rsid w:val="003B6CDF"/>
    <w:rsid w:val="003B702B"/>
    <w:rsid w:val="003B7324"/>
    <w:rsid w:val="003B7413"/>
    <w:rsid w:val="003B7895"/>
    <w:rsid w:val="003C023B"/>
    <w:rsid w:val="003C0A57"/>
    <w:rsid w:val="003C1171"/>
    <w:rsid w:val="003C1E0F"/>
    <w:rsid w:val="003C1E64"/>
    <w:rsid w:val="003C1FEE"/>
    <w:rsid w:val="003C21D3"/>
    <w:rsid w:val="003C2AF9"/>
    <w:rsid w:val="003C30C4"/>
    <w:rsid w:val="003C3550"/>
    <w:rsid w:val="003C3C48"/>
    <w:rsid w:val="003C3F82"/>
    <w:rsid w:val="003C3FA7"/>
    <w:rsid w:val="003C41D5"/>
    <w:rsid w:val="003C481A"/>
    <w:rsid w:val="003C4974"/>
    <w:rsid w:val="003C4CE5"/>
    <w:rsid w:val="003C506F"/>
    <w:rsid w:val="003C52CA"/>
    <w:rsid w:val="003C5AF5"/>
    <w:rsid w:val="003C6B59"/>
    <w:rsid w:val="003C6C3A"/>
    <w:rsid w:val="003C6E4B"/>
    <w:rsid w:val="003C7251"/>
    <w:rsid w:val="003C72BE"/>
    <w:rsid w:val="003C7827"/>
    <w:rsid w:val="003C7D04"/>
    <w:rsid w:val="003C7EA9"/>
    <w:rsid w:val="003D0007"/>
    <w:rsid w:val="003D0A7A"/>
    <w:rsid w:val="003D0BF4"/>
    <w:rsid w:val="003D0D8A"/>
    <w:rsid w:val="003D138C"/>
    <w:rsid w:val="003D167A"/>
    <w:rsid w:val="003D2077"/>
    <w:rsid w:val="003D2108"/>
    <w:rsid w:val="003D2240"/>
    <w:rsid w:val="003D22BE"/>
    <w:rsid w:val="003D2549"/>
    <w:rsid w:val="003D2874"/>
    <w:rsid w:val="003D2AEE"/>
    <w:rsid w:val="003D2C17"/>
    <w:rsid w:val="003D2CF9"/>
    <w:rsid w:val="003D308A"/>
    <w:rsid w:val="003D3350"/>
    <w:rsid w:val="003D3386"/>
    <w:rsid w:val="003D4130"/>
    <w:rsid w:val="003D43EB"/>
    <w:rsid w:val="003D4818"/>
    <w:rsid w:val="003D49A3"/>
    <w:rsid w:val="003D4CF9"/>
    <w:rsid w:val="003D5176"/>
    <w:rsid w:val="003D5740"/>
    <w:rsid w:val="003D5825"/>
    <w:rsid w:val="003D5A11"/>
    <w:rsid w:val="003D5D9E"/>
    <w:rsid w:val="003D6316"/>
    <w:rsid w:val="003D7BCD"/>
    <w:rsid w:val="003D7DD3"/>
    <w:rsid w:val="003D7F0F"/>
    <w:rsid w:val="003E0084"/>
    <w:rsid w:val="003E0CEF"/>
    <w:rsid w:val="003E0E52"/>
    <w:rsid w:val="003E12C8"/>
    <w:rsid w:val="003E1666"/>
    <w:rsid w:val="003E177A"/>
    <w:rsid w:val="003E1793"/>
    <w:rsid w:val="003E18C8"/>
    <w:rsid w:val="003E1B2F"/>
    <w:rsid w:val="003E1DB6"/>
    <w:rsid w:val="003E1E3D"/>
    <w:rsid w:val="003E2252"/>
    <w:rsid w:val="003E2779"/>
    <w:rsid w:val="003E298D"/>
    <w:rsid w:val="003E39EB"/>
    <w:rsid w:val="003E3BFD"/>
    <w:rsid w:val="003E3D74"/>
    <w:rsid w:val="003E466F"/>
    <w:rsid w:val="003E4AEB"/>
    <w:rsid w:val="003E4D46"/>
    <w:rsid w:val="003E5981"/>
    <w:rsid w:val="003E5E47"/>
    <w:rsid w:val="003E5F30"/>
    <w:rsid w:val="003E5FE8"/>
    <w:rsid w:val="003E60DB"/>
    <w:rsid w:val="003E66A9"/>
    <w:rsid w:val="003E6E79"/>
    <w:rsid w:val="003E71FF"/>
    <w:rsid w:val="003E75D3"/>
    <w:rsid w:val="003E7636"/>
    <w:rsid w:val="003E7A96"/>
    <w:rsid w:val="003F0136"/>
    <w:rsid w:val="003F0198"/>
    <w:rsid w:val="003F01F6"/>
    <w:rsid w:val="003F0379"/>
    <w:rsid w:val="003F06AC"/>
    <w:rsid w:val="003F0B3D"/>
    <w:rsid w:val="003F0EB8"/>
    <w:rsid w:val="003F0EE8"/>
    <w:rsid w:val="003F1069"/>
    <w:rsid w:val="003F12C5"/>
    <w:rsid w:val="003F1BB0"/>
    <w:rsid w:val="003F1D52"/>
    <w:rsid w:val="003F247B"/>
    <w:rsid w:val="003F31C8"/>
    <w:rsid w:val="003F327E"/>
    <w:rsid w:val="003F36CA"/>
    <w:rsid w:val="003F40F6"/>
    <w:rsid w:val="003F4A06"/>
    <w:rsid w:val="003F4B91"/>
    <w:rsid w:val="003F4BD0"/>
    <w:rsid w:val="003F4DEB"/>
    <w:rsid w:val="003F4E76"/>
    <w:rsid w:val="003F5360"/>
    <w:rsid w:val="003F5954"/>
    <w:rsid w:val="003F5D74"/>
    <w:rsid w:val="003F65AE"/>
    <w:rsid w:val="003F66C4"/>
    <w:rsid w:val="003F6D54"/>
    <w:rsid w:val="003F6E99"/>
    <w:rsid w:val="003F709A"/>
    <w:rsid w:val="003F731A"/>
    <w:rsid w:val="003F77EA"/>
    <w:rsid w:val="003F7927"/>
    <w:rsid w:val="003F7C2C"/>
    <w:rsid w:val="003F7E23"/>
    <w:rsid w:val="00400943"/>
    <w:rsid w:val="00400F8E"/>
    <w:rsid w:val="00401044"/>
    <w:rsid w:val="00401592"/>
    <w:rsid w:val="00401CFF"/>
    <w:rsid w:val="00401DFC"/>
    <w:rsid w:val="00402643"/>
    <w:rsid w:val="00402B73"/>
    <w:rsid w:val="00402F5B"/>
    <w:rsid w:val="00403262"/>
    <w:rsid w:val="004035F3"/>
    <w:rsid w:val="00403683"/>
    <w:rsid w:val="00403FB0"/>
    <w:rsid w:val="004049A6"/>
    <w:rsid w:val="00404F7D"/>
    <w:rsid w:val="004050F1"/>
    <w:rsid w:val="00405668"/>
    <w:rsid w:val="00405F08"/>
    <w:rsid w:val="00406CE8"/>
    <w:rsid w:val="00406FE3"/>
    <w:rsid w:val="00406FFE"/>
    <w:rsid w:val="00407D50"/>
    <w:rsid w:val="00410109"/>
    <w:rsid w:val="00410562"/>
    <w:rsid w:val="00410963"/>
    <w:rsid w:val="00410F0E"/>
    <w:rsid w:val="00410F93"/>
    <w:rsid w:val="004110D2"/>
    <w:rsid w:val="00411296"/>
    <w:rsid w:val="00411333"/>
    <w:rsid w:val="00411527"/>
    <w:rsid w:val="00411630"/>
    <w:rsid w:val="004117CE"/>
    <w:rsid w:val="00411F8E"/>
    <w:rsid w:val="004123A2"/>
    <w:rsid w:val="004132BA"/>
    <w:rsid w:val="004135E8"/>
    <w:rsid w:val="004136E6"/>
    <w:rsid w:val="0041378F"/>
    <w:rsid w:val="004139C8"/>
    <w:rsid w:val="00413AA2"/>
    <w:rsid w:val="00414014"/>
    <w:rsid w:val="004140F1"/>
    <w:rsid w:val="004142BC"/>
    <w:rsid w:val="004145B5"/>
    <w:rsid w:val="00414922"/>
    <w:rsid w:val="00415138"/>
    <w:rsid w:val="00415B84"/>
    <w:rsid w:val="00415F77"/>
    <w:rsid w:val="00416341"/>
    <w:rsid w:val="004163D3"/>
    <w:rsid w:val="00416780"/>
    <w:rsid w:val="00416B49"/>
    <w:rsid w:val="004173DA"/>
    <w:rsid w:val="00417569"/>
    <w:rsid w:val="00417F82"/>
    <w:rsid w:val="0042032B"/>
    <w:rsid w:val="00420706"/>
    <w:rsid w:val="00420B57"/>
    <w:rsid w:val="00420E03"/>
    <w:rsid w:val="004213AD"/>
    <w:rsid w:val="00421551"/>
    <w:rsid w:val="004218DF"/>
    <w:rsid w:val="0042198F"/>
    <w:rsid w:val="004219C5"/>
    <w:rsid w:val="00421C51"/>
    <w:rsid w:val="00421CCE"/>
    <w:rsid w:val="004228A6"/>
    <w:rsid w:val="00422CFF"/>
    <w:rsid w:val="0042309E"/>
    <w:rsid w:val="004232AD"/>
    <w:rsid w:val="004236A2"/>
    <w:rsid w:val="00423B1E"/>
    <w:rsid w:val="00423C67"/>
    <w:rsid w:val="00423EA0"/>
    <w:rsid w:val="00423F09"/>
    <w:rsid w:val="004240B5"/>
    <w:rsid w:val="004241CD"/>
    <w:rsid w:val="004245EB"/>
    <w:rsid w:val="0042481C"/>
    <w:rsid w:val="004249DB"/>
    <w:rsid w:val="00424DE4"/>
    <w:rsid w:val="004251E8"/>
    <w:rsid w:val="0042576A"/>
    <w:rsid w:val="00425901"/>
    <w:rsid w:val="00425BA9"/>
    <w:rsid w:val="0042642B"/>
    <w:rsid w:val="00426B40"/>
    <w:rsid w:val="00426C29"/>
    <w:rsid w:val="00426C9B"/>
    <w:rsid w:val="004270B8"/>
    <w:rsid w:val="00427658"/>
    <w:rsid w:val="004276AD"/>
    <w:rsid w:val="00427A35"/>
    <w:rsid w:val="00427AFB"/>
    <w:rsid w:val="00427D98"/>
    <w:rsid w:val="0043045F"/>
    <w:rsid w:val="00430CA4"/>
    <w:rsid w:val="00430D48"/>
    <w:rsid w:val="0043145D"/>
    <w:rsid w:val="00431706"/>
    <w:rsid w:val="0043187C"/>
    <w:rsid w:val="00431D15"/>
    <w:rsid w:val="00431F30"/>
    <w:rsid w:val="00432127"/>
    <w:rsid w:val="00432855"/>
    <w:rsid w:val="0043303A"/>
    <w:rsid w:val="00433FFC"/>
    <w:rsid w:val="004340BC"/>
    <w:rsid w:val="004340F7"/>
    <w:rsid w:val="004343FB"/>
    <w:rsid w:val="00434AE7"/>
    <w:rsid w:val="00434F47"/>
    <w:rsid w:val="004360FE"/>
    <w:rsid w:val="004361DF"/>
    <w:rsid w:val="004369BF"/>
    <w:rsid w:val="00436BD8"/>
    <w:rsid w:val="00436F99"/>
    <w:rsid w:val="00436FAE"/>
    <w:rsid w:val="00437427"/>
    <w:rsid w:val="004378C7"/>
    <w:rsid w:val="00437C41"/>
    <w:rsid w:val="004408B6"/>
    <w:rsid w:val="004409DB"/>
    <w:rsid w:val="00441288"/>
    <w:rsid w:val="004412F2"/>
    <w:rsid w:val="00441627"/>
    <w:rsid w:val="00441800"/>
    <w:rsid w:val="0044274D"/>
    <w:rsid w:val="004429E4"/>
    <w:rsid w:val="00443BAF"/>
    <w:rsid w:val="00445147"/>
    <w:rsid w:val="00445738"/>
    <w:rsid w:val="00445900"/>
    <w:rsid w:val="00445CBB"/>
    <w:rsid w:val="00445E50"/>
    <w:rsid w:val="004469C7"/>
    <w:rsid w:val="00446B25"/>
    <w:rsid w:val="00446B75"/>
    <w:rsid w:val="00446BFE"/>
    <w:rsid w:val="00447026"/>
    <w:rsid w:val="00447180"/>
    <w:rsid w:val="0044736D"/>
    <w:rsid w:val="0044743E"/>
    <w:rsid w:val="00447728"/>
    <w:rsid w:val="00450781"/>
    <w:rsid w:val="00450883"/>
    <w:rsid w:val="004508AB"/>
    <w:rsid w:val="0045093D"/>
    <w:rsid w:val="00450B50"/>
    <w:rsid w:val="00450C45"/>
    <w:rsid w:val="004512E1"/>
    <w:rsid w:val="004521DF"/>
    <w:rsid w:val="00452ACB"/>
    <w:rsid w:val="00452CBF"/>
    <w:rsid w:val="00453B6A"/>
    <w:rsid w:val="00453CDD"/>
    <w:rsid w:val="004547C4"/>
    <w:rsid w:val="00454860"/>
    <w:rsid w:val="00454A54"/>
    <w:rsid w:val="004550FC"/>
    <w:rsid w:val="0045581D"/>
    <w:rsid w:val="00456329"/>
    <w:rsid w:val="004566B8"/>
    <w:rsid w:val="00456AEA"/>
    <w:rsid w:val="00456FCA"/>
    <w:rsid w:val="00457435"/>
    <w:rsid w:val="00457B47"/>
    <w:rsid w:val="00457BCE"/>
    <w:rsid w:val="00457D3E"/>
    <w:rsid w:val="00460377"/>
    <w:rsid w:val="00460E30"/>
    <w:rsid w:val="0046154A"/>
    <w:rsid w:val="00461A34"/>
    <w:rsid w:val="00461ADF"/>
    <w:rsid w:val="00461F8E"/>
    <w:rsid w:val="00462094"/>
    <w:rsid w:val="00462BF9"/>
    <w:rsid w:val="00462E1E"/>
    <w:rsid w:val="00463376"/>
    <w:rsid w:val="004638F2"/>
    <w:rsid w:val="00464118"/>
    <w:rsid w:val="004641C2"/>
    <w:rsid w:val="00464231"/>
    <w:rsid w:val="00464329"/>
    <w:rsid w:val="00464393"/>
    <w:rsid w:val="004649BF"/>
    <w:rsid w:val="00465B7F"/>
    <w:rsid w:val="00465DAF"/>
    <w:rsid w:val="004668F8"/>
    <w:rsid w:val="00466905"/>
    <w:rsid w:val="00466BA1"/>
    <w:rsid w:val="00466BBE"/>
    <w:rsid w:val="00466F8F"/>
    <w:rsid w:val="004670CA"/>
    <w:rsid w:val="0046732E"/>
    <w:rsid w:val="00467BD6"/>
    <w:rsid w:val="00467C0B"/>
    <w:rsid w:val="004702F1"/>
    <w:rsid w:val="004707B3"/>
    <w:rsid w:val="00470B22"/>
    <w:rsid w:val="00470BE0"/>
    <w:rsid w:val="00470CEF"/>
    <w:rsid w:val="00471A12"/>
    <w:rsid w:val="00471CBB"/>
    <w:rsid w:val="004726A3"/>
    <w:rsid w:val="004728E1"/>
    <w:rsid w:val="00473588"/>
    <w:rsid w:val="0047376D"/>
    <w:rsid w:val="004743AC"/>
    <w:rsid w:val="004749DB"/>
    <w:rsid w:val="00474B53"/>
    <w:rsid w:val="00474B60"/>
    <w:rsid w:val="004751E7"/>
    <w:rsid w:val="004751E9"/>
    <w:rsid w:val="004753F9"/>
    <w:rsid w:val="00476545"/>
    <w:rsid w:val="0047654A"/>
    <w:rsid w:val="0047696E"/>
    <w:rsid w:val="00476B20"/>
    <w:rsid w:val="00476D94"/>
    <w:rsid w:val="00476FCF"/>
    <w:rsid w:val="004776B3"/>
    <w:rsid w:val="00477F42"/>
    <w:rsid w:val="00480446"/>
    <w:rsid w:val="00480AAF"/>
    <w:rsid w:val="00480BF6"/>
    <w:rsid w:val="00481008"/>
    <w:rsid w:val="004810BB"/>
    <w:rsid w:val="0048142A"/>
    <w:rsid w:val="004814C4"/>
    <w:rsid w:val="00481547"/>
    <w:rsid w:val="00481E9E"/>
    <w:rsid w:val="004823AF"/>
    <w:rsid w:val="004825FB"/>
    <w:rsid w:val="00482A55"/>
    <w:rsid w:val="00483085"/>
    <w:rsid w:val="004830A7"/>
    <w:rsid w:val="00483F2C"/>
    <w:rsid w:val="004845A2"/>
    <w:rsid w:val="00484687"/>
    <w:rsid w:val="00484BDB"/>
    <w:rsid w:val="004850D2"/>
    <w:rsid w:val="00485E1A"/>
    <w:rsid w:val="00485FED"/>
    <w:rsid w:val="00486559"/>
    <w:rsid w:val="00486ED5"/>
    <w:rsid w:val="004873CD"/>
    <w:rsid w:val="004876AD"/>
    <w:rsid w:val="00487F34"/>
    <w:rsid w:val="004907BB"/>
    <w:rsid w:val="004907D9"/>
    <w:rsid w:val="00491140"/>
    <w:rsid w:val="00491B61"/>
    <w:rsid w:val="00491E98"/>
    <w:rsid w:val="004920BD"/>
    <w:rsid w:val="00492821"/>
    <w:rsid w:val="0049296C"/>
    <w:rsid w:val="004931F3"/>
    <w:rsid w:val="00493351"/>
    <w:rsid w:val="00493895"/>
    <w:rsid w:val="00493991"/>
    <w:rsid w:val="00493A7D"/>
    <w:rsid w:val="00493FDA"/>
    <w:rsid w:val="004946A3"/>
    <w:rsid w:val="004947A7"/>
    <w:rsid w:val="00494B0F"/>
    <w:rsid w:val="00494B9F"/>
    <w:rsid w:val="00494D7D"/>
    <w:rsid w:val="00494DB3"/>
    <w:rsid w:val="00495715"/>
    <w:rsid w:val="004957E9"/>
    <w:rsid w:val="00495AA8"/>
    <w:rsid w:val="00495EFA"/>
    <w:rsid w:val="00495EFD"/>
    <w:rsid w:val="004966AD"/>
    <w:rsid w:val="004967CB"/>
    <w:rsid w:val="00497521"/>
    <w:rsid w:val="00497D9A"/>
    <w:rsid w:val="00497DD3"/>
    <w:rsid w:val="00497E3E"/>
    <w:rsid w:val="00497EF0"/>
    <w:rsid w:val="00497F32"/>
    <w:rsid w:val="004A017B"/>
    <w:rsid w:val="004A052B"/>
    <w:rsid w:val="004A0534"/>
    <w:rsid w:val="004A0949"/>
    <w:rsid w:val="004A0ADF"/>
    <w:rsid w:val="004A0E04"/>
    <w:rsid w:val="004A1717"/>
    <w:rsid w:val="004A17E9"/>
    <w:rsid w:val="004A18A5"/>
    <w:rsid w:val="004A21C2"/>
    <w:rsid w:val="004A28CB"/>
    <w:rsid w:val="004A2AAA"/>
    <w:rsid w:val="004A2DEB"/>
    <w:rsid w:val="004A2E8F"/>
    <w:rsid w:val="004A30BA"/>
    <w:rsid w:val="004A31AC"/>
    <w:rsid w:val="004A3606"/>
    <w:rsid w:val="004A3BB1"/>
    <w:rsid w:val="004A43A8"/>
    <w:rsid w:val="004A482D"/>
    <w:rsid w:val="004A4AEB"/>
    <w:rsid w:val="004A4FC0"/>
    <w:rsid w:val="004A4FD6"/>
    <w:rsid w:val="004A5064"/>
    <w:rsid w:val="004A5215"/>
    <w:rsid w:val="004A52DD"/>
    <w:rsid w:val="004A5A3E"/>
    <w:rsid w:val="004A5AE6"/>
    <w:rsid w:val="004A6081"/>
    <w:rsid w:val="004A60A3"/>
    <w:rsid w:val="004A6ED0"/>
    <w:rsid w:val="004A7344"/>
    <w:rsid w:val="004B00E4"/>
    <w:rsid w:val="004B022C"/>
    <w:rsid w:val="004B04D2"/>
    <w:rsid w:val="004B0569"/>
    <w:rsid w:val="004B0DBE"/>
    <w:rsid w:val="004B16DD"/>
    <w:rsid w:val="004B172D"/>
    <w:rsid w:val="004B1E4C"/>
    <w:rsid w:val="004B2913"/>
    <w:rsid w:val="004B2C4C"/>
    <w:rsid w:val="004B3919"/>
    <w:rsid w:val="004B3999"/>
    <w:rsid w:val="004B4069"/>
    <w:rsid w:val="004B45EC"/>
    <w:rsid w:val="004B4AF0"/>
    <w:rsid w:val="004B4E05"/>
    <w:rsid w:val="004B583B"/>
    <w:rsid w:val="004B588D"/>
    <w:rsid w:val="004B645D"/>
    <w:rsid w:val="004B6B24"/>
    <w:rsid w:val="004B7C8B"/>
    <w:rsid w:val="004C0A38"/>
    <w:rsid w:val="004C0C8E"/>
    <w:rsid w:val="004C15A4"/>
    <w:rsid w:val="004C1B38"/>
    <w:rsid w:val="004C1EC8"/>
    <w:rsid w:val="004C2048"/>
    <w:rsid w:val="004C25B7"/>
    <w:rsid w:val="004C26CF"/>
    <w:rsid w:val="004C287D"/>
    <w:rsid w:val="004C2AA2"/>
    <w:rsid w:val="004C2AF7"/>
    <w:rsid w:val="004C2E08"/>
    <w:rsid w:val="004C2E1B"/>
    <w:rsid w:val="004C33C8"/>
    <w:rsid w:val="004C3905"/>
    <w:rsid w:val="004C3BD3"/>
    <w:rsid w:val="004C42D1"/>
    <w:rsid w:val="004C4666"/>
    <w:rsid w:val="004C5161"/>
    <w:rsid w:val="004C5471"/>
    <w:rsid w:val="004C5487"/>
    <w:rsid w:val="004C5793"/>
    <w:rsid w:val="004C5BCF"/>
    <w:rsid w:val="004C5C8D"/>
    <w:rsid w:val="004C6E57"/>
    <w:rsid w:val="004C73BA"/>
    <w:rsid w:val="004C759B"/>
    <w:rsid w:val="004C76A5"/>
    <w:rsid w:val="004C7AE0"/>
    <w:rsid w:val="004D05B3"/>
    <w:rsid w:val="004D0A6A"/>
    <w:rsid w:val="004D0AC8"/>
    <w:rsid w:val="004D1174"/>
    <w:rsid w:val="004D1438"/>
    <w:rsid w:val="004D19E7"/>
    <w:rsid w:val="004D1C8E"/>
    <w:rsid w:val="004D2490"/>
    <w:rsid w:val="004D271D"/>
    <w:rsid w:val="004D2A79"/>
    <w:rsid w:val="004D2F5D"/>
    <w:rsid w:val="004D303D"/>
    <w:rsid w:val="004D3692"/>
    <w:rsid w:val="004D3B82"/>
    <w:rsid w:val="004D3BC8"/>
    <w:rsid w:val="004D3CAA"/>
    <w:rsid w:val="004D45A2"/>
    <w:rsid w:val="004D4B30"/>
    <w:rsid w:val="004D4CE9"/>
    <w:rsid w:val="004D50FD"/>
    <w:rsid w:val="004D5986"/>
    <w:rsid w:val="004D59B3"/>
    <w:rsid w:val="004D5A4F"/>
    <w:rsid w:val="004D5EA9"/>
    <w:rsid w:val="004D6020"/>
    <w:rsid w:val="004D613F"/>
    <w:rsid w:val="004D64F2"/>
    <w:rsid w:val="004D653C"/>
    <w:rsid w:val="004D6D6E"/>
    <w:rsid w:val="004D7694"/>
    <w:rsid w:val="004E0006"/>
    <w:rsid w:val="004E0283"/>
    <w:rsid w:val="004E0299"/>
    <w:rsid w:val="004E0354"/>
    <w:rsid w:val="004E0885"/>
    <w:rsid w:val="004E0EF5"/>
    <w:rsid w:val="004E16BC"/>
    <w:rsid w:val="004E1935"/>
    <w:rsid w:val="004E1DEA"/>
    <w:rsid w:val="004E1F14"/>
    <w:rsid w:val="004E1FF2"/>
    <w:rsid w:val="004E24D7"/>
    <w:rsid w:val="004E2AF6"/>
    <w:rsid w:val="004E2BD6"/>
    <w:rsid w:val="004E2DFE"/>
    <w:rsid w:val="004E2EFE"/>
    <w:rsid w:val="004E326B"/>
    <w:rsid w:val="004E32E4"/>
    <w:rsid w:val="004E37D7"/>
    <w:rsid w:val="004E380D"/>
    <w:rsid w:val="004E3929"/>
    <w:rsid w:val="004E3BB6"/>
    <w:rsid w:val="004E45DC"/>
    <w:rsid w:val="004E47F2"/>
    <w:rsid w:val="004E4F24"/>
    <w:rsid w:val="004E51D8"/>
    <w:rsid w:val="004E5CB5"/>
    <w:rsid w:val="004E5F90"/>
    <w:rsid w:val="004E62D1"/>
    <w:rsid w:val="004E64E1"/>
    <w:rsid w:val="004E681A"/>
    <w:rsid w:val="004E6877"/>
    <w:rsid w:val="004E6DB5"/>
    <w:rsid w:val="004E72C0"/>
    <w:rsid w:val="004E75BD"/>
    <w:rsid w:val="004F0384"/>
    <w:rsid w:val="004F0B43"/>
    <w:rsid w:val="004F153B"/>
    <w:rsid w:val="004F1639"/>
    <w:rsid w:val="004F17CC"/>
    <w:rsid w:val="004F2707"/>
    <w:rsid w:val="004F3336"/>
    <w:rsid w:val="004F351E"/>
    <w:rsid w:val="004F373C"/>
    <w:rsid w:val="004F37FF"/>
    <w:rsid w:val="004F3C4D"/>
    <w:rsid w:val="004F408E"/>
    <w:rsid w:val="004F4B9C"/>
    <w:rsid w:val="004F5BF8"/>
    <w:rsid w:val="004F5C3B"/>
    <w:rsid w:val="004F5C73"/>
    <w:rsid w:val="004F6213"/>
    <w:rsid w:val="004F66EA"/>
    <w:rsid w:val="004F6901"/>
    <w:rsid w:val="004F719C"/>
    <w:rsid w:val="004F7A10"/>
    <w:rsid w:val="004F7B55"/>
    <w:rsid w:val="004F7DC0"/>
    <w:rsid w:val="0050080C"/>
    <w:rsid w:val="00500A39"/>
    <w:rsid w:val="00500A46"/>
    <w:rsid w:val="00501308"/>
    <w:rsid w:val="00501406"/>
    <w:rsid w:val="00501E1B"/>
    <w:rsid w:val="005020D0"/>
    <w:rsid w:val="0050225B"/>
    <w:rsid w:val="005022D7"/>
    <w:rsid w:val="00502856"/>
    <w:rsid w:val="00502A56"/>
    <w:rsid w:val="00502E84"/>
    <w:rsid w:val="005030EF"/>
    <w:rsid w:val="005037D0"/>
    <w:rsid w:val="005039D3"/>
    <w:rsid w:val="00503EC8"/>
    <w:rsid w:val="005041A5"/>
    <w:rsid w:val="005042EA"/>
    <w:rsid w:val="00504F77"/>
    <w:rsid w:val="005058AE"/>
    <w:rsid w:val="00505E75"/>
    <w:rsid w:val="00506351"/>
    <w:rsid w:val="00506710"/>
    <w:rsid w:val="00506EB4"/>
    <w:rsid w:val="0050748F"/>
    <w:rsid w:val="00507C05"/>
    <w:rsid w:val="00507F82"/>
    <w:rsid w:val="00510107"/>
    <w:rsid w:val="00510195"/>
    <w:rsid w:val="00510368"/>
    <w:rsid w:val="0051076E"/>
    <w:rsid w:val="00510D3B"/>
    <w:rsid w:val="00511295"/>
    <w:rsid w:val="00511300"/>
    <w:rsid w:val="005114EC"/>
    <w:rsid w:val="00511B04"/>
    <w:rsid w:val="005121AE"/>
    <w:rsid w:val="0051220C"/>
    <w:rsid w:val="005122C8"/>
    <w:rsid w:val="005127E7"/>
    <w:rsid w:val="00512D9D"/>
    <w:rsid w:val="0051353E"/>
    <w:rsid w:val="005138A0"/>
    <w:rsid w:val="005141FD"/>
    <w:rsid w:val="00514807"/>
    <w:rsid w:val="00514888"/>
    <w:rsid w:val="00514AB2"/>
    <w:rsid w:val="00514B49"/>
    <w:rsid w:val="00515564"/>
    <w:rsid w:val="005167CF"/>
    <w:rsid w:val="005172C4"/>
    <w:rsid w:val="0051766F"/>
    <w:rsid w:val="0052081C"/>
    <w:rsid w:val="00520AD1"/>
    <w:rsid w:val="00521611"/>
    <w:rsid w:val="00521FFD"/>
    <w:rsid w:val="00522324"/>
    <w:rsid w:val="00522462"/>
    <w:rsid w:val="005226B4"/>
    <w:rsid w:val="005228F0"/>
    <w:rsid w:val="005229EA"/>
    <w:rsid w:val="00522D34"/>
    <w:rsid w:val="00523F3B"/>
    <w:rsid w:val="00523F52"/>
    <w:rsid w:val="0052401E"/>
    <w:rsid w:val="0052417C"/>
    <w:rsid w:val="005243D9"/>
    <w:rsid w:val="00524918"/>
    <w:rsid w:val="00524924"/>
    <w:rsid w:val="00524BCD"/>
    <w:rsid w:val="00524C7A"/>
    <w:rsid w:val="0052530E"/>
    <w:rsid w:val="00525648"/>
    <w:rsid w:val="0052587D"/>
    <w:rsid w:val="00525D4F"/>
    <w:rsid w:val="00525FE4"/>
    <w:rsid w:val="0052634B"/>
    <w:rsid w:val="005263BF"/>
    <w:rsid w:val="0052665D"/>
    <w:rsid w:val="00526B56"/>
    <w:rsid w:val="00526CA5"/>
    <w:rsid w:val="00526ED1"/>
    <w:rsid w:val="00530D80"/>
    <w:rsid w:val="00530DCA"/>
    <w:rsid w:val="00531239"/>
    <w:rsid w:val="00531553"/>
    <w:rsid w:val="00531F20"/>
    <w:rsid w:val="00532203"/>
    <w:rsid w:val="005322AA"/>
    <w:rsid w:val="0053282F"/>
    <w:rsid w:val="00533382"/>
    <w:rsid w:val="005335DE"/>
    <w:rsid w:val="0053413D"/>
    <w:rsid w:val="00534338"/>
    <w:rsid w:val="005346C6"/>
    <w:rsid w:val="00534B79"/>
    <w:rsid w:val="00534C0B"/>
    <w:rsid w:val="00534FEA"/>
    <w:rsid w:val="00535BBA"/>
    <w:rsid w:val="00535EDF"/>
    <w:rsid w:val="00535FCD"/>
    <w:rsid w:val="005362DD"/>
    <w:rsid w:val="005366D4"/>
    <w:rsid w:val="00536BDC"/>
    <w:rsid w:val="005375BA"/>
    <w:rsid w:val="005377D4"/>
    <w:rsid w:val="00537A17"/>
    <w:rsid w:val="0054059A"/>
    <w:rsid w:val="005407AE"/>
    <w:rsid w:val="005408FF"/>
    <w:rsid w:val="005409DD"/>
    <w:rsid w:val="00541078"/>
    <w:rsid w:val="0054114F"/>
    <w:rsid w:val="005413F2"/>
    <w:rsid w:val="005413F5"/>
    <w:rsid w:val="00541808"/>
    <w:rsid w:val="00542098"/>
    <w:rsid w:val="005422BD"/>
    <w:rsid w:val="005425BF"/>
    <w:rsid w:val="00542C54"/>
    <w:rsid w:val="005433DB"/>
    <w:rsid w:val="005437E9"/>
    <w:rsid w:val="0054480A"/>
    <w:rsid w:val="005449FF"/>
    <w:rsid w:val="005451C0"/>
    <w:rsid w:val="005453FA"/>
    <w:rsid w:val="0054565C"/>
    <w:rsid w:val="0054571C"/>
    <w:rsid w:val="00545EDD"/>
    <w:rsid w:val="00545F54"/>
    <w:rsid w:val="00546311"/>
    <w:rsid w:val="005463C0"/>
    <w:rsid w:val="005465F2"/>
    <w:rsid w:val="005466A4"/>
    <w:rsid w:val="0054674E"/>
    <w:rsid w:val="00546DCA"/>
    <w:rsid w:val="005476E0"/>
    <w:rsid w:val="00547B4C"/>
    <w:rsid w:val="00547CC6"/>
    <w:rsid w:val="00547D0C"/>
    <w:rsid w:val="00547EE8"/>
    <w:rsid w:val="00547F59"/>
    <w:rsid w:val="0055014D"/>
    <w:rsid w:val="00550879"/>
    <w:rsid w:val="00550D79"/>
    <w:rsid w:val="00550F2D"/>
    <w:rsid w:val="005510D5"/>
    <w:rsid w:val="005511B4"/>
    <w:rsid w:val="005512FE"/>
    <w:rsid w:val="0055132B"/>
    <w:rsid w:val="005517FD"/>
    <w:rsid w:val="005525BB"/>
    <w:rsid w:val="005529DF"/>
    <w:rsid w:val="00552DE6"/>
    <w:rsid w:val="00552E2B"/>
    <w:rsid w:val="00553060"/>
    <w:rsid w:val="005530D4"/>
    <w:rsid w:val="00553238"/>
    <w:rsid w:val="005537E3"/>
    <w:rsid w:val="00554620"/>
    <w:rsid w:val="00554E3B"/>
    <w:rsid w:val="00555345"/>
    <w:rsid w:val="005555D1"/>
    <w:rsid w:val="00555820"/>
    <w:rsid w:val="00555F5D"/>
    <w:rsid w:val="0055653C"/>
    <w:rsid w:val="00556590"/>
    <w:rsid w:val="0055661D"/>
    <w:rsid w:val="00556A45"/>
    <w:rsid w:val="00556BF1"/>
    <w:rsid w:val="00556C93"/>
    <w:rsid w:val="00556D1E"/>
    <w:rsid w:val="00557201"/>
    <w:rsid w:val="00557379"/>
    <w:rsid w:val="00557716"/>
    <w:rsid w:val="005604FE"/>
    <w:rsid w:val="00560835"/>
    <w:rsid w:val="00560E20"/>
    <w:rsid w:val="0056112E"/>
    <w:rsid w:val="00561D7A"/>
    <w:rsid w:val="00562411"/>
    <w:rsid w:val="00562690"/>
    <w:rsid w:val="0056281B"/>
    <w:rsid w:val="00562BD8"/>
    <w:rsid w:val="005630B8"/>
    <w:rsid w:val="00563186"/>
    <w:rsid w:val="00563BD7"/>
    <w:rsid w:val="00563BEB"/>
    <w:rsid w:val="00563D05"/>
    <w:rsid w:val="00563E22"/>
    <w:rsid w:val="00563FEE"/>
    <w:rsid w:val="00564083"/>
    <w:rsid w:val="005644E8"/>
    <w:rsid w:val="005645B0"/>
    <w:rsid w:val="00564B23"/>
    <w:rsid w:val="00564E32"/>
    <w:rsid w:val="00564E8F"/>
    <w:rsid w:val="00565349"/>
    <w:rsid w:val="00565512"/>
    <w:rsid w:val="005655FB"/>
    <w:rsid w:val="00565BC2"/>
    <w:rsid w:val="00566C2A"/>
    <w:rsid w:val="00566C57"/>
    <w:rsid w:val="00566D43"/>
    <w:rsid w:val="00567815"/>
    <w:rsid w:val="00567866"/>
    <w:rsid w:val="005700F1"/>
    <w:rsid w:val="005705EE"/>
    <w:rsid w:val="00570FB0"/>
    <w:rsid w:val="0057113F"/>
    <w:rsid w:val="0057162B"/>
    <w:rsid w:val="0057196D"/>
    <w:rsid w:val="00571BE9"/>
    <w:rsid w:val="00571C45"/>
    <w:rsid w:val="00571F58"/>
    <w:rsid w:val="005721CF"/>
    <w:rsid w:val="0057232B"/>
    <w:rsid w:val="00572406"/>
    <w:rsid w:val="0057256E"/>
    <w:rsid w:val="0057330E"/>
    <w:rsid w:val="00573430"/>
    <w:rsid w:val="00573587"/>
    <w:rsid w:val="005735E6"/>
    <w:rsid w:val="00573729"/>
    <w:rsid w:val="00574536"/>
    <w:rsid w:val="005745AB"/>
    <w:rsid w:val="00574826"/>
    <w:rsid w:val="00574E94"/>
    <w:rsid w:val="005759AF"/>
    <w:rsid w:val="00575BE8"/>
    <w:rsid w:val="00575C8B"/>
    <w:rsid w:val="00575E1B"/>
    <w:rsid w:val="00576B5A"/>
    <w:rsid w:val="00576C0A"/>
    <w:rsid w:val="005772E3"/>
    <w:rsid w:val="005773AE"/>
    <w:rsid w:val="005775F0"/>
    <w:rsid w:val="0057798A"/>
    <w:rsid w:val="00577F86"/>
    <w:rsid w:val="0058089B"/>
    <w:rsid w:val="00580947"/>
    <w:rsid w:val="0058153C"/>
    <w:rsid w:val="005816D5"/>
    <w:rsid w:val="00581B21"/>
    <w:rsid w:val="00581BC6"/>
    <w:rsid w:val="00581CE8"/>
    <w:rsid w:val="00581D3A"/>
    <w:rsid w:val="00581D6B"/>
    <w:rsid w:val="00581DAB"/>
    <w:rsid w:val="00581DF5"/>
    <w:rsid w:val="00581F77"/>
    <w:rsid w:val="00581F8E"/>
    <w:rsid w:val="00582484"/>
    <w:rsid w:val="005825EF"/>
    <w:rsid w:val="00582C01"/>
    <w:rsid w:val="005838FC"/>
    <w:rsid w:val="00583902"/>
    <w:rsid w:val="00583B04"/>
    <w:rsid w:val="00583C50"/>
    <w:rsid w:val="0058499A"/>
    <w:rsid w:val="00584EF9"/>
    <w:rsid w:val="00584F2C"/>
    <w:rsid w:val="0058538D"/>
    <w:rsid w:val="005858DA"/>
    <w:rsid w:val="00585A06"/>
    <w:rsid w:val="00585DC0"/>
    <w:rsid w:val="00585EF8"/>
    <w:rsid w:val="00585F30"/>
    <w:rsid w:val="00585F69"/>
    <w:rsid w:val="005863F1"/>
    <w:rsid w:val="00586C12"/>
    <w:rsid w:val="005874C0"/>
    <w:rsid w:val="0058758A"/>
    <w:rsid w:val="00590193"/>
    <w:rsid w:val="0059028E"/>
    <w:rsid w:val="005903C0"/>
    <w:rsid w:val="005913B7"/>
    <w:rsid w:val="00591832"/>
    <w:rsid w:val="00592111"/>
    <w:rsid w:val="00592193"/>
    <w:rsid w:val="00592864"/>
    <w:rsid w:val="005928CF"/>
    <w:rsid w:val="00593273"/>
    <w:rsid w:val="005939A4"/>
    <w:rsid w:val="00593BE0"/>
    <w:rsid w:val="0059419D"/>
    <w:rsid w:val="005944D4"/>
    <w:rsid w:val="005949A4"/>
    <w:rsid w:val="00595049"/>
    <w:rsid w:val="00595357"/>
    <w:rsid w:val="00595A8B"/>
    <w:rsid w:val="00595C6F"/>
    <w:rsid w:val="00595D51"/>
    <w:rsid w:val="00595E0E"/>
    <w:rsid w:val="00596B90"/>
    <w:rsid w:val="00596BDB"/>
    <w:rsid w:val="005975ED"/>
    <w:rsid w:val="00597612"/>
    <w:rsid w:val="0059781D"/>
    <w:rsid w:val="005A02C0"/>
    <w:rsid w:val="005A07A0"/>
    <w:rsid w:val="005A0F92"/>
    <w:rsid w:val="005A1156"/>
    <w:rsid w:val="005A1523"/>
    <w:rsid w:val="005A194D"/>
    <w:rsid w:val="005A260B"/>
    <w:rsid w:val="005A26D1"/>
    <w:rsid w:val="005A3006"/>
    <w:rsid w:val="005A31C1"/>
    <w:rsid w:val="005A3F1A"/>
    <w:rsid w:val="005A451C"/>
    <w:rsid w:val="005A4DBA"/>
    <w:rsid w:val="005A50CA"/>
    <w:rsid w:val="005A528B"/>
    <w:rsid w:val="005A66F4"/>
    <w:rsid w:val="005A6791"/>
    <w:rsid w:val="005A689C"/>
    <w:rsid w:val="005A6A6F"/>
    <w:rsid w:val="005A6EBA"/>
    <w:rsid w:val="005A7618"/>
    <w:rsid w:val="005A7C85"/>
    <w:rsid w:val="005B0176"/>
    <w:rsid w:val="005B02BD"/>
    <w:rsid w:val="005B02D0"/>
    <w:rsid w:val="005B02E5"/>
    <w:rsid w:val="005B03D2"/>
    <w:rsid w:val="005B042E"/>
    <w:rsid w:val="005B0805"/>
    <w:rsid w:val="005B0C0F"/>
    <w:rsid w:val="005B1200"/>
    <w:rsid w:val="005B12F6"/>
    <w:rsid w:val="005B1605"/>
    <w:rsid w:val="005B1FC6"/>
    <w:rsid w:val="005B29AF"/>
    <w:rsid w:val="005B2A02"/>
    <w:rsid w:val="005B2C05"/>
    <w:rsid w:val="005B3644"/>
    <w:rsid w:val="005B379B"/>
    <w:rsid w:val="005B385D"/>
    <w:rsid w:val="005B3C72"/>
    <w:rsid w:val="005B3ED7"/>
    <w:rsid w:val="005B3F29"/>
    <w:rsid w:val="005B41D9"/>
    <w:rsid w:val="005B4815"/>
    <w:rsid w:val="005B4970"/>
    <w:rsid w:val="005B4BB8"/>
    <w:rsid w:val="005B4C77"/>
    <w:rsid w:val="005B584C"/>
    <w:rsid w:val="005B5988"/>
    <w:rsid w:val="005B70AC"/>
    <w:rsid w:val="005B73E0"/>
    <w:rsid w:val="005B7807"/>
    <w:rsid w:val="005B7F8B"/>
    <w:rsid w:val="005C016A"/>
    <w:rsid w:val="005C025E"/>
    <w:rsid w:val="005C061D"/>
    <w:rsid w:val="005C0B8E"/>
    <w:rsid w:val="005C0EB0"/>
    <w:rsid w:val="005C1299"/>
    <w:rsid w:val="005C15FF"/>
    <w:rsid w:val="005C25B2"/>
    <w:rsid w:val="005C2C83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51D"/>
    <w:rsid w:val="005C4956"/>
    <w:rsid w:val="005C4963"/>
    <w:rsid w:val="005C4D00"/>
    <w:rsid w:val="005C4D4F"/>
    <w:rsid w:val="005C519D"/>
    <w:rsid w:val="005C5441"/>
    <w:rsid w:val="005C56B4"/>
    <w:rsid w:val="005C5B58"/>
    <w:rsid w:val="005C5E11"/>
    <w:rsid w:val="005C5EB9"/>
    <w:rsid w:val="005C61C9"/>
    <w:rsid w:val="005C6382"/>
    <w:rsid w:val="005C65B5"/>
    <w:rsid w:val="005C66C2"/>
    <w:rsid w:val="005C692A"/>
    <w:rsid w:val="005C6CA1"/>
    <w:rsid w:val="005C7088"/>
    <w:rsid w:val="005C70C8"/>
    <w:rsid w:val="005C7D48"/>
    <w:rsid w:val="005D0173"/>
    <w:rsid w:val="005D031D"/>
    <w:rsid w:val="005D033A"/>
    <w:rsid w:val="005D0F32"/>
    <w:rsid w:val="005D1545"/>
    <w:rsid w:val="005D207F"/>
    <w:rsid w:val="005D22D4"/>
    <w:rsid w:val="005D2441"/>
    <w:rsid w:val="005D2E6D"/>
    <w:rsid w:val="005D3033"/>
    <w:rsid w:val="005D3137"/>
    <w:rsid w:val="005D39A7"/>
    <w:rsid w:val="005D3ABB"/>
    <w:rsid w:val="005D3F57"/>
    <w:rsid w:val="005D42D0"/>
    <w:rsid w:val="005D4DC9"/>
    <w:rsid w:val="005D4DD4"/>
    <w:rsid w:val="005D5236"/>
    <w:rsid w:val="005D5D2C"/>
    <w:rsid w:val="005D5FF4"/>
    <w:rsid w:val="005D6067"/>
    <w:rsid w:val="005D62FB"/>
    <w:rsid w:val="005D665F"/>
    <w:rsid w:val="005D67D6"/>
    <w:rsid w:val="005D6D4C"/>
    <w:rsid w:val="005D723B"/>
    <w:rsid w:val="005D762A"/>
    <w:rsid w:val="005D79F3"/>
    <w:rsid w:val="005D7D07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C33"/>
    <w:rsid w:val="005E2F9B"/>
    <w:rsid w:val="005E3713"/>
    <w:rsid w:val="005E387D"/>
    <w:rsid w:val="005E3951"/>
    <w:rsid w:val="005E41D6"/>
    <w:rsid w:val="005E4943"/>
    <w:rsid w:val="005E5E30"/>
    <w:rsid w:val="005E6054"/>
    <w:rsid w:val="005E6841"/>
    <w:rsid w:val="005E725E"/>
    <w:rsid w:val="005E740B"/>
    <w:rsid w:val="005E7924"/>
    <w:rsid w:val="005E7C33"/>
    <w:rsid w:val="005F0312"/>
    <w:rsid w:val="005F04F5"/>
    <w:rsid w:val="005F0A0B"/>
    <w:rsid w:val="005F0BAE"/>
    <w:rsid w:val="005F0EFF"/>
    <w:rsid w:val="005F1C00"/>
    <w:rsid w:val="005F221A"/>
    <w:rsid w:val="005F237A"/>
    <w:rsid w:val="005F2754"/>
    <w:rsid w:val="005F2A20"/>
    <w:rsid w:val="005F327A"/>
    <w:rsid w:val="005F3AC7"/>
    <w:rsid w:val="005F3BC0"/>
    <w:rsid w:val="005F3DD6"/>
    <w:rsid w:val="005F3E85"/>
    <w:rsid w:val="005F4380"/>
    <w:rsid w:val="005F4461"/>
    <w:rsid w:val="005F462F"/>
    <w:rsid w:val="005F4DAE"/>
    <w:rsid w:val="005F4E99"/>
    <w:rsid w:val="005F513D"/>
    <w:rsid w:val="005F51F6"/>
    <w:rsid w:val="005F5320"/>
    <w:rsid w:val="005F56C3"/>
    <w:rsid w:val="005F59BC"/>
    <w:rsid w:val="005F5F9E"/>
    <w:rsid w:val="005F5FA7"/>
    <w:rsid w:val="005F6102"/>
    <w:rsid w:val="005F61DD"/>
    <w:rsid w:val="005F6676"/>
    <w:rsid w:val="005F6886"/>
    <w:rsid w:val="005F6DA2"/>
    <w:rsid w:val="005F7187"/>
    <w:rsid w:val="005F745F"/>
    <w:rsid w:val="005F7727"/>
    <w:rsid w:val="005F7787"/>
    <w:rsid w:val="005F7AE1"/>
    <w:rsid w:val="0060048B"/>
    <w:rsid w:val="006005A6"/>
    <w:rsid w:val="0060076C"/>
    <w:rsid w:val="00600884"/>
    <w:rsid w:val="00600E54"/>
    <w:rsid w:val="0060106A"/>
    <w:rsid w:val="006016CF"/>
    <w:rsid w:val="00601767"/>
    <w:rsid w:val="0060227B"/>
    <w:rsid w:val="006023AE"/>
    <w:rsid w:val="006027A3"/>
    <w:rsid w:val="006029A1"/>
    <w:rsid w:val="0060313B"/>
    <w:rsid w:val="006033CB"/>
    <w:rsid w:val="00603A22"/>
    <w:rsid w:val="0060429B"/>
    <w:rsid w:val="006043BA"/>
    <w:rsid w:val="00604644"/>
    <w:rsid w:val="00604D2C"/>
    <w:rsid w:val="00604FB2"/>
    <w:rsid w:val="00604FC7"/>
    <w:rsid w:val="00605746"/>
    <w:rsid w:val="00606269"/>
    <w:rsid w:val="0060687A"/>
    <w:rsid w:val="00606AFB"/>
    <w:rsid w:val="00607066"/>
    <w:rsid w:val="006070FB"/>
    <w:rsid w:val="00607210"/>
    <w:rsid w:val="006077B9"/>
    <w:rsid w:val="00607FF5"/>
    <w:rsid w:val="006102DE"/>
    <w:rsid w:val="0061037D"/>
    <w:rsid w:val="00611102"/>
    <w:rsid w:val="006115F5"/>
    <w:rsid w:val="0061190F"/>
    <w:rsid w:val="0061192A"/>
    <w:rsid w:val="0061214E"/>
    <w:rsid w:val="00612151"/>
    <w:rsid w:val="00612638"/>
    <w:rsid w:val="00612A11"/>
    <w:rsid w:val="00612D84"/>
    <w:rsid w:val="00614B48"/>
    <w:rsid w:val="00614E11"/>
    <w:rsid w:val="00615A72"/>
    <w:rsid w:val="00615B53"/>
    <w:rsid w:val="00615E4C"/>
    <w:rsid w:val="00615F42"/>
    <w:rsid w:val="00616144"/>
    <w:rsid w:val="0061633E"/>
    <w:rsid w:val="00616804"/>
    <w:rsid w:val="00616A11"/>
    <w:rsid w:val="00616FC6"/>
    <w:rsid w:val="00617045"/>
    <w:rsid w:val="00617271"/>
    <w:rsid w:val="0061735F"/>
    <w:rsid w:val="00617556"/>
    <w:rsid w:val="0061766C"/>
    <w:rsid w:val="0061769F"/>
    <w:rsid w:val="00617B27"/>
    <w:rsid w:val="00617E2D"/>
    <w:rsid w:val="006202A7"/>
    <w:rsid w:val="006204DA"/>
    <w:rsid w:val="00620640"/>
    <w:rsid w:val="00620AB5"/>
    <w:rsid w:val="0062114B"/>
    <w:rsid w:val="0062177D"/>
    <w:rsid w:val="00621846"/>
    <w:rsid w:val="006221B8"/>
    <w:rsid w:val="00622561"/>
    <w:rsid w:val="00622AA1"/>
    <w:rsid w:val="00622DEC"/>
    <w:rsid w:val="00622F49"/>
    <w:rsid w:val="00623290"/>
    <w:rsid w:val="00623DD8"/>
    <w:rsid w:val="0062404B"/>
    <w:rsid w:val="00624A7F"/>
    <w:rsid w:val="00624F83"/>
    <w:rsid w:val="006256C8"/>
    <w:rsid w:val="00625DB1"/>
    <w:rsid w:val="0062642D"/>
    <w:rsid w:val="0062674F"/>
    <w:rsid w:val="006268C3"/>
    <w:rsid w:val="00627021"/>
    <w:rsid w:val="00627EF3"/>
    <w:rsid w:val="0063180E"/>
    <w:rsid w:val="00631C8F"/>
    <w:rsid w:val="006325DF"/>
    <w:rsid w:val="00632EB8"/>
    <w:rsid w:val="006335D5"/>
    <w:rsid w:val="006335DD"/>
    <w:rsid w:val="00633830"/>
    <w:rsid w:val="00633C2B"/>
    <w:rsid w:val="00633D38"/>
    <w:rsid w:val="006346A0"/>
    <w:rsid w:val="006347BE"/>
    <w:rsid w:val="006348B8"/>
    <w:rsid w:val="00634A5E"/>
    <w:rsid w:val="00634CBB"/>
    <w:rsid w:val="006350B8"/>
    <w:rsid w:val="0063520C"/>
    <w:rsid w:val="00635224"/>
    <w:rsid w:val="006353AB"/>
    <w:rsid w:val="00635CD5"/>
    <w:rsid w:val="00635D62"/>
    <w:rsid w:val="0063621B"/>
    <w:rsid w:val="006366D4"/>
    <w:rsid w:val="00637284"/>
    <w:rsid w:val="006378F2"/>
    <w:rsid w:val="00637D23"/>
    <w:rsid w:val="00637D90"/>
    <w:rsid w:val="00637E44"/>
    <w:rsid w:val="00640193"/>
    <w:rsid w:val="00640C33"/>
    <w:rsid w:val="00640EC0"/>
    <w:rsid w:val="0064135C"/>
    <w:rsid w:val="006419A8"/>
    <w:rsid w:val="00641B99"/>
    <w:rsid w:val="006421C7"/>
    <w:rsid w:val="0064287A"/>
    <w:rsid w:val="006432CB"/>
    <w:rsid w:val="006438C7"/>
    <w:rsid w:val="006439C2"/>
    <w:rsid w:val="0064527C"/>
    <w:rsid w:val="006453B4"/>
    <w:rsid w:val="006455AD"/>
    <w:rsid w:val="00646522"/>
    <w:rsid w:val="00646D22"/>
    <w:rsid w:val="00646E23"/>
    <w:rsid w:val="00647447"/>
    <w:rsid w:val="006479F3"/>
    <w:rsid w:val="00650215"/>
    <w:rsid w:val="0065031F"/>
    <w:rsid w:val="00650738"/>
    <w:rsid w:val="0065093F"/>
    <w:rsid w:val="00650CD7"/>
    <w:rsid w:val="00651341"/>
    <w:rsid w:val="00651E08"/>
    <w:rsid w:val="00652728"/>
    <w:rsid w:val="00652B25"/>
    <w:rsid w:val="00652BB4"/>
    <w:rsid w:val="00652E21"/>
    <w:rsid w:val="006538FD"/>
    <w:rsid w:val="0065404B"/>
    <w:rsid w:val="006548B8"/>
    <w:rsid w:val="00655AAA"/>
    <w:rsid w:val="00655EA9"/>
    <w:rsid w:val="00655F71"/>
    <w:rsid w:val="00655FF5"/>
    <w:rsid w:val="00656961"/>
    <w:rsid w:val="00656B7E"/>
    <w:rsid w:val="00657E46"/>
    <w:rsid w:val="0066026C"/>
    <w:rsid w:val="006610CB"/>
    <w:rsid w:val="006614E6"/>
    <w:rsid w:val="006616E3"/>
    <w:rsid w:val="00661742"/>
    <w:rsid w:val="00661E69"/>
    <w:rsid w:val="006621E5"/>
    <w:rsid w:val="00662E03"/>
    <w:rsid w:val="00663442"/>
    <w:rsid w:val="00663657"/>
    <w:rsid w:val="00663ED6"/>
    <w:rsid w:val="00664091"/>
    <w:rsid w:val="006641FC"/>
    <w:rsid w:val="00664567"/>
    <w:rsid w:val="006645BB"/>
    <w:rsid w:val="006647CF"/>
    <w:rsid w:val="00664A0E"/>
    <w:rsid w:val="00664D24"/>
    <w:rsid w:val="00664DC0"/>
    <w:rsid w:val="006650A1"/>
    <w:rsid w:val="006659FE"/>
    <w:rsid w:val="006662D9"/>
    <w:rsid w:val="0066647F"/>
    <w:rsid w:val="00666C8F"/>
    <w:rsid w:val="00666DCA"/>
    <w:rsid w:val="00666F80"/>
    <w:rsid w:val="00666FB3"/>
    <w:rsid w:val="0066717D"/>
    <w:rsid w:val="00667396"/>
    <w:rsid w:val="00667599"/>
    <w:rsid w:val="006678BB"/>
    <w:rsid w:val="00667BC7"/>
    <w:rsid w:val="00667F99"/>
    <w:rsid w:val="006700B2"/>
    <w:rsid w:val="00671290"/>
    <w:rsid w:val="0067174F"/>
    <w:rsid w:val="00671DA0"/>
    <w:rsid w:val="00671F37"/>
    <w:rsid w:val="006722DD"/>
    <w:rsid w:val="0067235D"/>
    <w:rsid w:val="00672F55"/>
    <w:rsid w:val="00672F76"/>
    <w:rsid w:val="00673511"/>
    <w:rsid w:val="00673642"/>
    <w:rsid w:val="00673AEF"/>
    <w:rsid w:val="00673EB8"/>
    <w:rsid w:val="006744AC"/>
    <w:rsid w:val="006744B0"/>
    <w:rsid w:val="006744FD"/>
    <w:rsid w:val="00674982"/>
    <w:rsid w:val="00674FF2"/>
    <w:rsid w:val="00675283"/>
    <w:rsid w:val="00675A11"/>
    <w:rsid w:val="00676B98"/>
    <w:rsid w:val="00677035"/>
    <w:rsid w:val="0068060F"/>
    <w:rsid w:val="00680AF5"/>
    <w:rsid w:val="00680D51"/>
    <w:rsid w:val="00680E41"/>
    <w:rsid w:val="00680F28"/>
    <w:rsid w:val="00681B87"/>
    <w:rsid w:val="00681C83"/>
    <w:rsid w:val="00681D82"/>
    <w:rsid w:val="00681D8A"/>
    <w:rsid w:val="0068234C"/>
    <w:rsid w:val="0068234D"/>
    <w:rsid w:val="006823AB"/>
    <w:rsid w:val="0068285B"/>
    <w:rsid w:val="00682A34"/>
    <w:rsid w:val="00682D40"/>
    <w:rsid w:val="00682FEA"/>
    <w:rsid w:val="00683136"/>
    <w:rsid w:val="00683651"/>
    <w:rsid w:val="00683921"/>
    <w:rsid w:val="00683C72"/>
    <w:rsid w:val="0068404C"/>
    <w:rsid w:val="006840FC"/>
    <w:rsid w:val="00684418"/>
    <w:rsid w:val="00684620"/>
    <w:rsid w:val="00684623"/>
    <w:rsid w:val="006847C5"/>
    <w:rsid w:val="00684871"/>
    <w:rsid w:val="00684BE4"/>
    <w:rsid w:val="00684C73"/>
    <w:rsid w:val="00684D1B"/>
    <w:rsid w:val="00684F20"/>
    <w:rsid w:val="00684FE1"/>
    <w:rsid w:val="00685420"/>
    <w:rsid w:val="0068552C"/>
    <w:rsid w:val="006855EE"/>
    <w:rsid w:val="00685B79"/>
    <w:rsid w:val="00685C5C"/>
    <w:rsid w:val="00686898"/>
    <w:rsid w:val="00686A98"/>
    <w:rsid w:val="00686CF7"/>
    <w:rsid w:val="00687951"/>
    <w:rsid w:val="00687A4F"/>
    <w:rsid w:val="00687B75"/>
    <w:rsid w:val="00687D48"/>
    <w:rsid w:val="00690C1B"/>
    <w:rsid w:val="00690CC4"/>
    <w:rsid w:val="00690CEB"/>
    <w:rsid w:val="00691047"/>
    <w:rsid w:val="006917CF"/>
    <w:rsid w:val="00691E96"/>
    <w:rsid w:val="00691F01"/>
    <w:rsid w:val="0069206B"/>
    <w:rsid w:val="006927A1"/>
    <w:rsid w:val="00692D27"/>
    <w:rsid w:val="006934D4"/>
    <w:rsid w:val="00693CAC"/>
    <w:rsid w:val="00693FEF"/>
    <w:rsid w:val="00694594"/>
    <w:rsid w:val="00694BD3"/>
    <w:rsid w:val="00694C70"/>
    <w:rsid w:val="006957FD"/>
    <w:rsid w:val="00695A31"/>
    <w:rsid w:val="006960EB"/>
    <w:rsid w:val="006963EA"/>
    <w:rsid w:val="0069760A"/>
    <w:rsid w:val="006976BB"/>
    <w:rsid w:val="00697969"/>
    <w:rsid w:val="00697C52"/>
    <w:rsid w:val="006A0829"/>
    <w:rsid w:val="006A0AA3"/>
    <w:rsid w:val="006A161C"/>
    <w:rsid w:val="006A1CFD"/>
    <w:rsid w:val="006A2096"/>
    <w:rsid w:val="006A2419"/>
    <w:rsid w:val="006A2890"/>
    <w:rsid w:val="006A3369"/>
    <w:rsid w:val="006A4360"/>
    <w:rsid w:val="006A43E8"/>
    <w:rsid w:val="006A4948"/>
    <w:rsid w:val="006A4E4E"/>
    <w:rsid w:val="006A5F7C"/>
    <w:rsid w:val="006A5FB1"/>
    <w:rsid w:val="006A6565"/>
    <w:rsid w:val="006A70C4"/>
    <w:rsid w:val="006A7365"/>
    <w:rsid w:val="006A763D"/>
    <w:rsid w:val="006A7CAA"/>
    <w:rsid w:val="006A7E85"/>
    <w:rsid w:val="006B01C7"/>
    <w:rsid w:val="006B05F9"/>
    <w:rsid w:val="006B0C14"/>
    <w:rsid w:val="006B13FF"/>
    <w:rsid w:val="006B197B"/>
    <w:rsid w:val="006B1BCA"/>
    <w:rsid w:val="006B25A0"/>
    <w:rsid w:val="006B270A"/>
    <w:rsid w:val="006B2761"/>
    <w:rsid w:val="006B30AD"/>
    <w:rsid w:val="006B3281"/>
    <w:rsid w:val="006B35E3"/>
    <w:rsid w:val="006B4171"/>
    <w:rsid w:val="006B49A1"/>
    <w:rsid w:val="006B4DEB"/>
    <w:rsid w:val="006B5348"/>
    <w:rsid w:val="006B570C"/>
    <w:rsid w:val="006B59F6"/>
    <w:rsid w:val="006B5E4A"/>
    <w:rsid w:val="006B685D"/>
    <w:rsid w:val="006B6A77"/>
    <w:rsid w:val="006B6AD1"/>
    <w:rsid w:val="006B6CF2"/>
    <w:rsid w:val="006B71B6"/>
    <w:rsid w:val="006B765F"/>
    <w:rsid w:val="006B7F5A"/>
    <w:rsid w:val="006C0537"/>
    <w:rsid w:val="006C0608"/>
    <w:rsid w:val="006C0725"/>
    <w:rsid w:val="006C0E9F"/>
    <w:rsid w:val="006C11D9"/>
    <w:rsid w:val="006C1A1D"/>
    <w:rsid w:val="006C236A"/>
    <w:rsid w:val="006C2498"/>
    <w:rsid w:val="006C25C5"/>
    <w:rsid w:val="006C2664"/>
    <w:rsid w:val="006C28D6"/>
    <w:rsid w:val="006C2990"/>
    <w:rsid w:val="006C29BB"/>
    <w:rsid w:val="006C2BF4"/>
    <w:rsid w:val="006C2F01"/>
    <w:rsid w:val="006C310C"/>
    <w:rsid w:val="006C3785"/>
    <w:rsid w:val="006C3E1F"/>
    <w:rsid w:val="006C3FC5"/>
    <w:rsid w:val="006C4114"/>
    <w:rsid w:val="006C4568"/>
    <w:rsid w:val="006C468D"/>
    <w:rsid w:val="006C4B17"/>
    <w:rsid w:val="006C59BA"/>
    <w:rsid w:val="006C5A9E"/>
    <w:rsid w:val="006C5D57"/>
    <w:rsid w:val="006C5FF3"/>
    <w:rsid w:val="006C60CB"/>
    <w:rsid w:val="006C650B"/>
    <w:rsid w:val="006C6938"/>
    <w:rsid w:val="006C6A42"/>
    <w:rsid w:val="006C6B19"/>
    <w:rsid w:val="006C6E80"/>
    <w:rsid w:val="006C7027"/>
    <w:rsid w:val="006C76DC"/>
    <w:rsid w:val="006C7725"/>
    <w:rsid w:val="006C781D"/>
    <w:rsid w:val="006D1134"/>
    <w:rsid w:val="006D19AE"/>
    <w:rsid w:val="006D1C09"/>
    <w:rsid w:val="006D249F"/>
    <w:rsid w:val="006D28BD"/>
    <w:rsid w:val="006D2962"/>
    <w:rsid w:val="006D29C7"/>
    <w:rsid w:val="006D35D1"/>
    <w:rsid w:val="006D3799"/>
    <w:rsid w:val="006D425A"/>
    <w:rsid w:val="006D42F4"/>
    <w:rsid w:val="006D4A26"/>
    <w:rsid w:val="006D5259"/>
    <w:rsid w:val="006D52E9"/>
    <w:rsid w:val="006D52EC"/>
    <w:rsid w:val="006D53BF"/>
    <w:rsid w:val="006D5C75"/>
    <w:rsid w:val="006D6480"/>
    <w:rsid w:val="006D64B1"/>
    <w:rsid w:val="006D77F8"/>
    <w:rsid w:val="006E0067"/>
    <w:rsid w:val="006E07E8"/>
    <w:rsid w:val="006E0AFD"/>
    <w:rsid w:val="006E0B6F"/>
    <w:rsid w:val="006E0BA4"/>
    <w:rsid w:val="006E0C3E"/>
    <w:rsid w:val="006E1090"/>
    <w:rsid w:val="006E126C"/>
    <w:rsid w:val="006E214E"/>
    <w:rsid w:val="006E2EEB"/>
    <w:rsid w:val="006E2F21"/>
    <w:rsid w:val="006E42AC"/>
    <w:rsid w:val="006E47D4"/>
    <w:rsid w:val="006E4D88"/>
    <w:rsid w:val="006E4F11"/>
    <w:rsid w:val="006E504C"/>
    <w:rsid w:val="006E6758"/>
    <w:rsid w:val="006E693A"/>
    <w:rsid w:val="006E6CD1"/>
    <w:rsid w:val="006E70AC"/>
    <w:rsid w:val="006E7435"/>
    <w:rsid w:val="006F0279"/>
    <w:rsid w:val="006F0ECE"/>
    <w:rsid w:val="006F151D"/>
    <w:rsid w:val="006F1961"/>
    <w:rsid w:val="006F1CD5"/>
    <w:rsid w:val="006F1E9F"/>
    <w:rsid w:val="006F201B"/>
    <w:rsid w:val="006F20BA"/>
    <w:rsid w:val="006F2E83"/>
    <w:rsid w:val="006F2FA0"/>
    <w:rsid w:val="006F3417"/>
    <w:rsid w:val="006F36A7"/>
    <w:rsid w:val="006F3805"/>
    <w:rsid w:val="006F3A99"/>
    <w:rsid w:val="006F3D2C"/>
    <w:rsid w:val="006F3F69"/>
    <w:rsid w:val="006F4575"/>
    <w:rsid w:val="006F4FE2"/>
    <w:rsid w:val="006F592E"/>
    <w:rsid w:val="006F5B9A"/>
    <w:rsid w:val="006F6344"/>
    <w:rsid w:val="006F649E"/>
    <w:rsid w:val="006F655F"/>
    <w:rsid w:val="006F6874"/>
    <w:rsid w:val="006F6B7A"/>
    <w:rsid w:val="006F6EB8"/>
    <w:rsid w:val="0070021B"/>
    <w:rsid w:val="00700DDE"/>
    <w:rsid w:val="007012B8"/>
    <w:rsid w:val="0070214F"/>
    <w:rsid w:val="00702396"/>
    <w:rsid w:val="007028BF"/>
    <w:rsid w:val="00702D4B"/>
    <w:rsid w:val="007030FE"/>
    <w:rsid w:val="0070334C"/>
    <w:rsid w:val="00703420"/>
    <w:rsid w:val="007034EE"/>
    <w:rsid w:val="00703907"/>
    <w:rsid w:val="00703D90"/>
    <w:rsid w:val="007040AA"/>
    <w:rsid w:val="00704387"/>
    <w:rsid w:val="007048FA"/>
    <w:rsid w:val="007050C7"/>
    <w:rsid w:val="0070588C"/>
    <w:rsid w:val="007058D8"/>
    <w:rsid w:val="007062A0"/>
    <w:rsid w:val="0070658B"/>
    <w:rsid w:val="0070660A"/>
    <w:rsid w:val="00706A27"/>
    <w:rsid w:val="00706A6C"/>
    <w:rsid w:val="00706F07"/>
    <w:rsid w:val="00707B67"/>
    <w:rsid w:val="00707C82"/>
    <w:rsid w:val="00707E4A"/>
    <w:rsid w:val="00707FFE"/>
    <w:rsid w:val="007102F6"/>
    <w:rsid w:val="007104C2"/>
    <w:rsid w:val="007109D7"/>
    <w:rsid w:val="00710CB6"/>
    <w:rsid w:val="00710DCE"/>
    <w:rsid w:val="00711621"/>
    <w:rsid w:val="0071270C"/>
    <w:rsid w:val="00712F6E"/>
    <w:rsid w:val="0071349E"/>
    <w:rsid w:val="007134CB"/>
    <w:rsid w:val="00713BE7"/>
    <w:rsid w:val="00714355"/>
    <w:rsid w:val="007143E4"/>
    <w:rsid w:val="007145BA"/>
    <w:rsid w:val="00714F53"/>
    <w:rsid w:val="00714F84"/>
    <w:rsid w:val="007150C6"/>
    <w:rsid w:val="007153BF"/>
    <w:rsid w:val="00715624"/>
    <w:rsid w:val="007161EF"/>
    <w:rsid w:val="007165F3"/>
    <w:rsid w:val="0071755D"/>
    <w:rsid w:val="00717569"/>
    <w:rsid w:val="00717573"/>
    <w:rsid w:val="00717B10"/>
    <w:rsid w:val="00717FC5"/>
    <w:rsid w:val="00720060"/>
    <w:rsid w:val="00720C07"/>
    <w:rsid w:val="00720F55"/>
    <w:rsid w:val="007215AD"/>
    <w:rsid w:val="007217CE"/>
    <w:rsid w:val="00721820"/>
    <w:rsid w:val="007222F8"/>
    <w:rsid w:val="0072283D"/>
    <w:rsid w:val="00723343"/>
    <w:rsid w:val="007233AF"/>
    <w:rsid w:val="007236AB"/>
    <w:rsid w:val="00723890"/>
    <w:rsid w:val="00723C33"/>
    <w:rsid w:val="00723D8E"/>
    <w:rsid w:val="007247D5"/>
    <w:rsid w:val="00725015"/>
    <w:rsid w:val="007254E8"/>
    <w:rsid w:val="00725BFD"/>
    <w:rsid w:val="00725FF3"/>
    <w:rsid w:val="007266D1"/>
    <w:rsid w:val="00727131"/>
    <w:rsid w:val="00727173"/>
    <w:rsid w:val="007278C2"/>
    <w:rsid w:val="00730759"/>
    <w:rsid w:val="00731036"/>
    <w:rsid w:val="007320C8"/>
    <w:rsid w:val="007321E0"/>
    <w:rsid w:val="00732623"/>
    <w:rsid w:val="0073319F"/>
    <w:rsid w:val="007331FA"/>
    <w:rsid w:val="0073345E"/>
    <w:rsid w:val="00733C73"/>
    <w:rsid w:val="007340FF"/>
    <w:rsid w:val="007345FA"/>
    <w:rsid w:val="00734988"/>
    <w:rsid w:val="007349D2"/>
    <w:rsid w:val="00735157"/>
    <w:rsid w:val="00735259"/>
    <w:rsid w:val="0073698A"/>
    <w:rsid w:val="00736CFB"/>
    <w:rsid w:val="00736F0B"/>
    <w:rsid w:val="00736F70"/>
    <w:rsid w:val="007372F3"/>
    <w:rsid w:val="00737568"/>
    <w:rsid w:val="00737849"/>
    <w:rsid w:val="00737A6B"/>
    <w:rsid w:val="00740753"/>
    <w:rsid w:val="00741367"/>
    <w:rsid w:val="007421DB"/>
    <w:rsid w:val="00742506"/>
    <w:rsid w:val="00742592"/>
    <w:rsid w:val="0074292C"/>
    <w:rsid w:val="00742E28"/>
    <w:rsid w:val="00742F61"/>
    <w:rsid w:val="00742F9E"/>
    <w:rsid w:val="007435AA"/>
    <w:rsid w:val="00743797"/>
    <w:rsid w:val="00743B19"/>
    <w:rsid w:val="0074405A"/>
    <w:rsid w:val="007440F8"/>
    <w:rsid w:val="00744135"/>
    <w:rsid w:val="00744482"/>
    <w:rsid w:val="0074449A"/>
    <w:rsid w:val="0074455A"/>
    <w:rsid w:val="00744718"/>
    <w:rsid w:val="00744848"/>
    <w:rsid w:val="00744B55"/>
    <w:rsid w:val="00744E74"/>
    <w:rsid w:val="00744F09"/>
    <w:rsid w:val="00745253"/>
    <w:rsid w:val="007461F4"/>
    <w:rsid w:val="00746705"/>
    <w:rsid w:val="007467AC"/>
    <w:rsid w:val="00746938"/>
    <w:rsid w:val="00746C9B"/>
    <w:rsid w:val="00747AB8"/>
    <w:rsid w:val="00747F0D"/>
    <w:rsid w:val="00747FFC"/>
    <w:rsid w:val="00750112"/>
    <w:rsid w:val="007505CF"/>
    <w:rsid w:val="00750FBA"/>
    <w:rsid w:val="007514A1"/>
    <w:rsid w:val="00751A84"/>
    <w:rsid w:val="00751CE9"/>
    <w:rsid w:val="00751F00"/>
    <w:rsid w:val="00752399"/>
    <w:rsid w:val="007525AE"/>
    <w:rsid w:val="00752660"/>
    <w:rsid w:val="00752A7B"/>
    <w:rsid w:val="00752AD1"/>
    <w:rsid w:val="00752DBE"/>
    <w:rsid w:val="0075404C"/>
    <w:rsid w:val="007558B8"/>
    <w:rsid w:val="00755C99"/>
    <w:rsid w:val="00755DD7"/>
    <w:rsid w:val="007567C6"/>
    <w:rsid w:val="00757313"/>
    <w:rsid w:val="00757611"/>
    <w:rsid w:val="00757862"/>
    <w:rsid w:val="0076032B"/>
    <w:rsid w:val="007603FF"/>
    <w:rsid w:val="0076064C"/>
    <w:rsid w:val="00760ABF"/>
    <w:rsid w:val="00761129"/>
    <w:rsid w:val="00761B25"/>
    <w:rsid w:val="00761ED4"/>
    <w:rsid w:val="007620B8"/>
    <w:rsid w:val="0076251F"/>
    <w:rsid w:val="007626B8"/>
    <w:rsid w:val="00763197"/>
    <w:rsid w:val="007631C1"/>
    <w:rsid w:val="0076351C"/>
    <w:rsid w:val="007638E7"/>
    <w:rsid w:val="00763F55"/>
    <w:rsid w:val="007640A8"/>
    <w:rsid w:val="00764375"/>
    <w:rsid w:val="00764BDA"/>
    <w:rsid w:val="00765366"/>
    <w:rsid w:val="00765737"/>
    <w:rsid w:val="00765792"/>
    <w:rsid w:val="00765818"/>
    <w:rsid w:val="00765BC9"/>
    <w:rsid w:val="00765E2A"/>
    <w:rsid w:val="00766569"/>
    <w:rsid w:val="00766589"/>
    <w:rsid w:val="007668FB"/>
    <w:rsid w:val="00766A9F"/>
    <w:rsid w:val="00767091"/>
    <w:rsid w:val="00767631"/>
    <w:rsid w:val="00767827"/>
    <w:rsid w:val="00767D13"/>
    <w:rsid w:val="00770322"/>
    <w:rsid w:val="007704AB"/>
    <w:rsid w:val="00770506"/>
    <w:rsid w:val="00770CF6"/>
    <w:rsid w:val="007719D3"/>
    <w:rsid w:val="00772221"/>
    <w:rsid w:val="0077229C"/>
    <w:rsid w:val="00772A28"/>
    <w:rsid w:val="00774227"/>
    <w:rsid w:val="00774240"/>
    <w:rsid w:val="00774579"/>
    <w:rsid w:val="007745F3"/>
    <w:rsid w:val="007745F6"/>
    <w:rsid w:val="00774805"/>
    <w:rsid w:val="00774A7B"/>
    <w:rsid w:val="00774E76"/>
    <w:rsid w:val="0077574B"/>
    <w:rsid w:val="0077622B"/>
    <w:rsid w:val="007764A9"/>
    <w:rsid w:val="00776762"/>
    <w:rsid w:val="0077709F"/>
    <w:rsid w:val="007770C6"/>
    <w:rsid w:val="00777119"/>
    <w:rsid w:val="007771C2"/>
    <w:rsid w:val="007771FA"/>
    <w:rsid w:val="00777390"/>
    <w:rsid w:val="007774C3"/>
    <w:rsid w:val="007777A7"/>
    <w:rsid w:val="00777EF7"/>
    <w:rsid w:val="00780970"/>
    <w:rsid w:val="007812C4"/>
    <w:rsid w:val="007814C9"/>
    <w:rsid w:val="0078163F"/>
    <w:rsid w:val="00781A33"/>
    <w:rsid w:val="00782503"/>
    <w:rsid w:val="00782830"/>
    <w:rsid w:val="00782FF9"/>
    <w:rsid w:val="00783492"/>
    <w:rsid w:val="00783550"/>
    <w:rsid w:val="0078374F"/>
    <w:rsid w:val="00783C74"/>
    <w:rsid w:val="0078422D"/>
    <w:rsid w:val="00784650"/>
    <w:rsid w:val="00784C94"/>
    <w:rsid w:val="00785614"/>
    <w:rsid w:val="007856E6"/>
    <w:rsid w:val="007861A6"/>
    <w:rsid w:val="007862FE"/>
    <w:rsid w:val="00786318"/>
    <w:rsid w:val="00786390"/>
    <w:rsid w:val="00787578"/>
    <w:rsid w:val="00787729"/>
    <w:rsid w:val="00787B0F"/>
    <w:rsid w:val="00787F69"/>
    <w:rsid w:val="007900C8"/>
    <w:rsid w:val="0079022A"/>
    <w:rsid w:val="0079035C"/>
    <w:rsid w:val="0079078A"/>
    <w:rsid w:val="00790A4A"/>
    <w:rsid w:val="00790ECD"/>
    <w:rsid w:val="007917EF"/>
    <w:rsid w:val="0079296B"/>
    <w:rsid w:val="00792B0B"/>
    <w:rsid w:val="007932B5"/>
    <w:rsid w:val="007938D5"/>
    <w:rsid w:val="00793AD5"/>
    <w:rsid w:val="00793BB6"/>
    <w:rsid w:val="00793CA5"/>
    <w:rsid w:val="00794491"/>
    <w:rsid w:val="007950B2"/>
    <w:rsid w:val="007955B1"/>
    <w:rsid w:val="00795D3E"/>
    <w:rsid w:val="007961E6"/>
    <w:rsid w:val="007966BE"/>
    <w:rsid w:val="0079712A"/>
    <w:rsid w:val="0079722E"/>
    <w:rsid w:val="00797997"/>
    <w:rsid w:val="00797EE3"/>
    <w:rsid w:val="007A04E4"/>
    <w:rsid w:val="007A062A"/>
    <w:rsid w:val="007A08CA"/>
    <w:rsid w:val="007A0E0E"/>
    <w:rsid w:val="007A1057"/>
    <w:rsid w:val="007A1197"/>
    <w:rsid w:val="007A1349"/>
    <w:rsid w:val="007A1654"/>
    <w:rsid w:val="007A198F"/>
    <w:rsid w:val="007A1B5D"/>
    <w:rsid w:val="007A1D4F"/>
    <w:rsid w:val="007A1ED7"/>
    <w:rsid w:val="007A22F9"/>
    <w:rsid w:val="007A2400"/>
    <w:rsid w:val="007A29CA"/>
    <w:rsid w:val="007A2C17"/>
    <w:rsid w:val="007A2F65"/>
    <w:rsid w:val="007A31B7"/>
    <w:rsid w:val="007A34F0"/>
    <w:rsid w:val="007A3C27"/>
    <w:rsid w:val="007A3C4B"/>
    <w:rsid w:val="007A3FA1"/>
    <w:rsid w:val="007A40E2"/>
    <w:rsid w:val="007A4236"/>
    <w:rsid w:val="007A45A6"/>
    <w:rsid w:val="007A4B60"/>
    <w:rsid w:val="007A53D6"/>
    <w:rsid w:val="007A63FF"/>
    <w:rsid w:val="007A64BA"/>
    <w:rsid w:val="007A66A1"/>
    <w:rsid w:val="007A67D6"/>
    <w:rsid w:val="007A748F"/>
    <w:rsid w:val="007A7522"/>
    <w:rsid w:val="007A7591"/>
    <w:rsid w:val="007A7757"/>
    <w:rsid w:val="007B01E8"/>
    <w:rsid w:val="007B0677"/>
    <w:rsid w:val="007B0803"/>
    <w:rsid w:val="007B100C"/>
    <w:rsid w:val="007B1148"/>
    <w:rsid w:val="007B1430"/>
    <w:rsid w:val="007B1AC1"/>
    <w:rsid w:val="007B2B0C"/>
    <w:rsid w:val="007B2C5F"/>
    <w:rsid w:val="007B2DC7"/>
    <w:rsid w:val="007B2FBD"/>
    <w:rsid w:val="007B309C"/>
    <w:rsid w:val="007B3BA0"/>
    <w:rsid w:val="007B46B9"/>
    <w:rsid w:val="007B498C"/>
    <w:rsid w:val="007B4E02"/>
    <w:rsid w:val="007B52B5"/>
    <w:rsid w:val="007B553A"/>
    <w:rsid w:val="007B6245"/>
    <w:rsid w:val="007B6924"/>
    <w:rsid w:val="007C0267"/>
    <w:rsid w:val="007C05E5"/>
    <w:rsid w:val="007C088E"/>
    <w:rsid w:val="007C0E64"/>
    <w:rsid w:val="007C0EF2"/>
    <w:rsid w:val="007C19C4"/>
    <w:rsid w:val="007C1D16"/>
    <w:rsid w:val="007C1D86"/>
    <w:rsid w:val="007C1E01"/>
    <w:rsid w:val="007C2EE5"/>
    <w:rsid w:val="007C34C4"/>
    <w:rsid w:val="007C3530"/>
    <w:rsid w:val="007C389D"/>
    <w:rsid w:val="007C3C40"/>
    <w:rsid w:val="007C3F78"/>
    <w:rsid w:val="007C40EC"/>
    <w:rsid w:val="007C4176"/>
    <w:rsid w:val="007C43B0"/>
    <w:rsid w:val="007C48B9"/>
    <w:rsid w:val="007C49AC"/>
    <w:rsid w:val="007C4EBA"/>
    <w:rsid w:val="007C5750"/>
    <w:rsid w:val="007C5972"/>
    <w:rsid w:val="007C5A3F"/>
    <w:rsid w:val="007C5D7D"/>
    <w:rsid w:val="007C5E0B"/>
    <w:rsid w:val="007C6483"/>
    <w:rsid w:val="007C6607"/>
    <w:rsid w:val="007C6733"/>
    <w:rsid w:val="007C6902"/>
    <w:rsid w:val="007C70F9"/>
    <w:rsid w:val="007C726D"/>
    <w:rsid w:val="007C7B40"/>
    <w:rsid w:val="007C7C81"/>
    <w:rsid w:val="007C7C93"/>
    <w:rsid w:val="007D0244"/>
    <w:rsid w:val="007D05BC"/>
    <w:rsid w:val="007D0987"/>
    <w:rsid w:val="007D0B38"/>
    <w:rsid w:val="007D15FE"/>
    <w:rsid w:val="007D189B"/>
    <w:rsid w:val="007D18DF"/>
    <w:rsid w:val="007D1AE2"/>
    <w:rsid w:val="007D1BDA"/>
    <w:rsid w:val="007D1DFC"/>
    <w:rsid w:val="007D251A"/>
    <w:rsid w:val="007D2B98"/>
    <w:rsid w:val="007D2F7E"/>
    <w:rsid w:val="007D3126"/>
    <w:rsid w:val="007D363C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C02"/>
    <w:rsid w:val="007D6855"/>
    <w:rsid w:val="007D6987"/>
    <w:rsid w:val="007D6AD1"/>
    <w:rsid w:val="007D6FB1"/>
    <w:rsid w:val="007D7411"/>
    <w:rsid w:val="007D7449"/>
    <w:rsid w:val="007D7EA1"/>
    <w:rsid w:val="007D7EE3"/>
    <w:rsid w:val="007D7F74"/>
    <w:rsid w:val="007E0113"/>
    <w:rsid w:val="007E110A"/>
    <w:rsid w:val="007E1113"/>
    <w:rsid w:val="007E12CD"/>
    <w:rsid w:val="007E146D"/>
    <w:rsid w:val="007E1669"/>
    <w:rsid w:val="007E207B"/>
    <w:rsid w:val="007E22DF"/>
    <w:rsid w:val="007E24A3"/>
    <w:rsid w:val="007E24CE"/>
    <w:rsid w:val="007E2903"/>
    <w:rsid w:val="007E3BF4"/>
    <w:rsid w:val="007E3C27"/>
    <w:rsid w:val="007E3F8F"/>
    <w:rsid w:val="007E4250"/>
    <w:rsid w:val="007E467D"/>
    <w:rsid w:val="007E4881"/>
    <w:rsid w:val="007E48AB"/>
    <w:rsid w:val="007E490A"/>
    <w:rsid w:val="007E4F1C"/>
    <w:rsid w:val="007E519A"/>
    <w:rsid w:val="007E5640"/>
    <w:rsid w:val="007E58AE"/>
    <w:rsid w:val="007E5DD4"/>
    <w:rsid w:val="007E6100"/>
    <w:rsid w:val="007E6185"/>
    <w:rsid w:val="007E6AE6"/>
    <w:rsid w:val="007E6DE3"/>
    <w:rsid w:val="007E6F1A"/>
    <w:rsid w:val="007E72FB"/>
    <w:rsid w:val="007E755D"/>
    <w:rsid w:val="007E7613"/>
    <w:rsid w:val="007F0574"/>
    <w:rsid w:val="007F0A88"/>
    <w:rsid w:val="007F120A"/>
    <w:rsid w:val="007F196A"/>
    <w:rsid w:val="007F1A88"/>
    <w:rsid w:val="007F1CE1"/>
    <w:rsid w:val="007F227A"/>
    <w:rsid w:val="007F239C"/>
    <w:rsid w:val="007F23E6"/>
    <w:rsid w:val="007F2456"/>
    <w:rsid w:val="007F2704"/>
    <w:rsid w:val="007F2798"/>
    <w:rsid w:val="007F2B6B"/>
    <w:rsid w:val="007F2E81"/>
    <w:rsid w:val="007F2FA3"/>
    <w:rsid w:val="007F3034"/>
    <w:rsid w:val="007F325E"/>
    <w:rsid w:val="007F352D"/>
    <w:rsid w:val="007F391B"/>
    <w:rsid w:val="007F4097"/>
    <w:rsid w:val="007F40EC"/>
    <w:rsid w:val="007F42B0"/>
    <w:rsid w:val="007F4AF3"/>
    <w:rsid w:val="007F4B00"/>
    <w:rsid w:val="007F5317"/>
    <w:rsid w:val="007F55F5"/>
    <w:rsid w:val="007F5915"/>
    <w:rsid w:val="007F5B5C"/>
    <w:rsid w:val="007F646A"/>
    <w:rsid w:val="007F68BD"/>
    <w:rsid w:val="007F70AA"/>
    <w:rsid w:val="007F7406"/>
    <w:rsid w:val="007F74B2"/>
    <w:rsid w:val="007F75E3"/>
    <w:rsid w:val="007F766D"/>
    <w:rsid w:val="008001A2"/>
    <w:rsid w:val="00800204"/>
    <w:rsid w:val="00800516"/>
    <w:rsid w:val="00801AD6"/>
    <w:rsid w:val="00801F01"/>
    <w:rsid w:val="00802046"/>
    <w:rsid w:val="008020CA"/>
    <w:rsid w:val="0080259A"/>
    <w:rsid w:val="008027B8"/>
    <w:rsid w:val="0080282E"/>
    <w:rsid w:val="008033C3"/>
    <w:rsid w:val="008033FE"/>
    <w:rsid w:val="00804139"/>
    <w:rsid w:val="008046B3"/>
    <w:rsid w:val="0080552E"/>
    <w:rsid w:val="00805B7A"/>
    <w:rsid w:val="0080686D"/>
    <w:rsid w:val="00806D30"/>
    <w:rsid w:val="00807106"/>
    <w:rsid w:val="008073A8"/>
    <w:rsid w:val="008100AF"/>
    <w:rsid w:val="00810189"/>
    <w:rsid w:val="00810D39"/>
    <w:rsid w:val="00811613"/>
    <w:rsid w:val="00811C01"/>
    <w:rsid w:val="00811C28"/>
    <w:rsid w:val="00811CF7"/>
    <w:rsid w:val="00812390"/>
    <w:rsid w:val="00812472"/>
    <w:rsid w:val="00812617"/>
    <w:rsid w:val="008126B8"/>
    <w:rsid w:val="00812CBE"/>
    <w:rsid w:val="00812E72"/>
    <w:rsid w:val="00813203"/>
    <w:rsid w:val="0081324E"/>
    <w:rsid w:val="00813437"/>
    <w:rsid w:val="0081347E"/>
    <w:rsid w:val="00813857"/>
    <w:rsid w:val="00813BFC"/>
    <w:rsid w:val="00813DA8"/>
    <w:rsid w:val="00813EF6"/>
    <w:rsid w:val="00813F5D"/>
    <w:rsid w:val="0081445F"/>
    <w:rsid w:val="008144FE"/>
    <w:rsid w:val="008149BA"/>
    <w:rsid w:val="00814CF6"/>
    <w:rsid w:val="00814E30"/>
    <w:rsid w:val="00814E79"/>
    <w:rsid w:val="00815346"/>
    <w:rsid w:val="0081557C"/>
    <w:rsid w:val="00815794"/>
    <w:rsid w:val="00816C6F"/>
    <w:rsid w:val="00816E58"/>
    <w:rsid w:val="0081730C"/>
    <w:rsid w:val="0081739D"/>
    <w:rsid w:val="00817526"/>
    <w:rsid w:val="00817DDA"/>
    <w:rsid w:val="008203C0"/>
    <w:rsid w:val="008204FA"/>
    <w:rsid w:val="0082057F"/>
    <w:rsid w:val="00820829"/>
    <w:rsid w:val="00820AC0"/>
    <w:rsid w:val="00820E5C"/>
    <w:rsid w:val="00821266"/>
    <w:rsid w:val="00821ED3"/>
    <w:rsid w:val="008222AC"/>
    <w:rsid w:val="008226C5"/>
    <w:rsid w:val="0082296E"/>
    <w:rsid w:val="008233C4"/>
    <w:rsid w:val="00823C9B"/>
    <w:rsid w:val="00824680"/>
    <w:rsid w:val="00824D16"/>
    <w:rsid w:val="00824DA8"/>
    <w:rsid w:val="00825348"/>
    <w:rsid w:val="008254AB"/>
    <w:rsid w:val="008255EE"/>
    <w:rsid w:val="008259F6"/>
    <w:rsid w:val="00825FDD"/>
    <w:rsid w:val="0082603F"/>
    <w:rsid w:val="0082667F"/>
    <w:rsid w:val="008269E4"/>
    <w:rsid w:val="00826ABF"/>
    <w:rsid w:val="008273C3"/>
    <w:rsid w:val="00827614"/>
    <w:rsid w:val="00827E24"/>
    <w:rsid w:val="00830DD9"/>
    <w:rsid w:val="00831230"/>
    <w:rsid w:val="008312A0"/>
    <w:rsid w:val="0083141C"/>
    <w:rsid w:val="008315D7"/>
    <w:rsid w:val="0083186F"/>
    <w:rsid w:val="00831872"/>
    <w:rsid w:val="00831FC3"/>
    <w:rsid w:val="008324E3"/>
    <w:rsid w:val="00832B04"/>
    <w:rsid w:val="00832DBA"/>
    <w:rsid w:val="0083314C"/>
    <w:rsid w:val="00833A3E"/>
    <w:rsid w:val="008341ED"/>
    <w:rsid w:val="008343DE"/>
    <w:rsid w:val="008348B0"/>
    <w:rsid w:val="00834976"/>
    <w:rsid w:val="00834E7E"/>
    <w:rsid w:val="008353FE"/>
    <w:rsid w:val="00835618"/>
    <w:rsid w:val="0083594B"/>
    <w:rsid w:val="00835C3C"/>
    <w:rsid w:val="0083604E"/>
    <w:rsid w:val="008363E6"/>
    <w:rsid w:val="00837792"/>
    <w:rsid w:val="00837882"/>
    <w:rsid w:val="008379F2"/>
    <w:rsid w:val="00837A75"/>
    <w:rsid w:val="00837EDF"/>
    <w:rsid w:val="0084031C"/>
    <w:rsid w:val="0084044E"/>
    <w:rsid w:val="0084049B"/>
    <w:rsid w:val="00840A6E"/>
    <w:rsid w:val="0084115F"/>
    <w:rsid w:val="008416B4"/>
    <w:rsid w:val="00841975"/>
    <w:rsid w:val="00841FBE"/>
    <w:rsid w:val="0084279E"/>
    <w:rsid w:val="00842974"/>
    <w:rsid w:val="00842B22"/>
    <w:rsid w:val="00842C6A"/>
    <w:rsid w:val="00843327"/>
    <w:rsid w:val="008436D7"/>
    <w:rsid w:val="008439D5"/>
    <w:rsid w:val="00843DF1"/>
    <w:rsid w:val="00843F0C"/>
    <w:rsid w:val="00843FA7"/>
    <w:rsid w:val="0084436D"/>
    <w:rsid w:val="0084470D"/>
    <w:rsid w:val="00844D07"/>
    <w:rsid w:val="00845240"/>
    <w:rsid w:val="00845827"/>
    <w:rsid w:val="00845900"/>
    <w:rsid w:val="00845CDF"/>
    <w:rsid w:val="008465AF"/>
    <w:rsid w:val="008467AB"/>
    <w:rsid w:val="00846845"/>
    <w:rsid w:val="00846B49"/>
    <w:rsid w:val="00847737"/>
    <w:rsid w:val="00847D64"/>
    <w:rsid w:val="00847E60"/>
    <w:rsid w:val="00850510"/>
    <w:rsid w:val="0085093F"/>
    <w:rsid w:val="00851238"/>
    <w:rsid w:val="008513DC"/>
    <w:rsid w:val="00851DC3"/>
    <w:rsid w:val="00852210"/>
    <w:rsid w:val="00852822"/>
    <w:rsid w:val="00853140"/>
    <w:rsid w:val="0085346A"/>
    <w:rsid w:val="00853A11"/>
    <w:rsid w:val="00853B7D"/>
    <w:rsid w:val="00854244"/>
    <w:rsid w:val="00854846"/>
    <w:rsid w:val="00854C73"/>
    <w:rsid w:val="008551B0"/>
    <w:rsid w:val="00856025"/>
    <w:rsid w:val="00856754"/>
    <w:rsid w:val="0085712D"/>
    <w:rsid w:val="008571E7"/>
    <w:rsid w:val="0085777C"/>
    <w:rsid w:val="00857C61"/>
    <w:rsid w:val="00857CB8"/>
    <w:rsid w:val="00857E67"/>
    <w:rsid w:val="008601E3"/>
    <w:rsid w:val="00860294"/>
    <w:rsid w:val="0086066C"/>
    <w:rsid w:val="00860AB2"/>
    <w:rsid w:val="00860D14"/>
    <w:rsid w:val="00860D6A"/>
    <w:rsid w:val="00861261"/>
    <w:rsid w:val="008615D8"/>
    <w:rsid w:val="00861E3F"/>
    <w:rsid w:val="00862171"/>
    <w:rsid w:val="008621B6"/>
    <w:rsid w:val="00862374"/>
    <w:rsid w:val="00862556"/>
    <w:rsid w:val="00862D00"/>
    <w:rsid w:val="008630B0"/>
    <w:rsid w:val="008630CD"/>
    <w:rsid w:val="00863945"/>
    <w:rsid w:val="00863E93"/>
    <w:rsid w:val="00864D96"/>
    <w:rsid w:val="00865A96"/>
    <w:rsid w:val="00865CC2"/>
    <w:rsid w:val="00866402"/>
    <w:rsid w:val="00866425"/>
    <w:rsid w:val="008664C0"/>
    <w:rsid w:val="00866505"/>
    <w:rsid w:val="00866718"/>
    <w:rsid w:val="0086705E"/>
    <w:rsid w:val="00867315"/>
    <w:rsid w:val="0086791D"/>
    <w:rsid w:val="0086795E"/>
    <w:rsid w:val="00867AC8"/>
    <w:rsid w:val="00867C57"/>
    <w:rsid w:val="00867D2B"/>
    <w:rsid w:val="00867D6F"/>
    <w:rsid w:val="00870767"/>
    <w:rsid w:val="0087086A"/>
    <w:rsid w:val="00870930"/>
    <w:rsid w:val="0087180F"/>
    <w:rsid w:val="00871E84"/>
    <w:rsid w:val="00871F13"/>
    <w:rsid w:val="008728F6"/>
    <w:rsid w:val="008729D8"/>
    <w:rsid w:val="00872B70"/>
    <w:rsid w:val="00872D5A"/>
    <w:rsid w:val="0087383B"/>
    <w:rsid w:val="00873BDF"/>
    <w:rsid w:val="00873EAF"/>
    <w:rsid w:val="008743CF"/>
    <w:rsid w:val="00874981"/>
    <w:rsid w:val="00874FB4"/>
    <w:rsid w:val="00874FE5"/>
    <w:rsid w:val="00876A46"/>
    <w:rsid w:val="00876A96"/>
    <w:rsid w:val="00876B67"/>
    <w:rsid w:val="00877036"/>
    <w:rsid w:val="008770EC"/>
    <w:rsid w:val="00877106"/>
    <w:rsid w:val="00877DC8"/>
    <w:rsid w:val="00880B4B"/>
    <w:rsid w:val="00880DAA"/>
    <w:rsid w:val="008810F4"/>
    <w:rsid w:val="008814BA"/>
    <w:rsid w:val="008818D0"/>
    <w:rsid w:val="00881AF7"/>
    <w:rsid w:val="00881C61"/>
    <w:rsid w:val="008823F5"/>
    <w:rsid w:val="008827CC"/>
    <w:rsid w:val="00883298"/>
    <w:rsid w:val="008838A3"/>
    <w:rsid w:val="0088411F"/>
    <w:rsid w:val="00884D89"/>
    <w:rsid w:val="00884E6E"/>
    <w:rsid w:val="00885A50"/>
    <w:rsid w:val="00885ACA"/>
    <w:rsid w:val="008862B9"/>
    <w:rsid w:val="00886315"/>
    <w:rsid w:val="00886497"/>
    <w:rsid w:val="0088673C"/>
    <w:rsid w:val="00886903"/>
    <w:rsid w:val="008872DE"/>
    <w:rsid w:val="008873E9"/>
    <w:rsid w:val="008876A2"/>
    <w:rsid w:val="00890040"/>
    <w:rsid w:val="00890197"/>
    <w:rsid w:val="00890925"/>
    <w:rsid w:val="00890B80"/>
    <w:rsid w:val="00890F72"/>
    <w:rsid w:val="00891100"/>
    <w:rsid w:val="008921A7"/>
    <w:rsid w:val="008922BF"/>
    <w:rsid w:val="0089241E"/>
    <w:rsid w:val="0089247E"/>
    <w:rsid w:val="008940E5"/>
    <w:rsid w:val="00894656"/>
    <w:rsid w:val="008946B9"/>
    <w:rsid w:val="00894C8E"/>
    <w:rsid w:val="008951B5"/>
    <w:rsid w:val="008957E3"/>
    <w:rsid w:val="0089628F"/>
    <w:rsid w:val="00896409"/>
    <w:rsid w:val="00896E6E"/>
    <w:rsid w:val="00897C8D"/>
    <w:rsid w:val="008A0176"/>
    <w:rsid w:val="008A03BD"/>
    <w:rsid w:val="008A1009"/>
    <w:rsid w:val="008A113F"/>
    <w:rsid w:val="008A160F"/>
    <w:rsid w:val="008A1A05"/>
    <w:rsid w:val="008A1D6D"/>
    <w:rsid w:val="008A1FF1"/>
    <w:rsid w:val="008A265D"/>
    <w:rsid w:val="008A267B"/>
    <w:rsid w:val="008A26DF"/>
    <w:rsid w:val="008A2FF6"/>
    <w:rsid w:val="008A3054"/>
    <w:rsid w:val="008A31C1"/>
    <w:rsid w:val="008A3328"/>
    <w:rsid w:val="008A34C3"/>
    <w:rsid w:val="008A3B72"/>
    <w:rsid w:val="008A3DEC"/>
    <w:rsid w:val="008A46D7"/>
    <w:rsid w:val="008A49CA"/>
    <w:rsid w:val="008A49F7"/>
    <w:rsid w:val="008A4CC0"/>
    <w:rsid w:val="008A4EED"/>
    <w:rsid w:val="008A53A8"/>
    <w:rsid w:val="008A66B6"/>
    <w:rsid w:val="008A6FED"/>
    <w:rsid w:val="008A7077"/>
    <w:rsid w:val="008A7239"/>
    <w:rsid w:val="008A7641"/>
    <w:rsid w:val="008A7647"/>
    <w:rsid w:val="008A7E7C"/>
    <w:rsid w:val="008B04F8"/>
    <w:rsid w:val="008B0516"/>
    <w:rsid w:val="008B0836"/>
    <w:rsid w:val="008B2046"/>
    <w:rsid w:val="008B222B"/>
    <w:rsid w:val="008B2C6E"/>
    <w:rsid w:val="008B2D06"/>
    <w:rsid w:val="008B350A"/>
    <w:rsid w:val="008B36C2"/>
    <w:rsid w:val="008B3B67"/>
    <w:rsid w:val="008B48D4"/>
    <w:rsid w:val="008B4910"/>
    <w:rsid w:val="008B4AB2"/>
    <w:rsid w:val="008B4BAA"/>
    <w:rsid w:val="008B514B"/>
    <w:rsid w:val="008B5183"/>
    <w:rsid w:val="008B5396"/>
    <w:rsid w:val="008B56C9"/>
    <w:rsid w:val="008B59A0"/>
    <w:rsid w:val="008B5D16"/>
    <w:rsid w:val="008B601B"/>
    <w:rsid w:val="008B6763"/>
    <w:rsid w:val="008B797C"/>
    <w:rsid w:val="008B7A59"/>
    <w:rsid w:val="008B7A99"/>
    <w:rsid w:val="008B7B0C"/>
    <w:rsid w:val="008B7EC5"/>
    <w:rsid w:val="008C0614"/>
    <w:rsid w:val="008C06F3"/>
    <w:rsid w:val="008C072D"/>
    <w:rsid w:val="008C14D7"/>
    <w:rsid w:val="008C1CDF"/>
    <w:rsid w:val="008C1D89"/>
    <w:rsid w:val="008C1F91"/>
    <w:rsid w:val="008C1FA8"/>
    <w:rsid w:val="008C3C42"/>
    <w:rsid w:val="008C3F00"/>
    <w:rsid w:val="008C4879"/>
    <w:rsid w:val="008C4A3A"/>
    <w:rsid w:val="008C54C3"/>
    <w:rsid w:val="008C5754"/>
    <w:rsid w:val="008C5896"/>
    <w:rsid w:val="008C58AE"/>
    <w:rsid w:val="008C62BE"/>
    <w:rsid w:val="008C6461"/>
    <w:rsid w:val="008C6B5E"/>
    <w:rsid w:val="008C6C35"/>
    <w:rsid w:val="008C6E5F"/>
    <w:rsid w:val="008C7A13"/>
    <w:rsid w:val="008C7A9D"/>
    <w:rsid w:val="008D027C"/>
    <w:rsid w:val="008D07F6"/>
    <w:rsid w:val="008D0951"/>
    <w:rsid w:val="008D0A0E"/>
    <w:rsid w:val="008D2181"/>
    <w:rsid w:val="008D230E"/>
    <w:rsid w:val="008D23B3"/>
    <w:rsid w:val="008D2B71"/>
    <w:rsid w:val="008D2BCC"/>
    <w:rsid w:val="008D2F65"/>
    <w:rsid w:val="008D313B"/>
    <w:rsid w:val="008D33CE"/>
    <w:rsid w:val="008D3426"/>
    <w:rsid w:val="008D381A"/>
    <w:rsid w:val="008D381D"/>
    <w:rsid w:val="008D4250"/>
    <w:rsid w:val="008D49BB"/>
    <w:rsid w:val="008D4B68"/>
    <w:rsid w:val="008D5035"/>
    <w:rsid w:val="008D562A"/>
    <w:rsid w:val="008D5A72"/>
    <w:rsid w:val="008D5F5E"/>
    <w:rsid w:val="008D6124"/>
    <w:rsid w:val="008D6130"/>
    <w:rsid w:val="008D655F"/>
    <w:rsid w:val="008D65CB"/>
    <w:rsid w:val="008D6AFD"/>
    <w:rsid w:val="008D6D79"/>
    <w:rsid w:val="008D7339"/>
    <w:rsid w:val="008D77C2"/>
    <w:rsid w:val="008D77C5"/>
    <w:rsid w:val="008D7A23"/>
    <w:rsid w:val="008D7FE9"/>
    <w:rsid w:val="008E00DF"/>
    <w:rsid w:val="008E0642"/>
    <w:rsid w:val="008E067F"/>
    <w:rsid w:val="008E077B"/>
    <w:rsid w:val="008E0A08"/>
    <w:rsid w:val="008E0CE6"/>
    <w:rsid w:val="008E11A7"/>
    <w:rsid w:val="008E18AD"/>
    <w:rsid w:val="008E1AA9"/>
    <w:rsid w:val="008E1C89"/>
    <w:rsid w:val="008E1CBC"/>
    <w:rsid w:val="008E2476"/>
    <w:rsid w:val="008E2479"/>
    <w:rsid w:val="008E2B4A"/>
    <w:rsid w:val="008E3663"/>
    <w:rsid w:val="008E369E"/>
    <w:rsid w:val="008E4736"/>
    <w:rsid w:val="008E498B"/>
    <w:rsid w:val="008E4E1E"/>
    <w:rsid w:val="008E5193"/>
    <w:rsid w:val="008E56BF"/>
    <w:rsid w:val="008E58FF"/>
    <w:rsid w:val="008E5DA3"/>
    <w:rsid w:val="008E5E28"/>
    <w:rsid w:val="008E5FBA"/>
    <w:rsid w:val="008E62DB"/>
    <w:rsid w:val="008E6938"/>
    <w:rsid w:val="008E6E48"/>
    <w:rsid w:val="008E71A5"/>
    <w:rsid w:val="008E7F33"/>
    <w:rsid w:val="008F0508"/>
    <w:rsid w:val="008F0A75"/>
    <w:rsid w:val="008F0BC4"/>
    <w:rsid w:val="008F117B"/>
    <w:rsid w:val="008F16B2"/>
    <w:rsid w:val="008F1B3E"/>
    <w:rsid w:val="008F1F64"/>
    <w:rsid w:val="008F24F1"/>
    <w:rsid w:val="008F2934"/>
    <w:rsid w:val="008F2E27"/>
    <w:rsid w:val="008F310C"/>
    <w:rsid w:val="008F44BC"/>
    <w:rsid w:val="008F46EE"/>
    <w:rsid w:val="008F4798"/>
    <w:rsid w:val="008F490C"/>
    <w:rsid w:val="008F4AA9"/>
    <w:rsid w:val="008F4BB3"/>
    <w:rsid w:val="008F4DAA"/>
    <w:rsid w:val="008F6EA5"/>
    <w:rsid w:val="008F70F4"/>
    <w:rsid w:val="008F7230"/>
    <w:rsid w:val="008F73A9"/>
    <w:rsid w:val="008F7D80"/>
    <w:rsid w:val="008F7F32"/>
    <w:rsid w:val="0090005F"/>
    <w:rsid w:val="00900F25"/>
    <w:rsid w:val="00901331"/>
    <w:rsid w:val="009013D4"/>
    <w:rsid w:val="0090153E"/>
    <w:rsid w:val="00901897"/>
    <w:rsid w:val="00902397"/>
    <w:rsid w:val="00902664"/>
    <w:rsid w:val="0090292C"/>
    <w:rsid w:val="00902CF1"/>
    <w:rsid w:val="00902E90"/>
    <w:rsid w:val="00903359"/>
    <w:rsid w:val="0090361E"/>
    <w:rsid w:val="00903D51"/>
    <w:rsid w:val="00904187"/>
    <w:rsid w:val="00904232"/>
    <w:rsid w:val="00904246"/>
    <w:rsid w:val="0090450E"/>
    <w:rsid w:val="00904871"/>
    <w:rsid w:val="00904DB9"/>
    <w:rsid w:val="00904F96"/>
    <w:rsid w:val="0090552B"/>
    <w:rsid w:val="00905668"/>
    <w:rsid w:val="00906654"/>
    <w:rsid w:val="00906808"/>
    <w:rsid w:val="00906C63"/>
    <w:rsid w:val="00906D08"/>
    <w:rsid w:val="00906E8F"/>
    <w:rsid w:val="00907025"/>
    <w:rsid w:val="0090721E"/>
    <w:rsid w:val="0090755D"/>
    <w:rsid w:val="00907808"/>
    <w:rsid w:val="00907DD2"/>
    <w:rsid w:val="009107FE"/>
    <w:rsid w:val="00910C92"/>
    <w:rsid w:val="00911643"/>
    <w:rsid w:val="00911D19"/>
    <w:rsid w:val="009121D7"/>
    <w:rsid w:val="00912554"/>
    <w:rsid w:val="009127B0"/>
    <w:rsid w:val="00912B31"/>
    <w:rsid w:val="00913200"/>
    <w:rsid w:val="0091376A"/>
    <w:rsid w:val="0091440A"/>
    <w:rsid w:val="0091444F"/>
    <w:rsid w:val="00914E7F"/>
    <w:rsid w:val="00914FA0"/>
    <w:rsid w:val="00915EBA"/>
    <w:rsid w:val="00915F3D"/>
    <w:rsid w:val="00916072"/>
    <w:rsid w:val="00916785"/>
    <w:rsid w:val="009172AF"/>
    <w:rsid w:val="0091775D"/>
    <w:rsid w:val="00917D91"/>
    <w:rsid w:val="0092005D"/>
    <w:rsid w:val="00920135"/>
    <w:rsid w:val="0092098A"/>
    <w:rsid w:val="00920BDB"/>
    <w:rsid w:val="00920CD0"/>
    <w:rsid w:val="00920E6B"/>
    <w:rsid w:val="00920ECE"/>
    <w:rsid w:val="009219A1"/>
    <w:rsid w:val="00921B54"/>
    <w:rsid w:val="00921D7F"/>
    <w:rsid w:val="00921FAA"/>
    <w:rsid w:val="0092230C"/>
    <w:rsid w:val="00922B87"/>
    <w:rsid w:val="0092312B"/>
    <w:rsid w:val="00923633"/>
    <w:rsid w:val="00923725"/>
    <w:rsid w:val="00923D0D"/>
    <w:rsid w:val="0092400A"/>
    <w:rsid w:val="00924384"/>
    <w:rsid w:val="0092441A"/>
    <w:rsid w:val="0092468E"/>
    <w:rsid w:val="0092476E"/>
    <w:rsid w:val="0092482A"/>
    <w:rsid w:val="00924D4E"/>
    <w:rsid w:val="0092527D"/>
    <w:rsid w:val="00925451"/>
    <w:rsid w:val="00925757"/>
    <w:rsid w:val="00925B64"/>
    <w:rsid w:val="00926311"/>
    <w:rsid w:val="00926363"/>
    <w:rsid w:val="00926B71"/>
    <w:rsid w:val="00926C5F"/>
    <w:rsid w:val="0092707C"/>
    <w:rsid w:val="009273FF"/>
    <w:rsid w:val="009276CE"/>
    <w:rsid w:val="009277AD"/>
    <w:rsid w:val="00927ABA"/>
    <w:rsid w:val="00927DAB"/>
    <w:rsid w:val="00927F39"/>
    <w:rsid w:val="009300BC"/>
    <w:rsid w:val="00930269"/>
    <w:rsid w:val="00930479"/>
    <w:rsid w:val="00930576"/>
    <w:rsid w:val="00930750"/>
    <w:rsid w:val="0093118E"/>
    <w:rsid w:val="009315FE"/>
    <w:rsid w:val="0093166E"/>
    <w:rsid w:val="009317ED"/>
    <w:rsid w:val="00931D82"/>
    <w:rsid w:val="00931F13"/>
    <w:rsid w:val="0093276B"/>
    <w:rsid w:val="00933D6A"/>
    <w:rsid w:val="00933D80"/>
    <w:rsid w:val="00933EAD"/>
    <w:rsid w:val="009348E8"/>
    <w:rsid w:val="00934952"/>
    <w:rsid w:val="00934A8D"/>
    <w:rsid w:val="00934AB7"/>
    <w:rsid w:val="009350ED"/>
    <w:rsid w:val="00935DF3"/>
    <w:rsid w:val="009363E5"/>
    <w:rsid w:val="009365E4"/>
    <w:rsid w:val="00936C02"/>
    <w:rsid w:val="00936D3F"/>
    <w:rsid w:val="00936D60"/>
    <w:rsid w:val="00936E37"/>
    <w:rsid w:val="009374F1"/>
    <w:rsid w:val="00937703"/>
    <w:rsid w:val="00937A73"/>
    <w:rsid w:val="009402CE"/>
    <w:rsid w:val="009416E0"/>
    <w:rsid w:val="00941984"/>
    <w:rsid w:val="00941B6E"/>
    <w:rsid w:val="00941CA4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31F8"/>
    <w:rsid w:val="00943257"/>
    <w:rsid w:val="00943482"/>
    <w:rsid w:val="009435D2"/>
    <w:rsid w:val="00943CBE"/>
    <w:rsid w:val="00944173"/>
    <w:rsid w:val="009447B5"/>
    <w:rsid w:val="00944E6A"/>
    <w:rsid w:val="00945618"/>
    <w:rsid w:val="00945B98"/>
    <w:rsid w:val="00945D90"/>
    <w:rsid w:val="0094606F"/>
    <w:rsid w:val="009478E1"/>
    <w:rsid w:val="00950912"/>
    <w:rsid w:val="00950D12"/>
    <w:rsid w:val="00951261"/>
    <w:rsid w:val="0095134F"/>
    <w:rsid w:val="00951DE5"/>
    <w:rsid w:val="00952227"/>
    <w:rsid w:val="00952D1F"/>
    <w:rsid w:val="00952FA0"/>
    <w:rsid w:val="0095304B"/>
    <w:rsid w:val="0095341D"/>
    <w:rsid w:val="00953BB7"/>
    <w:rsid w:val="00953F8F"/>
    <w:rsid w:val="00954016"/>
    <w:rsid w:val="00954126"/>
    <w:rsid w:val="009541F1"/>
    <w:rsid w:val="009548E8"/>
    <w:rsid w:val="0095492C"/>
    <w:rsid w:val="00955325"/>
    <w:rsid w:val="0095566B"/>
    <w:rsid w:val="00955BFB"/>
    <w:rsid w:val="00955DA1"/>
    <w:rsid w:val="00955E99"/>
    <w:rsid w:val="00956567"/>
    <w:rsid w:val="00957889"/>
    <w:rsid w:val="009603A1"/>
    <w:rsid w:val="00960FE9"/>
    <w:rsid w:val="009610AC"/>
    <w:rsid w:val="0096120D"/>
    <w:rsid w:val="00961B30"/>
    <w:rsid w:val="009620BE"/>
    <w:rsid w:val="0096299D"/>
    <w:rsid w:val="00963237"/>
    <w:rsid w:val="0096326C"/>
    <w:rsid w:val="009634A1"/>
    <w:rsid w:val="0096405F"/>
    <w:rsid w:val="009643C8"/>
    <w:rsid w:val="0096488A"/>
    <w:rsid w:val="0096495F"/>
    <w:rsid w:val="00965079"/>
    <w:rsid w:val="009652C2"/>
    <w:rsid w:val="009652DC"/>
    <w:rsid w:val="00965820"/>
    <w:rsid w:val="00965F90"/>
    <w:rsid w:val="00966331"/>
    <w:rsid w:val="00966D4A"/>
    <w:rsid w:val="009674A3"/>
    <w:rsid w:val="009675BF"/>
    <w:rsid w:val="00967A31"/>
    <w:rsid w:val="00970055"/>
    <w:rsid w:val="0097061F"/>
    <w:rsid w:val="009706C3"/>
    <w:rsid w:val="00970EEF"/>
    <w:rsid w:val="009710D3"/>
    <w:rsid w:val="009712DF"/>
    <w:rsid w:val="00972764"/>
    <w:rsid w:val="00973537"/>
    <w:rsid w:val="0097425A"/>
    <w:rsid w:val="009748B7"/>
    <w:rsid w:val="0097519D"/>
    <w:rsid w:val="00975A15"/>
    <w:rsid w:val="00975E4C"/>
    <w:rsid w:val="00976762"/>
    <w:rsid w:val="009773EE"/>
    <w:rsid w:val="0097756E"/>
    <w:rsid w:val="009776FE"/>
    <w:rsid w:val="0097792E"/>
    <w:rsid w:val="00980C99"/>
    <w:rsid w:val="009812E4"/>
    <w:rsid w:val="009817CF"/>
    <w:rsid w:val="00981B3C"/>
    <w:rsid w:val="00981BEB"/>
    <w:rsid w:val="00981E2D"/>
    <w:rsid w:val="00983025"/>
    <w:rsid w:val="0098311D"/>
    <w:rsid w:val="0098384B"/>
    <w:rsid w:val="00983C54"/>
    <w:rsid w:val="00984055"/>
    <w:rsid w:val="009845A6"/>
    <w:rsid w:val="009846DF"/>
    <w:rsid w:val="00984738"/>
    <w:rsid w:val="009848BD"/>
    <w:rsid w:val="00985587"/>
    <w:rsid w:val="0098569D"/>
    <w:rsid w:val="0098622B"/>
    <w:rsid w:val="0098626D"/>
    <w:rsid w:val="0098652A"/>
    <w:rsid w:val="0098669F"/>
    <w:rsid w:val="00986748"/>
    <w:rsid w:val="00986F24"/>
    <w:rsid w:val="009870AA"/>
    <w:rsid w:val="00987C68"/>
    <w:rsid w:val="00987C9F"/>
    <w:rsid w:val="00987E34"/>
    <w:rsid w:val="00991089"/>
    <w:rsid w:val="00991368"/>
    <w:rsid w:val="009919D8"/>
    <w:rsid w:val="00991BFC"/>
    <w:rsid w:val="009925F7"/>
    <w:rsid w:val="00992A5D"/>
    <w:rsid w:val="00993667"/>
    <w:rsid w:val="00993907"/>
    <w:rsid w:val="00993F48"/>
    <w:rsid w:val="00994290"/>
    <w:rsid w:val="009942A4"/>
    <w:rsid w:val="00995E09"/>
    <w:rsid w:val="0099622C"/>
    <w:rsid w:val="0099645D"/>
    <w:rsid w:val="00996850"/>
    <w:rsid w:val="00997573"/>
    <w:rsid w:val="0099768D"/>
    <w:rsid w:val="009976A6"/>
    <w:rsid w:val="00997893"/>
    <w:rsid w:val="009A0076"/>
    <w:rsid w:val="009A0289"/>
    <w:rsid w:val="009A02B1"/>
    <w:rsid w:val="009A035C"/>
    <w:rsid w:val="009A0566"/>
    <w:rsid w:val="009A0CA5"/>
    <w:rsid w:val="009A19A3"/>
    <w:rsid w:val="009A1F98"/>
    <w:rsid w:val="009A267D"/>
    <w:rsid w:val="009A2D32"/>
    <w:rsid w:val="009A3647"/>
    <w:rsid w:val="009A3BD9"/>
    <w:rsid w:val="009A4156"/>
    <w:rsid w:val="009A4237"/>
    <w:rsid w:val="009A5088"/>
    <w:rsid w:val="009A50E5"/>
    <w:rsid w:val="009A5755"/>
    <w:rsid w:val="009A5B97"/>
    <w:rsid w:val="009A5C4F"/>
    <w:rsid w:val="009A5ED2"/>
    <w:rsid w:val="009A6157"/>
    <w:rsid w:val="009A6A9B"/>
    <w:rsid w:val="009A6E9A"/>
    <w:rsid w:val="009A74F8"/>
    <w:rsid w:val="009A785F"/>
    <w:rsid w:val="009B0828"/>
    <w:rsid w:val="009B10FD"/>
    <w:rsid w:val="009B1465"/>
    <w:rsid w:val="009B148F"/>
    <w:rsid w:val="009B1581"/>
    <w:rsid w:val="009B1741"/>
    <w:rsid w:val="009B1E72"/>
    <w:rsid w:val="009B2607"/>
    <w:rsid w:val="009B3540"/>
    <w:rsid w:val="009B3620"/>
    <w:rsid w:val="009B386A"/>
    <w:rsid w:val="009B3B0F"/>
    <w:rsid w:val="009B4738"/>
    <w:rsid w:val="009B57B3"/>
    <w:rsid w:val="009B59DC"/>
    <w:rsid w:val="009B5B9E"/>
    <w:rsid w:val="009B6040"/>
    <w:rsid w:val="009B60D4"/>
    <w:rsid w:val="009B6778"/>
    <w:rsid w:val="009B678D"/>
    <w:rsid w:val="009B6ABB"/>
    <w:rsid w:val="009B6B90"/>
    <w:rsid w:val="009B6FFA"/>
    <w:rsid w:val="009B71EA"/>
    <w:rsid w:val="009B7DCB"/>
    <w:rsid w:val="009C01FF"/>
    <w:rsid w:val="009C1214"/>
    <w:rsid w:val="009C1432"/>
    <w:rsid w:val="009C16AC"/>
    <w:rsid w:val="009C1955"/>
    <w:rsid w:val="009C20F9"/>
    <w:rsid w:val="009C2388"/>
    <w:rsid w:val="009C2534"/>
    <w:rsid w:val="009C295F"/>
    <w:rsid w:val="009C301F"/>
    <w:rsid w:val="009C3736"/>
    <w:rsid w:val="009C3986"/>
    <w:rsid w:val="009C3A50"/>
    <w:rsid w:val="009C3CD0"/>
    <w:rsid w:val="009C3EFB"/>
    <w:rsid w:val="009C4862"/>
    <w:rsid w:val="009C4CCE"/>
    <w:rsid w:val="009C4D98"/>
    <w:rsid w:val="009C5484"/>
    <w:rsid w:val="009C54D5"/>
    <w:rsid w:val="009C559B"/>
    <w:rsid w:val="009C6098"/>
    <w:rsid w:val="009C6BE5"/>
    <w:rsid w:val="009C6CCA"/>
    <w:rsid w:val="009C7016"/>
    <w:rsid w:val="009D1037"/>
    <w:rsid w:val="009D10CF"/>
    <w:rsid w:val="009D156E"/>
    <w:rsid w:val="009D182C"/>
    <w:rsid w:val="009D24C5"/>
    <w:rsid w:val="009D254F"/>
    <w:rsid w:val="009D290B"/>
    <w:rsid w:val="009D2C63"/>
    <w:rsid w:val="009D355F"/>
    <w:rsid w:val="009D3780"/>
    <w:rsid w:val="009D3800"/>
    <w:rsid w:val="009D397E"/>
    <w:rsid w:val="009D3CEA"/>
    <w:rsid w:val="009D42AF"/>
    <w:rsid w:val="009D4806"/>
    <w:rsid w:val="009D4B10"/>
    <w:rsid w:val="009D4C50"/>
    <w:rsid w:val="009D504B"/>
    <w:rsid w:val="009D5159"/>
    <w:rsid w:val="009D5B30"/>
    <w:rsid w:val="009D6BD8"/>
    <w:rsid w:val="009D6FEE"/>
    <w:rsid w:val="009D733B"/>
    <w:rsid w:val="009D7C97"/>
    <w:rsid w:val="009D7CE8"/>
    <w:rsid w:val="009D7EB8"/>
    <w:rsid w:val="009E0289"/>
    <w:rsid w:val="009E03B4"/>
    <w:rsid w:val="009E0447"/>
    <w:rsid w:val="009E060C"/>
    <w:rsid w:val="009E07AA"/>
    <w:rsid w:val="009E1123"/>
    <w:rsid w:val="009E11FD"/>
    <w:rsid w:val="009E1D5E"/>
    <w:rsid w:val="009E1F6A"/>
    <w:rsid w:val="009E2554"/>
    <w:rsid w:val="009E25C3"/>
    <w:rsid w:val="009E3BFF"/>
    <w:rsid w:val="009E3D48"/>
    <w:rsid w:val="009E43A9"/>
    <w:rsid w:val="009E46A4"/>
    <w:rsid w:val="009E52D7"/>
    <w:rsid w:val="009E57D6"/>
    <w:rsid w:val="009E5BD7"/>
    <w:rsid w:val="009E6906"/>
    <w:rsid w:val="009E69F0"/>
    <w:rsid w:val="009E6CFF"/>
    <w:rsid w:val="009E712F"/>
    <w:rsid w:val="009E715B"/>
    <w:rsid w:val="009E7304"/>
    <w:rsid w:val="009E753F"/>
    <w:rsid w:val="009E7696"/>
    <w:rsid w:val="009E775D"/>
    <w:rsid w:val="009E7923"/>
    <w:rsid w:val="009E7F05"/>
    <w:rsid w:val="009F018F"/>
    <w:rsid w:val="009F0793"/>
    <w:rsid w:val="009F0930"/>
    <w:rsid w:val="009F0B0B"/>
    <w:rsid w:val="009F0CA6"/>
    <w:rsid w:val="009F1B47"/>
    <w:rsid w:val="009F20AA"/>
    <w:rsid w:val="009F2808"/>
    <w:rsid w:val="009F2E65"/>
    <w:rsid w:val="009F35C8"/>
    <w:rsid w:val="009F38B1"/>
    <w:rsid w:val="009F3BD4"/>
    <w:rsid w:val="009F448B"/>
    <w:rsid w:val="009F44E6"/>
    <w:rsid w:val="009F469A"/>
    <w:rsid w:val="009F4763"/>
    <w:rsid w:val="009F485A"/>
    <w:rsid w:val="009F4DBB"/>
    <w:rsid w:val="009F53DB"/>
    <w:rsid w:val="009F57CC"/>
    <w:rsid w:val="009F586A"/>
    <w:rsid w:val="009F5E2D"/>
    <w:rsid w:val="009F66D1"/>
    <w:rsid w:val="009F6AF2"/>
    <w:rsid w:val="009F6D1C"/>
    <w:rsid w:val="009F6F55"/>
    <w:rsid w:val="009F7037"/>
    <w:rsid w:val="009F797B"/>
    <w:rsid w:val="009F7D01"/>
    <w:rsid w:val="009F7D7D"/>
    <w:rsid w:val="00A00010"/>
    <w:rsid w:val="00A00033"/>
    <w:rsid w:val="00A00335"/>
    <w:rsid w:val="00A00963"/>
    <w:rsid w:val="00A00F11"/>
    <w:rsid w:val="00A01388"/>
    <w:rsid w:val="00A01BB8"/>
    <w:rsid w:val="00A01F1B"/>
    <w:rsid w:val="00A02511"/>
    <w:rsid w:val="00A02900"/>
    <w:rsid w:val="00A02C0D"/>
    <w:rsid w:val="00A02D75"/>
    <w:rsid w:val="00A0366C"/>
    <w:rsid w:val="00A0370E"/>
    <w:rsid w:val="00A039D0"/>
    <w:rsid w:val="00A039F2"/>
    <w:rsid w:val="00A03D68"/>
    <w:rsid w:val="00A04516"/>
    <w:rsid w:val="00A045AE"/>
    <w:rsid w:val="00A04607"/>
    <w:rsid w:val="00A04692"/>
    <w:rsid w:val="00A047A1"/>
    <w:rsid w:val="00A04800"/>
    <w:rsid w:val="00A04913"/>
    <w:rsid w:val="00A04AED"/>
    <w:rsid w:val="00A0541E"/>
    <w:rsid w:val="00A054E6"/>
    <w:rsid w:val="00A06092"/>
    <w:rsid w:val="00A06EE9"/>
    <w:rsid w:val="00A07476"/>
    <w:rsid w:val="00A0762F"/>
    <w:rsid w:val="00A07DE6"/>
    <w:rsid w:val="00A100BE"/>
    <w:rsid w:val="00A10162"/>
    <w:rsid w:val="00A10E56"/>
    <w:rsid w:val="00A11FF6"/>
    <w:rsid w:val="00A121D3"/>
    <w:rsid w:val="00A123BA"/>
    <w:rsid w:val="00A12882"/>
    <w:rsid w:val="00A12D3A"/>
    <w:rsid w:val="00A13158"/>
    <w:rsid w:val="00A13246"/>
    <w:rsid w:val="00A138A9"/>
    <w:rsid w:val="00A139AA"/>
    <w:rsid w:val="00A13A73"/>
    <w:rsid w:val="00A14AEE"/>
    <w:rsid w:val="00A15D51"/>
    <w:rsid w:val="00A15F37"/>
    <w:rsid w:val="00A160A1"/>
    <w:rsid w:val="00A160DA"/>
    <w:rsid w:val="00A16619"/>
    <w:rsid w:val="00A1675E"/>
    <w:rsid w:val="00A16E32"/>
    <w:rsid w:val="00A1771E"/>
    <w:rsid w:val="00A17978"/>
    <w:rsid w:val="00A17F6A"/>
    <w:rsid w:val="00A200CD"/>
    <w:rsid w:val="00A204D4"/>
    <w:rsid w:val="00A2127F"/>
    <w:rsid w:val="00A21360"/>
    <w:rsid w:val="00A21415"/>
    <w:rsid w:val="00A21459"/>
    <w:rsid w:val="00A2184F"/>
    <w:rsid w:val="00A219F0"/>
    <w:rsid w:val="00A21FD5"/>
    <w:rsid w:val="00A22599"/>
    <w:rsid w:val="00A22952"/>
    <w:rsid w:val="00A24407"/>
    <w:rsid w:val="00A2472A"/>
    <w:rsid w:val="00A24AAC"/>
    <w:rsid w:val="00A24C8F"/>
    <w:rsid w:val="00A24EEB"/>
    <w:rsid w:val="00A25186"/>
    <w:rsid w:val="00A2585B"/>
    <w:rsid w:val="00A25A8E"/>
    <w:rsid w:val="00A25B4C"/>
    <w:rsid w:val="00A25BE9"/>
    <w:rsid w:val="00A25F14"/>
    <w:rsid w:val="00A26691"/>
    <w:rsid w:val="00A269ED"/>
    <w:rsid w:val="00A26BB8"/>
    <w:rsid w:val="00A26C28"/>
    <w:rsid w:val="00A26FEA"/>
    <w:rsid w:val="00A2778E"/>
    <w:rsid w:val="00A278D9"/>
    <w:rsid w:val="00A278EA"/>
    <w:rsid w:val="00A3048B"/>
    <w:rsid w:val="00A30CD9"/>
    <w:rsid w:val="00A31503"/>
    <w:rsid w:val="00A3170C"/>
    <w:rsid w:val="00A31CFE"/>
    <w:rsid w:val="00A322CB"/>
    <w:rsid w:val="00A3282F"/>
    <w:rsid w:val="00A32A5B"/>
    <w:rsid w:val="00A32BFF"/>
    <w:rsid w:val="00A33361"/>
    <w:rsid w:val="00A33719"/>
    <w:rsid w:val="00A3472E"/>
    <w:rsid w:val="00A34AFB"/>
    <w:rsid w:val="00A34C9E"/>
    <w:rsid w:val="00A35684"/>
    <w:rsid w:val="00A35838"/>
    <w:rsid w:val="00A358E0"/>
    <w:rsid w:val="00A35C27"/>
    <w:rsid w:val="00A35F6B"/>
    <w:rsid w:val="00A36905"/>
    <w:rsid w:val="00A36C62"/>
    <w:rsid w:val="00A36F3A"/>
    <w:rsid w:val="00A37324"/>
    <w:rsid w:val="00A3736C"/>
    <w:rsid w:val="00A3756B"/>
    <w:rsid w:val="00A379EB"/>
    <w:rsid w:val="00A37B3C"/>
    <w:rsid w:val="00A37B6F"/>
    <w:rsid w:val="00A37CD0"/>
    <w:rsid w:val="00A4077C"/>
    <w:rsid w:val="00A40A8C"/>
    <w:rsid w:val="00A40D6F"/>
    <w:rsid w:val="00A40DAF"/>
    <w:rsid w:val="00A414C8"/>
    <w:rsid w:val="00A41736"/>
    <w:rsid w:val="00A41CA2"/>
    <w:rsid w:val="00A41DA2"/>
    <w:rsid w:val="00A41E4F"/>
    <w:rsid w:val="00A428DD"/>
    <w:rsid w:val="00A42F9F"/>
    <w:rsid w:val="00A42FC4"/>
    <w:rsid w:val="00A42FE7"/>
    <w:rsid w:val="00A43BD7"/>
    <w:rsid w:val="00A43D11"/>
    <w:rsid w:val="00A43F69"/>
    <w:rsid w:val="00A446DE"/>
    <w:rsid w:val="00A449CE"/>
    <w:rsid w:val="00A45819"/>
    <w:rsid w:val="00A45C55"/>
    <w:rsid w:val="00A46339"/>
    <w:rsid w:val="00A46958"/>
    <w:rsid w:val="00A46FBF"/>
    <w:rsid w:val="00A4707E"/>
    <w:rsid w:val="00A473DF"/>
    <w:rsid w:val="00A500B4"/>
    <w:rsid w:val="00A50219"/>
    <w:rsid w:val="00A50B68"/>
    <w:rsid w:val="00A5208D"/>
    <w:rsid w:val="00A52745"/>
    <w:rsid w:val="00A52BF7"/>
    <w:rsid w:val="00A52C8A"/>
    <w:rsid w:val="00A52F21"/>
    <w:rsid w:val="00A5396F"/>
    <w:rsid w:val="00A53A66"/>
    <w:rsid w:val="00A53EBF"/>
    <w:rsid w:val="00A54100"/>
    <w:rsid w:val="00A54592"/>
    <w:rsid w:val="00A5473D"/>
    <w:rsid w:val="00A54AE1"/>
    <w:rsid w:val="00A5506D"/>
    <w:rsid w:val="00A56509"/>
    <w:rsid w:val="00A5665E"/>
    <w:rsid w:val="00A56AEA"/>
    <w:rsid w:val="00A56B67"/>
    <w:rsid w:val="00A56E64"/>
    <w:rsid w:val="00A57079"/>
    <w:rsid w:val="00A602EE"/>
    <w:rsid w:val="00A60951"/>
    <w:rsid w:val="00A60C5D"/>
    <w:rsid w:val="00A60E2B"/>
    <w:rsid w:val="00A60F40"/>
    <w:rsid w:val="00A6157A"/>
    <w:rsid w:val="00A628FA"/>
    <w:rsid w:val="00A63102"/>
    <w:rsid w:val="00A637FA"/>
    <w:rsid w:val="00A63FE6"/>
    <w:rsid w:val="00A640AE"/>
    <w:rsid w:val="00A644FC"/>
    <w:rsid w:val="00A64646"/>
    <w:rsid w:val="00A647F4"/>
    <w:rsid w:val="00A64976"/>
    <w:rsid w:val="00A64B1B"/>
    <w:rsid w:val="00A6584C"/>
    <w:rsid w:val="00A65BF9"/>
    <w:rsid w:val="00A666E6"/>
    <w:rsid w:val="00A66CE1"/>
    <w:rsid w:val="00A6715E"/>
    <w:rsid w:val="00A67754"/>
    <w:rsid w:val="00A67C1C"/>
    <w:rsid w:val="00A67F9E"/>
    <w:rsid w:val="00A7040F"/>
    <w:rsid w:val="00A707AB"/>
    <w:rsid w:val="00A70D4E"/>
    <w:rsid w:val="00A71002"/>
    <w:rsid w:val="00A7261F"/>
    <w:rsid w:val="00A72717"/>
    <w:rsid w:val="00A72919"/>
    <w:rsid w:val="00A7348F"/>
    <w:rsid w:val="00A73898"/>
    <w:rsid w:val="00A73AA2"/>
    <w:rsid w:val="00A7436E"/>
    <w:rsid w:val="00A7490F"/>
    <w:rsid w:val="00A75011"/>
    <w:rsid w:val="00A752F1"/>
    <w:rsid w:val="00A75773"/>
    <w:rsid w:val="00A75D02"/>
    <w:rsid w:val="00A75F33"/>
    <w:rsid w:val="00A76D8A"/>
    <w:rsid w:val="00A771A5"/>
    <w:rsid w:val="00A77239"/>
    <w:rsid w:val="00A772B2"/>
    <w:rsid w:val="00A7759D"/>
    <w:rsid w:val="00A77642"/>
    <w:rsid w:val="00A77914"/>
    <w:rsid w:val="00A77C5B"/>
    <w:rsid w:val="00A8039A"/>
    <w:rsid w:val="00A80924"/>
    <w:rsid w:val="00A80B37"/>
    <w:rsid w:val="00A81C41"/>
    <w:rsid w:val="00A8236D"/>
    <w:rsid w:val="00A832C2"/>
    <w:rsid w:val="00A836D2"/>
    <w:rsid w:val="00A8378F"/>
    <w:rsid w:val="00A83AB5"/>
    <w:rsid w:val="00A83D7A"/>
    <w:rsid w:val="00A845CC"/>
    <w:rsid w:val="00A857A5"/>
    <w:rsid w:val="00A85918"/>
    <w:rsid w:val="00A859D0"/>
    <w:rsid w:val="00A86A19"/>
    <w:rsid w:val="00A86A3B"/>
    <w:rsid w:val="00A86D2F"/>
    <w:rsid w:val="00A87013"/>
    <w:rsid w:val="00A870A6"/>
    <w:rsid w:val="00A877B4"/>
    <w:rsid w:val="00A87800"/>
    <w:rsid w:val="00A9052F"/>
    <w:rsid w:val="00A9076C"/>
    <w:rsid w:val="00A9194D"/>
    <w:rsid w:val="00A91CF0"/>
    <w:rsid w:val="00A93504"/>
    <w:rsid w:val="00A93E91"/>
    <w:rsid w:val="00A941A9"/>
    <w:rsid w:val="00A94960"/>
    <w:rsid w:val="00A94CCD"/>
    <w:rsid w:val="00A94FB6"/>
    <w:rsid w:val="00A95084"/>
    <w:rsid w:val="00A952C9"/>
    <w:rsid w:val="00A95548"/>
    <w:rsid w:val="00A956E7"/>
    <w:rsid w:val="00A959A4"/>
    <w:rsid w:val="00A95AE3"/>
    <w:rsid w:val="00A95B4F"/>
    <w:rsid w:val="00A95C41"/>
    <w:rsid w:val="00A95DCE"/>
    <w:rsid w:val="00A96ACC"/>
    <w:rsid w:val="00A96EC8"/>
    <w:rsid w:val="00A96FF6"/>
    <w:rsid w:val="00A973F3"/>
    <w:rsid w:val="00A97466"/>
    <w:rsid w:val="00A97504"/>
    <w:rsid w:val="00A97BAB"/>
    <w:rsid w:val="00A97EE7"/>
    <w:rsid w:val="00A97FB3"/>
    <w:rsid w:val="00A97FFE"/>
    <w:rsid w:val="00AA0261"/>
    <w:rsid w:val="00AA04F9"/>
    <w:rsid w:val="00AA099C"/>
    <w:rsid w:val="00AA09C4"/>
    <w:rsid w:val="00AA0E4E"/>
    <w:rsid w:val="00AA122F"/>
    <w:rsid w:val="00AA18A7"/>
    <w:rsid w:val="00AA197B"/>
    <w:rsid w:val="00AA20E7"/>
    <w:rsid w:val="00AA2533"/>
    <w:rsid w:val="00AA28DF"/>
    <w:rsid w:val="00AA2B67"/>
    <w:rsid w:val="00AA34F9"/>
    <w:rsid w:val="00AA3707"/>
    <w:rsid w:val="00AA3C31"/>
    <w:rsid w:val="00AA3C3C"/>
    <w:rsid w:val="00AA3F92"/>
    <w:rsid w:val="00AA4143"/>
    <w:rsid w:val="00AA4466"/>
    <w:rsid w:val="00AA46A3"/>
    <w:rsid w:val="00AA4E17"/>
    <w:rsid w:val="00AA4FD5"/>
    <w:rsid w:val="00AA5404"/>
    <w:rsid w:val="00AA633C"/>
    <w:rsid w:val="00AA6542"/>
    <w:rsid w:val="00AA6AA1"/>
    <w:rsid w:val="00AA72A1"/>
    <w:rsid w:val="00AA7F5E"/>
    <w:rsid w:val="00AB0849"/>
    <w:rsid w:val="00AB0B60"/>
    <w:rsid w:val="00AB0DA4"/>
    <w:rsid w:val="00AB0DFB"/>
    <w:rsid w:val="00AB0FF4"/>
    <w:rsid w:val="00AB0FFB"/>
    <w:rsid w:val="00AB10C6"/>
    <w:rsid w:val="00AB129E"/>
    <w:rsid w:val="00AB28E0"/>
    <w:rsid w:val="00AB3083"/>
    <w:rsid w:val="00AB3B6C"/>
    <w:rsid w:val="00AB4161"/>
    <w:rsid w:val="00AB46AB"/>
    <w:rsid w:val="00AB49AD"/>
    <w:rsid w:val="00AB4BA0"/>
    <w:rsid w:val="00AB50E7"/>
    <w:rsid w:val="00AB5A6D"/>
    <w:rsid w:val="00AB5DF0"/>
    <w:rsid w:val="00AB60D9"/>
    <w:rsid w:val="00AB61E3"/>
    <w:rsid w:val="00AB7571"/>
    <w:rsid w:val="00AB7EA8"/>
    <w:rsid w:val="00AC07EB"/>
    <w:rsid w:val="00AC0ACE"/>
    <w:rsid w:val="00AC0D6A"/>
    <w:rsid w:val="00AC112F"/>
    <w:rsid w:val="00AC1417"/>
    <w:rsid w:val="00AC15F8"/>
    <w:rsid w:val="00AC1867"/>
    <w:rsid w:val="00AC218C"/>
    <w:rsid w:val="00AC2412"/>
    <w:rsid w:val="00AC2DCF"/>
    <w:rsid w:val="00AC310B"/>
    <w:rsid w:val="00AC334F"/>
    <w:rsid w:val="00AC34D2"/>
    <w:rsid w:val="00AC3932"/>
    <w:rsid w:val="00AC39BD"/>
    <w:rsid w:val="00AC3D08"/>
    <w:rsid w:val="00AC3E7F"/>
    <w:rsid w:val="00AC4259"/>
    <w:rsid w:val="00AC43B7"/>
    <w:rsid w:val="00AC44B1"/>
    <w:rsid w:val="00AC4596"/>
    <w:rsid w:val="00AC4D22"/>
    <w:rsid w:val="00AC5728"/>
    <w:rsid w:val="00AC5806"/>
    <w:rsid w:val="00AC5B2E"/>
    <w:rsid w:val="00AC5CDD"/>
    <w:rsid w:val="00AC6B2D"/>
    <w:rsid w:val="00AC738F"/>
    <w:rsid w:val="00AC7608"/>
    <w:rsid w:val="00AC7751"/>
    <w:rsid w:val="00AC7770"/>
    <w:rsid w:val="00AC7CAF"/>
    <w:rsid w:val="00AC7DB5"/>
    <w:rsid w:val="00AC7DF4"/>
    <w:rsid w:val="00AD0109"/>
    <w:rsid w:val="00AD0BD6"/>
    <w:rsid w:val="00AD0D04"/>
    <w:rsid w:val="00AD16CE"/>
    <w:rsid w:val="00AD2396"/>
    <w:rsid w:val="00AD295E"/>
    <w:rsid w:val="00AD30E4"/>
    <w:rsid w:val="00AD330B"/>
    <w:rsid w:val="00AD3ED5"/>
    <w:rsid w:val="00AD4107"/>
    <w:rsid w:val="00AD45D2"/>
    <w:rsid w:val="00AD4ADD"/>
    <w:rsid w:val="00AD4F82"/>
    <w:rsid w:val="00AD5772"/>
    <w:rsid w:val="00AD6D5A"/>
    <w:rsid w:val="00AD6DD8"/>
    <w:rsid w:val="00AD6E85"/>
    <w:rsid w:val="00AD7002"/>
    <w:rsid w:val="00AD7007"/>
    <w:rsid w:val="00AD7C22"/>
    <w:rsid w:val="00AD7C84"/>
    <w:rsid w:val="00AD7D39"/>
    <w:rsid w:val="00AD7F2B"/>
    <w:rsid w:val="00AE1893"/>
    <w:rsid w:val="00AE1FFB"/>
    <w:rsid w:val="00AE224A"/>
    <w:rsid w:val="00AE26FF"/>
    <w:rsid w:val="00AE27BF"/>
    <w:rsid w:val="00AE378A"/>
    <w:rsid w:val="00AE4708"/>
    <w:rsid w:val="00AE4B12"/>
    <w:rsid w:val="00AE5596"/>
    <w:rsid w:val="00AE55B5"/>
    <w:rsid w:val="00AE5B52"/>
    <w:rsid w:val="00AE6249"/>
    <w:rsid w:val="00AE7A36"/>
    <w:rsid w:val="00AF004C"/>
    <w:rsid w:val="00AF022B"/>
    <w:rsid w:val="00AF050E"/>
    <w:rsid w:val="00AF07D5"/>
    <w:rsid w:val="00AF0AB0"/>
    <w:rsid w:val="00AF0C4B"/>
    <w:rsid w:val="00AF12AB"/>
    <w:rsid w:val="00AF12FA"/>
    <w:rsid w:val="00AF15FA"/>
    <w:rsid w:val="00AF1BA7"/>
    <w:rsid w:val="00AF2925"/>
    <w:rsid w:val="00AF2BE9"/>
    <w:rsid w:val="00AF3204"/>
    <w:rsid w:val="00AF379A"/>
    <w:rsid w:val="00AF3A64"/>
    <w:rsid w:val="00AF3C62"/>
    <w:rsid w:val="00AF3FC2"/>
    <w:rsid w:val="00AF45E5"/>
    <w:rsid w:val="00AF4A6C"/>
    <w:rsid w:val="00AF4B43"/>
    <w:rsid w:val="00AF4CF7"/>
    <w:rsid w:val="00AF5183"/>
    <w:rsid w:val="00AF51D6"/>
    <w:rsid w:val="00AF5440"/>
    <w:rsid w:val="00AF65F6"/>
    <w:rsid w:val="00AF669E"/>
    <w:rsid w:val="00AF6D72"/>
    <w:rsid w:val="00AF74A2"/>
    <w:rsid w:val="00AF750E"/>
    <w:rsid w:val="00AF751F"/>
    <w:rsid w:val="00AF758E"/>
    <w:rsid w:val="00AF7599"/>
    <w:rsid w:val="00AF7B55"/>
    <w:rsid w:val="00B003C8"/>
    <w:rsid w:val="00B0051F"/>
    <w:rsid w:val="00B007A2"/>
    <w:rsid w:val="00B0092F"/>
    <w:rsid w:val="00B00AEC"/>
    <w:rsid w:val="00B016C1"/>
    <w:rsid w:val="00B01CAE"/>
    <w:rsid w:val="00B01E55"/>
    <w:rsid w:val="00B022F8"/>
    <w:rsid w:val="00B027D7"/>
    <w:rsid w:val="00B02E65"/>
    <w:rsid w:val="00B03460"/>
    <w:rsid w:val="00B0347B"/>
    <w:rsid w:val="00B035D1"/>
    <w:rsid w:val="00B0383A"/>
    <w:rsid w:val="00B03BEC"/>
    <w:rsid w:val="00B03D11"/>
    <w:rsid w:val="00B03EA6"/>
    <w:rsid w:val="00B03FEA"/>
    <w:rsid w:val="00B048D5"/>
    <w:rsid w:val="00B0545A"/>
    <w:rsid w:val="00B055BD"/>
    <w:rsid w:val="00B05689"/>
    <w:rsid w:val="00B057B3"/>
    <w:rsid w:val="00B05F4F"/>
    <w:rsid w:val="00B05FD0"/>
    <w:rsid w:val="00B06707"/>
    <w:rsid w:val="00B068C9"/>
    <w:rsid w:val="00B0692B"/>
    <w:rsid w:val="00B06FC8"/>
    <w:rsid w:val="00B07048"/>
    <w:rsid w:val="00B07170"/>
    <w:rsid w:val="00B078B1"/>
    <w:rsid w:val="00B07E17"/>
    <w:rsid w:val="00B109DE"/>
    <w:rsid w:val="00B1117E"/>
    <w:rsid w:val="00B1171E"/>
    <w:rsid w:val="00B1247B"/>
    <w:rsid w:val="00B12570"/>
    <w:rsid w:val="00B128E3"/>
    <w:rsid w:val="00B12B25"/>
    <w:rsid w:val="00B131BF"/>
    <w:rsid w:val="00B13568"/>
    <w:rsid w:val="00B143AD"/>
    <w:rsid w:val="00B144F7"/>
    <w:rsid w:val="00B14910"/>
    <w:rsid w:val="00B14B4C"/>
    <w:rsid w:val="00B14B51"/>
    <w:rsid w:val="00B15087"/>
    <w:rsid w:val="00B15320"/>
    <w:rsid w:val="00B153E7"/>
    <w:rsid w:val="00B15537"/>
    <w:rsid w:val="00B1578F"/>
    <w:rsid w:val="00B15DF8"/>
    <w:rsid w:val="00B15EA8"/>
    <w:rsid w:val="00B160BC"/>
    <w:rsid w:val="00B16500"/>
    <w:rsid w:val="00B169CD"/>
    <w:rsid w:val="00B16BE9"/>
    <w:rsid w:val="00B16FEF"/>
    <w:rsid w:val="00B171F6"/>
    <w:rsid w:val="00B179B7"/>
    <w:rsid w:val="00B17FF9"/>
    <w:rsid w:val="00B202C3"/>
    <w:rsid w:val="00B20632"/>
    <w:rsid w:val="00B209EE"/>
    <w:rsid w:val="00B21492"/>
    <w:rsid w:val="00B222FD"/>
    <w:rsid w:val="00B223ED"/>
    <w:rsid w:val="00B22DF8"/>
    <w:rsid w:val="00B23260"/>
    <w:rsid w:val="00B2348B"/>
    <w:rsid w:val="00B237C8"/>
    <w:rsid w:val="00B238BD"/>
    <w:rsid w:val="00B24541"/>
    <w:rsid w:val="00B246DA"/>
    <w:rsid w:val="00B25304"/>
    <w:rsid w:val="00B25776"/>
    <w:rsid w:val="00B27066"/>
    <w:rsid w:val="00B2722B"/>
    <w:rsid w:val="00B2755C"/>
    <w:rsid w:val="00B27616"/>
    <w:rsid w:val="00B27974"/>
    <w:rsid w:val="00B279AF"/>
    <w:rsid w:val="00B3037C"/>
    <w:rsid w:val="00B304D1"/>
    <w:rsid w:val="00B3079B"/>
    <w:rsid w:val="00B30899"/>
    <w:rsid w:val="00B30E19"/>
    <w:rsid w:val="00B30F37"/>
    <w:rsid w:val="00B30FCC"/>
    <w:rsid w:val="00B31304"/>
    <w:rsid w:val="00B3239A"/>
    <w:rsid w:val="00B327E0"/>
    <w:rsid w:val="00B32C03"/>
    <w:rsid w:val="00B33394"/>
    <w:rsid w:val="00B337A7"/>
    <w:rsid w:val="00B339DE"/>
    <w:rsid w:val="00B33BF7"/>
    <w:rsid w:val="00B33CC7"/>
    <w:rsid w:val="00B345FB"/>
    <w:rsid w:val="00B34E87"/>
    <w:rsid w:val="00B34FDB"/>
    <w:rsid w:val="00B351C5"/>
    <w:rsid w:val="00B35632"/>
    <w:rsid w:val="00B3564B"/>
    <w:rsid w:val="00B35C4A"/>
    <w:rsid w:val="00B35CB1"/>
    <w:rsid w:val="00B35F48"/>
    <w:rsid w:val="00B360DC"/>
    <w:rsid w:val="00B36609"/>
    <w:rsid w:val="00B3662E"/>
    <w:rsid w:val="00B36E66"/>
    <w:rsid w:val="00B370E8"/>
    <w:rsid w:val="00B371E2"/>
    <w:rsid w:val="00B37CEC"/>
    <w:rsid w:val="00B402EB"/>
    <w:rsid w:val="00B406C8"/>
    <w:rsid w:val="00B40ABC"/>
    <w:rsid w:val="00B40BB1"/>
    <w:rsid w:val="00B41084"/>
    <w:rsid w:val="00B41352"/>
    <w:rsid w:val="00B4161E"/>
    <w:rsid w:val="00B41E33"/>
    <w:rsid w:val="00B41F11"/>
    <w:rsid w:val="00B4276F"/>
    <w:rsid w:val="00B42AE8"/>
    <w:rsid w:val="00B43648"/>
    <w:rsid w:val="00B438FA"/>
    <w:rsid w:val="00B43E0A"/>
    <w:rsid w:val="00B44033"/>
    <w:rsid w:val="00B442CE"/>
    <w:rsid w:val="00B45498"/>
    <w:rsid w:val="00B45F00"/>
    <w:rsid w:val="00B460A6"/>
    <w:rsid w:val="00B464CC"/>
    <w:rsid w:val="00B4665B"/>
    <w:rsid w:val="00B468C8"/>
    <w:rsid w:val="00B46D11"/>
    <w:rsid w:val="00B472B4"/>
    <w:rsid w:val="00B4738C"/>
    <w:rsid w:val="00B4792D"/>
    <w:rsid w:val="00B500E7"/>
    <w:rsid w:val="00B5079B"/>
    <w:rsid w:val="00B507A7"/>
    <w:rsid w:val="00B5096E"/>
    <w:rsid w:val="00B5098D"/>
    <w:rsid w:val="00B5152A"/>
    <w:rsid w:val="00B51F7E"/>
    <w:rsid w:val="00B5318E"/>
    <w:rsid w:val="00B53D75"/>
    <w:rsid w:val="00B54386"/>
    <w:rsid w:val="00B54F45"/>
    <w:rsid w:val="00B55890"/>
    <w:rsid w:val="00B56AA2"/>
    <w:rsid w:val="00B56B7E"/>
    <w:rsid w:val="00B56CEA"/>
    <w:rsid w:val="00B57013"/>
    <w:rsid w:val="00B57D19"/>
    <w:rsid w:val="00B61127"/>
    <w:rsid w:val="00B612DA"/>
    <w:rsid w:val="00B6192D"/>
    <w:rsid w:val="00B61EAA"/>
    <w:rsid w:val="00B6239A"/>
    <w:rsid w:val="00B62493"/>
    <w:rsid w:val="00B630BC"/>
    <w:rsid w:val="00B6326B"/>
    <w:rsid w:val="00B6380A"/>
    <w:rsid w:val="00B638AB"/>
    <w:rsid w:val="00B63BBF"/>
    <w:rsid w:val="00B63DFD"/>
    <w:rsid w:val="00B63E5D"/>
    <w:rsid w:val="00B63F94"/>
    <w:rsid w:val="00B647D9"/>
    <w:rsid w:val="00B648AB"/>
    <w:rsid w:val="00B64CF6"/>
    <w:rsid w:val="00B64DA1"/>
    <w:rsid w:val="00B64DB5"/>
    <w:rsid w:val="00B65326"/>
    <w:rsid w:val="00B6573F"/>
    <w:rsid w:val="00B65AA7"/>
    <w:rsid w:val="00B65B6A"/>
    <w:rsid w:val="00B65BDC"/>
    <w:rsid w:val="00B660AB"/>
    <w:rsid w:val="00B671A7"/>
    <w:rsid w:val="00B671FC"/>
    <w:rsid w:val="00B6741C"/>
    <w:rsid w:val="00B67C67"/>
    <w:rsid w:val="00B67E6D"/>
    <w:rsid w:val="00B7018D"/>
    <w:rsid w:val="00B70530"/>
    <w:rsid w:val="00B7079E"/>
    <w:rsid w:val="00B70C6C"/>
    <w:rsid w:val="00B71402"/>
    <w:rsid w:val="00B7140B"/>
    <w:rsid w:val="00B718E0"/>
    <w:rsid w:val="00B7190B"/>
    <w:rsid w:val="00B71C3A"/>
    <w:rsid w:val="00B71EB5"/>
    <w:rsid w:val="00B7238F"/>
    <w:rsid w:val="00B727A4"/>
    <w:rsid w:val="00B72D4A"/>
    <w:rsid w:val="00B733E5"/>
    <w:rsid w:val="00B735EE"/>
    <w:rsid w:val="00B73817"/>
    <w:rsid w:val="00B7485A"/>
    <w:rsid w:val="00B7495C"/>
    <w:rsid w:val="00B74CBD"/>
    <w:rsid w:val="00B754DD"/>
    <w:rsid w:val="00B7593C"/>
    <w:rsid w:val="00B75F08"/>
    <w:rsid w:val="00B75F66"/>
    <w:rsid w:val="00B76C7C"/>
    <w:rsid w:val="00B776CC"/>
    <w:rsid w:val="00B77ECB"/>
    <w:rsid w:val="00B8061C"/>
    <w:rsid w:val="00B807B3"/>
    <w:rsid w:val="00B807C5"/>
    <w:rsid w:val="00B80A4E"/>
    <w:rsid w:val="00B81802"/>
    <w:rsid w:val="00B819C1"/>
    <w:rsid w:val="00B82E1F"/>
    <w:rsid w:val="00B83057"/>
    <w:rsid w:val="00B836BA"/>
    <w:rsid w:val="00B839E3"/>
    <w:rsid w:val="00B8437D"/>
    <w:rsid w:val="00B844B8"/>
    <w:rsid w:val="00B84ED8"/>
    <w:rsid w:val="00B8508D"/>
    <w:rsid w:val="00B85259"/>
    <w:rsid w:val="00B85592"/>
    <w:rsid w:val="00B85827"/>
    <w:rsid w:val="00B85D2E"/>
    <w:rsid w:val="00B85E6B"/>
    <w:rsid w:val="00B8607C"/>
    <w:rsid w:val="00B86D18"/>
    <w:rsid w:val="00B87A71"/>
    <w:rsid w:val="00B9024A"/>
    <w:rsid w:val="00B9040D"/>
    <w:rsid w:val="00B90A56"/>
    <w:rsid w:val="00B917BB"/>
    <w:rsid w:val="00B922BC"/>
    <w:rsid w:val="00B9236E"/>
    <w:rsid w:val="00B9251A"/>
    <w:rsid w:val="00B92712"/>
    <w:rsid w:val="00B92BDD"/>
    <w:rsid w:val="00B92D9A"/>
    <w:rsid w:val="00B931B2"/>
    <w:rsid w:val="00B931F2"/>
    <w:rsid w:val="00B936B2"/>
    <w:rsid w:val="00B93BAE"/>
    <w:rsid w:val="00B93CEB"/>
    <w:rsid w:val="00B94144"/>
    <w:rsid w:val="00B9426B"/>
    <w:rsid w:val="00B94677"/>
    <w:rsid w:val="00B94944"/>
    <w:rsid w:val="00B94A11"/>
    <w:rsid w:val="00B950BD"/>
    <w:rsid w:val="00B95554"/>
    <w:rsid w:val="00B95A07"/>
    <w:rsid w:val="00B964BE"/>
    <w:rsid w:val="00B96737"/>
    <w:rsid w:val="00B96841"/>
    <w:rsid w:val="00B96907"/>
    <w:rsid w:val="00B96D2F"/>
    <w:rsid w:val="00B97465"/>
    <w:rsid w:val="00B9754B"/>
    <w:rsid w:val="00B97C4B"/>
    <w:rsid w:val="00B97D51"/>
    <w:rsid w:val="00BA001C"/>
    <w:rsid w:val="00BA0414"/>
    <w:rsid w:val="00BA042B"/>
    <w:rsid w:val="00BA0F46"/>
    <w:rsid w:val="00BA10E7"/>
    <w:rsid w:val="00BA1192"/>
    <w:rsid w:val="00BA1342"/>
    <w:rsid w:val="00BA157C"/>
    <w:rsid w:val="00BA1A35"/>
    <w:rsid w:val="00BA1E67"/>
    <w:rsid w:val="00BA20EC"/>
    <w:rsid w:val="00BA273E"/>
    <w:rsid w:val="00BA2B34"/>
    <w:rsid w:val="00BA2B93"/>
    <w:rsid w:val="00BA33D4"/>
    <w:rsid w:val="00BA3E7C"/>
    <w:rsid w:val="00BA40F3"/>
    <w:rsid w:val="00BA429B"/>
    <w:rsid w:val="00BA4A08"/>
    <w:rsid w:val="00BA61B4"/>
    <w:rsid w:val="00BA6374"/>
    <w:rsid w:val="00BA651F"/>
    <w:rsid w:val="00BA6850"/>
    <w:rsid w:val="00BA6990"/>
    <w:rsid w:val="00BA6E7E"/>
    <w:rsid w:val="00BA71D5"/>
    <w:rsid w:val="00BA7A07"/>
    <w:rsid w:val="00BA7F5E"/>
    <w:rsid w:val="00BB0827"/>
    <w:rsid w:val="00BB0BA4"/>
    <w:rsid w:val="00BB174F"/>
    <w:rsid w:val="00BB1A96"/>
    <w:rsid w:val="00BB1D4B"/>
    <w:rsid w:val="00BB1DA5"/>
    <w:rsid w:val="00BB20C2"/>
    <w:rsid w:val="00BB21E7"/>
    <w:rsid w:val="00BB2429"/>
    <w:rsid w:val="00BB2B8B"/>
    <w:rsid w:val="00BB36DA"/>
    <w:rsid w:val="00BB39A6"/>
    <w:rsid w:val="00BB4028"/>
    <w:rsid w:val="00BB4B3B"/>
    <w:rsid w:val="00BB522A"/>
    <w:rsid w:val="00BB5342"/>
    <w:rsid w:val="00BB5BEC"/>
    <w:rsid w:val="00BB6720"/>
    <w:rsid w:val="00BB6830"/>
    <w:rsid w:val="00BB6844"/>
    <w:rsid w:val="00BB685B"/>
    <w:rsid w:val="00BB7053"/>
    <w:rsid w:val="00BB7137"/>
    <w:rsid w:val="00BB725E"/>
    <w:rsid w:val="00BB7329"/>
    <w:rsid w:val="00BB74C7"/>
    <w:rsid w:val="00BB76D4"/>
    <w:rsid w:val="00BB77D1"/>
    <w:rsid w:val="00BB7908"/>
    <w:rsid w:val="00BB7D14"/>
    <w:rsid w:val="00BB7DA9"/>
    <w:rsid w:val="00BB7ECE"/>
    <w:rsid w:val="00BC00C1"/>
    <w:rsid w:val="00BC0C34"/>
    <w:rsid w:val="00BC13B9"/>
    <w:rsid w:val="00BC18A7"/>
    <w:rsid w:val="00BC2383"/>
    <w:rsid w:val="00BC3C64"/>
    <w:rsid w:val="00BC4092"/>
    <w:rsid w:val="00BC47BC"/>
    <w:rsid w:val="00BC4BCC"/>
    <w:rsid w:val="00BC6074"/>
    <w:rsid w:val="00BC60EA"/>
    <w:rsid w:val="00BC6554"/>
    <w:rsid w:val="00BC6C74"/>
    <w:rsid w:val="00BC6C9B"/>
    <w:rsid w:val="00BC6D95"/>
    <w:rsid w:val="00BC7A40"/>
    <w:rsid w:val="00BD0976"/>
    <w:rsid w:val="00BD0A52"/>
    <w:rsid w:val="00BD0DA4"/>
    <w:rsid w:val="00BD1434"/>
    <w:rsid w:val="00BD1756"/>
    <w:rsid w:val="00BD17EB"/>
    <w:rsid w:val="00BD1851"/>
    <w:rsid w:val="00BD1935"/>
    <w:rsid w:val="00BD1950"/>
    <w:rsid w:val="00BD1BB5"/>
    <w:rsid w:val="00BD23A2"/>
    <w:rsid w:val="00BD34C8"/>
    <w:rsid w:val="00BD3887"/>
    <w:rsid w:val="00BD4356"/>
    <w:rsid w:val="00BD47DE"/>
    <w:rsid w:val="00BD4800"/>
    <w:rsid w:val="00BD4838"/>
    <w:rsid w:val="00BD4892"/>
    <w:rsid w:val="00BD489D"/>
    <w:rsid w:val="00BD4B1F"/>
    <w:rsid w:val="00BD4E31"/>
    <w:rsid w:val="00BD5488"/>
    <w:rsid w:val="00BD55A4"/>
    <w:rsid w:val="00BD5E93"/>
    <w:rsid w:val="00BD6244"/>
    <w:rsid w:val="00BD6285"/>
    <w:rsid w:val="00BD6A61"/>
    <w:rsid w:val="00BD6AA4"/>
    <w:rsid w:val="00BD6CCF"/>
    <w:rsid w:val="00BD74A0"/>
    <w:rsid w:val="00BE051E"/>
    <w:rsid w:val="00BE08D3"/>
    <w:rsid w:val="00BE0DA1"/>
    <w:rsid w:val="00BE0E9F"/>
    <w:rsid w:val="00BE11D7"/>
    <w:rsid w:val="00BE1738"/>
    <w:rsid w:val="00BE17E5"/>
    <w:rsid w:val="00BE1F4E"/>
    <w:rsid w:val="00BE272F"/>
    <w:rsid w:val="00BE2766"/>
    <w:rsid w:val="00BE28C6"/>
    <w:rsid w:val="00BE2950"/>
    <w:rsid w:val="00BE2CC5"/>
    <w:rsid w:val="00BE3307"/>
    <w:rsid w:val="00BE4A12"/>
    <w:rsid w:val="00BE4CFF"/>
    <w:rsid w:val="00BE5004"/>
    <w:rsid w:val="00BE52B3"/>
    <w:rsid w:val="00BE5F9D"/>
    <w:rsid w:val="00BE6F64"/>
    <w:rsid w:val="00BE73C9"/>
    <w:rsid w:val="00BE7549"/>
    <w:rsid w:val="00BE7EA5"/>
    <w:rsid w:val="00BF035D"/>
    <w:rsid w:val="00BF0440"/>
    <w:rsid w:val="00BF0712"/>
    <w:rsid w:val="00BF07E8"/>
    <w:rsid w:val="00BF0C6B"/>
    <w:rsid w:val="00BF0C81"/>
    <w:rsid w:val="00BF0DAB"/>
    <w:rsid w:val="00BF0F90"/>
    <w:rsid w:val="00BF299D"/>
    <w:rsid w:val="00BF29E2"/>
    <w:rsid w:val="00BF2EC9"/>
    <w:rsid w:val="00BF36E0"/>
    <w:rsid w:val="00BF3B13"/>
    <w:rsid w:val="00BF4251"/>
    <w:rsid w:val="00BF433E"/>
    <w:rsid w:val="00BF4819"/>
    <w:rsid w:val="00BF51C0"/>
    <w:rsid w:val="00BF536A"/>
    <w:rsid w:val="00BF57AB"/>
    <w:rsid w:val="00BF588A"/>
    <w:rsid w:val="00BF59BC"/>
    <w:rsid w:val="00BF5BC2"/>
    <w:rsid w:val="00BF5F53"/>
    <w:rsid w:val="00BF634C"/>
    <w:rsid w:val="00BF6772"/>
    <w:rsid w:val="00BF6997"/>
    <w:rsid w:val="00BF6DFD"/>
    <w:rsid w:val="00BF6E9E"/>
    <w:rsid w:val="00BF726F"/>
    <w:rsid w:val="00BF749F"/>
    <w:rsid w:val="00BF7606"/>
    <w:rsid w:val="00BF7B4C"/>
    <w:rsid w:val="00C0030F"/>
    <w:rsid w:val="00C004D6"/>
    <w:rsid w:val="00C0057C"/>
    <w:rsid w:val="00C006CE"/>
    <w:rsid w:val="00C00B71"/>
    <w:rsid w:val="00C00E04"/>
    <w:rsid w:val="00C01049"/>
    <w:rsid w:val="00C01175"/>
    <w:rsid w:val="00C014E4"/>
    <w:rsid w:val="00C01538"/>
    <w:rsid w:val="00C01B5D"/>
    <w:rsid w:val="00C01BE5"/>
    <w:rsid w:val="00C01F55"/>
    <w:rsid w:val="00C01FE3"/>
    <w:rsid w:val="00C02436"/>
    <w:rsid w:val="00C02608"/>
    <w:rsid w:val="00C02639"/>
    <w:rsid w:val="00C02855"/>
    <w:rsid w:val="00C03629"/>
    <w:rsid w:val="00C03A4A"/>
    <w:rsid w:val="00C03B01"/>
    <w:rsid w:val="00C04075"/>
    <w:rsid w:val="00C04489"/>
    <w:rsid w:val="00C04B9F"/>
    <w:rsid w:val="00C05510"/>
    <w:rsid w:val="00C05582"/>
    <w:rsid w:val="00C05A88"/>
    <w:rsid w:val="00C0657A"/>
    <w:rsid w:val="00C06665"/>
    <w:rsid w:val="00C0679B"/>
    <w:rsid w:val="00C074F1"/>
    <w:rsid w:val="00C07715"/>
    <w:rsid w:val="00C07986"/>
    <w:rsid w:val="00C104CC"/>
    <w:rsid w:val="00C107F1"/>
    <w:rsid w:val="00C11DE4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D2E"/>
    <w:rsid w:val="00C156EF"/>
    <w:rsid w:val="00C15718"/>
    <w:rsid w:val="00C15752"/>
    <w:rsid w:val="00C159BE"/>
    <w:rsid w:val="00C160E1"/>
    <w:rsid w:val="00C166AE"/>
    <w:rsid w:val="00C16899"/>
    <w:rsid w:val="00C1695F"/>
    <w:rsid w:val="00C16A35"/>
    <w:rsid w:val="00C16C86"/>
    <w:rsid w:val="00C16E3A"/>
    <w:rsid w:val="00C172CD"/>
    <w:rsid w:val="00C17855"/>
    <w:rsid w:val="00C1796B"/>
    <w:rsid w:val="00C2002F"/>
    <w:rsid w:val="00C2018D"/>
    <w:rsid w:val="00C20336"/>
    <w:rsid w:val="00C20965"/>
    <w:rsid w:val="00C210D1"/>
    <w:rsid w:val="00C212D0"/>
    <w:rsid w:val="00C21FB6"/>
    <w:rsid w:val="00C22291"/>
    <w:rsid w:val="00C2234F"/>
    <w:rsid w:val="00C22D02"/>
    <w:rsid w:val="00C22E30"/>
    <w:rsid w:val="00C22F6F"/>
    <w:rsid w:val="00C22F7B"/>
    <w:rsid w:val="00C2306A"/>
    <w:rsid w:val="00C23184"/>
    <w:rsid w:val="00C231DE"/>
    <w:rsid w:val="00C231F2"/>
    <w:rsid w:val="00C234CE"/>
    <w:rsid w:val="00C23A97"/>
    <w:rsid w:val="00C245BF"/>
    <w:rsid w:val="00C24CD6"/>
    <w:rsid w:val="00C24EDB"/>
    <w:rsid w:val="00C25BED"/>
    <w:rsid w:val="00C26892"/>
    <w:rsid w:val="00C26BDA"/>
    <w:rsid w:val="00C26CB1"/>
    <w:rsid w:val="00C26D67"/>
    <w:rsid w:val="00C271FD"/>
    <w:rsid w:val="00C2751F"/>
    <w:rsid w:val="00C2778F"/>
    <w:rsid w:val="00C277E2"/>
    <w:rsid w:val="00C27D5B"/>
    <w:rsid w:val="00C302DE"/>
    <w:rsid w:val="00C30899"/>
    <w:rsid w:val="00C310A7"/>
    <w:rsid w:val="00C317B0"/>
    <w:rsid w:val="00C31821"/>
    <w:rsid w:val="00C31BF9"/>
    <w:rsid w:val="00C32364"/>
    <w:rsid w:val="00C32A01"/>
    <w:rsid w:val="00C32B10"/>
    <w:rsid w:val="00C32C07"/>
    <w:rsid w:val="00C33132"/>
    <w:rsid w:val="00C331DA"/>
    <w:rsid w:val="00C3322A"/>
    <w:rsid w:val="00C33362"/>
    <w:rsid w:val="00C3356D"/>
    <w:rsid w:val="00C33752"/>
    <w:rsid w:val="00C341C2"/>
    <w:rsid w:val="00C34688"/>
    <w:rsid w:val="00C34CC0"/>
    <w:rsid w:val="00C35359"/>
    <w:rsid w:val="00C35810"/>
    <w:rsid w:val="00C3595F"/>
    <w:rsid w:val="00C35ADB"/>
    <w:rsid w:val="00C35D38"/>
    <w:rsid w:val="00C35E3B"/>
    <w:rsid w:val="00C366FC"/>
    <w:rsid w:val="00C36755"/>
    <w:rsid w:val="00C36889"/>
    <w:rsid w:val="00C36D3F"/>
    <w:rsid w:val="00C402B5"/>
    <w:rsid w:val="00C404F6"/>
    <w:rsid w:val="00C40653"/>
    <w:rsid w:val="00C40742"/>
    <w:rsid w:val="00C40841"/>
    <w:rsid w:val="00C40956"/>
    <w:rsid w:val="00C409E7"/>
    <w:rsid w:val="00C40BF7"/>
    <w:rsid w:val="00C40C80"/>
    <w:rsid w:val="00C40DD4"/>
    <w:rsid w:val="00C417B7"/>
    <w:rsid w:val="00C4180E"/>
    <w:rsid w:val="00C424ED"/>
    <w:rsid w:val="00C42DC4"/>
    <w:rsid w:val="00C42E11"/>
    <w:rsid w:val="00C436C0"/>
    <w:rsid w:val="00C439E8"/>
    <w:rsid w:val="00C43B6A"/>
    <w:rsid w:val="00C43C6E"/>
    <w:rsid w:val="00C4402B"/>
    <w:rsid w:val="00C4486B"/>
    <w:rsid w:val="00C44ADE"/>
    <w:rsid w:val="00C44AE0"/>
    <w:rsid w:val="00C451F0"/>
    <w:rsid w:val="00C452A0"/>
    <w:rsid w:val="00C457E2"/>
    <w:rsid w:val="00C45B56"/>
    <w:rsid w:val="00C45F95"/>
    <w:rsid w:val="00C46423"/>
    <w:rsid w:val="00C46F6A"/>
    <w:rsid w:val="00C47251"/>
    <w:rsid w:val="00C47AB0"/>
    <w:rsid w:val="00C47BC0"/>
    <w:rsid w:val="00C50590"/>
    <w:rsid w:val="00C5131D"/>
    <w:rsid w:val="00C51914"/>
    <w:rsid w:val="00C51F0F"/>
    <w:rsid w:val="00C51F38"/>
    <w:rsid w:val="00C520E8"/>
    <w:rsid w:val="00C522D6"/>
    <w:rsid w:val="00C52804"/>
    <w:rsid w:val="00C52A59"/>
    <w:rsid w:val="00C52E1A"/>
    <w:rsid w:val="00C52EC1"/>
    <w:rsid w:val="00C5342E"/>
    <w:rsid w:val="00C538CA"/>
    <w:rsid w:val="00C53B82"/>
    <w:rsid w:val="00C53CE7"/>
    <w:rsid w:val="00C546B6"/>
    <w:rsid w:val="00C54732"/>
    <w:rsid w:val="00C55985"/>
    <w:rsid w:val="00C56885"/>
    <w:rsid w:val="00C56B0C"/>
    <w:rsid w:val="00C56DED"/>
    <w:rsid w:val="00C57B17"/>
    <w:rsid w:val="00C60D60"/>
    <w:rsid w:val="00C60DE2"/>
    <w:rsid w:val="00C60EDD"/>
    <w:rsid w:val="00C610CC"/>
    <w:rsid w:val="00C610D9"/>
    <w:rsid w:val="00C6174B"/>
    <w:rsid w:val="00C617AE"/>
    <w:rsid w:val="00C61E7D"/>
    <w:rsid w:val="00C62B22"/>
    <w:rsid w:val="00C633EB"/>
    <w:rsid w:val="00C63D11"/>
    <w:rsid w:val="00C63FBD"/>
    <w:rsid w:val="00C64E66"/>
    <w:rsid w:val="00C656D0"/>
    <w:rsid w:val="00C65D93"/>
    <w:rsid w:val="00C6684D"/>
    <w:rsid w:val="00C66B9F"/>
    <w:rsid w:val="00C66C5F"/>
    <w:rsid w:val="00C673C2"/>
    <w:rsid w:val="00C67835"/>
    <w:rsid w:val="00C679E0"/>
    <w:rsid w:val="00C67B22"/>
    <w:rsid w:val="00C67C92"/>
    <w:rsid w:val="00C67FB7"/>
    <w:rsid w:val="00C7071E"/>
    <w:rsid w:val="00C7194B"/>
    <w:rsid w:val="00C71B0C"/>
    <w:rsid w:val="00C71B56"/>
    <w:rsid w:val="00C71C41"/>
    <w:rsid w:val="00C721BF"/>
    <w:rsid w:val="00C727F6"/>
    <w:rsid w:val="00C72EA3"/>
    <w:rsid w:val="00C7305A"/>
    <w:rsid w:val="00C7349C"/>
    <w:rsid w:val="00C73645"/>
    <w:rsid w:val="00C73754"/>
    <w:rsid w:val="00C73D75"/>
    <w:rsid w:val="00C74252"/>
    <w:rsid w:val="00C74485"/>
    <w:rsid w:val="00C746E4"/>
    <w:rsid w:val="00C74B55"/>
    <w:rsid w:val="00C75699"/>
    <w:rsid w:val="00C75F3A"/>
    <w:rsid w:val="00C761FD"/>
    <w:rsid w:val="00C762B2"/>
    <w:rsid w:val="00C7651B"/>
    <w:rsid w:val="00C76B39"/>
    <w:rsid w:val="00C771B9"/>
    <w:rsid w:val="00C777AA"/>
    <w:rsid w:val="00C779B6"/>
    <w:rsid w:val="00C801D9"/>
    <w:rsid w:val="00C80B0F"/>
    <w:rsid w:val="00C811A3"/>
    <w:rsid w:val="00C81244"/>
    <w:rsid w:val="00C81454"/>
    <w:rsid w:val="00C814EE"/>
    <w:rsid w:val="00C817FB"/>
    <w:rsid w:val="00C81AD9"/>
    <w:rsid w:val="00C81DB5"/>
    <w:rsid w:val="00C824F8"/>
    <w:rsid w:val="00C82699"/>
    <w:rsid w:val="00C83265"/>
    <w:rsid w:val="00C83821"/>
    <w:rsid w:val="00C83FD1"/>
    <w:rsid w:val="00C84584"/>
    <w:rsid w:val="00C8482D"/>
    <w:rsid w:val="00C84949"/>
    <w:rsid w:val="00C84A5E"/>
    <w:rsid w:val="00C853A1"/>
    <w:rsid w:val="00C853FE"/>
    <w:rsid w:val="00C854EE"/>
    <w:rsid w:val="00C855BA"/>
    <w:rsid w:val="00C857DF"/>
    <w:rsid w:val="00C85F67"/>
    <w:rsid w:val="00C863D5"/>
    <w:rsid w:val="00C8645C"/>
    <w:rsid w:val="00C86DF1"/>
    <w:rsid w:val="00C86E71"/>
    <w:rsid w:val="00C87071"/>
    <w:rsid w:val="00C8761C"/>
    <w:rsid w:val="00C87A04"/>
    <w:rsid w:val="00C87CA3"/>
    <w:rsid w:val="00C87D77"/>
    <w:rsid w:val="00C90644"/>
    <w:rsid w:val="00C907BA"/>
    <w:rsid w:val="00C90E95"/>
    <w:rsid w:val="00C910FE"/>
    <w:rsid w:val="00C91418"/>
    <w:rsid w:val="00C91659"/>
    <w:rsid w:val="00C919FB"/>
    <w:rsid w:val="00C936AD"/>
    <w:rsid w:val="00C937C0"/>
    <w:rsid w:val="00C93B3E"/>
    <w:rsid w:val="00C94485"/>
    <w:rsid w:val="00C94C32"/>
    <w:rsid w:val="00C94EEE"/>
    <w:rsid w:val="00C95080"/>
    <w:rsid w:val="00C9525D"/>
    <w:rsid w:val="00C952E0"/>
    <w:rsid w:val="00C95394"/>
    <w:rsid w:val="00C958E8"/>
    <w:rsid w:val="00C95F58"/>
    <w:rsid w:val="00C968CF"/>
    <w:rsid w:val="00C96B06"/>
    <w:rsid w:val="00C97340"/>
    <w:rsid w:val="00C97371"/>
    <w:rsid w:val="00C975CE"/>
    <w:rsid w:val="00C976A0"/>
    <w:rsid w:val="00C97B17"/>
    <w:rsid w:val="00C97ED8"/>
    <w:rsid w:val="00C97F9F"/>
    <w:rsid w:val="00CA063F"/>
    <w:rsid w:val="00CA0747"/>
    <w:rsid w:val="00CA113C"/>
    <w:rsid w:val="00CA1396"/>
    <w:rsid w:val="00CA1A26"/>
    <w:rsid w:val="00CA1E22"/>
    <w:rsid w:val="00CA1E8D"/>
    <w:rsid w:val="00CA221F"/>
    <w:rsid w:val="00CA2D2A"/>
    <w:rsid w:val="00CA2FBE"/>
    <w:rsid w:val="00CA30C9"/>
    <w:rsid w:val="00CA3561"/>
    <w:rsid w:val="00CA4F9F"/>
    <w:rsid w:val="00CA50F5"/>
    <w:rsid w:val="00CA519E"/>
    <w:rsid w:val="00CA587F"/>
    <w:rsid w:val="00CA5B95"/>
    <w:rsid w:val="00CA5C04"/>
    <w:rsid w:val="00CA650F"/>
    <w:rsid w:val="00CA67E0"/>
    <w:rsid w:val="00CA6819"/>
    <w:rsid w:val="00CA69AB"/>
    <w:rsid w:val="00CA72AE"/>
    <w:rsid w:val="00CA744D"/>
    <w:rsid w:val="00CA7B4E"/>
    <w:rsid w:val="00CA7D90"/>
    <w:rsid w:val="00CA7DD0"/>
    <w:rsid w:val="00CB00F7"/>
    <w:rsid w:val="00CB0944"/>
    <w:rsid w:val="00CB0B53"/>
    <w:rsid w:val="00CB100C"/>
    <w:rsid w:val="00CB1690"/>
    <w:rsid w:val="00CB2851"/>
    <w:rsid w:val="00CB2BAC"/>
    <w:rsid w:val="00CB304D"/>
    <w:rsid w:val="00CB39F5"/>
    <w:rsid w:val="00CB3E98"/>
    <w:rsid w:val="00CB3EC2"/>
    <w:rsid w:val="00CB4645"/>
    <w:rsid w:val="00CB4ED4"/>
    <w:rsid w:val="00CB4EE1"/>
    <w:rsid w:val="00CB51BB"/>
    <w:rsid w:val="00CB530B"/>
    <w:rsid w:val="00CB541E"/>
    <w:rsid w:val="00CB57E6"/>
    <w:rsid w:val="00CB5A34"/>
    <w:rsid w:val="00CB5F84"/>
    <w:rsid w:val="00CB6633"/>
    <w:rsid w:val="00CB6E32"/>
    <w:rsid w:val="00CB7A50"/>
    <w:rsid w:val="00CB7B14"/>
    <w:rsid w:val="00CC0706"/>
    <w:rsid w:val="00CC07F8"/>
    <w:rsid w:val="00CC09DC"/>
    <w:rsid w:val="00CC0B2A"/>
    <w:rsid w:val="00CC0E75"/>
    <w:rsid w:val="00CC173D"/>
    <w:rsid w:val="00CC186D"/>
    <w:rsid w:val="00CC1AFE"/>
    <w:rsid w:val="00CC2033"/>
    <w:rsid w:val="00CC207A"/>
    <w:rsid w:val="00CC2110"/>
    <w:rsid w:val="00CC21FD"/>
    <w:rsid w:val="00CC2710"/>
    <w:rsid w:val="00CC272D"/>
    <w:rsid w:val="00CC2ADF"/>
    <w:rsid w:val="00CC3031"/>
    <w:rsid w:val="00CC4139"/>
    <w:rsid w:val="00CC4E20"/>
    <w:rsid w:val="00CC566D"/>
    <w:rsid w:val="00CC583A"/>
    <w:rsid w:val="00CC594A"/>
    <w:rsid w:val="00CC62DF"/>
    <w:rsid w:val="00CC68CE"/>
    <w:rsid w:val="00CC75E7"/>
    <w:rsid w:val="00CD0390"/>
    <w:rsid w:val="00CD03AB"/>
    <w:rsid w:val="00CD044B"/>
    <w:rsid w:val="00CD0A37"/>
    <w:rsid w:val="00CD1CB9"/>
    <w:rsid w:val="00CD2009"/>
    <w:rsid w:val="00CD2142"/>
    <w:rsid w:val="00CD22D5"/>
    <w:rsid w:val="00CD26E7"/>
    <w:rsid w:val="00CD2841"/>
    <w:rsid w:val="00CD2ABA"/>
    <w:rsid w:val="00CD2FE1"/>
    <w:rsid w:val="00CD41AB"/>
    <w:rsid w:val="00CD492A"/>
    <w:rsid w:val="00CD4AE2"/>
    <w:rsid w:val="00CD4D06"/>
    <w:rsid w:val="00CD5914"/>
    <w:rsid w:val="00CD5C63"/>
    <w:rsid w:val="00CD5CFD"/>
    <w:rsid w:val="00CD6042"/>
    <w:rsid w:val="00CD609F"/>
    <w:rsid w:val="00CD619C"/>
    <w:rsid w:val="00CD6334"/>
    <w:rsid w:val="00CD6F48"/>
    <w:rsid w:val="00CD739C"/>
    <w:rsid w:val="00CD75D0"/>
    <w:rsid w:val="00CD7785"/>
    <w:rsid w:val="00CD7C60"/>
    <w:rsid w:val="00CE0036"/>
    <w:rsid w:val="00CE0195"/>
    <w:rsid w:val="00CE0272"/>
    <w:rsid w:val="00CE04C1"/>
    <w:rsid w:val="00CE0DC1"/>
    <w:rsid w:val="00CE1601"/>
    <w:rsid w:val="00CE17E8"/>
    <w:rsid w:val="00CE1D2B"/>
    <w:rsid w:val="00CE2317"/>
    <w:rsid w:val="00CE25BF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746"/>
    <w:rsid w:val="00CE5E3A"/>
    <w:rsid w:val="00CE5E4F"/>
    <w:rsid w:val="00CE649D"/>
    <w:rsid w:val="00CE668D"/>
    <w:rsid w:val="00CE6D80"/>
    <w:rsid w:val="00CE748B"/>
    <w:rsid w:val="00CE7A77"/>
    <w:rsid w:val="00CF0464"/>
    <w:rsid w:val="00CF05CF"/>
    <w:rsid w:val="00CF14A6"/>
    <w:rsid w:val="00CF1835"/>
    <w:rsid w:val="00CF18F9"/>
    <w:rsid w:val="00CF2F57"/>
    <w:rsid w:val="00CF31E5"/>
    <w:rsid w:val="00CF32E5"/>
    <w:rsid w:val="00CF35ED"/>
    <w:rsid w:val="00CF3BFC"/>
    <w:rsid w:val="00CF3DC3"/>
    <w:rsid w:val="00CF3DC6"/>
    <w:rsid w:val="00CF3F86"/>
    <w:rsid w:val="00CF4288"/>
    <w:rsid w:val="00CF46DA"/>
    <w:rsid w:val="00CF48DC"/>
    <w:rsid w:val="00CF5141"/>
    <w:rsid w:val="00CF5191"/>
    <w:rsid w:val="00CF5C1E"/>
    <w:rsid w:val="00CF6602"/>
    <w:rsid w:val="00CF6C7E"/>
    <w:rsid w:val="00CF6E17"/>
    <w:rsid w:val="00CF6F2F"/>
    <w:rsid w:val="00CF7111"/>
    <w:rsid w:val="00CF72B0"/>
    <w:rsid w:val="00CF7492"/>
    <w:rsid w:val="00D000E9"/>
    <w:rsid w:val="00D00521"/>
    <w:rsid w:val="00D010F5"/>
    <w:rsid w:val="00D0179F"/>
    <w:rsid w:val="00D01870"/>
    <w:rsid w:val="00D01DFA"/>
    <w:rsid w:val="00D01E14"/>
    <w:rsid w:val="00D02265"/>
    <w:rsid w:val="00D029FF"/>
    <w:rsid w:val="00D02A9D"/>
    <w:rsid w:val="00D02C5A"/>
    <w:rsid w:val="00D03225"/>
    <w:rsid w:val="00D03D44"/>
    <w:rsid w:val="00D0424A"/>
    <w:rsid w:val="00D04463"/>
    <w:rsid w:val="00D04689"/>
    <w:rsid w:val="00D04F88"/>
    <w:rsid w:val="00D0512F"/>
    <w:rsid w:val="00D05209"/>
    <w:rsid w:val="00D05A27"/>
    <w:rsid w:val="00D05CF9"/>
    <w:rsid w:val="00D05DC3"/>
    <w:rsid w:val="00D05E4C"/>
    <w:rsid w:val="00D06970"/>
    <w:rsid w:val="00D06D43"/>
    <w:rsid w:val="00D06EFD"/>
    <w:rsid w:val="00D100CD"/>
    <w:rsid w:val="00D10294"/>
    <w:rsid w:val="00D10374"/>
    <w:rsid w:val="00D104F0"/>
    <w:rsid w:val="00D10667"/>
    <w:rsid w:val="00D10727"/>
    <w:rsid w:val="00D10C0B"/>
    <w:rsid w:val="00D113F2"/>
    <w:rsid w:val="00D1177A"/>
    <w:rsid w:val="00D118FD"/>
    <w:rsid w:val="00D119BC"/>
    <w:rsid w:val="00D123A9"/>
    <w:rsid w:val="00D129A7"/>
    <w:rsid w:val="00D12A57"/>
    <w:rsid w:val="00D12E29"/>
    <w:rsid w:val="00D148CE"/>
    <w:rsid w:val="00D14FC9"/>
    <w:rsid w:val="00D1552C"/>
    <w:rsid w:val="00D156DD"/>
    <w:rsid w:val="00D15B10"/>
    <w:rsid w:val="00D16053"/>
    <w:rsid w:val="00D1607C"/>
    <w:rsid w:val="00D16328"/>
    <w:rsid w:val="00D16408"/>
    <w:rsid w:val="00D16A1D"/>
    <w:rsid w:val="00D16D62"/>
    <w:rsid w:val="00D16EAD"/>
    <w:rsid w:val="00D17E40"/>
    <w:rsid w:val="00D201FC"/>
    <w:rsid w:val="00D20529"/>
    <w:rsid w:val="00D2056F"/>
    <w:rsid w:val="00D207EA"/>
    <w:rsid w:val="00D20842"/>
    <w:rsid w:val="00D20850"/>
    <w:rsid w:val="00D20A79"/>
    <w:rsid w:val="00D20A84"/>
    <w:rsid w:val="00D20ADB"/>
    <w:rsid w:val="00D20E16"/>
    <w:rsid w:val="00D2118A"/>
    <w:rsid w:val="00D211D5"/>
    <w:rsid w:val="00D213E8"/>
    <w:rsid w:val="00D22252"/>
    <w:rsid w:val="00D223F2"/>
    <w:rsid w:val="00D224D8"/>
    <w:rsid w:val="00D226BB"/>
    <w:rsid w:val="00D22BDC"/>
    <w:rsid w:val="00D22DEA"/>
    <w:rsid w:val="00D24148"/>
    <w:rsid w:val="00D2486F"/>
    <w:rsid w:val="00D24AF4"/>
    <w:rsid w:val="00D25171"/>
    <w:rsid w:val="00D257C2"/>
    <w:rsid w:val="00D258F4"/>
    <w:rsid w:val="00D25BD9"/>
    <w:rsid w:val="00D2616D"/>
    <w:rsid w:val="00D263E6"/>
    <w:rsid w:val="00D26592"/>
    <w:rsid w:val="00D2666B"/>
    <w:rsid w:val="00D2679A"/>
    <w:rsid w:val="00D26B45"/>
    <w:rsid w:val="00D26BAC"/>
    <w:rsid w:val="00D275F9"/>
    <w:rsid w:val="00D27704"/>
    <w:rsid w:val="00D27F7E"/>
    <w:rsid w:val="00D30147"/>
    <w:rsid w:val="00D30482"/>
    <w:rsid w:val="00D30AE6"/>
    <w:rsid w:val="00D30EF2"/>
    <w:rsid w:val="00D31D2D"/>
    <w:rsid w:val="00D31E6E"/>
    <w:rsid w:val="00D32093"/>
    <w:rsid w:val="00D322D1"/>
    <w:rsid w:val="00D32BC9"/>
    <w:rsid w:val="00D32D62"/>
    <w:rsid w:val="00D32E37"/>
    <w:rsid w:val="00D32FF5"/>
    <w:rsid w:val="00D3347A"/>
    <w:rsid w:val="00D335A0"/>
    <w:rsid w:val="00D33605"/>
    <w:rsid w:val="00D33C70"/>
    <w:rsid w:val="00D34071"/>
    <w:rsid w:val="00D34E69"/>
    <w:rsid w:val="00D3510A"/>
    <w:rsid w:val="00D3522D"/>
    <w:rsid w:val="00D354C2"/>
    <w:rsid w:val="00D35A8B"/>
    <w:rsid w:val="00D35EB6"/>
    <w:rsid w:val="00D35F62"/>
    <w:rsid w:val="00D3600C"/>
    <w:rsid w:val="00D365B8"/>
    <w:rsid w:val="00D365F9"/>
    <w:rsid w:val="00D366A4"/>
    <w:rsid w:val="00D367E6"/>
    <w:rsid w:val="00D370D4"/>
    <w:rsid w:val="00D37A9B"/>
    <w:rsid w:val="00D37E4D"/>
    <w:rsid w:val="00D40705"/>
    <w:rsid w:val="00D4126E"/>
    <w:rsid w:val="00D413DD"/>
    <w:rsid w:val="00D416E6"/>
    <w:rsid w:val="00D417E3"/>
    <w:rsid w:val="00D417FB"/>
    <w:rsid w:val="00D422EB"/>
    <w:rsid w:val="00D42323"/>
    <w:rsid w:val="00D42FC4"/>
    <w:rsid w:val="00D43444"/>
    <w:rsid w:val="00D43A95"/>
    <w:rsid w:val="00D43CEF"/>
    <w:rsid w:val="00D44055"/>
    <w:rsid w:val="00D4412C"/>
    <w:rsid w:val="00D44352"/>
    <w:rsid w:val="00D44814"/>
    <w:rsid w:val="00D4489F"/>
    <w:rsid w:val="00D44F9E"/>
    <w:rsid w:val="00D44FC2"/>
    <w:rsid w:val="00D46A04"/>
    <w:rsid w:val="00D46B4C"/>
    <w:rsid w:val="00D4751B"/>
    <w:rsid w:val="00D47929"/>
    <w:rsid w:val="00D47ACB"/>
    <w:rsid w:val="00D47F83"/>
    <w:rsid w:val="00D50375"/>
    <w:rsid w:val="00D50417"/>
    <w:rsid w:val="00D510DB"/>
    <w:rsid w:val="00D510FC"/>
    <w:rsid w:val="00D51143"/>
    <w:rsid w:val="00D515FB"/>
    <w:rsid w:val="00D51A1F"/>
    <w:rsid w:val="00D51EC5"/>
    <w:rsid w:val="00D51EEA"/>
    <w:rsid w:val="00D52A12"/>
    <w:rsid w:val="00D53143"/>
    <w:rsid w:val="00D53232"/>
    <w:rsid w:val="00D537F9"/>
    <w:rsid w:val="00D53856"/>
    <w:rsid w:val="00D5389A"/>
    <w:rsid w:val="00D53A6E"/>
    <w:rsid w:val="00D542D3"/>
    <w:rsid w:val="00D54758"/>
    <w:rsid w:val="00D54DAC"/>
    <w:rsid w:val="00D5581E"/>
    <w:rsid w:val="00D559EC"/>
    <w:rsid w:val="00D55B2D"/>
    <w:rsid w:val="00D55D69"/>
    <w:rsid w:val="00D56081"/>
    <w:rsid w:val="00D5627E"/>
    <w:rsid w:val="00D5772A"/>
    <w:rsid w:val="00D57B0C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33C"/>
    <w:rsid w:val="00D61605"/>
    <w:rsid w:val="00D61A7A"/>
    <w:rsid w:val="00D61A7F"/>
    <w:rsid w:val="00D61EA5"/>
    <w:rsid w:val="00D624A5"/>
    <w:rsid w:val="00D6286B"/>
    <w:rsid w:val="00D62BDA"/>
    <w:rsid w:val="00D62D53"/>
    <w:rsid w:val="00D62F68"/>
    <w:rsid w:val="00D6379A"/>
    <w:rsid w:val="00D63CBD"/>
    <w:rsid w:val="00D63F70"/>
    <w:rsid w:val="00D6436C"/>
    <w:rsid w:val="00D64495"/>
    <w:rsid w:val="00D65274"/>
    <w:rsid w:val="00D6552A"/>
    <w:rsid w:val="00D6629E"/>
    <w:rsid w:val="00D6680B"/>
    <w:rsid w:val="00D66ADA"/>
    <w:rsid w:val="00D66B50"/>
    <w:rsid w:val="00D675C5"/>
    <w:rsid w:val="00D67738"/>
    <w:rsid w:val="00D67801"/>
    <w:rsid w:val="00D67970"/>
    <w:rsid w:val="00D67E9C"/>
    <w:rsid w:val="00D700AC"/>
    <w:rsid w:val="00D71193"/>
    <w:rsid w:val="00D71194"/>
    <w:rsid w:val="00D71D60"/>
    <w:rsid w:val="00D72107"/>
    <w:rsid w:val="00D72428"/>
    <w:rsid w:val="00D72CB4"/>
    <w:rsid w:val="00D73036"/>
    <w:rsid w:val="00D7331F"/>
    <w:rsid w:val="00D73A36"/>
    <w:rsid w:val="00D73DEA"/>
    <w:rsid w:val="00D74128"/>
    <w:rsid w:val="00D74282"/>
    <w:rsid w:val="00D744E4"/>
    <w:rsid w:val="00D74791"/>
    <w:rsid w:val="00D74D66"/>
    <w:rsid w:val="00D75277"/>
    <w:rsid w:val="00D75415"/>
    <w:rsid w:val="00D75A0B"/>
    <w:rsid w:val="00D75EAE"/>
    <w:rsid w:val="00D75F19"/>
    <w:rsid w:val="00D7644E"/>
    <w:rsid w:val="00D76A27"/>
    <w:rsid w:val="00D76A4D"/>
    <w:rsid w:val="00D76AC4"/>
    <w:rsid w:val="00D80263"/>
    <w:rsid w:val="00D816F4"/>
    <w:rsid w:val="00D81912"/>
    <w:rsid w:val="00D8238F"/>
    <w:rsid w:val="00D825D6"/>
    <w:rsid w:val="00D8390B"/>
    <w:rsid w:val="00D84751"/>
    <w:rsid w:val="00D84EC5"/>
    <w:rsid w:val="00D850DC"/>
    <w:rsid w:val="00D8512C"/>
    <w:rsid w:val="00D85452"/>
    <w:rsid w:val="00D854D1"/>
    <w:rsid w:val="00D85514"/>
    <w:rsid w:val="00D85B4B"/>
    <w:rsid w:val="00D85D8F"/>
    <w:rsid w:val="00D863FE"/>
    <w:rsid w:val="00D8683C"/>
    <w:rsid w:val="00D86A30"/>
    <w:rsid w:val="00D86E4A"/>
    <w:rsid w:val="00D879BB"/>
    <w:rsid w:val="00D9059D"/>
    <w:rsid w:val="00D90A66"/>
    <w:rsid w:val="00D90B09"/>
    <w:rsid w:val="00D91BAF"/>
    <w:rsid w:val="00D92085"/>
    <w:rsid w:val="00D9217D"/>
    <w:rsid w:val="00D9218A"/>
    <w:rsid w:val="00D9229A"/>
    <w:rsid w:val="00D92479"/>
    <w:rsid w:val="00D9255C"/>
    <w:rsid w:val="00D92C28"/>
    <w:rsid w:val="00D92EA4"/>
    <w:rsid w:val="00D9354C"/>
    <w:rsid w:val="00D93EB5"/>
    <w:rsid w:val="00D93FE4"/>
    <w:rsid w:val="00D941DE"/>
    <w:rsid w:val="00D9452A"/>
    <w:rsid w:val="00D95C64"/>
    <w:rsid w:val="00D95F53"/>
    <w:rsid w:val="00D960EB"/>
    <w:rsid w:val="00D96176"/>
    <w:rsid w:val="00D96206"/>
    <w:rsid w:val="00D966F6"/>
    <w:rsid w:val="00D96722"/>
    <w:rsid w:val="00D9681D"/>
    <w:rsid w:val="00D96F12"/>
    <w:rsid w:val="00D97069"/>
    <w:rsid w:val="00D979EE"/>
    <w:rsid w:val="00D97B0A"/>
    <w:rsid w:val="00D97E65"/>
    <w:rsid w:val="00DA031C"/>
    <w:rsid w:val="00DA040F"/>
    <w:rsid w:val="00DA0869"/>
    <w:rsid w:val="00DA13E2"/>
    <w:rsid w:val="00DA1772"/>
    <w:rsid w:val="00DA1BE7"/>
    <w:rsid w:val="00DA1D73"/>
    <w:rsid w:val="00DA24ED"/>
    <w:rsid w:val="00DA26B6"/>
    <w:rsid w:val="00DA26D8"/>
    <w:rsid w:val="00DA2E28"/>
    <w:rsid w:val="00DA3169"/>
    <w:rsid w:val="00DA3605"/>
    <w:rsid w:val="00DA38B0"/>
    <w:rsid w:val="00DA41D9"/>
    <w:rsid w:val="00DA56BB"/>
    <w:rsid w:val="00DA5B07"/>
    <w:rsid w:val="00DA5F29"/>
    <w:rsid w:val="00DA5F54"/>
    <w:rsid w:val="00DA609B"/>
    <w:rsid w:val="00DA614D"/>
    <w:rsid w:val="00DA6583"/>
    <w:rsid w:val="00DA6A88"/>
    <w:rsid w:val="00DA6F6B"/>
    <w:rsid w:val="00DA6FD1"/>
    <w:rsid w:val="00DA71B4"/>
    <w:rsid w:val="00DA7442"/>
    <w:rsid w:val="00DA7647"/>
    <w:rsid w:val="00DA77D7"/>
    <w:rsid w:val="00DA77E6"/>
    <w:rsid w:val="00DB01B1"/>
    <w:rsid w:val="00DB0290"/>
    <w:rsid w:val="00DB1A60"/>
    <w:rsid w:val="00DB2AC1"/>
    <w:rsid w:val="00DB2B2E"/>
    <w:rsid w:val="00DB31F1"/>
    <w:rsid w:val="00DB3899"/>
    <w:rsid w:val="00DB408A"/>
    <w:rsid w:val="00DB40CF"/>
    <w:rsid w:val="00DB44A2"/>
    <w:rsid w:val="00DB44C5"/>
    <w:rsid w:val="00DB49B4"/>
    <w:rsid w:val="00DB5321"/>
    <w:rsid w:val="00DB5838"/>
    <w:rsid w:val="00DB5A84"/>
    <w:rsid w:val="00DB5DAA"/>
    <w:rsid w:val="00DB5E19"/>
    <w:rsid w:val="00DB5EA6"/>
    <w:rsid w:val="00DB6389"/>
    <w:rsid w:val="00DB63C9"/>
    <w:rsid w:val="00DB6B6B"/>
    <w:rsid w:val="00DB6C92"/>
    <w:rsid w:val="00DB6CF2"/>
    <w:rsid w:val="00DB7494"/>
    <w:rsid w:val="00DB783D"/>
    <w:rsid w:val="00DB797D"/>
    <w:rsid w:val="00DC0696"/>
    <w:rsid w:val="00DC06D0"/>
    <w:rsid w:val="00DC0A33"/>
    <w:rsid w:val="00DC0B9C"/>
    <w:rsid w:val="00DC0F11"/>
    <w:rsid w:val="00DC1380"/>
    <w:rsid w:val="00DC1D48"/>
    <w:rsid w:val="00DC1F27"/>
    <w:rsid w:val="00DC2378"/>
    <w:rsid w:val="00DC2519"/>
    <w:rsid w:val="00DC3503"/>
    <w:rsid w:val="00DC3639"/>
    <w:rsid w:val="00DC3794"/>
    <w:rsid w:val="00DC4129"/>
    <w:rsid w:val="00DC4A58"/>
    <w:rsid w:val="00DC5C45"/>
    <w:rsid w:val="00DC663F"/>
    <w:rsid w:val="00DC68F7"/>
    <w:rsid w:val="00DC6D7B"/>
    <w:rsid w:val="00DC7496"/>
    <w:rsid w:val="00DC78C1"/>
    <w:rsid w:val="00DC7A44"/>
    <w:rsid w:val="00DC7DB6"/>
    <w:rsid w:val="00DD1CEF"/>
    <w:rsid w:val="00DD1E81"/>
    <w:rsid w:val="00DD25B5"/>
    <w:rsid w:val="00DD2EDD"/>
    <w:rsid w:val="00DD2FF3"/>
    <w:rsid w:val="00DD3125"/>
    <w:rsid w:val="00DD321E"/>
    <w:rsid w:val="00DD3464"/>
    <w:rsid w:val="00DD3903"/>
    <w:rsid w:val="00DD3FBB"/>
    <w:rsid w:val="00DD516E"/>
    <w:rsid w:val="00DD517A"/>
    <w:rsid w:val="00DD56F0"/>
    <w:rsid w:val="00DD5AEB"/>
    <w:rsid w:val="00DD5C1A"/>
    <w:rsid w:val="00DD5F2D"/>
    <w:rsid w:val="00DD6085"/>
    <w:rsid w:val="00DD6B68"/>
    <w:rsid w:val="00DD6C78"/>
    <w:rsid w:val="00DD72E9"/>
    <w:rsid w:val="00DD7863"/>
    <w:rsid w:val="00DD7970"/>
    <w:rsid w:val="00DD7E9F"/>
    <w:rsid w:val="00DE0188"/>
    <w:rsid w:val="00DE03E4"/>
    <w:rsid w:val="00DE06F3"/>
    <w:rsid w:val="00DE06FE"/>
    <w:rsid w:val="00DE11C2"/>
    <w:rsid w:val="00DE13D3"/>
    <w:rsid w:val="00DE17F7"/>
    <w:rsid w:val="00DE23D3"/>
    <w:rsid w:val="00DE25AC"/>
    <w:rsid w:val="00DE25C1"/>
    <w:rsid w:val="00DE2737"/>
    <w:rsid w:val="00DE3790"/>
    <w:rsid w:val="00DE3CF0"/>
    <w:rsid w:val="00DE3F53"/>
    <w:rsid w:val="00DE410E"/>
    <w:rsid w:val="00DE42E3"/>
    <w:rsid w:val="00DE4D24"/>
    <w:rsid w:val="00DE4D51"/>
    <w:rsid w:val="00DE51EE"/>
    <w:rsid w:val="00DE5DEE"/>
    <w:rsid w:val="00DE6005"/>
    <w:rsid w:val="00DE6218"/>
    <w:rsid w:val="00DE6626"/>
    <w:rsid w:val="00DE7025"/>
    <w:rsid w:val="00DE78CB"/>
    <w:rsid w:val="00DE7AAD"/>
    <w:rsid w:val="00DE7BC3"/>
    <w:rsid w:val="00DF149F"/>
    <w:rsid w:val="00DF1568"/>
    <w:rsid w:val="00DF19B1"/>
    <w:rsid w:val="00DF1B14"/>
    <w:rsid w:val="00DF1C73"/>
    <w:rsid w:val="00DF2873"/>
    <w:rsid w:val="00DF28B3"/>
    <w:rsid w:val="00DF373B"/>
    <w:rsid w:val="00DF37D3"/>
    <w:rsid w:val="00DF4257"/>
    <w:rsid w:val="00DF4D59"/>
    <w:rsid w:val="00DF573B"/>
    <w:rsid w:val="00DF5EC8"/>
    <w:rsid w:val="00DF6276"/>
    <w:rsid w:val="00DF63F9"/>
    <w:rsid w:val="00DF676F"/>
    <w:rsid w:val="00DF6819"/>
    <w:rsid w:val="00DF6987"/>
    <w:rsid w:val="00E002C5"/>
    <w:rsid w:val="00E00B66"/>
    <w:rsid w:val="00E00E2E"/>
    <w:rsid w:val="00E00F70"/>
    <w:rsid w:val="00E0117C"/>
    <w:rsid w:val="00E01478"/>
    <w:rsid w:val="00E016D0"/>
    <w:rsid w:val="00E01895"/>
    <w:rsid w:val="00E01B6F"/>
    <w:rsid w:val="00E01C21"/>
    <w:rsid w:val="00E022C3"/>
    <w:rsid w:val="00E028E5"/>
    <w:rsid w:val="00E02D50"/>
    <w:rsid w:val="00E02ED8"/>
    <w:rsid w:val="00E02F7D"/>
    <w:rsid w:val="00E03021"/>
    <w:rsid w:val="00E0309E"/>
    <w:rsid w:val="00E031B0"/>
    <w:rsid w:val="00E0387D"/>
    <w:rsid w:val="00E04821"/>
    <w:rsid w:val="00E04E50"/>
    <w:rsid w:val="00E0528E"/>
    <w:rsid w:val="00E05753"/>
    <w:rsid w:val="00E058BB"/>
    <w:rsid w:val="00E058C5"/>
    <w:rsid w:val="00E058F6"/>
    <w:rsid w:val="00E05B63"/>
    <w:rsid w:val="00E0626F"/>
    <w:rsid w:val="00E0671D"/>
    <w:rsid w:val="00E06FB3"/>
    <w:rsid w:val="00E0735B"/>
    <w:rsid w:val="00E073A2"/>
    <w:rsid w:val="00E0797F"/>
    <w:rsid w:val="00E07C86"/>
    <w:rsid w:val="00E10332"/>
    <w:rsid w:val="00E1052F"/>
    <w:rsid w:val="00E10598"/>
    <w:rsid w:val="00E1077D"/>
    <w:rsid w:val="00E108AF"/>
    <w:rsid w:val="00E1090B"/>
    <w:rsid w:val="00E10CE1"/>
    <w:rsid w:val="00E11061"/>
    <w:rsid w:val="00E11157"/>
    <w:rsid w:val="00E111AA"/>
    <w:rsid w:val="00E112A5"/>
    <w:rsid w:val="00E11ED6"/>
    <w:rsid w:val="00E11F05"/>
    <w:rsid w:val="00E11F44"/>
    <w:rsid w:val="00E1206A"/>
    <w:rsid w:val="00E123C8"/>
    <w:rsid w:val="00E12426"/>
    <w:rsid w:val="00E128F8"/>
    <w:rsid w:val="00E12918"/>
    <w:rsid w:val="00E132F8"/>
    <w:rsid w:val="00E1340F"/>
    <w:rsid w:val="00E13BD4"/>
    <w:rsid w:val="00E13E06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499"/>
    <w:rsid w:val="00E16C86"/>
    <w:rsid w:val="00E16CA8"/>
    <w:rsid w:val="00E16D96"/>
    <w:rsid w:val="00E20209"/>
    <w:rsid w:val="00E20979"/>
    <w:rsid w:val="00E20D3B"/>
    <w:rsid w:val="00E211B4"/>
    <w:rsid w:val="00E21231"/>
    <w:rsid w:val="00E21748"/>
    <w:rsid w:val="00E21FE5"/>
    <w:rsid w:val="00E22024"/>
    <w:rsid w:val="00E2221E"/>
    <w:rsid w:val="00E22A63"/>
    <w:rsid w:val="00E23194"/>
    <w:rsid w:val="00E232F0"/>
    <w:rsid w:val="00E235CA"/>
    <w:rsid w:val="00E23807"/>
    <w:rsid w:val="00E23815"/>
    <w:rsid w:val="00E23B2E"/>
    <w:rsid w:val="00E23CE1"/>
    <w:rsid w:val="00E23ECB"/>
    <w:rsid w:val="00E240B6"/>
    <w:rsid w:val="00E243CE"/>
    <w:rsid w:val="00E24B84"/>
    <w:rsid w:val="00E253AD"/>
    <w:rsid w:val="00E25443"/>
    <w:rsid w:val="00E2659A"/>
    <w:rsid w:val="00E2678B"/>
    <w:rsid w:val="00E270F6"/>
    <w:rsid w:val="00E27A10"/>
    <w:rsid w:val="00E27D8D"/>
    <w:rsid w:val="00E27E54"/>
    <w:rsid w:val="00E27E65"/>
    <w:rsid w:val="00E27EBD"/>
    <w:rsid w:val="00E301D2"/>
    <w:rsid w:val="00E30A43"/>
    <w:rsid w:val="00E30E14"/>
    <w:rsid w:val="00E30F27"/>
    <w:rsid w:val="00E311D9"/>
    <w:rsid w:val="00E31313"/>
    <w:rsid w:val="00E313C2"/>
    <w:rsid w:val="00E319E0"/>
    <w:rsid w:val="00E31A3B"/>
    <w:rsid w:val="00E31C3C"/>
    <w:rsid w:val="00E31CA7"/>
    <w:rsid w:val="00E31EE9"/>
    <w:rsid w:val="00E31FD7"/>
    <w:rsid w:val="00E3250E"/>
    <w:rsid w:val="00E325EB"/>
    <w:rsid w:val="00E32AFC"/>
    <w:rsid w:val="00E32D63"/>
    <w:rsid w:val="00E3337E"/>
    <w:rsid w:val="00E3345D"/>
    <w:rsid w:val="00E335F9"/>
    <w:rsid w:val="00E3390A"/>
    <w:rsid w:val="00E33943"/>
    <w:rsid w:val="00E33BF9"/>
    <w:rsid w:val="00E3406A"/>
    <w:rsid w:val="00E3419E"/>
    <w:rsid w:val="00E34BEA"/>
    <w:rsid w:val="00E35131"/>
    <w:rsid w:val="00E35685"/>
    <w:rsid w:val="00E35952"/>
    <w:rsid w:val="00E35E53"/>
    <w:rsid w:val="00E360E3"/>
    <w:rsid w:val="00E3652B"/>
    <w:rsid w:val="00E366BF"/>
    <w:rsid w:val="00E368D8"/>
    <w:rsid w:val="00E37232"/>
    <w:rsid w:val="00E3748D"/>
    <w:rsid w:val="00E376BE"/>
    <w:rsid w:val="00E40278"/>
    <w:rsid w:val="00E40494"/>
    <w:rsid w:val="00E4114E"/>
    <w:rsid w:val="00E41550"/>
    <w:rsid w:val="00E415EE"/>
    <w:rsid w:val="00E4163B"/>
    <w:rsid w:val="00E41647"/>
    <w:rsid w:val="00E418A4"/>
    <w:rsid w:val="00E41AF3"/>
    <w:rsid w:val="00E41EAE"/>
    <w:rsid w:val="00E424A1"/>
    <w:rsid w:val="00E42558"/>
    <w:rsid w:val="00E4263C"/>
    <w:rsid w:val="00E42812"/>
    <w:rsid w:val="00E43E22"/>
    <w:rsid w:val="00E43E8A"/>
    <w:rsid w:val="00E43F6E"/>
    <w:rsid w:val="00E4425E"/>
    <w:rsid w:val="00E45143"/>
    <w:rsid w:val="00E452F5"/>
    <w:rsid w:val="00E455D4"/>
    <w:rsid w:val="00E45844"/>
    <w:rsid w:val="00E459A2"/>
    <w:rsid w:val="00E459A8"/>
    <w:rsid w:val="00E45ADC"/>
    <w:rsid w:val="00E45AFC"/>
    <w:rsid w:val="00E45F42"/>
    <w:rsid w:val="00E462B8"/>
    <w:rsid w:val="00E462CE"/>
    <w:rsid w:val="00E464F1"/>
    <w:rsid w:val="00E46782"/>
    <w:rsid w:val="00E468AC"/>
    <w:rsid w:val="00E468DD"/>
    <w:rsid w:val="00E4727A"/>
    <w:rsid w:val="00E47883"/>
    <w:rsid w:val="00E47BA8"/>
    <w:rsid w:val="00E50060"/>
    <w:rsid w:val="00E500A1"/>
    <w:rsid w:val="00E500FD"/>
    <w:rsid w:val="00E50587"/>
    <w:rsid w:val="00E50600"/>
    <w:rsid w:val="00E50B34"/>
    <w:rsid w:val="00E50CB0"/>
    <w:rsid w:val="00E51204"/>
    <w:rsid w:val="00E51C0B"/>
    <w:rsid w:val="00E51FDF"/>
    <w:rsid w:val="00E525CC"/>
    <w:rsid w:val="00E53331"/>
    <w:rsid w:val="00E534B0"/>
    <w:rsid w:val="00E5430D"/>
    <w:rsid w:val="00E5459F"/>
    <w:rsid w:val="00E55A17"/>
    <w:rsid w:val="00E55D04"/>
    <w:rsid w:val="00E55EBF"/>
    <w:rsid w:val="00E55EED"/>
    <w:rsid w:val="00E55FAC"/>
    <w:rsid w:val="00E56191"/>
    <w:rsid w:val="00E567D6"/>
    <w:rsid w:val="00E56B76"/>
    <w:rsid w:val="00E57955"/>
    <w:rsid w:val="00E57CFB"/>
    <w:rsid w:val="00E57F84"/>
    <w:rsid w:val="00E605E3"/>
    <w:rsid w:val="00E609FA"/>
    <w:rsid w:val="00E612A2"/>
    <w:rsid w:val="00E613A1"/>
    <w:rsid w:val="00E61C51"/>
    <w:rsid w:val="00E6240D"/>
    <w:rsid w:val="00E62519"/>
    <w:rsid w:val="00E626B7"/>
    <w:rsid w:val="00E6291C"/>
    <w:rsid w:val="00E63173"/>
    <w:rsid w:val="00E636EB"/>
    <w:rsid w:val="00E64BFF"/>
    <w:rsid w:val="00E64EBD"/>
    <w:rsid w:val="00E65114"/>
    <w:rsid w:val="00E6515A"/>
    <w:rsid w:val="00E65366"/>
    <w:rsid w:val="00E65F8D"/>
    <w:rsid w:val="00E65FAC"/>
    <w:rsid w:val="00E65FFF"/>
    <w:rsid w:val="00E66394"/>
    <w:rsid w:val="00E66559"/>
    <w:rsid w:val="00E66681"/>
    <w:rsid w:val="00E674DF"/>
    <w:rsid w:val="00E676DA"/>
    <w:rsid w:val="00E67DBF"/>
    <w:rsid w:val="00E67F77"/>
    <w:rsid w:val="00E705A4"/>
    <w:rsid w:val="00E706AA"/>
    <w:rsid w:val="00E70A20"/>
    <w:rsid w:val="00E70D32"/>
    <w:rsid w:val="00E70E87"/>
    <w:rsid w:val="00E70F1A"/>
    <w:rsid w:val="00E71D49"/>
    <w:rsid w:val="00E71E2C"/>
    <w:rsid w:val="00E720D7"/>
    <w:rsid w:val="00E727F0"/>
    <w:rsid w:val="00E72C9A"/>
    <w:rsid w:val="00E73343"/>
    <w:rsid w:val="00E73779"/>
    <w:rsid w:val="00E73D73"/>
    <w:rsid w:val="00E74095"/>
    <w:rsid w:val="00E74C2D"/>
    <w:rsid w:val="00E74CF9"/>
    <w:rsid w:val="00E75224"/>
    <w:rsid w:val="00E7535E"/>
    <w:rsid w:val="00E75AFA"/>
    <w:rsid w:val="00E75CF2"/>
    <w:rsid w:val="00E763BF"/>
    <w:rsid w:val="00E76612"/>
    <w:rsid w:val="00E76D23"/>
    <w:rsid w:val="00E77BBF"/>
    <w:rsid w:val="00E77D9E"/>
    <w:rsid w:val="00E80263"/>
    <w:rsid w:val="00E80277"/>
    <w:rsid w:val="00E805FE"/>
    <w:rsid w:val="00E80840"/>
    <w:rsid w:val="00E80D8B"/>
    <w:rsid w:val="00E80DD0"/>
    <w:rsid w:val="00E80E88"/>
    <w:rsid w:val="00E81474"/>
    <w:rsid w:val="00E81D3A"/>
    <w:rsid w:val="00E82839"/>
    <w:rsid w:val="00E82A76"/>
    <w:rsid w:val="00E82CE8"/>
    <w:rsid w:val="00E82EBB"/>
    <w:rsid w:val="00E83304"/>
    <w:rsid w:val="00E833CD"/>
    <w:rsid w:val="00E83899"/>
    <w:rsid w:val="00E83C37"/>
    <w:rsid w:val="00E84A53"/>
    <w:rsid w:val="00E84C9A"/>
    <w:rsid w:val="00E84EA4"/>
    <w:rsid w:val="00E851D5"/>
    <w:rsid w:val="00E85A61"/>
    <w:rsid w:val="00E85B9D"/>
    <w:rsid w:val="00E85EFE"/>
    <w:rsid w:val="00E86085"/>
    <w:rsid w:val="00E8672A"/>
    <w:rsid w:val="00E87723"/>
    <w:rsid w:val="00E87CCE"/>
    <w:rsid w:val="00E9004D"/>
    <w:rsid w:val="00E9032A"/>
    <w:rsid w:val="00E909E6"/>
    <w:rsid w:val="00E91034"/>
    <w:rsid w:val="00E915EB"/>
    <w:rsid w:val="00E9161F"/>
    <w:rsid w:val="00E917E1"/>
    <w:rsid w:val="00E919A1"/>
    <w:rsid w:val="00E91FF5"/>
    <w:rsid w:val="00E9262F"/>
    <w:rsid w:val="00E92D6D"/>
    <w:rsid w:val="00E92FC0"/>
    <w:rsid w:val="00E93037"/>
    <w:rsid w:val="00E933AF"/>
    <w:rsid w:val="00E93B2F"/>
    <w:rsid w:val="00E93E4A"/>
    <w:rsid w:val="00E93E9F"/>
    <w:rsid w:val="00E94037"/>
    <w:rsid w:val="00E95242"/>
    <w:rsid w:val="00E9563C"/>
    <w:rsid w:val="00E95E7D"/>
    <w:rsid w:val="00E96004"/>
    <w:rsid w:val="00E960EE"/>
    <w:rsid w:val="00E96391"/>
    <w:rsid w:val="00E9679A"/>
    <w:rsid w:val="00E96E6B"/>
    <w:rsid w:val="00E97DED"/>
    <w:rsid w:val="00EA0637"/>
    <w:rsid w:val="00EA06A4"/>
    <w:rsid w:val="00EA0855"/>
    <w:rsid w:val="00EA0BDA"/>
    <w:rsid w:val="00EA0DB3"/>
    <w:rsid w:val="00EA1240"/>
    <w:rsid w:val="00EA129E"/>
    <w:rsid w:val="00EA1E03"/>
    <w:rsid w:val="00EA1F6B"/>
    <w:rsid w:val="00EA2406"/>
    <w:rsid w:val="00EA296E"/>
    <w:rsid w:val="00EA29CC"/>
    <w:rsid w:val="00EA2AD5"/>
    <w:rsid w:val="00EA2AF8"/>
    <w:rsid w:val="00EA3340"/>
    <w:rsid w:val="00EA37AC"/>
    <w:rsid w:val="00EA37CC"/>
    <w:rsid w:val="00EA3FD4"/>
    <w:rsid w:val="00EA4390"/>
    <w:rsid w:val="00EA44A3"/>
    <w:rsid w:val="00EA4CF3"/>
    <w:rsid w:val="00EA4F04"/>
    <w:rsid w:val="00EA53A2"/>
    <w:rsid w:val="00EA563D"/>
    <w:rsid w:val="00EA573B"/>
    <w:rsid w:val="00EA60C1"/>
    <w:rsid w:val="00EA628D"/>
    <w:rsid w:val="00EA6540"/>
    <w:rsid w:val="00EA6647"/>
    <w:rsid w:val="00EA66CC"/>
    <w:rsid w:val="00EA6C1D"/>
    <w:rsid w:val="00EA6CA8"/>
    <w:rsid w:val="00EA6E7C"/>
    <w:rsid w:val="00EA71EB"/>
    <w:rsid w:val="00EA736C"/>
    <w:rsid w:val="00EB0560"/>
    <w:rsid w:val="00EB0724"/>
    <w:rsid w:val="00EB0A96"/>
    <w:rsid w:val="00EB100C"/>
    <w:rsid w:val="00EB1041"/>
    <w:rsid w:val="00EB212D"/>
    <w:rsid w:val="00EB2163"/>
    <w:rsid w:val="00EB25EA"/>
    <w:rsid w:val="00EB3291"/>
    <w:rsid w:val="00EB3448"/>
    <w:rsid w:val="00EB3506"/>
    <w:rsid w:val="00EB3525"/>
    <w:rsid w:val="00EB3A1B"/>
    <w:rsid w:val="00EB3FE1"/>
    <w:rsid w:val="00EB50B6"/>
    <w:rsid w:val="00EB57E9"/>
    <w:rsid w:val="00EB5838"/>
    <w:rsid w:val="00EB5A98"/>
    <w:rsid w:val="00EB5F6F"/>
    <w:rsid w:val="00EB60F3"/>
    <w:rsid w:val="00EB6687"/>
    <w:rsid w:val="00EB7446"/>
    <w:rsid w:val="00EB764A"/>
    <w:rsid w:val="00EC0A2E"/>
    <w:rsid w:val="00EC1B25"/>
    <w:rsid w:val="00EC20BA"/>
    <w:rsid w:val="00EC26B9"/>
    <w:rsid w:val="00EC2796"/>
    <w:rsid w:val="00EC28FD"/>
    <w:rsid w:val="00EC2BBE"/>
    <w:rsid w:val="00EC2FB2"/>
    <w:rsid w:val="00EC339E"/>
    <w:rsid w:val="00EC3A0D"/>
    <w:rsid w:val="00EC3A4C"/>
    <w:rsid w:val="00EC3E31"/>
    <w:rsid w:val="00EC4136"/>
    <w:rsid w:val="00EC4200"/>
    <w:rsid w:val="00EC4B64"/>
    <w:rsid w:val="00EC4E38"/>
    <w:rsid w:val="00EC5B74"/>
    <w:rsid w:val="00EC60DD"/>
    <w:rsid w:val="00EC6196"/>
    <w:rsid w:val="00EC6B2A"/>
    <w:rsid w:val="00EC6DB0"/>
    <w:rsid w:val="00EC6F03"/>
    <w:rsid w:val="00EC722B"/>
    <w:rsid w:val="00EC7467"/>
    <w:rsid w:val="00EC7650"/>
    <w:rsid w:val="00EC79D2"/>
    <w:rsid w:val="00EC7FEE"/>
    <w:rsid w:val="00ED0B0F"/>
    <w:rsid w:val="00ED1ECF"/>
    <w:rsid w:val="00ED1EF3"/>
    <w:rsid w:val="00ED2790"/>
    <w:rsid w:val="00ED2A5C"/>
    <w:rsid w:val="00ED2DBF"/>
    <w:rsid w:val="00ED2F1E"/>
    <w:rsid w:val="00ED3047"/>
    <w:rsid w:val="00ED3205"/>
    <w:rsid w:val="00ED347C"/>
    <w:rsid w:val="00ED3B01"/>
    <w:rsid w:val="00ED3BB6"/>
    <w:rsid w:val="00ED3C1B"/>
    <w:rsid w:val="00ED3E17"/>
    <w:rsid w:val="00ED3E43"/>
    <w:rsid w:val="00ED3F44"/>
    <w:rsid w:val="00ED42A5"/>
    <w:rsid w:val="00ED5143"/>
    <w:rsid w:val="00ED604B"/>
    <w:rsid w:val="00ED6174"/>
    <w:rsid w:val="00ED625D"/>
    <w:rsid w:val="00ED6741"/>
    <w:rsid w:val="00ED691C"/>
    <w:rsid w:val="00ED6997"/>
    <w:rsid w:val="00ED69DA"/>
    <w:rsid w:val="00ED6C77"/>
    <w:rsid w:val="00ED73DF"/>
    <w:rsid w:val="00ED7820"/>
    <w:rsid w:val="00ED7FAD"/>
    <w:rsid w:val="00EE018D"/>
    <w:rsid w:val="00EE1109"/>
    <w:rsid w:val="00EE1666"/>
    <w:rsid w:val="00EE189C"/>
    <w:rsid w:val="00EE1DA4"/>
    <w:rsid w:val="00EE1E93"/>
    <w:rsid w:val="00EE2163"/>
    <w:rsid w:val="00EE226F"/>
    <w:rsid w:val="00EE27A5"/>
    <w:rsid w:val="00EE2923"/>
    <w:rsid w:val="00EE2B02"/>
    <w:rsid w:val="00EE2D5D"/>
    <w:rsid w:val="00EE2E74"/>
    <w:rsid w:val="00EE2EED"/>
    <w:rsid w:val="00EE31F4"/>
    <w:rsid w:val="00EE36C4"/>
    <w:rsid w:val="00EE492B"/>
    <w:rsid w:val="00EE4D8E"/>
    <w:rsid w:val="00EE55C3"/>
    <w:rsid w:val="00EE572F"/>
    <w:rsid w:val="00EE5C0F"/>
    <w:rsid w:val="00EE63BB"/>
    <w:rsid w:val="00EE64F4"/>
    <w:rsid w:val="00EE6882"/>
    <w:rsid w:val="00EE6F0D"/>
    <w:rsid w:val="00EE7930"/>
    <w:rsid w:val="00EE7AF3"/>
    <w:rsid w:val="00EE7C77"/>
    <w:rsid w:val="00EF0089"/>
    <w:rsid w:val="00EF05DE"/>
    <w:rsid w:val="00EF0D51"/>
    <w:rsid w:val="00EF1AD2"/>
    <w:rsid w:val="00EF1C88"/>
    <w:rsid w:val="00EF2443"/>
    <w:rsid w:val="00EF2478"/>
    <w:rsid w:val="00EF25E7"/>
    <w:rsid w:val="00EF284B"/>
    <w:rsid w:val="00EF2CD1"/>
    <w:rsid w:val="00EF3204"/>
    <w:rsid w:val="00EF32F8"/>
    <w:rsid w:val="00EF3822"/>
    <w:rsid w:val="00EF38D5"/>
    <w:rsid w:val="00EF4B27"/>
    <w:rsid w:val="00EF5D04"/>
    <w:rsid w:val="00EF6018"/>
    <w:rsid w:val="00EF6151"/>
    <w:rsid w:val="00EF663E"/>
    <w:rsid w:val="00EF6828"/>
    <w:rsid w:val="00EF68A3"/>
    <w:rsid w:val="00EF70B9"/>
    <w:rsid w:val="00F0033D"/>
    <w:rsid w:val="00F004FC"/>
    <w:rsid w:val="00F0054A"/>
    <w:rsid w:val="00F00A24"/>
    <w:rsid w:val="00F00C1B"/>
    <w:rsid w:val="00F00D49"/>
    <w:rsid w:val="00F0144D"/>
    <w:rsid w:val="00F01C29"/>
    <w:rsid w:val="00F01CD0"/>
    <w:rsid w:val="00F020C3"/>
    <w:rsid w:val="00F02134"/>
    <w:rsid w:val="00F0213D"/>
    <w:rsid w:val="00F0275F"/>
    <w:rsid w:val="00F032D8"/>
    <w:rsid w:val="00F034B3"/>
    <w:rsid w:val="00F0366E"/>
    <w:rsid w:val="00F038B7"/>
    <w:rsid w:val="00F03BD1"/>
    <w:rsid w:val="00F03FDF"/>
    <w:rsid w:val="00F04307"/>
    <w:rsid w:val="00F044C6"/>
    <w:rsid w:val="00F04633"/>
    <w:rsid w:val="00F04BD7"/>
    <w:rsid w:val="00F0503D"/>
    <w:rsid w:val="00F05073"/>
    <w:rsid w:val="00F054EE"/>
    <w:rsid w:val="00F057C7"/>
    <w:rsid w:val="00F06243"/>
    <w:rsid w:val="00F063A5"/>
    <w:rsid w:val="00F063BC"/>
    <w:rsid w:val="00F068A3"/>
    <w:rsid w:val="00F06F8E"/>
    <w:rsid w:val="00F0746C"/>
    <w:rsid w:val="00F0755A"/>
    <w:rsid w:val="00F07D07"/>
    <w:rsid w:val="00F07F15"/>
    <w:rsid w:val="00F07FB3"/>
    <w:rsid w:val="00F103EE"/>
    <w:rsid w:val="00F1076B"/>
    <w:rsid w:val="00F11332"/>
    <w:rsid w:val="00F11463"/>
    <w:rsid w:val="00F117F2"/>
    <w:rsid w:val="00F1194A"/>
    <w:rsid w:val="00F11CA7"/>
    <w:rsid w:val="00F11D2B"/>
    <w:rsid w:val="00F11D8F"/>
    <w:rsid w:val="00F124C6"/>
    <w:rsid w:val="00F127DF"/>
    <w:rsid w:val="00F1295A"/>
    <w:rsid w:val="00F131B4"/>
    <w:rsid w:val="00F1328E"/>
    <w:rsid w:val="00F13BB9"/>
    <w:rsid w:val="00F13C39"/>
    <w:rsid w:val="00F13E40"/>
    <w:rsid w:val="00F14289"/>
    <w:rsid w:val="00F142FA"/>
    <w:rsid w:val="00F143F7"/>
    <w:rsid w:val="00F145F5"/>
    <w:rsid w:val="00F14722"/>
    <w:rsid w:val="00F14BE6"/>
    <w:rsid w:val="00F1558F"/>
    <w:rsid w:val="00F15777"/>
    <w:rsid w:val="00F15907"/>
    <w:rsid w:val="00F15AE8"/>
    <w:rsid w:val="00F15E93"/>
    <w:rsid w:val="00F15E94"/>
    <w:rsid w:val="00F15F28"/>
    <w:rsid w:val="00F160BE"/>
    <w:rsid w:val="00F16CC4"/>
    <w:rsid w:val="00F16E98"/>
    <w:rsid w:val="00F1719F"/>
    <w:rsid w:val="00F172AF"/>
    <w:rsid w:val="00F17530"/>
    <w:rsid w:val="00F17CB7"/>
    <w:rsid w:val="00F20252"/>
    <w:rsid w:val="00F20262"/>
    <w:rsid w:val="00F20578"/>
    <w:rsid w:val="00F20716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49D"/>
    <w:rsid w:val="00F24D4F"/>
    <w:rsid w:val="00F24F8A"/>
    <w:rsid w:val="00F24FCC"/>
    <w:rsid w:val="00F254E7"/>
    <w:rsid w:val="00F25AA6"/>
    <w:rsid w:val="00F25D68"/>
    <w:rsid w:val="00F26302"/>
    <w:rsid w:val="00F26646"/>
    <w:rsid w:val="00F26A7B"/>
    <w:rsid w:val="00F270A2"/>
    <w:rsid w:val="00F27594"/>
    <w:rsid w:val="00F279C1"/>
    <w:rsid w:val="00F27C73"/>
    <w:rsid w:val="00F27DC8"/>
    <w:rsid w:val="00F30112"/>
    <w:rsid w:val="00F30BA1"/>
    <w:rsid w:val="00F30EC9"/>
    <w:rsid w:val="00F30F2D"/>
    <w:rsid w:val="00F3149D"/>
    <w:rsid w:val="00F31657"/>
    <w:rsid w:val="00F31C3E"/>
    <w:rsid w:val="00F323B3"/>
    <w:rsid w:val="00F32448"/>
    <w:rsid w:val="00F32922"/>
    <w:rsid w:val="00F329EE"/>
    <w:rsid w:val="00F32C40"/>
    <w:rsid w:val="00F33638"/>
    <w:rsid w:val="00F3395E"/>
    <w:rsid w:val="00F33FBC"/>
    <w:rsid w:val="00F34B20"/>
    <w:rsid w:val="00F34CBA"/>
    <w:rsid w:val="00F34EC5"/>
    <w:rsid w:val="00F34FCB"/>
    <w:rsid w:val="00F3504D"/>
    <w:rsid w:val="00F3598C"/>
    <w:rsid w:val="00F36764"/>
    <w:rsid w:val="00F37279"/>
    <w:rsid w:val="00F37663"/>
    <w:rsid w:val="00F37799"/>
    <w:rsid w:val="00F37D4B"/>
    <w:rsid w:val="00F37D63"/>
    <w:rsid w:val="00F37FEB"/>
    <w:rsid w:val="00F400EB"/>
    <w:rsid w:val="00F4061C"/>
    <w:rsid w:val="00F40713"/>
    <w:rsid w:val="00F4099F"/>
    <w:rsid w:val="00F40B00"/>
    <w:rsid w:val="00F40C26"/>
    <w:rsid w:val="00F40CE2"/>
    <w:rsid w:val="00F410B5"/>
    <w:rsid w:val="00F41352"/>
    <w:rsid w:val="00F41954"/>
    <w:rsid w:val="00F41A40"/>
    <w:rsid w:val="00F42496"/>
    <w:rsid w:val="00F4297B"/>
    <w:rsid w:val="00F42BEB"/>
    <w:rsid w:val="00F42D25"/>
    <w:rsid w:val="00F42D7C"/>
    <w:rsid w:val="00F4342A"/>
    <w:rsid w:val="00F43BD3"/>
    <w:rsid w:val="00F4469E"/>
    <w:rsid w:val="00F44C39"/>
    <w:rsid w:val="00F44E64"/>
    <w:rsid w:val="00F45712"/>
    <w:rsid w:val="00F45904"/>
    <w:rsid w:val="00F45AA0"/>
    <w:rsid w:val="00F45D35"/>
    <w:rsid w:val="00F46CDD"/>
    <w:rsid w:val="00F47565"/>
    <w:rsid w:val="00F47FFB"/>
    <w:rsid w:val="00F502C4"/>
    <w:rsid w:val="00F50EFC"/>
    <w:rsid w:val="00F5117E"/>
    <w:rsid w:val="00F512F4"/>
    <w:rsid w:val="00F51365"/>
    <w:rsid w:val="00F51BEF"/>
    <w:rsid w:val="00F51D71"/>
    <w:rsid w:val="00F51D8F"/>
    <w:rsid w:val="00F520D0"/>
    <w:rsid w:val="00F52215"/>
    <w:rsid w:val="00F523EE"/>
    <w:rsid w:val="00F526E0"/>
    <w:rsid w:val="00F52D53"/>
    <w:rsid w:val="00F53123"/>
    <w:rsid w:val="00F53CB6"/>
    <w:rsid w:val="00F53F58"/>
    <w:rsid w:val="00F545FE"/>
    <w:rsid w:val="00F54BD6"/>
    <w:rsid w:val="00F55060"/>
    <w:rsid w:val="00F551A4"/>
    <w:rsid w:val="00F5532B"/>
    <w:rsid w:val="00F55A83"/>
    <w:rsid w:val="00F56051"/>
    <w:rsid w:val="00F561D0"/>
    <w:rsid w:val="00F563A5"/>
    <w:rsid w:val="00F564D5"/>
    <w:rsid w:val="00F56A6C"/>
    <w:rsid w:val="00F56AFE"/>
    <w:rsid w:val="00F56C49"/>
    <w:rsid w:val="00F57351"/>
    <w:rsid w:val="00F57790"/>
    <w:rsid w:val="00F57B2D"/>
    <w:rsid w:val="00F608F9"/>
    <w:rsid w:val="00F60919"/>
    <w:rsid w:val="00F617AD"/>
    <w:rsid w:val="00F61D7F"/>
    <w:rsid w:val="00F6225B"/>
    <w:rsid w:val="00F62882"/>
    <w:rsid w:val="00F633CE"/>
    <w:rsid w:val="00F63871"/>
    <w:rsid w:val="00F64046"/>
    <w:rsid w:val="00F64160"/>
    <w:rsid w:val="00F647F8"/>
    <w:rsid w:val="00F64ABD"/>
    <w:rsid w:val="00F65158"/>
    <w:rsid w:val="00F65353"/>
    <w:rsid w:val="00F654BA"/>
    <w:rsid w:val="00F657C0"/>
    <w:rsid w:val="00F667EA"/>
    <w:rsid w:val="00F6689F"/>
    <w:rsid w:val="00F6696E"/>
    <w:rsid w:val="00F67192"/>
    <w:rsid w:val="00F67554"/>
    <w:rsid w:val="00F67683"/>
    <w:rsid w:val="00F67693"/>
    <w:rsid w:val="00F676E4"/>
    <w:rsid w:val="00F70464"/>
    <w:rsid w:val="00F7077D"/>
    <w:rsid w:val="00F70932"/>
    <w:rsid w:val="00F70EAC"/>
    <w:rsid w:val="00F710D1"/>
    <w:rsid w:val="00F7140E"/>
    <w:rsid w:val="00F71588"/>
    <w:rsid w:val="00F7163E"/>
    <w:rsid w:val="00F71891"/>
    <w:rsid w:val="00F7199C"/>
    <w:rsid w:val="00F71A27"/>
    <w:rsid w:val="00F71CBF"/>
    <w:rsid w:val="00F71FC9"/>
    <w:rsid w:val="00F72425"/>
    <w:rsid w:val="00F725CF"/>
    <w:rsid w:val="00F72678"/>
    <w:rsid w:val="00F727D7"/>
    <w:rsid w:val="00F73BEB"/>
    <w:rsid w:val="00F73C4A"/>
    <w:rsid w:val="00F73E57"/>
    <w:rsid w:val="00F741D2"/>
    <w:rsid w:val="00F74908"/>
    <w:rsid w:val="00F74AD4"/>
    <w:rsid w:val="00F74C0E"/>
    <w:rsid w:val="00F754C2"/>
    <w:rsid w:val="00F762BF"/>
    <w:rsid w:val="00F76AE7"/>
    <w:rsid w:val="00F76D9E"/>
    <w:rsid w:val="00F77027"/>
    <w:rsid w:val="00F7741A"/>
    <w:rsid w:val="00F77E1F"/>
    <w:rsid w:val="00F77FF5"/>
    <w:rsid w:val="00F80074"/>
    <w:rsid w:val="00F802FB"/>
    <w:rsid w:val="00F80462"/>
    <w:rsid w:val="00F8118C"/>
    <w:rsid w:val="00F8142C"/>
    <w:rsid w:val="00F816BB"/>
    <w:rsid w:val="00F82318"/>
    <w:rsid w:val="00F8246C"/>
    <w:rsid w:val="00F83129"/>
    <w:rsid w:val="00F835BA"/>
    <w:rsid w:val="00F83A3B"/>
    <w:rsid w:val="00F83EB1"/>
    <w:rsid w:val="00F8401C"/>
    <w:rsid w:val="00F84367"/>
    <w:rsid w:val="00F845CD"/>
    <w:rsid w:val="00F84DF6"/>
    <w:rsid w:val="00F856EE"/>
    <w:rsid w:val="00F85AA8"/>
    <w:rsid w:val="00F85B6F"/>
    <w:rsid w:val="00F85EEF"/>
    <w:rsid w:val="00F860C4"/>
    <w:rsid w:val="00F86B28"/>
    <w:rsid w:val="00F8743A"/>
    <w:rsid w:val="00F87AD6"/>
    <w:rsid w:val="00F87C66"/>
    <w:rsid w:val="00F90072"/>
    <w:rsid w:val="00F90476"/>
    <w:rsid w:val="00F91286"/>
    <w:rsid w:val="00F91483"/>
    <w:rsid w:val="00F921A7"/>
    <w:rsid w:val="00F92B8C"/>
    <w:rsid w:val="00F92FE5"/>
    <w:rsid w:val="00F938C3"/>
    <w:rsid w:val="00F93A3B"/>
    <w:rsid w:val="00F93A5D"/>
    <w:rsid w:val="00F93B03"/>
    <w:rsid w:val="00F93D3D"/>
    <w:rsid w:val="00F93F62"/>
    <w:rsid w:val="00F94205"/>
    <w:rsid w:val="00F94416"/>
    <w:rsid w:val="00F94683"/>
    <w:rsid w:val="00F946C1"/>
    <w:rsid w:val="00F94732"/>
    <w:rsid w:val="00F94AFE"/>
    <w:rsid w:val="00F94EE7"/>
    <w:rsid w:val="00F94F3C"/>
    <w:rsid w:val="00F95077"/>
    <w:rsid w:val="00F952FB"/>
    <w:rsid w:val="00F957E2"/>
    <w:rsid w:val="00F95E4B"/>
    <w:rsid w:val="00F95EDA"/>
    <w:rsid w:val="00F95F76"/>
    <w:rsid w:val="00F9608B"/>
    <w:rsid w:val="00F96647"/>
    <w:rsid w:val="00F96F26"/>
    <w:rsid w:val="00F97135"/>
    <w:rsid w:val="00F97A53"/>
    <w:rsid w:val="00F97BE1"/>
    <w:rsid w:val="00F97C68"/>
    <w:rsid w:val="00FA08FC"/>
    <w:rsid w:val="00FA0928"/>
    <w:rsid w:val="00FA1361"/>
    <w:rsid w:val="00FA1485"/>
    <w:rsid w:val="00FA17CE"/>
    <w:rsid w:val="00FA1A3E"/>
    <w:rsid w:val="00FA1B5D"/>
    <w:rsid w:val="00FA1C67"/>
    <w:rsid w:val="00FA1F9F"/>
    <w:rsid w:val="00FA1FEB"/>
    <w:rsid w:val="00FA21DA"/>
    <w:rsid w:val="00FA2434"/>
    <w:rsid w:val="00FA2FE2"/>
    <w:rsid w:val="00FA317B"/>
    <w:rsid w:val="00FA347F"/>
    <w:rsid w:val="00FA3A2E"/>
    <w:rsid w:val="00FA3B26"/>
    <w:rsid w:val="00FA3D83"/>
    <w:rsid w:val="00FA3F34"/>
    <w:rsid w:val="00FA4217"/>
    <w:rsid w:val="00FA430A"/>
    <w:rsid w:val="00FA46DC"/>
    <w:rsid w:val="00FA4CA0"/>
    <w:rsid w:val="00FA4E90"/>
    <w:rsid w:val="00FA4FA2"/>
    <w:rsid w:val="00FA59C5"/>
    <w:rsid w:val="00FA5A96"/>
    <w:rsid w:val="00FA5FAB"/>
    <w:rsid w:val="00FA673B"/>
    <w:rsid w:val="00FA6988"/>
    <w:rsid w:val="00FA739C"/>
    <w:rsid w:val="00FA78D0"/>
    <w:rsid w:val="00FA7E9D"/>
    <w:rsid w:val="00FB028F"/>
    <w:rsid w:val="00FB06CC"/>
    <w:rsid w:val="00FB0C28"/>
    <w:rsid w:val="00FB12CD"/>
    <w:rsid w:val="00FB15C1"/>
    <w:rsid w:val="00FB2152"/>
    <w:rsid w:val="00FB2260"/>
    <w:rsid w:val="00FB2D9F"/>
    <w:rsid w:val="00FB30C0"/>
    <w:rsid w:val="00FB311C"/>
    <w:rsid w:val="00FB38AA"/>
    <w:rsid w:val="00FB3B00"/>
    <w:rsid w:val="00FB3BBE"/>
    <w:rsid w:val="00FB3BF5"/>
    <w:rsid w:val="00FB3E27"/>
    <w:rsid w:val="00FB4E08"/>
    <w:rsid w:val="00FB4F9E"/>
    <w:rsid w:val="00FB50A5"/>
    <w:rsid w:val="00FB518D"/>
    <w:rsid w:val="00FB5471"/>
    <w:rsid w:val="00FB54EB"/>
    <w:rsid w:val="00FB6581"/>
    <w:rsid w:val="00FB67B9"/>
    <w:rsid w:val="00FB68BF"/>
    <w:rsid w:val="00FB7387"/>
    <w:rsid w:val="00FB75E3"/>
    <w:rsid w:val="00FB7802"/>
    <w:rsid w:val="00FC010F"/>
    <w:rsid w:val="00FC0886"/>
    <w:rsid w:val="00FC1099"/>
    <w:rsid w:val="00FC11A2"/>
    <w:rsid w:val="00FC1382"/>
    <w:rsid w:val="00FC14E4"/>
    <w:rsid w:val="00FC18FB"/>
    <w:rsid w:val="00FC1967"/>
    <w:rsid w:val="00FC2246"/>
    <w:rsid w:val="00FC25C0"/>
    <w:rsid w:val="00FC26A7"/>
    <w:rsid w:val="00FC289A"/>
    <w:rsid w:val="00FC2B6C"/>
    <w:rsid w:val="00FC2C95"/>
    <w:rsid w:val="00FC2E22"/>
    <w:rsid w:val="00FC33CB"/>
    <w:rsid w:val="00FC3463"/>
    <w:rsid w:val="00FC3B3D"/>
    <w:rsid w:val="00FC3B7E"/>
    <w:rsid w:val="00FC46E9"/>
    <w:rsid w:val="00FC4832"/>
    <w:rsid w:val="00FC4A54"/>
    <w:rsid w:val="00FC4A9D"/>
    <w:rsid w:val="00FC4DE7"/>
    <w:rsid w:val="00FC5172"/>
    <w:rsid w:val="00FC517B"/>
    <w:rsid w:val="00FC53F8"/>
    <w:rsid w:val="00FC5B72"/>
    <w:rsid w:val="00FC5E7D"/>
    <w:rsid w:val="00FC5F8D"/>
    <w:rsid w:val="00FC606C"/>
    <w:rsid w:val="00FC6B0E"/>
    <w:rsid w:val="00FC6F63"/>
    <w:rsid w:val="00FC728E"/>
    <w:rsid w:val="00FD03E7"/>
    <w:rsid w:val="00FD1140"/>
    <w:rsid w:val="00FD17E3"/>
    <w:rsid w:val="00FD18A4"/>
    <w:rsid w:val="00FD1B81"/>
    <w:rsid w:val="00FD2889"/>
    <w:rsid w:val="00FD364D"/>
    <w:rsid w:val="00FD417D"/>
    <w:rsid w:val="00FD4424"/>
    <w:rsid w:val="00FD4CBD"/>
    <w:rsid w:val="00FD4E62"/>
    <w:rsid w:val="00FD51E0"/>
    <w:rsid w:val="00FD598D"/>
    <w:rsid w:val="00FD5E03"/>
    <w:rsid w:val="00FD5F9E"/>
    <w:rsid w:val="00FD606C"/>
    <w:rsid w:val="00FD643A"/>
    <w:rsid w:val="00FD6EEC"/>
    <w:rsid w:val="00FD7053"/>
    <w:rsid w:val="00FD713B"/>
    <w:rsid w:val="00FD7464"/>
    <w:rsid w:val="00FD7CB7"/>
    <w:rsid w:val="00FD7DA7"/>
    <w:rsid w:val="00FD7F20"/>
    <w:rsid w:val="00FE0486"/>
    <w:rsid w:val="00FE0BEE"/>
    <w:rsid w:val="00FE0C3E"/>
    <w:rsid w:val="00FE0D61"/>
    <w:rsid w:val="00FE1AB7"/>
    <w:rsid w:val="00FE1E46"/>
    <w:rsid w:val="00FE224A"/>
    <w:rsid w:val="00FE22FF"/>
    <w:rsid w:val="00FE2590"/>
    <w:rsid w:val="00FE2C6E"/>
    <w:rsid w:val="00FE3CA3"/>
    <w:rsid w:val="00FE479E"/>
    <w:rsid w:val="00FE4D47"/>
    <w:rsid w:val="00FE5382"/>
    <w:rsid w:val="00FE5672"/>
    <w:rsid w:val="00FE56C6"/>
    <w:rsid w:val="00FE56E9"/>
    <w:rsid w:val="00FE5D0E"/>
    <w:rsid w:val="00FE6255"/>
    <w:rsid w:val="00FE62B5"/>
    <w:rsid w:val="00FE6311"/>
    <w:rsid w:val="00FE63AA"/>
    <w:rsid w:val="00FE68FB"/>
    <w:rsid w:val="00FE6FAD"/>
    <w:rsid w:val="00FE78BA"/>
    <w:rsid w:val="00FE79CF"/>
    <w:rsid w:val="00FF054A"/>
    <w:rsid w:val="00FF0785"/>
    <w:rsid w:val="00FF0989"/>
    <w:rsid w:val="00FF100A"/>
    <w:rsid w:val="00FF12E5"/>
    <w:rsid w:val="00FF141F"/>
    <w:rsid w:val="00FF1830"/>
    <w:rsid w:val="00FF23C6"/>
    <w:rsid w:val="00FF2554"/>
    <w:rsid w:val="00FF39DF"/>
    <w:rsid w:val="00FF41EF"/>
    <w:rsid w:val="00FF4223"/>
    <w:rsid w:val="00FF4466"/>
    <w:rsid w:val="00FF474B"/>
    <w:rsid w:val="00FF480A"/>
    <w:rsid w:val="00FF4D1D"/>
    <w:rsid w:val="00FF5260"/>
    <w:rsid w:val="00FF5995"/>
    <w:rsid w:val="00FF64F9"/>
    <w:rsid w:val="00FF68AD"/>
    <w:rsid w:val="00FF714A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56D320"/>
  <w15:chartTrackingRefBased/>
  <w15:docId w15:val="{1BDA39A0-5B88-4DD6-A0F4-E3E9F521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F69"/>
    <w:pPr>
      <w:spacing w:after="120" w:line="240" w:lineRule="auto"/>
    </w:pPr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3466E"/>
    <w:pPr>
      <w:spacing w:after="160" w:line="259" w:lineRule="auto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6F3F69"/>
    <w:pPr>
      <w:numPr>
        <w:numId w:val="1"/>
      </w:numPr>
      <w:spacing w:after="60" w:line="259" w:lineRule="auto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3045F"/>
    <w:pPr>
      <w:keepNext/>
      <w:numPr>
        <w:ilvl w:val="1"/>
        <w:numId w:val="2"/>
      </w:numPr>
      <w:spacing w:after="0"/>
      <w:jc w:val="both"/>
      <w:outlineLvl w:val="2"/>
    </w:pPr>
    <w:rPr>
      <w:rFonts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66E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List Paragraph Char,Odstavec cíl se seznamem Char,List Paragraph (Czech Tourism) Char,Odstavec se seznamem5 Char,Odstavec_muj1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F3F69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3045F"/>
    <w:rPr>
      <w:rFonts w:ascii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2B7978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rsid w:val="002B797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99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KP,No Spacing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Next/>
      <w:keepLines/>
      <w:pageBreakBefore/>
      <w:spacing w:before="240" w:after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 w:line="259" w:lineRule="auto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 w:line="259" w:lineRule="auto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 w:line="259" w:lineRule="auto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 w:line="259" w:lineRule="auto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 w:line="259" w:lineRule="auto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 w:line="259" w:lineRule="auto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character" w:customStyle="1" w:styleId="odrkaChar">
    <w:name w:val="odrážka Char"/>
    <w:basedOn w:val="Standardnpsmoodstavce"/>
    <w:link w:val="odrka"/>
    <w:locked/>
    <w:rsid w:val="00D50417"/>
    <w:rPr>
      <w:rFonts w:cs="Calibri"/>
    </w:rPr>
  </w:style>
  <w:style w:type="paragraph" w:customStyle="1" w:styleId="odrka">
    <w:name w:val="odrážka"/>
    <w:basedOn w:val="Normln"/>
    <w:link w:val="odrkaChar"/>
    <w:qFormat/>
    <w:rsid w:val="00D50417"/>
    <w:pPr>
      <w:numPr>
        <w:numId w:val="3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customStyle="1" w:styleId="Styl1">
    <w:name w:val="Styl1"/>
    <w:basedOn w:val="Nadpis1"/>
    <w:link w:val="Styl1Char"/>
    <w:qFormat/>
    <w:rsid w:val="00201480"/>
    <w:pPr>
      <w:keepNext/>
      <w:numPr>
        <w:numId w:val="5"/>
      </w:numPr>
      <w:spacing w:after="0" w:line="240" w:lineRule="auto"/>
    </w:pPr>
  </w:style>
  <w:style w:type="paragraph" w:customStyle="1" w:styleId="Styl2">
    <w:name w:val="Styl2"/>
    <w:basedOn w:val="Nadpis2"/>
    <w:link w:val="Styl2Char"/>
    <w:qFormat/>
    <w:rsid w:val="00201480"/>
    <w:pPr>
      <w:keepNext/>
      <w:numPr>
        <w:ilvl w:val="1"/>
        <w:numId w:val="5"/>
      </w:numPr>
      <w:spacing w:after="240" w:line="240" w:lineRule="auto"/>
      <w:contextualSpacing w:val="0"/>
      <w:jc w:val="left"/>
    </w:pPr>
    <w:rPr>
      <w:rFonts w:ascii="Calibri" w:hAnsi="Calibri" w:cs="Calibri"/>
    </w:rPr>
  </w:style>
  <w:style w:type="character" w:customStyle="1" w:styleId="Styl1Char">
    <w:name w:val="Styl1 Char"/>
    <w:basedOn w:val="Nadpis1Char"/>
    <w:link w:val="Styl1"/>
    <w:rsid w:val="00201480"/>
    <w:rPr>
      <w:rFonts w:eastAsiaTheme="minorHAnsi" w:cstheme="minorHAnsi"/>
      <w:b/>
      <w:sz w:val="28"/>
      <w:szCs w:val="28"/>
    </w:rPr>
  </w:style>
  <w:style w:type="paragraph" w:customStyle="1" w:styleId="Styl3">
    <w:name w:val="Styl3"/>
    <w:basedOn w:val="Nadpis4"/>
    <w:link w:val="Styl3Char"/>
    <w:qFormat/>
    <w:rsid w:val="00201480"/>
    <w:pPr>
      <w:ind w:left="360" w:hanging="360"/>
    </w:pPr>
    <w:rPr>
      <w:rFonts w:asciiTheme="minorHAnsi" w:eastAsia="Times New Roman" w:hAnsiTheme="minorHAnsi" w:cstheme="minorHAnsi"/>
      <w:b/>
      <w:i w:val="0"/>
      <w:color w:val="000000" w:themeColor="text1"/>
    </w:rPr>
  </w:style>
  <w:style w:type="character" w:customStyle="1" w:styleId="Styl2Char">
    <w:name w:val="Styl2 Char"/>
    <w:basedOn w:val="Nadpis2Char"/>
    <w:link w:val="Styl2"/>
    <w:rsid w:val="00201480"/>
    <w:rPr>
      <w:rFonts w:ascii="Calibri" w:eastAsia="Calibri" w:hAnsi="Calibri" w:cs="Calibri"/>
      <w:b/>
      <w:sz w:val="24"/>
      <w:szCs w:val="24"/>
    </w:rPr>
  </w:style>
  <w:style w:type="character" w:customStyle="1" w:styleId="Styl3Char">
    <w:name w:val="Styl3 Char"/>
    <w:basedOn w:val="Nadpis4Char"/>
    <w:link w:val="Styl3"/>
    <w:rsid w:val="00201480"/>
    <w:rPr>
      <w:rFonts w:asciiTheme="majorHAnsi" w:eastAsiaTheme="majorEastAsia" w:hAnsiTheme="majorHAnsi" w:cstheme="minorHAnsi"/>
      <w:b/>
      <w:i w:val="0"/>
      <w:iCs/>
      <w:color w:val="000000" w:themeColor="text1"/>
      <w:sz w:val="24"/>
      <w:szCs w:val="24"/>
    </w:rPr>
  </w:style>
  <w:style w:type="table" w:customStyle="1" w:styleId="Mkatabulky3">
    <w:name w:val="Mřížka tabulky3"/>
    <w:basedOn w:val="Normlntabulka"/>
    <w:next w:val="Mkatabulky"/>
    <w:uiPriority w:val="39"/>
    <w:rsid w:val="00DD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adpis1"/>
    <w:qFormat/>
    <w:rsid w:val="00A41CA2"/>
    <w:pPr>
      <w:keepNext/>
      <w:numPr>
        <w:ilvl w:val="4"/>
        <w:numId w:val="8"/>
      </w:numPr>
      <w:spacing w:before="120" w:after="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A41CA2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A41CA2"/>
    <w:pPr>
      <w:keepNext/>
      <w:numPr>
        <w:ilvl w:val="2"/>
        <w:numId w:val="8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A41CA2"/>
    <w:pPr>
      <w:numPr>
        <w:ilvl w:val="3"/>
      </w:numPr>
      <w:ind w:left="567" w:hanging="567"/>
    </w:pPr>
    <w:rPr>
      <w:i/>
    </w:rPr>
  </w:style>
  <w:style w:type="paragraph" w:customStyle="1" w:styleId="tabulka">
    <w:name w:val="tabulka"/>
    <w:basedOn w:val="Normln"/>
    <w:link w:val="tabulkaChar"/>
    <w:qFormat/>
    <w:rsid w:val="00476D94"/>
    <w:pPr>
      <w:spacing w:after="0"/>
      <w:jc w:val="both"/>
    </w:pPr>
    <w:rPr>
      <w:sz w:val="20"/>
    </w:rPr>
  </w:style>
  <w:style w:type="character" w:customStyle="1" w:styleId="tabulkaChar">
    <w:name w:val="tabulka Char"/>
    <w:link w:val="tabulka"/>
    <w:locked/>
    <w:rsid w:val="00476D94"/>
    <w:rPr>
      <w:rFonts w:ascii="Calibri" w:hAnsi="Calibri" w:cs="Times New Roman"/>
      <w:sz w:val="20"/>
      <w:szCs w:val="24"/>
    </w:rPr>
  </w:style>
  <w:style w:type="table" w:customStyle="1" w:styleId="Mkatabulky4">
    <w:name w:val="Mřížka tabulky4"/>
    <w:basedOn w:val="Normlntabulka"/>
    <w:next w:val="Mkatabulky"/>
    <w:uiPriority w:val="59"/>
    <w:rsid w:val="00196B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238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header" Target="header6.xml"/><Relationship Id="rId21" Type="http://schemas.microsoft.com/office/2007/relationships/diagramDrawing" Target="diagrams/drawing2.xml"/><Relationship Id="rId34" Type="http://schemas.openxmlformats.org/officeDocument/2006/relationships/footer" Target="footer2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header" Target="header4.xml"/><Relationship Id="rId40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1.xml"/><Relationship Id="rId38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ib.org/attachments/lucalli/20220270_eib_financial_report_2022_en.pdf" TargetMode="External"/><Relationship Id="rId1" Type="http://schemas.openxmlformats.org/officeDocument/2006/relationships/hyperlink" Target="https://monitor.statnipokladna.cz/ucetni-jednotka/00164801/rozpocet/vydaje-druhovy?rad=t&amp;obdobi=22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AF1953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V účetnictví ve výši 40,2 mld. Kč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AF1953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V oblasti účetnictví</a:t>
          </a:r>
          <a:endParaRPr lang="cs-CZ" sz="1200">
            <a:solidFill>
              <a:schemeClr val="bg1"/>
            </a:solidFill>
            <a:highlight>
              <a:srgbClr val="FFFF00"/>
            </a:highlight>
          </a:endParaRP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V účetnictví ve výši 40,2 mld. Kč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AF19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V oblasti účetnictví</a:t>
          </a:r>
          <a:endParaRPr lang="cs-CZ" sz="1200" kern="1200">
            <a:solidFill>
              <a:schemeClr val="bg1"/>
            </a:solidFill>
            <a:highlight>
              <a:srgbClr val="FFFF00"/>
            </a:highlight>
          </a:endParaRP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6" ma:contentTypeDescription="Nový dokument" ma:contentTypeScope="" ma:versionID="d04e892d5497d6648db786d6a921f532">
  <xsd:schema xmlns:xsd="http://www.w3.org/2001/XMLSchema" xmlns:xs="http://www.w3.org/2001/XMLSchema" xmlns:p="http://schemas.microsoft.com/office/2006/metadata/properties" xmlns:ns2="3904c94d-a6c3-41dd-a715-a9d2e937a92c" targetNamespace="http://schemas.microsoft.com/office/2006/metadata/properties" ma:root="true" ma:fieldsID="45dc25f6638faec4eb450b34f6728de5" ns2:_="">
    <xsd:import namespace="3904c94d-a6c3-41dd-a715-a9d2e937a9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c94d-a6c3-41dd-a715-a9d2e937a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83D8-192D-4124-A8DB-CD0C50B3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c94d-a6c3-41dd-a715-a9d2e937a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0F923-7150-41FF-A829-D5640C567F8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3904c94d-a6c3-41dd-a715-a9d2e937a92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C4E68-C333-4313-9DAD-C651113B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11779</Words>
  <Characters>69501</Characters>
  <Application>Microsoft Office Word</Application>
  <DocSecurity>0</DocSecurity>
  <Lines>579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22/18 - Závěrečný účet kapitoly státního rozpočtu Ministerstvo životního prostředí za rok 2022, účetní závěrka Ministerstva životního prostředí za rok 2022 a údaje předkládané Ministerstvem životního prostředí pro h</vt:lpstr>
    </vt:vector>
  </TitlesOfParts>
  <Company>NKU</Company>
  <LinksUpToDate>false</LinksUpToDate>
  <CharactersWithSpaces>81118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22/18 - Závěrečný účet kapitoly státního rozpočtu Ministerstvo životního prostředí za rok 2022, účetní závěrka Ministerstva životního prostředí za rok 2022 a údaje předkládané Ministerstvem životního prostředí pro hodnocení plnění státního rozpočtu za rok 2022</dc:title>
  <dc:subject>Kontrolní závěr z kontrolní akce NKÚ č. 22/18 - Závěrečný účet kapitoly státního rozpočtu Ministerstvo životního prostředí za rok 2022, účetní závěrka Ministerstva životního prostředí za rok 2022 a údaje předkládané Ministerstvem životního prostředí pro hodnocení plnění státního rozpočtu za rok 2022</dc:subject>
  <dc:creator>Nejvyšší kontrolní úřad</dc:creator>
  <cp:keywords>kontrolní závěr, účetnictví, MŽP</cp:keywords>
  <cp:lastModifiedBy>KOKRDA Daniel</cp:lastModifiedBy>
  <cp:revision>3</cp:revision>
  <cp:lastPrinted>2023-10-25T08:24:00Z</cp:lastPrinted>
  <dcterms:created xsi:type="dcterms:W3CDTF">2023-10-25T08:22:00Z</dcterms:created>
  <dcterms:modified xsi:type="dcterms:W3CDTF">2023-10-25T08:24:00Z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0x0101008A8194ABDB559E4EA6DCF74D90837326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</Properties>
</file>