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B9570" w14:textId="77777777" w:rsidR="00462F78" w:rsidRPr="008256BF" w:rsidRDefault="00462F78" w:rsidP="008256BF">
      <w:pPr>
        <w:jc w:val="center"/>
        <w:rPr>
          <w:rFonts w:asciiTheme="minorHAnsi" w:hAnsiTheme="minorHAnsi" w:cstheme="minorHAnsi"/>
          <w:b/>
          <w:szCs w:val="28"/>
        </w:rPr>
      </w:pPr>
      <w:r w:rsidRPr="008256BF">
        <w:rPr>
          <w:rFonts w:asciiTheme="minorHAnsi" w:hAnsiTheme="minorHAnsi" w:cstheme="minorHAnsi"/>
          <w:b/>
          <w:noProof/>
          <w:szCs w:val="28"/>
        </w:rPr>
        <w:drawing>
          <wp:anchor distT="0" distB="0" distL="114300" distR="114300" simplePos="0" relativeHeight="251656192" behindDoc="0" locked="0" layoutInCell="1" allowOverlap="1" wp14:anchorId="4C8F1620" wp14:editId="2850A8B6">
            <wp:simplePos x="0" y="0"/>
            <wp:positionH relativeFrom="column">
              <wp:posOffset>2487461</wp:posOffset>
            </wp:positionH>
            <wp:positionV relativeFrom="paragraph">
              <wp:posOffset>-1298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914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14:paraId="6DA0BD3B" w14:textId="77777777" w:rsidR="00462F78" w:rsidRPr="008256BF" w:rsidRDefault="00462F78" w:rsidP="008256BF">
      <w:pPr>
        <w:pStyle w:val="Bn"/>
        <w:spacing w:before="0" w:line="240" w:lineRule="auto"/>
        <w:ind w:firstLine="0"/>
        <w:jc w:val="center"/>
        <w:rPr>
          <w:rFonts w:asciiTheme="minorHAnsi" w:eastAsia="Times New Roman" w:hAnsiTheme="minorHAnsi" w:cstheme="minorHAnsi"/>
          <w:b/>
          <w:sz w:val="24"/>
          <w:szCs w:val="28"/>
        </w:rPr>
      </w:pPr>
    </w:p>
    <w:p w14:paraId="4A886E94" w14:textId="77777777" w:rsidR="00F82300" w:rsidRPr="008256BF" w:rsidRDefault="00F82300" w:rsidP="008256BF">
      <w:pPr>
        <w:jc w:val="center"/>
        <w:rPr>
          <w:rFonts w:asciiTheme="minorHAnsi" w:hAnsiTheme="minorHAnsi" w:cstheme="minorHAnsi"/>
          <w:b/>
          <w:szCs w:val="28"/>
        </w:rPr>
      </w:pPr>
    </w:p>
    <w:p w14:paraId="6F06FE34" w14:textId="77777777" w:rsidR="00462F78" w:rsidRPr="000F7BAE" w:rsidRDefault="00462F78" w:rsidP="000F7BAE">
      <w:pPr>
        <w:jc w:val="center"/>
        <w:rPr>
          <w:rFonts w:asciiTheme="minorHAnsi" w:hAnsiTheme="minorHAnsi" w:cstheme="minorHAnsi"/>
          <w:b/>
          <w:sz w:val="28"/>
          <w:szCs w:val="28"/>
        </w:rPr>
      </w:pPr>
      <w:r w:rsidRPr="000F7BAE">
        <w:rPr>
          <w:rFonts w:asciiTheme="minorHAnsi" w:hAnsiTheme="minorHAnsi" w:cstheme="minorHAnsi"/>
          <w:b/>
          <w:sz w:val="28"/>
          <w:szCs w:val="28"/>
        </w:rPr>
        <w:t>Kontrolní závěr z kontrolní akce</w:t>
      </w:r>
    </w:p>
    <w:p w14:paraId="7A52F3F1" w14:textId="77777777" w:rsidR="00462F78" w:rsidRPr="00C53ECF" w:rsidRDefault="00462F78" w:rsidP="00462F78">
      <w:pPr>
        <w:jc w:val="center"/>
        <w:rPr>
          <w:rFonts w:asciiTheme="minorHAnsi" w:hAnsiTheme="minorHAnsi" w:cstheme="minorHAnsi"/>
        </w:rPr>
      </w:pPr>
    </w:p>
    <w:p w14:paraId="5B6569D9" w14:textId="77777777" w:rsidR="00462F78" w:rsidRPr="00C53ECF" w:rsidRDefault="00E67822" w:rsidP="00462F78">
      <w:pPr>
        <w:ind w:right="68"/>
        <w:jc w:val="center"/>
        <w:rPr>
          <w:rFonts w:asciiTheme="minorHAnsi" w:hAnsiTheme="minorHAnsi" w:cstheme="minorHAnsi"/>
          <w:b/>
          <w:bCs/>
          <w:sz w:val="28"/>
        </w:rPr>
      </w:pPr>
      <w:r>
        <w:rPr>
          <w:rFonts w:asciiTheme="minorHAnsi" w:hAnsiTheme="minorHAnsi" w:cstheme="minorHAnsi"/>
          <w:b/>
          <w:bCs/>
          <w:sz w:val="28"/>
        </w:rPr>
        <w:t>2</w:t>
      </w:r>
      <w:r w:rsidR="00BF23BA">
        <w:rPr>
          <w:rFonts w:asciiTheme="minorHAnsi" w:hAnsiTheme="minorHAnsi" w:cstheme="minorHAnsi"/>
          <w:b/>
          <w:bCs/>
          <w:sz w:val="28"/>
        </w:rPr>
        <w:t>2</w:t>
      </w:r>
      <w:r w:rsidR="00462F78" w:rsidRPr="00C53ECF">
        <w:rPr>
          <w:rFonts w:asciiTheme="minorHAnsi" w:hAnsiTheme="minorHAnsi" w:cstheme="minorHAnsi"/>
          <w:b/>
          <w:bCs/>
          <w:sz w:val="28"/>
        </w:rPr>
        <w:t>/</w:t>
      </w:r>
      <w:r>
        <w:rPr>
          <w:rFonts w:asciiTheme="minorHAnsi" w:hAnsiTheme="minorHAnsi" w:cstheme="minorHAnsi"/>
          <w:b/>
          <w:bCs/>
          <w:sz w:val="28"/>
        </w:rPr>
        <w:t>1</w:t>
      </w:r>
      <w:r w:rsidR="00BF23BA">
        <w:rPr>
          <w:rFonts w:asciiTheme="minorHAnsi" w:hAnsiTheme="minorHAnsi" w:cstheme="minorHAnsi"/>
          <w:b/>
          <w:bCs/>
          <w:sz w:val="28"/>
        </w:rPr>
        <w:t>1</w:t>
      </w:r>
    </w:p>
    <w:p w14:paraId="5C9A8911" w14:textId="77777777" w:rsidR="00462F78" w:rsidRPr="00C53ECF" w:rsidRDefault="00462F78" w:rsidP="00462F78">
      <w:pPr>
        <w:ind w:right="68"/>
        <w:jc w:val="center"/>
        <w:rPr>
          <w:rFonts w:asciiTheme="minorHAnsi" w:hAnsiTheme="minorHAnsi" w:cstheme="minorHAnsi"/>
          <w:bCs/>
        </w:rPr>
      </w:pPr>
    </w:p>
    <w:p w14:paraId="2F8925D9" w14:textId="77777777" w:rsidR="007347A4" w:rsidRPr="00C53ECF" w:rsidRDefault="000672E6" w:rsidP="007347A4">
      <w:pPr>
        <w:jc w:val="center"/>
        <w:rPr>
          <w:rFonts w:asciiTheme="minorHAnsi" w:hAnsiTheme="minorHAnsi" w:cstheme="minorHAnsi"/>
          <w:b/>
          <w:sz w:val="28"/>
          <w:szCs w:val="28"/>
        </w:rPr>
      </w:pPr>
      <w:r>
        <w:rPr>
          <w:rFonts w:asciiTheme="minorHAnsi" w:hAnsiTheme="minorHAnsi" w:cstheme="minorHAnsi"/>
          <w:b/>
          <w:sz w:val="28"/>
          <w:szCs w:val="28"/>
        </w:rPr>
        <w:t xml:space="preserve">Peněžní prostředky státu </w:t>
      </w:r>
      <w:r w:rsidR="00BF23BA">
        <w:rPr>
          <w:rFonts w:asciiTheme="minorHAnsi" w:hAnsiTheme="minorHAnsi" w:cstheme="minorHAnsi"/>
          <w:b/>
          <w:sz w:val="28"/>
          <w:szCs w:val="28"/>
        </w:rPr>
        <w:t>určené na automobilní techniku Armády České republiky</w:t>
      </w:r>
    </w:p>
    <w:p w14:paraId="3B7DB30D" w14:textId="77777777" w:rsidR="00462F78" w:rsidRPr="00C53ECF" w:rsidRDefault="00462F78" w:rsidP="008256BF">
      <w:pPr>
        <w:spacing w:line="264" w:lineRule="auto"/>
        <w:jc w:val="both"/>
        <w:rPr>
          <w:rFonts w:asciiTheme="minorHAnsi" w:hAnsiTheme="minorHAnsi" w:cstheme="minorHAnsi"/>
        </w:rPr>
      </w:pPr>
    </w:p>
    <w:p w14:paraId="604ABC8F" w14:textId="77777777" w:rsidR="00462F78" w:rsidRPr="00C53ECF" w:rsidRDefault="00462F78" w:rsidP="008256BF">
      <w:pPr>
        <w:spacing w:line="264" w:lineRule="auto"/>
        <w:jc w:val="both"/>
        <w:rPr>
          <w:rFonts w:asciiTheme="minorHAnsi" w:hAnsiTheme="minorHAnsi" w:cstheme="minorHAnsi"/>
        </w:rPr>
      </w:pPr>
      <w:bookmarkStart w:id="0" w:name="_GoBack"/>
      <w:bookmarkEnd w:id="0"/>
    </w:p>
    <w:p w14:paraId="2E3094B0" w14:textId="77777777" w:rsidR="00462F78" w:rsidRPr="00C53ECF" w:rsidRDefault="00462F78" w:rsidP="00462F78">
      <w:pPr>
        <w:pStyle w:val="Zkladn"/>
        <w:spacing w:before="0"/>
        <w:rPr>
          <w:rFonts w:asciiTheme="minorHAnsi" w:hAnsiTheme="minorHAnsi" w:cstheme="minorHAnsi"/>
        </w:rPr>
      </w:pPr>
      <w:r w:rsidRPr="00C53ECF">
        <w:rPr>
          <w:rFonts w:asciiTheme="minorHAnsi" w:hAnsiTheme="minorHAnsi" w:cstheme="minorHAnsi"/>
        </w:rPr>
        <w:t>Kontrolní akce byla zařazena do plánu kontrolní činnosti Nejvyššího kontrolního úřadu (dále</w:t>
      </w:r>
      <w:r w:rsidR="00417867">
        <w:rPr>
          <w:rFonts w:asciiTheme="minorHAnsi" w:hAnsiTheme="minorHAnsi" w:cstheme="minorHAnsi"/>
        </w:rPr>
        <w:t xml:space="preserve"> </w:t>
      </w:r>
      <w:r w:rsidRPr="00C53ECF">
        <w:rPr>
          <w:rFonts w:asciiTheme="minorHAnsi" w:hAnsiTheme="minorHAnsi" w:cstheme="minorHAnsi"/>
        </w:rPr>
        <w:t>jen „NKÚ“) na rok 20</w:t>
      </w:r>
      <w:r w:rsidR="000672E6">
        <w:rPr>
          <w:rFonts w:asciiTheme="minorHAnsi" w:hAnsiTheme="minorHAnsi" w:cstheme="minorHAnsi"/>
        </w:rPr>
        <w:t>2</w:t>
      </w:r>
      <w:r w:rsidR="00BF23BA">
        <w:rPr>
          <w:rFonts w:asciiTheme="minorHAnsi" w:hAnsiTheme="minorHAnsi" w:cstheme="minorHAnsi"/>
        </w:rPr>
        <w:t>2</w:t>
      </w:r>
      <w:r w:rsidRPr="00C53ECF">
        <w:rPr>
          <w:rFonts w:asciiTheme="minorHAnsi" w:hAnsiTheme="minorHAnsi" w:cstheme="minorHAnsi"/>
        </w:rPr>
        <w:t xml:space="preserve"> pod číslem </w:t>
      </w:r>
      <w:r w:rsidR="000672E6">
        <w:rPr>
          <w:rFonts w:asciiTheme="minorHAnsi" w:hAnsiTheme="minorHAnsi" w:cstheme="minorHAnsi"/>
        </w:rPr>
        <w:t>2</w:t>
      </w:r>
      <w:r w:rsidR="00BF23BA">
        <w:rPr>
          <w:rFonts w:asciiTheme="minorHAnsi" w:hAnsiTheme="minorHAnsi" w:cstheme="minorHAnsi"/>
        </w:rPr>
        <w:t>2</w:t>
      </w:r>
      <w:r w:rsidRPr="00C53ECF">
        <w:rPr>
          <w:rFonts w:asciiTheme="minorHAnsi" w:hAnsiTheme="minorHAnsi" w:cstheme="minorHAnsi"/>
        </w:rPr>
        <w:t>/</w:t>
      </w:r>
      <w:r w:rsidR="00D74096">
        <w:rPr>
          <w:rFonts w:asciiTheme="minorHAnsi" w:hAnsiTheme="minorHAnsi" w:cstheme="minorHAnsi"/>
        </w:rPr>
        <w:t>1</w:t>
      </w:r>
      <w:r w:rsidR="00BF23BA">
        <w:rPr>
          <w:rFonts w:asciiTheme="minorHAnsi" w:hAnsiTheme="minorHAnsi" w:cstheme="minorHAnsi"/>
        </w:rPr>
        <w:t>1</w:t>
      </w:r>
      <w:r w:rsidRPr="00C53ECF">
        <w:rPr>
          <w:rFonts w:asciiTheme="minorHAnsi" w:hAnsiTheme="minorHAnsi" w:cstheme="minorHAnsi"/>
        </w:rPr>
        <w:t>. Kontrolní akci řídil a kontrolní závěr vypracoval člen</w:t>
      </w:r>
      <w:r w:rsidR="00417867">
        <w:rPr>
          <w:rFonts w:asciiTheme="minorHAnsi" w:hAnsiTheme="minorHAnsi" w:cstheme="minorHAnsi"/>
        </w:rPr>
        <w:t> </w:t>
      </w:r>
      <w:r w:rsidRPr="00C53ECF">
        <w:rPr>
          <w:rFonts w:asciiTheme="minorHAnsi" w:hAnsiTheme="minorHAnsi" w:cstheme="minorHAnsi"/>
        </w:rPr>
        <w:t xml:space="preserve">NKÚ </w:t>
      </w:r>
      <w:r w:rsidR="00F01658">
        <w:rPr>
          <w:rFonts w:asciiTheme="minorHAnsi" w:hAnsiTheme="minorHAnsi" w:cstheme="minorHAnsi"/>
        </w:rPr>
        <w:t>RNDr. </w:t>
      </w:r>
      <w:r w:rsidR="00D74096">
        <w:rPr>
          <w:rFonts w:asciiTheme="minorHAnsi" w:hAnsiTheme="minorHAnsi" w:cstheme="minorHAnsi"/>
        </w:rPr>
        <w:t>Petr Neuvirt</w:t>
      </w:r>
      <w:r w:rsidRPr="00C53ECF">
        <w:rPr>
          <w:rFonts w:asciiTheme="minorHAnsi" w:hAnsiTheme="minorHAnsi" w:cstheme="minorHAnsi"/>
        </w:rPr>
        <w:t xml:space="preserve">. </w:t>
      </w:r>
    </w:p>
    <w:p w14:paraId="18C4FC81" w14:textId="77777777" w:rsidR="00462F78" w:rsidRPr="00C53ECF" w:rsidRDefault="00462F78" w:rsidP="00462F78">
      <w:pPr>
        <w:pStyle w:val="Zkladntextodsazen"/>
        <w:spacing w:after="0"/>
        <w:ind w:left="0"/>
        <w:jc w:val="both"/>
        <w:rPr>
          <w:rFonts w:asciiTheme="minorHAnsi" w:hAnsiTheme="minorHAnsi" w:cstheme="minorHAnsi"/>
        </w:rPr>
      </w:pPr>
    </w:p>
    <w:p w14:paraId="5817AF2A" w14:textId="77777777" w:rsidR="007347A4" w:rsidRPr="00C53ECF" w:rsidRDefault="00462F78" w:rsidP="007347A4">
      <w:pPr>
        <w:jc w:val="both"/>
        <w:rPr>
          <w:rFonts w:asciiTheme="minorHAnsi" w:hAnsiTheme="minorHAnsi" w:cstheme="minorHAnsi"/>
        </w:rPr>
      </w:pPr>
      <w:r w:rsidRPr="00C53ECF">
        <w:rPr>
          <w:rFonts w:asciiTheme="minorHAnsi" w:hAnsiTheme="minorHAnsi" w:cstheme="minorHAnsi"/>
          <w:lang w:eastAsia="en-US"/>
        </w:rPr>
        <w:t xml:space="preserve">Cílem kontroly bylo </w:t>
      </w:r>
      <w:r w:rsidR="00A648FB" w:rsidRPr="00C53ECF">
        <w:rPr>
          <w:rFonts w:asciiTheme="minorHAnsi" w:hAnsiTheme="minorHAnsi" w:cstheme="minorHAnsi"/>
          <w:lang w:eastAsia="en-US"/>
        </w:rPr>
        <w:t xml:space="preserve">prověřit, zda </w:t>
      </w:r>
      <w:r w:rsidR="000672E6">
        <w:rPr>
          <w:rFonts w:asciiTheme="minorHAnsi" w:hAnsiTheme="minorHAnsi" w:cstheme="minorHAnsi"/>
          <w:lang w:eastAsia="en-US"/>
        </w:rPr>
        <w:t xml:space="preserve">Ministerstvo obrany vynakládalo </w:t>
      </w:r>
      <w:r w:rsidR="00D74096">
        <w:rPr>
          <w:rFonts w:asciiTheme="minorHAnsi" w:hAnsiTheme="minorHAnsi" w:cstheme="minorHAnsi"/>
          <w:lang w:eastAsia="en-US"/>
        </w:rPr>
        <w:t>peněžní prostředky stát</w:t>
      </w:r>
      <w:r w:rsidR="000672E6">
        <w:rPr>
          <w:rFonts w:asciiTheme="minorHAnsi" w:hAnsiTheme="minorHAnsi" w:cstheme="minorHAnsi"/>
          <w:lang w:eastAsia="en-US"/>
        </w:rPr>
        <w:t xml:space="preserve">u </w:t>
      </w:r>
      <w:r w:rsidR="00BF23BA">
        <w:rPr>
          <w:rFonts w:asciiTheme="minorHAnsi" w:hAnsiTheme="minorHAnsi" w:cstheme="minorHAnsi"/>
          <w:lang w:eastAsia="en-US"/>
        </w:rPr>
        <w:t>určené na automobilní techniku Armády České republiky</w:t>
      </w:r>
      <w:r w:rsidR="000672E6">
        <w:rPr>
          <w:rFonts w:asciiTheme="minorHAnsi" w:hAnsiTheme="minorHAnsi" w:cstheme="minorHAnsi"/>
          <w:lang w:eastAsia="en-US"/>
        </w:rPr>
        <w:t xml:space="preserve"> </w:t>
      </w:r>
      <w:r w:rsidR="00BF23BA">
        <w:rPr>
          <w:rFonts w:asciiTheme="minorHAnsi" w:hAnsiTheme="minorHAnsi" w:cstheme="minorHAnsi"/>
          <w:lang w:eastAsia="en-US"/>
        </w:rPr>
        <w:t xml:space="preserve">účelně, </w:t>
      </w:r>
      <w:r w:rsidR="00D74096">
        <w:rPr>
          <w:rFonts w:asciiTheme="minorHAnsi" w:hAnsiTheme="minorHAnsi" w:cstheme="minorHAnsi"/>
          <w:lang w:eastAsia="en-US"/>
        </w:rPr>
        <w:t>hospodárně</w:t>
      </w:r>
      <w:r w:rsidR="000672E6">
        <w:rPr>
          <w:rFonts w:asciiTheme="minorHAnsi" w:hAnsiTheme="minorHAnsi" w:cstheme="minorHAnsi"/>
          <w:lang w:eastAsia="en-US"/>
        </w:rPr>
        <w:t xml:space="preserve">, </w:t>
      </w:r>
      <w:r w:rsidR="00D74096">
        <w:rPr>
          <w:rFonts w:asciiTheme="minorHAnsi" w:hAnsiTheme="minorHAnsi" w:cstheme="minorHAnsi"/>
          <w:lang w:eastAsia="en-US"/>
        </w:rPr>
        <w:t xml:space="preserve">efektivně </w:t>
      </w:r>
      <w:r w:rsidR="000672E6">
        <w:rPr>
          <w:rFonts w:asciiTheme="minorHAnsi" w:hAnsiTheme="minorHAnsi" w:cstheme="minorHAnsi"/>
          <w:lang w:eastAsia="en-US"/>
        </w:rPr>
        <w:t>a</w:t>
      </w:r>
      <w:r w:rsidR="00BF23BA">
        <w:rPr>
          <w:rFonts w:asciiTheme="minorHAnsi" w:hAnsiTheme="minorHAnsi" w:cstheme="minorHAnsi"/>
          <w:lang w:eastAsia="en-US"/>
        </w:rPr>
        <w:t> v souladu s právními předpisy</w:t>
      </w:r>
      <w:r w:rsidR="007347A4" w:rsidRPr="00C53ECF">
        <w:rPr>
          <w:rFonts w:asciiTheme="minorHAnsi" w:hAnsiTheme="minorHAnsi" w:cstheme="minorHAnsi"/>
        </w:rPr>
        <w:t>.</w:t>
      </w:r>
    </w:p>
    <w:p w14:paraId="1FA7B0FB" w14:textId="77777777" w:rsidR="00F82300" w:rsidRPr="00C53ECF" w:rsidRDefault="00F82300" w:rsidP="007347A4">
      <w:pPr>
        <w:jc w:val="both"/>
        <w:rPr>
          <w:rFonts w:asciiTheme="minorHAnsi" w:hAnsiTheme="minorHAnsi" w:cstheme="minorHAnsi"/>
        </w:rPr>
      </w:pPr>
    </w:p>
    <w:p w14:paraId="7F3D5509" w14:textId="77777777" w:rsidR="009A6EDE" w:rsidRPr="00C53ECF" w:rsidRDefault="009A6EDE" w:rsidP="009A6EDE">
      <w:pPr>
        <w:jc w:val="both"/>
        <w:rPr>
          <w:rFonts w:asciiTheme="minorHAnsi" w:hAnsiTheme="minorHAnsi" w:cstheme="minorHAnsi"/>
        </w:rPr>
      </w:pPr>
      <w:r w:rsidRPr="00C53ECF">
        <w:rPr>
          <w:rFonts w:asciiTheme="minorHAnsi" w:hAnsiTheme="minorHAnsi" w:cstheme="minorHAnsi"/>
        </w:rPr>
        <w:t>Kontrola byla prováděna u kontrolovan</w:t>
      </w:r>
      <w:r w:rsidR="00BF23BA">
        <w:rPr>
          <w:rFonts w:asciiTheme="minorHAnsi" w:hAnsiTheme="minorHAnsi" w:cstheme="minorHAnsi"/>
        </w:rPr>
        <w:t>ých</w:t>
      </w:r>
      <w:r w:rsidR="00D74096">
        <w:rPr>
          <w:rFonts w:asciiTheme="minorHAnsi" w:hAnsiTheme="minorHAnsi" w:cstheme="minorHAnsi"/>
        </w:rPr>
        <w:t xml:space="preserve"> osob </w:t>
      </w:r>
      <w:r w:rsidRPr="00C53ECF">
        <w:rPr>
          <w:rFonts w:asciiTheme="minorHAnsi" w:hAnsiTheme="minorHAnsi" w:cstheme="minorHAnsi"/>
        </w:rPr>
        <w:t xml:space="preserve">v období od </w:t>
      </w:r>
      <w:r w:rsidR="000672E6">
        <w:rPr>
          <w:rFonts w:asciiTheme="minorHAnsi" w:hAnsiTheme="minorHAnsi" w:cstheme="minorHAnsi"/>
        </w:rPr>
        <w:t>května do listopadu</w:t>
      </w:r>
      <w:r w:rsidRPr="00C53ECF">
        <w:rPr>
          <w:rFonts w:asciiTheme="minorHAnsi" w:hAnsiTheme="minorHAnsi" w:cstheme="minorHAnsi"/>
        </w:rPr>
        <w:t xml:space="preserve"> 20</w:t>
      </w:r>
      <w:r w:rsidR="000672E6">
        <w:rPr>
          <w:rFonts w:asciiTheme="minorHAnsi" w:hAnsiTheme="minorHAnsi" w:cstheme="minorHAnsi"/>
        </w:rPr>
        <w:t>2</w:t>
      </w:r>
      <w:r w:rsidR="00BF23BA">
        <w:rPr>
          <w:rFonts w:asciiTheme="minorHAnsi" w:hAnsiTheme="minorHAnsi" w:cstheme="minorHAnsi"/>
        </w:rPr>
        <w:t>2</w:t>
      </w:r>
      <w:r w:rsidRPr="00C53ECF">
        <w:rPr>
          <w:rFonts w:asciiTheme="minorHAnsi" w:hAnsiTheme="minorHAnsi" w:cstheme="minorHAnsi"/>
        </w:rPr>
        <w:t>.</w:t>
      </w:r>
    </w:p>
    <w:p w14:paraId="6EF441E3" w14:textId="77777777" w:rsidR="009A6EDE" w:rsidRDefault="009A6EDE" w:rsidP="007347A4">
      <w:pPr>
        <w:jc w:val="both"/>
        <w:rPr>
          <w:rFonts w:asciiTheme="minorHAnsi" w:hAnsiTheme="minorHAnsi" w:cstheme="minorHAnsi"/>
        </w:rPr>
      </w:pPr>
    </w:p>
    <w:p w14:paraId="2B9098FA" w14:textId="77777777" w:rsidR="00F82300" w:rsidRPr="00C53ECF" w:rsidRDefault="00F82300" w:rsidP="007347A4">
      <w:pPr>
        <w:jc w:val="both"/>
        <w:rPr>
          <w:rFonts w:asciiTheme="minorHAnsi" w:hAnsiTheme="minorHAnsi" w:cstheme="minorHAnsi"/>
        </w:rPr>
      </w:pPr>
      <w:r w:rsidRPr="00C53ECF">
        <w:rPr>
          <w:rFonts w:asciiTheme="minorHAnsi" w:hAnsiTheme="minorHAnsi" w:cstheme="minorHAnsi"/>
        </w:rPr>
        <w:t>Kontrolováno bylo období od roku 201</w:t>
      </w:r>
      <w:r w:rsidR="00BF23BA">
        <w:rPr>
          <w:rFonts w:asciiTheme="minorHAnsi" w:hAnsiTheme="minorHAnsi" w:cstheme="minorHAnsi"/>
        </w:rPr>
        <w:t>8</w:t>
      </w:r>
      <w:r w:rsidRPr="00C53ECF">
        <w:rPr>
          <w:rFonts w:asciiTheme="minorHAnsi" w:hAnsiTheme="minorHAnsi" w:cstheme="minorHAnsi"/>
        </w:rPr>
        <w:t xml:space="preserve"> do roku 20</w:t>
      </w:r>
      <w:r w:rsidR="000672E6">
        <w:rPr>
          <w:rFonts w:asciiTheme="minorHAnsi" w:hAnsiTheme="minorHAnsi" w:cstheme="minorHAnsi"/>
        </w:rPr>
        <w:t>2</w:t>
      </w:r>
      <w:r w:rsidR="00BF23BA">
        <w:rPr>
          <w:rFonts w:asciiTheme="minorHAnsi" w:hAnsiTheme="minorHAnsi" w:cstheme="minorHAnsi"/>
        </w:rPr>
        <w:t>2</w:t>
      </w:r>
      <w:r w:rsidRPr="00C53ECF">
        <w:rPr>
          <w:rFonts w:asciiTheme="minorHAnsi" w:hAnsiTheme="minorHAnsi" w:cstheme="minorHAnsi"/>
        </w:rPr>
        <w:t xml:space="preserve">, v případě věcných souvislostí i období předcházející a </w:t>
      </w:r>
      <w:r w:rsidR="00D74096">
        <w:rPr>
          <w:rFonts w:asciiTheme="minorHAnsi" w:hAnsiTheme="minorHAnsi" w:cstheme="minorHAnsi"/>
        </w:rPr>
        <w:t>období do ukončení kontroly</w:t>
      </w:r>
      <w:r w:rsidRPr="00C53ECF">
        <w:rPr>
          <w:rFonts w:asciiTheme="minorHAnsi" w:hAnsiTheme="minorHAnsi" w:cstheme="minorHAnsi"/>
        </w:rPr>
        <w:t>.</w:t>
      </w:r>
    </w:p>
    <w:p w14:paraId="65497DDE" w14:textId="77777777" w:rsidR="00462F78" w:rsidRPr="00C53ECF" w:rsidRDefault="00462F78" w:rsidP="00462F78">
      <w:pPr>
        <w:pStyle w:val="Zkladn"/>
        <w:spacing w:before="0"/>
        <w:rPr>
          <w:rFonts w:asciiTheme="minorHAnsi" w:hAnsiTheme="minorHAnsi" w:cstheme="minorHAnsi"/>
        </w:rPr>
      </w:pPr>
    </w:p>
    <w:p w14:paraId="4F6E9FB0" w14:textId="77777777" w:rsidR="00462F78" w:rsidRPr="00C53ECF" w:rsidRDefault="00462F78" w:rsidP="00462F78">
      <w:pPr>
        <w:pStyle w:val="Zkladn"/>
        <w:spacing w:before="0"/>
        <w:rPr>
          <w:rFonts w:asciiTheme="minorHAnsi" w:hAnsiTheme="minorHAnsi" w:cstheme="minorHAnsi"/>
          <w:b/>
        </w:rPr>
      </w:pPr>
      <w:r w:rsidRPr="00C53ECF">
        <w:rPr>
          <w:rFonts w:asciiTheme="minorHAnsi" w:hAnsiTheme="minorHAnsi" w:cstheme="minorHAnsi"/>
          <w:b/>
        </w:rPr>
        <w:t>Kontrolovan</w:t>
      </w:r>
      <w:r w:rsidR="00BF23BA">
        <w:rPr>
          <w:rFonts w:asciiTheme="minorHAnsi" w:hAnsiTheme="minorHAnsi" w:cstheme="minorHAnsi"/>
          <w:b/>
        </w:rPr>
        <w:t>é</w:t>
      </w:r>
      <w:r w:rsidRPr="00C53ECF">
        <w:rPr>
          <w:rFonts w:asciiTheme="minorHAnsi" w:hAnsiTheme="minorHAnsi" w:cstheme="minorHAnsi"/>
          <w:b/>
        </w:rPr>
        <w:t xml:space="preserve"> osob</w:t>
      </w:r>
      <w:r w:rsidR="00BF23BA">
        <w:rPr>
          <w:rFonts w:asciiTheme="minorHAnsi" w:hAnsiTheme="minorHAnsi" w:cstheme="minorHAnsi"/>
          <w:b/>
        </w:rPr>
        <w:t>y</w:t>
      </w:r>
      <w:r w:rsidRPr="00C53ECF">
        <w:rPr>
          <w:rFonts w:asciiTheme="minorHAnsi" w:hAnsiTheme="minorHAnsi" w:cstheme="minorHAnsi"/>
          <w:b/>
        </w:rPr>
        <w:t>:</w:t>
      </w:r>
    </w:p>
    <w:p w14:paraId="61F10E4F" w14:textId="77777777" w:rsidR="007347A4" w:rsidRDefault="00462F78" w:rsidP="0057406D">
      <w:pPr>
        <w:pStyle w:val="Zkladn"/>
        <w:spacing w:before="0"/>
        <w:rPr>
          <w:rFonts w:asciiTheme="minorHAnsi" w:hAnsiTheme="minorHAnsi" w:cstheme="minorHAnsi"/>
        </w:rPr>
      </w:pPr>
      <w:r w:rsidRPr="00C53ECF">
        <w:rPr>
          <w:rFonts w:asciiTheme="minorHAnsi" w:hAnsiTheme="minorHAnsi" w:cstheme="minorHAnsi"/>
        </w:rPr>
        <w:t xml:space="preserve">Ministerstvo </w:t>
      </w:r>
      <w:r w:rsidR="00A648FB" w:rsidRPr="00C53ECF">
        <w:rPr>
          <w:rFonts w:asciiTheme="minorHAnsi" w:hAnsiTheme="minorHAnsi" w:cstheme="minorHAnsi"/>
        </w:rPr>
        <w:t>obrany</w:t>
      </w:r>
      <w:r w:rsidR="008C44B8">
        <w:rPr>
          <w:rFonts w:asciiTheme="minorHAnsi" w:hAnsiTheme="minorHAnsi" w:cstheme="minorHAnsi"/>
        </w:rPr>
        <w:t xml:space="preserve"> (dále také „MO“)</w:t>
      </w:r>
      <w:r w:rsidR="00A83E14">
        <w:rPr>
          <w:rFonts w:asciiTheme="minorHAnsi" w:hAnsiTheme="minorHAnsi" w:cstheme="minorHAnsi"/>
        </w:rPr>
        <w:t>,</w:t>
      </w:r>
    </w:p>
    <w:p w14:paraId="77BED1B3" w14:textId="77777777" w:rsidR="00BF23BA" w:rsidRPr="00C53ECF" w:rsidRDefault="00BF23BA" w:rsidP="0057406D">
      <w:pPr>
        <w:pStyle w:val="Zkladn"/>
        <w:spacing w:before="0"/>
        <w:rPr>
          <w:rFonts w:asciiTheme="minorHAnsi" w:hAnsiTheme="minorHAnsi" w:cstheme="minorHAnsi"/>
        </w:rPr>
      </w:pPr>
      <w:r>
        <w:rPr>
          <w:rFonts w:asciiTheme="minorHAnsi" w:hAnsiTheme="minorHAnsi" w:cstheme="minorHAnsi"/>
        </w:rPr>
        <w:t>VOP CZ, s.p., Šenov u Nového Jičína (dále také „VOP</w:t>
      </w:r>
      <w:r w:rsidR="00EA2622">
        <w:rPr>
          <w:rFonts w:asciiTheme="minorHAnsi" w:hAnsiTheme="minorHAnsi" w:cstheme="minorHAnsi"/>
        </w:rPr>
        <w:t xml:space="preserve"> CZ</w:t>
      </w:r>
      <w:r>
        <w:rPr>
          <w:rFonts w:asciiTheme="minorHAnsi" w:hAnsiTheme="minorHAnsi" w:cstheme="minorHAnsi"/>
        </w:rPr>
        <w:t>“</w:t>
      </w:r>
      <w:r w:rsidR="006123EC">
        <w:rPr>
          <w:rFonts w:asciiTheme="minorHAnsi" w:hAnsiTheme="minorHAnsi" w:cstheme="minorHAnsi"/>
        </w:rPr>
        <w:t xml:space="preserve"> nebo „podnik“</w:t>
      </w:r>
      <w:r>
        <w:rPr>
          <w:rFonts w:asciiTheme="minorHAnsi" w:hAnsiTheme="minorHAnsi" w:cstheme="minorHAnsi"/>
        </w:rPr>
        <w:t>)</w:t>
      </w:r>
      <w:r w:rsidR="0057406D">
        <w:rPr>
          <w:rFonts w:asciiTheme="minorHAnsi" w:hAnsiTheme="minorHAnsi" w:cstheme="minorHAnsi"/>
        </w:rPr>
        <w:t>.</w:t>
      </w:r>
    </w:p>
    <w:p w14:paraId="6E7FBA88" w14:textId="77777777" w:rsidR="00164806" w:rsidRDefault="00164806" w:rsidP="00462F78">
      <w:pPr>
        <w:ind w:right="70"/>
        <w:jc w:val="both"/>
        <w:rPr>
          <w:rFonts w:asciiTheme="minorHAnsi" w:hAnsiTheme="minorHAnsi" w:cstheme="minorHAnsi"/>
        </w:rPr>
      </w:pPr>
    </w:p>
    <w:p w14:paraId="3523F303" w14:textId="77777777" w:rsidR="0045134E" w:rsidRPr="00C53ECF" w:rsidRDefault="0045134E" w:rsidP="00462F78">
      <w:pPr>
        <w:ind w:right="70"/>
        <w:jc w:val="both"/>
        <w:rPr>
          <w:rFonts w:asciiTheme="minorHAnsi" w:hAnsiTheme="minorHAnsi" w:cstheme="minorHAnsi"/>
        </w:rPr>
      </w:pPr>
    </w:p>
    <w:p w14:paraId="3F2E7A74" w14:textId="77777777" w:rsidR="00462F78" w:rsidRPr="00250573" w:rsidRDefault="00462F78" w:rsidP="00417867">
      <w:pPr>
        <w:spacing w:line="360" w:lineRule="auto"/>
        <w:ind w:right="70"/>
        <w:jc w:val="both"/>
        <w:rPr>
          <w:rFonts w:asciiTheme="minorHAnsi" w:hAnsiTheme="minorHAnsi" w:cstheme="minorHAnsi"/>
        </w:rPr>
      </w:pPr>
      <w:r w:rsidRPr="00250573">
        <w:rPr>
          <w:rFonts w:asciiTheme="minorHAnsi" w:hAnsiTheme="minorHAnsi" w:cstheme="minorHAnsi"/>
          <w:b/>
          <w:bCs/>
          <w:i/>
          <w:iCs/>
        </w:rPr>
        <w:t>K o l e g i u m</w:t>
      </w:r>
      <w:r w:rsidRPr="00250573">
        <w:rPr>
          <w:rFonts w:asciiTheme="minorHAnsi" w:hAnsiTheme="minorHAnsi" w:cstheme="minorHAnsi"/>
        </w:rPr>
        <w:t xml:space="preserve">   </w:t>
      </w:r>
      <w:r w:rsidRPr="00250573">
        <w:rPr>
          <w:rFonts w:asciiTheme="minorHAnsi" w:hAnsiTheme="minorHAnsi" w:cstheme="minorHAnsi"/>
          <w:b/>
          <w:bCs/>
          <w:i/>
          <w:iCs/>
        </w:rPr>
        <w:t xml:space="preserve">N K Ú  </w:t>
      </w:r>
      <w:r w:rsidRPr="00250573">
        <w:rPr>
          <w:rFonts w:asciiTheme="minorHAnsi" w:hAnsiTheme="minorHAnsi" w:cstheme="minorHAnsi"/>
          <w:b/>
          <w:bCs/>
          <w:iCs/>
        </w:rPr>
        <w:t xml:space="preserve"> </w:t>
      </w:r>
      <w:r w:rsidRPr="00250573">
        <w:rPr>
          <w:rFonts w:asciiTheme="minorHAnsi" w:hAnsiTheme="minorHAnsi" w:cstheme="minorHAnsi"/>
        </w:rPr>
        <w:t>na svém</w:t>
      </w:r>
      <w:r w:rsidR="00250573" w:rsidRPr="00250573">
        <w:rPr>
          <w:rFonts w:asciiTheme="minorHAnsi" w:hAnsiTheme="minorHAnsi" w:cstheme="minorHAnsi"/>
        </w:rPr>
        <w:t xml:space="preserve"> </w:t>
      </w:r>
      <w:r w:rsidR="006F5839">
        <w:rPr>
          <w:rFonts w:asciiTheme="minorHAnsi" w:hAnsiTheme="minorHAnsi" w:cstheme="minorHAnsi"/>
        </w:rPr>
        <w:t>V.</w:t>
      </w:r>
      <w:r w:rsidR="00C252A4" w:rsidRPr="00250573">
        <w:rPr>
          <w:rFonts w:asciiTheme="minorHAnsi" w:hAnsiTheme="minorHAnsi" w:cstheme="minorHAnsi"/>
        </w:rPr>
        <w:t xml:space="preserve"> </w:t>
      </w:r>
      <w:r w:rsidRPr="00250573">
        <w:rPr>
          <w:rFonts w:asciiTheme="minorHAnsi" w:hAnsiTheme="minorHAnsi" w:cstheme="minorHAnsi"/>
        </w:rPr>
        <w:t>jednání, které se konalo dne</w:t>
      </w:r>
      <w:r w:rsidR="00250573" w:rsidRPr="00250573">
        <w:rPr>
          <w:rFonts w:asciiTheme="minorHAnsi" w:hAnsiTheme="minorHAnsi" w:cstheme="minorHAnsi"/>
        </w:rPr>
        <w:t xml:space="preserve"> </w:t>
      </w:r>
      <w:r w:rsidR="006F5839">
        <w:rPr>
          <w:rFonts w:asciiTheme="minorHAnsi" w:hAnsiTheme="minorHAnsi" w:cstheme="minorHAnsi"/>
        </w:rPr>
        <w:t>20. března 2023</w:t>
      </w:r>
      <w:r w:rsidRPr="00250573">
        <w:rPr>
          <w:rFonts w:asciiTheme="minorHAnsi" w:hAnsiTheme="minorHAnsi" w:cstheme="minorHAnsi"/>
        </w:rPr>
        <w:t xml:space="preserve">, </w:t>
      </w:r>
    </w:p>
    <w:p w14:paraId="751C8F1A" w14:textId="560B61A1" w:rsidR="00462F78" w:rsidRPr="00C53ECF" w:rsidRDefault="00462F78" w:rsidP="00417867">
      <w:pPr>
        <w:spacing w:line="360" w:lineRule="auto"/>
        <w:ind w:right="68"/>
        <w:jc w:val="both"/>
        <w:rPr>
          <w:rFonts w:asciiTheme="minorHAnsi" w:hAnsiTheme="minorHAnsi" w:cstheme="minorHAnsi"/>
        </w:rPr>
      </w:pPr>
      <w:r w:rsidRPr="00250573">
        <w:rPr>
          <w:rFonts w:asciiTheme="minorHAnsi" w:hAnsiTheme="minorHAnsi" w:cstheme="minorHAnsi"/>
          <w:b/>
          <w:bCs/>
          <w:i/>
          <w:iCs/>
        </w:rPr>
        <w:t>s c h v á l i l o</w:t>
      </w:r>
      <w:r w:rsidRPr="00250573">
        <w:rPr>
          <w:rFonts w:asciiTheme="minorHAnsi" w:hAnsiTheme="minorHAnsi" w:cstheme="minorHAnsi"/>
        </w:rPr>
        <w:t xml:space="preserve">   usnesením č.</w:t>
      </w:r>
      <w:r w:rsidR="00250573" w:rsidRPr="00250573">
        <w:rPr>
          <w:rFonts w:asciiTheme="minorHAnsi" w:hAnsiTheme="minorHAnsi" w:cstheme="minorHAnsi"/>
        </w:rPr>
        <w:t xml:space="preserve"> </w:t>
      </w:r>
      <w:r w:rsidR="008152FC">
        <w:rPr>
          <w:rFonts w:asciiTheme="minorHAnsi" w:hAnsiTheme="minorHAnsi" w:cstheme="minorHAnsi"/>
        </w:rPr>
        <w:t>10</w:t>
      </w:r>
      <w:r w:rsidR="006F5839">
        <w:rPr>
          <w:rFonts w:asciiTheme="minorHAnsi" w:hAnsiTheme="minorHAnsi" w:cstheme="minorHAnsi"/>
        </w:rPr>
        <w:t>/V/2023</w:t>
      </w:r>
      <w:r w:rsidR="00B9035B">
        <w:rPr>
          <w:rFonts w:asciiTheme="minorHAnsi" w:hAnsiTheme="minorHAnsi" w:cstheme="minorHAnsi"/>
        </w:rPr>
        <w:t xml:space="preserve"> </w:t>
      </w:r>
    </w:p>
    <w:p w14:paraId="63AAC5EA" w14:textId="78A29ED3" w:rsidR="00462F78" w:rsidRPr="00C53ECF" w:rsidRDefault="00462F78" w:rsidP="00417867">
      <w:pPr>
        <w:spacing w:line="360" w:lineRule="auto"/>
        <w:ind w:right="70"/>
        <w:jc w:val="both"/>
        <w:rPr>
          <w:rFonts w:asciiTheme="minorHAnsi" w:hAnsiTheme="minorHAnsi" w:cstheme="minorHAnsi"/>
        </w:rPr>
      </w:pPr>
      <w:r w:rsidRPr="00C53ECF">
        <w:rPr>
          <w:rFonts w:asciiTheme="minorHAnsi" w:hAnsiTheme="minorHAnsi" w:cstheme="minorHAnsi"/>
          <w:b/>
          <w:bCs/>
          <w:i/>
          <w:iCs/>
        </w:rPr>
        <w:t>k o n t r o l n í   z á v ě r</w:t>
      </w:r>
      <w:r w:rsidRPr="00C53ECF">
        <w:rPr>
          <w:rFonts w:asciiTheme="minorHAnsi" w:hAnsiTheme="minorHAnsi" w:cstheme="minorHAnsi"/>
        </w:rPr>
        <w:t xml:space="preserve">   v tomto znění:</w:t>
      </w:r>
      <w:r w:rsidR="00C745D1">
        <w:rPr>
          <w:rFonts w:asciiTheme="minorHAnsi" w:hAnsiTheme="minorHAnsi" w:cstheme="minorHAnsi"/>
        </w:rPr>
        <w:t xml:space="preserve"> </w:t>
      </w:r>
    </w:p>
    <w:p w14:paraId="29778A62" w14:textId="77777777" w:rsidR="00462F78" w:rsidRPr="00C53ECF" w:rsidRDefault="00462F78" w:rsidP="00462F78">
      <w:pPr>
        <w:ind w:right="70"/>
        <w:jc w:val="both"/>
        <w:rPr>
          <w:rFonts w:asciiTheme="minorHAnsi" w:hAnsiTheme="minorHAnsi" w:cstheme="minorHAnsi"/>
        </w:rPr>
      </w:pPr>
    </w:p>
    <w:p w14:paraId="6A04AC6A" w14:textId="77777777" w:rsidR="000672E6" w:rsidRPr="000672E6" w:rsidRDefault="00564DA5" w:rsidP="000672E6">
      <w:pPr>
        <w:spacing w:after="120"/>
        <w:jc w:val="center"/>
        <w:rPr>
          <w:rFonts w:ascii="Calibri" w:eastAsia="Calibri" w:hAnsi="Calibri" w:cs="Calibri"/>
          <w:color w:val="5B9BD5"/>
          <w:sz w:val="48"/>
          <w:szCs w:val="50"/>
          <w:lang w:eastAsia="en-US"/>
        </w:rPr>
      </w:pPr>
      <w:r>
        <w:rPr>
          <w:rFonts w:asciiTheme="minorHAnsi" w:hAnsiTheme="minorHAnsi" w:cstheme="minorHAnsi"/>
          <w:sz w:val="28"/>
          <w:szCs w:val="28"/>
        </w:rPr>
        <w:br w:type="page"/>
      </w:r>
    </w:p>
    <w:p w14:paraId="50573E0A" w14:textId="77777777" w:rsidR="006123EC" w:rsidRPr="006123EC" w:rsidRDefault="006123EC" w:rsidP="006123EC">
      <w:pPr>
        <w:spacing w:after="480"/>
        <w:ind w:right="624"/>
        <w:rPr>
          <w:rFonts w:ascii="Calibri" w:eastAsia="Calibri" w:hAnsi="Calibri" w:cs="Calibri"/>
          <w:b/>
          <w:color w:val="004595"/>
          <w:sz w:val="32"/>
          <w:szCs w:val="32"/>
        </w:rPr>
      </w:pPr>
      <w:bookmarkStart w:id="1" w:name="_Hlk127870319"/>
      <w:r w:rsidRPr="006123EC">
        <w:rPr>
          <w:rFonts w:ascii="Calibri" w:eastAsia="Calibri" w:hAnsi="Calibri" w:cs="Calibri"/>
          <w:b/>
          <w:color w:val="004595"/>
          <w:sz w:val="32"/>
          <w:szCs w:val="32"/>
        </w:rPr>
        <w:lastRenderedPageBreak/>
        <w:t>Automobilní technika Armády České republiky</w:t>
      </w:r>
    </w:p>
    <w:p w14:paraId="3DF3F62D" w14:textId="067B26F3" w:rsidR="006123EC" w:rsidRPr="006123EC" w:rsidRDefault="008152FC" w:rsidP="006123EC">
      <w:pPr>
        <w:spacing w:after="240"/>
        <w:ind w:right="624"/>
        <w:rPr>
          <w:rFonts w:ascii="Calibri" w:eastAsia="Calibri" w:hAnsi="Calibri" w:cs="Calibri"/>
          <w:b/>
          <w:color w:val="000000"/>
          <w:sz w:val="32"/>
          <w:szCs w:val="32"/>
        </w:rPr>
      </w:pPr>
      <w:r w:rsidRPr="006123EC">
        <w:rPr>
          <w:noProof/>
        </w:rPr>
        <mc:AlternateContent>
          <mc:Choice Requires="wps">
            <w:drawing>
              <wp:anchor distT="0" distB="0" distL="114300" distR="114300" simplePos="0" relativeHeight="251680768" behindDoc="0" locked="0" layoutInCell="1" allowOverlap="1" wp14:anchorId="396514DA" wp14:editId="6C775910">
                <wp:simplePos x="0" y="0"/>
                <wp:positionH relativeFrom="margin">
                  <wp:posOffset>0</wp:posOffset>
                </wp:positionH>
                <wp:positionV relativeFrom="paragraph">
                  <wp:posOffset>-635</wp:posOffset>
                </wp:positionV>
                <wp:extent cx="5854700" cy="15875"/>
                <wp:effectExtent l="0" t="0" r="31750" b="22225"/>
                <wp:wrapNone/>
                <wp:docPr id="3" name="Přímá spojnice 8"/>
                <wp:cNvGraphicFramePr/>
                <a:graphic xmlns:a="http://schemas.openxmlformats.org/drawingml/2006/main">
                  <a:graphicData uri="http://schemas.microsoft.com/office/word/2010/wordprocessingShape">
                    <wps:wsp>
                      <wps:cNvCnPr/>
                      <wps:spPr>
                        <a:xfrm flipV="1">
                          <a:off x="0" y="0"/>
                          <a:ext cx="5854700" cy="15875"/>
                        </a:xfrm>
                        <a:prstGeom prst="line">
                          <a:avLst/>
                        </a:prstGeom>
                        <a:noFill/>
                        <a:ln w="19050" cap="flat" cmpd="sng" algn="ctr">
                          <a:solidFill>
                            <a:schemeClr val="accent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8B9BC" id="Přímá spojnice 8"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" strokecolor="#4f81bd [3204]" strokeweight="1.5pt">
                <w10:wrap anchorx="margin"/>
              </v:line>
            </w:pict>
          </mc:Fallback>
        </mc:AlternateContent>
      </w:r>
    </w:p>
    <w:p w14:paraId="5337EF71" w14:textId="1F6CE976" w:rsidR="006123EC" w:rsidRPr="006123EC" w:rsidRDefault="006123EC" w:rsidP="006123EC">
      <w:pPr>
        <w:tabs>
          <w:tab w:val="center" w:pos="1437"/>
          <w:tab w:val="center" w:pos="4659"/>
          <w:tab w:val="right" w:pos="8753"/>
        </w:tabs>
        <w:rPr>
          <w:rFonts w:ascii="Calibri" w:eastAsia="Calibri" w:hAnsi="Calibri" w:cs="Calibri"/>
          <w:color w:val="000000"/>
          <w:sz w:val="22"/>
          <w:szCs w:val="22"/>
        </w:rPr>
      </w:pPr>
      <w:r w:rsidRPr="006123EC">
        <w:rPr>
          <w:rFonts w:ascii="Calibri" w:eastAsia="Calibri" w:hAnsi="Calibri" w:cs="Calibri"/>
          <w:color w:val="000000"/>
          <w:sz w:val="22"/>
          <w:szCs w:val="22"/>
        </w:rPr>
        <w:tab/>
      </w:r>
      <w:r w:rsidRPr="006123EC">
        <w:rPr>
          <w:rFonts w:ascii="Calibri" w:eastAsia="Calibri" w:hAnsi="Calibri" w:cs="Calibri"/>
          <w:b/>
          <w:color w:val="181717"/>
          <w:sz w:val="48"/>
          <w:szCs w:val="22"/>
        </w:rPr>
        <w:t>9 605 vozidel</w:t>
      </w:r>
      <w:r w:rsidRPr="006123EC">
        <w:rPr>
          <w:rFonts w:ascii="Calibri" w:eastAsia="Calibri" w:hAnsi="Calibri" w:cs="Calibri"/>
          <w:b/>
          <w:color w:val="181717"/>
          <w:sz w:val="48"/>
          <w:szCs w:val="22"/>
        </w:rPr>
        <w:tab/>
        <w:t>21 let</w:t>
      </w:r>
      <w:r w:rsidRPr="006123EC">
        <w:rPr>
          <w:rFonts w:ascii="Calibri" w:eastAsia="Calibri" w:hAnsi="Calibri" w:cs="Calibri"/>
          <w:b/>
          <w:color w:val="181717"/>
          <w:sz w:val="48"/>
          <w:szCs w:val="22"/>
        </w:rPr>
        <w:tab/>
        <w:t>9,4 mld. Kč</w:t>
      </w:r>
    </w:p>
    <w:p w14:paraId="23E9ACC0" w14:textId="77777777" w:rsidR="006123EC" w:rsidRPr="006123EC" w:rsidRDefault="006123EC" w:rsidP="006123EC">
      <w:pPr>
        <w:tabs>
          <w:tab w:val="center" w:pos="1517"/>
          <w:tab w:val="center" w:pos="4661"/>
          <w:tab w:val="center" w:pos="7752"/>
        </w:tabs>
        <w:rPr>
          <w:rFonts w:ascii="Calibri" w:eastAsia="Calibri" w:hAnsi="Calibri" w:cs="Calibri"/>
          <w:color w:val="181717"/>
          <w:sz w:val="22"/>
          <w:szCs w:val="22"/>
          <w:vertAlign w:val="superscript"/>
        </w:rPr>
      </w:pPr>
      <w:r w:rsidRPr="006123EC">
        <w:rPr>
          <w:rFonts w:ascii="Calibri" w:eastAsia="Calibri" w:hAnsi="Calibri" w:cs="Calibri"/>
          <w:color w:val="000000"/>
          <w:sz w:val="22"/>
          <w:szCs w:val="22"/>
        </w:rPr>
        <w:tab/>
      </w:r>
      <w:r w:rsidRPr="006123EC">
        <w:rPr>
          <w:rFonts w:ascii="Calibri" w:eastAsia="Calibri" w:hAnsi="Calibri" w:cs="Calibri"/>
          <w:color w:val="000000"/>
        </w:rPr>
        <w:t>počet</w:t>
      </w:r>
      <w:r w:rsidRPr="006123EC">
        <w:rPr>
          <w:rFonts w:ascii="Calibri" w:eastAsia="Calibri" w:hAnsi="Calibri" w:cs="Calibri"/>
          <w:color w:val="000000"/>
          <w:vertAlign w:val="superscript"/>
        </w:rPr>
        <w:footnoteReference w:id="2"/>
      </w:r>
      <w:r w:rsidRPr="006123EC">
        <w:rPr>
          <w:rFonts w:ascii="Calibri" w:eastAsia="Calibri" w:hAnsi="Calibri" w:cs="Calibri"/>
          <w:color w:val="181717"/>
          <w:sz w:val="22"/>
          <w:szCs w:val="22"/>
        </w:rPr>
        <w:tab/>
      </w:r>
      <w:r w:rsidRPr="006123EC">
        <w:rPr>
          <w:rFonts w:ascii="Calibri" w:eastAsia="Calibri" w:hAnsi="Calibri" w:cs="Calibri"/>
          <w:color w:val="181717"/>
        </w:rPr>
        <w:t>průměrné stáří</w:t>
      </w:r>
      <w:r w:rsidRPr="006123EC">
        <w:rPr>
          <w:rFonts w:ascii="Calibri" w:eastAsia="Calibri" w:hAnsi="Calibri" w:cs="Calibri"/>
          <w:color w:val="181717"/>
          <w:vertAlign w:val="superscript"/>
        </w:rPr>
        <w:t>1</w:t>
      </w:r>
      <w:r w:rsidRPr="006123EC">
        <w:rPr>
          <w:rFonts w:ascii="Calibri" w:eastAsia="Calibri" w:hAnsi="Calibri" w:cs="Calibri"/>
          <w:color w:val="181717"/>
          <w:sz w:val="22"/>
          <w:szCs w:val="22"/>
        </w:rPr>
        <w:t xml:space="preserve"> </w:t>
      </w:r>
      <w:r w:rsidRPr="006123EC">
        <w:rPr>
          <w:rFonts w:ascii="Calibri" w:eastAsia="Calibri" w:hAnsi="Calibri" w:cs="Calibri"/>
          <w:color w:val="181717"/>
          <w:sz w:val="22"/>
          <w:szCs w:val="22"/>
        </w:rPr>
        <w:tab/>
      </w:r>
      <w:r w:rsidRPr="006123EC">
        <w:rPr>
          <w:rFonts w:ascii="Calibri" w:eastAsia="Calibri" w:hAnsi="Calibri" w:cs="Calibri"/>
          <w:color w:val="181717"/>
        </w:rPr>
        <w:t>účetní hodnota</w:t>
      </w:r>
      <w:r w:rsidRPr="006123EC">
        <w:rPr>
          <w:rFonts w:ascii="Calibri" w:eastAsia="Calibri" w:hAnsi="Calibri" w:cs="Calibri"/>
          <w:color w:val="181717"/>
          <w:vertAlign w:val="superscript"/>
        </w:rPr>
        <w:t>1</w:t>
      </w:r>
    </w:p>
    <w:p w14:paraId="56950E67" w14:textId="1FF2D748" w:rsidR="006123EC" w:rsidRPr="006123EC" w:rsidRDefault="006123EC" w:rsidP="006123EC">
      <w:pPr>
        <w:tabs>
          <w:tab w:val="center" w:pos="1517"/>
          <w:tab w:val="center" w:pos="4661"/>
          <w:tab w:val="center" w:pos="7752"/>
        </w:tabs>
        <w:spacing w:before="360"/>
        <w:rPr>
          <w:rFonts w:ascii="Calibri" w:eastAsia="Calibri" w:hAnsi="Calibri" w:cs="Calibri"/>
          <w:color w:val="181717"/>
          <w:sz w:val="22"/>
          <w:szCs w:val="22"/>
        </w:rPr>
      </w:pPr>
    </w:p>
    <w:p w14:paraId="2F56584A" w14:textId="77777777" w:rsidR="006123EC" w:rsidRPr="006123EC" w:rsidRDefault="006123EC" w:rsidP="006123EC">
      <w:pPr>
        <w:spacing w:after="120"/>
        <w:ind w:right="624"/>
        <w:rPr>
          <w:rFonts w:ascii="Calibri" w:eastAsia="Calibri" w:hAnsi="Calibri" w:cs="Calibri"/>
          <w:b/>
          <w:color w:val="000000"/>
        </w:rPr>
      </w:pPr>
      <w:r w:rsidRPr="006123EC">
        <w:rPr>
          <w:noProof/>
        </w:rPr>
        <mc:AlternateContent>
          <mc:Choice Requires="wps">
            <w:drawing>
              <wp:anchor distT="0" distB="0" distL="114300" distR="114300" simplePos="0" relativeHeight="251681792" behindDoc="0" locked="0" layoutInCell="1" allowOverlap="1" wp14:anchorId="5568531E" wp14:editId="1E4987D5">
                <wp:simplePos x="0" y="0"/>
                <wp:positionH relativeFrom="margin">
                  <wp:align>left</wp:align>
                </wp:positionH>
                <wp:positionV relativeFrom="paragraph">
                  <wp:posOffset>8890</wp:posOffset>
                </wp:positionV>
                <wp:extent cx="5854700" cy="15875"/>
                <wp:effectExtent l="0" t="0" r="31750" b="22225"/>
                <wp:wrapNone/>
                <wp:docPr id="5" name="Přímá spojnice 10"/>
                <wp:cNvGraphicFramePr/>
                <a:graphic xmlns:a="http://schemas.openxmlformats.org/drawingml/2006/main">
                  <a:graphicData uri="http://schemas.microsoft.com/office/word/2010/wordprocessingShape">
                    <wps:wsp>
                      <wps:cNvCnPr/>
                      <wps:spPr>
                        <a:xfrm flipV="1">
                          <a:off x="0" y="0"/>
                          <a:ext cx="5854700" cy="15875"/>
                        </a:xfrm>
                        <a:prstGeom prst="line">
                          <a:avLst/>
                        </a:prstGeom>
                        <a:noFill/>
                        <a:ln w="19050" cap="flat" cmpd="sng" algn="ctr">
                          <a:solidFill>
                            <a:srgbClr val="BD2A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8DF469" id="Přímá spojnice 10"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" strokecolor="#bd2a33" strokeweight="1.5pt">
                <w10:wrap anchorx="margin"/>
              </v:line>
            </w:pict>
          </mc:Fallback>
        </mc:AlternateContent>
      </w:r>
    </w:p>
    <w:p w14:paraId="1E85E4AE" w14:textId="5D01A435" w:rsidR="006123EC" w:rsidRPr="006123EC" w:rsidRDefault="006123EC" w:rsidP="004328A0">
      <w:pPr>
        <w:tabs>
          <w:tab w:val="left" w:pos="2835"/>
        </w:tabs>
        <w:spacing w:after="240"/>
        <w:ind w:right="1"/>
        <w:rPr>
          <w:rFonts w:ascii="Calibri" w:eastAsia="Calibri" w:hAnsi="Calibri" w:cs="Calibri"/>
          <w:color w:val="000000"/>
          <w:szCs w:val="22"/>
          <w:vertAlign w:val="superscript"/>
        </w:rPr>
      </w:pPr>
      <w:r w:rsidRPr="006123EC">
        <w:rPr>
          <w:rFonts w:ascii="Calibri" w:eastAsia="Calibri" w:hAnsi="Calibri" w:cs="Calibri"/>
          <w:b/>
          <w:color w:val="000000"/>
          <w:sz w:val="32"/>
          <w:szCs w:val="22"/>
        </w:rPr>
        <w:t>2/3</w:t>
      </w:r>
      <w:r w:rsidRPr="006123EC">
        <w:rPr>
          <w:rFonts w:ascii="Calibri" w:eastAsia="Calibri" w:hAnsi="Calibri" w:cs="Calibri"/>
          <w:b/>
          <w:color w:val="000000"/>
          <w:sz w:val="22"/>
          <w:szCs w:val="22"/>
        </w:rPr>
        <w:tab/>
      </w:r>
      <w:r w:rsidR="00CF5347">
        <w:rPr>
          <w:rFonts w:ascii="Calibri" w:eastAsia="Calibri" w:hAnsi="Calibri" w:cs="Calibri"/>
          <w:color w:val="000000"/>
          <w:szCs w:val="22"/>
        </w:rPr>
        <w:t>podíl v</w:t>
      </w:r>
      <w:r w:rsidRPr="006123EC">
        <w:rPr>
          <w:rFonts w:ascii="Calibri" w:eastAsia="Calibri" w:hAnsi="Calibri" w:cs="Calibri"/>
          <w:color w:val="000000"/>
          <w:szCs w:val="22"/>
        </w:rPr>
        <w:t>ozid</w:t>
      </w:r>
      <w:r w:rsidR="00CF5347">
        <w:rPr>
          <w:rFonts w:ascii="Calibri" w:eastAsia="Calibri" w:hAnsi="Calibri" w:cs="Calibri"/>
          <w:color w:val="000000"/>
          <w:szCs w:val="22"/>
        </w:rPr>
        <w:t>el</w:t>
      </w:r>
      <w:r w:rsidRPr="006123EC">
        <w:rPr>
          <w:rFonts w:ascii="Calibri" w:eastAsia="Calibri" w:hAnsi="Calibri" w:cs="Calibri"/>
          <w:color w:val="000000"/>
          <w:szCs w:val="22"/>
        </w:rPr>
        <w:t xml:space="preserve"> s překročenou dobou životnosti</w:t>
      </w:r>
      <w:r w:rsidRPr="006123EC">
        <w:rPr>
          <w:rFonts w:ascii="Calibri" w:eastAsia="Calibri" w:hAnsi="Calibri" w:cs="Calibri"/>
          <w:color w:val="000000"/>
          <w:szCs w:val="22"/>
          <w:vertAlign w:val="superscript"/>
        </w:rPr>
        <w:t>1</w:t>
      </w:r>
    </w:p>
    <w:p w14:paraId="11A299DE" w14:textId="60F67F4E" w:rsidR="006123EC" w:rsidRPr="006123EC" w:rsidRDefault="006123EC" w:rsidP="004328A0">
      <w:pPr>
        <w:spacing w:after="240"/>
        <w:ind w:left="2835" w:right="1" w:hanging="2835"/>
        <w:rPr>
          <w:rFonts w:ascii="Calibri" w:eastAsia="Calibri" w:hAnsi="Calibri" w:cs="Calibri"/>
          <w:color w:val="000000"/>
        </w:rPr>
      </w:pPr>
      <w:r w:rsidRPr="006123EC">
        <w:rPr>
          <w:rFonts w:ascii="Calibri" w:eastAsia="Calibri" w:hAnsi="Calibri" w:cs="Calibri"/>
          <w:b/>
          <w:color w:val="000000"/>
          <w:sz w:val="32"/>
          <w:szCs w:val="22"/>
        </w:rPr>
        <w:t xml:space="preserve">20,2 mil. Kč </w:t>
      </w:r>
      <w:r w:rsidRPr="006123EC">
        <w:rPr>
          <w:rFonts w:ascii="Calibri" w:eastAsia="Calibri" w:hAnsi="Calibri" w:cs="Calibri"/>
          <w:b/>
          <w:color w:val="000000"/>
          <w:sz w:val="32"/>
          <w:szCs w:val="22"/>
        </w:rPr>
        <w:tab/>
      </w:r>
      <w:r w:rsidRPr="006123EC">
        <w:rPr>
          <w:rFonts w:ascii="Calibri" w:eastAsia="Calibri" w:hAnsi="Calibri" w:cs="Calibri"/>
          <w:color w:val="000000"/>
        </w:rPr>
        <w:t>neefektivně vynaložené peněžní prostředky na opravy</w:t>
      </w:r>
    </w:p>
    <w:p w14:paraId="25F58509" w14:textId="1AC171FA" w:rsidR="006123EC" w:rsidRPr="006123EC" w:rsidRDefault="006123EC" w:rsidP="004328A0">
      <w:pPr>
        <w:spacing w:after="240"/>
        <w:ind w:left="2835" w:right="1" w:hanging="2835"/>
        <w:rPr>
          <w:rFonts w:ascii="Calibri" w:eastAsia="Calibri" w:hAnsi="Calibri" w:cs="Calibri"/>
          <w:color w:val="000000"/>
        </w:rPr>
      </w:pPr>
      <w:r w:rsidRPr="006123EC">
        <w:rPr>
          <w:rFonts w:ascii="Calibri" w:eastAsia="Calibri" w:hAnsi="Calibri" w:cs="Calibri"/>
          <w:b/>
          <w:color w:val="000000"/>
          <w:sz w:val="32"/>
          <w:szCs w:val="22"/>
        </w:rPr>
        <w:t xml:space="preserve">1,1 mil. Kč </w:t>
      </w:r>
      <w:r w:rsidRPr="006123EC">
        <w:rPr>
          <w:rFonts w:ascii="Calibri" w:eastAsia="Calibri" w:hAnsi="Calibri" w:cs="Calibri"/>
          <w:b/>
          <w:color w:val="000000"/>
          <w:sz w:val="32"/>
          <w:szCs w:val="22"/>
        </w:rPr>
        <w:tab/>
      </w:r>
      <w:r w:rsidRPr="006123EC">
        <w:rPr>
          <w:rFonts w:ascii="Calibri" w:eastAsia="Calibri" w:hAnsi="Calibri" w:cs="Calibri"/>
          <w:color w:val="000000"/>
        </w:rPr>
        <w:t>neúčelně vynaložené peněžní prostředky na opravy</w:t>
      </w:r>
    </w:p>
    <w:p w14:paraId="56FD6443" w14:textId="7309D106" w:rsidR="006123EC" w:rsidRPr="006123EC" w:rsidRDefault="006123EC" w:rsidP="004328A0">
      <w:pPr>
        <w:ind w:left="2835" w:right="1" w:hanging="2835"/>
        <w:rPr>
          <w:rFonts w:ascii="Calibri" w:eastAsia="Calibri" w:hAnsi="Calibri" w:cs="Calibri"/>
          <w:color w:val="000000"/>
        </w:rPr>
      </w:pPr>
      <w:r w:rsidRPr="006123EC">
        <w:rPr>
          <w:rFonts w:ascii="Calibri" w:eastAsia="Calibri" w:hAnsi="Calibri" w:cs="Calibri"/>
          <w:b/>
          <w:color w:val="000000"/>
          <w:sz w:val="32"/>
        </w:rPr>
        <w:t>857 tis. Kč</w:t>
      </w:r>
      <w:r w:rsidRPr="006123EC">
        <w:rPr>
          <w:rFonts w:ascii="Calibri" w:eastAsia="Calibri" w:hAnsi="Calibri" w:cs="Calibri"/>
          <w:color w:val="000000"/>
          <w:sz w:val="32"/>
        </w:rPr>
        <w:t xml:space="preserve"> </w:t>
      </w:r>
      <w:r w:rsidRPr="006123EC">
        <w:rPr>
          <w:rFonts w:ascii="Calibri" w:eastAsia="Calibri" w:hAnsi="Calibri" w:cs="Calibri"/>
          <w:color w:val="000000"/>
          <w:sz w:val="32"/>
        </w:rPr>
        <w:tab/>
      </w:r>
      <w:r w:rsidRPr="006123EC">
        <w:rPr>
          <w:rFonts w:ascii="Calibri" w:eastAsia="Calibri" w:hAnsi="Calibri" w:cs="Calibri"/>
          <w:color w:val="000000"/>
        </w:rPr>
        <w:tab/>
        <w:t>cena nového osobního terénního automobilu</w:t>
      </w:r>
    </w:p>
    <w:p w14:paraId="51FC4ECE" w14:textId="21E31A4A" w:rsidR="006123EC" w:rsidRPr="006123EC" w:rsidRDefault="006123EC" w:rsidP="004328A0">
      <w:pPr>
        <w:ind w:right="1"/>
        <w:rPr>
          <w:rFonts w:ascii="Calibri" w:eastAsia="Calibri" w:hAnsi="Calibri" w:cs="Calibri"/>
          <w:b/>
          <w:color w:val="000000"/>
        </w:rPr>
      </w:pPr>
      <w:r w:rsidRPr="006123EC">
        <w:rPr>
          <w:rFonts w:ascii="Calibri" w:eastAsia="Calibri" w:hAnsi="Calibri" w:cs="Calibri"/>
          <w:color w:val="000000"/>
        </w:rPr>
        <w:t xml:space="preserve">         </w:t>
      </w:r>
      <w:r w:rsidRPr="006123EC">
        <w:rPr>
          <w:rFonts w:ascii="Calibri" w:eastAsia="Calibri" w:hAnsi="Calibri" w:cs="Calibri"/>
          <w:b/>
        </w:rPr>
        <w:t>vs.</w:t>
      </w:r>
    </w:p>
    <w:p w14:paraId="57682753" w14:textId="23099A9C" w:rsidR="006123EC" w:rsidRPr="006123EC" w:rsidRDefault="006123EC" w:rsidP="004328A0">
      <w:pPr>
        <w:spacing w:after="240"/>
        <w:ind w:left="2835" w:right="1" w:hanging="2835"/>
        <w:rPr>
          <w:rFonts w:ascii="Calibri" w:eastAsia="Calibri" w:hAnsi="Calibri" w:cs="Calibri"/>
          <w:color w:val="000000"/>
        </w:rPr>
      </w:pPr>
      <w:r w:rsidRPr="006123EC">
        <w:rPr>
          <w:rFonts w:ascii="Calibri" w:eastAsia="Calibri" w:hAnsi="Calibri" w:cs="Calibri"/>
          <w:b/>
          <w:color w:val="000000"/>
          <w:sz w:val="32"/>
        </w:rPr>
        <w:t>511</w:t>
      </w:r>
      <w:r w:rsidRPr="004328A0">
        <w:rPr>
          <w:rFonts w:ascii="Calibri" w:eastAsia="Calibri" w:hAnsi="Calibri" w:cs="Calibri"/>
          <w:b/>
          <w:color w:val="000000"/>
          <w:sz w:val="32"/>
          <w:szCs w:val="32"/>
        </w:rPr>
        <w:t xml:space="preserve"> </w:t>
      </w:r>
      <w:r w:rsidRPr="006123EC">
        <w:rPr>
          <w:rFonts w:ascii="Calibri" w:eastAsia="Calibri" w:hAnsi="Calibri" w:cs="Calibri"/>
          <w:b/>
          <w:color w:val="000000"/>
        </w:rPr>
        <w:t>až</w:t>
      </w:r>
      <w:r w:rsidRPr="006123EC">
        <w:rPr>
          <w:rFonts w:ascii="Calibri" w:eastAsia="Calibri" w:hAnsi="Calibri" w:cs="Calibri"/>
          <w:b/>
          <w:color w:val="000000"/>
          <w:sz w:val="32"/>
        </w:rPr>
        <w:t xml:space="preserve"> 1 362 tis. Kč</w:t>
      </w:r>
      <w:r w:rsidRPr="006123EC">
        <w:rPr>
          <w:rFonts w:ascii="Calibri" w:eastAsia="Calibri" w:hAnsi="Calibri" w:cs="Calibri"/>
          <w:color w:val="000000"/>
        </w:rPr>
        <w:tab/>
        <w:t>rozsah cen za opravy starých osobních terénních automobilů</w:t>
      </w:r>
    </w:p>
    <w:p w14:paraId="51B989F8" w14:textId="6B51553C" w:rsidR="006123EC" w:rsidRPr="006123EC" w:rsidRDefault="006123EC" w:rsidP="006123EC">
      <w:pPr>
        <w:spacing w:after="120"/>
        <w:ind w:right="624"/>
        <w:rPr>
          <w:rFonts w:ascii="Calibri" w:eastAsia="Calibri" w:hAnsi="Calibri" w:cs="Calibri"/>
          <w:b/>
          <w:color w:val="000000"/>
        </w:rPr>
      </w:pPr>
    </w:p>
    <w:p w14:paraId="55EEE1BC" w14:textId="3F2B3F41" w:rsidR="006123EC" w:rsidRPr="006123EC" w:rsidRDefault="006123EC" w:rsidP="006123EC">
      <w:pPr>
        <w:spacing w:after="120"/>
        <w:ind w:right="624"/>
        <w:rPr>
          <w:rFonts w:ascii="Calibri" w:eastAsia="Calibri" w:hAnsi="Calibri" w:cs="Calibri"/>
          <w:b/>
          <w:color w:val="000000"/>
        </w:rPr>
      </w:pPr>
      <w:r w:rsidRPr="006123EC">
        <w:rPr>
          <w:noProof/>
        </w:rPr>
        <mc:AlternateContent>
          <mc:Choice Requires="wps">
            <w:drawing>
              <wp:anchor distT="0" distB="0" distL="114300" distR="114300" simplePos="0" relativeHeight="251679744" behindDoc="0" locked="0" layoutInCell="1" allowOverlap="1" wp14:anchorId="05ECB95E" wp14:editId="54C71F37">
                <wp:simplePos x="0" y="0"/>
                <wp:positionH relativeFrom="margin">
                  <wp:align>left</wp:align>
                </wp:positionH>
                <wp:positionV relativeFrom="paragraph">
                  <wp:posOffset>8890</wp:posOffset>
                </wp:positionV>
                <wp:extent cx="5854700" cy="15875"/>
                <wp:effectExtent l="0" t="0" r="31750" b="22225"/>
                <wp:wrapNone/>
                <wp:docPr id="7" name="Přímá spojnice 9"/>
                <wp:cNvGraphicFramePr/>
                <a:graphic xmlns:a="http://schemas.openxmlformats.org/drawingml/2006/main">
                  <a:graphicData uri="http://schemas.microsoft.com/office/word/2010/wordprocessingShape">
                    <wps:wsp>
                      <wps:cNvCnPr/>
                      <wps:spPr>
                        <a:xfrm flipV="1">
                          <a:off x="0" y="0"/>
                          <a:ext cx="5854700" cy="15875"/>
                        </a:xfrm>
                        <a:prstGeom prst="line">
                          <a:avLst/>
                        </a:prstGeom>
                        <a:noFill/>
                        <a:ln w="19050" cap="flat" cmpd="sng" algn="ctr">
                          <a:solidFill>
                            <a:srgbClr val="00459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C4A8F8" id="Přímá spojnice 9"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" strokecolor="#004595" strokeweight="1.5pt">
                <w10:wrap anchorx="margin"/>
              </v:line>
            </w:pict>
          </mc:Fallback>
        </mc:AlternateContent>
      </w:r>
    </w:p>
    <w:p w14:paraId="4856BFB0" w14:textId="4560EB77" w:rsidR="006123EC" w:rsidRPr="006123EC" w:rsidRDefault="006123EC" w:rsidP="004328A0">
      <w:pPr>
        <w:spacing w:after="480"/>
        <w:ind w:left="2835" w:right="568" w:hanging="2835"/>
        <w:rPr>
          <w:rFonts w:ascii="Calibri" w:eastAsia="Calibri" w:hAnsi="Calibri" w:cs="Calibri"/>
          <w:color w:val="000000"/>
        </w:rPr>
      </w:pPr>
      <w:r w:rsidRPr="006123EC">
        <w:rPr>
          <w:rFonts w:ascii="Calibri" w:eastAsia="Calibri" w:hAnsi="Calibri" w:cs="Calibri"/>
          <w:b/>
          <w:color w:val="000000"/>
          <w:sz w:val="32"/>
          <w:szCs w:val="32"/>
        </w:rPr>
        <w:t>VOP CZ, s.p.</w:t>
      </w:r>
      <w:r w:rsidRPr="006123EC">
        <w:rPr>
          <w:rFonts w:ascii="Calibri" w:eastAsia="Calibri" w:hAnsi="Calibri" w:cs="Calibri"/>
          <w:b/>
          <w:color w:val="000000"/>
        </w:rPr>
        <w:tab/>
      </w:r>
      <w:r w:rsidRPr="006123EC">
        <w:rPr>
          <w:rFonts w:ascii="Calibri" w:eastAsia="Calibri" w:hAnsi="Calibri" w:cs="Calibri"/>
          <w:color w:val="000000"/>
        </w:rPr>
        <w:t xml:space="preserve">státní podnik založený </w:t>
      </w:r>
      <w:r w:rsidR="003F73AF">
        <w:rPr>
          <w:rFonts w:ascii="Calibri" w:eastAsia="Calibri" w:hAnsi="Calibri" w:cs="Calibri"/>
          <w:color w:val="000000"/>
        </w:rPr>
        <w:t>Ministerstvem obrany</w:t>
      </w:r>
      <w:r w:rsidRPr="006123EC">
        <w:rPr>
          <w:rFonts w:ascii="Calibri" w:eastAsia="Calibri" w:hAnsi="Calibri" w:cs="Calibri"/>
          <w:color w:val="000000"/>
        </w:rPr>
        <w:t xml:space="preserve"> pro uspokojování strategických a dalších zájmů státu v oblasti obrany a bezpečnosti</w:t>
      </w:r>
      <w:r w:rsidR="003F73AF">
        <w:rPr>
          <w:rFonts w:ascii="Calibri" w:eastAsia="Calibri" w:hAnsi="Calibri" w:cs="Calibri"/>
          <w:color w:val="000000"/>
        </w:rPr>
        <w:t>;</w:t>
      </w:r>
      <w:r w:rsidRPr="006123EC">
        <w:rPr>
          <w:rFonts w:ascii="Calibri" w:eastAsia="Calibri" w:hAnsi="Calibri" w:cs="Calibri"/>
          <w:color w:val="000000"/>
        </w:rPr>
        <w:t xml:space="preserve"> mj. poskytuje dodávky a opravy automobilní techniky</w:t>
      </w:r>
      <w:r w:rsidR="00C828FF">
        <w:rPr>
          <w:rFonts w:ascii="Calibri" w:eastAsia="Calibri" w:hAnsi="Calibri" w:cs="Calibri"/>
          <w:color w:val="000000"/>
        </w:rPr>
        <w:t xml:space="preserve"> MO</w:t>
      </w:r>
    </w:p>
    <w:p w14:paraId="4304AD56" w14:textId="41EFA05A" w:rsidR="006123EC" w:rsidRPr="006123EC" w:rsidRDefault="006123EC" w:rsidP="006123EC">
      <w:pPr>
        <w:spacing w:after="120"/>
        <w:ind w:right="624"/>
        <w:rPr>
          <w:rFonts w:ascii="Calibri" w:eastAsia="Calibri" w:hAnsi="Calibri" w:cs="Calibri"/>
          <w:b/>
          <w:color w:val="000000"/>
        </w:rPr>
      </w:pPr>
      <w:r w:rsidRPr="006123EC">
        <w:rPr>
          <w:noProof/>
        </w:rPr>
        <mc:AlternateContent>
          <mc:Choice Requires="wps">
            <w:drawing>
              <wp:anchor distT="0" distB="0" distL="114300" distR="114300" simplePos="0" relativeHeight="251682816" behindDoc="0" locked="0" layoutInCell="1" allowOverlap="1" wp14:anchorId="62613830" wp14:editId="46B57EDA">
                <wp:simplePos x="0" y="0"/>
                <wp:positionH relativeFrom="margin">
                  <wp:align>left</wp:align>
                </wp:positionH>
                <wp:positionV relativeFrom="paragraph">
                  <wp:posOffset>8890</wp:posOffset>
                </wp:positionV>
                <wp:extent cx="5854700" cy="15875"/>
                <wp:effectExtent l="0" t="0" r="31750" b="22225"/>
                <wp:wrapNone/>
                <wp:docPr id="8" name="Přímá spojnice 11"/>
                <wp:cNvGraphicFramePr/>
                <a:graphic xmlns:a="http://schemas.openxmlformats.org/drawingml/2006/main">
                  <a:graphicData uri="http://schemas.microsoft.com/office/word/2010/wordprocessingShape">
                    <wps:wsp>
                      <wps:cNvCnPr/>
                      <wps:spPr>
                        <a:xfrm flipV="1">
                          <a:off x="0" y="0"/>
                          <a:ext cx="5854700" cy="15875"/>
                        </a:xfrm>
                        <a:prstGeom prst="line">
                          <a:avLst/>
                        </a:prstGeom>
                        <a:noFill/>
                        <a:ln w="19050" cap="flat" cmpd="sng" algn="ctr">
                          <a:solidFill>
                            <a:srgbClr val="BD2A33"/>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15D860" id="Přímá spojnice 11"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" strokecolor="#bd2a33" strokeweight="1.5pt">
                <w10:wrap anchorx="margin"/>
              </v:line>
            </w:pict>
          </mc:Fallback>
        </mc:AlternateContent>
      </w:r>
    </w:p>
    <w:p w14:paraId="257A9363" w14:textId="32361B09" w:rsidR="006123EC" w:rsidRPr="006123EC" w:rsidRDefault="003F73AF" w:rsidP="004328A0">
      <w:pPr>
        <w:spacing w:after="240"/>
        <w:ind w:left="2835" w:right="624" w:hanging="2835"/>
        <w:rPr>
          <w:rFonts w:ascii="Calibri" w:eastAsia="Calibri" w:hAnsi="Calibri" w:cs="Calibri"/>
          <w:b/>
          <w:color w:val="000000"/>
          <w:sz w:val="32"/>
          <w:szCs w:val="22"/>
        </w:rPr>
      </w:pPr>
      <w:r>
        <w:rPr>
          <w:rFonts w:ascii="Calibri" w:eastAsia="Calibri" w:hAnsi="Calibri" w:cs="Calibri"/>
          <w:b/>
          <w:color w:val="000000"/>
        </w:rPr>
        <w:t>A</w:t>
      </w:r>
      <w:r w:rsidR="006123EC" w:rsidRPr="006123EC">
        <w:rPr>
          <w:rFonts w:ascii="Calibri" w:eastAsia="Calibri" w:hAnsi="Calibri" w:cs="Calibri"/>
          <w:b/>
          <w:color w:val="000000"/>
        </w:rPr>
        <w:t>ž</w:t>
      </w:r>
      <w:r w:rsidR="006123EC" w:rsidRPr="006123EC">
        <w:rPr>
          <w:rFonts w:ascii="Calibri" w:eastAsia="Calibri" w:hAnsi="Calibri" w:cs="Calibri"/>
          <w:b/>
          <w:color w:val="000000"/>
          <w:sz w:val="32"/>
          <w:szCs w:val="22"/>
        </w:rPr>
        <w:t xml:space="preserve"> 80 % </w:t>
      </w:r>
      <w:r w:rsidR="006123EC" w:rsidRPr="006123EC">
        <w:rPr>
          <w:rFonts w:ascii="Calibri" w:eastAsia="Calibri" w:hAnsi="Calibri" w:cs="Calibri"/>
          <w:b/>
          <w:color w:val="000000"/>
          <w:szCs w:val="22"/>
        </w:rPr>
        <w:t xml:space="preserve">vs. </w:t>
      </w:r>
      <w:r w:rsidR="006123EC" w:rsidRPr="006123EC">
        <w:rPr>
          <w:rFonts w:ascii="Calibri" w:eastAsia="Calibri" w:hAnsi="Calibri" w:cs="Calibri"/>
          <w:b/>
          <w:color w:val="000000"/>
          <w:sz w:val="32"/>
          <w:szCs w:val="22"/>
        </w:rPr>
        <w:t>16,2 %</w:t>
      </w:r>
      <w:r w:rsidR="006123EC" w:rsidRPr="006123EC">
        <w:rPr>
          <w:rFonts w:ascii="Calibri" w:eastAsia="Calibri" w:hAnsi="Calibri" w:cs="Calibri"/>
          <w:b/>
          <w:color w:val="000000"/>
          <w:sz w:val="32"/>
          <w:szCs w:val="22"/>
        </w:rPr>
        <w:tab/>
      </w:r>
      <w:r w:rsidR="006123EC" w:rsidRPr="006123EC">
        <w:rPr>
          <w:rFonts w:ascii="Calibri" w:eastAsia="Calibri" w:hAnsi="Calibri" w:cs="Calibri"/>
          <w:b/>
          <w:color w:val="000000"/>
          <w:sz w:val="32"/>
          <w:szCs w:val="22"/>
        </w:rPr>
        <w:tab/>
      </w:r>
      <w:r w:rsidR="006123EC" w:rsidRPr="006123EC">
        <w:rPr>
          <w:rFonts w:ascii="Calibri" w:eastAsia="Calibri" w:hAnsi="Calibri" w:cs="Calibri"/>
          <w:color w:val="000000"/>
          <w:szCs w:val="22"/>
        </w:rPr>
        <w:t xml:space="preserve">plánovaný vs. skutečný podíl tržeb VOP CZ </w:t>
      </w:r>
      <w:r>
        <w:rPr>
          <w:rFonts w:ascii="Calibri" w:eastAsia="Calibri" w:hAnsi="Calibri" w:cs="Calibri"/>
          <w:color w:val="000000"/>
          <w:szCs w:val="22"/>
        </w:rPr>
        <w:br/>
      </w:r>
      <w:r w:rsidR="006123EC" w:rsidRPr="006123EC">
        <w:rPr>
          <w:rFonts w:ascii="Calibri" w:eastAsia="Calibri" w:hAnsi="Calibri" w:cs="Calibri"/>
          <w:color w:val="000000"/>
          <w:szCs w:val="22"/>
        </w:rPr>
        <w:t>v</w:t>
      </w:r>
      <w:r w:rsidR="00DD4B2A">
        <w:rPr>
          <w:rFonts w:ascii="Calibri" w:eastAsia="Calibri" w:hAnsi="Calibri" w:cs="Calibri"/>
          <w:color w:val="000000"/>
          <w:szCs w:val="22"/>
        </w:rPr>
        <w:t>e vojenské</w:t>
      </w:r>
      <w:r w:rsidR="006123EC" w:rsidRPr="006123EC">
        <w:rPr>
          <w:rFonts w:ascii="Calibri" w:eastAsia="Calibri" w:hAnsi="Calibri" w:cs="Calibri"/>
          <w:color w:val="000000"/>
          <w:szCs w:val="22"/>
        </w:rPr>
        <w:t xml:space="preserve"> oblasti </w:t>
      </w:r>
    </w:p>
    <w:p w14:paraId="6A74F9F4" w14:textId="594E4289" w:rsidR="006123EC" w:rsidRPr="006123EC" w:rsidRDefault="006123EC" w:rsidP="004328A0">
      <w:pPr>
        <w:spacing w:after="240"/>
        <w:ind w:left="2835" w:right="1" w:hanging="2835"/>
        <w:rPr>
          <w:rFonts w:ascii="Calibri" w:eastAsia="Calibri" w:hAnsi="Calibri" w:cs="Calibri"/>
          <w:color w:val="000000"/>
          <w:szCs w:val="22"/>
        </w:rPr>
      </w:pPr>
      <w:r w:rsidRPr="006123EC">
        <w:rPr>
          <w:rFonts w:ascii="Calibri" w:eastAsia="Calibri" w:hAnsi="Calibri" w:cs="Calibri"/>
          <w:b/>
          <w:color w:val="000000"/>
          <w:sz w:val="32"/>
          <w:szCs w:val="22"/>
        </w:rPr>
        <w:t>4,6 mil. Kč</w:t>
      </w:r>
      <w:r w:rsidRPr="006123EC">
        <w:rPr>
          <w:rFonts w:ascii="Calibri" w:eastAsia="Calibri" w:hAnsi="Calibri" w:cs="Calibri"/>
          <w:b/>
          <w:color w:val="000000"/>
          <w:sz w:val="32"/>
          <w:szCs w:val="22"/>
        </w:rPr>
        <w:tab/>
      </w:r>
      <w:r w:rsidRPr="006123EC">
        <w:rPr>
          <w:rFonts w:ascii="Calibri" w:eastAsia="Calibri" w:hAnsi="Calibri" w:cs="Calibri"/>
          <w:color w:val="000000"/>
          <w:szCs w:val="22"/>
        </w:rPr>
        <w:t>ztráta VOP CZ ze zakázky na opravy jeřáb</w:t>
      </w:r>
      <w:r w:rsidR="00FC609F">
        <w:rPr>
          <w:rFonts w:ascii="Calibri" w:eastAsia="Calibri" w:hAnsi="Calibri" w:cs="Calibri"/>
          <w:color w:val="000000"/>
          <w:szCs w:val="22"/>
        </w:rPr>
        <w:t>ové techniky</w:t>
      </w:r>
      <w:r w:rsidRPr="006123EC">
        <w:rPr>
          <w:rFonts w:ascii="Calibri" w:eastAsia="Calibri" w:hAnsi="Calibri" w:cs="Calibri"/>
          <w:color w:val="000000"/>
          <w:szCs w:val="22"/>
        </w:rPr>
        <w:t xml:space="preserve"> MO </w:t>
      </w:r>
    </w:p>
    <w:p w14:paraId="24A6004D" w14:textId="40E90E67" w:rsidR="006123EC" w:rsidRPr="006123EC" w:rsidRDefault="006123EC" w:rsidP="003F73AF">
      <w:pPr>
        <w:spacing w:before="120" w:after="240"/>
        <w:ind w:left="2835" w:right="624" w:hanging="2835"/>
        <w:rPr>
          <w:rFonts w:ascii="Calibri" w:eastAsia="Calibri" w:hAnsi="Calibri" w:cs="Calibri"/>
          <w:color w:val="000000"/>
          <w:szCs w:val="22"/>
        </w:rPr>
      </w:pPr>
      <w:r w:rsidRPr="006123EC">
        <w:rPr>
          <w:rFonts w:ascii="Calibri" w:eastAsia="Calibri" w:hAnsi="Calibri" w:cs="Calibri"/>
          <w:b/>
          <w:color w:val="000000"/>
          <w:sz w:val="32"/>
          <w:szCs w:val="22"/>
        </w:rPr>
        <w:t>391,8 mil. Kč</w:t>
      </w:r>
      <w:r w:rsidRPr="006123EC">
        <w:rPr>
          <w:rFonts w:ascii="Calibri" w:eastAsia="Calibri" w:hAnsi="Calibri" w:cs="Calibri"/>
          <w:b/>
          <w:color w:val="000000"/>
          <w:sz w:val="32"/>
          <w:szCs w:val="22"/>
        </w:rPr>
        <w:tab/>
      </w:r>
      <w:r w:rsidRPr="006123EC">
        <w:rPr>
          <w:rFonts w:ascii="Calibri" w:eastAsia="Calibri" w:hAnsi="Calibri" w:cs="Calibri"/>
          <w:b/>
          <w:color w:val="000000"/>
          <w:sz w:val="32"/>
          <w:szCs w:val="22"/>
        </w:rPr>
        <w:tab/>
      </w:r>
      <w:r w:rsidRPr="006123EC">
        <w:rPr>
          <w:rFonts w:ascii="Calibri" w:eastAsia="Calibri" w:hAnsi="Calibri" w:cs="Calibri"/>
          <w:color w:val="000000"/>
          <w:szCs w:val="22"/>
        </w:rPr>
        <w:t xml:space="preserve">celková ztráta VOP CZ </w:t>
      </w:r>
      <w:r w:rsidR="00FC609F">
        <w:rPr>
          <w:rFonts w:ascii="Calibri" w:eastAsia="Calibri" w:hAnsi="Calibri" w:cs="Calibri"/>
          <w:color w:val="000000"/>
          <w:szCs w:val="22"/>
        </w:rPr>
        <w:t>z</w:t>
      </w:r>
      <w:r w:rsidR="00206D88">
        <w:rPr>
          <w:rFonts w:ascii="Calibri" w:eastAsia="Calibri" w:hAnsi="Calibri" w:cs="Calibri"/>
          <w:color w:val="000000"/>
          <w:szCs w:val="22"/>
        </w:rPr>
        <w:t xml:space="preserve">a roky </w:t>
      </w:r>
      <w:r w:rsidRPr="006123EC">
        <w:rPr>
          <w:rFonts w:ascii="Calibri" w:eastAsia="Calibri" w:hAnsi="Calibri" w:cs="Calibri"/>
          <w:color w:val="000000"/>
          <w:szCs w:val="22"/>
        </w:rPr>
        <w:t xml:space="preserve">2018–2021 </w:t>
      </w:r>
    </w:p>
    <w:p w14:paraId="0F664AB7" w14:textId="77777777" w:rsidR="006123EC" w:rsidRDefault="006123EC" w:rsidP="00AE23DA">
      <w:pPr>
        <w:spacing w:after="1231"/>
        <w:ind w:right="623"/>
        <w:rPr>
          <w:rFonts w:ascii="Calibri" w:eastAsia="Calibri" w:hAnsi="Calibri" w:cs="Calibri"/>
          <w:b/>
          <w:color w:val="004595"/>
          <w:sz w:val="32"/>
          <w:szCs w:val="32"/>
        </w:rPr>
      </w:pPr>
    </w:p>
    <w:bookmarkEnd w:id="1"/>
    <w:p w14:paraId="624CFF8F" w14:textId="77777777" w:rsidR="007A429D" w:rsidRPr="00642BB0" w:rsidRDefault="007A429D" w:rsidP="00371455">
      <w:pPr>
        <w:pStyle w:val="Nadpis1"/>
        <w:spacing w:before="0" w:after="0"/>
        <w:jc w:val="center"/>
        <w:rPr>
          <w:rFonts w:asciiTheme="minorHAnsi" w:hAnsiTheme="minorHAnsi" w:cstheme="minorHAnsi"/>
          <w:sz w:val="28"/>
          <w:szCs w:val="28"/>
        </w:rPr>
      </w:pPr>
      <w:r w:rsidRPr="00642BB0">
        <w:rPr>
          <w:rFonts w:asciiTheme="minorHAnsi" w:hAnsiTheme="minorHAnsi" w:cstheme="minorHAnsi"/>
          <w:sz w:val="28"/>
          <w:szCs w:val="28"/>
        </w:rPr>
        <w:lastRenderedPageBreak/>
        <w:t>I. Shrnutí a vyhodnocení</w:t>
      </w:r>
    </w:p>
    <w:p w14:paraId="3EF4E9D1" w14:textId="07989AD4" w:rsidR="007A429D" w:rsidRDefault="007A429D" w:rsidP="00DD0364">
      <w:pPr>
        <w:spacing w:before="240"/>
        <w:jc w:val="both"/>
        <w:rPr>
          <w:rFonts w:asciiTheme="minorHAnsi" w:hAnsiTheme="minorHAnsi" w:cstheme="minorHAnsi"/>
        </w:rPr>
      </w:pPr>
      <w:r w:rsidRPr="00343C34">
        <w:rPr>
          <w:rFonts w:asciiTheme="minorHAnsi" w:hAnsiTheme="minorHAnsi" w:cstheme="minorHAnsi"/>
          <w:b/>
          <w:bCs/>
        </w:rPr>
        <w:t>1.1</w:t>
      </w:r>
      <w:r w:rsidRPr="00810A01">
        <w:rPr>
          <w:rFonts w:asciiTheme="minorHAnsi" w:hAnsiTheme="minorHAnsi" w:cstheme="minorHAnsi"/>
        </w:rPr>
        <w:t xml:space="preserve"> </w:t>
      </w:r>
      <w:r w:rsidRPr="00A916FD">
        <w:rPr>
          <w:rFonts w:asciiTheme="minorHAnsi" w:hAnsiTheme="minorHAnsi" w:cstheme="minorHAnsi"/>
        </w:rPr>
        <w:t xml:space="preserve">NKÚ </w:t>
      </w:r>
      <w:r>
        <w:rPr>
          <w:rFonts w:asciiTheme="minorHAnsi" w:hAnsiTheme="minorHAnsi" w:cstheme="minorHAnsi"/>
        </w:rPr>
        <w:t>provedl</w:t>
      </w:r>
      <w:r w:rsidRPr="00A916FD">
        <w:rPr>
          <w:rFonts w:asciiTheme="minorHAnsi" w:hAnsiTheme="minorHAnsi" w:cstheme="minorHAnsi"/>
        </w:rPr>
        <w:t xml:space="preserve"> </w:t>
      </w:r>
      <w:r>
        <w:rPr>
          <w:rFonts w:asciiTheme="minorHAnsi" w:hAnsiTheme="minorHAnsi" w:cstheme="minorHAnsi"/>
        </w:rPr>
        <w:t>u MO k</w:t>
      </w:r>
      <w:r w:rsidRPr="00A916FD">
        <w:rPr>
          <w:rFonts w:asciiTheme="minorHAnsi" w:hAnsiTheme="minorHAnsi" w:cstheme="minorHAnsi"/>
        </w:rPr>
        <w:t>ontrolu peněžních prostředků stát</w:t>
      </w:r>
      <w:r w:rsidR="000F1789">
        <w:rPr>
          <w:rFonts w:asciiTheme="minorHAnsi" w:hAnsiTheme="minorHAnsi" w:cstheme="minorHAnsi"/>
        </w:rPr>
        <w:t>ního rozpočtu</w:t>
      </w:r>
      <w:r>
        <w:rPr>
          <w:rFonts w:asciiTheme="minorHAnsi" w:hAnsiTheme="minorHAnsi" w:cstheme="minorHAnsi"/>
        </w:rPr>
        <w:t xml:space="preserve"> určených na automobilní techniku Armády České republiky (dále také „Armády“). Prověřil koncepční a </w:t>
      </w:r>
      <w:r w:rsidRPr="00194206">
        <w:rPr>
          <w:rFonts w:asciiTheme="minorHAnsi" w:hAnsiTheme="minorHAnsi" w:cstheme="minorHAnsi"/>
        </w:rPr>
        <w:t>řídicí činnost</w:t>
      </w:r>
      <w:r>
        <w:rPr>
          <w:rFonts w:asciiTheme="minorHAnsi" w:hAnsiTheme="minorHAnsi" w:cstheme="minorHAnsi"/>
        </w:rPr>
        <w:t>i</w:t>
      </w:r>
      <w:r w:rsidRPr="00194206">
        <w:rPr>
          <w:rFonts w:asciiTheme="minorHAnsi" w:hAnsiTheme="minorHAnsi" w:cstheme="minorHAnsi"/>
        </w:rPr>
        <w:t xml:space="preserve"> MO ve vztahu k</w:t>
      </w:r>
      <w:r w:rsidR="00D05304">
        <w:rPr>
          <w:rFonts w:asciiTheme="minorHAnsi" w:hAnsiTheme="minorHAnsi" w:cstheme="minorHAnsi"/>
        </w:rPr>
        <w:t> </w:t>
      </w:r>
      <w:bookmarkStart w:id="2" w:name="_Hlk123801049"/>
      <w:r w:rsidR="00D05304">
        <w:rPr>
          <w:rFonts w:asciiTheme="minorHAnsi" w:hAnsiTheme="minorHAnsi" w:cstheme="minorHAnsi"/>
        </w:rPr>
        <w:t xml:space="preserve">účelnému, </w:t>
      </w:r>
      <w:r>
        <w:rPr>
          <w:rFonts w:asciiTheme="minorHAnsi" w:hAnsiTheme="minorHAnsi" w:cstheme="minorHAnsi"/>
        </w:rPr>
        <w:t>hospodárnému</w:t>
      </w:r>
      <w:r w:rsidR="00D05304">
        <w:rPr>
          <w:rFonts w:asciiTheme="minorHAnsi" w:hAnsiTheme="minorHAnsi" w:cstheme="minorHAnsi"/>
        </w:rPr>
        <w:t xml:space="preserve"> a</w:t>
      </w:r>
      <w:r>
        <w:rPr>
          <w:rFonts w:asciiTheme="minorHAnsi" w:hAnsiTheme="minorHAnsi" w:cstheme="minorHAnsi"/>
        </w:rPr>
        <w:t xml:space="preserve"> </w:t>
      </w:r>
      <w:r w:rsidRPr="00194206">
        <w:rPr>
          <w:rFonts w:asciiTheme="minorHAnsi" w:hAnsiTheme="minorHAnsi" w:cstheme="minorHAnsi"/>
        </w:rPr>
        <w:t>efektivnímu</w:t>
      </w:r>
      <w:r>
        <w:rPr>
          <w:rFonts w:asciiTheme="minorHAnsi" w:hAnsiTheme="minorHAnsi" w:cstheme="minorHAnsi"/>
        </w:rPr>
        <w:t xml:space="preserve"> </w:t>
      </w:r>
      <w:bookmarkEnd w:id="2"/>
      <w:r w:rsidRPr="00A916FD">
        <w:rPr>
          <w:rFonts w:asciiTheme="minorHAnsi" w:hAnsiTheme="minorHAnsi" w:cstheme="minorHAnsi"/>
        </w:rPr>
        <w:t>vynakládán</w:t>
      </w:r>
      <w:r>
        <w:rPr>
          <w:rFonts w:asciiTheme="minorHAnsi" w:hAnsiTheme="minorHAnsi" w:cstheme="minorHAnsi"/>
        </w:rPr>
        <w:t>í</w:t>
      </w:r>
      <w:r w:rsidRPr="00A916FD">
        <w:rPr>
          <w:rFonts w:asciiTheme="minorHAnsi" w:hAnsiTheme="minorHAnsi" w:cstheme="minorHAnsi"/>
        </w:rPr>
        <w:t xml:space="preserve"> </w:t>
      </w:r>
      <w:r>
        <w:rPr>
          <w:rFonts w:asciiTheme="minorHAnsi" w:hAnsiTheme="minorHAnsi" w:cstheme="minorHAnsi"/>
        </w:rPr>
        <w:t>těchto prostředků. Dále kontroloval,</w:t>
      </w:r>
      <w:r w:rsidRPr="00E24246">
        <w:rPr>
          <w:rFonts w:asciiTheme="minorHAnsi" w:hAnsiTheme="minorHAnsi" w:cstheme="minorHAnsi"/>
        </w:rPr>
        <w:t xml:space="preserve"> </w:t>
      </w:r>
      <w:r>
        <w:rPr>
          <w:rFonts w:asciiTheme="minorHAnsi" w:hAnsiTheme="minorHAnsi" w:cstheme="minorHAnsi"/>
        </w:rPr>
        <w:t>zda</w:t>
      </w:r>
      <w:r w:rsidRPr="00194206">
        <w:rPr>
          <w:rFonts w:asciiTheme="minorHAnsi" w:hAnsiTheme="minorHAnsi" w:cstheme="minorHAnsi"/>
        </w:rPr>
        <w:t xml:space="preserve"> </w:t>
      </w:r>
      <w:r w:rsidRPr="0088636A">
        <w:rPr>
          <w:rFonts w:asciiTheme="minorHAnsi" w:hAnsiTheme="minorHAnsi" w:cstheme="minorHAnsi"/>
        </w:rPr>
        <w:t>peněžní prostředky na pořízení</w:t>
      </w:r>
      <w:r w:rsidR="003A7CBB">
        <w:rPr>
          <w:rFonts w:asciiTheme="minorHAnsi" w:hAnsiTheme="minorHAnsi" w:cstheme="minorHAnsi"/>
        </w:rPr>
        <w:t>,</w:t>
      </w:r>
      <w:r w:rsidRPr="0088636A">
        <w:rPr>
          <w:rFonts w:asciiTheme="minorHAnsi" w:hAnsiTheme="minorHAnsi" w:cstheme="minorHAnsi"/>
        </w:rPr>
        <w:t xml:space="preserve"> údržbu </w:t>
      </w:r>
      <w:r w:rsidR="003A7CBB" w:rsidRPr="0088636A">
        <w:rPr>
          <w:rFonts w:asciiTheme="minorHAnsi" w:hAnsiTheme="minorHAnsi" w:cstheme="minorHAnsi"/>
        </w:rPr>
        <w:t xml:space="preserve">a </w:t>
      </w:r>
      <w:r w:rsidRPr="0088636A">
        <w:rPr>
          <w:rFonts w:asciiTheme="minorHAnsi" w:hAnsiTheme="minorHAnsi" w:cstheme="minorHAnsi"/>
        </w:rPr>
        <w:t xml:space="preserve">opravy </w:t>
      </w:r>
      <w:r w:rsidR="003A7CBB" w:rsidRPr="0088636A">
        <w:rPr>
          <w:rFonts w:asciiTheme="minorHAnsi" w:hAnsiTheme="minorHAnsi" w:cstheme="minorHAnsi"/>
        </w:rPr>
        <w:t xml:space="preserve">techniky </w:t>
      </w:r>
      <w:r w:rsidR="00FD2C10">
        <w:rPr>
          <w:rFonts w:asciiTheme="minorHAnsi" w:hAnsiTheme="minorHAnsi" w:cstheme="minorHAnsi"/>
        </w:rPr>
        <w:br/>
      </w:r>
      <w:r w:rsidRPr="0088636A">
        <w:rPr>
          <w:rFonts w:asciiTheme="minorHAnsi" w:hAnsiTheme="minorHAnsi" w:cstheme="minorHAnsi"/>
        </w:rPr>
        <w:t>a</w:t>
      </w:r>
      <w:r w:rsidR="00FD2C10">
        <w:rPr>
          <w:rFonts w:asciiTheme="minorHAnsi" w:hAnsiTheme="minorHAnsi" w:cstheme="minorHAnsi"/>
        </w:rPr>
        <w:t xml:space="preserve"> </w:t>
      </w:r>
      <w:r w:rsidR="003A7CBB">
        <w:rPr>
          <w:rFonts w:asciiTheme="minorHAnsi" w:hAnsiTheme="minorHAnsi" w:cstheme="minorHAnsi"/>
        </w:rPr>
        <w:t xml:space="preserve">na </w:t>
      </w:r>
      <w:r w:rsidRPr="0088636A">
        <w:rPr>
          <w:rFonts w:asciiTheme="minorHAnsi" w:hAnsiTheme="minorHAnsi" w:cstheme="minorHAnsi"/>
        </w:rPr>
        <w:t xml:space="preserve">nákupy náhradních dílů (příloha č. 1) vynaložilo MO účelně, hospodárně, efektivně </w:t>
      </w:r>
      <w:r w:rsidR="00FD2C10">
        <w:rPr>
          <w:rFonts w:asciiTheme="minorHAnsi" w:hAnsiTheme="minorHAnsi" w:cstheme="minorHAnsi"/>
        </w:rPr>
        <w:br/>
      </w:r>
      <w:r w:rsidRPr="0088636A">
        <w:rPr>
          <w:rFonts w:asciiTheme="minorHAnsi" w:hAnsiTheme="minorHAnsi" w:cstheme="minorHAnsi"/>
        </w:rPr>
        <w:t>a</w:t>
      </w:r>
      <w:r w:rsidR="00FD2C10">
        <w:rPr>
          <w:rFonts w:asciiTheme="minorHAnsi" w:hAnsiTheme="minorHAnsi" w:cstheme="minorHAnsi"/>
        </w:rPr>
        <w:t xml:space="preserve"> </w:t>
      </w:r>
      <w:r w:rsidRPr="0088636A">
        <w:rPr>
          <w:rFonts w:asciiTheme="minorHAnsi" w:hAnsiTheme="minorHAnsi" w:cstheme="minorHAnsi"/>
        </w:rPr>
        <w:t>v</w:t>
      </w:r>
      <w:r w:rsidR="00FD2C10">
        <w:rPr>
          <w:rFonts w:asciiTheme="minorHAnsi" w:hAnsiTheme="minorHAnsi" w:cstheme="minorHAnsi"/>
        </w:rPr>
        <w:t xml:space="preserve"> </w:t>
      </w:r>
      <w:r w:rsidRPr="0088636A">
        <w:rPr>
          <w:rFonts w:asciiTheme="minorHAnsi" w:hAnsiTheme="minorHAnsi" w:cstheme="minorHAnsi"/>
        </w:rPr>
        <w:t>souladu s</w:t>
      </w:r>
      <w:r w:rsidR="00B05E96">
        <w:rPr>
          <w:rFonts w:asciiTheme="minorHAnsi" w:hAnsiTheme="minorHAnsi" w:cstheme="minorHAnsi"/>
        </w:rPr>
        <w:t xml:space="preserve"> </w:t>
      </w:r>
      <w:r w:rsidRPr="0088636A">
        <w:rPr>
          <w:rFonts w:asciiTheme="minorHAnsi" w:hAnsiTheme="minorHAnsi" w:cstheme="minorHAnsi"/>
        </w:rPr>
        <w:t>právními předpisy. Kontroloval také činnost VOP CZ ve vztahu k dodávkám a opravám automobilní techniky pro Armádu</w:t>
      </w:r>
      <w:r>
        <w:rPr>
          <w:rFonts w:asciiTheme="minorHAnsi" w:hAnsiTheme="minorHAnsi" w:cstheme="minorHAnsi"/>
        </w:rPr>
        <w:t xml:space="preserve"> a ve vztahu k cílům stanoveným pro </w:t>
      </w:r>
      <w:r w:rsidR="00B05E96">
        <w:rPr>
          <w:rFonts w:asciiTheme="minorHAnsi" w:hAnsiTheme="minorHAnsi" w:cstheme="minorHAnsi"/>
        </w:rPr>
        <w:t>jeho</w:t>
      </w:r>
      <w:r>
        <w:rPr>
          <w:rFonts w:asciiTheme="minorHAnsi" w:hAnsiTheme="minorHAnsi" w:cstheme="minorHAnsi"/>
        </w:rPr>
        <w:t xml:space="preserve"> činnost.</w:t>
      </w:r>
      <w:r w:rsidR="00D05304">
        <w:rPr>
          <w:rFonts w:asciiTheme="minorHAnsi" w:hAnsiTheme="minorHAnsi" w:cstheme="minorHAnsi"/>
        </w:rPr>
        <w:t xml:space="preserve"> Kontrolovaný objem peněžních prostředků činil celkem 1,6 mld. Kč.</w:t>
      </w:r>
    </w:p>
    <w:p w14:paraId="54BABABC" w14:textId="77777777" w:rsidR="007A429D" w:rsidRPr="00661B18" w:rsidRDefault="007A429D" w:rsidP="007A429D">
      <w:pPr>
        <w:spacing w:before="120"/>
        <w:jc w:val="both"/>
        <w:rPr>
          <w:rFonts w:asciiTheme="minorHAnsi" w:hAnsiTheme="minorHAnsi" w:cstheme="minorHAnsi"/>
          <w:b/>
        </w:rPr>
      </w:pPr>
      <w:bookmarkStart w:id="3" w:name="_Hlk129173402"/>
      <w:r w:rsidRPr="00661B18">
        <w:rPr>
          <w:rFonts w:asciiTheme="minorHAnsi" w:hAnsiTheme="minorHAnsi" w:cstheme="minorHAnsi"/>
          <w:b/>
        </w:rPr>
        <w:t>Celkové vyhodnocení</w:t>
      </w:r>
    </w:p>
    <w:p w14:paraId="1A9AA6E6" w14:textId="44CFFCA7" w:rsidR="00572432" w:rsidRPr="00661B18" w:rsidRDefault="007A429D" w:rsidP="001275F2">
      <w:pPr>
        <w:spacing w:before="120"/>
        <w:jc w:val="both"/>
        <w:rPr>
          <w:rFonts w:asciiTheme="minorHAnsi" w:hAnsiTheme="minorHAnsi" w:cstheme="minorHAnsi"/>
          <w:b/>
        </w:rPr>
      </w:pPr>
      <w:bookmarkStart w:id="4" w:name="_Hlk123915626"/>
      <w:r w:rsidRPr="00661B18">
        <w:rPr>
          <w:rFonts w:asciiTheme="minorHAnsi" w:hAnsiTheme="minorHAnsi" w:cstheme="minorHAnsi"/>
          <w:b/>
          <w:bCs/>
        </w:rPr>
        <w:t>1.2</w:t>
      </w:r>
      <w:r w:rsidRPr="00810A01">
        <w:rPr>
          <w:rFonts w:ascii="Calibri" w:hAnsi="Calibri" w:cs="Calibri"/>
        </w:rPr>
        <w:t xml:space="preserve"> </w:t>
      </w:r>
      <w:r w:rsidR="00D5390F" w:rsidRPr="00F61966">
        <w:rPr>
          <w:rFonts w:asciiTheme="minorHAnsi" w:hAnsiTheme="minorHAnsi" w:cstheme="minorHAnsi"/>
          <w:b/>
        </w:rPr>
        <w:t>MO nepořizovalo</w:t>
      </w:r>
      <w:r w:rsidR="00D5390F" w:rsidRPr="00661B18">
        <w:rPr>
          <w:rFonts w:asciiTheme="minorHAnsi" w:hAnsiTheme="minorHAnsi" w:cstheme="minorHAnsi"/>
          <w:b/>
        </w:rPr>
        <w:t xml:space="preserve"> v letech 2018–2021 automobilní techniku </w:t>
      </w:r>
      <w:r w:rsidR="00D85D98" w:rsidRPr="00661B18">
        <w:rPr>
          <w:rFonts w:asciiTheme="minorHAnsi" w:hAnsiTheme="minorHAnsi" w:cstheme="minorHAnsi"/>
          <w:b/>
        </w:rPr>
        <w:t>po</w:t>
      </w:r>
      <w:r w:rsidR="00D5390F" w:rsidRPr="00661B18">
        <w:rPr>
          <w:rFonts w:asciiTheme="minorHAnsi" w:hAnsiTheme="minorHAnsi" w:cstheme="minorHAnsi"/>
          <w:b/>
        </w:rPr>
        <w:t xml:space="preserve">dle </w:t>
      </w:r>
      <w:r w:rsidR="003166B6">
        <w:rPr>
          <w:rFonts w:asciiTheme="minorHAnsi" w:hAnsiTheme="minorHAnsi" w:cstheme="minorHAnsi"/>
          <w:b/>
        </w:rPr>
        <w:t>plánovaných</w:t>
      </w:r>
      <w:r w:rsidR="00D5390F" w:rsidRPr="00661B18">
        <w:rPr>
          <w:rFonts w:asciiTheme="minorHAnsi" w:hAnsiTheme="minorHAnsi" w:cstheme="minorHAnsi"/>
          <w:b/>
        </w:rPr>
        <w:t xml:space="preserve"> potřeb Armády. </w:t>
      </w:r>
      <w:r w:rsidR="00FB1B5F" w:rsidRPr="00661B18">
        <w:rPr>
          <w:rFonts w:asciiTheme="minorHAnsi" w:hAnsiTheme="minorHAnsi" w:cstheme="minorHAnsi"/>
          <w:b/>
        </w:rPr>
        <w:t>Průměrné stáří jednotlivých druhů automobilní techniky ke konci roku 2021 se pohybovalo mezi 13</w:t>
      </w:r>
      <w:r w:rsidR="003F73AF">
        <w:rPr>
          <w:rFonts w:asciiTheme="minorHAnsi" w:hAnsiTheme="minorHAnsi" w:cstheme="minorHAnsi"/>
          <w:b/>
        </w:rPr>
        <w:t xml:space="preserve"> </w:t>
      </w:r>
      <w:r w:rsidR="00FB1B5F" w:rsidRPr="00661B18">
        <w:rPr>
          <w:rFonts w:asciiTheme="minorHAnsi" w:hAnsiTheme="minorHAnsi" w:cstheme="minorHAnsi"/>
          <w:b/>
        </w:rPr>
        <w:t>a</w:t>
      </w:r>
      <w:r w:rsidR="003F73AF">
        <w:rPr>
          <w:rFonts w:asciiTheme="minorHAnsi" w:hAnsiTheme="minorHAnsi" w:cstheme="minorHAnsi"/>
          <w:b/>
        </w:rPr>
        <w:t xml:space="preserve"> </w:t>
      </w:r>
      <w:r w:rsidR="00FB1B5F" w:rsidRPr="00661B18">
        <w:rPr>
          <w:rFonts w:asciiTheme="minorHAnsi" w:hAnsiTheme="minorHAnsi" w:cstheme="minorHAnsi"/>
          <w:b/>
        </w:rPr>
        <w:t xml:space="preserve">39 roky a téměř dvě třetiny vozidel měly překročenou životnost. </w:t>
      </w:r>
      <w:r w:rsidR="003166B6">
        <w:rPr>
          <w:rFonts w:asciiTheme="minorHAnsi" w:hAnsiTheme="minorHAnsi" w:cstheme="minorHAnsi"/>
          <w:b/>
        </w:rPr>
        <w:t>Ačkoliv c</w:t>
      </w:r>
      <w:r w:rsidR="00D5390F" w:rsidRPr="00661B18">
        <w:rPr>
          <w:rFonts w:asciiTheme="minorHAnsi" w:hAnsiTheme="minorHAnsi" w:cstheme="minorHAnsi"/>
          <w:b/>
        </w:rPr>
        <w:t xml:space="preserve">elkové výdaje MO </w:t>
      </w:r>
      <w:r w:rsidR="00BB7443" w:rsidRPr="00661B18">
        <w:rPr>
          <w:rFonts w:asciiTheme="minorHAnsi" w:hAnsiTheme="minorHAnsi" w:cstheme="minorHAnsi"/>
          <w:b/>
        </w:rPr>
        <w:t xml:space="preserve">od roku 2018 </w:t>
      </w:r>
      <w:r w:rsidR="00D5390F" w:rsidRPr="00661B18">
        <w:rPr>
          <w:rFonts w:asciiTheme="minorHAnsi" w:hAnsiTheme="minorHAnsi" w:cstheme="minorHAnsi"/>
          <w:b/>
        </w:rPr>
        <w:t>narostly z 59,8 na 84,9 mld. Kč</w:t>
      </w:r>
      <w:r w:rsidR="00572432" w:rsidRPr="00661B18">
        <w:rPr>
          <w:rFonts w:asciiTheme="minorHAnsi" w:hAnsiTheme="minorHAnsi" w:cstheme="minorHAnsi"/>
          <w:b/>
        </w:rPr>
        <w:t>, MO</w:t>
      </w:r>
      <w:r w:rsidR="00D5390F" w:rsidRPr="00661B18">
        <w:rPr>
          <w:rFonts w:asciiTheme="minorHAnsi" w:hAnsiTheme="minorHAnsi" w:cstheme="minorHAnsi"/>
          <w:b/>
        </w:rPr>
        <w:t xml:space="preserve"> některé plánované nákupy do doby ukončení kontroly neuskutečnilo</w:t>
      </w:r>
      <w:r w:rsidR="00BB7443" w:rsidRPr="00661B18">
        <w:rPr>
          <w:rFonts w:asciiTheme="minorHAnsi" w:hAnsiTheme="minorHAnsi" w:cstheme="minorHAnsi"/>
          <w:b/>
        </w:rPr>
        <w:t xml:space="preserve"> a</w:t>
      </w:r>
      <w:r w:rsidR="00D5390F" w:rsidRPr="00661B18">
        <w:rPr>
          <w:rFonts w:asciiTheme="minorHAnsi" w:hAnsiTheme="minorHAnsi" w:cstheme="minorHAnsi"/>
          <w:b/>
        </w:rPr>
        <w:t xml:space="preserve"> </w:t>
      </w:r>
      <w:r w:rsidR="00BB7443" w:rsidRPr="00661B18">
        <w:rPr>
          <w:rFonts w:asciiTheme="minorHAnsi" w:hAnsiTheme="minorHAnsi" w:cstheme="minorHAnsi"/>
          <w:b/>
        </w:rPr>
        <w:t>p</w:t>
      </w:r>
      <w:r w:rsidR="00D5390F" w:rsidRPr="00661B18">
        <w:rPr>
          <w:rFonts w:asciiTheme="minorHAnsi" w:hAnsiTheme="minorHAnsi" w:cstheme="minorHAnsi"/>
          <w:b/>
        </w:rPr>
        <w:t>ořizování automobilní techniky se často zpožďovalo.</w:t>
      </w:r>
    </w:p>
    <w:p w14:paraId="3A018EE9" w14:textId="2F30CC43" w:rsidR="001275F2" w:rsidRPr="003166B6" w:rsidRDefault="00572432" w:rsidP="001275F2">
      <w:pPr>
        <w:spacing w:before="120"/>
        <w:jc w:val="both"/>
        <w:rPr>
          <w:rFonts w:asciiTheme="minorHAnsi" w:hAnsiTheme="minorHAnsi" w:cstheme="minorHAnsi"/>
          <w:b/>
        </w:rPr>
      </w:pPr>
      <w:r w:rsidRPr="003166B6">
        <w:rPr>
          <w:rFonts w:asciiTheme="minorHAnsi" w:hAnsiTheme="minorHAnsi" w:cstheme="minorHAnsi"/>
          <w:b/>
        </w:rPr>
        <w:t xml:space="preserve">1.3 </w:t>
      </w:r>
      <w:r w:rsidR="00661B18" w:rsidRPr="003166B6">
        <w:rPr>
          <w:rFonts w:asciiTheme="minorHAnsi" w:hAnsiTheme="minorHAnsi" w:cstheme="minorHAnsi"/>
          <w:b/>
        </w:rPr>
        <w:t>Uvedené</w:t>
      </w:r>
      <w:r w:rsidR="001275F2" w:rsidRPr="003166B6">
        <w:rPr>
          <w:rFonts w:asciiTheme="minorHAnsi" w:hAnsiTheme="minorHAnsi" w:cstheme="minorHAnsi"/>
          <w:b/>
        </w:rPr>
        <w:t xml:space="preserve"> skutečnosti </w:t>
      </w:r>
      <w:r w:rsidR="00D5390F" w:rsidRPr="003166B6">
        <w:rPr>
          <w:rFonts w:asciiTheme="minorHAnsi" w:hAnsiTheme="minorHAnsi" w:cstheme="minorHAnsi"/>
          <w:b/>
        </w:rPr>
        <w:t>vedl</w:t>
      </w:r>
      <w:r w:rsidR="001275F2" w:rsidRPr="003166B6">
        <w:rPr>
          <w:rFonts w:asciiTheme="minorHAnsi" w:hAnsiTheme="minorHAnsi" w:cstheme="minorHAnsi"/>
          <w:b/>
        </w:rPr>
        <w:t>y</w:t>
      </w:r>
      <w:r w:rsidR="00D5390F" w:rsidRPr="003166B6">
        <w:rPr>
          <w:rFonts w:asciiTheme="minorHAnsi" w:hAnsiTheme="minorHAnsi" w:cstheme="minorHAnsi"/>
          <w:b/>
        </w:rPr>
        <w:t xml:space="preserve"> k neefektivnímu a</w:t>
      </w:r>
      <w:r w:rsidR="003F73AF">
        <w:rPr>
          <w:rFonts w:asciiTheme="minorHAnsi" w:hAnsiTheme="minorHAnsi" w:cstheme="minorHAnsi"/>
          <w:b/>
        </w:rPr>
        <w:t xml:space="preserve"> </w:t>
      </w:r>
      <w:r w:rsidR="00D5390F" w:rsidRPr="003166B6">
        <w:rPr>
          <w:rFonts w:asciiTheme="minorHAnsi" w:hAnsiTheme="minorHAnsi" w:cstheme="minorHAnsi"/>
          <w:b/>
        </w:rPr>
        <w:t xml:space="preserve">neúčelnému vynakládání </w:t>
      </w:r>
      <w:r w:rsidR="00D41D82" w:rsidRPr="003166B6">
        <w:rPr>
          <w:rFonts w:asciiTheme="minorHAnsi" w:hAnsiTheme="minorHAnsi" w:cstheme="minorHAnsi"/>
          <w:b/>
        </w:rPr>
        <w:t xml:space="preserve">peněžních prostředků státního rozpočtu, </w:t>
      </w:r>
      <w:r w:rsidR="00206D88" w:rsidRPr="003166B6">
        <w:rPr>
          <w:rFonts w:asciiTheme="minorHAnsi" w:hAnsiTheme="minorHAnsi" w:cstheme="minorHAnsi"/>
          <w:b/>
        </w:rPr>
        <w:t xml:space="preserve">které </w:t>
      </w:r>
      <w:r w:rsidR="00D41D82" w:rsidRPr="003166B6">
        <w:rPr>
          <w:rFonts w:asciiTheme="minorHAnsi" w:hAnsiTheme="minorHAnsi" w:cstheme="minorHAnsi"/>
          <w:b/>
        </w:rPr>
        <w:t>MO</w:t>
      </w:r>
      <w:r w:rsidR="00206D88" w:rsidRPr="003166B6">
        <w:rPr>
          <w:rFonts w:asciiTheme="minorHAnsi" w:hAnsiTheme="minorHAnsi" w:cstheme="minorHAnsi"/>
          <w:b/>
        </w:rPr>
        <w:t xml:space="preserve"> </w:t>
      </w:r>
      <w:r w:rsidR="00D41D82" w:rsidRPr="003166B6">
        <w:rPr>
          <w:rFonts w:asciiTheme="minorHAnsi" w:hAnsiTheme="minorHAnsi" w:cstheme="minorHAnsi"/>
          <w:b/>
        </w:rPr>
        <w:t xml:space="preserve">použilo </w:t>
      </w:r>
      <w:r w:rsidR="003F4845" w:rsidRPr="003166B6">
        <w:rPr>
          <w:rFonts w:asciiTheme="minorHAnsi" w:hAnsiTheme="minorHAnsi" w:cstheme="minorHAnsi"/>
          <w:b/>
        </w:rPr>
        <w:t>n</w:t>
      </w:r>
      <w:r w:rsidR="00D41D82" w:rsidRPr="003166B6">
        <w:rPr>
          <w:rFonts w:asciiTheme="minorHAnsi" w:hAnsiTheme="minorHAnsi" w:cstheme="minorHAnsi"/>
          <w:b/>
        </w:rPr>
        <w:t>a opravy jeřábové techniky a</w:t>
      </w:r>
      <w:r w:rsidR="00F61966">
        <w:rPr>
          <w:rFonts w:asciiTheme="minorHAnsi" w:hAnsiTheme="minorHAnsi" w:cstheme="minorHAnsi"/>
          <w:b/>
        </w:rPr>
        <w:t xml:space="preserve"> </w:t>
      </w:r>
      <w:r w:rsidR="00D41D82" w:rsidRPr="003166B6">
        <w:rPr>
          <w:rFonts w:asciiTheme="minorHAnsi" w:hAnsiTheme="minorHAnsi" w:cstheme="minorHAnsi"/>
          <w:b/>
        </w:rPr>
        <w:t>osobních terénních automobilů.</w:t>
      </w:r>
      <w:r w:rsidR="001275F2" w:rsidRPr="003166B6">
        <w:rPr>
          <w:rFonts w:asciiTheme="minorHAnsi" w:hAnsiTheme="minorHAnsi" w:cstheme="minorHAnsi"/>
          <w:b/>
        </w:rPr>
        <w:t xml:space="preserve"> </w:t>
      </w:r>
    </w:p>
    <w:p w14:paraId="68D453D0" w14:textId="77777777" w:rsidR="007A429D" w:rsidRPr="00661B18" w:rsidRDefault="00D05304" w:rsidP="007A429D">
      <w:pPr>
        <w:spacing w:before="120"/>
        <w:jc w:val="both"/>
        <w:rPr>
          <w:rFonts w:asciiTheme="minorHAnsi" w:hAnsiTheme="minorHAnsi" w:cstheme="minorHAnsi"/>
          <w:b/>
        </w:rPr>
      </w:pPr>
      <w:r w:rsidRPr="003166B6">
        <w:rPr>
          <w:rFonts w:asciiTheme="minorHAnsi" w:hAnsiTheme="minorHAnsi" w:cstheme="minorHAnsi"/>
          <w:b/>
        </w:rPr>
        <w:t>1.</w:t>
      </w:r>
      <w:r w:rsidR="00572432" w:rsidRPr="003166B6">
        <w:rPr>
          <w:rFonts w:asciiTheme="minorHAnsi" w:hAnsiTheme="minorHAnsi" w:cstheme="minorHAnsi"/>
          <w:b/>
        </w:rPr>
        <w:t>4</w:t>
      </w:r>
      <w:r w:rsidRPr="003166B6">
        <w:rPr>
          <w:rFonts w:asciiTheme="minorHAnsi" w:hAnsiTheme="minorHAnsi" w:cstheme="minorHAnsi"/>
          <w:b/>
        </w:rPr>
        <w:t xml:space="preserve"> </w:t>
      </w:r>
      <w:r w:rsidR="00D5390F" w:rsidRPr="003166B6">
        <w:rPr>
          <w:rFonts w:asciiTheme="minorHAnsi" w:hAnsiTheme="minorHAnsi" w:cstheme="minorHAnsi"/>
          <w:b/>
        </w:rPr>
        <w:t>MO</w:t>
      </w:r>
      <w:r w:rsidR="00B979FF" w:rsidRPr="003166B6">
        <w:rPr>
          <w:rFonts w:asciiTheme="minorHAnsi" w:hAnsiTheme="minorHAnsi" w:cstheme="minorHAnsi"/>
          <w:b/>
        </w:rPr>
        <w:t xml:space="preserve"> </w:t>
      </w:r>
      <w:r w:rsidR="00D5390F" w:rsidRPr="003166B6">
        <w:rPr>
          <w:rFonts w:asciiTheme="minorHAnsi" w:hAnsiTheme="minorHAnsi" w:cstheme="minorHAnsi"/>
          <w:b/>
        </w:rPr>
        <w:t xml:space="preserve">nadhodnotilo </w:t>
      </w:r>
      <w:bookmarkStart w:id="5" w:name="_Hlk129343858"/>
      <w:r w:rsidR="00D5390F" w:rsidRPr="003166B6">
        <w:rPr>
          <w:rFonts w:asciiTheme="minorHAnsi" w:hAnsiTheme="minorHAnsi" w:cstheme="minorHAnsi"/>
          <w:b/>
        </w:rPr>
        <w:t>plánovaný počet pořizovaných osobních terénních automobilů, což představuje riziko nehospodárného a neúčelného použití peněžních prostředků státního rozpočtu</w:t>
      </w:r>
      <w:r w:rsidR="00D85D98" w:rsidRPr="003166B6">
        <w:rPr>
          <w:rFonts w:asciiTheme="minorHAnsi" w:hAnsiTheme="minorHAnsi" w:cstheme="minorHAnsi"/>
          <w:b/>
        </w:rPr>
        <w:t>.</w:t>
      </w:r>
    </w:p>
    <w:bookmarkEnd w:id="5"/>
    <w:p w14:paraId="34A0443B" w14:textId="1DC2427A" w:rsidR="009A7616" w:rsidRPr="00661B18" w:rsidRDefault="007A429D" w:rsidP="007A429D">
      <w:pPr>
        <w:spacing w:before="120" w:after="120"/>
        <w:jc w:val="both"/>
        <w:rPr>
          <w:rFonts w:asciiTheme="minorHAnsi" w:hAnsiTheme="minorHAnsi" w:cstheme="minorHAnsi"/>
          <w:b/>
        </w:rPr>
      </w:pPr>
      <w:r w:rsidRPr="00661B18">
        <w:rPr>
          <w:rFonts w:asciiTheme="minorHAnsi" w:hAnsiTheme="minorHAnsi" w:cstheme="minorHAnsi"/>
          <w:b/>
          <w:bCs/>
        </w:rPr>
        <w:t>1.</w:t>
      </w:r>
      <w:r w:rsidR="00572432" w:rsidRPr="00661B18">
        <w:rPr>
          <w:rFonts w:asciiTheme="minorHAnsi" w:hAnsiTheme="minorHAnsi" w:cstheme="minorHAnsi"/>
          <w:b/>
          <w:bCs/>
        </w:rPr>
        <w:t>5</w:t>
      </w:r>
      <w:r w:rsidRPr="00810A01">
        <w:rPr>
          <w:rFonts w:asciiTheme="minorHAnsi" w:hAnsiTheme="minorHAnsi" w:cstheme="minorHAnsi"/>
        </w:rPr>
        <w:t xml:space="preserve"> </w:t>
      </w:r>
      <w:r w:rsidRPr="00661B18">
        <w:rPr>
          <w:rFonts w:asciiTheme="minorHAnsi" w:hAnsiTheme="minorHAnsi" w:cstheme="minorHAnsi"/>
          <w:b/>
        </w:rPr>
        <w:t>MO nevyužívalo VOP</w:t>
      </w:r>
      <w:r w:rsidR="00772D41">
        <w:rPr>
          <w:rFonts w:asciiTheme="minorHAnsi" w:hAnsiTheme="minorHAnsi" w:cstheme="minorHAnsi"/>
          <w:b/>
        </w:rPr>
        <w:t> </w:t>
      </w:r>
      <w:r w:rsidRPr="00661B18">
        <w:rPr>
          <w:rFonts w:asciiTheme="minorHAnsi" w:hAnsiTheme="minorHAnsi" w:cstheme="minorHAnsi"/>
          <w:b/>
        </w:rPr>
        <w:t>CZ v</w:t>
      </w:r>
      <w:r w:rsidR="00772D41">
        <w:rPr>
          <w:rFonts w:asciiTheme="minorHAnsi" w:hAnsiTheme="minorHAnsi" w:cstheme="minorHAnsi"/>
          <w:b/>
        </w:rPr>
        <w:t xml:space="preserve"> </w:t>
      </w:r>
      <w:r w:rsidRPr="00661B18">
        <w:rPr>
          <w:rFonts w:asciiTheme="minorHAnsi" w:hAnsiTheme="minorHAnsi" w:cstheme="minorHAnsi"/>
          <w:b/>
        </w:rPr>
        <w:t>souladu s</w:t>
      </w:r>
      <w:r w:rsidR="00772D41">
        <w:rPr>
          <w:rFonts w:asciiTheme="minorHAnsi" w:hAnsiTheme="minorHAnsi" w:cstheme="minorHAnsi"/>
          <w:b/>
        </w:rPr>
        <w:t xml:space="preserve"> </w:t>
      </w:r>
      <w:r w:rsidRPr="00661B18">
        <w:rPr>
          <w:rFonts w:asciiTheme="minorHAnsi" w:hAnsiTheme="minorHAnsi" w:cstheme="minorHAnsi"/>
          <w:b/>
        </w:rPr>
        <w:t>cíli</w:t>
      </w:r>
      <w:r w:rsidR="004C0D87" w:rsidRPr="00661B18">
        <w:rPr>
          <w:rFonts w:asciiTheme="minorHAnsi" w:hAnsiTheme="minorHAnsi" w:cstheme="minorHAnsi"/>
          <w:b/>
        </w:rPr>
        <w:t xml:space="preserve"> a</w:t>
      </w:r>
      <w:r w:rsidR="001F25D5" w:rsidRPr="00661B18">
        <w:rPr>
          <w:rFonts w:asciiTheme="minorHAnsi" w:hAnsiTheme="minorHAnsi" w:cstheme="minorHAnsi"/>
          <w:b/>
        </w:rPr>
        <w:t xml:space="preserve"> </w:t>
      </w:r>
      <w:r w:rsidRPr="00661B18">
        <w:rPr>
          <w:rFonts w:asciiTheme="minorHAnsi" w:hAnsiTheme="minorHAnsi" w:cstheme="minorHAnsi"/>
          <w:b/>
        </w:rPr>
        <w:t>záměry</w:t>
      </w:r>
      <w:r w:rsidR="001F25D5" w:rsidRPr="00661B18">
        <w:rPr>
          <w:rFonts w:asciiTheme="minorHAnsi" w:hAnsiTheme="minorHAnsi" w:cstheme="minorHAnsi"/>
          <w:b/>
        </w:rPr>
        <w:t xml:space="preserve"> stanovenými</w:t>
      </w:r>
      <w:r w:rsidRPr="00661B18">
        <w:rPr>
          <w:rFonts w:asciiTheme="minorHAnsi" w:hAnsiTheme="minorHAnsi" w:cstheme="minorHAnsi"/>
          <w:b/>
        </w:rPr>
        <w:t xml:space="preserve"> </w:t>
      </w:r>
      <w:r w:rsidR="001F25D5" w:rsidRPr="00661B18">
        <w:rPr>
          <w:rFonts w:asciiTheme="minorHAnsi" w:hAnsiTheme="minorHAnsi" w:cstheme="minorHAnsi"/>
          <w:b/>
        </w:rPr>
        <w:t>v</w:t>
      </w:r>
      <w:r w:rsidR="000A387B">
        <w:rPr>
          <w:rFonts w:asciiTheme="minorHAnsi" w:hAnsiTheme="minorHAnsi" w:cstheme="minorHAnsi"/>
          <w:b/>
        </w:rPr>
        <w:t xml:space="preserve"> </w:t>
      </w:r>
      <w:r w:rsidR="001F25D5" w:rsidRPr="00661B18">
        <w:rPr>
          <w:rFonts w:asciiTheme="minorHAnsi" w:hAnsiTheme="minorHAnsi" w:cstheme="minorHAnsi"/>
          <w:b/>
        </w:rPr>
        <w:t xml:space="preserve">koncepčních a strategických dokumentech </w:t>
      </w:r>
      <w:r w:rsidR="0068120C" w:rsidRPr="00661B18">
        <w:rPr>
          <w:rFonts w:asciiTheme="minorHAnsi" w:hAnsiTheme="minorHAnsi" w:cstheme="minorHAnsi"/>
          <w:b/>
        </w:rPr>
        <w:t xml:space="preserve">pro </w:t>
      </w:r>
      <w:r w:rsidR="00FB2B87" w:rsidRPr="00661B18">
        <w:rPr>
          <w:rFonts w:asciiTheme="minorHAnsi" w:hAnsiTheme="minorHAnsi" w:cstheme="minorHAnsi"/>
          <w:b/>
        </w:rPr>
        <w:t>činnost státních podniků založených MO</w:t>
      </w:r>
      <w:r w:rsidRPr="00661B18">
        <w:rPr>
          <w:rFonts w:asciiTheme="minorHAnsi" w:hAnsiTheme="minorHAnsi" w:cstheme="minorHAnsi"/>
          <w:b/>
        </w:rPr>
        <w:t xml:space="preserve">. </w:t>
      </w:r>
      <w:r w:rsidR="00643A84" w:rsidRPr="00661B18">
        <w:rPr>
          <w:rFonts w:asciiTheme="minorHAnsi" w:hAnsiTheme="minorHAnsi" w:cstheme="minorHAnsi"/>
          <w:b/>
        </w:rPr>
        <w:t>Podnik</w:t>
      </w:r>
      <w:r w:rsidR="00164834" w:rsidRPr="00661B18">
        <w:rPr>
          <w:rFonts w:asciiTheme="minorHAnsi" w:hAnsiTheme="minorHAnsi" w:cstheme="minorHAnsi"/>
          <w:b/>
        </w:rPr>
        <w:t xml:space="preserve"> neplnil své finanční plány a dosahoval záporného hospodářského výsledku, což vedlo k postupnému zvyšování zadluženosti podniku a poklesu hodnoty vlastního kapitálu. </w:t>
      </w:r>
      <w:r w:rsidRPr="00661B18">
        <w:rPr>
          <w:rFonts w:asciiTheme="minorHAnsi" w:hAnsiTheme="minorHAnsi" w:cstheme="minorHAnsi"/>
          <w:b/>
        </w:rPr>
        <w:t xml:space="preserve">Tržby </w:t>
      </w:r>
      <w:r w:rsidR="009A7616" w:rsidRPr="00661B18">
        <w:rPr>
          <w:rFonts w:asciiTheme="minorHAnsi" w:hAnsiTheme="minorHAnsi" w:cstheme="minorHAnsi"/>
          <w:b/>
        </w:rPr>
        <w:t>podniku</w:t>
      </w:r>
      <w:r w:rsidRPr="00661B18">
        <w:rPr>
          <w:rFonts w:asciiTheme="minorHAnsi" w:hAnsiTheme="minorHAnsi" w:cstheme="minorHAnsi"/>
          <w:b/>
        </w:rPr>
        <w:t xml:space="preserve"> </w:t>
      </w:r>
      <w:r w:rsidR="009A7616" w:rsidRPr="00661B18">
        <w:rPr>
          <w:rFonts w:asciiTheme="minorHAnsi" w:hAnsiTheme="minorHAnsi" w:cstheme="minorHAnsi"/>
          <w:b/>
        </w:rPr>
        <w:t>přijaté od</w:t>
      </w:r>
      <w:r w:rsidRPr="00661B18">
        <w:rPr>
          <w:rFonts w:asciiTheme="minorHAnsi" w:hAnsiTheme="minorHAnsi" w:cstheme="minorHAnsi"/>
          <w:b/>
        </w:rPr>
        <w:t xml:space="preserve"> MO činily v</w:t>
      </w:r>
      <w:r w:rsidR="000A387B">
        <w:rPr>
          <w:rFonts w:asciiTheme="minorHAnsi" w:hAnsiTheme="minorHAnsi" w:cstheme="minorHAnsi"/>
          <w:b/>
        </w:rPr>
        <w:t xml:space="preserve"> </w:t>
      </w:r>
      <w:r w:rsidR="00D8338C" w:rsidRPr="00661B18">
        <w:rPr>
          <w:rFonts w:asciiTheme="minorHAnsi" w:hAnsiTheme="minorHAnsi" w:cstheme="minorHAnsi"/>
          <w:b/>
        </w:rPr>
        <w:t xml:space="preserve">letech 2018–2021 </w:t>
      </w:r>
      <w:r w:rsidRPr="00661B18">
        <w:rPr>
          <w:rFonts w:asciiTheme="minorHAnsi" w:hAnsiTheme="minorHAnsi" w:cstheme="minorHAnsi"/>
          <w:b/>
        </w:rPr>
        <w:t>pouze 13,2 % celkových tržeb</w:t>
      </w:r>
      <w:r w:rsidR="009A7616" w:rsidRPr="00661B18">
        <w:rPr>
          <w:rFonts w:asciiTheme="minorHAnsi" w:hAnsiTheme="minorHAnsi" w:cstheme="minorHAnsi"/>
          <w:b/>
        </w:rPr>
        <w:t xml:space="preserve">. </w:t>
      </w:r>
      <w:r w:rsidR="00844C75" w:rsidRPr="00661B18">
        <w:rPr>
          <w:rFonts w:asciiTheme="minorHAnsi" w:hAnsiTheme="minorHAnsi" w:cstheme="minorHAnsi"/>
          <w:b/>
        </w:rPr>
        <w:t>MO</w:t>
      </w:r>
      <w:r w:rsidR="004C0D87" w:rsidRPr="00661B18">
        <w:rPr>
          <w:rFonts w:asciiTheme="minorHAnsi" w:hAnsiTheme="minorHAnsi" w:cstheme="minorHAnsi"/>
          <w:b/>
        </w:rPr>
        <w:t xml:space="preserve"> </w:t>
      </w:r>
      <w:r w:rsidR="009A7616" w:rsidRPr="00661B18">
        <w:rPr>
          <w:rFonts w:asciiTheme="minorHAnsi" w:hAnsiTheme="minorHAnsi" w:cstheme="minorHAnsi"/>
          <w:b/>
        </w:rPr>
        <w:t>proto</w:t>
      </w:r>
      <w:r w:rsidR="004C0D87" w:rsidRPr="00661B18">
        <w:rPr>
          <w:rFonts w:asciiTheme="minorHAnsi" w:hAnsiTheme="minorHAnsi" w:cstheme="minorHAnsi"/>
          <w:b/>
        </w:rPr>
        <w:t xml:space="preserve"> </w:t>
      </w:r>
      <w:r w:rsidR="003166B6">
        <w:rPr>
          <w:rFonts w:asciiTheme="minorHAnsi" w:hAnsiTheme="minorHAnsi" w:cstheme="minorHAnsi"/>
          <w:b/>
        </w:rPr>
        <w:t xml:space="preserve">mimo jiné </w:t>
      </w:r>
      <w:r w:rsidR="004C0D87" w:rsidRPr="00661B18">
        <w:rPr>
          <w:rFonts w:asciiTheme="minorHAnsi" w:hAnsiTheme="minorHAnsi" w:cstheme="minorHAnsi"/>
          <w:b/>
        </w:rPr>
        <w:t xml:space="preserve">nemohlo </w:t>
      </w:r>
      <w:r w:rsidR="00FB2B87" w:rsidRPr="00661B18">
        <w:rPr>
          <w:rFonts w:asciiTheme="minorHAnsi" w:hAnsiTheme="minorHAnsi" w:cstheme="minorHAnsi"/>
          <w:b/>
        </w:rPr>
        <w:t>p</w:t>
      </w:r>
      <w:r w:rsidR="0002652E" w:rsidRPr="00661B18">
        <w:rPr>
          <w:rFonts w:asciiTheme="minorHAnsi" w:hAnsiTheme="minorHAnsi" w:cstheme="minorHAnsi"/>
          <w:b/>
        </w:rPr>
        <w:t>ři</w:t>
      </w:r>
      <w:r w:rsidR="00FB2B87" w:rsidRPr="00661B18">
        <w:rPr>
          <w:rFonts w:asciiTheme="minorHAnsi" w:hAnsiTheme="minorHAnsi" w:cstheme="minorHAnsi"/>
          <w:b/>
        </w:rPr>
        <w:t xml:space="preserve"> zadávání veřejných zakázek </w:t>
      </w:r>
      <w:r w:rsidR="009A7616" w:rsidRPr="00661B18">
        <w:rPr>
          <w:rFonts w:asciiTheme="minorHAnsi" w:hAnsiTheme="minorHAnsi" w:cstheme="minorHAnsi"/>
          <w:b/>
        </w:rPr>
        <w:t>podniku</w:t>
      </w:r>
      <w:r w:rsidR="00FB2B87" w:rsidRPr="00661B18">
        <w:rPr>
          <w:rFonts w:asciiTheme="minorHAnsi" w:hAnsiTheme="minorHAnsi" w:cstheme="minorHAnsi"/>
          <w:b/>
        </w:rPr>
        <w:t xml:space="preserve"> </w:t>
      </w:r>
      <w:r w:rsidR="009A7616" w:rsidRPr="00661B18">
        <w:rPr>
          <w:rFonts w:asciiTheme="minorHAnsi" w:hAnsiTheme="minorHAnsi" w:cstheme="minorHAnsi"/>
          <w:b/>
        </w:rPr>
        <w:t>po</w:t>
      </w:r>
      <w:r w:rsidR="004C0D87" w:rsidRPr="00661B18">
        <w:rPr>
          <w:rFonts w:asciiTheme="minorHAnsi" w:hAnsiTheme="minorHAnsi" w:cstheme="minorHAnsi"/>
          <w:b/>
        </w:rPr>
        <w:t xml:space="preserve">užít zvláštní </w:t>
      </w:r>
      <w:r w:rsidR="00FB2B87" w:rsidRPr="00661B18">
        <w:rPr>
          <w:rFonts w:asciiTheme="minorHAnsi" w:hAnsiTheme="minorHAnsi" w:cstheme="minorHAnsi"/>
          <w:b/>
        </w:rPr>
        <w:t>ustanovení o</w:t>
      </w:r>
      <w:r w:rsidR="00772D41">
        <w:rPr>
          <w:rFonts w:asciiTheme="minorHAnsi" w:hAnsiTheme="minorHAnsi" w:cstheme="minorHAnsi"/>
          <w:b/>
        </w:rPr>
        <w:t xml:space="preserve"> </w:t>
      </w:r>
      <w:r w:rsidR="00FB2B87" w:rsidRPr="00661B18">
        <w:rPr>
          <w:rFonts w:asciiTheme="minorHAnsi" w:hAnsiTheme="minorHAnsi" w:cstheme="minorHAnsi"/>
          <w:b/>
        </w:rPr>
        <w:t>vertikální spolupráci</w:t>
      </w:r>
      <w:r w:rsidR="0002652E" w:rsidRPr="00661B18">
        <w:rPr>
          <w:rStyle w:val="Znakapoznpodarou"/>
          <w:rFonts w:asciiTheme="minorHAnsi" w:hAnsiTheme="minorHAnsi" w:cstheme="minorHAnsi"/>
          <w:b/>
        </w:rPr>
        <w:footnoteReference w:id="3"/>
      </w:r>
      <w:r w:rsidR="00FB2B87" w:rsidRPr="00661B18">
        <w:rPr>
          <w:rFonts w:asciiTheme="minorHAnsi" w:hAnsiTheme="minorHAnsi" w:cstheme="minorHAnsi"/>
          <w:b/>
        </w:rPr>
        <w:t>.</w:t>
      </w:r>
      <w:r w:rsidRPr="00661B18">
        <w:rPr>
          <w:rFonts w:asciiTheme="minorHAnsi" w:hAnsiTheme="minorHAnsi" w:cstheme="minorHAnsi"/>
          <w:b/>
        </w:rPr>
        <w:t xml:space="preserve"> </w:t>
      </w:r>
    </w:p>
    <w:p w14:paraId="036653F8" w14:textId="77777777" w:rsidR="007A429D" w:rsidRDefault="009A7616" w:rsidP="007A429D">
      <w:pPr>
        <w:spacing w:before="120" w:after="120"/>
        <w:jc w:val="both"/>
        <w:rPr>
          <w:rFonts w:asciiTheme="minorHAnsi" w:hAnsiTheme="minorHAnsi" w:cstheme="minorHAnsi"/>
          <w:b/>
        </w:rPr>
      </w:pPr>
      <w:r w:rsidRPr="00661B18">
        <w:rPr>
          <w:rFonts w:asciiTheme="minorHAnsi" w:hAnsiTheme="minorHAnsi" w:cstheme="minorHAnsi"/>
          <w:b/>
        </w:rPr>
        <w:t>1.</w:t>
      </w:r>
      <w:r w:rsidR="00572432" w:rsidRPr="00661B18">
        <w:rPr>
          <w:rFonts w:asciiTheme="minorHAnsi" w:hAnsiTheme="minorHAnsi" w:cstheme="minorHAnsi"/>
          <w:b/>
        </w:rPr>
        <w:t>6</w:t>
      </w:r>
      <w:r w:rsidRPr="00661B18">
        <w:rPr>
          <w:rFonts w:asciiTheme="minorHAnsi" w:hAnsiTheme="minorHAnsi" w:cstheme="minorHAnsi"/>
          <w:b/>
        </w:rPr>
        <w:t xml:space="preserve"> </w:t>
      </w:r>
      <w:r w:rsidR="003166B6">
        <w:rPr>
          <w:rFonts w:asciiTheme="minorHAnsi" w:hAnsiTheme="minorHAnsi" w:cstheme="minorHAnsi"/>
          <w:b/>
        </w:rPr>
        <w:t>VOP CZ realizoval pro MO</w:t>
      </w:r>
      <w:r w:rsidR="007A429D" w:rsidRPr="00661B18">
        <w:rPr>
          <w:rFonts w:asciiTheme="minorHAnsi" w:hAnsiTheme="minorHAnsi" w:cstheme="minorHAnsi"/>
          <w:b/>
        </w:rPr>
        <w:t xml:space="preserve"> zakázku na opravy jeřábové techniky za 11,4 mil. Kč </w:t>
      </w:r>
      <w:r w:rsidR="0002652E" w:rsidRPr="00661B18">
        <w:rPr>
          <w:rFonts w:asciiTheme="minorHAnsi" w:hAnsiTheme="minorHAnsi" w:cstheme="minorHAnsi"/>
          <w:b/>
        </w:rPr>
        <w:t xml:space="preserve">se </w:t>
      </w:r>
      <w:r w:rsidR="007A429D" w:rsidRPr="00661B18">
        <w:rPr>
          <w:rFonts w:asciiTheme="minorHAnsi" w:hAnsiTheme="minorHAnsi" w:cstheme="minorHAnsi"/>
          <w:b/>
        </w:rPr>
        <w:t>ztrát</w:t>
      </w:r>
      <w:r w:rsidR="0002652E" w:rsidRPr="00661B18">
        <w:rPr>
          <w:rFonts w:asciiTheme="minorHAnsi" w:hAnsiTheme="minorHAnsi" w:cstheme="minorHAnsi"/>
          <w:b/>
        </w:rPr>
        <w:t xml:space="preserve">ou ve výši </w:t>
      </w:r>
      <w:r w:rsidR="007A429D" w:rsidRPr="00661B18">
        <w:rPr>
          <w:rFonts w:asciiTheme="minorHAnsi" w:hAnsiTheme="minorHAnsi" w:cstheme="minorHAnsi"/>
          <w:b/>
        </w:rPr>
        <w:t>4,6 mil. Kč bez DPH</w:t>
      </w:r>
      <w:bookmarkEnd w:id="4"/>
      <w:r w:rsidR="007A429D" w:rsidRPr="00661B18">
        <w:rPr>
          <w:rFonts w:asciiTheme="minorHAnsi" w:hAnsiTheme="minorHAnsi" w:cstheme="minorHAnsi"/>
          <w:b/>
        </w:rPr>
        <w:t>.</w:t>
      </w:r>
    </w:p>
    <w:bookmarkEnd w:id="3"/>
    <w:p w14:paraId="07AFFDFB" w14:textId="77777777" w:rsidR="007A429D" w:rsidRPr="00722505" w:rsidRDefault="007A429D" w:rsidP="00572432">
      <w:pPr>
        <w:pStyle w:val="Odstavecseseznamem"/>
        <w:numPr>
          <w:ilvl w:val="1"/>
          <w:numId w:val="28"/>
        </w:numPr>
        <w:spacing w:before="120"/>
        <w:jc w:val="both"/>
        <w:rPr>
          <w:rFonts w:asciiTheme="minorHAnsi" w:hAnsiTheme="minorHAnsi" w:cstheme="minorHAnsi"/>
          <w:b/>
        </w:rPr>
      </w:pPr>
      <w:r w:rsidRPr="00722505">
        <w:rPr>
          <w:rFonts w:ascii="Calibri" w:hAnsi="Calibri" w:cs="Calibri"/>
        </w:rPr>
        <w:t>Celkové vyhodnocení vyplývá z následujících skutečností zjištěných kontrolou:</w:t>
      </w:r>
    </w:p>
    <w:p w14:paraId="05AF3218" w14:textId="1D2F57B4" w:rsidR="007A429D" w:rsidRDefault="007A429D" w:rsidP="007A429D">
      <w:pPr>
        <w:pStyle w:val="Odstavecseseznamem"/>
        <w:keepNext/>
        <w:numPr>
          <w:ilvl w:val="0"/>
          <w:numId w:val="2"/>
        </w:numPr>
        <w:tabs>
          <w:tab w:val="left" w:pos="284"/>
        </w:tabs>
        <w:spacing w:before="120"/>
        <w:ind w:left="284" w:hanging="284"/>
        <w:jc w:val="both"/>
        <w:rPr>
          <w:rFonts w:ascii="Calibri" w:hAnsi="Calibri" w:cs="Calibri"/>
        </w:rPr>
      </w:pPr>
      <w:r w:rsidRPr="00B117AA">
        <w:rPr>
          <w:rFonts w:asciiTheme="minorHAnsi" w:hAnsiTheme="minorHAnsi" w:cstheme="minorHAnsi"/>
        </w:rPr>
        <w:t xml:space="preserve">MO </w:t>
      </w:r>
      <w:r>
        <w:rPr>
          <w:rFonts w:asciiTheme="minorHAnsi" w:hAnsiTheme="minorHAnsi" w:cstheme="minorHAnsi"/>
        </w:rPr>
        <w:t>určovalo</w:t>
      </w:r>
      <w:r w:rsidRPr="00B117AA">
        <w:rPr>
          <w:rFonts w:asciiTheme="minorHAnsi" w:hAnsiTheme="minorHAnsi" w:cstheme="minorHAnsi"/>
        </w:rPr>
        <w:t xml:space="preserve"> potřeby v</w:t>
      </w:r>
      <w:r w:rsidR="000A387B">
        <w:rPr>
          <w:rFonts w:asciiTheme="minorHAnsi" w:hAnsiTheme="minorHAnsi" w:cstheme="minorHAnsi"/>
        </w:rPr>
        <w:t xml:space="preserve"> </w:t>
      </w:r>
      <w:r w:rsidRPr="00B117AA">
        <w:rPr>
          <w:rFonts w:asciiTheme="minorHAnsi" w:hAnsiTheme="minorHAnsi" w:cstheme="minorHAnsi"/>
        </w:rPr>
        <w:t xml:space="preserve">oblasti </w:t>
      </w:r>
      <w:r>
        <w:rPr>
          <w:rFonts w:asciiTheme="minorHAnsi" w:hAnsiTheme="minorHAnsi" w:cstheme="minorHAnsi"/>
        </w:rPr>
        <w:t xml:space="preserve">investic do </w:t>
      </w:r>
      <w:r w:rsidRPr="00B117AA">
        <w:rPr>
          <w:rFonts w:asciiTheme="minorHAnsi" w:hAnsiTheme="minorHAnsi" w:cstheme="minorHAnsi"/>
        </w:rPr>
        <w:t>automobilní techniky v</w:t>
      </w:r>
      <w:r w:rsidR="000A387B">
        <w:rPr>
          <w:rFonts w:asciiTheme="minorHAnsi" w:hAnsiTheme="minorHAnsi" w:cstheme="minorHAnsi"/>
        </w:rPr>
        <w:t xml:space="preserve"> </w:t>
      </w:r>
      <w:r w:rsidRPr="00B117AA">
        <w:rPr>
          <w:rFonts w:asciiTheme="minorHAnsi" w:hAnsiTheme="minorHAnsi" w:cstheme="minorHAnsi"/>
        </w:rPr>
        <w:t>plánovacích dokumentech</w:t>
      </w:r>
      <w:r>
        <w:rPr>
          <w:rStyle w:val="Znakapoznpodarou"/>
          <w:rFonts w:asciiTheme="minorHAnsi" w:hAnsiTheme="minorHAnsi" w:cstheme="minorHAnsi"/>
        </w:rPr>
        <w:footnoteReference w:id="4"/>
      </w:r>
      <w:r w:rsidRPr="00B117AA">
        <w:rPr>
          <w:rFonts w:asciiTheme="minorHAnsi" w:hAnsiTheme="minorHAnsi" w:cstheme="minorHAnsi"/>
        </w:rPr>
        <w:t xml:space="preserve"> a v dokumentacích programů</w:t>
      </w:r>
      <w:r>
        <w:rPr>
          <w:rStyle w:val="Znakapoznpodarou"/>
          <w:rFonts w:asciiTheme="minorHAnsi" w:hAnsiTheme="minorHAnsi" w:cstheme="minorHAnsi"/>
        </w:rPr>
        <w:footnoteReference w:id="5"/>
      </w:r>
      <w:r w:rsidRPr="00B117AA">
        <w:rPr>
          <w:rFonts w:asciiTheme="minorHAnsi" w:hAnsiTheme="minorHAnsi" w:cstheme="minorHAnsi"/>
        </w:rPr>
        <w:t xml:space="preserve"> v mnoha případech odlišně. </w:t>
      </w:r>
      <w:r w:rsidR="005F7921">
        <w:rPr>
          <w:rFonts w:asciiTheme="minorHAnsi" w:hAnsiTheme="minorHAnsi" w:cstheme="minorHAnsi"/>
        </w:rPr>
        <w:t xml:space="preserve">Neshodovaly se </w:t>
      </w:r>
      <w:r w:rsidR="005F7921">
        <w:rPr>
          <w:rFonts w:asciiTheme="minorHAnsi" w:hAnsiTheme="minorHAnsi" w:cstheme="minorHAnsi"/>
        </w:rPr>
        <w:lastRenderedPageBreak/>
        <w:t xml:space="preserve">předpokládané </w:t>
      </w:r>
      <w:r w:rsidRPr="00B117AA">
        <w:rPr>
          <w:rFonts w:asciiTheme="minorHAnsi" w:hAnsiTheme="minorHAnsi" w:cstheme="minorHAnsi"/>
        </w:rPr>
        <w:t>výdaj</w:t>
      </w:r>
      <w:r w:rsidR="005F7921">
        <w:rPr>
          <w:rFonts w:asciiTheme="minorHAnsi" w:hAnsiTheme="minorHAnsi" w:cstheme="minorHAnsi"/>
        </w:rPr>
        <w:t>e na</w:t>
      </w:r>
      <w:r>
        <w:rPr>
          <w:rFonts w:asciiTheme="minorHAnsi" w:hAnsiTheme="minorHAnsi" w:cstheme="minorHAnsi"/>
        </w:rPr>
        <w:t xml:space="preserve"> </w:t>
      </w:r>
      <w:r w:rsidRPr="00B117AA">
        <w:rPr>
          <w:rFonts w:asciiTheme="minorHAnsi" w:hAnsiTheme="minorHAnsi" w:cstheme="minorHAnsi"/>
        </w:rPr>
        <w:t>realizac</w:t>
      </w:r>
      <w:r w:rsidR="005F7921">
        <w:rPr>
          <w:rFonts w:asciiTheme="minorHAnsi" w:hAnsiTheme="minorHAnsi" w:cstheme="minorHAnsi"/>
        </w:rPr>
        <w:t>i in</w:t>
      </w:r>
      <w:r>
        <w:rPr>
          <w:rFonts w:asciiTheme="minorHAnsi" w:hAnsiTheme="minorHAnsi" w:cstheme="minorHAnsi"/>
        </w:rPr>
        <w:t xml:space="preserve">vestičních </w:t>
      </w:r>
      <w:r w:rsidRPr="00B117AA">
        <w:rPr>
          <w:rFonts w:asciiTheme="minorHAnsi" w:hAnsiTheme="minorHAnsi" w:cstheme="minorHAnsi"/>
        </w:rPr>
        <w:t>akcí</w:t>
      </w:r>
      <w:r w:rsidR="005F7921">
        <w:rPr>
          <w:rFonts w:asciiTheme="minorHAnsi" w:hAnsiTheme="minorHAnsi" w:cstheme="minorHAnsi"/>
        </w:rPr>
        <w:t xml:space="preserve"> ani termíny realizace. </w:t>
      </w:r>
      <w:r w:rsidR="00A702BC" w:rsidRPr="00A702BC">
        <w:rPr>
          <w:rFonts w:asciiTheme="minorHAnsi" w:hAnsiTheme="minorHAnsi" w:cstheme="minorHAnsi"/>
        </w:rPr>
        <w:t>Plánovací dokumenty a dokumentace programů tak nebyly v případě nákupů automobilní techniky vzájemně konzistentní</w:t>
      </w:r>
      <w:r w:rsidR="00A702BC">
        <w:rPr>
          <w:rFonts w:asciiTheme="minorHAnsi" w:hAnsiTheme="minorHAnsi" w:cstheme="minorHAnsi"/>
        </w:rPr>
        <w:t xml:space="preserve">. </w:t>
      </w:r>
      <w:r w:rsidR="00C828FF">
        <w:rPr>
          <w:rFonts w:asciiTheme="minorHAnsi" w:hAnsiTheme="minorHAnsi" w:cstheme="minorHAnsi"/>
        </w:rPr>
        <w:t xml:space="preserve">Pořízení automobilní techniky se </w:t>
      </w:r>
      <w:r w:rsidR="000E558B">
        <w:rPr>
          <w:rFonts w:asciiTheme="minorHAnsi" w:hAnsiTheme="minorHAnsi" w:cstheme="minorHAnsi"/>
        </w:rPr>
        <w:t xml:space="preserve">zpožďovalo </w:t>
      </w:r>
      <w:r w:rsidR="005F7921">
        <w:rPr>
          <w:rFonts w:asciiTheme="minorHAnsi" w:hAnsiTheme="minorHAnsi" w:cstheme="minorHAnsi"/>
        </w:rPr>
        <w:t>a n</w:t>
      </w:r>
      <w:r>
        <w:rPr>
          <w:rFonts w:asciiTheme="minorHAnsi" w:hAnsiTheme="minorHAnsi" w:cstheme="minorHAnsi"/>
        </w:rPr>
        <w:t>ěkteré</w:t>
      </w:r>
      <w:r w:rsidR="00C828FF">
        <w:rPr>
          <w:rFonts w:asciiTheme="minorHAnsi" w:hAnsiTheme="minorHAnsi" w:cstheme="minorHAnsi"/>
        </w:rPr>
        <w:t xml:space="preserve"> nákupy M</w:t>
      </w:r>
      <w:r w:rsidR="008B68E0">
        <w:rPr>
          <w:rFonts w:asciiTheme="minorHAnsi" w:hAnsiTheme="minorHAnsi" w:cstheme="minorHAnsi"/>
        </w:rPr>
        <w:t xml:space="preserve">inisterstvo obrany </w:t>
      </w:r>
      <w:r>
        <w:rPr>
          <w:rFonts w:asciiTheme="minorHAnsi" w:hAnsiTheme="minorHAnsi" w:cstheme="minorHAnsi"/>
        </w:rPr>
        <w:t>do doby ukončení kontroly vůbec neprovedlo.</w:t>
      </w:r>
      <w:r>
        <w:rPr>
          <w:rFonts w:ascii="Calibri" w:hAnsi="Calibri" w:cs="Calibri"/>
        </w:rPr>
        <w:t xml:space="preserve"> Přesto</w:t>
      </w:r>
      <w:r w:rsidRPr="00B117AA">
        <w:rPr>
          <w:rFonts w:ascii="Calibri" w:hAnsi="Calibri" w:cs="Calibri"/>
        </w:rPr>
        <w:t xml:space="preserve"> </w:t>
      </w:r>
      <w:r>
        <w:rPr>
          <w:rFonts w:ascii="Calibri" w:hAnsi="Calibri" w:cs="Calibri"/>
        </w:rPr>
        <w:t xml:space="preserve">do </w:t>
      </w:r>
      <w:r w:rsidRPr="00A702BC">
        <w:rPr>
          <w:rFonts w:asciiTheme="minorHAnsi" w:hAnsiTheme="minorHAnsi" w:cstheme="minorHAnsi"/>
        </w:rPr>
        <w:t>programu</w:t>
      </w:r>
      <w:r w:rsidR="00A702BC" w:rsidRPr="00A702BC">
        <w:rPr>
          <w:rStyle w:val="Znakapoznpodarou"/>
          <w:rFonts w:ascii="Calibri" w:hAnsi="Calibri" w:cs="Calibri"/>
        </w:rPr>
        <w:footnoteReference w:id="6"/>
      </w:r>
      <w:r w:rsidRPr="00A702BC">
        <w:rPr>
          <w:rFonts w:ascii="Calibri" w:hAnsi="Calibri" w:cs="Calibri"/>
        </w:rPr>
        <w:t xml:space="preserve"> zařadilo</w:t>
      </w:r>
      <w:r w:rsidRPr="00B117AA">
        <w:rPr>
          <w:rFonts w:ascii="Calibri" w:hAnsi="Calibri" w:cs="Calibri"/>
        </w:rPr>
        <w:t xml:space="preserve"> </w:t>
      </w:r>
      <w:r w:rsidR="00A702BC">
        <w:rPr>
          <w:rFonts w:ascii="Calibri" w:hAnsi="Calibri" w:cs="Calibri"/>
        </w:rPr>
        <w:t xml:space="preserve">investiční </w:t>
      </w:r>
      <w:r>
        <w:rPr>
          <w:rFonts w:ascii="Calibri" w:hAnsi="Calibri" w:cs="Calibri"/>
        </w:rPr>
        <w:t>akce</w:t>
      </w:r>
      <w:r w:rsidRPr="00B117AA">
        <w:rPr>
          <w:rFonts w:ascii="Calibri" w:hAnsi="Calibri" w:cs="Calibri"/>
        </w:rPr>
        <w:t xml:space="preserve"> nad rámec původně stanovených potřeb</w:t>
      </w:r>
      <w:r w:rsidR="00457664">
        <w:rPr>
          <w:rFonts w:ascii="Calibri" w:hAnsi="Calibri" w:cs="Calibri"/>
        </w:rPr>
        <w:t>,</w:t>
      </w:r>
      <w:r>
        <w:rPr>
          <w:rFonts w:ascii="Calibri" w:hAnsi="Calibri" w:cs="Calibri"/>
        </w:rPr>
        <w:t xml:space="preserve"> např</w:t>
      </w:r>
      <w:r w:rsidR="00F45C1D">
        <w:rPr>
          <w:rFonts w:ascii="Calibri" w:hAnsi="Calibri" w:cs="Calibri"/>
        </w:rPr>
        <w:t>íklad</w:t>
      </w:r>
      <w:r>
        <w:rPr>
          <w:rFonts w:ascii="Calibri" w:hAnsi="Calibri" w:cs="Calibri"/>
        </w:rPr>
        <w:t xml:space="preserve"> nákup nákladních automobilů, </w:t>
      </w:r>
      <w:r w:rsidR="00457664">
        <w:rPr>
          <w:rFonts w:ascii="Calibri" w:hAnsi="Calibri" w:cs="Calibri"/>
        </w:rPr>
        <w:t>a</w:t>
      </w:r>
      <w:r w:rsidR="00FD2C10">
        <w:rPr>
          <w:rFonts w:ascii="Calibri" w:hAnsi="Calibri" w:cs="Calibri"/>
        </w:rPr>
        <w:t xml:space="preserve"> </w:t>
      </w:r>
      <w:r w:rsidRPr="00B117AA">
        <w:rPr>
          <w:rFonts w:ascii="Calibri" w:hAnsi="Calibri" w:cs="Calibri"/>
        </w:rPr>
        <w:t xml:space="preserve">upřednostnilo </w:t>
      </w:r>
      <w:r w:rsidR="00457664">
        <w:rPr>
          <w:rFonts w:ascii="Calibri" w:hAnsi="Calibri" w:cs="Calibri"/>
        </w:rPr>
        <w:t xml:space="preserve">tím tyto akce </w:t>
      </w:r>
      <w:r w:rsidRPr="00B117AA">
        <w:rPr>
          <w:rFonts w:ascii="Calibri" w:hAnsi="Calibri" w:cs="Calibri"/>
        </w:rPr>
        <w:t xml:space="preserve">před </w:t>
      </w:r>
      <w:r>
        <w:rPr>
          <w:rFonts w:ascii="Calibri" w:hAnsi="Calibri" w:cs="Calibri"/>
        </w:rPr>
        <w:t xml:space="preserve">akcemi na </w:t>
      </w:r>
      <w:r w:rsidRPr="00B117AA">
        <w:rPr>
          <w:rFonts w:ascii="Calibri" w:hAnsi="Calibri" w:cs="Calibri"/>
        </w:rPr>
        <w:t xml:space="preserve">obměnu zastaralé </w:t>
      </w:r>
      <w:r>
        <w:rPr>
          <w:rFonts w:ascii="Calibri" w:hAnsi="Calibri" w:cs="Calibri"/>
        </w:rPr>
        <w:t xml:space="preserve">jeřábové </w:t>
      </w:r>
      <w:r w:rsidRPr="00B117AA">
        <w:rPr>
          <w:rFonts w:ascii="Calibri" w:hAnsi="Calibri" w:cs="Calibri"/>
        </w:rPr>
        <w:t>techniky s překročenou životností</w:t>
      </w:r>
      <w:r>
        <w:rPr>
          <w:rFonts w:ascii="Calibri" w:hAnsi="Calibri" w:cs="Calibri"/>
        </w:rPr>
        <w:t>.</w:t>
      </w:r>
    </w:p>
    <w:p w14:paraId="2D218721" w14:textId="5A8F3022" w:rsidR="007A429D" w:rsidRPr="0088636A" w:rsidRDefault="00407D2F" w:rsidP="007A429D">
      <w:pPr>
        <w:pStyle w:val="Odstavecseseznamem"/>
        <w:keepNext/>
        <w:numPr>
          <w:ilvl w:val="0"/>
          <w:numId w:val="2"/>
        </w:numPr>
        <w:tabs>
          <w:tab w:val="left" w:pos="284"/>
        </w:tabs>
        <w:spacing w:before="120"/>
        <w:ind w:left="284" w:hanging="284"/>
        <w:jc w:val="both"/>
        <w:rPr>
          <w:rFonts w:ascii="Calibri" w:hAnsi="Calibri" w:cs="Calibri"/>
        </w:rPr>
      </w:pPr>
      <w:r>
        <w:rPr>
          <w:rFonts w:ascii="Calibri" w:hAnsi="Calibri" w:cs="Calibri"/>
        </w:rPr>
        <w:t>V</w:t>
      </w:r>
      <w:r w:rsidR="00FD2C10">
        <w:rPr>
          <w:rFonts w:ascii="Calibri" w:hAnsi="Calibri" w:cs="Calibri"/>
        </w:rPr>
        <w:t xml:space="preserve"> </w:t>
      </w:r>
      <w:r w:rsidR="007A429D" w:rsidRPr="00722505">
        <w:rPr>
          <w:rFonts w:ascii="Calibri" w:hAnsi="Calibri" w:cs="Calibri"/>
        </w:rPr>
        <w:t xml:space="preserve">případě obměny osobních terénních automobilů nadhodnotilo </w:t>
      </w:r>
      <w:r w:rsidR="00511021">
        <w:rPr>
          <w:rFonts w:ascii="Calibri" w:hAnsi="Calibri" w:cs="Calibri"/>
        </w:rPr>
        <w:t xml:space="preserve">MO </w:t>
      </w:r>
      <w:r w:rsidR="009F4D19">
        <w:rPr>
          <w:rFonts w:ascii="Calibri" w:hAnsi="Calibri" w:cs="Calibri"/>
        </w:rPr>
        <w:t>v</w:t>
      </w:r>
      <w:r w:rsidR="00FD2C10">
        <w:rPr>
          <w:rFonts w:ascii="Calibri" w:hAnsi="Calibri" w:cs="Calibri"/>
        </w:rPr>
        <w:t xml:space="preserve"> </w:t>
      </w:r>
      <w:r w:rsidR="009F4D19">
        <w:rPr>
          <w:rFonts w:ascii="Calibri" w:hAnsi="Calibri" w:cs="Calibri"/>
        </w:rPr>
        <w:t xml:space="preserve">dokumentaci </w:t>
      </w:r>
      <w:r w:rsidR="009F4D19" w:rsidRPr="0088636A">
        <w:rPr>
          <w:rFonts w:ascii="Calibri" w:hAnsi="Calibri" w:cs="Calibri"/>
        </w:rPr>
        <w:t>programu</w:t>
      </w:r>
      <w:r w:rsidR="00130E4C" w:rsidRPr="0088636A">
        <w:rPr>
          <w:rFonts w:ascii="Calibri" w:hAnsi="Calibri" w:cs="Calibri"/>
          <w:vertAlign w:val="superscript"/>
        </w:rPr>
        <w:t>5</w:t>
      </w:r>
      <w:r w:rsidR="009F4D19" w:rsidRPr="0088636A">
        <w:rPr>
          <w:rFonts w:ascii="Calibri" w:hAnsi="Calibri" w:cs="Calibri"/>
        </w:rPr>
        <w:t xml:space="preserve"> </w:t>
      </w:r>
      <w:r w:rsidR="007A429D" w:rsidRPr="0088636A">
        <w:rPr>
          <w:rFonts w:ascii="Calibri" w:hAnsi="Calibri" w:cs="Calibri"/>
        </w:rPr>
        <w:t>celkový počet 2 228 vozidel</w:t>
      </w:r>
      <w:r w:rsidR="00DE4B09" w:rsidRPr="0088636A">
        <w:rPr>
          <w:rFonts w:ascii="Calibri" w:hAnsi="Calibri" w:cs="Calibri"/>
        </w:rPr>
        <w:t>, kter</w:t>
      </w:r>
      <w:r w:rsidR="00511021">
        <w:rPr>
          <w:rFonts w:ascii="Calibri" w:hAnsi="Calibri" w:cs="Calibri"/>
        </w:rPr>
        <w:t>á</w:t>
      </w:r>
      <w:r w:rsidR="00DE4B09" w:rsidRPr="0088636A">
        <w:rPr>
          <w:rFonts w:ascii="Calibri" w:hAnsi="Calibri" w:cs="Calibri"/>
        </w:rPr>
        <w:t xml:space="preserve"> plánuje </w:t>
      </w:r>
      <w:r w:rsidR="007A429D" w:rsidRPr="0088636A">
        <w:rPr>
          <w:rFonts w:ascii="Calibri" w:hAnsi="Calibri" w:cs="Calibri"/>
        </w:rPr>
        <w:t>poř</w:t>
      </w:r>
      <w:r w:rsidR="00DE4B09" w:rsidRPr="0088636A">
        <w:rPr>
          <w:rFonts w:ascii="Calibri" w:hAnsi="Calibri" w:cs="Calibri"/>
        </w:rPr>
        <w:t>ídit d</w:t>
      </w:r>
      <w:r w:rsidR="007A429D" w:rsidRPr="0088636A">
        <w:rPr>
          <w:rFonts w:ascii="Calibri" w:hAnsi="Calibri" w:cs="Calibri"/>
        </w:rPr>
        <w:t xml:space="preserve">o roku 2027. </w:t>
      </w:r>
      <w:r w:rsidRPr="0088636A">
        <w:rPr>
          <w:rFonts w:ascii="Calibri" w:hAnsi="Calibri" w:cs="Calibri"/>
        </w:rPr>
        <w:t>P</w:t>
      </w:r>
      <w:r w:rsidR="009650A8" w:rsidRPr="0088636A">
        <w:rPr>
          <w:rFonts w:ascii="Calibri" w:hAnsi="Calibri" w:cs="Calibri"/>
        </w:rPr>
        <w:t>oté</w:t>
      </w:r>
      <w:r w:rsidR="00DE4B09" w:rsidRPr="0088636A">
        <w:rPr>
          <w:rFonts w:ascii="Calibri" w:hAnsi="Calibri" w:cs="Calibri"/>
        </w:rPr>
        <w:t xml:space="preserve"> uzavřelo </w:t>
      </w:r>
      <w:r w:rsidR="00D17C85" w:rsidRPr="0088636A">
        <w:rPr>
          <w:rFonts w:ascii="Calibri" w:hAnsi="Calibri" w:cs="Calibri"/>
        </w:rPr>
        <w:t>rámcov</w:t>
      </w:r>
      <w:r w:rsidR="00DE4B09" w:rsidRPr="0088636A">
        <w:rPr>
          <w:rFonts w:ascii="Calibri" w:hAnsi="Calibri" w:cs="Calibri"/>
        </w:rPr>
        <w:t>ou</w:t>
      </w:r>
      <w:r w:rsidR="00D17C85" w:rsidRPr="0088636A">
        <w:rPr>
          <w:rFonts w:ascii="Calibri" w:hAnsi="Calibri" w:cs="Calibri"/>
        </w:rPr>
        <w:t xml:space="preserve"> dohod</w:t>
      </w:r>
      <w:r w:rsidR="00DE4B09" w:rsidRPr="0088636A">
        <w:rPr>
          <w:rFonts w:ascii="Calibri" w:hAnsi="Calibri" w:cs="Calibri"/>
        </w:rPr>
        <w:t xml:space="preserve">u, jejíž podmínky </w:t>
      </w:r>
      <w:r w:rsidR="00D17C85" w:rsidRPr="0088636A">
        <w:rPr>
          <w:rFonts w:ascii="Calibri" w:hAnsi="Calibri" w:cs="Calibri"/>
        </w:rPr>
        <w:t xml:space="preserve">umožňují </w:t>
      </w:r>
      <w:r w:rsidR="00DE4B09" w:rsidRPr="0088636A">
        <w:rPr>
          <w:rFonts w:ascii="Calibri" w:hAnsi="Calibri" w:cs="Calibri"/>
        </w:rPr>
        <w:t xml:space="preserve">pořídit 2 228 vozidel dokonce již </w:t>
      </w:r>
      <w:r w:rsidR="00D17C85" w:rsidRPr="0088636A">
        <w:rPr>
          <w:rFonts w:ascii="Calibri" w:hAnsi="Calibri" w:cs="Calibri"/>
        </w:rPr>
        <w:t xml:space="preserve">do roku 2024. </w:t>
      </w:r>
      <w:r w:rsidR="00017B5D" w:rsidRPr="0088636A">
        <w:rPr>
          <w:rFonts w:ascii="Calibri" w:hAnsi="Calibri" w:cs="Calibri"/>
        </w:rPr>
        <w:t>Přitom v letech 2020–2022 měla Armád</w:t>
      </w:r>
      <w:r w:rsidR="00164834" w:rsidRPr="0088636A">
        <w:rPr>
          <w:rFonts w:ascii="Calibri" w:hAnsi="Calibri" w:cs="Calibri"/>
        </w:rPr>
        <w:t>a</w:t>
      </w:r>
      <w:r w:rsidR="00017B5D" w:rsidRPr="0088636A">
        <w:rPr>
          <w:rFonts w:ascii="Calibri" w:hAnsi="Calibri" w:cs="Calibri"/>
        </w:rPr>
        <w:t xml:space="preserve"> stanoven </w:t>
      </w:r>
      <w:r w:rsidR="007A429D" w:rsidRPr="0088636A">
        <w:rPr>
          <w:rFonts w:ascii="Calibri" w:hAnsi="Calibri" w:cs="Calibri"/>
        </w:rPr>
        <w:t>tabulkový počet</w:t>
      </w:r>
      <w:r w:rsidR="00017B5D" w:rsidRPr="0088636A">
        <w:rPr>
          <w:rStyle w:val="Znakapoznpodarou"/>
          <w:rFonts w:ascii="Calibri" w:eastAsia="Calibri" w:hAnsi="Calibri" w:cs="Calibri"/>
          <w:lang w:eastAsia="en-US"/>
        </w:rPr>
        <w:footnoteReference w:id="7"/>
      </w:r>
      <w:r w:rsidR="007A429D" w:rsidRPr="0088636A">
        <w:rPr>
          <w:rFonts w:ascii="Calibri" w:hAnsi="Calibri" w:cs="Calibri"/>
        </w:rPr>
        <w:t xml:space="preserve"> ve výši 1 344 vozidel</w:t>
      </w:r>
      <w:r w:rsidR="00017B5D" w:rsidRPr="0088636A">
        <w:rPr>
          <w:rFonts w:ascii="Calibri" w:hAnsi="Calibri" w:cs="Calibri"/>
        </w:rPr>
        <w:t xml:space="preserve">. Nárůst </w:t>
      </w:r>
      <w:r w:rsidRPr="0088636A">
        <w:rPr>
          <w:rFonts w:ascii="Calibri" w:hAnsi="Calibri" w:cs="Calibri"/>
        </w:rPr>
        <w:t>z 1 344 na 2</w:t>
      </w:r>
      <w:r w:rsidR="00C040EC" w:rsidRPr="0088636A">
        <w:rPr>
          <w:rFonts w:ascii="Calibri" w:hAnsi="Calibri" w:cs="Calibri"/>
        </w:rPr>
        <w:t> </w:t>
      </w:r>
      <w:r w:rsidRPr="0088636A">
        <w:rPr>
          <w:rFonts w:ascii="Calibri" w:hAnsi="Calibri" w:cs="Calibri"/>
        </w:rPr>
        <w:t>228</w:t>
      </w:r>
      <w:r w:rsidR="00C040EC" w:rsidRPr="0088636A">
        <w:rPr>
          <w:rFonts w:ascii="Calibri" w:hAnsi="Calibri" w:cs="Calibri"/>
        </w:rPr>
        <w:t xml:space="preserve"> vozidel</w:t>
      </w:r>
      <w:r w:rsidR="00017B5D" w:rsidRPr="0088636A">
        <w:rPr>
          <w:rFonts w:ascii="Calibri" w:hAnsi="Calibri" w:cs="Calibri"/>
        </w:rPr>
        <w:t xml:space="preserve"> </w:t>
      </w:r>
      <w:r w:rsidR="007A429D" w:rsidRPr="0088636A">
        <w:rPr>
          <w:rFonts w:ascii="Calibri" w:hAnsi="Calibri" w:cs="Calibri"/>
        </w:rPr>
        <w:t>činí 65,8 %</w:t>
      </w:r>
      <w:r w:rsidR="00017B5D" w:rsidRPr="0088636A">
        <w:rPr>
          <w:rFonts w:ascii="Calibri" w:hAnsi="Calibri" w:cs="Calibri"/>
        </w:rPr>
        <w:t>, což značně převyšuje</w:t>
      </w:r>
      <w:r w:rsidR="007A429D" w:rsidRPr="0088636A">
        <w:rPr>
          <w:rFonts w:ascii="Calibri" w:hAnsi="Calibri" w:cs="Calibri"/>
        </w:rPr>
        <w:t xml:space="preserve"> </w:t>
      </w:r>
      <w:r w:rsidR="000C0472" w:rsidRPr="0088636A">
        <w:rPr>
          <w:rFonts w:ascii="Calibri" w:hAnsi="Calibri" w:cs="Calibri"/>
        </w:rPr>
        <w:t xml:space="preserve">plánovaný </w:t>
      </w:r>
      <w:r w:rsidR="007A429D" w:rsidRPr="0088636A">
        <w:rPr>
          <w:rFonts w:ascii="Calibri" w:hAnsi="Calibri" w:cs="Calibri"/>
        </w:rPr>
        <w:t xml:space="preserve">nárůst počtů personálu </w:t>
      </w:r>
      <w:r w:rsidR="00C040EC" w:rsidRPr="0088636A">
        <w:rPr>
          <w:rFonts w:ascii="Calibri" w:hAnsi="Calibri" w:cs="Calibri"/>
        </w:rPr>
        <w:t xml:space="preserve">stanovený v </w:t>
      </w:r>
      <w:r w:rsidR="007A429D" w:rsidRPr="0088636A">
        <w:rPr>
          <w:rFonts w:ascii="Calibri" w:hAnsi="Calibri" w:cs="Calibri"/>
          <w:i/>
        </w:rPr>
        <w:t>Koncepc</w:t>
      </w:r>
      <w:r w:rsidR="00C040EC" w:rsidRPr="0088636A">
        <w:rPr>
          <w:rFonts w:ascii="Calibri" w:hAnsi="Calibri" w:cs="Calibri"/>
          <w:i/>
        </w:rPr>
        <w:t>i</w:t>
      </w:r>
      <w:r w:rsidR="007A429D" w:rsidRPr="0088636A">
        <w:rPr>
          <w:rFonts w:ascii="Calibri" w:hAnsi="Calibri" w:cs="Calibri"/>
          <w:i/>
        </w:rPr>
        <w:t xml:space="preserve"> výstavby Armády do roku 2030</w:t>
      </w:r>
      <w:r w:rsidR="007A429D" w:rsidRPr="0088636A">
        <w:rPr>
          <w:rFonts w:ascii="Calibri" w:hAnsi="Calibri" w:cs="Calibri"/>
        </w:rPr>
        <w:t xml:space="preserve"> ve výši 45,8 %</w:t>
      </w:r>
      <w:r w:rsidR="007A429D" w:rsidRPr="0088636A">
        <w:rPr>
          <w:rStyle w:val="Znakapoznpodarou"/>
          <w:rFonts w:ascii="Calibri" w:hAnsi="Calibri" w:cs="Calibri"/>
        </w:rPr>
        <w:footnoteReference w:id="8"/>
      </w:r>
      <w:r w:rsidR="007A429D" w:rsidRPr="0088636A">
        <w:rPr>
          <w:rFonts w:ascii="Calibri" w:hAnsi="Calibri" w:cs="Calibri"/>
        </w:rPr>
        <w:t>. NKÚ proto vyhodnotil riziko nehospodárn</w:t>
      </w:r>
      <w:r w:rsidR="00164834" w:rsidRPr="0088636A">
        <w:rPr>
          <w:rFonts w:ascii="Calibri" w:hAnsi="Calibri" w:cs="Calibri"/>
        </w:rPr>
        <w:t>ě</w:t>
      </w:r>
      <w:r w:rsidR="007A429D" w:rsidRPr="0088636A">
        <w:rPr>
          <w:rFonts w:ascii="Calibri" w:hAnsi="Calibri" w:cs="Calibri"/>
        </w:rPr>
        <w:t xml:space="preserve"> a</w:t>
      </w:r>
      <w:r w:rsidR="00511021">
        <w:rPr>
          <w:rFonts w:ascii="Calibri" w:hAnsi="Calibri" w:cs="Calibri"/>
        </w:rPr>
        <w:t xml:space="preserve"> </w:t>
      </w:r>
      <w:r w:rsidR="007A429D" w:rsidRPr="0088636A">
        <w:rPr>
          <w:rFonts w:ascii="Calibri" w:hAnsi="Calibri" w:cs="Calibri"/>
        </w:rPr>
        <w:t>neúčeln</w:t>
      </w:r>
      <w:r w:rsidR="00164834" w:rsidRPr="0088636A">
        <w:rPr>
          <w:rFonts w:ascii="Calibri" w:hAnsi="Calibri" w:cs="Calibri"/>
        </w:rPr>
        <w:t>ě</w:t>
      </w:r>
      <w:r w:rsidR="007A429D" w:rsidRPr="0088636A">
        <w:rPr>
          <w:rFonts w:ascii="Calibri" w:hAnsi="Calibri" w:cs="Calibri"/>
        </w:rPr>
        <w:t xml:space="preserve"> </w:t>
      </w:r>
      <w:r w:rsidR="00164834" w:rsidRPr="0088636A">
        <w:rPr>
          <w:rFonts w:ascii="Calibri" w:hAnsi="Calibri" w:cs="Calibri"/>
        </w:rPr>
        <w:t xml:space="preserve">vynaložených </w:t>
      </w:r>
      <w:r w:rsidR="007A429D" w:rsidRPr="0088636A">
        <w:rPr>
          <w:rFonts w:ascii="Calibri" w:hAnsi="Calibri" w:cs="Calibri"/>
        </w:rPr>
        <w:t xml:space="preserve">peněžních prostředků </w:t>
      </w:r>
      <w:r w:rsidR="000F1789" w:rsidRPr="0088636A">
        <w:rPr>
          <w:rFonts w:ascii="Calibri" w:hAnsi="Calibri" w:cs="Calibri"/>
        </w:rPr>
        <w:t>státního rozpočtu</w:t>
      </w:r>
      <w:r w:rsidR="007A429D" w:rsidRPr="0088636A">
        <w:rPr>
          <w:rFonts w:ascii="Calibri" w:hAnsi="Calibri" w:cs="Calibri"/>
        </w:rPr>
        <w:t xml:space="preserve"> v případě, že MO </w:t>
      </w:r>
      <w:r w:rsidR="00011343" w:rsidRPr="0088636A">
        <w:rPr>
          <w:rFonts w:ascii="Calibri" w:hAnsi="Calibri" w:cs="Calibri"/>
        </w:rPr>
        <w:t>vozidla</w:t>
      </w:r>
      <w:r w:rsidR="007A429D" w:rsidRPr="0088636A">
        <w:rPr>
          <w:rFonts w:ascii="Calibri" w:hAnsi="Calibri" w:cs="Calibri"/>
        </w:rPr>
        <w:t xml:space="preserve"> v tomto počtu skutečně pořídí.</w:t>
      </w:r>
    </w:p>
    <w:p w14:paraId="7A49D09B" w14:textId="6622DB10" w:rsidR="007A429D" w:rsidRPr="00A15E43" w:rsidRDefault="007A429D" w:rsidP="005A5F62">
      <w:pPr>
        <w:pStyle w:val="Odstavecseseznamem"/>
        <w:keepNext/>
        <w:numPr>
          <w:ilvl w:val="0"/>
          <w:numId w:val="2"/>
        </w:numPr>
        <w:tabs>
          <w:tab w:val="left" w:pos="284"/>
        </w:tabs>
        <w:spacing w:before="120"/>
        <w:ind w:left="284" w:hanging="284"/>
        <w:jc w:val="both"/>
        <w:rPr>
          <w:rFonts w:ascii="Calibri" w:hAnsi="Calibri" w:cs="Calibri"/>
        </w:rPr>
      </w:pPr>
      <w:r w:rsidRPr="0088636A">
        <w:rPr>
          <w:rFonts w:ascii="Calibri" w:hAnsi="Calibri" w:cs="Calibri"/>
        </w:rPr>
        <w:t>Ukazatele efektivnosti, které MO stanovilo v dokumentaci programu</w:t>
      </w:r>
      <w:r w:rsidR="00130E4C" w:rsidRPr="0088636A">
        <w:rPr>
          <w:rFonts w:ascii="Calibri" w:hAnsi="Calibri" w:cs="Calibri"/>
          <w:vertAlign w:val="superscript"/>
        </w:rPr>
        <w:t>5</w:t>
      </w:r>
      <w:r w:rsidRPr="00A15E43">
        <w:rPr>
          <w:rFonts w:ascii="Calibri" w:hAnsi="Calibri" w:cs="Calibri"/>
        </w:rPr>
        <w:t>, resp. podprogramu</w:t>
      </w:r>
      <w:r>
        <w:rPr>
          <w:rStyle w:val="Znakapoznpodarou"/>
          <w:rFonts w:ascii="Calibri" w:hAnsi="Calibri" w:cs="Calibri"/>
        </w:rPr>
        <w:footnoteReference w:id="9"/>
      </w:r>
      <w:r w:rsidR="00211EA0">
        <w:rPr>
          <w:rFonts w:ascii="Calibri" w:hAnsi="Calibri" w:cs="Calibri"/>
        </w:rPr>
        <w:t>,</w:t>
      </w:r>
      <w:r w:rsidRPr="00A15E43">
        <w:rPr>
          <w:rFonts w:ascii="Calibri" w:hAnsi="Calibri" w:cs="Calibri"/>
        </w:rPr>
        <w:t xml:space="preserve"> mají nízkou vypovídací schopnost pro vyhodnocení</w:t>
      </w:r>
      <w:r w:rsidR="00211EA0">
        <w:rPr>
          <w:rFonts w:ascii="Calibri" w:hAnsi="Calibri" w:cs="Calibri"/>
        </w:rPr>
        <w:t xml:space="preserve"> programu/podprogramu</w:t>
      </w:r>
      <w:r w:rsidRPr="00A15E43">
        <w:rPr>
          <w:rFonts w:ascii="Calibri" w:hAnsi="Calibri" w:cs="Calibri"/>
        </w:rPr>
        <w:t>. Chybí vazba mezi těmito ukazateli a</w:t>
      </w:r>
      <w:r w:rsidR="00211EA0">
        <w:rPr>
          <w:rFonts w:ascii="Calibri" w:hAnsi="Calibri" w:cs="Calibri"/>
        </w:rPr>
        <w:t xml:space="preserve"> </w:t>
      </w:r>
      <w:r w:rsidRPr="00A15E43">
        <w:rPr>
          <w:rFonts w:ascii="Calibri" w:hAnsi="Calibri" w:cs="Calibri"/>
        </w:rPr>
        <w:t>počty pořizované techniky</w:t>
      </w:r>
      <w:r w:rsidRPr="00317C17">
        <w:rPr>
          <w:rFonts w:ascii="Calibri" w:hAnsi="Calibri" w:cs="Calibri"/>
        </w:rPr>
        <w:t>. V</w:t>
      </w:r>
      <w:r w:rsidR="00A15E43" w:rsidRPr="00317C17">
        <w:rPr>
          <w:rFonts w:ascii="Calibri" w:hAnsi="Calibri" w:cs="Calibri"/>
        </w:rPr>
        <w:t>e schváleném</w:t>
      </w:r>
      <w:r w:rsidR="00511021">
        <w:rPr>
          <w:rFonts w:ascii="Calibri" w:hAnsi="Calibri" w:cs="Calibri"/>
        </w:rPr>
        <w:t xml:space="preserve"> </w:t>
      </w:r>
      <w:r w:rsidRPr="00317C17">
        <w:rPr>
          <w:rFonts w:ascii="Calibri" w:hAnsi="Calibri" w:cs="Calibri"/>
        </w:rPr>
        <w:t xml:space="preserve">doplňku č. 1 dokumentace programu </w:t>
      </w:r>
      <w:r w:rsidR="00A15E43" w:rsidRPr="00317C17">
        <w:rPr>
          <w:rFonts w:ascii="Calibri" w:hAnsi="Calibri" w:cs="Calibri"/>
        </w:rPr>
        <w:t xml:space="preserve">navýšilo </w:t>
      </w:r>
      <w:r w:rsidR="00211EA0" w:rsidRPr="00317C17">
        <w:rPr>
          <w:rFonts w:ascii="Calibri" w:hAnsi="Calibri" w:cs="Calibri"/>
        </w:rPr>
        <w:t xml:space="preserve">MO </w:t>
      </w:r>
      <w:r w:rsidR="00A15E43" w:rsidRPr="00317C17">
        <w:rPr>
          <w:rFonts w:ascii="Calibri" w:hAnsi="Calibri" w:cs="Calibri"/>
        </w:rPr>
        <w:t>objem peněžních prostředků státního rozpočtu na podprogram z 3,7 mld. Kč na 20,9 mld. Kč, tj.</w:t>
      </w:r>
      <w:r w:rsidR="00211EA0">
        <w:rPr>
          <w:rFonts w:ascii="Calibri" w:hAnsi="Calibri" w:cs="Calibri"/>
        </w:rPr>
        <w:t xml:space="preserve"> </w:t>
      </w:r>
      <w:r w:rsidR="00A15E43" w:rsidRPr="00317C17">
        <w:rPr>
          <w:rFonts w:ascii="Calibri" w:hAnsi="Calibri" w:cs="Calibri"/>
        </w:rPr>
        <w:t>o</w:t>
      </w:r>
      <w:r w:rsidR="00211EA0">
        <w:rPr>
          <w:rFonts w:ascii="Calibri" w:hAnsi="Calibri" w:cs="Calibri"/>
        </w:rPr>
        <w:t xml:space="preserve"> </w:t>
      </w:r>
      <w:r w:rsidR="00A15E43" w:rsidRPr="00317C17">
        <w:rPr>
          <w:rFonts w:ascii="Calibri" w:hAnsi="Calibri" w:cs="Calibri"/>
        </w:rPr>
        <w:t>466</w:t>
      </w:r>
      <w:r w:rsidR="00211EA0">
        <w:rPr>
          <w:rFonts w:ascii="Calibri" w:hAnsi="Calibri" w:cs="Calibri"/>
        </w:rPr>
        <w:t> </w:t>
      </w:r>
      <w:r w:rsidR="00A15E43" w:rsidRPr="00317C17">
        <w:rPr>
          <w:rFonts w:ascii="Calibri" w:hAnsi="Calibri" w:cs="Calibri"/>
        </w:rPr>
        <w:t xml:space="preserve">%. Zároveň zvýšilo i počty pořizované techniky, </w:t>
      </w:r>
      <w:r w:rsidR="00C040EC">
        <w:rPr>
          <w:rFonts w:ascii="Calibri" w:hAnsi="Calibri" w:cs="Calibri"/>
        </w:rPr>
        <w:t xml:space="preserve">avšak ve většině případů neupravilo cílové </w:t>
      </w:r>
      <w:r w:rsidR="00A15E43" w:rsidRPr="00317C17">
        <w:rPr>
          <w:rFonts w:ascii="Calibri" w:hAnsi="Calibri" w:cs="Calibri"/>
        </w:rPr>
        <w:t>hodnot</w:t>
      </w:r>
      <w:r w:rsidR="00C040EC">
        <w:rPr>
          <w:rFonts w:ascii="Calibri" w:hAnsi="Calibri" w:cs="Calibri"/>
        </w:rPr>
        <w:t>y</w:t>
      </w:r>
      <w:r w:rsidR="00A15E43" w:rsidRPr="00317C17">
        <w:rPr>
          <w:rFonts w:ascii="Calibri" w:hAnsi="Calibri" w:cs="Calibri"/>
        </w:rPr>
        <w:t xml:space="preserve"> ukazatelů efektivnosti </w:t>
      </w:r>
      <w:r w:rsidR="00317C17" w:rsidRPr="00317C17">
        <w:rPr>
          <w:rFonts w:ascii="Calibri" w:hAnsi="Calibri" w:cs="Calibri"/>
        </w:rPr>
        <w:t>podprogramu</w:t>
      </w:r>
      <w:r w:rsidR="00A15E43" w:rsidRPr="00317C17">
        <w:rPr>
          <w:rFonts w:ascii="Calibri" w:hAnsi="Calibri" w:cs="Calibri"/>
        </w:rPr>
        <w:t xml:space="preserve">. </w:t>
      </w:r>
      <w:r w:rsidRPr="00A15E43">
        <w:rPr>
          <w:rFonts w:ascii="Calibri" w:hAnsi="Calibri" w:cs="Calibri"/>
        </w:rPr>
        <w:t>Dosažení stanovených</w:t>
      </w:r>
      <w:r w:rsidR="00C040EC">
        <w:rPr>
          <w:rFonts w:ascii="Calibri" w:hAnsi="Calibri" w:cs="Calibri"/>
        </w:rPr>
        <w:t xml:space="preserve"> hodnot</w:t>
      </w:r>
      <w:r w:rsidRPr="00A15E43">
        <w:rPr>
          <w:rFonts w:ascii="Calibri" w:hAnsi="Calibri" w:cs="Calibri"/>
        </w:rPr>
        <w:t xml:space="preserve"> ukazatelů po ukončení podprogramu</w:t>
      </w:r>
      <w:r w:rsidR="00317C17">
        <w:rPr>
          <w:rFonts w:ascii="Calibri" w:hAnsi="Calibri" w:cs="Calibri"/>
        </w:rPr>
        <w:t>, resp. programu</w:t>
      </w:r>
      <w:r w:rsidRPr="00A15E43">
        <w:rPr>
          <w:rFonts w:ascii="Calibri" w:hAnsi="Calibri" w:cs="Calibri"/>
        </w:rPr>
        <w:t xml:space="preserve"> </w:t>
      </w:r>
      <w:r w:rsidR="00317C17">
        <w:rPr>
          <w:rFonts w:ascii="Calibri" w:hAnsi="Calibri" w:cs="Calibri"/>
        </w:rPr>
        <w:t xml:space="preserve">tak </w:t>
      </w:r>
      <w:r w:rsidRPr="00A15E43">
        <w:rPr>
          <w:rFonts w:ascii="Calibri" w:hAnsi="Calibri" w:cs="Calibri"/>
        </w:rPr>
        <w:t xml:space="preserve">nebude vypovídat o efektivnosti vynaložených peněžních prostředků. </w:t>
      </w:r>
    </w:p>
    <w:p w14:paraId="7CD4BF6B" w14:textId="2B1F79BB" w:rsidR="00317C17" w:rsidRPr="00E545C4" w:rsidRDefault="00317C17" w:rsidP="00317C17">
      <w:pPr>
        <w:pStyle w:val="Odstavecseseznamem"/>
        <w:keepNext/>
        <w:numPr>
          <w:ilvl w:val="0"/>
          <w:numId w:val="2"/>
        </w:numPr>
        <w:tabs>
          <w:tab w:val="left" w:pos="284"/>
        </w:tabs>
        <w:spacing w:before="120"/>
        <w:ind w:left="284" w:hanging="284"/>
        <w:jc w:val="both"/>
        <w:rPr>
          <w:rFonts w:ascii="Calibri" w:hAnsi="Calibri" w:cs="Calibri"/>
          <w:strike/>
        </w:rPr>
      </w:pPr>
      <w:r w:rsidRPr="0030654D">
        <w:rPr>
          <w:rFonts w:ascii="Calibri" w:hAnsi="Calibri" w:cs="Calibri"/>
        </w:rPr>
        <w:t>M</w:t>
      </w:r>
      <w:r w:rsidR="00240E1B">
        <w:rPr>
          <w:rFonts w:ascii="Calibri" w:hAnsi="Calibri" w:cs="Calibri"/>
        </w:rPr>
        <w:t>inisterstvo obrany</w:t>
      </w:r>
      <w:r w:rsidRPr="0030654D">
        <w:rPr>
          <w:rFonts w:ascii="Calibri" w:hAnsi="Calibri" w:cs="Calibri"/>
        </w:rPr>
        <w:t xml:space="preserve"> vynaložilo neefektivně</w:t>
      </w:r>
      <w:r w:rsidRPr="0030654D">
        <w:rPr>
          <w:rStyle w:val="Znakapoznpodarou"/>
          <w:rFonts w:ascii="Calibri" w:hAnsi="Calibri" w:cs="Calibri"/>
        </w:rPr>
        <w:footnoteReference w:id="10"/>
      </w:r>
      <w:r w:rsidR="007C0CAB">
        <w:rPr>
          <w:rFonts w:ascii="Calibri" w:hAnsi="Calibri" w:cs="Calibri"/>
        </w:rPr>
        <w:t xml:space="preserve"> </w:t>
      </w:r>
      <w:r w:rsidRPr="0030654D">
        <w:rPr>
          <w:rFonts w:ascii="Calibri" w:hAnsi="Calibri" w:cs="Calibri"/>
        </w:rPr>
        <w:t>peněžní prostředky</w:t>
      </w:r>
      <w:r w:rsidRPr="00035CD9">
        <w:rPr>
          <w:rFonts w:ascii="Calibri" w:hAnsi="Calibri" w:cs="Calibri"/>
        </w:rPr>
        <w:t xml:space="preserve"> státního rozpočtu v celkové výši 20 248 856 Kč na opravy morálně a technicky zastaralé automobilní techniky Armády s překročenou životností. MO přistoupilo k opravám vozidel, ačkoliv se cena oprav blížila nebo i</w:t>
      </w:r>
      <w:r w:rsidR="00240E1B">
        <w:rPr>
          <w:rFonts w:ascii="Calibri" w:hAnsi="Calibri" w:cs="Calibri"/>
        </w:rPr>
        <w:t xml:space="preserve"> </w:t>
      </w:r>
      <w:r w:rsidRPr="00035CD9">
        <w:rPr>
          <w:rFonts w:ascii="Calibri" w:hAnsi="Calibri" w:cs="Calibri"/>
        </w:rPr>
        <w:t>překračovala cenu nových vozidel</w:t>
      </w:r>
      <w:r w:rsidR="00643A84">
        <w:rPr>
          <w:rFonts w:ascii="Calibri" w:hAnsi="Calibri" w:cs="Calibri"/>
        </w:rPr>
        <w:t xml:space="preserve">, </w:t>
      </w:r>
      <w:r w:rsidR="00695146">
        <w:rPr>
          <w:rFonts w:ascii="Calibri" w:hAnsi="Calibri" w:cs="Calibri"/>
        </w:rPr>
        <w:t>j</w:t>
      </w:r>
      <w:r w:rsidRPr="00035CD9">
        <w:rPr>
          <w:rFonts w:ascii="Calibri" w:hAnsi="Calibri" w:cs="Calibri"/>
        </w:rPr>
        <w:t>ejich</w:t>
      </w:r>
      <w:r w:rsidR="00695146">
        <w:rPr>
          <w:rFonts w:ascii="Calibri" w:hAnsi="Calibri" w:cs="Calibri"/>
        </w:rPr>
        <w:t>ž</w:t>
      </w:r>
      <w:r w:rsidRPr="00035CD9">
        <w:rPr>
          <w:rFonts w:ascii="Calibri" w:hAnsi="Calibri" w:cs="Calibri"/>
        </w:rPr>
        <w:t xml:space="preserve"> pořízení</w:t>
      </w:r>
      <w:r w:rsidR="00695146">
        <w:rPr>
          <w:rFonts w:ascii="Calibri" w:hAnsi="Calibri" w:cs="Calibri"/>
        </w:rPr>
        <w:t xml:space="preserve"> v</w:t>
      </w:r>
      <w:r w:rsidR="00391F3A">
        <w:rPr>
          <w:rFonts w:ascii="Calibri" w:hAnsi="Calibri" w:cs="Calibri"/>
        </w:rPr>
        <w:t xml:space="preserve"> </w:t>
      </w:r>
      <w:r w:rsidR="00695146">
        <w:rPr>
          <w:rFonts w:ascii="Calibri" w:hAnsi="Calibri" w:cs="Calibri"/>
        </w:rPr>
        <w:t>té době připravovalo</w:t>
      </w:r>
      <w:r w:rsidRPr="00035CD9">
        <w:rPr>
          <w:rFonts w:ascii="Calibri" w:hAnsi="Calibri" w:cs="Calibri"/>
        </w:rPr>
        <w:t xml:space="preserve">. Vynaložením peněžních prostředků na opravy </w:t>
      </w:r>
      <w:r w:rsidR="00391F3A">
        <w:rPr>
          <w:rFonts w:ascii="Calibri" w:hAnsi="Calibri" w:cs="Calibri"/>
        </w:rPr>
        <w:t xml:space="preserve">této </w:t>
      </w:r>
      <w:r w:rsidRPr="00035CD9">
        <w:rPr>
          <w:rFonts w:ascii="Calibri" w:hAnsi="Calibri" w:cs="Calibri"/>
        </w:rPr>
        <w:t xml:space="preserve">automobilní techniky tak </w:t>
      </w:r>
      <w:r w:rsidR="00391F3A" w:rsidRPr="0030654D">
        <w:rPr>
          <w:rFonts w:ascii="Calibri" w:hAnsi="Calibri" w:cs="Calibri"/>
        </w:rPr>
        <w:t>M</w:t>
      </w:r>
      <w:r w:rsidR="00391F3A">
        <w:rPr>
          <w:rFonts w:ascii="Calibri" w:hAnsi="Calibri" w:cs="Calibri"/>
        </w:rPr>
        <w:t>inisterstvo obrany</w:t>
      </w:r>
      <w:r w:rsidRPr="00035CD9">
        <w:rPr>
          <w:rFonts w:ascii="Calibri" w:hAnsi="Calibri" w:cs="Calibri"/>
        </w:rPr>
        <w:t xml:space="preserve"> vzhledem k</w:t>
      </w:r>
      <w:r w:rsidR="00240E1B">
        <w:rPr>
          <w:rFonts w:ascii="Calibri" w:hAnsi="Calibri" w:cs="Calibri"/>
        </w:rPr>
        <w:t xml:space="preserve"> </w:t>
      </w:r>
      <w:r w:rsidRPr="00035CD9">
        <w:rPr>
          <w:rFonts w:ascii="Calibri" w:hAnsi="Calibri" w:cs="Calibri"/>
        </w:rPr>
        <w:t>ceně oprav, opotřebení a předpokládané životnosti opravovaných vozidel a</w:t>
      </w:r>
      <w:r w:rsidR="00240E1B">
        <w:rPr>
          <w:rFonts w:ascii="Calibri" w:hAnsi="Calibri" w:cs="Calibri"/>
        </w:rPr>
        <w:t xml:space="preserve"> </w:t>
      </w:r>
      <w:r w:rsidRPr="00035CD9">
        <w:rPr>
          <w:rFonts w:ascii="Calibri" w:hAnsi="Calibri" w:cs="Calibri"/>
        </w:rPr>
        <w:t xml:space="preserve">připravovaným </w:t>
      </w:r>
      <w:r w:rsidR="00240E1B">
        <w:rPr>
          <w:rFonts w:ascii="Calibri" w:hAnsi="Calibri" w:cs="Calibri"/>
        </w:rPr>
        <w:t xml:space="preserve">nákupům </w:t>
      </w:r>
      <w:r w:rsidRPr="00035CD9">
        <w:rPr>
          <w:rFonts w:ascii="Calibri" w:hAnsi="Calibri" w:cs="Calibri"/>
        </w:rPr>
        <w:t xml:space="preserve">nových vozidel nedosáhlo nejvýše možného přínosu pro </w:t>
      </w:r>
      <w:r w:rsidRPr="00035CD9">
        <w:rPr>
          <w:rFonts w:ascii="Calibri" w:hAnsi="Calibri" w:cs="Calibri"/>
        </w:rPr>
        <w:lastRenderedPageBreak/>
        <w:t xml:space="preserve">plnění úkolů Armády. MO také vynaložilo </w:t>
      </w:r>
      <w:r w:rsidR="005B18C7" w:rsidRPr="00035CD9">
        <w:rPr>
          <w:rFonts w:ascii="Calibri" w:hAnsi="Calibri" w:cs="Calibri"/>
        </w:rPr>
        <w:t>neúčelně</w:t>
      </w:r>
      <w:r w:rsidR="00934D74" w:rsidRPr="00035CD9">
        <w:rPr>
          <w:rStyle w:val="Znakapoznpodarou"/>
          <w:rFonts w:ascii="Calibri" w:hAnsi="Calibri" w:cs="Calibri"/>
        </w:rPr>
        <w:footnoteReference w:id="11"/>
      </w:r>
      <w:r w:rsidR="005B18C7" w:rsidRPr="00035CD9">
        <w:rPr>
          <w:rFonts w:ascii="Calibri" w:hAnsi="Calibri" w:cs="Calibri"/>
        </w:rPr>
        <w:t xml:space="preserve"> </w:t>
      </w:r>
      <w:r w:rsidRPr="00035CD9">
        <w:rPr>
          <w:rFonts w:ascii="Calibri" w:hAnsi="Calibri" w:cs="Calibri"/>
        </w:rPr>
        <w:t>peněžní prostředky státního rozpočtu</w:t>
      </w:r>
      <w:r w:rsidR="00934D74">
        <w:rPr>
          <w:rFonts w:ascii="Calibri" w:hAnsi="Calibri" w:cs="Calibri"/>
        </w:rPr>
        <w:t xml:space="preserve"> </w:t>
      </w:r>
      <w:r w:rsidR="00934D74" w:rsidRPr="00035CD9">
        <w:rPr>
          <w:rFonts w:ascii="Calibri" w:hAnsi="Calibri" w:cs="Calibri"/>
        </w:rPr>
        <w:t>v</w:t>
      </w:r>
      <w:r w:rsidR="00934D74">
        <w:rPr>
          <w:rFonts w:ascii="Calibri" w:hAnsi="Calibri" w:cs="Calibri"/>
        </w:rPr>
        <w:t xml:space="preserve"> </w:t>
      </w:r>
      <w:r w:rsidR="00934D74" w:rsidRPr="00035CD9">
        <w:rPr>
          <w:rFonts w:ascii="Calibri" w:hAnsi="Calibri" w:cs="Calibri"/>
        </w:rPr>
        <w:t>celkové výši 1 052 502 Kč</w:t>
      </w:r>
      <w:r w:rsidRPr="00035CD9">
        <w:rPr>
          <w:rFonts w:ascii="Calibri" w:hAnsi="Calibri" w:cs="Calibri"/>
        </w:rPr>
        <w:t xml:space="preserve">, neboť </w:t>
      </w:r>
      <w:r w:rsidR="005B18C7">
        <w:rPr>
          <w:rFonts w:ascii="Calibri" w:hAnsi="Calibri" w:cs="Calibri"/>
        </w:rPr>
        <w:t xml:space="preserve">provedené opravy </w:t>
      </w:r>
      <w:r w:rsidR="005B18C7" w:rsidRPr="00035CD9">
        <w:rPr>
          <w:rFonts w:ascii="Calibri" w:hAnsi="Calibri" w:cs="Calibri"/>
        </w:rPr>
        <w:t xml:space="preserve">nezajistily provozuschopný </w:t>
      </w:r>
      <w:r w:rsidR="005B18C7">
        <w:rPr>
          <w:rFonts w:ascii="Calibri" w:hAnsi="Calibri" w:cs="Calibri"/>
        </w:rPr>
        <w:t>stav</w:t>
      </w:r>
      <w:r w:rsidR="00B648FD">
        <w:rPr>
          <w:rFonts w:ascii="Calibri" w:hAnsi="Calibri" w:cs="Calibri"/>
        </w:rPr>
        <w:t xml:space="preserve"> vozidel</w:t>
      </w:r>
      <w:r w:rsidR="005B18C7">
        <w:rPr>
          <w:rFonts w:ascii="Calibri" w:hAnsi="Calibri" w:cs="Calibri"/>
        </w:rPr>
        <w:t xml:space="preserve">. </w:t>
      </w:r>
      <w:r w:rsidR="00B648FD">
        <w:rPr>
          <w:rFonts w:ascii="Calibri" w:hAnsi="Calibri" w:cs="Calibri"/>
        </w:rPr>
        <w:t>V</w:t>
      </w:r>
      <w:r w:rsidRPr="00035CD9">
        <w:rPr>
          <w:rFonts w:ascii="Calibri" w:hAnsi="Calibri" w:cs="Calibri"/>
        </w:rPr>
        <w:t xml:space="preserve">ozidla </w:t>
      </w:r>
      <w:r w:rsidR="00B648FD" w:rsidRPr="00035CD9">
        <w:rPr>
          <w:rFonts w:ascii="Calibri" w:hAnsi="Calibri" w:cs="Calibri"/>
        </w:rPr>
        <w:t xml:space="preserve">opakovaně </w:t>
      </w:r>
      <w:r w:rsidR="00391F3A" w:rsidRPr="00035CD9">
        <w:rPr>
          <w:rFonts w:ascii="Calibri" w:hAnsi="Calibri" w:cs="Calibri"/>
        </w:rPr>
        <w:t xml:space="preserve">nebyla </w:t>
      </w:r>
      <w:r w:rsidR="00B648FD" w:rsidRPr="00035CD9">
        <w:rPr>
          <w:rFonts w:ascii="Calibri" w:hAnsi="Calibri" w:cs="Calibri"/>
        </w:rPr>
        <w:t>schopna provozu</w:t>
      </w:r>
      <w:r w:rsidR="00391F3A">
        <w:rPr>
          <w:rFonts w:ascii="Calibri" w:hAnsi="Calibri" w:cs="Calibri"/>
        </w:rPr>
        <w:t>, a to</w:t>
      </w:r>
      <w:r w:rsidR="00B648FD" w:rsidRPr="00035CD9">
        <w:rPr>
          <w:rFonts w:ascii="Calibri" w:hAnsi="Calibri" w:cs="Calibri"/>
        </w:rPr>
        <w:t xml:space="preserve"> v</w:t>
      </w:r>
      <w:r w:rsidR="003E06BF">
        <w:rPr>
          <w:rFonts w:ascii="Calibri" w:hAnsi="Calibri" w:cs="Calibri"/>
        </w:rPr>
        <w:t xml:space="preserve"> </w:t>
      </w:r>
      <w:r w:rsidR="00B648FD" w:rsidRPr="00035CD9">
        <w:rPr>
          <w:rFonts w:ascii="Calibri" w:hAnsi="Calibri" w:cs="Calibri"/>
        </w:rPr>
        <w:t>celkové délce 998 dnů, resp.</w:t>
      </w:r>
      <w:r w:rsidR="00391F3A">
        <w:rPr>
          <w:rFonts w:ascii="Calibri" w:hAnsi="Calibri" w:cs="Calibri"/>
        </w:rPr>
        <w:t> </w:t>
      </w:r>
      <w:r w:rsidR="00B648FD" w:rsidRPr="00035CD9">
        <w:rPr>
          <w:rFonts w:ascii="Calibri" w:hAnsi="Calibri" w:cs="Calibri"/>
        </w:rPr>
        <w:t>1 056 dnů</w:t>
      </w:r>
      <w:r w:rsidR="00391F3A">
        <w:rPr>
          <w:rFonts w:ascii="Calibri" w:hAnsi="Calibri" w:cs="Calibri"/>
        </w:rPr>
        <w:t>,</w:t>
      </w:r>
      <w:r w:rsidR="00B648FD">
        <w:rPr>
          <w:rFonts w:ascii="Calibri" w:hAnsi="Calibri" w:cs="Calibri"/>
        </w:rPr>
        <w:t xml:space="preserve"> a ne</w:t>
      </w:r>
      <w:r w:rsidR="00B648FD" w:rsidRPr="00035CD9">
        <w:rPr>
          <w:rFonts w:ascii="Calibri" w:hAnsi="Calibri" w:cs="Calibri"/>
        </w:rPr>
        <w:t>bylo možné</w:t>
      </w:r>
      <w:r w:rsidR="00B648FD">
        <w:rPr>
          <w:rFonts w:ascii="Calibri" w:hAnsi="Calibri" w:cs="Calibri"/>
        </w:rPr>
        <w:t xml:space="preserve"> je</w:t>
      </w:r>
      <w:r w:rsidR="00B648FD" w:rsidRPr="00035CD9">
        <w:rPr>
          <w:rFonts w:ascii="Calibri" w:hAnsi="Calibri" w:cs="Calibri"/>
        </w:rPr>
        <w:t xml:space="preserve"> využívat pro plnění úkolů Armády</w:t>
      </w:r>
      <w:r w:rsidRPr="00035CD9">
        <w:rPr>
          <w:rFonts w:ascii="Calibri" w:hAnsi="Calibri" w:cs="Calibri"/>
        </w:rPr>
        <w:t>.</w:t>
      </w:r>
    </w:p>
    <w:p w14:paraId="08C0687B" w14:textId="6AB79929" w:rsidR="007A429D" w:rsidRPr="00275ACB" w:rsidRDefault="007A429D" w:rsidP="007A429D">
      <w:pPr>
        <w:pStyle w:val="Odstavecseseznamem"/>
        <w:keepNext/>
        <w:numPr>
          <w:ilvl w:val="0"/>
          <w:numId w:val="2"/>
        </w:numPr>
        <w:tabs>
          <w:tab w:val="left" w:pos="284"/>
        </w:tabs>
        <w:spacing w:before="120"/>
        <w:ind w:left="284" w:hanging="284"/>
        <w:jc w:val="both"/>
        <w:rPr>
          <w:rFonts w:ascii="Calibri" w:hAnsi="Calibri" w:cs="Calibri"/>
        </w:rPr>
      </w:pPr>
      <w:bookmarkStart w:id="9" w:name="_Hlk94604065"/>
      <w:r w:rsidRPr="00A02BB6">
        <w:rPr>
          <w:rFonts w:asciiTheme="minorHAnsi" w:hAnsiTheme="minorHAnsi" w:cstheme="minorHAnsi"/>
        </w:rPr>
        <w:t>MO nevyužívalo</w:t>
      </w:r>
      <w:r w:rsidRPr="00B54867">
        <w:rPr>
          <w:rFonts w:asciiTheme="minorHAnsi" w:hAnsiTheme="minorHAnsi" w:cstheme="minorHAnsi"/>
        </w:rPr>
        <w:t xml:space="preserve"> VOP CZ podle záměrů a cílů, které stanoví strategické a</w:t>
      </w:r>
      <w:r w:rsidR="006F2D1E">
        <w:rPr>
          <w:rFonts w:asciiTheme="minorHAnsi" w:hAnsiTheme="minorHAnsi" w:cstheme="minorHAnsi"/>
        </w:rPr>
        <w:t xml:space="preserve"> </w:t>
      </w:r>
      <w:r w:rsidRPr="00B54867">
        <w:rPr>
          <w:rFonts w:asciiTheme="minorHAnsi" w:hAnsiTheme="minorHAnsi" w:cstheme="minorHAnsi"/>
        </w:rPr>
        <w:t>koncepční dokumenty</w:t>
      </w:r>
      <w:bookmarkEnd w:id="9"/>
      <w:r w:rsidRPr="00B54867">
        <w:rPr>
          <w:rFonts w:asciiTheme="minorHAnsi" w:hAnsiTheme="minorHAnsi" w:cstheme="minorHAnsi"/>
        </w:rPr>
        <w:t xml:space="preserve"> </w:t>
      </w:r>
      <w:r w:rsidR="00B54867">
        <w:rPr>
          <w:rFonts w:asciiTheme="minorHAnsi" w:hAnsiTheme="minorHAnsi" w:cstheme="minorHAnsi"/>
        </w:rPr>
        <w:t xml:space="preserve">pro činnost státních podniků založených MO. </w:t>
      </w:r>
      <w:r w:rsidR="002A0814" w:rsidRPr="00B54867">
        <w:rPr>
          <w:rFonts w:asciiTheme="minorHAnsi" w:hAnsiTheme="minorHAnsi" w:cstheme="minorHAnsi"/>
        </w:rPr>
        <w:t>VOP CZ</w:t>
      </w:r>
      <w:r w:rsidR="00B54867">
        <w:rPr>
          <w:rFonts w:asciiTheme="minorHAnsi" w:hAnsiTheme="minorHAnsi" w:cstheme="minorHAnsi"/>
        </w:rPr>
        <w:t xml:space="preserve"> neplnil své finanční plány</w:t>
      </w:r>
      <w:r w:rsidR="00C040EC">
        <w:rPr>
          <w:rFonts w:asciiTheme="minorHAnsi" w:hAnsiTheme="minorHAnsi" w:cstheme="minorHAnsi"/>
        </w:rPr>
        <w:t xml:space="preserve"> a t</w:t>
      </w:r>
      <w:r w:rsidRPr="00275ACB">
        <w:rPr>
          <w:rFonts w:asciiTheme="minorHAnsi" w:hAnsiTheme="minorHAnsi" w:cstheme="minorHAnsi"/>
        </w:rPr>
        <w:t xml:space="preserve">ržby podniku </w:t>
      </w:r>
      <w:r w:rsidR="0030654D">
        <w:rPr>
          <w:rFonts w:asciiTheme="minorHAnsi" w:hAnsiTheme="minorHAnsi" w:cstheme="minorHAnsi"/>
        </w:rPr>
        <w:t>přijaté od</w:t>
      </w:r>
      <w:r w:rsidRPr="00275ACB">
        <w:rPr>
          <w:rFonts w:asciiTheme="minorHAnsi" w:hAnsiTheme="minorHAnsi" w:cstheme="minorHAnsi"/>
        </w:rPr>
        <w:t xml:space="preserve"> MO </w:t>
      </w:r>
      <w:r w:rsidR="00B54867">
        <w:rPr>
          <w:rFonts w:asciiTheme="minorHAnsi" w:hAnsiTheme="minorHAnsi" w:cstheme="minorHAnsi"/>
        </w:rPr>
        <w:t>v </w:t>
      </w:r>
      <w:r w:rsidR="00B54867" w:rsidRPr="00275ACB">
        <w:rPr>
          <w:rFonts w:asciiTheme="minorHAnsi" w:hAnsiTheme="minorHAnsi" w:cstheme="minorHAnsi"/>
        </w:rPr>
        <w:t xml:space="preserve">období 2018–2021 činily </w:t>
      </w:r>
      <w:r w:rsidRPr="00275ACB">
        <w:rPr>
          <w:rFonts w:asciiTheme="minorHAnsi" w:hAnsiTheme="minorHAnsi" w:cstheme="minorHAnsi"/>
        </w:rPr>
        <w:t>průměrně jen 13,2 % celkových tržeb, z</w:t>
      </w:r>
      <w:r w:rsidR="00A91FD4">
        <w:rPr>
          <w:rFonts w:asciiTheme="minorHAnsi" w:hAnsiTheme="minorHAnsi" w:cstheme="minorHAnsi"/>
        </w:rPr>
        <w:t xml:space="preserve"> </w:t>
      </w:r>
      <w:r w:rsidRPr="00275ACB">
        <w:rPr>
          <w:rFonts w:asciiTheme="minorHAnsi" w:hAnsiTheme="minorHAnsi" w:cstheme="minorHAnsi"/>
        </w:rPr>
        <w:t xml:space="preserve">toho za automobilní techniku Armády to bylo 7,4 %. </w:t>
      </w:r>
      <w:r w:rsidR="001B5B91">
        <w:rPr>
          <w:rFonts w:asciiTheme="minorHAnsi" w:hAnsiTheme="minorHAnsi" w:cstheme="minorHAnsi"/>
        </w:rPr>
        <w:t>MO t</w:t>
      </w:r>
      <w:r w:rsidR="00284738">
        <w:rPr>
          <w:rFonts w:asciiTheme="minorHAnsi" w:hAnsiTheme="minorHAnsi" w:cstheme="minorHAnsi"/>
        </w:rPr>
        <w:t>ak</w:t>
      </w:r>
      <w:r w:rsidR="001B5B91">
        <w:rPr>
          <w:rFonts w:asciiTheme="minorHAnsi" w:hAnsiTheme="minorHAnsi" w:cstheme="minorHAnsi"/>
        </w:rPr>
        <w:t xml:space="preserve"> ne</w:t>
      </w:r>
      <w:r w:rsidR="00284738">
        <w:rPr>
          <w:rFonts w:asciiTheme="minorHAnsi" w:hAnsiTheme="minorHAnsi" w:cstheme="minorHAnsi"/>
        </w:rPr>
        <w:t>mohlo</w:t>
      </w:r>
      <w:r w:rsidR="001B5B91">
        <w:rPr>
          <w:rFonts w:asciiTheme="minorHAnsi" w:hAnsiTheme="minorHAnsi" w:cstheme="minorHAnsi"/>
        </w:rPr>
        <w:t xml:space="preserve"> zadávat VOP</w:t>
      </w:r>
      <w:r w:rsidR="00284738">
        <w:rPr>
          <w:rFonts w:asciiTheme="minorHAnsi" w:hAnsiTheme="minorHAnsi" w:cstheme="minorHAnsi"/>
        </w:rPr>
        <w:t> </w:t>
      </w:r>
      <w:r w:rsidR="001B5B91">
        <w:rPr>
          <w:rFonts w:asciiTheme="minorHAnsi" w:hAnsiTheme="minorHAnsi" w:cstheme="minorHAnsi"/>
        </w:rPr>
        <w:t xml:space="preserve">CZ veřejné zakázky </w:t>
      </w:r>
      <w:r w:rsidR="00284738">
        <w:rPr>
          <w:rFonts w:asciiTheme="minorHAnsi" w:hAnsiTheme="minorHAnsi" w:cstheme="minorHAnsi"/>
        </w:rPr>
        <w:t>v souladu s</w:t>
      </w:r>
      <w:r w:rsidR="005A5F62">
        <w:rPr>
          <w:rFonts w:asciiTheme="minorHAnsi" w:hAnsiTheme="minorHAnsi" w:cstheme="minorHAnsi"/>
        </w:rPr>
        <w:t>e zvláštním</w:t>
      </w:r>
      <w:r w:rsidR="00284738">
        <w:rPr>
          <w:rFonts w:asciiTheme="minorHAnsi" w:hAnsiTheme="minorHAnsi" w:cstheme="minorHAnsi"/>
        </w:rPr>
        <w:t xml:space="preserve"> </w:t>
      </w:r>
      <w:r w:rsidR="001B5B91">
        <w:rPr>
          <w:rFonts w:asciiTheme="minorHAnsi" w:hAnsiTheme="minorHAnsi" w:cstheme="minorHAnsi"/>
        </w:rPr>
        <w:t>ustanovení</w:t>
      </w:r>
      <w:r w:rsidR="00284738">
        <w:rPr>
          <w:rFonts w:asciiTheme="minorHAnsi" w:hAnsiTheme="minorHAnsi" w:cstheme="minorHAnsi"/>
        </w:rPr>
        <w:t>m</w:t>
      </w:r>
      <w:r w:rsidR="001B5B91">
        <w:rPr>
          <w:rFonts w:asciiTheme="minorHAnsi" w:hAnsiTheme="minorHAnsi" w:cstheme="minorHAnsi"/>
        </w:rPr>
        <w:t xml:space="preserve"> o vertikální spolupráci, neboť činnost </w:t>
      </w:r>
      <w:r w:rsidR="007666CB">
        <w:rPr>
          <w:rFonts w:asciiTheme="minorHAnsi" w:hAnsiTheme="minorHAnsi" w:cstheme="minorHAnsi"/>
        </w:rPr>
        <w:t>VOP CZ</w:t>
      </w:r>
      <w:r w:rsidR="00284738">
        <w:rPr>
          <w:rFonts w:asciiTheme="minorHAnsi" w:hAnsiTheme="minorHAnsi" w:cstheme="minorHAnsi"/>
        </w:rPr>
        <w:t xml:space="preserve"> </w:t>
      </w:r>
      <w:r w:rsidR="001B5B91">
        <w:rPr>
          <w:rFonts w:asciiTheme="minorHAnsi" w:hAnsiTheme="minorHAnsi" w:cstheme="minorHAnsi"/>
        </w:rPr>
        <w:t xml:space="preserve">pro </w:t>
      </w:r>
      <w:r w:rsidR="007666CB" w:rsidRPr="0030654D">
        <w:rPr>
          <w:rFonts w:ascii="Calibri" w:hAnsi="Calibri" w:cs="Calibri"/>
        </w:rPr>
        <w:t>M</w:t>
      </w:r>
      <w:r w:rsidR="007666CB">
        <w:rPr>
          <w:rFonts w:ascii="Calibri" w:hAnsi="Calibri" w:cs="Calibri"/>
        </w:rPr>
        <w:t>inisterstvo obrany</w:t>
      </w:r>
      <w:r w:rsidR="007666CB" w:rsidRPr="0030654D">
        <w:rPr>
          <w:rFonts w:ascii="Calibri" w:hAnsi="Calibri" w:cs="Calibri"/>
        </w:rPr>
        <w:t xml:space="preserve"> </w:t>
      </w:r>
      <w:r w:rsidR="001B5B91">
        <w:rPr>
          <w:rFonts w:asciiTheme="minorHAnsi" w:hAnsiTheme="minorHAnsi" w:cstheme="minorHAnsi"/>
        </w:rPr>
        <w:t>nepředstavovala podstatn</w:t>
      </w:r>
      <w:r w:rsidR="00317C17">
        <w:rPr>
          <w:rFonts w:asciiTheme="minorHAnsi" w:hAnsiTheme="minorHAnsi" w:cstheme="minorHAnsi"/>
        </w:rPr>
        <w:t>ou část</w:t>
      </w:r>
      <w:r w:rsidR="001B5B91">
        <w:rPr>
          <w:rFonts w:asciiTheme="minorHAnsi" w:hAnsiTheme="minorHAnsi" w:cstheme="minorHAnsi"/>
        </w:rPr>
        <w:t xml:space="preserve"> činnosti</w:t>
      </w:r>
      <w:r w:rsidR="007666CB">
        <w:rPr>
          <w:rFonts w:asciiTheme="minorHAnsi" w:hAnsiTheme="minorHAnsi" w:cstheme="minorHAnsi"/>
        </w:rPr>
        <w:t xml:space="preserve"> podniku</w:t>
      </w:r>
      <w:r w:rsidR="001B5B91">
        <w:rPr>
          <w:rFonts w:asciiTheme="minorHAnsi" w:hAnsiTheme="minorHAnsi" w:cstheme="minorHAnsi"/>
        </w:rPr>
        <w:t xml:space="preserve">. </w:t>
      </w:r>
      <w:r w:rsidRPr="00275ACB">
        <w:rPr>
          <w:rFonts w:asciiTheme="minorHAnsi" w:hAnsiTheme="minorHAnsi" w:cstheme="minorHAnsi"/>
        </w:rPr>
        <w:t>Výrobní a servisní kapacit</w:t>
      </w:r>
      <w:r w:rsidR="0083610A" w:rsidRPr="00275ACB">
        <w:rPr>
          <w:rFonts w:asciiTheme="minorHAnsi" w:hAnsiTheme="minorHAnsi" w:cstheme="minorHAnsi"/>
        </w:rPr>
        <w:t>a</w:t>
      </w:r>
      <w:r w:rsidRPr="00275ACB">
        <w:rPr>
          <w:rFonts w:asciiTheme="minorHAnsi" w:hAnsiTheme="minorHAnsi" w:cstheme="minorHAnsi"/>
        </w:rPr>
        <w:t xml:space="preserve"> </w:t>
      </w:r>
      <w:r w:rsidR="007666CB">
        <w:rPr>
          <w:rFonts w:asciiTheme="minorHAnsi" w:hAnsiTheme="minorHAnsi" w:cstheme="minorHAnsi"/>
        </w:rPr>
        <w:t xml:space="preserve">VOP CZ </w:t>
      </w:r>
      <w:r w:rsidRPr="00275ACB">
        <w:rPr>
          <w:rFonts w:asciiTheme="minorHAnsi" w:hAnsiTheme="minorHAnsi" w:cstheme="minorHAnsi"/>
        </w:rPr>
        <w:t>byl</w:t>
      </w:r>
      <w:r w:rsidR="0083610A" w:rsidRPr="00275ACB">
        <w:rPr>
          <w:rFonts w:asciiTheme="minorHAnsi" w:hAnsiTheme="minorHAnsi" w:cstheme="minorHAnsi"/>
        </w:rPr>
        <w:t>a</w:t>
      </w:r>
      <w:r w:rsidRPr="00275ACB">
        <w:rPr>
          <w:rFonts w:asciiTheme="minorHAnsi" w:hAnsiTheme="minorHAnsi" w:cstheme="minorHAnsi"/>
        </w:rPr>
        <w:t xml:space="preserve"> využíván</w:t>
      </w:r>
      <w:r w:rsidR="0083610A" w:rsidRPr="00275ACB">
        <w:rPr>
          <w:rFonts w:asciiTheme="minorHAnsi" w:hAnsiTheme="minorHAnsi" w:cstheme="minorHAnsi"/>
        </w:rPr>
        <w:t>a</w:t>
      </w:r>
      <w:r w:rsidRPr="00275ACB">
        <w:rPr>
          <w:rFonts w:asciiTheme="minorHAnsi" w:hAnsiTheme="minorHAnsi" w:cstheme="minorHAnsi"/>
        </w:rPr>
        <w:t xml:space="preserve"> pro potřeby Armády </w:t>
      </w:r>
      <w:r w:rsidR="005A5F62">
        <w:rPr>
          <w:rFonts w:asciiTheme="minorHAnsi" w:hAnsiTheme="minorHAnsi" w:cstheme="minorHAnsi"/>
        </w:rPr>
        <w:t xml:space="preserve">průměrně </w:t>
      </w:r>
      <w:r w:rsidRPr="00275ACB">
        <w:rPr>
          <w:rFonts w:asciiTheme="minorHAnsi" w:hAnsiTheme="minorHAnsi" w:cstheme="minorHAnsi"/>
        </w:rPr>
        <w:t>pouze z</w:t>
      </w:r>
      <w:r w:rsidR="006F2D1E">
        <w:rPr>
          <w:rFonts w:asciiTheme="minorHAnsi" w:hAnsiTheme="minorHAnsi" w:cstheme="minorHAnsi"/>
        </w:rPr>
        <w:t> </w:t>
      </w:r>
      <w:r w:rsidRPr="00275ACB">
        <w:rPr>
          <w:rFonts w:asciiTheme="minorHAnsi" w:hAnsiTheme="minorHAnsi" w:cstheme="minorHAnsi"/>
        </w:rPr>
        <w:t>3</w:t>
      </w:r>
      <w:r w:rsidR="00197580" w:rsidRPr="00275ACB">
        <w:rPr>
          <w:rFonts w:asciiTheme="minorHAnsi" w:hAnsiTheme="minorHAnsi" w:cstheme="minorHAnsi"/>
        </w:rPr>
        <w:t>,9</w:t>
      </w:r>
      <w:r w:rsidR="0030654D">
        <w:rPr>
          <w:rFonts w:asciiTheme="minorHAnsi" w:hAnsiTheme="minorHAnsi" w:cstheme="minorHAnsi"/>
        </w:rPr>
        <w:t> </w:t>
      </w:r>
      <w:r w:rsidRPr="00275ACB">
        <w:rPr>
          <w:rFonts w:asciiTheme="minorHAnsi" w:hAnsiTheme="minorHAnsi" w:cstheme="minorHAnsi"/>
        </w:rPr>
        <w:t>%. MO přitom ve své strategii</w:t>
      </w:r>
      <w:r w:rsidRPr="00275ACB">
        <w:rPr>
          <w:rStyle w:val="Znakapoznpodarou"/>
          <w:rFonts w:asciiTheme="minorHAnsi" w:hAnsiTheme="minorHAnsi" w:cstheme="minorHAnsi"/>
        </w:rPr>
        <w:footnoteReference w:id="12"/>
      </w:r>
      <w:r w:rsidRPr="00275ACB">
        <w:rPr>
          <w:rFonts w:asciiTheme="minorHAnsi" w:hAnsiTheme="minorHAnsi" w:cstheme="minorHAnsi"/>
        </w:rPr>
        <w:t xml:space="preserve"> uvádí široký výčet schopností, které VOP</w:t>
      </w:r>
      <w:r w:rsidR="007666CB">
        <w:rPr>
          <w:rFonts w:asciiTheme="minorHAnsi" w:hAnsiTheme="minorHAnsi" w:cstheme="minorHAnsi"/>
        </w:rPr>
        <w:t> </w:t>
      </w:r>
      <w:r w:rsidRPr="00275ACB">
        <w:rPr>
          <w:rFonts w:asciiTheme="minorHAnsi" w:hAnsiTheme="minorHAnsi" w:cstheme="minorHAnsi"/>
        </w:rPr>
        <w:t>CZ může ve prospěch Armády uplatnit. Strategické cíle VOP CZ</w:t>
      </w:r>
      <w:r w:rsidRPr="00275ACB">
        <w:rPr>
          <w:rStyle w:val="Znakapoznpodarou"/>
          <w:rFonts w:asciiTheme="minorHAnsi" w:hAnsiTheme="minorHAnsi" w:cstheme="minorHAnsi"/>
        </w:rPr>
        <w:footnoteReference w:id="13"/>
      </w:r>
      <w:r w:rsidRPr="00275ACB">
        <w:rPr>
          <w:rFonts w:asciiTheme="minorHAnsi" w:hAnsiTheme="minorHAnsi" w:cstheme="minorHAnsi"/>
        </w:rPr>
        <w:t xml:space="preserve"> spočívající v navyšování činnosti pro MO</w:t>
      </w:r>
      <w:r w:rsidR="000F1789" w:rsidRPr="00275ACB">
        <w:rPr>
          <w:rFonts w:asciiTheme="minorHAnsi" w:hAnsiTheme="minorHAnsi" w:cstheme="minorHAnsi"/>
        </w:rPr>
        <w:t xml:space="preserve"> </w:t>
      </w:r>
      <w:r w:rsidRPr="00275ACB">
        <w:rPr>
          <w:rFonts w:asciiTheme="minorHAnsi" w:hAnsiTheme="minorHAnsi" w:cstheme="minorHAnsi"/>
        </w:rPr>
        <w:t xml:space="preserve">podnik do doby </w:t>
      </w:r>
      <w:r w:rsidR="006F2D1E">
        <w:rPr>
          <w:rFonts w:asciiTheme="minorHAnsi" w:hAnsiTheme="minorHAnsi" w:cstheme="minorHAnsi"/>
        </w:rPr>
        <w:t xml:space="preserve">ukončení </w:t>
      </w:r>
      <w:r w:rsidRPr="00275ACB">
        <w:rPr>
          <w:rFonts w:asciiTheme="minorHAnsi" w:hAnsiTheme="minorHAnsi" w:cstheme="minorHAnsi"/>
        </w:rPr>
        <w:t xml:space="preserve">kontroly </w:t>
      </w:r>
      <w:r w:rsidR="00A15E43">
        <w:rPr>
          <w:rFonts w:asciiTheme="minorHAnsi" w:hAnsiTheme="minorHAnsi" w:cstheme="minorHAnsi"/>
        </w:rPr>
        <w:t>ne</w:t>
      </w:r>
      <w:r w:rsidRPr="00275ACB">
        <w:rPr>
          <w:rFonts w:asciiTheme="minorHAnsi" w:hAnsiTheme="minorHAnsi" w:cstheme="minorHAnsi"/>
        </w:rPr>
        <w:t>splni</w:t>
      </w:r>
      <w:r w:rsidR="00A15E43">
        <w:rPr>
          <w:rFonts w:asciiTheme="minorHAnsi" w:hAnsiTheme="minorHAnsi" w:cstheme="minorHAnsi"/>
        </w:rPr>
        <w:t>l</w:t>
      </w:r>
      <w:r w:rsidRPr="00275ACB">
        <w:rPr>
          <w:rFonts w:asciiTheme="minorHAnsi" w:hAnsiTheme="minorHAnsi" w:cstheme="minorHAnsi"/>
        </w:rPr>
        <w:t>.</w:t>
      </w:r>
    </w:p>
    <w:p w14:paraId="5874ECDB" w14:textId="66EFDBC9" w:rsidR="007A429D" w:rsidRPr="003C001B" w:rsidRDefault="007A429D" w:rsidP="003C001B">
      <w:pPr>
        <w:pStyle w:val="Odstavecseseznamem"/>
        <w:keepNext/>
        <w:numPr>
          <w:ilvl w:val="0"/>
          <w:numId w:val="2"/>
        </w:numPr>
        <w:tabs>
          <w:tab w:val="left" w:pos="284"/>
        </w:tabs>
        <w:spacing w:before="120"/>
        <w:ind w:left="284" w:hanging="284"/>
        <w:jc w:val="both"/>
        <w:rPr>
          <w:rFonts w:ascii="Calibri" w:hAnsi="Calibri" w:cs="Calibri"/>
        </w:rPr>
      </w:pPr>
      <w:r w:rsidRPr="00570603">
        <w:rPr>
          <w:rFonts w:asciiTheme="minorHAnsi" w:hAnsiTheme="minorHAnsi" w:cstheme="minorHAnsi"/>
        </w:rPr>
        <w:t>VOP CZ dlouhodobě dosah</w:t>
      </w:r>
      <w:r>
        <w:rPr>
          <w:rFonts w:asciiTheme="minorHAnsi" w:hAnsiTheme="minorHAnsi" w:cstheme="minorHAnsi"/>
        </w:rPr>
        <w:t>oval</w:t>
      </w:r>
      <w:r w:rsidRPr="00570603">
        <w:rPr>
          <w:rFonts w:asciiTheme="minorHAnsi" w:hAnsiTheme="minorHAnsi" w:cstheme="minorHAnsi"/>
        </w:rPr>
        <w:t xml:space="preserve"> záporného hospodářského výsledku, ačkoli </w:t>
      </w:r>
      <w:r w:rsidR="00695146">
        <w:rPr>
          <w:rFonts w:asciiTheme="minorHAnsi" w:hAnsiTheme="minorHAnsi" w:cstheme="minorHAnsi"/>
        </w:rPr>
        <w:t>cílem</w:t>
      </w:r>
      <w:r w:rsidRPr="00570603">
        <w:rPr>
          <w:rFonts w:asciiTheme="minorHAnsi" w:hAnsiTheme="minorHAnsi" w:cstheme="minorHAnsi"/>
        </w:rPr>
        <w:t xml:space="preserve"> činnosti podniku je mj. tvorba zisku</w:t>
      </w:r>
      <w:r w:rsidR="00E068AB" w:rsidRPr="00A930FF">
        <w:rPr>
          <w:rFonts w:ascii="Calibri" w:eastAsia="Calibri" w:hAnsi="Calibri" w:cs="Calibri"/>
          <w:vertAlign w:val="superscript"/>
        </w:rPr>
        <w:footnoteReference w:id="14"/>
      </w:r>
      <w:r w:rsidRPr="00570603">
        <w:rPr>
          <w:rFonts w:asciiTheme="minorHAnsi" w:hAnsiTheme="minorHAnsi" w:cstheme="minorHAnsi"/>
        </w:rPr>
        <w:t xml:space="preserve">. V období 2018–2021 </w:t>
      </w:r>
      <w:r w:rsidR="00A13E80">
        <w:rPr>
          <w:rFonts w:asciiTheme="minorHAnsi" w:hAnsiTheme="minorHAnsi" w:cstheme="minorHAnsi"/>
        </w:rPr>
        <w:t>VOP CZ</w:t>
      </w:r>
      <w:r w:rsidR="003C001B">
        <w:rPr>
          <w:rFonts w:asciiTheme="minorHAnsi" w:hAnsiTheme="minorHAnsi" w:cstheme="minorHAnsi"/>
        </w:rPr>
        <w:t xml:space="preserve"> neplnil finanční plány a vykázal </w:t>
      </w:r>
      <w:r w:rsidRPr="00570603">
        <w:rPr>
          <w:rFonts w:asciiTheme="minorHAnsi" w:hAnsiTheme="minorHAnsi" w:cstheme="minorHAnsi"/>
        </w:rPr>
        <w:t>ztrátu v</w:t>
      </w:r>
      <w:r w:rsidR="003E06BF">
        <w:rPr>
          <w:rFonts w:asciiTheme="minorHAnsi" w:hAnsiTheme="minorHAnsi" w:cstheme="minorHAnsi"/>
        </w:rPr>
        <w:t xml:space="preserve"> </w:t>
      </w:r>
      <w:r w:rsidRPr="00570603">
        <w:rPr>
          <w:rFonts w:asciiTheme="minorHAnsi" w:hAnsiTheme="minorHAnsi" w:cstheme="minorHAnsi"/>
        </w:rPr>
        <w:t>celkové výši 391,8</w:t>
      </w:r>
      <w:r>
        <w:rPr>
          <w:rFonts w:asciiTheme="minorHAnsi" w:hAnsiTheme="minorHAnsi" w:cstheme="minorHAnsi"/>
        </w:rPr>
        <w:t> </w:t>
      </w:r>
      <w:r w:rsidRPr="00570603">
        <w:rPr>
          <w:rFonts w:asciiTheme="minorHAnsi" w:hAnsiTheme="minorHAnsi" w:cstheme="minorHAnsi"/>
        </w:rPr>
        <w:t>mil. Kč, což vedlo k</w:t>
      </w:r>
      <w:r w:rsidR="003E06BF">
        <w:rPr>
          <w:rFonts w:asciiTheme="minorHAnsi" w:hAnsiTheme="minorHAnsi" w:cstheme="minorHAnsi"/>
        </w:rPr>
        <w:t xml:space="preserve"> </w:t>
      </w:r>
      <w:r>
        <w:rPr>
          <w:rFonts w:asciiTheme="minorHAnsi" w:hAnsiTheme="minorHAnsi" w:cstheme="minorHAnsi"/>
        </w:rPr>
        <w:t>růstu zadluženosti podniku s</w:t>
      </w:r>
      <w:r w:rsidR="003E06BF">
        <w:rPr>
          <w:rFonts w:asciiTheme="minorHAnsi" w:hAnsiTheme="minorHAnsi" w:cstheme="minorHAnsi"/>
        </w:rPr>
        <w:t xml:space="preserve"> </w:t>
      </w:r>
      <w:r>
        <w:rPr>
          <w:rFonts w:asciiTheme="minorHAnsi" w:hAnsiTheme="minorHAnsi" w:cstheme="minorHAnsi"/>
        </w:rPr>
        <w:t xml:space="preserve">negativním vlivem na jeho konkurenceschopnost </w:t>
      </w:r>
      <w:r w:rsidR="006666B0">
        <w:rPr>
          <w:rFonts w:asciiTheme="minorHAnsi" w:hAnsiTheme="minorHAnsi" w:cstheme="minorHAnsi"/>
        </w:rPr>
        <w:t>i</w:t>
      </w:r>
      <w:r w:rsidR="003C001B">
        <w:rPr>
          <w:rFonts w:asciiTheme="minorHAnsi" w:hAnsiTheme="minorHAnsi" w:cstheme="minorHAnsi"/>
        </w:rPr>
        <w:t xml:space="preserve"> </w:t>
      </w:r>
      <w:r>
        <w:rPr>
          <w:rFonts w:asciiTheme="minorHAnsi" w:hAnsiTheme="minorHAnsi" w:cstheme="minorHAnsi"/>
        </w:rPr>
        <w:t xml:space="preserve">ke </w:t>
      </w:r>
      <w:r w:rsidRPr="00570603">
        <w:rPr>
          <w:rFonts w:asciiTheme="minorHAnsi" w:hAnsiTheme="minorHAnsi" w:cstheme="minorHAnsi"/>
        </w:rPr>
        <w:t xml:space="preserve">snižování </w:t>
      </w:r>
      <w:r>
        <w:rPr>
          <w:rFonts w:asciiTheme="minorHAnsi" w:hAnsiTheme="minorHAnsi" w:cstheme="minorHAnsi"/>
        </w:rPr>
        <w:t xml:space="preserve">hodnoty </w:t>
      </w:r>
      <w:r w:rsidRPr="00570603">
        <w:rPr>
          <w:rFonts w:asciiTheme="minorHAnsi" w:hAnsiTheme="minorHAnsi" w:cstheme="minorHAnsi"/>
        </w:rPr>
        <w:t>vlastního kapitálu</w:t>
      </w:r>
      <w:r w:rsidR="002A0814">
        <w:rPr>
          <w:rStyle w:val="Znakapoznpodarou"/>
          <w:rFonts w:asciiTheme="minorHAnsi" w:hAnsiTheme="minorHAnsi" w:cstheme="minorHAnsi"/>
        </w:rPr>
        <w:footnoteReference w:id="15"/>
      </w:r>
      <w:r w:rsidRPr="00570603">
        <w:rPr>
          <w:rFonts w:asciiTheme="minorHAnsi" w:hAnsiTheme="minorHAnsi" w:cstheme="minorHAnsi"/>
        </w:rPr>
        <w:t>.</w:t>
      </w:r>
      <w:r w:rsidR="003C001B">
        <w:rPr>
          <w:rFonts w:asciiTheme="minorHAnsi" w:hAnsiTheme="minorHAnsi" w:cstheme="minorHAnsi"/>
        </w:rPr>
        <w:t xml:space="preserve"> VOP CZ </w:t>
      </w:r>
      <w:r w:rsidRPr="003C001B">
        <w:rPr>
          <w:rFonts w:asciiTheme="minorHAnsi" w:hAnsiTheme="minorHAnsi" w:cstheme="minorHAnsi"/>
        </w:rPr>
        <w:t>realizoval pro MO celkem 3</w:t>
      </w:r>
      <w:r w:rsidR="00F7459B" w:rsidRPr="003C001B">
        <w:rPr>
          <w:rFonts w:asciiTheme="minorHAnsi" w:hAnsiTheme="minorHAnsi" w:cstheme="minorHAnsi"/>
        </w:rPr>
        <w:t>4</w:t>
      </w:r>
      <w:r w:rsidRPr="003C001B">
        <w:rPr>
          <w:rFonts w:asciiTheme="minorHAnsi" w:hAnsiTheme="minorHAnsi" w:cstheme="minorHAnsi"/>
        </w:rPr>
        <w:t xml:space="preserve"> dílčích plnění rámcové smlouvy </w:t>
      </w:r>
      <w:r w:rsidR="00F7459B" w:rsidRPr="003C001B">
        <w:rPr>
          <w:rFonts w:asciiTheme="minorHAnsi" w:hAnsiTheme="minorHAnsi" w:cstheme="minorHAnsi"/>
        </w:rPr>
        <w:t xml:space="preserve">o dílo </w:t>
      </w:r>
      <w:r w:rsidRPr="003C001B">
        <w:rPr>
          <w:rFonts w:asciiTheme="minorHAnsi" w:hAnsiTheme="minorHAnsi" w:cstheme="minorHAnsi"/>
        </w:rPr>
        <w:t xml:space="preserve">na opravy jeřábové techniky </w:t>
      </w:r>
      <w:r w:rsidR="003C001B">
        <w:rPr>
          <w:rFonts w:asciiTheme="minorHAnsi" w:hAnsiTheme="minorHAnsi" w:cstheme="minorHAnsi"/>
        </w:rPr>
        <w:t xml:space="preserve">za </w:t>
      </w:r>
      <w:r w:rsidRPr="003C001B">
        <w:rPr>
          <w:rFonts w:asciiTheme="minorHAnsi" w:hAnsiTheme="minorHAnsi" w:cstheme="minorHAnsi"/>
        </w:rPr>
        <w:t>11,4 mil. Kč (</w:t>
      </w:r>
      <w:r w:rsidR="00A702BC">
        <w:rPr>
          <w:rFonts w:asciiTheme="minorHAnsi" w:hAnsiTheme="minorHAnsi" w:cstheme="minorHAnsi"/>
        </w:rPr>
        <w:t xml:space="preserve">tj. </w:t>
      </w:r>
      <w:r w:rsidRPr="003C001B">
        <w:rPr>
          <w:rFonts w:asciiTheme="minorHAnsi" w:hAnsiTheme="minorHAnsi" w:cstheme="minorHAnsi"/>
        </w:rPr>
        <w:t>9,4 mil. Kč bez DPH) s</w:t>
      </w:r>
      <w:r w:rsidR="003C001B">
        <w:rPr>
          <w:rFonts w:asciiTheme="minorHAnsi" w:hAnsiTheme="minorHAnsi" w:cstheme="minorHAnsi"/>
        </w:rPr>
        <w:t xml:space="preserve"> celkovou </w:t>
      </w:r>
      <w:r w:rsidRPr="003C001B">
        <w:rPr>
          <w:rFonts w:asciiTheme="minorHAnsi" w:hAnsiTheme="minorHAnsi" w:cstheme="minorHAnsi"/>
        </w:rPr>
        <w:t>ztrátou ve výši 4,6</w:t>
      </w:r>
      <w:r w:rsidR="00A702BC">
        <w:rPr>
          <w:rFonts w:asciiTheme="minorHAnsi" w:hAnsiTheme="minorHAnsi" w:cstheme="minorHAnsi"/>
        </w:rPr>
        <w:t> </w:t>
      </w:r>
      <w:r w:rsidRPr="003C001B">
        <w:rPr>
          <w:rFonts w:asciiTheme="minorHAnsi" w:hAnsiTheme="minorHAnsi" w:cstheme="minorHAnsi"/>
        </w:rPr>
        <w:t>mil. Kč bez DPH</w:t>
      </w:r>
      <w:r w:rsidR="003C001B">
        <w:rPr>
          <w:rFonts w:asciiTheme="minorHAnsi" w:hAnsiTheme="minorHAnsi" w:cstheme="minorHAnsi"/>
        </w:rPr>
        <w:t xml:space="preserve">, </w:t>
      </w:r>
      <w:r w:rsidR="00A702BC">
        <w:rPr>
          <w:rFonts w:asciiTheme="minorHAnsi" w:hAnsiTheme="minorHAnsi" w:cstheme="minorHAnsi"/>
        </w:rPr>
        <w:t>což bylo</w:t>
      </w:r>
      <w:r w:rsidR="003C001B">
        <w:rPr>
          <w:rFonts w:asciiTheme="minorHAnsi" w:hAnsiTheme="minorHAnsi" w:cstheme="minorHAnsi"/>
        </w:rPr>
        <w:t xml:space="preserve"> </w:t>
      </w:r>
      <w:r w:rsidR="003C001B" w:rsidRPr="003C001B">
        <w:rPr>
          <w:rFonts w:asciiTheme="minorHAnsi" w:hAnsiTheme="minorHAnsi" w:cstheme="minorHAnsi"/>
        </w:rPr>
        <w:t>49 % hodnoty</w:t>
      </w:r>
      <w:r w:rsidR="003C001B">
        <w:rPr>
          <w:rFonts w:asciiTheme="minorHAnsi" w:hAnsiTheme="minorHAnsi" w:cstheme="minorHAnsi"/>
        </w:rPr>
        <w:t xml:space="preserve"> celé zakázk</w:t>
      </w:r>
      <w:r w:rsidR="00A702BC">
        <w:rPr>
          <w:rFonts w:asciiTheme="minorHAnsi" w:hAnsiTheme="minorHAnsi" w:cstheme="minorHAnsi"/>
        </w:rPr>
        <w:t>y</w:t>
      </w:r>
      <w:r w:rsidRPr="003C001B">
        <w:rPr>
          <w:rFonts w:asciiTheme="minorHAnsi" w:hAnsiTheme="minorHAnsi" w:cstheme="minorHAnsi"/>
        </w:rPr>
        <w:t>.</w:t>
      </w:r>
    </w:p>
    <w:p w14:paraId="18AF73EA" w14:textId="77777777" w:rsidR="007A429D" w:rsidRDefault="007A429D" w:rsidP="007A429D">
      <w:pPr>
        <w:shd w:val="clear" w:color="auto" w:fill="FFFFFF"/>
        <w:tabs>
          <w:tab w:val="left" w:pos="426"/>
        </w:tabs>
        <w:jc w:val="both"/>
        <w:rPr>
          <w:rFonts w:ascii="Calibri" w:hAnsi="Calibri" w:cs="Calibri"/>
          <w:highlight w:val="yellow"/>
        </w:rPr>
      </w:pPr>
    </w:p>
    <w:p w14:paraId="1DFE9022" w14:textId="77777777" w:rsidR="002C0BBA" w:rsidRDefault="002C0BBA" w:rsidP="007A429D">
      <w:pPr>
        <w:shd w:val="clear" w:color="auto" w:fill="FFFFFF"/>
        <w:tabs>
          <w:tab w:val="left" w:pos="426"/>
        </w:tabs>
        <w:jc w:val="both"/>
        <w:rPr>
          <w:rFonts w:ascii="Calibri" w:hAnsi="Calibri" w:cs="Calibri"/>
          <w:highlight w:val="yellow"/>
        </w:rPr>
      </w:pPr>
    </w:p>
    <w:p w14:paraId="49EC1DB3" w14:textId="77777777" w:rsidR="002C0BBA" w:rsidRDefault="002C0BBA" w:rsidP="007A429D">
      <w:pPr>
        <w:shd w:val="clear" w:color="auto" w:fill="FFFFFF"/>
        <w:tabs>
          <w:tab w:val="left" w:pos="426"/>
        </w:tabs>
        <w:jc w:val="both"/>
        <w:rPr>
          <w:rFonts w:ascii="Calibri" w:hAnsi="Calibri" w:cs="Calibri"/>
          <w:highlight w:val="yellow"/>
        </w:rPr>
      </w:pPr>
    </w:p>
    <w:p w14:paraId="023C4275" w14:textId="77777777" w:rsidR="00C67212" w:rsidRPr="00642BB0" w:rsidRDefault="00C67212" w:rsidP="00371455">
      <w:pPr>
        <w:pStyle w:val="Nadpis1"/>
        <w:spacing w:before="0" w:after="0"/>
        <w:jc w:val="center"/>
        <w:rPr>
          <w:rFonts w:asciiTheme="minorHAnsi" w:hAnsiTheme="minorHAnsi" w:cstheme="minorHAnsi"/>
          <w:sz w:val="28"/>
          <w:szCs w:val="28"/>
        </w:rPr>
      </w:pPr>
      <w:r w:rsidRPr="00C53ECF">
        <w:rPr>
          <w:rFonts w:asciiTheme="minorHAnsi" w:hAnsiTheme="minorHAnsi" w:cstheme="minorHAnsi"/>
          <w:sz w:val="28"/>
          <w:szCs w:val="28"/>
        </w:rPr>
        <w:t>II. Informace o kontrolované oblasti</w:t>
      </w:r>
    </w:p>
    <w:p w14:paraId="5CCE4198" w14:textId="2A72E85E" w:rsidR="00C67212" w:rsidRPr="008202C7" w:rsidRDefault="002D513A" w:rsidP="00DD0364">
      <w:pPr>
        <w:shd w:val="clear" w:color="auto" w:fill="FFFFFF"/>
        <w:spacing w:before="240"/>
        <w:ind w:right="6"/>
        <w:jc w:val="both"/>
        <w:rPr>
          <w:rFonts w:asciiTheme="minorHAnsi" w:hAnsiTheme="minorHAnsi" w:cstheme="minorHAnsi"/>
        </w:rPr>
      </w:pPr>
      <w:r w:rsidRPr="002D513A">
        <w:rPr>
          <w:rFonts w:asciiTheme="minorHAnsi" w:hAnsiTheme="minorHAnsi" w:cstheme="minorHAnsi"/>
          <w:b/>
          <w:bCs/>
        </w:rPr>
        <w:t>2.1</w:t>
      </w:r>
      <w:r w:rsidRPr="00810A01">
        <w:rPr>
          <w:rFonts w:ascii="Calibri" w:hAnsi="Calibri" w:cs="Calibri"/>
        </w:rPr>
        <w:t xml:space="preserve"> </w:t>
      </w:r>
      <w:r w:rsidR="00C67212" w:rsidRPr="00892F12">
        <w:rPr>
          <w:rFonts w:asciiTheme="minorHAnsi" w:hAnsiTheme="minorHAnsi" w:cstheme="minorHAnsi"/>
          <w:b/>
        </w:rPr>
        <w:t>Armáda</w:t>
      </w:r>
      <w:r w:rsidR="00C67212" w:rsidRPr="00892F12">
        <w:rPr>
          <w:rFonts w:asciiTheme="minorHAnsi" w:hAnsiTheme="minorHAnsi" w:cstheme="minorHAnsi"/>
          <w:color w:val="000000" w:themeColor="text1"/>
        </w:rPr>
        <w:t xml:space="preserve"> je základní</w:t>
      </w:r>
      <w:r w:rsidR="00C67212" w:rsidRPr="008405B6">
        <w:rPr>
          <w:rFonts w:asciiTheme="minorHAnsi" w:hAnsiTheme="minorHAnsi" w:cstheme="minorHAnsi"/>
          <w:color w:val="000000" w:themeColor="text1"/>
        </w:rPr>
        <w:t xml:space="preserve"> součástí ozbrojených sil</w:t>
      </w:r>
      <w:r w:rsidR="006717CD">
        <w:rPr>
          <w:rFonts w:asciiTheme="minorHAnsi" w:hAnsiTheme="minorHAnsi" w:cstheme="minorHAnsi"/>
          <w:color w:val="000000" w:themeColor="text1"/>
        </w:rPr>
        <w:t xml:space="preserve"> ČR</w:t>
      </w:r>
      <w:r w:rsidR="005A52B5">
        <w:rPr>
          <w:rFonts w:asciiTheme="minorHAnsi" w:hAnsiTheme="minorHAnsi" w:cstheme="minorHAnsi"/>
          <w:color w:val="000000" w:themeColor="text1"/>
        </w:rPr>
        <w:t xml:space="preserve">. </w:t>
      </w:r>
      <w:r w:rsidR="00CC2061">
        <w:rPr>
          <w:rFonts w:asciiTheme="minorHAnsi" w:hAnsiTheme="minorHAnsi" w:cstheme="minorHAnsi"/>
          <w:color w:val="000000" w:themeColor="text1"/>
        </w:rPr>
        <w:t>Jejím z</w:t>
      </w:r>
      <w:r w:rsidR="00CC2061" w:rsidRPr="00CC2061">
        <w:rPr>
          <w:rFonts w:asciiTheme="minorHAnsi" w:hAnsiTheme="minorHAnsi" w:cstheme="minorHAnsi"/>
          <w:color w:val="000000" w:themeColor="text1"/>
        </w:rPr>
        <w:t>ákladním úkolem je připravovat se k obraně Č</w:t>
      </w:r>
      <w:r w:rsidR="00CC2061">
        <w:rPr>
          <w:rFonts w:asciiTheme="minorHAnsi" w:hAnsiTheme="minorHAnsi" w:cstheme="minorHAnsi"/>
          <w:color w:val="000000" w:themeColor="text1"/>
        </w:rPr>
        <w:t>R</w:t>
      </w:r>
      <w:r w:rsidR="00CC2061" w:rsidRPr="00CC2061">
        <w:rPr>
          <w:rFonts w:asciiTheme="minorHAnsi" w:hAnsiTheme="minorHAnsi" w:cstheme="minorHAnsi"/>
          <w:color w:val="000000" w:themeColor="text1"/>
        </w:rPr>
        <w:t xml:space="preserve"> a bránit ji proti vnějšímu napadení. </w:t>
      </w:r>
      <w:r w:rsidR="00D02C4E">
        <w:rPr>
          <w:rFonts w:asciiTheme="minorHAnsi" w:hAnsiTheme="minorHAnsi" w:cstheme="minorHAnsi"/>
          <w:color w:val="000000" w:themeColor="text1"/>
        </w:rPr>
        <w:t>P</w:t>
      </w:r>
      <w:r w:rsidR="00C67212" w:rsidRPr="008405B6">
        <w:rPr>
          <w:rFonts w:asciiTheme="minorHAnsi" w:hAnsiTheme="minorHAnsi" w:cstheme="minorHAnsi"/>
          <w:color w:val="000000" w:themeColor="text1"/>
        </w:rPr>
        <w:t>odílí</w:t>
      </w:r>
      <w:r w:rsidR="00D02C4E">
        <w:rPr>
          <w:rFonts w:asciiTheme="minorHAnsi" w:hAnsiTheme="minorHAnsi" w:cstheme="minorHAnsi"/>
          <w:color w:val="000000" w:themeColor="text1"/>
        </w:rPr>
        <w:t xml:space="preserve"> se také</w:t>
      </w:r>
      <w:r w:rsidR="00C67212" w:rsidRPr="008405B6">
        <w:rPr>
          <w:rFonts w:asciiTheme="minorHAnsi" w:hAnsiTheme="minorHAnsi" w:cstheme="minorHAnsi"/>
          <w:color w:val="000000" w:themeColor="text1"/>
        </w:rPr>
        <w:t xml:space="preserve"> na činnostech ve prospěch míru </w:t>
      </w:r>
      <w:r w:rsidR="003453AA">
        <w:rPr>
          <w:rFonts w:asciiTheme="minorHAnsi" w:hAnsiTheme="minorHAnsi" w:cstheme="minorHAnsi"/>
          <w:color w:val="000000" w:themeColor="text1"/>
        </w:rPr>
        <w:br/>
      </w:r>
      <w:r w:rsidR="00C67212" w:rsidRPr="008405B6">
        <w:rPr>
          <w:rFonts w:asciiTheme="minorHAnsi" w:hAnsiTheme="minorHAnsi" w:cstheme="minorHAnsi"/>
          <w:color w:val="000000" w:themeColor="text1"/>
        </w:rPr>
        <w:t>a</w:t>
      </w:r>
      <w:r w:rsidR="003453AA">
        <w:rPr>
          <w:rFonts w:asciiTheme="minorHAnsi" w:hAnsiTheme="minorHAnsi" w:cstheme="minorHAnsi"/>
          <w:color w:val="000000" w:themeColor="text1"/>
        </w:rPr>
        <w:t xml:space="preserve"> </w:t>
      </w:r>
      <w:r w:rsidR="00C67212" w:rsidRPr="008405B6">
        <w:rPr>
          <w:rFonts w:asciiTheme="minorHAnsi" w:hAnsiTheme="minorHAnsi" w:cstheme="minorHAnsi"/>
          <w:color w:val="000000" w:themeColor="text1"/>
        </w:rPr>
        <w:t>bezpečnosti a účastní se vojenských cvičení na</w:t>
      </w:r>
      <w:r w:rsidR="00CB1B41">
        <w:rPr>
          <w:rFonts w:asciiTheme="minorHAnsi" w:hAnsiTheme="minorHAnsi" w:cstheme="minorHAnsi"/>
          <w:color w:val="000000" w:themeColor="text1"/>
        </w:rPr>
        <w:t xml:space="preserve"> </w:t>
      </w:r>
      <w:r w:rsidR="00C67212" w:rsidRPr="008405B6">
        <w:rPr>
          <w:rFonts w:asciiTheme="minorHAnsi" w:hAnsiTheme="minorHAnsi" w:cstheme="minorHAnsi"/>
          <w:color w:val="000000" w:themeColor="text1"/>
        </w:rPr>
        <w:t>území ČR nebo v zahraničí.</w:t>
      </w:r>
      <w:r w:rsidR="00C67212" w:rsidRPr="008405B6">
        <w:rPr>
          <w:rFonts w:asciiTheme="minorHAnsi" w:hAnsiTheme="minorHAnsi" w:cstheme="minorHAnsi"/>
        </w:rPr>
        <w:t xml:space="preserve"> Velení </w:t>
      </w:r>
      <w:r w:rsidR="005A52B5">
        <w:rPr>
          <w:rFonts w:asciiTheme="minorHAnsi" w:hAnsiTheme="minorHAnsi" w:cstheme="minorHAnsi"/>
        </w:rPr>
        <w:t xml:space="preserve">jí </w:t>
      </w:r>
      <w:r w:rsidR="00C67212" w:rsidRPr="008405B6">
        <w:rPr>
          <w:rFonts w:asciiTheme="minorHAnsi" w:hAnsiTheme="minorHAnsi" w:cstheme="minorHAnsi"/>
        </w:rPr>
        <w:t>zabezpečuje Generální štáb Armády, který je součástí M</w:t>
      </w:r>
      <w:r w:rsidR="005B0FAF">
        <w:rPr>
          <w:rFonts w:asciiTheme="minorHAnsi" w:hAnsiTheme="minorHAnsi" w:cstheme="minorHAnsi"/>
        </w:rPr>
        <w:t>O</w:t>
      </w:r>
      <w:r w:rsidR="00C67212" w:rsidRPr="008405B6">
        <w:rPr>
          <w:rFonts w:asciiTheme="minorHAnsi" w:hAnsiTheme="minorHAnsi" w:cstheme="minorHAnsi"/>
        </w:rPr>
        <w:t xml:space="preserve"> jako</w:t>
      </w:r>
      <w:r w:rsidR="00C67212" w:rsidRPr="00FE0C22">
        <w:rPr>
          <w:rFonts w:asciiTheme="minorHAnsi" w:hAnsiTheme="minorHAnsi" w:cstheme="minorHAnsi"/>
        </w:rPr>
        <w:t xml:space="preserve"> </w:t>
      </w:r>
      <w:r w:rsidR="00C67212">
        <w:rPr>
          <w:rFonts w:asciiTheme="minorHAnsi" w:hAnsiTheme="minorHAnsi" w:cstheme="minorHAnsi"/>
        </w:rPr>
        <w:t>organizační složky státu a</w:t>
      </w:r>
      <w:r w:rsidR="005B0FAF">
        <w:rPr>
          <w:rFonts w:asciiTheme="minorHAnsi" w:hAnsiTheme="minorHAnsi" w:cstheme="minorHAnsi"/>
        </w:rPr>
        <w:t> </w:t>
      </w:r>
      <w:r w:rsidR="00C67212" w:rsidRPr="00FE0C22">
        <w:rPr>
          <w:rFonts w:asciiTheme="minorHAnsi" w:hAnsiTheme="minorHAnsi" w:cstheme="minorHAnsi"/>
        </w:rPr>
        <w:t>ústřední</w:t>
      </w:r>
      <w:r w:rsidR="00C67212">
        <w:rPr>
          <w:rFonts w:asciiTheme="minorHAnsi" w:hAnsiTheme="minorHAnsi" w:cstheme="minorHAnsi"/>
        </w:rPr>
        <w:t>ho</w:t>
      </w:r>
      <w:r w:rsidR="00C67212" w:rsidRPr="00341CAF">
        <w:rPr>
          <w:rFonts w:asciiTheme="minorHAnsi" w:hAnsiTheme="minorHAnsi" w:cstheme="minorHAnsi"/>
        </w:rPr>
        <w:t xml:space="preserve"> orgán</w:t>
      </w:r>
      <w:r w:rsidR="00C67212">
        <w:rPr>
          <w:rFonts w:asciiTheme="minorHAnsi" w:hAnsiTheme="minorHAnsi" w:cstheme="minorHAnsi"/>
        </w:rPr>
        <w:t>u</w:t>
      </w:r>
      <w:r w:rsidR="00C67212" w:rsidRPr="00341CAF">
        <w:rPr>
          <w:rFonts w:asciiTheme="minorHAnsi" w:hAnsiTheme="minorHAnsi" w:cstheme="minorHAnsi"/>
        </w:rPr>
        <w:t xml:space="preserve"> státní správy.</w:t>
      </w:r>
      <w:r w:rsidR="00C67212">
        <w:rPr>
          <w:rFonts w:asciiTheme="minorHAnsi" w:hAnsiTheme="minorHAnsi" w:cstheme="minorHAnsi"/>
        </w:rPr>
        <w:t xml:space="preserve"> Celkové výdaje MO v kontrolovaném </w:t>
      </w:r>
      <w:r w:rsidR="00C67212" w:rsidRPr="0088636A">
        <w:rPr>
          <w:rFonts w:asciiTheme="minorHAnsi" w:hAnsiTheme="minorHAnsi" w:cstheme="minorHAnsi"/>
        </w:rPr>
        <w:t xml:space="preserve">období uvádí příloha č. 1. </w:t>
      </w:r>
      <w:r w:rsidR="005A52B5" w:rsidRPr="0088636A">
        <w:rPr>
          <w:rFonts w:asciiTheme="minorHAnsi" w:hAnsiTheme="minorHAnsi" w:cstheme="minorHAnsi"/>
        </w:rPr>
        <w:t>Z ní je patrné, že r</w:t>
      </w:r>
      <w:r w:rsidR="00D02C4E" w:rsidRPr="0088636A">
        <w:rPr>
          <w:rFonts w:asciiTheme="minorHAnsi" w:hAnsiTheme="minorHAnsi" w:cstheme="minorHAnsi"/>
        </w:rPr>
        <w:t xml:space="preserve">ozpočet výdajů </w:t>
      </w:r>
      <w:r w:rsidR="008E0556" w:rsidRPr="0088636A">
        <w:rPr>
          <w:rFonts w:asciiTheme="minorHAnsi" w:hAnsiTheme="minorHAnsi" w:cstheme="minorHAnsi"/>
        </w:rPr>
        <w:t xml:space="preserve">na obranu </w:t>
      </w:r>
      <w:r w:rsidR="006717CD" w:rsidRPr="0088636A">
        <w:rPr>
          <w:rFonts w:asciiTheme="minorHAnsi" w:hAnsiTheme="minorHAnsi" w:cstheme="minorHAnsi"/>
        </w:rPr>
        <w:t>výrazně</w:t>
      </w:r>
      <w:r w:rsidR="00D02C4E" w:rsidRPr="0088636A">
        <w:rPr>
          <w:rFonts w:asciiTheme="minorHAnsi" w:hAnsiTheme="minorHAnsi" w:cstheme="minorHAnsi"/>
        </w:rPr>
        <w:t xml:space="preserve"> narůstal. Vynalož</w:t>
      </w:r>
      <w:r w:rsidR="00D02C4E">
        <w:rPr>
          <w:rFonts w:asciiTheme="minorHAnsi" w:hAnsiTheme="minorHAnsi" w:cstheme="minorHAnsi"/>
        </w:rPr>
        <w:t>ené v</w:t>
      </w:r>
      <w:r w:rsidR="00C67212">
        <w:rPr>
          <w:rFonts w:asciiTheme="minorHAnsi" w:hAnsiTheme="minorHAnsi" w:cstheme="minorHAnsi"/>
        </w:rPr>
        <w:t xml:space="preserve">ýdaje </w:t>
      </w:r>
      <w:r w:rsidR="008E0556">
        <w:rPr>
          <w:rFonts w:asciiTheme="minorHAnsi" w:hAnsiTheme="minorHAnsi" w:cstheme="minorHAnsi"/>
        </w:rPr>
        <w:t xml:space="preserve">MO </w:t>
      </w:r>
      <w:r w:rsidR="00C67212">
        <w:rPr>
          <w:rFonts w:asciiTheme="minorHAnsi" w:hAnsiTheme="minorHAnsi" w:cstheme="minorHAnsi"/>
        </w:rPr>
        <w:t>se zv</w:t>
      </w:r>
      <w:r w:rsidR="00D02C4E">
        <w:rPr>
          <w:rFonts w:asciiTheme="minorHAnsi" w:hAnsiTheme="minorHAnsi" w:cstheme="minorHAnsi"/>
        </w:rPr>
        <w:t xml:space="preserve">ýšily </w:t>
      </w:r>
      <w:r w:rsidR="00C67212">
        <w:rPr>
          <w:rFonts w:asciiTheme="minorHAnsi" w:hAnsiTheme="minorHAnsi" w:cstheme="minorHAnsi"/>
        </w:rPr>
        <w:t xml:space="preserve">z 59,8 mld. Kč v roce 2018 až </w:t>
      </w:r>
      <w:r w:rsidR="00C67212" w:rsidRPr="0019793C">
        <w:rPr>
          <w:rFonts w:asciiTheme="minorHAnsi" w:hAnsiTheme="minorHAnsi" w:cstheme="minorHAnsi"/>
        </w:rPr>
        <w:t>na 9</w:t>
      </w:r>
      <w:r w:rsidR="0019793C" w:rsidRPr="0019793C">
        <w:rPr>
          <w:rFonts w:asciiTheme="minorHAnsi" w:hAnsiTheme="minorHAnsi" w:cstheme="minorHAnsi"/>
        </w:rPr>
        <w:t>0</w:t>
      </w:r>
      <w:r w:rsidR="005A5F62" w:rsidRPr="0019793C">
        <w:rPr>
          <w:rFonts w:asciiTheme="minorHAnsi" w:hAnsiTheme="minorHAnsi" w:cstheme="minorHAnsi"/>
        </w:rPr>
        <w:t>,</w:t>
      </w:r>
      <w:r w:rsidR="0019793C" w:rsidRPr="0019793C">
        <w:rPr>
          <w:rFonts w:asciiTheme="minorHAnsi" w:hAnsiTheme="minorHAnsi" w:cstheme="minorHAnsi"/>
        </w:rPr>
        <w:t>8</w:t>
      </w:r>
      <w:r w:rsidR="00C67212" w:rsidRPr="0019793C">
        <w:rPr>
          <w:rFonts w:asciiTheme="minorHAnsi" w:hAnsiTheme="minorHAnsi" w:cstheme="minorHAnsi"/>
        </w:rPr>
        <w:t xml:space="preserve"> mld. Kč</w:t>
      </w:r>
      <w:r w:rsidR="005A5F62" w:rsidRPr="0019793C">
        <w:rPr>
          <w:rStyle w:val="Znakapoznpodarou"/>
          <w:rFonts w:asciiTheme="minorHAnsi" w:hAnsiTheme="minorHAnsi" w:cstheme="minorHAnsi"/>
        </w:rPr>
        <w:footnoteReference w:id="16"/>
      </w:r>
      <w:r w:rsidR="00C67212" w:rsidRPr="0019793C">
        <w:rPr>
          <w:rFonts w:asciiTheme="minorHAnsi" w:hAnsiTheme="minorHAnsi" w:cstheme="minorHAnsi"/>
        </w:rPr>
        <w:t xml:space="preserve"> v</w:t>
      </w:r>
      <w:r w:rsidR="00C67212">
        <w:rPr>
          <w:rFonts w:asciiTheme="minorHAnsi" w:hAnsiTheme="minorHAnsi" w:cstheme="minorHAnsi"/>
        </w:rPr>
        <w:t> roce 2022</w:t>
      </w:r>
      <w:r w:rsidR="006717CD">
        <w:rPr>
          <w:rFonts w:asciiTheme="minorHAnsi" w:hAnsiTheme="minorHAnsi" w:cstheme="minorHAnsi"/>
        </w:rPr>
        <w:t xml:space="preserve">, tj. celkem </w:t>
      </w:r>
      <w:r w:rsidR="006717CD" w:rsidRPr="00C85827">
        <w:rPr>
          <w:rFonts w:asciiTheme="minorHAnsi" w:hAnsiTheme="minorHAnsi" w:cstheme="minorHAnsi"/>
        </w:rPr>
        <w:t xml:space="preserve">o </w:t>
      </w:r>
      <w:r w:rsidR="007D15F3" w:rsidRPr="00C85827">
        <w:rPr>
          <w:rFonts w:asciiTheme="minorHAnsi" w:hAnsiTheme="minorHAnsi" w:cstheme="minorHAnsi"/>
        </w:rPr>
        <w:t>5</w:t>
      </w:r>
      <w:r w:rsidR="00C85827" w:rsidRPr="00C85827">
        <w:rPr>
          <w:rFonts w:asciiTheme="minorHAnsi" w:hAnsiTheme="minorHAnsi" w:cstheme="minorHAnsi"/>
        </w:rPr>
        <w:t>1,8</w:t>
      </w:r>
      <w:r w:rsidR="006717CD" w:rsidRPr="00C85827">
        <w:rPr>
          <w:rFonts w:asciiTheme="minorHAnsi" w:hAnsiTheme="minorHAnsi" w:cstheme="minorHAnsi"/>
        </w:rPr>
        <w:t xml:space="preserve"> %</w:t>
      </w:r>
      <w:r w:rsidR="00C67212" w:rsidRPr="00C85827">
        <w:rPr>
          <w:rFonts w:asciiTheme="minorHAnsi" w:hAnsiTheme="minorHAnsi" w:cstheme="minorHAnsi"/>
        </w:rPr>
        <w:t>. Na rok 2023 byl schválen rozpočet výdajů ve výši 111,8 mld. Kč</w:t>
      </w:r>
      <w:r w:rsidR="006717CD" w:rsidRPr="00C85827">
        <w:rPr>
          <w:rFonts w:asciiTheme="minorHAnsi" w:hAnsiTheme="minorHAnsi" w:cstheme="minorHAnsi"/>
        </w:rPr>
        <w:t xml:space="preserve">, tj. s navýšením o dalších </w:t>
      </w:r>
      <w:r w:rsidR="007D15F3" w:rsidRPr="00C85827">
        <w:rPr>
          <w:rFonts w:asciiTheme="minorHAnsi" w:hAnsiTheme="minorHAnsi" w:cstheme="minorHAnsi"/>
        </w:rPr>
        <w:t>3</w:t>
      </w:r>
      <w:r w:rsidR="00C85827" w:rsidRPr="00C85827">
        <w:rPr>
          <w:rFonts w:asciiTheme="minorHAnsi" w:hAnsiTheme="minorHAnsi" w:cstheme="minorHAnsi"/>
        </w:rPr>
        <w:t>5,1</w:t>
      </w:r>
      <w:r w:rsidR="006717CD" w:rsidRPr="00C85827">
        <w:rPr>
          <w:rFonts w:asciiTheme="minorHAnsi" w:hAnsiTheme="minorHAnsi" w:cstheme="minorHAnsi"/>
        </w:rPr>
        <w:t xml:space="preserve"> %</w:t>
      </w:r>
      <w:r w:rsidR="006717CD" w:rsidRPr="006717CD">
        <w:rPr>
          <w:rFonts w:asciiTheme="minorHAnsi" w:hAnsiTheme="minorHAnsi" w:cstheme="minorHAnsi"/>
        </w:rPr>
        <w:t xml:space="preserve"> oproti </w:t>
      </w:r>
      <w:r w:rsidR="006717CD">
        <w:rPr>
          <w:rFonts w:asciiTheme="minorHAnsi" w:hAnsiTheme="minorHAnsi" w:cstheme="minorHAnsi"/>
        </w:rPr>
        <w:t xml:space="preserve">výdajům </w:t>
      </w:r>
      <w:r w:rsidR="006717CD" w:rsidRPr="006717CD">
        <w:rPr>
          <w:rFonts w:asciiTheme="minorHAnsi" w:hAnsiTheme="minorHAnsi" w:cstheme="minorHAnsi"/>
        </w:rPr>
        <w:t>roku 2018.</w:t>
      </w:r>
    </w:p>
    <w:p w14:paraId="6FB73BCF" w14:textId="15491B38" w:rsidR="007801D6" w:rsidRPr="007801D6" w:rsidRDefault="002D513A" w:rsidP="004E0265">
      <w:pPr>
        <w:spacing w:before="120"/>
        <w:jc w:val="both"/>
        <w:rPr>
          <w:rFonts w:asciiTheme="minorHAnsi" w:hAnsiTheme="minorHAnsi" w:cstheme="minorHAnsi"/>
        </w:rPr>
      </w:pPr>
      <w:r w:rsidRPr="002D513A">
        <w:rPr>
          <w:rFonts w:asciiTheme="minorHAnsi" w:hAnsiTheme="minorHAnsi" w:cstheme="minorHAnsi"/>
          <w:b/>
          <w:bCs/>
        </w:rPr>
        <w:lastRenderedPageBreak/>
        <w:t>2.</w:t>
      </w:r>
      <w:r>
        <w:rPr>
          <w:rFonts w:asciiTheme="minorHAnsi" w:hAnsiTheme="minorHAnsi" w:cstheme="minorHAnsi"/>
          <w:b/>
          <w:bCs/>
        </w:rPr>
        <w:t>2</w:t>
      </w:r>
      <w:r w:rsidRPr="00810A01">
        <w:rPr>
          <w:rFonts w:asciiTheme="minorHAnsi" w:hAnsiTheme="minorHAnsi" w:cstheme="minorHAnsi"/>
        </w:rPr>
        <w:t xml:space="preserve"> </w:t>
      </w:r>
      <w:r w:rsidR="00C67212" w:rsidRPr="006717CD">
        <w:rPr>
          <w:rFonts w:asciiTheme="minorHAnsi" w:hAnsiTheme="minorHAnsi" w:cstheme="minorHAnsi"/>
          <w:b/>
        </w:rPr>
        <w:t xml:space="preserve">Automobilní technika </w:t>
      </w:r>
      <w:r w:rsidR="00C67212" w:rsidRPr="00F25923">
        <w:rPr>
          <w:rFonts w:asciiTheme="minorHAnsi" w:hAnsiTheme="minorHAnsi" w:cstheme="minorHAnsi"/>
        </w:rPr>
        <w:t>Armády z</w:t>
      </w:r>
      <w:r w:rsidR="00C67212" w:rsidRPr="009400E4">
        <w:rPr>
          <w:rFonts w:asciiTheme="minorHAnsi" w:hAnsiTheme="minorHAnsi" w:cstheme="minorHAnsi"/>
        </w:rPr>
        <w:t>ahrnuje</w:t>
      </w:r>
      <w:r w:rsidR="00C67212" w:rsidRPr="008405B6">
        <w:rPr>
          <w:rFonts w:asciiTheme="minorHAnsi" w:hAnsiTheme="minorHAnsi" w:cstheme="minorHAnsi"/>
        </w:rPr>
        <w:t xml:space="preserve"> pozemní silniční a vojensk</w:t>
      </w:r>
      <w:r w:rsidR="009400E4">
        <w:rPr>
          <w:rFonts w:asciiTheme="minorHAnsi" w:hAnsiTheme="minorHAnsi" w:cstheme="minorHAnsi"/>
        </w:rPr>
        <w:t>ou</w:t>
      </w:r>
      <w:r w:rsidR="00C67212" w:rsidRPr="008405B6">
        <w:rPr>
          <w:rFonts w:asciiTheme="minorHAnsi" w:hAnsiTheme="minorHAnsi" w:cstheme="minorHAnsi"/>
        </w:rPr>
        <w:t xml:space="preserve"> kolov</w:t>
      </w:r>
      <w:r w:rsidR="009400E4">
        <w:rPr>
          <w:rFonts w:asciiTheme="minorHAnsi" w:hAnsiTheme="minorHAnsi" w:cstheme="minorHAnsi"/>
        </w:rPr>
        <w:t>ou</w:t>
      </w:r>
      <w:r w:rsidR="00C67212" w:rsidRPr="008405B6">
        <w:rPr>
          <w:rFonts w:asciiTheme="minorHAnsi" w:hAnsiTheme="minorHAnsi" w:cstheme="minorHAnsi"/>
        </w:rPr>
        <w:t xml:space="preserve"> </w:t>
      </w:r>
      <w:r w:rsidR="009400E4">
        <w:rPr>
          <w:rFonts w:asciiTheme="minorHAnsi" w:hAnsiTheme="minorHAnsi" w:cstheme="minorHAnsi"/>
        </w:rPr>
        <w:t xml:space="preserve">techniku </w:t>
      </w:r>
      <w:r w:rsidR="00C67212" w:rsidRPr="008405B6">
        <w:rPr>
          <w:rFonts w:asciiTheme="minorHAnsi" w:hAnsiTheme="minorHAnsi" w:cstheme="minorHAnsi"/>
        </w:rPr>
        <w:t>určen</w:t>
      </w:r>
      <w:r w:rsidR="009400E4">
        <w:rPr>
          <w:rFonts w:asciiTheme="minorHAnsi" w:hAnsiTheme="minorHAnsi" w:cstheme="minorHAnsi"/>
        </w:rPr>
        <w:t>ou</w:t>
      </w:r>
      <w:r w:rsidR="00C67212" w:rsidRPr="008405B6">
        <w:rPr>
          <w:rFonts w:asciiTheme="minorHAnsi" w:hAnsiTheme="minorHAnsi" w:cstheme="minorHAnsi"/>
        </w:rPr>
        <w:t xml:space="preserve"> k přepravě osob</w:t>
      </w:r>
      <w:r w:rsidR="00C67212">
        <w:rPr>
          <w:rFonts w:asciiTheme="minorHAnsi" w:hAnsiTheme="minorHAnsi" w:cstheme="minorHAnsi"/>
        </w:rPr>
        <w:t xml:space="preserve"> </w:t>
      </w:r>
      <w:r w:rsidR="009400E4">
        <w:rPr>
          <w:rFonts w:asciiTheme="minorHAnsi" w:hAnsiTheme="minorHAnsi" w:cstheme="minorHAnsi"/>
        </w:rPr>
        <w:t>a</w:t>
      </w:r>
      <w:r w:rsidR="00C67212">
        <w:rPr>
          <w:rFonts w:asciiTheme="minorHAnsi" w:hAnsiTheme="minorHAnsi" w:cstheme="minorHAnsi"/>
        </w:rPr>
        <w:t xml:space="preserve"> materiálu. </w:t>
      </w:r>
      <w:r w:rsidR="008E0556">
        <w:rPr>
          <w:rFonts w:asciiTheme="minorHAnsi" w:hAnsiTheme="minorHAnsi" w:cstheme="minorHAnsi"/>
        </w:rPr>
        <w:t>T</w:t>
      </w:r>
      <w:r w:rsidR="005A52B5">
        <w:rPr>
          <w:rFonts w:asciiTheme="minorHAnsi" w:hAnsiTheme="minorHAnsi" w:cstheme="minorHAnsi"/>
        </w:rPr>
        <w:t>ato t</w:t>
      </w:r>
      <w:r w:rsidR="008E0556">
        <w:rPr>
          <w:rFonts w:asciiTheme="minorHAnsi" w:hAnsiTheme="minorHAnsi" w:cstheme="minorHAnsi"/>
        </w:rPr>
        <w:t>echnika m</w:t>
      </w:r>
      <w:r w:rsidR="00C67212">
        <w:rPr>
          <w:rFonts w:asciiTheme="minorHAnsi" w:hAnsiTheme="minorHAnsi" w:cstheme="minorHAnsi"/>
        </w:rPr>
        <w:t>ůže mít i balistickou ochranu, a</w:t>
      </w:r>
      <w:r w:rsidR="005A52B5">
        <w:rPr>
          <w:rFonts w:asciiTheme="minorHAnsi" w:hAnsiTheme="minorHAnsi" w:cstheme="minorHAnsi"/>
        </w:rPr>
        <w:t>však</w:t>
      </w:r>
      <w:r w:rsidR="00C67212">
        <w:rPr>
          <w:rFonts w:asciiTheme="minorHAnsi" w:hAnsiTheme="minorHAnsi" w:cstheme="minorHAnsi"/>
        </w:rPr>
        <w:t xml:space="preserve"> nejedná se o bojovou techniku. </w:t>
      </w:r>
      <w:r w:rsidR="009400E4">
        <w:rPr>
          <w:rFonts w:asciiTheme="minorHAnsi" w:hAnsiTheme="minorHAnsi" w:cstheme="minorHAnsi"/>
        </w:rPr>
        <w:t xml:space="preserve">Patří sem například osobní silniční a terénní automobily, nákladní automobily včetně verzí se speciálními nástavbami, přívěsy, návěsy a podvalníky určené pro výkon logistické podpory u všech druhů vojsk. </w:t>
      </w:r>
      <w:r w:rsidR="00C67212">
        <w:rPr>
          <w:rFonts w:asciiTheme="minorHAnsi" w:hAnsiTheme="minorHAnsi" w:cstheme="minorHAnsi"/>
        </w:rPr>
        <w:t>K</w:t>
      </w:r>
      <w:r w:rsidR="00C67212" w:rsidRPr="001953FB">
        <w:rPr>
          <w:rFonts w:asciiTheme="minorHAnsi" w:hAnsiTheme="minorHAnsi" w:cstheme="minorHAnsi"/>
        </w:rPr>
        <w:t>e konci roku 202</w:t>
      </w:r>
      <w:r w:rsidR="00C67212">
        <w:rPr>
          <w:rFonts w:asciiTheme="minorHAnsi" w:hAnsiTheme="minorHAnsi" w:cstheme="minorHAnsi"/>
        </w:rPr>
        <w:t>1 bylo MO</w:t>
      </w:r>
      <w:r w:rsidR="00C67212" w:rsidRPr="001953FB">
        <w:rPr>
          <w:rFonts w:asciiTheme="minorHAnsi" w:hAnsiTheme="minorHAnsi" w:cstheme="minorHAnsi"/>
        </w:rPr>
        <w:t xml:space="preserve"> příslušné </w:t>
      </w:r>
      <w:r w:rsidR="00C67212" w:rsidRPr="0088636A">
        <w:rPr>
          <w:rFonts w:asciiTheme="minorHAnsi" w:hAnsiTheme="minorHAnsi" w:cstheme="minorHAnsi"/>
        </w:rPr>
        <w:t>hospodařit s celkov</w:t>
      </w:r>
      <w:r w:rsidR="007801D6" w:rsidRPr="0088636A">
        <w:rPr>
          <w:rFonts w:asciiTheme="minorHAnsi" w:hAnsiTheme="minorHAnsi" w:cstheme="minorHAnsi"/>
        </w:rPr>
        <w:t>ým</w:t>
      </w:r>
      <w:r w:rsidR="00C67212" w:rsidRPr="0088636A">
        <w:rPr>
          <w:rFonts w:asciiTheme="minorHAnsi" w:hAnsiTheme="minorHAnsi" w:cstheme="minorHAnsi"/>
          <w:b/>
        </w:rPr>
        <w:t xml:space="preserve"> </w:t>
      </w:r>
      <w:r w:rsidR="00C67212" w:rsidRPr="0088636A">
        <w:rPr>
          <w:rFonts w:asciiTheme="minorHAnsi" w:hAnsiTheme="minorHAnsi" w:cstheme="minorHAnsi"/>
        </w:rPr>
        <w:t>poč</w:t>
      </w:r>
      <w:r w:rsidR="007801D6" w:rsidRPr="0088636A">
        <w:rPr>
          <w:rFonts w:asciiTheme="minorHAnsi" w:hAnsiTheme="minorHAnsi" w:cstheme="minorHAnsi"/>
        </w:rPr>
        <w:t>tem</w:t>
      </w:r>
      <w:r w:rsidR="00C67212" w:rsidRPr="0088636A">
        <w:rPr>
          <w:rFonts w:asciiTheme="minorHAnsi" w:hAnsiTheme="minorHAnsi" w:cstheme="minorHAnsi"/>
        </w:rPr>
        <w:t xml:space="preserve"> 9 605 </w:t>
      </w:r>
      <w:r w:rsidR="009400E4" w:rsidRPr="0088636A">
        <w:rPr>
          <w:rFonts w:asciiTheme="minorHAnsi" w:hAnsiTheme="minorHAnsi" w:cstheme="minorHAnsi"/>
        </w:rPr>
        <w:t>kusů automobilní techniky</w:t>
      </w:r>
      <w:r w:rsidR="00C67212" w:rsidRPr="0088636A">
        <w:rPr>
          <w:rFonts w:asciiTheme="minorHAnsi" w:hAnsiTheme="minorHAnsi" w:cstheme="minorHAnsi"/>
        </w:rPr>
        <w:t xml:space="preserve"> </w:t>
      </w:r>
      <w:r w:rsidR="007801D6" w:rsidRPr="0088636A">
        <w:rPr>
          <w:rFonts w:asciiTheme="minorHAnsi" w:hAnsiTheme="minorHAnsi" w:cstheme="minorHAnsi"/>
        </w:rPr>
        <w:t>v</w:t>
      </w:r>
      <w:r w:rsidR="009F3322" w:rsidRPr="0088636A">
        <w:rPr>
          <w:rFonts w:asciiTheme="minorHAnsi" w:hAnsiTheme="minorHAnsi" w:cstheme="minorHAnsi"/>
        </w:rPr>
        <w:t xml:space="preserve"> zůstatkové </w:t>
      </w:r>
      <w:r w:rsidR="00C67212" w:rsidRPr="0088636A">
        <w:rPr>
          <w:rFonts w:asciiTheme="minorHAnsi" w:hAnsiTheme="minorHAnsi" w:cstheme="minorHAnsi"/>
        </w:rPr>
        <w:t xml:space="preserve">účetní hodnotě 9,4 mld. Kč (příloha č. 2). </w:t>
      </w:r>
      <w:r w:rsidR="005A52B5" w:rsidRPr="0088636A">
        <w:rPr>
          <w:rFonts w:asciiTheme="minorHAnsi" w:hAnsiTheme="minorHAnsi" w:cstheme="minorHAnsi"/>
        </w:rPr>
        <w:t>J</w:t>
      </w:r>
      <w:r w:rsidR="00C67212" w:rsidRPr="0088636A">
        <w:rPr>
          <w:rFonts w:asciiTheme="minorHAnsi" w:hAnsiTheme="minorHAnsi" w:cstheme="minorHAnsi"/>
        </w:rPr>
        <w:t xml:space="preserve">ednalo </w:t>
      </w:r>
      <w:r w:rsidR="005A52B5" w:rsidRPr="0088636A">
        <w:rPr>
          <w:rFonts w:asciiTheme="minorHAnsi" w:hAnsiTheme="minorHAnsi" w:cstheme="minorHAnsi"/>
        </w:rPr>
        <w:t xml:space="preserve">se </w:t>
      </w:r>
      <w:r w:rsidR="00C67212" w:rsidRPr="0088636A">
        <w:rPr>
          <w:rFonts w:asciiTheme="minorHAnsi" w:hAnsiTheme="minorHAnsi" w:cstheme="minorHAnsi"/>
        </w:rPr>
        <w:t>o </w:t>
      </w:r>
      <w:r w:rsidR="007801D6" w:rsidRPr="0088636A">
        <w:rPr>
          <w:rFonts w:asciiTheme="minorHAnsi" w:hAnsiTheme="minorHAnsi" w:cstheme="minorHAnsi"/>
        </w:rPr>
        <w:t xml:space="preserve">cca </w:t>
      </w:r>
      <w:r w:rsidR="00C67212" w:rsidRPr="0088636A">
        <w:rPr>
          <w:rFonts w:asciiTheme="minorHAnsi" w:hAnsiTheme="minorHAnsi" w:cstheme="minorHAnsi"/>
        </w:rPr>
        <w:t xml:space="preserve">750 druhů </w:t>
      </w:r>
      <w:r w:rsidR="00AE0410" w:rsidRPr="0088636A">
        <w:rPr>
          <w:rFonts w:asciiTheme="minorHAnsi" w:hAnsiTheme="minorHAnsi" w:cstheme="minorHAnsi"/>
        </w:rPr>
        <w:t xml:space="preserve">a typů </w:t>
      </w:r>
      <w:r w:rsidR="009400E4" w:rsidRPr="0088636A">
        <w:rPr>
          <w:rFonts w:asciiTheme="minorHAnsi" w:hAnsiTheme="minorHAnsi" w:cstheme="minorHAnsi"/>
        </w:rPr>
        <w:t>vozidel</w:t>
      </w:r>
      <w:r w:rsidR="00AE0410" w:rsidRPr="0088636A">
        <w:rPr>
          <w:rFonts w:asciiTheme="minorHAnsi" w:hAnsiTheme="minorHAnsi" w:cstheme="minorHAnsi"/>
        </w:rPr>
        <w:t xml:space="preserve"> </w:t>
      </w:r>
      <w:r w:rsidR="00C67212" w:rsidRPr="0088636A">
        <w:rPr>
          <w:rFonts w:asciiTheme="minorHAnsi" w:hAnsiTheme="minorHAnsi" w:cstheme="minorHAnsi"/>
        </w:rPr>
        <w:t>používan</w:t>
      </w:r>
      <w:r w:rsidR="009400E4" w:rsidRPr="0088636A">
        <w:rPr>
          <w:rFonts w:asciiTheme="minorHAnsi" w:hAnsiTheme="minorHAnsi" w:cstheme="minorHAnsi"/>
        </w:rPr>
        <w:t>ých</w:t>
      </w:r>
      <w:r w:rsidR="00C67212" w:rsidRPr="0088636A">
        <w:rPr>
          <w:rFonts w:asciiTheme="minorHAnsi" w:hAnsiTheme="minorHAnsi" w:cstheme="minorHAnsi"/>
        </w:rPr>
        <w:t xml:space="preserve"> více než 100 organizačními celky Armády</w:t>
      </w:r>
      <w:r w:rsidR="00C67212">
        <w:rPr>
          <w:rFonts w:asciiTheme="minorHAnsi" w:hAnsiTheme="minorHAnsi" w:cstheme="minorHAnsi"/>
        </w:rPr>
        <w:t xml:space="preserve"> včetně zahraničních pracovišť a</w:t>
      </w:r>
      <w:r w:rsidR="0003255E">
        <w:rPr>
          <w:rFonts w:asciiTheme="minorHAnsi" w:hAnsiTheme="minorHAnsi" w:cstheme="minorHAnsi"/>
        </w:rPr>
        <w:t xml:space="preserve"> </w:t>
      </w:r>
      <w:r w:rsidR="00C67212">
        <w:rPr>
          <w:rFonts w:asciiTheme="minorHAnsi" w:hAnsiTheme="minorHAnsi" w:cstheme="minorHAnsi"/>
        </w:rPr>
        <w:t>zahraničních operací.</w:t>
      </w:r>
      <w:r w:rsidR="009F3322">
        <w:rPr>
          <w:rFonts w:asciiTheme="minorHAnsi" w:hAnsiTheme="minorHAnsi" w:cstheme="minorHAnsi"/>
        </w:rPr>
        <w:t xml:space="preserve"> Průměrné stáří </w:t>
      </w:r>
      <w:r w:rsidR="00F156D9">
        <w:rPr>
          <w:rFonts w:asciiTheme="minorHAnsi" w:hAnsiTheme="minorHAnsi" w:cstheme="minorHAnsi"/>
        </w:rPr>
        <w:t xml:space="preserve">těchto vozidel činilo téměř 21 let a </w:t>
      </w:r>
      <w:r w:rsidR="00E6308C">
        <w:rPr>
          <w:rFonts w:asciiTheme="minorHAnsi" w:hAnsiTheme="minorHAnsi" w:cstheme="minorHAnsi"/>
        </w:rPr>
        <w:t xml:space="preserve">u </w:t>
      </w:r>
      <w:r w:rsidR="00F156D9">
        <w:rPr>
          <w:rFonts w:asciiTheme="minorHAnsi" w:hAnsiTheme="minorHAnsi" w:cstheme="minorHAnsi"/>
        </w:rPr>
        <w:t>jednotlivých druhů techniky se pohybovalo mezi 13 až 39 lety</w:t>
      </w:r>
      <w:r w:rsidR="009F3322">
        <w:rPr>
          <w:rFonts w:asciiTheme="minorHAnsi" w:hAnsiTheme="minorHAnsi" w:cstheme="minorHAnsi"/>
        </w:rPr>
        <w:t xml:space="preserve">. Dvě </w:t>
      </w:r>
      <w:r w:rsidR="00E33357">
        <w:rPr>
          <w:rFonts w:asciiTheme="minorHAnsi" w:hAnsiTheme="minorHAnsi" w:cstheme="minorHAnsi"/>
        </w:rPr>
        <w:t>třetiny</w:t>
      </w:r>
      <w:r w:rsidR="009F3322">
        <w:rPr>
          <w:rFonts w:asciiTheme="minorHAnsi" w:hAnsiTheme="minorHAnsi" w:cstheme="minorHAnsi"/>
        </w:rPr>
        <w:t xml:space="preserve"> vozidel </w:t>
      </w:r>
      <w:r w:rsidR="00F156D9">
        <w:rPr>
          <w:rFonts w:asciiTheme="minorHAnsi" w:hAnsiTheme="minorHAnsi" w:cstheme="minorHAnsi"/>
        </w:rPr>
        <w:t xml:space="preserve">přitom </w:t>
      </w:r>
      <w:r w:rsidR="009F3322">
        <w:rPr>
          <w:rFonts w:asciiTheme="minorHAnsi" w:hAnsiTheme="minorHAnsi" w:cstheme="minorHAnsi"/>
        </w:rPr>
        <w:t>měly překročenou dobu životnosti.</w:t>
      </w:r>
    </w:p>
    <w:p w14:paraId="637E7201" w14:textId="6963986A" w:rsidR="00C67212" w:rsidRPr="009D4F7F" w:rsidRDefault="002D513A" w:rsidP="00D02C4E">
      <w:pPr>
        <w:spacing w:before="120"/>
        <w:jc w:val="both"/>
        <w:rPr>
          <w:rFonts w:asciiTheme="minorHAnsi" w:hAnsiTheme="minorHAnsi" w:cstheme="minorHAnsi"/>
        </w:rPr>
      </w:pPr>
      <w:r w:rsidRPr="002D513A">
        <w:rPr>
          <w:rFonts w:asciiTheme="minorHAnsi" w:hAnsiTheme="minorHAnsi" w:cstheme="minorHAnsi"/>
          <w:b/>
          <w:bCs/>
        </w:rPr>
        <w:t>2.</w:t>
      </w:r>
      <w:r>
        <w:rPr>
          <w:rFonts w:asciiTheme="minorHAnsi" w:hAnsiTheme="minorHAnsi" w:cstheme="minorHAnsi"/>
          <w:b/>
          <w:bCs/>
        </w:rPr>
        <w:t>3</w:t>
      </w:r>
      <w:r w:rsidRPr="009D4F7F">
        <w:rPr>
          <w:rFonts w:ascii="Calibri" w:hAnsi="Calibri" w:cs="Calibri"/>
        </w:rPr>
        <w:t xml:space="preserve"> </w:t>
      </w:r>
      <w:r w:rsidR="00C67212" w:rsidRPr="006717CD">
        <w:rPr>
          <w:rFonts w:asciiTheme="minorHAnsi" w:hAnsiTheme="minorHAnsi" w:cstheme="minorHAnsi"/>
          <w:b/>
          <w:lang w:eastAsia="en-US"/>
        </w:rPr>
        <w:t>Pořizování</w:t>
      </w:r>
      <w:r w:rsidR="00C67212" w:rsidRPr="001A0FDE">
        <w:rPr>
          <w:rFonts w:asciiTheme="minorHAnsi" w:hAnsiTheme="minorHAnsi" w:cstheme="minorHAnsi"/>
          <w:lang w:eastAsia="en-US"/>
        </w:rPr>
        <w:t xml:space="preserve"> automobilní techniky Armád</w:t>
      </w:r>
      <w:r w:rsidR="008E0556">
        <w:rPr>
          <w:rFonts w:asciiTheme="minorHAnsi" w:hAnsiTheme="minorHAnsi" w:cstheme="minorHAnsi"/>
          <w:lang w:eastAsia="en-US"/>
        </w:rPr>
        <w:t>y</w:t>
      </w:r>
      <w:r w:rsidR="00C67212" w:rsidRPr="008208E0">
        <w:rPr>
          <w:rFonts w:asciiTheme="minorHAnsi" w:hAnsiTheme="minorHAnsi" w:cstheme="minorHAnsi"/>
          <w:lang w:eastAsia="en-US"/>
        </w:rPr>
        <w:t xml:space="preserve"> </w:t>
      </w:r>
      <w:r w:rsidR="00C67212">
        <w:rPr>
          <w:rFonts w:asciiTheme="minorHAnsi" w:hAnsiTheme="minorHAnsi" w:cstheme="minorHAnsi"/>
          <w:lang w:eastAsia="en-US"/>
        </w:rPr>
        <w:t>je financováno v rámci programů reprodukce majetku zařazených do výdajového bloku</w:t>
      </w:r>
      <w:r w:rsidR="005B0FAF">
        <w:rPr>
          <w:rFonts w:asciiTheme="minorHAnsi" w:hAnsiTheme="minorHAnsi" w:cstheme="minorHAnsi"/>
          <w:lang w:eastAsia="en-US"/>
        </w:rPr>
        <w:t xml:space="preserve"> rozpočtu MO</w:t>
      </w:r>
      <w:r w:rsidR="00C67212">
        <w:rPr>
          <w:rFonts w:asciiTheme="minorHAnsi" w:hAnsiTheme="minorHAnsi" w:cstheme="minorHAnsi"/>
          <w:lang w:eastAsia="en-US"/>
        </w:rPr>
        <w:t xml:space="preserve"> </w:t>
      </w:r>
      <w:r w:rsidR="00C67212">
        <w:rPr>
          <w:rFonts w:asciiTheme="minorHAnsi" w:hAnsiTheme="minorHAnsi" w:cstheme="minorHAnsi"/>
          <w:i/>
          <w:lang w:eastAsia="en-US"/>
        </w:rPr>
        <w:t xml:space="preserve">Zajištění obrany ČR silami Armády. </w:t>
      </w:r>
      <w:r w:rsidR="00C67212">
        <w:rPr>
          <w:rFonts w:asciiTheme="minorHAnsi" w:hAnsiTheme="minorHAnsi" w:cstheme="minorHAnsi"/>
          <w:lang w:eastAsia="en-US"/>
        </w:rPr>
        <w:t xml:space="preserve">V období 2018–2022 se jednalo o pět programů, </w:t>
      </w:r>
      <w:r w:rsidR="00C67212">
        <w:rPr>
          <w:rFonts w:asciiTheme="minorHAnsi" w:hAnsiTheme="minorHAnsi" w:cstheme="minorHAnsi"/>
        </w:rPr>
        <w:t>z</w:t>
      </w:r>
      <w:r w:rsidR="00873EBF">
        <w:rPr>
          <w:rFonts w:asciiTheme="minorHAnsi" w:hAnsiTheme="minorHAnsi" w:cstheme="minorHAnsi"/>
        </w:rPr>
        <w:t xml:space="preserve"> </w:t>
      </w:r>
      <w:r w:rsidR="00C67212">
        <w:rPr>
          <w:rFonts w:asciiTheme="minorHAnsi" w:hAnsiTheme="minorHAnsi" w:cstheme="minorHAnsi"/>
        </w:rPr>
        <w:t>nichž n</w:t>
      </w:r>
      <w:r w:rsidR="00C67212" w:rsidRPr="008405B6">
        <w:rPr>
          <w:rFonts w:asciiTheme="minorHAnsi" w:hAnsiTheme="minorHAnsi" w:cstheme="minorHAnsi"/>
        </w:rPr>
        <w:t>ejvýznamnější</w:t>
      </w:r>
      <w:r w:rsidR="00C67212">
        <w:rPr>
          <w:rFonts w:asciiTheme="minorHAnsi" w:hAnsiTheme="minorHAnsi" w:cstheme="minorHAnsi"/>
        </w:rPr>
        <w:t xml:space="preserve"> byl </w:t>
      </w:r>
      <w:bookmarkStart w:id="10" w:name="_Hlk126655249"/>
      <w:r w:rsidR="00C67212">
        <w:rPr>
          <w:rFonts w:asciiTheme="minorHAnsi" w:hAnsiTheme="minorHAnsi" w:cstheme="minorHAnsi"/>
        </w:rPr>
        <w:t xml:space="preserve">program </w:t>
      </w:r>
      <w:r w:rsidR="00C67212" w:rsidRPr="00315F96">
        <w:rPr>
          <w:rFonts w:asciiTheme="minorHAnsi" w:hAnsiTheme="minorHAnsi" w:cstheme="minorHAnsi"/>
        </w:rPr>
        <w:t>č.</w:t>
      </w:r>
      <w:r w:rsidR="005B0FAF">
        <w:rPr>
          <w:rFonts w:asciiTheme="minorHAnsi" w:hAnsiTheme="minorHAnsi" w:cstheme="minorHAnsi"/>
        </w:rPr>
        <w:t> </w:t>
      </w:r>
      <w:r w:rsidR="00C67212" w:rsidRPr="00315F96">
        <w:rPr>
          <w:rFonts w:asciiTheme="minorHAnsi" w:hAnsiTheme="minorHAnsi" w:cstheme="minorHAnsi"/>
        </w:rPr>
        <w:t>107</w:t>
      </w:r>
      <w:r w:rsidR="005B0FAF">
        <w:rPr>
          <w:rFonts w:asciiTheme="minorHAnsi" w:hAnsiTheme="minorHAnsi" w:cstheme="minorHAnsi"/>
        </w:rPr>
        <w:t> </w:t>
      </w:r>
      <w:r w:rsidR="00C67212" w:rsidRPr="00315F96">
        <w:rPr>
          <w:rFonts w:asciiTheme="minorHAnsi" w:hAnsiTheme="minorHAnsi" w:cstheme="minorHAnsi"/>
        </w:rPr>
        <w:t xml:space="preserve">690 – </w:t>
      </w:r>
      <w:r w:rsidR="00C67212" w:rsidRPr="00315F96">
        <w:rPr>
          <w:rFonts w:asciiTheme="minorHAnsi" w:hAnsiTheme="minorHAnsi" w:cstheme="minorHAnsi"/>
          <w:i/>
        </w:rPr>
        <w:t>Udržení a</w:t>
      </w:r>
      <w:r w:rsidR="007801D6">
        <w:rPr>
          <w:rFonts w:asciiTheme="minorHAnsi" w:hAnsiTheme="minorHAnsi" w:cstheme="minorHAnsi"/>
          <w:i/>
        </w:rPr>
        <w:t> </w:t>
      </w:r>
      <w:r w:rsidR="00C67212" w:rsidRPr="00315F96">
        <w:rPr>
          <w:rFonts w:asciiTheme="minorHAnsi" w:hAnsiTheme="minorHAnsi" w:cstheme="minorHAnsi"/>
          <w:i/>
        </w:rPr>
        <w:t>rozvoj schopností logistické podpory</w:t>
      </w:r>
      <w:r w:rsidR="005B0FAF">
        <w:rPr>
          <w:rFonts w:asciiTheme="minorHAnsi" w:hAnsiTheme="minorHAnsi" w:cstheme="minorHAnsi"/>
          <w:i/>
        </w:rPr>
        <w:t xml:space="preserve"> </w:t>
      </w:r>
      <w:bookmarkEnd w:id="10"/>
      <w:r w:rsidR="005B0FAF">
        <w:rPr>
          <w:rFonts w:asciiTheme="minorHAnsi" w:hAnsiTheme="minorHAnsi" w:cstheme="minorHAnsi"/>
        </w:rPr>
        <w:t>(dále také „program 107 690“)</w:t>
      </w:r>
      <w:r w:rsidR="00F74B44">
        <w:rPr>
          <w:rStyle w:val="Znakapoznpodarou"/>
          <w:rFonts w:asciiTheme="minorHAnsi" w:hAnsiTheme="minorHAnsi" w:cstheme="minorHAnsi"/>
        </w:rPr>
        <w:footnoteReference w:id="17"/>
      </w:r>
      <w:r w:rsidR="00F74B44" w:rsidRPr="00315F96">
        <w:rPr>
          <w:rFonts w:asciiTheme="minorHAnsi" w:hAnsiTheme="minorHAnsi" w:cstheme="minorHAnsi"/>
        </w:rPr>
        <w:t>.</w:t>
      </w:r>
      <w:r w:rsidR="00C67212" w:rsidRPr="00315F96">
        <w:rPr>
          <w:rFonts w:asciiTheme="minorHAnsi" w:hAnsiTheme="minorHAnsi" w:cstheme="minorHAnsi"/>
        </w:rPr>
        <w:t xml:space="preserve"> L</w:t>
      </w:r>
      <w:r w:rsidR="00C67212">
        <w:rPr>
          <w:rFonts w:asciiTheme="minorHAnsi" w:hAnsiTheme="minorHAnsi" w:cstheme="minorHAnsi"/>
        </w:rPr>
        <w:t>ogistickou podporou se rozumí řízení a</w:t>
      </w:r>
      <w:r w:rsidR="006426BF">
        <w:rPr>
          <w:rFonts w:asciiTheme="minorHAnsi" w:hAnsiTheme="minorHAnsi" w:cstheme="minorHAnsi"/>
        </w:rPr>
        <w:t xml:space="preserve"> </w:t>
      </w:r>
      <w:r w:rsidR="00C67212">
        <w:rPr>
          <w:rFonts w:asciiTheme="minorHAnsi" w:hAnsiTheme="minorHAnsi" w:cstheme="minorHAnsi"/>
        </w:rPr>
        <w:t>provádění činností</w:t>
      </w:r>
      <w:r w:rsidR="006426BF">
        <w:rPr>
          <w:rFonts w:asciiTheme="minorHAnsi" w:hAnsiTheme="minorHAnsi" w:cstheme="minorHAnsi"/>
        </w:rPr>
        <w:t>,</w:t>
      </w:r>
      <w:r w:rsidR="00C67212">
        <w:rPr>
          <w:rFonts w:asciiTheme="minorHAnsi" w:hAnsiTheme="minorHAnsi" w:cstheme="minorHAnsi"/>
        </w:rPr>
        <w:t xml:space="preserve"> jako je</w:t>
      </w:r>
      <w:r w:rsidR="006426BF">
        <w:rPr>
          <w:rFonts w:asciiTheme="minorHAnsi" w:hAnsiTheme="minorHAnsi" w:cstheme="minorHAnsi"/>
        </w:rPr>
        <w:t xml:space="preserve"> </w:t>
      </w:r>
      <w:r w:rsidR="00C67212">
        <w:rPr>
          <w:rFonts w:asciiTheme="minorHAnsi" w:hAnsiTheme="minorHAnsi" w:cstheme="minorHAnsi"/>
        </w:rPr>
        <w:t xml:space="preserve">pořizování, </w:t>
      </w:r>
      <w:r w:rsidR="00C67212" w:rsidRPr="008405B6">
        <w:rPr>
          <w:rFonts w:asciiTheme="minorHAnsi" w:hAnsiTheme="minorHAnsi" w:cstheme="minorHAnsi"/>
        </w:rPr>
        <w:t>skladování</w:t>
      </w:r>
      <w:r w:rsidR="00C67212">
        <w:rPr>
          <w:rFonts w:asciiTheme="minorHAnsi" w:hAnsiTheme="minorHAnsi" w:cstheme="minorHAnsi"/>
        </w:rPr>
        <w:t>,</w:t>
      </w:r>
      <w:r w:rsidR="00C67212" w:rsidRPr="008405B6">
        <w:rPr>
          <w:rFonts w:asciiTheme="minorHAnsi" w:hAnsiTheme="minorHAnsi" w:cstheme="minorHAnsi"/>
        </w:rPr>
        <w:t xml:space="preserve"> zásobování, údržb</w:t>
      </w:r>
      <w:r w:rsidR="00C67212">
        <w:rPr>
          <w:rFonts w:asciiTheme="minorHAnsi" w:hAnsiTheme="minorHAnsi" w:cstheme="minorHAnsi"/>
        </w:rPr>
        <w:t>a</w:t>
      </w:r>
      <w:r w:rsidR="00C67212" w:rsidRPr="008405B6">
        <w:rPr>
          <w:rFonts w:asciiTheme="minorHAnsi" w:hAnsiTheme="minorHAnsi" w:cstheme="minorHAnsi"/>
        </w:rPr>
        <w:t>, vyprošťování, evakuac</w:t>
      </w:r>
      <w:r w:rsidR="00C67212">
        <w:rPr>
          <w:rFonts w:asciiTheme="minorHAnsi" w:hAnsiTheme="minorHAnsi" w:cstheme="minorHAnsi"/>
        </w:rPr>
        <w:t>e</w:t>
      </w:r>
      <w:r w:rsidR="00C67212" w:rsidRPr="008405B6">
        <w:rPr>
          <w:rFonts w:asciiTheme="minorHAnsi" w:hAnsiTheme="minorHAnsi" w:cstheme="minorHAnsi"/>
        </w:rPr>
        <w:t>, oprav</w:t>
      </w:r>
      <w:r w:rsidR="00C67212">
        <w:rPr>
          <w:rFonts w:asciiTheme="minorHAnsi" w:hAnsiTheme="minorHAnsi" w:cstheme="minorHAnsi"/>
        </w:rPr>
        <w:t xml:space="preserve">y, </w:t>
      </w:r>
      <w:r w:rsidR="00C67212" w:rsidRPr="008405B6">
        <w:rPr>
          <w:rFonts w:asciiTheme="minorHAnsi" w:hAnsiTheme="minorHAnsi" w:cstheme="minorHAnsi"/>
        </w:rPr>
        <w:t>metrologi</w:t>
      </w:r>
      <w:r w:rsidR="00C67212">
        <w:rPr>
          <w:rFonts w:asciiTheme="minorHAnsi" w:hAnsiTheme="minorHAnsi" w:cstheme="minorHAnsi"/>
        </w:rPr>
        <w:t>e</w:t>
      </w:r>
      <w:r w:rsidR="00C67212" w:rsidRPr="008405B6">
        <w:rPr>
          <w:rFonts w:asciiTheme="minorHAnsi" w:hAnsiTheme="minorHAnsi" w:cstheme="minorHAnsi"/>
        </w:rPr>
        <w:t>, vojensk</w:t>
      </w:r>
      <w:r w:rsidR="00C67212">
        <w:rPr>
          <w:rFonts w:asciiTheme="minorHAnsi" w:hAnsiTheme="minorHAnsi" w:cstheme="minorHAnsi"/>
        </w:rPr>
        <w:t>á</w:t>
      </w:r>
      <w:r w:rsidR="00C67212" w:rsidRPr="008405B6">
        <w:rPr>
          <w:rFonts w:asciiTheme="minorHAnsi" w:hAnsiTheme="minorHAnsi" w:cstheme="minorHAnsi"/>
        </w:rPr>
        <w:t xml:space="preserve"> doprav</w:t>
      </w:r>
      <w:r w:rsidR="00C67212">
        <w:rPr>
          <w:rFonts w:asciiTheme="minorHAnsi" w:hAnsiTheme="minorHAnsi" w:cstheme="minorHAnsi"/>
        </w:rPr>
        <w:t>a</w:t>
      </w:r>
      <w:r w:rsidR="00C67212" w:rsidRPr="008405B6">
        <w:rPr>
          <w:rFonts w:asciiTheme="minorHAnsi" w:hAnsiTheme="minorHAnsi" w:cstheme="minorHAnsi"/>
        </w:rPr>
        <w:t>, zabezpečení personálu a infrastruktury včetně stavební a ubytovací služby a požární ochrany, likvidac</w:t>
      </w:r>
      <w:r w:rsidR="00C67212">
        <w:rPr>
          <w:rFonts w:asciiTheme="minorHAnsi" w:hAnsiTheme="minorHAnsi" w:cstheme="minorHAnsi"/>
        </w:rPr>
        <w:t>e</w:t>
      </w:r>
      <w:r w:rsidR="00C67212" w:rsidRPr="008405B6">
        <w:rPr>
          <w:rFonts w:asciiTheme="minorHAnsi" w:hAnsiTheme="minorHAnsi" w:cstheme="minorHAnsi"/>
        </w:rPr>
        <w:t xml:space="preserve"> následků činnosti v prostoru operace, ochran</w:t>
      </w:r>
      <w:r w:rsidR="00C67212">
        <w:rPr>
          <w:rFonts w:asciiTheme="minorHAnsi" w:hAnsiTheme="minorHAnsi" w:cstheme="minorHAnsi"/>
        </w:rPr>
        <w:t>a</w:t>
      </w:r>
      <w:r w:rsidR="00C67212" w:rsidRPr="008405B6">
        <w:rPr>
          <w:rFonts w:asciiTheme="minorHAnsi" w:hAnsiTheme="minorHAnsi" w:cstheme="minorHAnsi"/>
        </w:rPr>
        <w:t xml:space="preserve"> životního prostředí, výcvik </w:t>
      </w:r>
      <w:r w:rsidR="00C67212">
        <w:rPr>
          <w:rFonts w:asciiTheme="minorHAnsi" w:hAnsiTheme="minorHAnsi" w:cstheme="minorHAnsi"/>
        </w:rPr>
        <w:t>či</w:t>
      </w:r>
      <w:r w:rsidR="00C67212" w:rsidRPr="008405B6">
        <w:rPr>
          <w:rFonts w:asciiTheme="minorHAnsi" w:hAnsiTheme="minorHAnsi" w:cstheme="minorHAnsi"/>
        </w:rPr>
        <w:t xml:space="preserve"> doplňování personálu logistiky. </w:t>
      </w:r>
      <w:r w:rsidR="00C67212">
        <w:rPr>
          <w:rFonts w:asciiTheme="minorHAnsi" w:hAnsiTheme="minorHAnsi" w:cstheme="minorHAnsi"/>
        </w:rPr>
        <w:t>Ú</w:t>
      </w:r>
      <w:r w:rsidR="00C67212" w:rsidRPr="008405B6">
        <w:rPr>
          <w:rFonts w:asciiTheme="minorHAnsi" w:hAnsiTheme="minorHAnsi" w:cstheme="minorHAnsi"/>
        </w:rPr>
        <w:t>čelem je poskytnout zabezpečení všem prvkům a jednotkám A</w:t>
      </w:r>
      <w:r w:rsidR="00C67212">
        <w:rPr>
          <w:rFonts w:asciiTheme="minorHAnsi" w:hAnsiTheme="minorHAnsi" w:cstheme="minorHAnsi"/>
        </w:rPr>
        <w:t>rmády</w:t>
      </w:r>
      <w:r w:rsidR="00C67212" w:rsidRPr="008405B6">
        <w:rPr>
          <w:rFonts w:asciiTheme="minorHAnsi" w:hAnsiTheme="minorHAnsi" w:cstheme="minorHAnsi"/>
        </w:rPr>
        <w:t>, které se připravují na obranu území ČR v</w:t>
      </w:r>
      <w:r w:rsidR="00C67212">
        <w:rPr>
          <w:rFonts w:asciiTheme="minorHAnsi" w:hAnsiTheme="minorHAnsi" w:cstheme="minorHAnsi"/>
        </w:rPr>
        <w:t> </w:t>
      </w:r>
      <w:r w:rsidR="00C67212" w:rsidRPr="008405B6">
        <w:rPr>
          <w:rFonts w:asciiTheme="minorHAnsi" w:hAnsiTheme="minorHAnsi" w:cstheme="minorHAnsi"/>
        </w:rPr>
        <w:t>rámci kolektivní obrany NATO</w:t>
      </w:r>
      <w:r w:rsidR="00C67212">
        <w:rPr>
          <w:rStyle w:val="Znakapoznpodarou"/>
          <w:rFonts w:asciiTheme="minorHAnsi" w:hAnsiTheme="minorHAnsi" w:cstheme="minorHAnsi"/>
        </w:rPr>
        <w:footnoteReference w:id="18"/>
      </w:r>
      <w:r w:rsidR="00C67212" w:rsidRPr="008405B6">
        <w:rPr>
          <w:rFonts w:asciiTheme="minorHAnsi" w:hAnsiTheme="minorHAnsi" w:cstheme="minorHAnsi"/>
        </w:rPr>
        <w:t xml:space="preserve">, k plnění úkolů ve prospěch společné bezpečnostní a obranné politiky Evropské unie a Organizace </w:t>
      </w:r>
      <w:r w:rsidR="00C67212" w:rsidRPr="00F74B44">
        <w:rPr>
          <w:rFonts w:asciiTheme="minorHAnsi" w:hAnsiTheme="minorHAnsi" w:cstheme="minorHAnsi"/>
        </w:rPr>
        <w:t>spojených národů</w:t>
      </w:r>
      <w:r w:rsidR="00394838">
        <w:rPr>
          <w:rFonts w:asciiTheme="minorHAnsi" w:hAnsiTheme="minorHAnsi" w:cstheme="minorHAnsi"/>
        </w:rPr>
        <w:t>,</w:t>
      </w:r>
      <w:r w:rsidR="00C67212" w:rsidRPr="00F74B44">
        <w:rPr>
          <w:rFonts w:asciiTheme="minorHAnsi" w:hAnsiTheme="minorHAnsi" w:cstheme="minorHAnsi"/>
        </w:rPr>
        <w:t xml:space="preserve"> nebo ve prospěch sil, které mohou být součástí účelově vytvořené koalice.</w:t>
      </w:r>
      <w:r w:rsidR="00F74B44" w:rsidRPr="00F74B44">
        <w:rPr>
          <w:rFonts w:asciiTheme="minorHAnsi" w:hAnsiTheme="minorHAnsi" w:cstheme="minorHAnsi"/>
        </w:rPr>
        <w:t xml:space="preserve"> </w:t>
      </w:r>
      <w:r w:rsidR="00F31754">
        <w:rPr>
          <w:rFonts w:asciiTheme="minorHAnsi" w:hAnsiTheme="minorHAnsi" w:cstheme="minorHAnsi"/>
          <w:lang w:eastAsia="en-US"/>
        </w:rPr>
        <w:t>V</w:t>
      </w:r>
      <w:r w:rsidR="00C67212">
        <w:rPr>
          <w:rFonts w:asciiTheme="minorHAnsi" w:hAnsiTheme="minorHAnsi" w:cstheme="minorHAnsi"/>
          <w:lang w:eastAsia="en-US"/>
        </w:rPr>
        <w:t xml:space="preserve">ýdaje </w:t>
      </w:r>
      <w:r w:rsidR="00F74B44">
        <w:rPr>
          <w:rFonts w:asciiTheme="minorHAnsi" w:hAnsiTheme="minorHAnsi" w:cstheme="minorHAnsi"/>
          <w:lang w:eastAsia="en-US"/>
        </w:rPr>
        <w:t xml:space="preserve">MO </w:t>
      </w:r>
      <w:r w:rsidR="00C67212">
        <w:rPr>
          <w:rFonts w:asciiTheme="minorHAnsi" w:hAnsiTheme="minorHAnsi" w:cstheme="minorHAnsi"/>
          <w:lang w:eastAsia="en-US"/>
        </w:rPr>
        <w:t xml:space="preserve">na nákupy armádní automobilní techniky </w:t>
      </w:r>
      <w:r w:rsidR="005B0FAF">
        <w:rPr>
          <w:rFonts w:asciiTheme="minorHAnsi" w:hAnsiTheme="minorHAnsi" w:cstheme="minorHAnsi"/>
          <w:lang w:eastAsia="en-US"/>
        </w:rPr>
        <w:t xml:space="preserve">činily </w:t>
      </w:r>
      <w:r w:rsidR="00C67212" w:rsidRPr="0083733E">
        <w:rPr>
          <w:rFonts w:asciiTheme="minorHAnsi" w:hAnsiTheme="minorHAnsi" w:cstheme="minorHAnsi"/>
        </w:rPr>
        <w:t>v</w:t>
      </w:r>
      <w:r w:rsidR="00F31754">
        <w:rPr>
          <w:rFonts w:asciiTheme="minorHAnsi" w:hAnsiTheme="minorHAnsi" w:cstheme="minorHAnsi"/>
        </w:rPr>
        <w:t xml:space="preserve"> </w:t>
      </w:r>
      <w:r w:rsidR="00C67212">
        <w:rPr>
          <w:rFonts w:asciiTheme="minorHAnsi" w:hAnsiTheme="minorHAnsi" w:cstheme="minorHAnsi"/>
        </w:rPr>
        <w:t>letech 2018–202</w:t>
      </w:r>
      <w:r w:rsidR="005B0FAF">
        <w:rPr>
          <w:rFonts w:asciiTheme="minorHAnsi" w:hAnsiTheme="minorHAnsi" w:cstheme="minorHAnsi"/>
        </w:rPr>
        <w:t>1</w:t>
      </w:r>
      <w:r w:rsidR="00C67212">
        <w:rPr>
          <w:rFonts w:asciiTheme="minorHAnsi" w:hAnsiTheme="minorHAnsi" w:cstheme="minorHAnsi"/>
        </w:rPr>
        <w:t xml:space="preserve"> </w:t>
      </w:r>
      <w:r w:rsidR="005B0FAF">
        <w:rPr>
          <w:rFonts w:asciiTheme="minorHAnsi" w:hAnsiTheme="minorHAnsi" w:cstheme="minorHAnsi"/>
        </w:rPr>
        <w:t xml:space="preserve">celkem 3,6 mld. </w:t>
      </w:r>
      <w:r w:rsidR="005B0FAF" w:rsidRPr="0088636A">
        <w:rPr>
          <w:rFonts w:asciiTheme="minorHAnsi" w:hAnsiTheme="minorHAnsi" w:cstheme="minorHAnsi"/>
        </w:rPr>
        <w:t>Kč (</w:t>
      </w:r>
      <w:r w:rsidR="00C67212" w:rsidRPr="0088636A">
        <w:rPr>
          <w:rFonts w:asciiTheme="minorHAnsi" w:hAnsiTheme="minorHAnsi" w:cstheme="minorHAnsi"/>
        </w:rPr>
        <w:t>příloha č. 2</w:t>
      </w:r>
      <w:r w:rsidR="005B0FAF" w:rsidRPr="0088636A">
        <w:rPr>
          <w:rFonts w:asciiTheme="minorHAnsi" w:hAnsiTheme="minorHAnsi" w:cstheme="minorHAnsi"/>
        </w:rPr>
        <w:t>)</w:t>
      </w:r>
      <w:r w:rsidR="00C67212" w:rsidRPr="0088636A">
        <w:rPr>
          <w:rFonts w:asciiTheme="minorHAnsi" w:hAnsiTheme="minorHAnsi" w:cstheme="minorHAnsi"/>
        </w:rPr>
        <w:t>.</w:t>
      </w:r>
    </w:p>
    <w:p w14:paraId="04E8694F" w14:textId="66E9BC5F" w:rsidR="00C67212" w:rsidRPr="0088636A" w:rsidRDefault="002D513A" w:rsidP="006717CD">
      <w:pPr>
        <w:spacing w:before="120"/>
        <w:jc w:val="both"/>
        <w:rPr>
          <w:rFonts w:asciiTheme="minorHAnsi" w:hAnsiTheme="minorHAnsi" w:cstheme="minorHAnsi"/>
        </w:rPr>
      </w:pPr>
      <w:r w:rsidRPr="002D513A">
        <w:rPr>
          <w:rFonts w:asciiTheme="minorHAnsi" w:hAnsiTheme="minorHAnsi" w:cstheme="minorHAnsi"/>
          <w:b/>
          <w:bCs/>
        </w:rPr>
        <w:t>2.</w:t>
      </w:r>
      <w:r>
        <w:rPr>
          <w:rFonts w:asciiTheme="minorHAnsi" w:hAnsiTheme="minorHAnsi" w:cstheme="minorHAnsi"/>
          <w:b/>
          <w:bCs/>
        </w:rPr>
        <w:t>4</w:t>
      </w:r>
      <w:r w:rsidRPr="009D4F7F">
        <w:rPr>
          <w:rFonts w:ascii="Calibri" w:hAnsi="Calibri" w:cs="Calibri"/>
        </w:rPr>
        <w:t xml:space="preserve"> </w:t>
      </w:r>
      <w:r w:rsidR="00C67212" w:rsidRPr="006717CD">
        <w:rPr>
          <w:rFonts w:asciiTheme="minorHAnsi" w:hAnsiTheme="minorHAnsi" w:cstheme="minorHAnsi"/>
          <w:b/>
          <w:lang w:eastAsia="en-US"/>
        </w:rPr>
        <w:t>Údržba a opravy</w:t>
      </w:r>
      <w:r w:rsidR="00C67212" w:rsidRPr="001A0FDE">
        <w:rPr>
          <w:rFonts w:asciiTheme="minorHAnsi" w:hAnsiTheme="minorHAnsi" w:cstheme="minorHAnsi"/>
          <w:lang w:eastAsia="en-US"/>
        </w:rPr>
        <w:t xml:space="preserve"> automobilní techniky</w:t>
      </w:r>
      <w:r w:rsidR="009400E4">
        <w:rPr>
          <w:rFonts w:asciiTheme="minorHAnsi" w:hAnsiTheme="minorHAnsi" w:cstheme="minorHAnsi"/>
          <w:lang w:eastAsia="en-US"/>
        </w:rPr>
        <w:t xml:space="preserve"> Armády </w:t>
      </w:r>
      <w:r w:rsidR="00FC670F">
        <w:rPr>
          <w:rFonts w:asciiTheme="minorHAnsi" w:hAnsiTheme="minorHAnsi" w:cstheme="minorHAnsi"/>
          <w:lang w:eastAsia="en-US"/>
        </w:rPr>
        <w:t xml:space="preserve">jsou prováděny za účelem </w:t>
      </w:r>
      <w:r w:rsidR="00420086">
        <w:rPr>
          <w:rFonts w:asciiTheme="minorHAnsi" w:hAnsiTheme="minorHAnsi" w:cstheme="minorHAnsi"/>
          <w:lang w:eastAsia="en-US"/>
        </w:rPr>
        <w:t xml:space="preserve">jejího </w:t>
      </w:r>
      <w:r w:rsidR="00FC670F">
        <w:rPr>
          <w:rFonts w:asciiTheme="minorHAnsi" w:hAnsiTheme="minorHAnsi" w:cstheme="minorHAnsi"/>
          <w:lang w:eastAsia="en-US"/>
        </w:rPr>
        <w:t>uvedení do stavu</w:t>
      </w:r>
      <w:r w:rsidR="006717CD">
        <w:rPr>
          <w:rFonts w:asciiTheme="minorHAnsi" w:hAnsiTheme="minorHAnsi" w:cstheme="minorHAnsi"/>
          <w:lang w:eastAsia="en-US"/>
        </w:rPr>
        <w:t xml:space="preserve"> schopného provozu</w:t>
      </w:r>
      <w:r w:rsidR="00420086">
        <w:rPr>
          <w:rFonts w:asciiTheme="minorHAnsi" w:hAnsiTheme="minorHAnsi" w:cstheme="minorHAnsi"/>
          <w:lang w:eastAsia="en-US"/>
        </w:rPr>
        <w:t xml:space="preserve">. </w:t>
      </w:r>
      <w:r w:rsidR="00FC670F">
        <w:rPr>
          <w:rFonts w:asciiTheme="minorHAnsi" w:hAnsiTheme="minorHAnsi" w:cstheme="minorHAnsi"/>
        </w:rPr>
        <w:t>J</w:t>
      </w:r>
      <w:r w:rsidR="00C67212" w:rsidRPr="001A0FDE">
        <w:rPr>
          <w:rFonts w:asciiTheme="minorHAnsi" w:hAnsiTheme="minorHAnsi" w:cstheme="minorHAnsi"/>
        </w:rPr>
        <w:t>sou</w:t>
      </w:r>
      <w:r w:rsidR="00C67212" w:rsidRPr="00ED7AC3">
        <w:rPr>
          <w:rFonts w:asciiTheme="minorHAnsi" w:hAnsiTheme="minorHAnsi" w:cstheme="minorHAnsi"/>
        </w:rPr>
        <w:t xml:space="preserve"> </w:t>
      </w:r>
      <w:r w:rsidR="00C67212">
        <w:rPr>
          <w:rFonts w:asciiTheme="minorHAnsi" w:hAnsiTheme="minorHAnsi" w:cstheme="minorHAnsi"/>
        </w:rPr>
        <w:t>zajišťovány buď vojskově</w:t>
      </w:r>
      <w:r w:rsidR="00B04FEE">
        <w:rPr>
          <w:rFonts w:asciiTheme="minorHAnsi" w:hAnsiTheme="minorHAnsi" w:cstheme="minorHAnsi"/>
        </w:rPr>
        <w:t>,</w:t>
      </w:r>
      <w:r w:rsidR="006717CD">
        <w:rPr>
          <w:rFonts w:asciiTheme="minorHAnsi" w:hAnsiTheme="minorHAnsi" w:cstheme="minorHAnsi"/>
        </w:rPr>
        <w:t xml:space="preserve"> </w:t>
      </w:r>
      <w:r w:rsidR="00C67212">
        <w:rPr>
          <w:rFonts w:asciiTheme="minorHAnsi" w:hAnsiTheme="minorHAnsi" w:cstheme="minorHAnsi"/>
        </w:rPr>
        <w:t>nebo pořízením služby či dodávky mimovojskově podle zákona</w:t>
      </w:r>
      <w:r w:rsidR="00C67212" w:rsidRPr="00916275">
        <w:rPr>
          <w:rStyle w:val="Znakapoznpodarou"/>
          <w:rFonts w:asciiTheme="minorHAnsi" w:hAnsiTheme="minorHAnsi" w:cstheme="minorHAnsi"/>
        </w:rPr>
        <w:footnoteReference w:id="19"/>
      </w:r>
      <w:r w:rsidR="00C67212">
        <w:rPr>
          <w:rFonts w:asciiTheme="minorHAnsi" w:hAnsiTheme="minorHAnsi" w:cstheme="minorHAnsi"/>
        </w:rPr>
        <w:t xml:space="preserve"> s financováním </w:t>
      </w:r>
      <w:r w:rsidR="00C67212" w:rsidRPr="00ED7AC3">
        <w:rPr>
          <w:rFonts w:asciiTheme="minorHAnsi" w:hAnsiTheme="minorHAnsi" w:cstheme="minorHAnsi"/>
        </w:rPr>
        <w:t xml:space="preserve">v rámci běžných výdajů </w:t>
      </w:r>
      <w:r w:rsidR="00C67212">
        <w:rPr>
          <w:rFonts w:asciiTheme="minorHAnsi" w:hAnsiTheme="minorHAnsi" w:cstheme="minorHAnsi"/>
        </w:rPr>
        <w:t>MO</w:t>
      </w:r>
      <w:r w:rsidR="00420086">
        <w:rPr>
          <w:rFonts w:asciiTheme="minorHAnsi" w:hAnsiTheme="minorHAnsi" w:cstheme="minorHAnsi"/>
        </w:rPr>
        <w:t xml:space="preserve">, a to ve </w:t>
      </w:r>
      <w:r w:rsidR="00C67212">
        <w:rPr>
          <w:rFonts w:asciiTheme="minorHAnsi" w:hAnsiTheme="minorHAnsi" w:cstheme="minorHAnsi"/>
        </w:rPr>
        <w:t>čtyřech různých úrovních</w:t>
      </w:r>
      <w:r w:rsidR="006717CD">
        <w:rPr>
          <w:rFonts w:asciiTheme="minorHAnsi" w:hAnsiTheme="minorHAnsi" w:cstheme="minorHAnsi"/>
        </w:rPr>
        <w:t xml:space="preserve">. </w:t>
      </w:r>
      <w:r w:rsidR="00C67212" w:rsidRPr="00EF602A">
        <w:rPr>
          <w:rFonts w:asciiTheme="minorHAnsi" w:hAnsiTheme="minorHAnsi" w:cstheme="minorHAnsi"/>
        </w:rPr>
        <w:t>První až třetí úroveň</w:t>
      </w:r>
      <w:r w:rsidR="00C67212">
        <w:rPr>
          <w:rFonts w:asciiTheme="minorHAnsi" w:hAnsiTheme="minorHAnsi" w:cstheme="minorHAnsi"/>
        </w:rPr>
        <w:t xml:space="preserve"> údržby a oprav </w:t>
      </w:r>
      <w:r w:rsidR="00C67212" w:rsidRPr="00EF602A">
        <w:rPr>
          <w:rFonts w:asciiTheme="minorHAnsi" w:hAnsiTheme="minorHAnsi" w:cstheme="minorHAnsi"/>
        </w:rPr>
        <w:t xml:space="preserve">zabezpečuje Armáda. Kromě obsluhy </w:t>
      </w:r>
      <w:r w:rsidR="00C67212">
        <w:rPr>
          <w:rFonts w:asciiTheme="minorHAnsi" w:hAnsiTheme="minorHAnsi" w:cstheme="minorHAnsi"/>
        </w:rPr>
        <w:t xml:space="preserve">techniky </w:t>
      </w:r>
      <w:r w:rsidR="00C67212" w:rsidRPr="00EF602A">
        <w:rPr>
          <w:rFonts w:asciiTheme="minorHAnsi" w:hAnsiTheme="minorHAnsi" w:cstheme="minorHAnsi"/>
        </w:rPr>
        <w:t>a</w:t>
      </w:r>
      <w:r w:rsidR="00B04FEE">
        <w:rPr>
          <w:rFonts w:asciiTheme="minorHAnsi" w:hAnsiTheme="minorHAnsi" w:cstheme="minorHAnsi"/>
        </w:rPr>
        <w:t xml:space="preserve"> </w:t>
      </w:r>
      <w:r w:rsidR="00C67212" w:rsidRPr="00EF602A">
        <w:rPr>
          <w:rFonts w:asciiTheme="minorHAnsi" w:hAnsiTheme="minorHAnsi" w:cstheme="minorHAnsi"/>
        </w:rPr>
        <w:t xml:space="preserve">dílenských specialistů vojenského útvaru nebo příslušného organizačního celku (první </w:t>
      </w:r>
      <w:r w:rsidR="00C67212">
        <w:rPr>
          <w:rFonts w:asciiTheme="minorHAnsi" w:hAnsiTheme="minorHAnsi" w:cstheme="minorHAnsi"/>
        </w:rPr>
        <w:t>úroveň</w:t>
      </w:r>
      <w:r w:rsidR="00C67212" w:rsidRPr="00EF602A">
        <w:rPr>
          <w:rFonts w:asciiTheme="minorHAnsi" w:hAnsiTheme="minorHAnsi" w:cstheme="minorHAnsi"/>
        </w:rPr>
        <w:t>) zabezpečuje opravy techniky rovněž prapor oprav (druhá úroveň) a</w:t>
      </w:r>
      <w:r w:rsidR="00873EBF">
        <w:rPr>
          <w:rFonts w:asciiTheme="minorHAnsi" w:hAnsiTheme="minorHAnsi" w:cstheme="minorHAnsi"/>
        </w:rPr>
        <w:t xml:space="preserve"> </w:t>
      </w:r>
      <w:r w:rsidR="00C67212" w:rsidRPr="00EF602A">
        <w:rPr>
          <w:rFonts w:asciiTheme="minorHAnsi" w:hAnsiTheme="minorHAnsi" w:cstheme="minorHAnsi"/>
        </w:rPr>
        <w:t xml:space="preserve">Centrum zabezpečení oprav (třetí úroveň). </w:t>
      </w:r>
      <w:r w:rsidR="00C67212">
        <w:rPr>
          <w:rFonts w:asciiTheme="minorHAnsi" w:hAnsiTheme="minorHAnsi" w:cstheme="minorHAnsi"/>
        </w:rPr>
        <w:t>J</w:t>
      </w:r>
      <w:r w:rsidR="00C67212" w:rsidRPr="00EF602A">
        <w:rPr>
          <w:rFonts w:asciiTheme="minorHAnsi" w:hAnsiTheme="minorHAnsi" w:cstheme="minorHAnsi"/>
        </w:rPr>
        <w:t>edná</w:t>
      </w:r>
      <w:r w:rsidR="00C67212">
        <w:rPr>
          <w:rFonts w:asciiTheme="minorHAnsi" w:hAnsiTheme="minorHAnsi" w:cstheme="minorHAnsi"/>
        </w:rPr>
        <w:t xml:space="preserve"> se zpravidla</w:t>
      </w:r>
      <w:r w:rsidR="00C67212" w:rsidRPr="00EF602A">
        <w:rPr>
          <w:rFonts w:asciiTheme="minorHAnsi" w:hAnsiTheme="minorHAnsi" w:cstheme="minorHAnsi"/>
        </w:rPr>
        <w:t xml:space="preserve"> o preventivní údržbu, odstranění běžných poruch a</w:t>
      </w:r>
      <w:r w:rsidR="00B04FEE">
        <w:rPr>
          <w:rFonts w:asciiTheme="minorHAnsi" w:hAnsiTheme="minorHAnsi" w:cstheme="minorHAnsi"/>
        </w:rPr>
        <w:t xml:space="preserve"> </w:t>
      </w:r>
      <w:r w:rsidR="00C67212" w:rsidRPr="00EF602A">
        <w:rPr>
          <w:rFonts w:asciiTheme="minorHAnsi" w:hAnsiTheme="minorHAnsi" w:cstheme="minorHAnsi"/>
        </w:rPr>
        <w:t>závad</w:t>
      </w:r>
      <w:r w:rsidR="00C67212">
        <w:rPr>
          <w:rFonts w:asciiTheme="minorHAnsi" w:hAnsiTheme="minorHAnsi" w:cstheme="minorHAnsi"/>
        </w:rPr>
        <w:t>,</w:t>
      </w:r>
      <w:r w:rsidR="00C67212" w:rsidRPr="00EF602A">
        <w:rPr>
          <w:rFonts w:asciiTheme="minorHAnsi" w:hAnsiTheme="minorHAnsi" w:cstheme="minorHAnsi"/>
        </w:rPr>
        <w:t xml:space="preserve"> revize a kalibrace</w:t>
      </w:r>
      <w:r w:rsidR="00C67212">
        <w:rPr>
          <w:rFonts w:asciiTheme="minorHAnsi" w:hAnsiTheme="minorHAnsi" w:cstheme="minorHAnsi"/>
        </w:rPr>
        <w:t xml:space="preserve"> zařízení</w:t>
      </w:r>
      <w:r w:rsidR="00C67212" w:rsidRPr="00EF602A">
        <w:rPr>
          <w:rFonts w:asciiTheme="minorHAnsi" w:hAnsiTheme="minorHAnsi" w:cstheme="minorHAnsi"/>
        </w:rPr>
        <w:t xml:space="preserve">, </w:t>
      </w:r>
      <w:r w:rsidR="00C67212">
        <w:rPr>
          <w:rFonts w:asciiTheme="minorHAnsi" w:hAnsiTheme="minorHAnsi" w:cstheme="minorHAnsi"/>
        </w:rPr>
        <w:t>opr</w:t>
      </w:r>
      <w:r w:rsidR="00C67212" w:rsidRPr="00EF602A">
        <w:rPr>
          <w:rFonts w:asciiTheme="minorHAnsi" w:hAnsiTheme="minorHAnsi" w:cstheme="minorHAnsi"/>
        </w:rPr>
        <w:t xml:space="preserve">avy </w:t>
      </w:r>
      <w:r w:rsidR="00C67212">
        <w:rPr>
          <w:rFonts w:asciiTheme="minorHAnsi" w:hAnsiTheme="minorHAnsi" w:cstheme="minorHAnsi"/>
        </w:rPr>
        <w:t>běžné a</w:t>
      </w:r>
      <w:r w:rsidR="003C1079">
        <w:rPr>
          <w:rFonts w:asciiTheme="minorHAnsi" w:hAnsiTheme="minorHAnsi" w:cstheme="minorHAnsi"/>
        </w:rPr>
        <w:t xml:space="preserve"> </w:t>
      </w:r>
      <w:r w:rsidR="00C67212">
        <w:rPr>
          <w:rFonts w:asciiTheme="minorHAnsi" w:hAnsiTheme="minorHAnsi" w:cstheme="minorHAnsi"/>
        </w:rPr>
        <w:t>střední náročnosti a</w:t>
      </w:r>
      <w:r w:rsidR="003C1079">
        <w:rPr>
          <w:rFonts w:asciiTheme="minorHAnsi" w:hAnsiTheme="minorHAnsi" w:cstheme="minorHAnsi"/>
        </w:rPr>
        <w:t xml:space="preserve"> </w:t>
      </w:r>
      <w:r w:rsidR="00C67212" w:rsidRPr="00EF602A">
        <w:rPr>
          <w:rFonts w:asciiTheme="minorHAnsi" w:hAnsiTheme="minorHAnsi" w:cstheme="minorHAnsi"/>
        </w:rPr>
        <w:t>krátkodobé</w:t>
      </w:r>
      <w:r w:rsidR="00C67212">
        <w:rPr>
          <w:rFonts w:asciiTheme="minorHAnsi" w:hAnsiTheme="minorHAnsi" w:cstheme="minorHAnsi"/>
        </w:rPr>
        <w:t xml:space="preserve"> nebo</w:t>
      </w:r>
      <w:r w:rsidR="00B04FEE">
        <w:rPr>
          <w:rFonts w:asciiTheme="minorHAnsi" w:hAnsiTheme="minorHAnsi" w:cstheme="minorHAnsi"/>
        </w:rPr>
        <w:t xml:space="preserve"> </w:t>
      </w:r>
      <w:r w:rsidR="00C67212">
        <w:rPr>
          <w:rFonts w:asciiTheme="minorHAnsi" w:hAnsiTheme="minorHAnsi" w:cstheme="minorHAnsi"/>
        </w:rPr>
        <w:t xml:space="preserve">dlouhodobé ukládání </w:t>
      </w:r>
      <w:r w:rsidR="00C67212" w:rsidRPr="00EF602A">
        <w:rPr>
          <w:rFonts w:asciiTheme="minorHAnsi" w:hAnsiTheme="minorHAnsi" w:cstheme="minorHAnsi"/>
        </w:rPr>
        <w:t>techniky</w:t>
      </w:r>
      <w:r w:rsidR="00C67212">
        <w:rPr>
          <w:rFonts w:asciiTheme="minorHAnsi" w:hAnsiTheme="minorHAnsi" w:cstheme="minorHAnsi"/>
        </w:rPr>
        <w:t>.</w:t>
      </w:r>
      <w:r w:rsidR="006717CD">
        <w:rPr>
          <w:rFonts w:asciiTheme="minorHAnsi" w:hAnsiTheme="minorHAnsi" w:cstheme="minorHAnsi"/>
        </w:rPr>
        <w:t xml:space="preserve"> </w:t>
      </w:r>
      <w:r w:rsidR="00C67212">
        <w:rPr>
          <w:rFonts w:asciiTheme="minorHAnsi" w:hAnsiTheme="minorHAnsi" w:cstheme="minorHAnsi"/>
        </w:rPr>
        <w:t>Čtvrtou úroveň údržby a oprav představují služby poskytované externími subjekty, tj.</w:t>
      </w:r>
      <w:r w:rsidR="00873EBF">
        <w:rPr>
          <w:rFonts w:asciiTheme="minorHAnsi" w:hAnsiTheme="minorHAnsi" w:cstheme="minorHAnsi"/>
        </w:rPr>
        <w:t xml:space="preserve"> </w:t>
      </w:r>
      <w:r w:rsidR="00C67212">
        <w:rPr>
          <w:rFonts w:asciiTheme="minorHAnsi" w:hAnsiTheme="minorHAnsi" w:cstheme="minorHAnsi"/>
        </w:rPr>
        <w:t>mimovojskově, především na základě dlouhodobých rámcových smluv. Jedná se zpravidla o</w:t>
      </w:r>
      <w:r w:rsidR="003C1079">
        <w:rPr>
          <w:rFonts w:asciiTheme="minorHAnsi" w:hAnsiTheme="minorHAnsi" w:cstheme="minorHAnsi"/>
        </w:rPr>
        <w:t xml:space="preserve"> </w:t>
      </w:r>
      <w:r w:rsidR="00C67212">
        <w:rPr>
          <w:rFonts w:asciiTheme="minorHAnsi" w:hAnsiTheme="minorHAnsi" w:cstheme="minorHAnsi"/>
        </w:rPr>
        <w:t>rozsáhlé opravy nebo náročnou údržbu, revize po 10</w:t>
      </w:r>
      <w:r w:rsidR="008B46D9">
        <w:rPr>
          <w:rFonts w:asciiTheme="minorHAnsi" w:hAnsiTheme="minorHAnsi" w:cstheme="minorHAnsi"/>
        </w:rPr>
        <w:t> </w:t>
      </w:r>
      <w:r w:rsidR="00C67212">
        <w:rPr>
          <w:rFonts w:asciiTheme="minorHAnsi" w:hAnsiTheme="minorHAnsi" w:cstheme="minorHAnsi"/>
        </w:rPr>
        <w:t>letech, revize určených zařízení, ověření měřidel a dlouhodobé ukládání techniky.</w:t>
      </w:r>
      <w:r w:rsidR="00C67212" w:rsidRPr="00584117">
        <w:rPr>
          <w:rFonts w:asciiTheme="minorHAnsi" w:hAnsiTheme="minorHAnsi" w:cstheme="minorHAnsi"/>
        </w:rPr>
        <w:t xml:space="preserve"> </w:t>
      </w:r>
      <w:r w:rsidR="00C67212">
        <w:rPr>
          <w:rFonts w:asciiTheme="minorHAnsi" w:hAnsiTheme="minorHAnsi" w:cstheme="minorHAnsi"/>
        </w:rPr>
        <w:t>Běžné výdaje MO na mimovojskovou údržbu a opravy včetně</w:t>
      </w:r>
      <w:r w:rsidR="003C1079">
        <w:rPr>
          <w:rFonts w:asciiTheme="minorHAnsi" w:hAnsiTheme="minorHAnsi" w:cstheme="minorHAnsi"/>
        </w:rPr>
        <w:t xml:space="preserve"> </w:t>
      </w:r>
      <w:r w:rsidR="00C67212">
        <w:rPr>
          <w:rFonts w:asciiTheme="minorHAnsi" w:hAnsiTheme="minorHAnsi" w:cstheme="minorHAnsi"/>
        </w:rPr>
        <w:t xml:space="preserve">nákupu </w:t>
      </w:r>
      <w:r w:rsidR="00C67212" w:rsidRPr="002D0805">
        <w:rPr>
          <w:rFonts w:asciiTheme="minorHAnsi" w:hAnsiTheme="minorHAnsi" w:cstheme="minorHAnsi"/>
        </w:rPr>
        <w:t>náhradní</w:t>
      </w:r>
      <w:r w:rsidR="00C67212">
        <w:rPr>
          <w:rFonts w:asciiTheme="minorHAnsi" w:hAnsiTheme="minorHAnsi" w:cstheme="minorHAnsi"/>
        </w:rPr>
        <w:t>ch</w:t>
      </w:r>
      <w:r w:rsidR="00C67212" w:rsidRPr="002D0805">
        <w:rPr>
          <w:rFonts w:asciiTheme="minorHAnsi" w:hAnsiTheme="minorHAnsi" w:cstheme="minorHAnsi"/>
        </w:rPr>
        <w:t xml:space="preserve"> díl</w:t>
      </w:r>
      <w:r w:rsidR="00C67212">
        <w:rPr>
          <w:rFonts w:asciiTheme="minorHAnsi" w:hAnsiTheme="minorHAnsi" w:cstheme="minorHAnsi"/>
        </w:rPr>
        <w:t>ů</w:t>
      </w:r>
      <w:r w:rsidR="00C67212" w:rsidRPr="002D0805">
        <w:rPr>
          <w:rFonts w:asciiTheme="minorHAnsi" w:hAnsiTheme="minorHAnsi" w:cstheme="minorHAnsi"/>
          <w:lang w:eastAsia="en-US"/>
        </w:rPr>
        <w:t xml:space="preserve"> </w:t>
      </w:r>
      <w:r w:rsidR="00C67212">
        <w:rPr>
          <w:rFonts w:asciiTheme="minorHAnsi" w:hAnsiTheme="minorHAnsi" w:cstheme="minorHAnsi"/>
          <w:lang w:eastAsia="en-US"/>
        </w:rPr>
        <w:t xml:space="preserve">na automobilní techniku </w:t>
      </w:r>
      <w:r w:rsidR="00C67212" w:rsidRPr="002D0805">
        <w:rPr>
          <w:rFonts w:asciiTheme="minorHAnsi" w:hAnsiTheme="minorHAnsi" w:cstheme="minorHAnsi"/>
          <w:lang w:eastAsia="en-US"/>
        </w:rPr>
        <w:t xml:space="preserve">Armády </w:t>
      </w:r>
      <w:r w:rsidR="005B0FAF">
        <w:rPr>
          <w:rFonts w:asciiTheme="minorHAnsi" w:hAnsiTheme="minorHAnsi" w:cstheme="minorHAnsi"/>
          <w:lang w:eastAsia="en-US"/>
        </w:rPr>
        <w:t xml:space="preserve">činily </w:t>
      </w:r>
      <w:r w:rsidR="00C67212" w:rsidRPr="002D0805">
        <w:rPr>
          <w:rFonts w:asciiTheme="minorHAnsi" w:hAnsiTheme="minorHAnsi" w:cstheme="minorHAnsi"/>
        </w:rPr>
        <w:t>v</w:t>
      </w:r>
      <w:r w:rsidR="00C67212">
        <w:rPr>
          <w:rFonts w:asciiTheme="minorHAnsi" w:hAnsiTheme="minorHAnsi" w:cstheme="minorHAnsi"/>
        </w:rPr>
        <w:t> letech 2018–202</w:t>
      </w:r>
      <w:r w:rsidR="005B0FAF">
        <w:rPr>
          <w:rFonts w:asciiTheme="minorHAnsi" w:hAnsiTheme="minorHAnsi" w:cstheme="minorHAnsi"/>
        </w:rPr>
        <w:t>1</w:t>
      </w:r>
      <w:r w:rsidR="00C67212">
        <w:rPr>
          <w:rFonts w:asciiTheme="minorHAnsi" w:hAnsiTheme="minorHAnsi" w:cstheme="minorHAnsi"/>
        </w:rPr>
        <w:t xml:space="preserve"> </w:t>
      </w:r>
      <w:r w:rsidR="005B0FAF">
        <w:rPr>
          <w:rFonts w:asciiTheme="minorHAnsi" w:hAnsiTheme="minorHAnsi" w:cstheme="minorHAnsi"/>
        </w:rPr>
        <w:t>celkem 1,1 mld</w:t>
      </w:r>
      <w:r w:rsidR="005B0FAF" w:rsidRPr="0088636A">
        <w:rPr>
          <w:rFonts w:asciiTheme="minorHAnsi" w:hAnsiTheme="minorHAnsi" w:cstheme="minorHAnsi"/>
        </w:rPr>
        <w:t>. Kč (</w:t>
      </w:r>
      <w:r w:rsidR="00C67212" w:rsidRPr="0088636A">
        <w:rPr>
          <w:rFonts w:asciiTheme="minorHAnsi" w:hAnsiTheme="minorHAnsi" w:cstheme="minorHAnsi"/>
        </w:rPr>
        <w:t>příloha č. 3</w:t>
      </w:r>
      <w:r w:rsidR="005B0FAF" w:rsidRPr="0088636A">
        <w:rPr>
          <w:rFonts w:asciiTheme="minorHAnsi" w:hAnsiTheme="minorHAnsi" w:cstheme="minorHAnsi"/>
        </w:rPr>
        <w:t>)</w:t>
      </w:r>
      <w:r w:rsidR="00C67212" w:rsidRPr="0088636A">
        <w:rPr>
          <w:rFonts w:asciiTheme="minorHAnsi" w:hAnsiTheme="minorHAnsi" w:cstheme="minorHAnsi"/>
        </w:rPr>
        <w:t>.</w:t>
      </w:r>
    </w:p>
    <w:p w14:paraId="631CA01D" w14:textId="505F2DF1" w:rsidR="00AF574D" w:rsidRPr="0039078E" w:rsidRDefault="002D513A" w:rsidP="00B35458">
      <w:pPr>
        <w:autoSpaceDE w:val="0"/>
        <w:autoSpaceDN w:val="0"/>
        <w:adjustRightInd w:val="0"/>
        <w:spacing w:before="120"/>
        <w:jc w:val="both"/>
        <w:rPr>
          <w:rFonts w:asciiTheme="minorHAnsi" w:hAnsiTheme="minorHAnsi" w:cstheme="minorHAnsi"/>
          <w:sz w:val="20"/>
          <w:szCs w:val="20"/>
        </w:rPr>
      </w:pPr>
      <w:r w:rsidRPr="0088636A">
        <w:rPr>
          <w:rFonts w:asciiTheme="minorHAnsi" w:hAnsiTheme="minorHAnsi" w:cstheme="minorHAnsi"/>
          <w:b/>
          <w:bCs/>
        </w:rPr>
        <w:t>2.5</w:t>
      </w:r>
      <w:r w:rsidRPr="009D4F7F">
        <w:rPr>
          <w:rFonts w:asciiTheme="minorHAnsi" w:hAnsiTheme="minorHAnsi" w:cstheme="minorHAnsi"/>
        </w:rPr>
        <w:t xml:space="preserve"> </w:t>
      </w:r>
      <w:r w:rsidR="00C67212" w:rsidRPr="0088636A">
        <w:rPr>
          <w:rFonts w:ascii="Calibri" w:eastAsia="Calibri" w:hAnsi="Calibri" w:cs="Calibri"/>
          <w:b/>
          <w:lang w:eastAsia="en-US"/>
        </w:rPr>
        <w:t>VOP CZ</w:t>
      </w:r>
      <w:r w:rsidR="00C67212" w:rsidRPr="0088636A">
        <w:rPr>
          <w:rFonts w:ascii="Calibri" w:eastAsia="Calibri" w:hAnsi="Calibri" w:cs="Calibri"/>
          <w:lang w:eastAsia="en-US"/>
        </w:rPr>
        <w:t xml:space="preserve"> b</w:t>
      </w:r>
      <w:r w:rsidR="00C67212" w:rsidRPr="0088636A">
        <w:rPr>
          <w:rFonts w:ascii="Calibri" w:eastAsia="Calibri" w:hAnsi="Calibri" w:cs="Calibri"/>
        </w:rPr>
        <w:t xml:space="preserve">yl založen jako vojenský opravárenský podnik rozhodnutím </w:t>
      </w:r>
      <w:r w:rsidR="00C67212" w:rsidRPr="0088636A">
        <w:rPr>
          <w:rFonts w:ascii="Calibri" w:eastAsia="Calibri" w:hAnsi="Calibri" w:cs="Calibri"/>
          <w:lang w:eastAsia="en-US"/>
        </w:rPr>
        <w:t>Federálního ministerstva národní obrany ze dne 23.</w:t>
      </w:r>
      <w:r w:rsidR="003F73AF">
        <w:rPr>
          <w:rFonts w:ascii="Calibri" w:eastAsia="Calibri" w:hAnsi="Calibri" w:cs="Calibri"/>
          <w:lang w:eastAsia="en-US"/>
        </w:rPr>
        <w:t xml:space="preserve"> </w:t>
      </w:r>
      <w:r w:rsidR="00C67212" w:rsidRPr="0088636A">
        <w:rPr>
          <w:rFonts w:ascii="Calibri" w:eastAsia="Calibri" w:hAnsi="Calibri" w:cs="Calibri"/>
          <w:lang w:eastAsia="en-US"/>
        </w:rPr>
        <w:t>června</w:t>
      </w:r>
      <w:r w:rsidR="003F73AF">
        <w:rPr>
          <w:rFonts w:ascii="Calibri" w:eastAsia="Calibri" w:hAnsi="Calibri" w:cs="Calibri"/>
          <w:lang w:eastAsia="en-US"/>
        </w:rPr>
        <w:t xml:space="preserve"> </w:t>
      </w:r>
      <w:r w:rsidR="00C67212" w:rsidRPr="0088636A">
        <w:rPr>
          <w:rFonts w:ascii="Calibri" w:eastAsia="Calibri" w:hAnsi="Calibri" w:cs="Calibri"/>
          <w:lang w:eastAsia="en-US"/>
        </w:rPr>
        <w:t>1989</w:t>
      </w:r>
      <w:r w:rsidR="003C79DF" w:rsidRPr="0088636A">
        <w:rPr>
          <w:rFonts w:ascii="Calibri" w:eastAsia="Calibri" w:hAnsi="Calibri" w:cs="Calibri"/>
          <w:lang w:eastAsia="en-US"/>
        </w:rPr>
        <w:t>.</w:t>
      </w:r>
      <w:r w:rsidR="00C67212" w:rsidRPr="0088636A">
        <w:rPr>
          <w:rFonts w:ascii="Calibri" w:eastAsia="Calibri" w:hAnsi="Calibri" w:cs="Calibri"/>
        </w:rPr>
        <w:t xml:space="preserve"> Pod</w:t>
      </w:r>
      <w:r w:rsidR="00C67212" w:rsidRPr="0088636A">
        <w:rPr>
          <w:rFonts w:asciiTheme="minorHAnsi" w:hAnsiTheme="minorHAnsi" w:cstheme="minorHAnsi"/>
        </w:rPr>
        <w:t>le zákona</w:t>
      </w:r>
      <w:r w:rsidR="000C1B70">
        <w:rPr>
          <w:rStyle w:val="Znakapoznpodarou"/>
          <w:rFonts w:asciiTheme="minorHAnsi" w:hAnsiTheme="minorHAnsi" w:cstheme="minorHAnsi"/>
        </w:rPr>
        <w:footnoteReference w:id="20"/>
      </w:r>
      <w:r w:rsidR="00C67212" w:rsidRPr="0088636A">
        <w:rPr>
          <w:rFonts w:asciiTheme="minorHAnsi" w:hAnsiTheme="minorHAnsi" w:cstheme="minorHAnsi"/>
        </w:rPr>
        <w:t xml:space="preserve"> je státní organizací </w:t>
      </w:r>
      <w:r w:rsidR="00C67212" w:rsidRPr="0088636A">
        <w:rPr>
          <w:rFonts w:asciiTheme="minorHAnsi" w:hAnsiTheme="minorHAnsi" w:cstheme="minorHAnsi"/>
        </w:rPr>
        <w:lastRenderedPageBreak/>
        <w:t>a</w:t>
      </w:r>
      <w:r w:rsidR="00AE0410" w:rsidRPr="0088636A">
        <w:rPr>
          <w:rFonts w:asciiTheme="minorHAnsi" w:hAnsiTheme="minorHAnsi" w:cstheme="minorHAnsi"/>
        </w:rPr>
        <w:t> </w:t>
      </w:r>
      <w:r w:rsidR="00C67212" w:rsidRPr="0088636A">
        <w:rPr>
          <w:rFonts w:asciiTheme="minorHAnsi" w:hAnsiTheme="minorHAnsi" w:cstheme="minorHAnsi"/>
        </w:rPr>
        <w:t>právnickou osobou, jejímž prostřednictvím vykonává stát svá vlastnická</w:t>
      </w:r>
      <w:r w:rsidR="00C67212" w:rsidRPr="006715FA">
        <w:rPr>
          <w:rFonts w:asciiTheme="minorHAnsi" w:hAnsiTheme="minorHAnsi" w:cstheme="minorHAnsi"/>
        </w:rPr>
        <w:t xml:space="preserve"> práva. </w:t>
      </w:r>
      <w:r w:rsidR="00C67212">
        <w:rPr>
          <w:rFonts w:asciiTheme="minorHAnsi" w:hAnsiTheme="minorHAnsi" w:cstheme="minorHAnsi"/>
        </w:rPr>
        <w:t>Podnik m</w:t>
      </w:r>
      <w:r w:rsidR="00C67212" w:rsidRPr="006715FA">
        <w:rPr>
          <w:rFonts w:asciiTheme="minorHAnsi" w:hAnsiTheme="minorHAnsi" w:cstheme="minorHAnsi"/>
        </w:rPr>
        <w:t>á právo hospodařit s majetkem státu a nemá vlastní majetek.</w:t>
      </w:r>
      <w:r w:rsidR="00C67212">
        <w:rPr>
          <w:rFonts w:asciiTheme="minorHAnsi" w:hAnsiTheme="minorHAnsi" w:cstheme="minorHAnsi"/>
        </w:rPr>
        <w:t xml:space="preserve"> </w:t>
      </w:r>
      <w:r w:rsidR="00C67212" w:rsidRPr="006715FA">
        <w:rPr>
          <w:rFonts w:asciiTheme="minorHAnsi" w:hAnsiTheme="minorHAnsi" w:cstheme="minorHAnsi"/>
        </w:rPr>
        <w:t>Provozuje svým jménem a na vlastní odpovědnost podnikatelskou činnost za účelem plnění významných strategických, hospodářských, společenských, bezpečnostních nebo dalších zájmů státu</w:t>
      </w:r>
      <w:r w:rsidR="00E835FE">
        <w:rPr>
          <w:rFonts w:asciiTheme="minorHAnsi" w:hAnsiTheme="minorHAnsi" w:cstheme="minorHAnsi"/>
        </w:rPr>
        <w:t xml:space="preserve"> a</w:t>
      </w:r>
      <w:r w:rsidR="00922799">
        <w:rPr>
          <w:rFonts w:asciiTheme="minorHAnsi" w:hAnsiTheme="minorHAnsi" w:cstheme="minorHAnsi"/>
        </w:rPr>
        <w:t xml:space="preserve"> </w:t>
      </w:r>
      <w:r w:rsidR="00E835FE">
        <w:rPr>
          <w:rFonts w:asciiTheme="minorHAnsi" w:hAnsiTheme="minorHAnsi" w:cstheme="minorHAnsi"/>
        </w:rPr>
        <w:t>z</w:t>
      </w:r>
      <w:bookmarkStart w:id="12" w:name="_Hlk107821643"/>
      <w:r w:rsidR="00C67212" w:rsidRPr="006715FA">
        <w:rPr>
          <w:rFonts w:ascii="Calibri" w:eastAsia="Calibri" w:hAnsi="Calibri" w:cs="Calibri"/>
        </w:rPr>
        <w:t>ajiš</w:t>
      </w:r>
      <w:r w:rsidR="00C67212">
        <w:rPr>
          <w:rFonts w:ascii="Calibri" w:eastAsia="Calibri" w:hAnsi="Calibri" w:cs="Calibri"/>
        </w:rPr>
        <w:t>ť</w:t>
      </w:r>
      <w:r w:rsidR="00E835FE">
        <w:rPr>
          <w:rFonts w:ascii="Calibri" w:eastAsia="Calibri" w:hAnsi="Calibri" w:cs="Calibri"/>
        </w:rPr>
        <w:t xml:space="preserve">ování </w:t>
      </w:r>
      <w:r w:rsidR="00C67212" w:rsidRPr="006715FA">
        <w:rPr>
          <w:rFonts w:ascii="Calibri" w:eastAsia="Calibri" w:hAnsi="Calibri" w:cs="Calibri"/>
        </w:rPr>
        <w:t>požadavků MO</w:t>
      </w:r>
      <w:bookmarkEnd w:id="12"/>
      <w:r w:rsidR="00C67212" w:rsidRPr="00A930FF">
        <w:rPr>
          <w:rFonts w:ascii="Calibri" w:eastAsia="Calibri" w:hAnsi="Calibri" w:cs="Calibri"/>
        </w:rPr>
        <w:t>. H</w:t>
      </w:r>
      <w:r w:rsidR="00C67212" w:rsidRPr="00A930FF">
        <w:rPr>
          <w:rFonts w:ascii="Calibri" w:eastAsia="Calibri" w:hAnsi="Calibri" w:cs="Calibri"/>
          <w:lang w:eastAsia="en-US"/>
        </w:rPr>
        <w:t>lavním předmětem podnikání</w:t>
      </w:r>
      <w:r w:rsidR="00E835FE" w:rsidRPr="00A930FF">
        <w:rPr>
          <w:rFonts w:ascii="Calibri" w:eastAsia="Calibri" w:hAnsi="Calibri" w:cs="Calibri"/>
          <w:vertAlign w:val="superscript"/>
          <w:lang w:eastAsia="en-US"/>
        </w:rPr>
        <w:footnoteReference w:id="21"/>
      </w:r>
      <w:r w:rsidR="00C67212" w:rsidRPr="00A930FF">
        <w:rPr>
          <w:rFonts w:ascii="Calibri" w:eastAsia="Calibri" w:hAnsi="Calibri" w:cs="Calibri"/>
          <w:lang w:eastAsia="en-US"/>
        </w:rPr>
        <w:t xml:space="preserve"> je provádění přednostních strategických dodávek a</w:t>
      </w:r>
      <w:r w:rsidR="0060247C">
        <w:rPr>
          <w:rFonts w:ascii="Calibri" w:eastAsia="Calibri" w:hAnsi="Calibri" w:cs="Calibri"/>
          <w:lang w:eastAsia="en-US"/>
        </w:rPr>
        <w:t xml:space="preserve"> </w:t>
      </w:r>
      <w:r w:rsidR="00C67212" w:rsidRPr="00A930FF">
        <w:rPr>
          <w:rFonts w:ascii="Calibri" w:eastAsia="Calibri" w:hAnsi="Calibri" w:cs="Calibri"/>
          <w:lang w:eastAsia="en-US"/>
        </w:rPr>
        <w:t>služeb pro zajištění obrany a</w:t>
      </w:r>
      <w:r w:rsidR="0060247C">
        <w:rPr>
          <w:rFonts w:ascii="Calibri" w:eastAsia="Calibri" w:hAnsi="Calibri" w:cs="Calibri"/>
          <w:lang w:eastAsia="en-US"/>
        </w:rPr>
        <w:t xml:space="preserve"> </w:t>
      </w:r>
      <w:r w:rsidR="00C67212" w:rsidRPr="00A930FF">
        <w:rPr>
          <w:rFonts w:ascii="Calibri" w:eastAsia="Calibri" w:hAnsi="Calibri" w:cs="Calibri"/>
          <w:lang w:eastAsia="en-US"/>
        </w:rPr>
        <w:t>bezpečnosti státu, opravy a výroba speciální techniky, výzkum, vývoj a</w:t>
      </w:r>
      <w:r w:rsidR="00922799">
        <w:rPr>
          <w:rFonts w:ascii="Calibri" w:eastAsia="Calibri" w:hAnsi="Calibri" w:cs="Calibri"/>
          <w:lang w:eastAsia="en-US"/>
        </w:rPr>
        <w:t xml:space="preserve"> </w:t>
      </w:r>
      <w:r w:rsidR="00C67212" w:rsidRPr="00A930FF">
        <w:rPr>
          <w:rFonts w:ascii="Calibri" w:eastAsia="Calibri" w:hAnsi="Calibri" w:cs="Calibri"/>
          <w:lang w:eastAsia="en-US"/>
        </w:rPr>
        <w:t>modernizace vojenské techniky a</w:t>
      </w:r>
      <w:r w:rsidR="00922799">
        <w:rPr>
          <w:rFonts w:ascii="Calibri" w:eastAsia="Calibri" w:hAnsi="Calibri" w:cs="Calibri"/>
          <w:lang w:eastAsia="en-US"/>
        </w:rPr>
        <w:t xml:space="preserve"> </w:t>
      </w:r>
      <w:r w:rsidR="00C67212" w:rsidRPr="00A930FF">
        <w:rPr>
          <w:rFonts w:ascii="Calibri" w:eastAsia="Calibri" w:hAnsi="Calibri" w:cs="Calibri"/>
          <w:lang w:eastAsia="en-US"/>
        </w:rPr>
        <w:t>materiálů, výzbroje, výbušnin, munice a jejich zkoušení, montážní a</w:t>
      </w:r>
      <w:r w:rsidR="00922799">
        <w:rPr>
          <w:rFonts w:ascii="Calibri" w:eastAsia="Calibri" w:hAnsi="Calibri" w:cs="Calibri"/>
          <w:lang w:eastAsia="en-US"/>
        </w:rPr>
        <w:t xml:space="preserve"> </w:t>
      </w:r>
      <w:r w:rsidR="00C67212" w:rsidRPr="00A930FF">
        <w:rPr>
          <w:rFonts w:ascii="Calibri" w:eastAsia="Calibri" w:hAnsi="Calibri" w:cs="Calibri"/>
          <w:lang w:eastAsia="en-US"/>
        </w:rPr>
        <w:t>servisní služby, strojírenská výroba a</w:t>
      </w:r>
      <w:r w:rsidR="00922799">
        <w:rPr>
          <w:rFonts w:ascii="Calibri" w:eastAsia="Calibri" w:hAnsi="Calibri" w:cs="Calibri"/>
          <w:lang w:eastAsia="en-US"/>
        </w:rPr>
        <w:t xml:space="preserve"> </w:t>
      </w:r>
      <w:r w:rsidR="00C67212" w:rsidRPr="00A930FF">
        <w:rPr>
          <w:rFonts w:ascii="Calibri" w:eastAsia="Calibri" w:hAnsi="Calibri" w:cs="Calibri"/>
          <w:lang w:eastAsia="en-US"/>
        </w:rPr>
        <w:t>zkušebnictví, s</w:t>
      </w:r>
      <w:r w:rsidR="003E06BF">
        <w:rPr>
          <w:rFonts w:ascii="Calibri" w:eastAsia="Calibri" w:hAnsi="Calibri" w:cs="Calibri"/>
          <w:lang w:eastAsia="en-US"/>
        </w:rPr>
        <w:t xml:space="preserve"> </w:t>
      </w:r>
      <w:r w:rsidR="00C67212" w:rsidRPr="00A930FF">
        <w:rPr>
          <w:rFonts w:ascii="Calibri" w:eastAsia="Calibri" w:hAnsi="Calibri" w:cs="Calibri"/>
          <w:lang w:eastAsia="en-US"/>
        </w:rPr>
        <w:t xml:space="preserve">možností vytěžování částí volných kapacit v jiných oblastech podnikání. </w:t>
      </w:r>
      <w:r w:rsidR="00C67212" w:rsidRPr="00A930FF">
        <w:rPr>
          <w:rFonts w:ascii="Calibri" w:eastAsia="Calibri" w:hAnsi="Calibri" w:cs="Calibri"/>
        </w:rPr>
        <w:t xml:space="preserve">Cílem </w:t>
      </w:r>
      <w:r w:rsidR="003C79DF">
        <w:rPr>
          <w:rFonts w:ascii="Calibri" w:eastAsia="Calibri" w:hAnsi="Calibri" w:cs="Calibri"/>
        </w:rPr>
        <w:t xml:space="preserve">podniku </w:t>
      </w:r>
      <w:r w:rsidR="00C67212" w:rsidRPr="00A930FF">
        <w:rPr>
          <w:rFonts w:ascii="Calibri" w:eastAsia="Calibri" w:hAnsi="Calibri" w:cs="Calibri"/>
        </w:rPr>
        <w:t xml:space="preserve">je </w:t>
      </w:r>
      <w:r w:rsidR="00D21DB2">
        <w:rPr>
          <w:rFonts w:ascii="Calibri" w:eastAsia="Calibri" w:hAnsi="Calibri" w:cs="Calibri"/>
        </w:rPr>
        <w:t xml:space="preserve">zároveň </w:t>
      </w:r>
      <w:r w:rsidR="00C67212" w:rsidRPr="00A930FF">
        <w:rPr>
          <w:rFonts w:ascii="Calibri" w:eastAsia="Calibri" w:hAnsi="Calibri" w:cs="Calibri"/>
        </w:rPr>
        <w:t>tvorba zisku.</w:t>
      </w:r>
      <w:r w:rsidR="00C67212">
        <w:rPr>
          <w:rFonts w:ascii="Calibri" w:eastAsia="Calibri" w:hAnsi="Calibri" w:cs="Calibri"/>
        </w:rPr>
        <w:t xml:space="preserve"> </w:t>
      </w:r>
      <w:r w:rsidR="00C67212" w:rsidRPr="00315F96">
        <w:rPr>
          <w:rFonts w:ascii="Calibri" w:eastAsia="Calibri" w:hAnsi="Calibri" w:cs="Calibri"/>
          <w:lang w:eastAsia="en-US"/>
        </w:rPr>
        <w:t>V</w:t>
      </w:r>
      <w:r w:rsidR="007B20BF">
        <w:rPr>
          <w:rFonts w:ascii="Calibri" w:eastAsia="Calibri" w:hAnsi="Calibri" w:cs="Calibri"/>
          <w:lang w:eastAsia="en-US"/>
        </w:rPr>
        <w:t xml:space="preserve"> </w:t>
      </w:r>
      <w:r w:rsidR="00C67212" w:rsidRPr="00315F96">
        <w:rPr>
          <w:rFonts w:ascii="Calibri" w:eastAsia="Calibri" w:hAnsi="Calibri" w:cs="Calibri"/>
          <w:lang w:eastAsia="en-US"/>
        </w:rPr>
        <w:t xml:space="preserve">kontrolovaném období </w:t>
      </w:r>
      <w:r w:rsidR="006717CD">
        <w:rPr>
          <w:rFonts w:ascii="Calibri" w:eastAsia="Calibri" w:hAnsi="Calibri" w:cs="Calibri"/>
          <w:lang w:eastAsia="en-US"/>
        </w:rPr>
        <w:t xml:space="preserve">VOP CZ </w:t>
      </w:r>
      <w:r w:rsidR="0043008D">
        <w:rPr>
          <w:rFonts w:ascii="Calibri" w:eastAsia="Calibri" w:hAnsi="Calibri" w:cs="Calibri"/>
          <w:lang w:eastAsia="en-US"/>
        </w:rPr>
        <w:t xml:space="preserve">dodával </w:t>
      </w:r>
      <w:r w:rsidR="00B35458">
        <w:rPr>
          <w:rFonts w:ascii="Calibri" w:eastAsia="Calibri" w:hAnsi="Calibri" w:cs="Calibri"/>
          <w:lang w:eastAsia="en-US"/>
        </w:rPr>
        <w:t>M</w:t>
      </w:r>
      <w:r w:rsidR="00D95CF7">
        <w:rPr>
          <w:rFonts w:ascii="Calibri" w:eastAsia="Calibri" w:hAnsi="Calibri" w:cs="Calibri"/>
          <w:lang w:eastAsia="en-US"/>
        </w:rPr>
        <w:t>inisterstvu obrany</w:t>
      </w:r>
      <w:r w:rsidR="00B35458">
        <w:rPr>
          <w:rFonts w:ascii="Calibri" w:eastAsia="Calibri" w:hAnsi="Calibri" w:cs="Calibri"/>
          <w:lang w:eastAsia="en-US"/>
        </w:rPr>
        <w:t xml:space="preserve"> pro </w:t>
      </w:r>
      <w:r w:rsidR="00C67212" w:rsidRPr="00315F96">
        <w:rPr>
          <w:rFonts w:ascii="Calibri" w:eastAsia="Calibri" w:hAnsi="Calibri" w:cs="Calibri"/>
          <w:lang w:eastAsia="en-US"/>
        </w:rPr>
        <w:t>Armád</w:t>
      </w:r>
      <w:r w:rsidR="00B35458">
        <w:rPr>
          <w:rFonts w:ascii="Calibri" w:eastAsia="Calibri" w:hAnsi="Calibri" w:cs="Calibri"/>
          <w:lang w:eastAsia="en-US"/>
        </w:rPr>
        <w:t>u</w:t>
      </w:r>
      <w:r w:rsidR="00C67212" w:rsidRPr="00315F96">
        <w:rPr>
          <w:rFonts w:ascii="Calibri" w:eastAsia="Calibri" w:hAnsi="Calibri" w:cs="Calibri"/>
          <w:lang w:eastAsia="en-US"/>
        </w:rPr>
        <w:t xml:space="preserve"> </w:t>
      </w:r>
      <w:r w:rsidR="00D95CF7">
        <w:rPr>
          <w:rFonts w:ascii="Calibri" w:eastAsia="Calibri" w:hAnsi="Calibri" w:cs="Calibri"/>
          <w:lang w:eastAsia="en-US"/>
        </w:rPr>
        <w:t xml:space="preserve">cisternové </w:t>
      </w:r>
      <w:r w:rsidR="00C67212" w:rsidRPr="00315F96">
        <w:rPr>
          <w:rFonts w:ascii="Calibri" w:eastAsia="Calibri" w:hAnsi="Calibri" w:cs="Calibri"/>
          <w:lang w:eastAsia="en-US"/>
        </w:rPr>
        <w:t>plniče pozemní a letecké techniky</w:t>
      </w:r>
      <w:r w:rsidR="00D21DB2">
        <w:rPr>
          <w:rFonts w:ascii="Calibri" w:eastAsia="Calibri" w:hAnsi="Calibri" w:cs="Calibri"/>
          <w:lang w:eastAsia="en-US"/>
        </w:rPr>
        <w:t xml:space="preserve"> a</w:t>
      </w:r>
      <w:r w:rsidR="0060247C">
        <w:rPr>
          <w:rFonts w:ascii="Calibri" w:eastAsia="Calibri" w:hAnsi="Calibri" w:cs="Calibri"/>
          <w:lang w:eastAsia="en-US"/>
        </w:rPr>
        <w:t xml:space="preserve"> </w:t>
      </w:r>
      <w:r w:rsidR="00C67212" w:rsidRPr="00315F96">
        <w:rPr>
          <w:rFonts w:ascii="Calibri" w:eastAsia="Calibri" w:hAnsi="Calibri" w:cs="Calibri"/>
          <w:lang w:eastAsia="en-US"/>
        </w:rPr>
        <w:t xml:space="preserve">opravoval </w:t>
      </w:r>
      <w:r w:rsidR="00D21DB2">
        <w:rPr>
          <w:rFonts w:ascii="Calibri" w:eastAsia="Calibri" w:hAnsi="Calibri" w:cs="Calibri"/>
          <w:lang w:eastAsia="en-US"/>
        </w:rPr>
        <w:t>jeřábovou techniku</w:t>
      </w:r>
      <w:r w:rsidR="00045AAE" w:rsidRPr="00045AAE">
        <w:rPr>
          <w:rFonts w:ascii="Calibri" w:eastAsia="Calibri" w:hAnsi="Calibri" w:cs="Calibri"/>
          <w:lang w:eastAsia="en-US"/>
        </w:rPr>
        <w:t xml:space="preserve"> </w:t>
      </w:r>
      <w:r w:rsidR="00045AAE">
        <w:rPr>
          <w:rFonts w:ascii="Calibri" w:eastAsia="Calibri" w:hAnsi="Calibri" w:cs="Calibri"/>
          <w:lang w:eastAsia="en-US"/>
        </w:rPr>
        <w:t xml:space="preserve">a </w:t>
      </w:r>
      <w:r w:rsidR="00045AAE" w:rsidRPr="00315F96">
        <w:rPr>
          <w:rFonts w:ascii="Calibri" w:eastAsia="Calibri" w:hAnsi="Calibri" w:cs="Calibri"/>
          <w:lang w:eastAsia="en-US"/>
        </w:rPr>
        <w:t>tanky</w:t>
      </w:r>
      <w:r w:rsidR="00D21DB2">
        <w:rPr>
          <w:rFonts w:ascii="Calibri" w:eastAsia="Calibri" w:hAnsi="Calibri" w:cs="Calibri"/>
          <w:lang w:eastAsia="en-US"/>
        </w:rPr>
        <w:t>.</w:t>
      </w:r>
      <w:r w:rsidR="00C67212" w:rsidRPr="00315F96">
        <w:rPr>
          <w:rFonts w:ascii="Calibri" w:eastAsia="Calibri" w:hAnsi="Calibri" w:cs="Calibri"/>
          <w:lang w:eastAsia="en-US"/>
        </w:rPr>
        <w:t xml:space="preserve"> </w:t>
      </w:r>
      <w:r w:rsidR="00045AAE">
        <w:rPr>
          <w:rFonts w:ascii="Calibri" w:eastAsia="Calibri" w:hAnsi="Calibri" w:cs="Calibri"/>
          <w:lang w:eastAsia="en-US"/>
        </w:rPr>
        <w:t>Dále n</w:t>
      </w:r>
      <w:r w:rsidR="00C67212" w:rsidRPr="00315F96">
        <w:rPr>
          <w:rFonts w:ascii="Calibri" w:eastAsia="Calibri" w:hAnsi="Calibri" w:cs="Calibri"/>
          <w:lang w:eastAsia="en-US"/>
        </w:rPr>
        <w:t>abízel</w:t>
      </w:r>
      <w:r w:rsidR="00C67212">
        <w:rPr>
          <w:rFonts w:ascii="Calibri" w:eastAsia="Calibri" w:hAnsi="Calibri" w:cs="Calibri"/>
          <w:lang w:eastAsia="en-US"/>
        </w:rPr>
        <w:t xml:space="preserve"> </w:t>
      </w:r>
      <w:r w:rsidR="00C67212" w:rsidRPr="00315F96">
        <w:rPr>
          <w:rFonts w:ascii="Calibri" w:eastAsia="Calibri" w:hAnsi="Calibri" w:cs="Calibri"/>
          <w:lang w:eastAsia="en-US"/>
        </w:rPr>
        <w:t>zajištění servisu pásových bojových vozidel a</w:t>
      </w:r>
      <w:r w:rsidR="0060247C">
        <w:rPr>
          <w:rFonts w:ascii="Calibri" w:eastAsia="Calibri" w:hAnsi="Calibri" w:cs="Calibri"/>
          <w:lang w:eastAsia="en-US"/>
        </w:rPr>
        <w:t xml:space="preserve"> </w:t>
      </w:r>
      <w:r w:rsidR="00C67212" w:rsidRPr="00315F96">
        <w:rPr>
          <w:rFonts w:ascii="Calibri" w:eastAsia="Calibri" w:hAnsi="Calibri" w:cs="Calibri"/>
          <w:lang w:eastAsia="en-US"/>
        </w:rPr>
        <w:t xml:space="preserve">vojenské kolové techniky včetně lehkých terénních </w:t>
      </w:r>
      <w:r w:rsidR="00C67212" w:rsidRPr="0088636A">
        <w:rPr>
          <w:rFonts w:ascii="Calibri" w:eastAsia="Calibri" w:hAnsi="Calibri" w:cs="Calibri"/>
          <w:lang w:eastAsia="en-US"/>
        </w:rPr>
        <w:t>automobilů a</w:t>
      </w:r>
      <w:r w:rsidR="0060247C">
        <w:rPr>
          <w:rFonts w:ascii="Calibri" w:eastAsia="Calibri" w:hAnsi="Calibri" w:cs="Calibri"/>
          <w:lang w:eastAsia="en-US"/>
        </w:rPr>
        <w:t xml:space="preserve"> </w:t>
      </w:r>
      <w:r w:rsidR="00C67212" w:rsidRPr="0088636A">
        <w:rPr>
          <w:rFonts w:ascii="Calibri" w:eastAsia="Calibri" w:hAnsi="Calibri" w:cs="Calibri"/>
          <w:lang w:eastAsia="en-US"/>
        </w:rPr>
        <w:t>vývoj a</w:t>
      </w:r>
      <w:r w:rsidR="00045AAE" w:rsidRPr="0088636A">
        <w:rPr>
          <w:rFonts w:ascii="Calibri" w:eastAsia="Calibri" w:hAnsi="Calibri" w:cs="Calibri"/>
          <w:lang w:eastAsia="en-US"/>
        </w:rPr>
        <w:t> </w:t>
      </w:r>
      <w:r w:rsidR="00C67212" w:rsidRPr="0088636A">
        <w:rPr>
          <w:rFonts w:ascii="Calibri" w:eastAsia="Calibri" w:hAnsi="Calibri" w:cs="Calibri"/>
          <w:lang w:eastAsia="en-US"/>
        </w:rPr>
        <w:t xml:space="preserve">výrobu speciálních nástaveb. </w:t>
      </w:r>
      <w:r w:rsidR="00E933B4" w:rsidRPr="0088636A">
        <w:rPr>
          <w:rFonts w:ascii="Calibri" w:eastAsia="Calibri" w:hAnsi="Calibri" w:cs="Calibri"/>
          <w:color w:val="000000"/>
          <w:lang w:eastAsia="en-US"/>
        </w:rPr>
        <w:t xml:space="preserve">Tržby VOP CZ v letech 2018–2022 a jejich </w:t>
      </w:r>
      <w:r w:rsidR="0060247C">
        <w:rPr>
          <w:rFonts w:ascii="Calibri" w:eastAsia="Calibri" w:hAnsi="Calibri" w:cs="Calibri"/>
          <w:color w:val="000000"/>
          <w:lang w:eastAsia="en-US"/>
        </w:rPr>
        <w:t>strukturu</w:t>
      </w:r>
      <w:r w:rsidR="00E933B4" w:rsidRPr="0088636A">
        <w:rPr>
          <w:rFonts w:ascii="Calibri" w:eastAsia="Calibri" w:hAnsi="Calibri" w:cs="Calibri"/>
          <w:color w:val="000000"/>
          <w:lang w:eastAsia="en-US"/>
        </w:rPr>
        <w:t xml:space="preserve"> uvádí příloha č. 3.</w:t>
      </w:r>
    </w:p>
    <w:p w14:paraId="5C375D03" w14:textId="77777777" w:rsidR="00D95FE0" w:rsidRDefault="00D95FE0" w:rsidP="004E0265">
      <w:pPr>
        <w:rPr>
          <w:rFonts w:asciiTheme="minorHAnsi" w:hAnsiTheme="minorHAnsi" w:cstheme="minorHAnsi"/>
        </w:rPr>
      </w:pPr>
    </w:p>
    <w:p w14:paraId="52F82C2F" w14:textId="77777777" w:rsidR="0098784D" w:rsidRPr="00D95FE0" w:rsidRDefault="0098784D" w:rsidP="004E0265">
      <w:pPr>
        <w:rPr>
          <w:rFonts w:asciiTheme="minorHAnsi" w:hAnsiTheme="minorHAnsi" w:cstheme="minorHAnsi"/>
        </w:rPr>
      </w:pPr>
    </w:p>
    <w:p w14:paraId="15C3D6BA" w14:textId="77777777" w:rsidR="001A05E4" w:rsidRPr="005834AC" w:rsidRDefault="001A05E4" w:rsidP="00371455">
      <w:pPr>
        <w:pStyle w:val="Nadpis1"/>
        <w:spacing w:before="240" w:after="0"/>
        <w:jc w:val="center"/>
        <w:rPr>
          <w:rFonts w:asciiTheme="minorHAnsi" w:hAnsiTheme="minorHAnsi" w:cstheme="minorHAnsi"/>
          <w:sz w:val="28"/>
          <w:szCs w:val="28"/>
        </w:rPr>
      </w:pPr>
      <w:r w:rsidRPr="005834AC">
        <w:rPr>
          <w:rFonts w:asciiTheme="minorHAnsi" w:hAnsiTheme="minorHAnsi" w:cstheme="minorHAnsi"/>
          <w:sz w:val="28"/>
          <w:szCs w:val="28"/>
        </w:rPr>
        <w:t xml:space="preserve">III. Rozsah kontroly </w:t>
      </w:r>
    </w:p>
    <w:p w14:paraId="15115445" w14:textId="77777777" w:rsidR="00D02C4E" w:rsidRDefault="002D513A" w:rsidP="00DD0364">
      <w:pPr>
        <w:spacing w:before="240"/>
        <w:jc w:val="both"/>
        <w:rPr>
          <w:rFonts w:asciiTheme="minorHAnsi" w:hAnsiTheme="minorHAnsi" w:cstheme="minorHAnsi"/>
        </w:rPr>
      </w:pPr>
      <w:r>
        <w:rPr>
          <w:rFonts w:asciiTheme="minorHAnsi" w:hAnsiTheme="minorHAnsi" w:cstheme="minorHAnsi"/>
          <w:b/>
          <w:bCs/>
        </w:rPr>
        <w:t>3</w:t>
      </w:r>
      <w:r w:rsidRPr="002D513A">
        <w:rPr>
          <w:rFonts w:asciiTheme="minorHAnsi" w:hAnsiTheme="minorHAnsi" w:cstheme="minorHAnsi"/>
          <w:b/>
          <w:bCs/>
        </w:rPr>
        <w:t>.</w:t>
      </w:r>
      <w:r w:rsidRPr="00D95CF7">
        <w:rPr>
          <w:rFonts w:asciiTheme="minorHAnsi" w:hAnsiTheme="minorHAnsi" w:cstheme="minorHAnsi"/>
          <w:b/>
          <w:bCs/>
        </w:rPr>
        <w:t>1</w:t>
      </w:r>
      <w:r w:rsidRPr="009D4F7F">
        <w:rPr>
          <w:rFonts w:asciiTheme="minorHAnsi" w:hAnsiTheme="minorHAnsi" w:cstheme="minorHAnsi"/>
        </w:rPr>
        <w:t xml:space="preserve"> </w:t>
      </w:r>
      <w:r w:rsidR="005D5423" w:rsidRPr="00F31754">
        <w:rPr>
          <w:rFonts w:asciiTheme="minorHAnsi" w:hAnsiTheme="minorHAnsi" w:cstheme="minorHAnsi"/>
        </w:rPr>
        <w:t>Cílem kontroly bylo prověřit</w:t>
      </w:r>
      <w:r w:rsidR="005D5423" w:rsidRPr="005D5423">
        <w:rPr>
          <w:rFonts w:asciiTheme="minorHAnsi" w:hAnsiTheme="minorHAnsi" w:cstheme="minorHAnsi"/>
        </w:rPr>
        <w:t>, zda M</w:t>
      </w:r>
      <w:r w:rsidR="00AE0410">
        <w:rPr>
          <w:rFonts w:asciiTheme="minorHAnsi" w:hAnsiTheme="minorHAnsi" w:cstheme="minorHAnsi"/>
        </w:rPr>
        <w:t xml:space="preserve">O </w:t>
      </w:r>
      <w:r w:rsidR="005D5423" w:rsidRPr="005D5423">
        <w:rPr>
          <w:rFonts w:asciiTheme="minorHAnsi" w:hAnsiTheme="minorHAnsi" w:cstheme="minorHAnsi"/>
        </w:rPr>
        <w:t>vynakládalo peněžní prostředky stát</w:t>
      </w:r>
      <w:r w:rsidR="00EF20E3">
        <w:rPr>
          <w:rFonts w:asciiTheme="minorHAnsi" w:hAnsiTheme="minorHAnsi" w:cstheme="minorHAnsi"/>
        </w:rPr>
        <w:t>ního rozpočtu</w:t>
      </w:r>
      <w:r w:rsidR="005D5423" w:rsidRPr="005D5423">
        <w:rPr>
          <w:rFonts w:asciiTheme="minorHAnsi" w:hAnsiTheme="minorHAnsi" w:cstheme="minorHAnsi"/>
        </w:rPr>
        <w:t xml:space="preserve"> určené na automobilní techniku Armády účelně, hospodárně, efektivně a</w:t>
      </w:r>
      <w:r w:rsidR="00F8072F">
        <w:rPr>
          <w:rFonts w:asciiTheme="minorHAnsi" w:hAnsiTheme="minorHAnsi" w:cstheme="minorHAnsi"/>
        </w:rPr>
        <w:t> </w:t>
      </w:r>
      <w:r w:rsidR="005D5423" w:rsidRPr="005D5423">
        <w:rPr>
          <w:rFonts w:asciiTheme="minorHAnsi" w:hAnsiTheme="minorHAnsi" w:cstheme="minorHAnsi"/>
        </w:rPr>
        <w:t>v</w:t>
      </w:r>
      <w:r w:rsidR="00F8072F">
        <w:rPr>
          <w:rFonts w:asciiTheme="minorHAnsi" w:hAnsiTheme="minorHAnsi" w:cstheme="minorHAnsi"/>
        </w:rPr>
        <w:t> </w:t>
      </w:r>
      <w:r w:rsidR="005D5423" w:rsidRPr="00F8072F">
        <w:rPr>
          <w:rFonts w:asciiTheme="minorHAnsi" w:hAnsiTheme="minorHAnsi" w:cstheme="minorHAnsi"/>
        </w:rPr>
        <w:t>souladu s právními předpisy.</w:t>
      </w:r>
      <w:r w:rsidR="00D02C4E" w:rsidRPr="00D02C4E">
        <w:rPr>
          <w:rFonts w:asciiTheme="minorHAnsi" w:hAnsiTheme="minorHAnsi" w:cstheme="minorHAnsi"/>
        </w:rPr>
        <w:t xml:space="preserve"> </w:t>
      </w:r>
      <w:r w:rsidR="00D02C4E" w:rsidRPr="005D5423">
        <w:rPr>
          <w:rFonts w:asciiTheme="minorHAnsi" w:hAnsiTheme="minorHAnsi" w:cstheme="minorHAnsi"/>
        </w:rPr>
        <w:t>Kontrolovaným obdobím byly roky 2018 až 2022, v případě věcných souvislostí i období předcházející a období do ukončení kontroly.</w:t>
      </w:r>
      <w:r w:rsidR="00D02C4E" w:rsidRPr="00D02C4E">
        <w:rPr>
          <w:rFonts w:asciiTheme="minorHAnsi" w:hAnsiTheme="minorHAnsi" w:cstheme="minorHAnsi"/>
        </w:rPr>
        <w:t xml:space="preserve"> </w:t>
      </w:r>
      <w:r w:rsidR="00D02C4E">
        <w:rPr>
          <w:rFonts w:asciiTheme="minorHAnsi" w:hAnsiTheme="minorHAnsi" w:cstheme="minorHAnsi"/>
        </w:rPr>
        <w:t>Celkový kontrolovaný objem peněžních prostředků činil 1 618 282 892 Kč.</w:t>
      </w:r>
    </w:p>
    <w:p w14:paraId="54DAA578" w14:textId="77777777" w:rsidR="003D1B63" w:rsidRPr="00F8072F" w:rsidRDefault="002D513A" w:rsidP="003D5028">
      <w:pPr>
        <w:spacing w:before="120"/>
        <w:jc w:val="both"/>
        <w:rPr>
          <w:rFonts w:asciiTheme="minorHAnsi" w:hAnsiTheme="minorHAnsi" w:cstheme="minorHAnsi"/>
        </w:rPr>
      </w:pPr>
      <w:r>
        <w:rPr>
          <w:rFonts w:asciiTheme="minorHAnsi" w:hAnsiTheme="minorHAnsi" w:cstheme="minorHAnsi"/>
          <w:b/>
          <w:bCs/>
        </w:rPr>
        <w:t>3</w:t>
      </w:r>
      <w:r w:rsidRPr="002D513A">
        <w:rPr>
          <w:rFonts w:asciiTheme="minorHAnsi" w:hAnsiTheme="minorHAnsi" w:cstheme="minorHAnsi"/>
          <w:b/>
          <w:bCs/>
        </w:rPr>
        <w:t>.</w:t>
      </w:r>
      <w:r>
        <w:rPr>
          <w:rFonts w:asciiTheme="minorHAnsi" w:hAnsiTheme="minorHAnsi" w:cstheme="minorHAnsi"/>
          <w:b/>
          <w:bCs/>
        </w:rPr>
        <w:t>2</w:t>
      </w:r>
      <w:r w:rsidRPr="009D4F7F">
        <w:rPr>
          <w:rFonts w:asciiTheme="minorHAnsi" w:hAnsiTheme="minorHAnsi" w:cstheme="minorHAnsi"/>
        </w:rPr>
        <w:t xml:space="preserve"> </w:t>
      </w:r>
      <w:r w:rsidR="003D1B63">
        <w:rPr>
          <w:rFonts w:asciiTheme="minorHAnsi" w:hAnsiTheme="minorHAnsi" w:cstheme="minorHAnsi"/>
        </w:rPr>
        <w:t>U MO se k</w:t>
      </w:r>
      <w:r w:rsidR="005D5423" w:rsidRPr="00F8072F">
        <w:rPr>
          <w:rFonts w:asciiTheme="minorHAnsi" w:hAnsiTheme="minorHAnsi" w:cstheme="minorHAnsi"/>
        </w:rPr>
        <w:t>ontrola zaměřila na následující činnosti</w:t>
      </w:r>
      <w:r w:rsidR="003D1B63">
        <w:rPr>
          <w:rFonts w:asciiTheme="minorHAnsi" w:hAnsiTheme="minorHAnsi" w:cstheme="minorHAnsi"/>
        </w:rPr>
        <w:t>:</w:t>
      </w:r>
    </w:p>
    <w:p w14:paraId="630AD498" w14:textId="77777777" w:rsidR="005D5423" w:rsidRPr="00F8072F" w:rsidRDefault="00F8072F" w:rsidP="003D5028">
      <w:pPr>
        <w:pStyle w:val="Odstavecseseznamem"/>
        <w:numPr>
          <w:ilvl w:val="0"/>
          <w:numId w:val="11"/>
        </w:numPr>
        <w:ind w:left="284" w:hanging="284"/>
        <w:jc w:val="both"/>
        <w:rPr>
          <w:rFonts w:asciiTheme="minorHAnsi" w:hAnsiTheme="minorHAnsi" w:cstheme="minorHAnsi"/>
        </w:rPr>
      </w:pPr>
      <w:r w:rsidRPr="00F8072F">
        <w:rPr>
          <w:rFonts w:asciiTheme="minorHAnsi" w:hAnsiTheme="minorHAnsi" w:cstheme="minorHAnsi"/>
        </w:rPr>
        <w:t>stanovení a naplňování potřeb v oblasti nákupů automobilní techniky</w:t>
      </w:r>
      <w:r w:rsidR="0092429F" w:rsidRPr="0092429F">
        <w:rPr>
          <w:rFonts w:asciiTheme="minorHAnsi" w:hAnsiTheme="minorHAnsi" w:cstheme="minorHAnsi"/>
        </w:rPr>
        <w:t xml:space="preserve"> </w:t>
      </w:r>
      <w:r w:rsidR="0092429F" w:rsidRPr="00F8072F">
        <w:rPr>
          <w:rFonts w:asciiTheme="minorHAnsi" w:hAnsiTheme="minorHAnsi" w:cstheme="minorHAnsi"/>
        </w:rPr>
        <w:t>Armády</w:t>
      </w:r>
      <w:r w:rsidRPr="00F8072F">
        <w:rPr>
          <w:rFonts w:asciiTheme="minorHAnsi" w:hAnsiTheme="minorHAnsi" w:cstheme="minorHAnsi"/>
        </w:rPr>
        <w:t>,</w:t>
      </w:r>
    </w:p>
    <w:p w14:paraId="318AA98E" w14:textId="77777777" w:rsidR="00913B59" w:rsidRPr="003166B6" w:rsidRDefault="00F8072F" w:rsidP="003166B6">
      <w:pPr>
        <w:pStyle w:val="Odstavecseseznamem"/>
        <w:numPr>
          <w:ilvl w:val="0"/>
          <w:numId w:val="7"/>
        </w:numPr>
        <w:ind w:left="284" w:hanging="284"/>
        <w:jc w:val="both"/>
        <w:rPr>
          <w:rFonts w:asciiTheme="minorHAnsi" w:hAnsiTheme="minorHAnsi" w:cstheme="minorHAnsi"/>
        </w:rPr>
      </w:pPr>
      <w:r>
        <w:rPr>
          <w:rFonts w:asciiTheme="minorHAnsi" w:hAnsiTheme="minorHAnsi" w:cstheme="minorHAnsi"/>
        </w:rPr>
        <w:t xml:space="preserve">nastavení realizace programu č. 107 690 – </w:t>
      </w:r>
      <w:r w:rsidRPr="00000ECF">
        <w:rPr>
          <w:rFonts w:asciiTheme="minorHAnsi" w:hAnsiTheme="minorHAnsi" w:cstheme="minorHAnsi"/>
          <w:i/>
        </w:rPr>
        <w:t>Udržení a rozvoj schopností logist</w:t>
      </w:r>
      <w:r w:rsidR="00913B59" w:rsidRPr="00000ECF">
        <w:rPr>
          <w:rFonts w:asciiTheme="minorHAnsi" w:hAnsiTheme="minorHAnsi" w:cstheme="minorHAnsi"/>
          <w:i/>
        </w:rPr>
        <w:t>ické podpory</w:t>
      </w:r>
      <w:r w:rsidR="00360DE6">
        <w:rPr>
          <w:rFonts w:asciiTheme="minorHAnsi" w:hAnsiTheme="minorHAnsi" w:cstheme="minorHAnsi"/>
        </w:rPr>
        <w:t>,</w:t>
      </w:r>
    </w:p>
    <w:p w14:paraId="2F977A5D" w14:textId="77777777" w:rsidR="00360DE6" w:rsidRDefault="00360DE6" w:rsidP="003D5028">
      <w:pPr>
        <w:pStyle w:val="Odstavecseseznamem"/>
        <w:numPr>
          <w:ilvl w:val="0"/>
          <w:numId w:val="7"/>
        </w:numPr>
        <w:ind w:left="284" w:hanging="284"/>
        <w:jc w:val="both"/>
        <w:rPr>
          <w:rFonts w:asciiTheme="minorHAnsi" w:hAnsiTheme="minorHAnsi" w:cstheme="minorHAnsi"/>
        </w:rPr>
      </w:pPr>
      <w:r>
        <w:rPr>
          <w:rFonts w:asciiTheme="minorHAnsi" w:hAnsiTheme="minorHAnsi" w:cstheme="minorHAnsi"/>
        </w:rPr>
        <w:t xml:space="preserve">plnění zakladatelské funkce MO ve vztahu k VOP CZ a využívání </w:t>
      </w:r>
      <w:r w:rsidR="0029318A">
        <w:rPr>
          <w:rFonts w:asciiTheme="minorHAnsi" w:hAnsiTheme="minorHAnsi" w:cstheme="minorHAnsi"/>
        </w:rPr>
        <w:t>činnosti</w:t>
      </w:r>
      <w:r>
        <w:rPr>
          <w:rFonts w:asciiTheme="minorHAnsi" w:hAnsiTheme="minorHAnsi" w:cstheme="minorHAnsi"/>
        </w:rPr>
        <w:t xml:space="preserve"> </w:t>
      </w:r>
      <w:r w:rsidR="0029318A">
        <w:rPr>
          <w:rFonts w:asciiTheme="minorHAnsi" w:hAnsiTheme="minorHAnsi" w:cstheme="minorHAnsi"/>
        </w:rPr>
        <w:t>tohoto</w:t>
      </w:r>
      <w:r>
        <w:rPr>
          <w:rFonts w:asciiTheme="minorHAnsi" w:hAnsiTheme="minorHAnsi" w:cstheme="minorHAnsi"/>
        </w:rPr>
        <w:t xml:space="preserve"> podniku</w:t>
      </w:r>
      <w:r w:rsidR="001719DC">
        <w:rPr>
          <w:rFonts w:asciiTheme="minorHAnsi" w:hAnsiTheme="minorHAnsi" w:cstheme="minorHAnsi"/>
        </w:rPr>
        <w:t xml:space="preserve"> v oblasti automobilní techniky</w:t>
      </w:r>
      <w:r w:rsidR="00E818F2">
        <w:rPr>
          <w:rFonts w:asciiTheme="minorHAnsi" w:hAnsiTheme="minorHAnsi" w:cstheme="minorHAnsi"/>
        </w:rPr>
        <w:t xml:space="preserve"> Armády</w:t>
      </w:r>
      <w:r w:rsidR="00276274">
        <w:rPr>
          <w:rFonts w:asciiTheme="minorHAnsi" w:hAnsiTheme="minorHAnsi" w:cstheme="minorHAnsi"/>
        </w:rPr>
        <w:t xml:space="preserve"> a ve prospěch MO</w:t>
      </w:r>
      <w:r w:rsidR="001719DC">
        <w:rPr>
          <w:rFonts w:asciiTheme="minorHAnsi" w:hAnsiTheme="minorHAnsi" w:cstheme="minorHAnsi"/>
        </w:rPr>
        <w:t>,</w:t>
      </w:r>
    </w:p>
    <w:p w14:paraId="613E0A17" w14:textId="30D0D188" w:rsidR="001719DC" w:rsidRDefault="001719DC" w:rsidP="003D5028">
      <w:pPr>
        <w:pStyle w:val="Odstavecseseznamem"/>
        <w:numPr>
          <w:ilvl w:val="0"/>
          <w:numId w:val="7"/>
        </w:numPr>
        <w:ind w:left="284" w:hanging="284"/>
        <w:jc w:val="both"/>
        <w:rPr>
          <w:rFonts w:asciiTheme="minorHAnsi" w:hAnsiTheme="minorHAnsi" w:cstheme="minorHAnsi"/>
        </w:rPr>
      </w:pPr>
      <w:r>
        <w:rPr>
          <w:rFonts w:asciiTheme="minorHAnsi" w:hAnsiTheme="minorHAnsi" w:cstheme="minorHAnsi"/>
        </w:rPr>
        <w:t>příprav</w:t>
      </w:r>
      <w:r w:rsidR="00806629">
        <w:rPr>
          <w:rFonts w:asciiTheme="minorHAnsi" w:hAnsiTheme="minorHAnsi" w:cstheme="minorHAnsi"/>
        </w:rPr>
        <w:t>u</w:t>
      </w:r>
      <w:r>
        <w:rPr>
          <w:rFonts w:asciiTheme="minorHAnsi" w:hAnsiTheme="minorHAnsi" w:cstheme="minorHAnsi"/>
        </w:rPr>
        <w:t xml:space="preserve"> a realizac</w:t>
      </w:r>
      <w:r w:rsidR="00806629">
        <w:rPr>
          <w:rFonts w:asciiTheme="minorHAnsi" w:hAnsiTheme="minorHAnsi" w:cstheme="minorHAnsi"/>
        </w:rPr>
        <w:t>i</w:t>
      </w:r>
      <w:r>
        <w:rPr>
          <w:rFonts w:asciiTheme="minorHAnsi" w:hAnsiTheme="minorHAnsi" w:cstheme="minorHAnsi"/>
        </w:rPr>
        <w:t xml:space="preserve"> vybraných investičních akcí na nákup</w:t>
      </w:r>
      <w:r w:rsidR="003A7D0E">
        <w:rPr>
          <w:rFonts w:asciiTheme="minorHAnsi" w:hAnsiTheme="minorHAnsi" w:cstheme="minorHAnsi"/>
        </w:rPr>
        <w:t>y</w:t>
      </w:r>
      <w:r>
        <w:rPr>
          <w:rFonts w:asciiTheme="minorHAnsi" w:hAnsiTheme="minorHAnsi" w:cstheme="minorHAnsi"/>
        </w:rPr>
        <w:t xml:space="preserve"> automobilní techniky</w:t>
      </w:r>
      <w:r w:rsidR="00E818F2">
        <w:rPr>
          <w:rFonts w:asciiTheme="minorHAnsi" w:hAnsiTheme="minorHAnsi" w:cstheme="minorHAnsi"/>
        </w:rPr>
        <w:t xml:space="preserve"> Armády</w:t>
      </w:r>
      <w:r>
        <w:rPr>
          <w:rFonts w:asciiTheme="minorHAnsi" w:hAnsiTheme="minorHAnsi" w:cstheme="minorHAnsi"/>
        </w:rPr>
        <w:t>,</w:t>
      </w:r>
    </w:p>
    <w:p w14:paraId="2415F910" w14:textId="77777777" w:rsidR="001719DC" w:rsidRDefault="001719DC" w:rsidP="003D5028">
      <w:pPr>
        <w:pStyle w:val="Odstavecseseznamem"/>
        <w:numPr>
          <w:ilvl w:val="0"/>
          <w:numId w:val="7"/>
        </w:numPr>
        <w:ind w:left="284" w:hanging="284"/>
        <w:jc w:val="both"/>
        <w:rPr>
          <w:rFonts w:asciiTheme="minorHAnsi" w:hAnsiTheme="minorHAnsi" w:cstheme="minorHAnsi"/>
        </w:rPr>
      </w:pPr>
      <w:r>
        <w:rPr>
          <w:rFonts w:asciiTheme="minorHAnsi" w:hAnsiTheme="minorHAnsi" w:cstheme="minorHAnsi"/>
        </w:rPr>
        <w:t xml:space="preserve">provozování vybraných </w:t>
      </w:r>
      <w:r w:rsidR="003D1B63">
        <w:rPr>
          <w:rFonts w:asciiTheme="minorHAnsi" w:hAnsiTheme="minorHAnsi" w:cstheme="minorHAnsi"/>
        </w:rPr>
        <w:t>druhů automobilní techniky</w:t>
      </w:r>
      <w:r w:rsidR="00E818F2">
        <w:rPr>
          <w:rFonts w:asciiTheme="minorHAnsi" w:hAnsiTheme="minorHAnsi" w:cstheme="minorHAnsi"/>
        </w:rPr>
        <w:t xml:space="preserve"> Armády</w:t>
      </w:r>
      <w:r>
        <w:rPr>
          <w:rFonts w:asciiTheme="minorHAnsi" w:hAnsiTheme="minorHAnsi" w:cstheme="minorHAnsi"/>
        </w:rPr>
        <w:t>,</w:t>
      </w:r>
    </w:p>
    <w:p w14:paraId="7A009315" w14:textId="6DE78D82" w:rsidR="00D02C4E" w:rsidRPr="00FB2609" w:rsidRDefault="001719DC" w:rsidP="003D5028">
      <w:pPr>
        <w:pStyle w:val="Odstavecseseznamem"/>
        <w:numPr>
          <w:ilvl w:val="0"/>
          <w:numId w:val="7"/>
        </w:numPr>
        <w:ind w:left="284" w:hanging="284"/>
        <w:jc w:val="both"/>
        <w:rPr>
          <w:rFonts w:asciiTheme="minorHAnsi" w:hAnsiTheme="minorHAnsi" w:cstheme="minorHAnsi"/>
        </w:rPr>
      </w:pPr>
      <w:r w:rsidRPr="00550BC0">
        <w:rPr>
          <w:rFonts w:asciiTheme="minorHAnsi" w:hAnsiTheme="minorHAnsi" w:cstheme="minorHAnsi"/>
        </w:rPr>
        <w:t>uzavření vybraných rámcových smluv / rámcové dohody na údržbu</w:t>
      </w:r>
      <w:r w:rsidR="00E818F2">
        <w:rPr>
          <w:rFonts w:asciiTheme="minorHAnsi" w:hAnsiTheme="minorHAnsi" w:cstheme="minorHAnsi"/>
        </w:rPr>
        <w:t>, opravy a nákup</w:t>
      </w:r>
      <w:r w:rsidR="004E2C2E">
        <w:rPr>
          <w:rFonts w:asciiTheme="minorHAnsi" w:hAnsiTheme="minorHAnsi" w:cstheme="minorHAnsi"/>
        </w:rPr>
        <w:t>y</w:t>
      </w:r>
      <w:r w:rsidR="00E818F2">
        <w:rPr>
          <w:rFonts w:asciiTheme="minorHAnsi" w:hAnsiTheme="minorHAnsi" w:cstheme="minorHAnsi"/>
        </w:rPr>
        <w:t xml:space="preserve"> náhradních dílů </w:t>
      </w:r>
      <w:r w:rsidRPr="00550BC0">
        <w:rPr>
          <w:rFonts w:asciiTheme="minorHAnsi" w:hAnsiTheme="minorHAnsi" w:cstheme="minorHAnsi"/>
        </w:rPr>
        <w:t>automobilní technik</w:t>
      </w:r>
      <w:r w:rsidR="00806629">
        <w:rPr>
          <w:rFonts w:asciiTheme="minorHAnsi" w:hAnsiTheme="minorHAnsi" w:cstheme="minorHAnsi"/>
        </w:rPr>
        <w:t>y</w:t>
      </w:r>
      <w:r w:rsidR="00E818F2">
        <w:rPr>
          <w:rFonts w:asciiTheme="minorHAnsi" w:hAnsiTheme="minorHAnsi" w:cstheme="minorHAnsi"/>
        </w:rPr>
        <w:t xml:space="preserve"> Armády</w:t>
      </w:r>
      <w:r w:rsidR="00550BC0" w:rsidRPr="00550BC0">
        <w:rPr>
          <w:rFonts w:asciiTheme="minorHAnsi" w:hAnsiTheme="minorHAnsi" w:cstheme="minorHAnsi"/>
        </w:rPr>
        <w:t xml:space="preserve"> a</w:t>
      </w:r>
      <w:r w:rsidR="00550BC0">
        <w:rPr>
          <w:rFonts w:asciiTheme="minorHAnsi" w:hAnsiTheme="minorHAnsi" w:cstheme="minorHAnsi"/>
        </w:rPr>
        <w:t xml:space="preserve"> </w:t>
      </w:r>
      <w:r w:rsidR="003D1B63" w:rsidRPr="00550BC0">
        <w:rPr>
          <w:rFonts w:asciiTheme="minorHAnsi" w:hAnsiTheme="minorHAnsi" w:cstheme="minorHAnsi"/>
        </w:rPr>
        <w:t>realizac</w:t>
      </w:r>
      <w:r w:rsidR="00806629">
        <w:rPr>
          <w:rFonts w:asciiTheme="minorHAnsi" w:hAnsiTheme="minorHAnsi" w:cstheme="minorHAnsi"/>
        </w:rPr>
        <w:t>i</w:t>
      </w:r>
      <w:r w:rsidR="003D1B63" w:rsidRPr="00550BC0">
        <w:rPr>
          <w:rFonts w:asciiTheme="minorHAnsi" w:hAnsiTheme="minorHAnsi" w:cstheme="minorHAnsi"/>
        </w:rPr>
        <w:t xml:space="preserve"> </w:t>
      </w:r>
      <w:r w:rsidR="00550BC0">
        <w:rPr>
          <w:rFonts w:asciiTheme="minorHAnsi" w:hAnsiTheme="minorHAnsi" w:cstheme="minorHAnsi"/>
        </w:rPr>
        <w:t xml:space="preserve">jejich </w:t>
      </w:r>
      <w:r w:rsidR="003D1B63" w:rsidRPr="00550BC0">
        <w:rPr>
          <w:rFonts w:asciiTheme="minorHAnsi" w:hAnsiTheme="minorHAnsi" w:cstheme="minorHAnsi"/>
        </w:rPr>
        <w:t>plnění</w:t>
      </w:r>
      <w:r w:rsidRPr="00550BC0">
        <w:rPr>
          <w:rFonts w:asciiTheme="minorHAnsi" w:hAnsiTheme="minorHAnsi" w:cstheme="minorHAnsi"/>
        </w:rPr>
        <w:t>.</w:t>
      </w:r>
    </w:p>
    <w:p w14:paraId="03177648" w14:textId="77777777" w:rsidR="0034173B" w:rsidRPr="0034173B" w:rsidRDefault="002D513A" w:rsidP="003D5028">
      <w:pPr>
        <w:spacing w:before="120"/>
        <w:jc w:val="both"/>
        <w:rPr>
          <w:rFonts w:asciiTheme="minorHAnsi" w:hAnsiTheme="minorHAnsi" w:cstheme="minorHAnsi"/>
        </w:rPr>
      </w:pPr>
      <w:r>
        <w:rPr>
          <w:rFonts w:asciiTheme="minorHAnsi" w:hAnsiTheme="minorHAnsi" w:cstheme="minorHAnsi"/>
          <w:b/>
          <w:bCs/>
        </w:rPr>
        <w:t>3</w:t>
      </w:r>
      <w:r w:rsidRPr="002D513A">
        <w:rPr>
          <w:rFonts w:asciiTheme="minorHAnsi" w:hAnsiTheme="minorHAnsi" w:cstheme="minorHAnsi"/>
          <w:b/>
          <w:bCs/>
        </w:rPr>
        <w:t>.</w:t>
      </w:r>
      <w:r>
        <w:rPr>
          <w:rFonts w:asciiTheme="minorHAnsi" w:hAnsiTheme="minorHAnsi" w:cstheme="minorHAnsi"/>
          <w:b/>
          <w:bCs/>
        </w:rPr>
        <w:t>3</w:t>
      </w:r>
      <w:r w:rsidRPr="009D4F7F">
        <w:rPr>
          <w:rFonts w:asciiTheme="minorHAnsi" w:hAnsiTheme="minorHAnsi" w:cstheme="minorHAnsi"/>
        </w:rPr>
        <w:t xml:space="preserve"> </w:t>
      </w:r>
      <w:r w:rsidR="003D1B63" w:rsidRPr="003D1B63">
        <w:rPr>
          <w:rFonts w:asciiTheme="minorHAnsi" w:hAnsiTheme="minorHAnsi" w:cstheme="minorHAnsi"/>
        </w:rPr>
        <w:t xml:space="preserve">U </w:t>
      </w:r>
      <w:r w:rsidR="003D1B63" w:rsidRPr="0034173B">
        <w:rPr>
          <w:rFonts w:asciiTheme="minorHAnsi" w:hAnsiTheme="minorHAnsi" w:cstheme="minorHAnsi"/>
        </w:rPr>
        <w:t>VOP CZ bylo prověř</w:t>
      </w:r>
      <w:r w:rsidR="00550BC0" w:rsidRPr="0034173B">
        <w:rPr>
          <w:rFonts w:asciiTheme="minorHAnsi" w:hAnsiTheme="minorHAnsi" w:cstheme="minorHAnsi"/>
        </w:rPr>
        <w:t>ováno</w:t>
      </w:r>
      <w:r w:rsidR="0034173B" w:rsidRPr="0034173B">
        <w:rPr>
          <w:rFonts w:asciiTheme="minorHAnsi" w:hAnsiTheme="minorHAnsi" w:cstheme="minorHAnsi"/>
        </w:rPr>
        <w:t>:</w:t>
      </w:r>
    </w:p>
    <w:p w14:paraId="36216021" w14:textId="77777777" w:rsidR="0034173B" w:rsidRPr="0034173B" w:rsidRDefault="0034173B" w:rsidP="003D5028">
      <w:pPr>
        <w:pStyle w:val="Odstavecseseznamem"/>
        <w:numPr>
          <w:ilvl w:val="0"/>
          <w:numId w:val="24"/>
        </w:numPr>
        <w:ind w:left="357" w:hanging="357"/>
        <w:jc w:val="both"/>
        <w:rPr>
          <w:rFonts w:asciiTheme="minorHAnsi" w:hAnsiTheme="minorHAnsi" w:cstheme="minorHAnsi"/>
        </w:rPr>
      </w:pPr>
      <w:r w:rsidRPr="0034173B">
        <w:rPr>
          <w:rFonts w:asciiTheme="minorHAnsi" w:hAnsiTheme="minorHAnsi" w:cstheme="minorHAnsi"/>
        </w:rPr>
        <w:t>pl</w:t>
      </w:r>
      <w:r>
        <w:rPr>
          <w:rFonts w:asciiTheme="minorHAnsi" w:hAnsiTheme="minorHAnsi" w:cstheme="minorHAnsi"/>
        </w:rPr>
        <w:t>nění</w:t>
      </w:r>
      <w:r w:rsidRPr="0034173B">
        <w:rPr>
          <w:rFonts w:asciiTheme="minorHAnsi" w:hAnsiTheme="minorHAnsi" w:cstheme="minorHAnsi"/>
        </w:rPr>
        <w:t xml:space="preserve"> stanovených záměrů a cílů</w:t>
      </w:r>
      <w:r>
        <w:rPr>
          <w:rFonts w:asciiTheme="minorHAnsi" w:hAnsiTheme="minorHAnsi" w:cstheme="minorHAnsi"/>
        </w:rPr>
        <w:t xml:space="preserve"> a naplňování účelu založení </w:t>
      </w:r>
      <w:r w:rsidR="00000ECF">
        <w:rPr>
          <w:rFonts w:asciiTheme="minorHAnsi" w:hAnsiTheme="minorHAnsi" w:cstheme="minorHAnsi"/>
        </w:rPr>
        <w:t xml:space="preserve">státního </w:t>
      </w:r>
      <w:r>
        <w:rPr>
          <w:rFonts w:asciiTheme="minorHAnsi" w:hAnsiTheme="minorHAnsi" w:cstheme="minorHAnsi"/>
        </w:rPr>
        <w:t xml:space="preserve">podniku, zejména </w:t>
      </w:r>
      <w:r w:rsidRPr="0034173B">
        <w:rPr>
          <w:rFonts w:asciiTheme="minorHAnsi" w:hAnsiTheme="minorHAnsi" w:cstheme="minorHAnsi"/>
        </w:rPr>
        <w:t>ve vztahu k automobilní technice Armády</w:t>
      </w:r>
      <w:r>
        <w:rPr>
          <w:rFonts w:asciiTheme="minorHAnsi" w:hAnsiTheme="minorHAnsi" w:cstheme="minorHAnsi"/>
        </w:rPr>
        <w:t>,</w:t>
      </w:r>
    </w:p>
    <w:p w14:paraId="39719FC4" w14:textId="77777777" w:rsidR="0034173B" w:rsidRDefault="0034173B" w:rsidP="0034173B">
      <w:pPr>
        <w:pStyle w:val="Odstavecseseznamem"/>
        <w:numPr>
          <w:ilvl w:val="0"/>
          <w:numId w:val="24"/>
        </w:numPr>
        <w:ind w:left="357" w:hanging="357"/>
        <w:jc w:val="both"/>
        <w:rPr>
          <w:rFonts w:asciiTheme="minorHAnsi" w:hAnsiTheme="minorHAnsi" w:cstheme="minorHAnsi"/>
        </w:rPr>
      </w:pPr>
      <w:r w:rsidRPr="0034173B">
        <w:rPr>
          <w:rFonts w:asciiTheme="minorHAnsi" w:hAnsiTheme="minorHAnsi" w:cstheme="minorHAnsi"/>
        </w:rPr>
        <w:t>plnění plánovaných ekonomických ukazatelů</w:t>
      </w:r>
      <w:r>
        <w:rPr>
          <w:rFonts w:asciiTheme="minorHAnsi" w:hAnsiTheme="minorHAnsi" w:cstheme="minorHAnsi"/>
        </w:rPr>
        <w:t xml:space="preserve"> podniku,</w:t>
      </w:r>
    </w:p>
    <w:p w14:paraId="570B0183" w14:textId="6D3BD902" w:rsidR="0034173B" w:rsidRDefault="0034173B" w:rsidP="0034173B">
      <w:pPr>
        <w:pStyle w:val="Odstavecseseznamem"/>
        <w:numPr>
          <w:ilvl w:val="0"/>
          <w:numId w:val="24"/>
        </w:numPr>
        <w:ind w:left="357" w:hanging="357"/>
        <w:jc w:val="both"/>
        <w:rPr>
          <w:rFonts w:asciiTheme="minorHAnsi" w:hAnsiTheme="minorHAnsi" w:cstheme="minorHAnsi"/>
        </w:rPr>
      </w:pPr>
      <w:r>
        <w:rPr>
          <w:rFonts w:asciiTheme="minorHAnsi" w:hAnsiTheme="minorHAnsi" w:cstheme="minorHAnsi"/>
        </w:rPr>
        <w:t xml:space="preserve">využívání výrobní </w:t>
      </w:r>
      <w:r w:rsidR="000C1B70">
        <w:rPr>
          <w:rFonts w:asciiTheme="minorHAnsi" w:hAnsiTheme="minorHAnsi" w:cstheme="minorHAnsi"/>
        </w:rPr>
        <w:t xml:space="preserve">a servisní </w:t>
      </w:r>
      <w:r>
        <w:rPr>
          <w:rFonts w:asciiTheme="minorHAnsi" w:hAnsiTheme="minorHAnsi" w:cstheme="minorHAnsi"/>
        </w:rPr>
        <w:t>kapacit</w:t>
      </w:r>
      <w:r w:rsidR="00991DA0">
        <w:rPr>
          <w:rFonts w:asciiTheme="minorHAnsi" w:hAnsiTheme="minorHAnsi" w:cstheme="minorHAnsi"/>
        </w:rPr>
        <w:t>y</w:t>
      </w:r>
      <w:r>
        <w:rPr>
          <w:rFonts w:asciiTheme="minorHAnsi" w:hAnsiTheme="minorHAnsi" w:cstheme="minorHAnsi"/>
        </w:rPr>
        <w:t xml:space="preserve"> podniku, zejména ve vztahu k automobilní technice Armády</w:t>
      </w:r>
      <w:r w:rsidR="00D86C5A">
        <w:rPr>
          <w:rFonts w:asciiTheme="minorHAnsi" w:hAnsiTheme="minorHAnsi" w:cstheme="minorHAnsi"/>
        </w:rPr>
        <w:t>,</w:t>
      </w:r>
    </w:p>
    <w:p w14:paraId="5C45DA3A" w14:textId="77777777" w:rsidR="001A05E4" w:rsidRPr="00FB2609" w:rsidRDefault="0034173B" w:rsidP="002029B5">
      <w:pPr>
        <w:pStyle w:val="Odstavecseseznamem"/>
        <w:numPr>
          <w:ilvl w:val="0"/>
          <w:numId w:val="24"/>
        </w:numPr>
        <w:ind w:left="357" w:hanging="357"/>
        <w:jc w:val="both"/>
        <w:rPr>
          <w:rFonts w:asciiTheme="minorHAnsi" w:hAnsiTheme="minorHAnsi" w:cstheme="minorHAnsi"/>
        </w:rPr>
      </w:pPr>
      <w:r>
        <w:rPr>
          <w:rFonts w:asciiTheme="minorHAnsi" w:hAnsiTheme="minorHAnsi" w:cstheme="minorHAnsi"/>
        </w:rPr>
        <w:t xml:space="preserve">realizace </w:t>
      </w:r>
      <w:r w:rsidR="00550BC0" w:rsidRPr="0034173B">
        <w:rPr>
          <w:rFonts w:asciiTheme="minorHAnsi" w:hAnsiTheme="minorHAnsi" w:cstheme="minorHAnsi"/>
        </w:rPr>
        <w:t>vybran</w:t>
      </w:r>
      <w:r>
        <w:rPr>
          <w:rFonts w:asciiTheme="minorHAnsi" w:hAnsiTheme="minorHAnsi" w:cstheme="minorHAnsi"/>
        </w:rPr>
        <w:t>ých</w:t>
      </w:r>
      <w:r w:rsidR="00550BC0" w:rsidRPr="0034173B">
        <w:rPr>
          <w:rFonts w:asciiTheme="minorHAnsi" w:hAnsiTheme="minorHAnsi" w:cstheme="minorHAnsi"/>
        </w:rPr>
        <w:t xml:space="preserve"> dodáv</w:t>
      </w:r>
      <w:r>
        <w:rPr>
          <w:rFonts w:asciiTheme="minorHAnsi" w:hAnsiTheme="minorHAnsi" w:cstheme="minorHAnsi"/>
        </w:rPr>
        <w:t>ek</w:t>
      </w:r>
      <w:r w:rsidR="00550BC0" w:rsidRPr="0034173B">
        <w:rPr>
          <w:rFonts w:asciiTheme="minorHAnsi" w:hAnsiTheme="minorHAnsi" w:cstheme="minorHAnsi"/>
        </w:rPr>
        <w:t xml:space="preserve"> a </w:t>
      </w:r>
      <w:r w:rsidRPr="0034173B">
        <w:rPr>
          <w:rFonts w:asciiTheme="minorHAnsi" w:hAnsiTheme="minorHAnsi" w:cstheme="minorHAnsi"/>
        </w:rPr>
        <w:t xml:space="preserve">oprav automobilní techniky </w:t>
      </w:r>
      <w:r>
        <w:rPr>
          <w:rFonts w:asciiTheme="minorHAnsi" w:hAnsiTheme="minorHAnsi" w:cstheme="minorHAnsi"/>
        </w:rPr>
        <w:t>Ar</w:t>
      </w:r>
      <w:r w:rsidRPr="0034173B">
        <w:rPr>
          <w:rFonts w:asciiTheme="minorHAnsi" w:hAnsiTheme="minorHAnsi" w:cstheme="minorHAnsi"/>
        </w:rPr>
        <w:t>mád</w:t>
      </w:r>
      <w:r>
        <w:rPr>
          <w:rFonts w:asciiTheme="minorHAnsi" w:hAnsiTheme="minorHAnsi" w:cstheme="minorHAnsi"/>
        </w:rPr>
        <w:t>y</w:t>
      </w:r>
      <w:r w:rsidR="00550BC0" w:rsidRPr="0034173B">
        <w:rPr>
          <w:rFonts w:asciiTheme="minorHAnsi" w:hAnsiTheme="minorHAnsi" w:cstheme="minorHAnsi"/>
        </w:rPr>
        <w:t>.</w:t>
      </w:r>
    </w:p>
    <w:p w14:paraId="7ED1C287" w14:textId="5C4895B9" w:rsidR="00FB2609" w:rsidRDefault="002D513A" w:rsidP="00FB2609">
      <w:pPr>
        <w:spacing w:before="120"/>
        <w:jc w:val="both"/>
        <w:rPr>
          <w:rFonts w:asciiTheme="minorHAnsi" w:hAnsiTheme="minorHAnsi" w:cstheme="minorHAnsi"/>
        </w:rPr>
      </w:pPr>
      <w:r>
        <w:rPr>
          <w:rFonts w:asciiTheme="minorHAnsi" w:hAnsiTheme="minorHAnsi" w:cstheme="minorHAnsi"/>
          <w:b/>
          <w:bCs/>
        </w:rPr>
        <w:t>3</w:t>
      </w:r>
      <w:r w:rsidRPr="002D513A">
        <w:rPr>
          <w:rFonts w:asciiTheme="minorHAnsi" w:hAnsiTheme="minorHAnsi" w:cstheme="minorHAnsi"/>
          <w:b/>
          <w:bCs/>
        </w:rPr>
        <w:t>.</w:t>
      </w:r>
      <w:r>
        <w:rPr>
          <w:rFonts w:asciiTheme="minorHAnsi" w:hAnsiTheme="minorHAnsi" w:cstheme="minorHAnsi"/>
          <w:b/>
          <w:bCs/>
        </w:rPr>
        <w:t>4</w:t>
      </w:r>
      <w:r w:rsidRPr="009D4F7F">
        <w:rPr>
          <w:rFonts w:asciiTheme="minorHAnsi" w:hAnsiTheme="minorHAnsi" w:cstheme="minorHAnsi"/>
        </w:rPr>
        <w:t xml:space="preserve"> </w:t>
      </w:r>
      <w:r w:rsidR="000A5B3B">
        <w:rPr>
          <w:rFonts w:asciiTheme="minorHAnsi" w:hAnsiTheme="minorHAnsi" w:cstheme="minorHAnsi"/>
        </w:rPr>
        <w:t>NKÚ u kontrolovaných osob</w:t>
      </w:r>
      <w:r w:rsidR="00733427">
        <w:rPr>
          <w:rFonts w:asciiTheme="minorHAnsi" w:hAnsiTheme="minorHAnsi" w:cstheme="minorHAnsi"/>
        </w:rPr>
        <w:t xml:space="preserve"> </w:t>
      </w:r>
      <w:r w:rsidR="001A05E4" w:rsidRPr="00D02C4E">
        <w:rPr>
          <w:rFonts w:asciiTheme="minorHAnsi" w:hAnsiTheme="minorHAnsi" w:cstheme="minorHAnsi"/>
        </w:rPr>
        <w:t xml:space="preserve">posuzoval </w:t>
      </w:r>
      <w:r w:rsidR="00733427">
        <w:rPr>
          <w:rFonts w:asciiTheme="minorHAnsi" w:hAnsiTheme="minorHAnsi" w:cstheme="minorHAnsi"/>
        </w:rPr>
        <w:t xml:space="preserve">zejména </w:t>
      </w:r>
      <w:r w:rsidR="001A05E4" w:rsidRPr="00D02C4E">
        <w:rPr>
          <w:rFonts w:asciiTheme="minorHAnsi" w:hAnsiTheme="minorHAnsi" w:cstheme="minorHAnsi"/>
        </w:rPr>
        <w:t xml:space="preserve">strategické, koncepční a řídicí dokumenty </w:t>
      </w:r>
      <w:r w:rsidR="001B6890">
        <w:rPr>
          <w:rFonts w:asciiTheme="minorHAnsi" w:hAnsiTheme="minorHAnsi" w:cstheme="minorHAnsi"/>
        </w:rPr>
        <w:t>a</w:t>
      </w:r>
      <w:r w:rsidR="00174B80">
        <w:rPr>
          <w:rFonts w:asciiTheme="minorHAnsi" w:hAnsiTheme="minorHAnsi" w:cstheme="minorHAnsi"/>
        </w:rPr>
        <w:t> </w:t>
      </w:r>
      <w:r w:rsidR="00733427">
        <w:rPr>
          <w:rFonts w:asciiTheme="minorHAnsi" w:hAnsiTheme="minorHAnsi" w:cstheme="minorHAnsi"/>
        </w:rPr>
        <w:t xml:space="preserve">také </w:t>
      </w:r>
      <w:r w:rsidR="001B6890">
        <w:rPr>
          <w:rFonts w:asciiTheme="minorHAnsi" w:hAnsiTheme="minorHAnsi" w:cstheme="minorHAnsi"/>
        </w:rPr>
        <w:t>vývoj ekonomických a dalších ukazatelů</w:t>
      </w:r>
      <w:r w:rsidR="000A5B3B">
        <w:rPr>
          <w:rFonts w:asciiTheme="minorHAnsi" w:hAnsiTheme="minorHAnsi" w:cstheme="minorHAnsi"/>
        </w:rPr>
        <w:t xml:space="preserve"> spojených především s provozem automobilní techniky</w:t>
      </w:r>
      <w:r w:rsidR="00E818F2">
        <w:rPr>
          <w:rFonts w:asciiTheme="minorHAnsi" w:hAnsiTheme="minorHAnsi" w:cstheme="minorHAnsi"/>
        </w:rPr>
        <w:t xml:space="preserve"> Armády</w:t>
      </w:r>
      <w:r w:rsidR="00174B80">
        <w:rPr>
          <w:rFonts w:asciiTheme="minorHAnsi" w:hAnsiTheme="minorHAnsi" w:cstheme="minorHAnsi"/>
        </w:rPr>
        <w:t xml:space="preserve"> a činností VOP CZ</w:t>
      </w:r>
      <w:r w:rsidR="001B6890">
        <w:rPr>
          <w:rFonts w:asciiTheme="minorHAnsi" w:hAnsiTheme="minorHAnsi" w:cstheme="minorHAnsi"/>
        </w:rPr>
        <w:t xml:space="preserve">. </w:t>
      </w:r>
      <w:r w:rsidR="00F25923">
        <w:rPr>
          <w:rFonts w:asciiTheme="minorHAnsi" w:hAnsiTheme="minorHAnsi" w:cstheme="minorHAnsi"/>
        </w:rPr>
        <w:t>U MO n</w:t>
      </w:r>
      <w:r w:rsidR="001A05E4" w:rsidRPr="001B6890">
        <w:rPr>
          <w:rFonts w:asciiTheme="minorHAnsi" w:hAnsiTheme="minorHAnsi" w:cstheme="minorHAnsi"/>
        </w:rPr>
        <w:t xml:space="preserve">a </w:t>
      </w:r>
      <w:r w:rsidR="001B6890" w:rsidRPr="001B6890">
        <w:rPr>
          <w:rFonts w:asciiTheme="minorHAnsi" w:hAnsiTheme="minorHAnsi" w:cstheme="minorHAnsi"/>
        </w:rPr>
        <w:t>kontrolním vzorku pěti</w:t>
      </w:r>
      <w:r w:rsidR="00733427">
        <w:rPr>
          <w:rFonts w:asciiTheme="minorHAnsi" w:hAnsiTheme="minorHAnsi" w:cstheme="minorHAnsi"/>
        </w:rPr>
        <w:t xml:space="preserve"> investičních</w:t>
      </w:r>
      <w:r w:rsidR="001B6890" w:rsidRPr="001B6890">
        <w:rPr>
          <w:rFonts w:asciiTheme="minorHAnsi" w:hAnsiTheme="minorHAnsi" w:cstheme="minorHAnsi"/>
        </w:rPr>
        <w:t xml:space="preserve"> akcí </w:t>
      </w:r>
      <w:r w:rsidR="00A924FF">
        <w:rPr>
          <w:rFonts w:asciiTheme="minorHAnsi" w:hAnsiTheme="minorHAnsi" w:cstheme="minorHAnsi"/>
        </w:rPr>
        <w:t>(</w:t>
      </w:r>
      <w:r w:rsidR="001B6890" w:rsidRPr="001B6890">
        <w:rPr>
          <w:rFonts w:asciiTheme="minorHAnsi" w:hAnsiTheme="minorHAnsi" w:cstheme="minorHAnsi"/>
        </w:rPr>
        <w:t xml:space="preserve">na </w:t>
      </w:r>
      <w:r w:rsidR="001A05E4" w:rsidRPr="001B6890">
        <w:rPr>
          <w:rFonts w:asciiTheme="minorHAnsi" w:hAnsiTheme="minorHAnsi" w:cstheme="minorHAnsi"/>
        </w:rPr>
        <w:lastRenderedPageBreak/>
        <w:t>pořízení</w:t>
      </w:r>
      <w:r w:rsidR="00943B15" w:rsidRPr="001B6890">
        <w:rPr>
          <w:rFonts w:asciiTheme="minorHAnsi" w:hAnsiTheme="minorHAnsi" w:cstheme="minorHAnsi"/>
        </w:rPr>
        <w:t xml:space="preserve"> </w:t>
      </w:r>
      <w:r w:rsidR="00733427">
        <w:rPr>
          <w:rFonts w:asciiTheme="minorHAnsi" w:hAnsiTheme="minorHAnsi" w:cstheme="minorHAnsi"/>
        </w:rPr>
        <w:t xml:space="preserve">automobilní techniky </w:t>
      </w:r>
      <w:r w:rsidR="00E818F2">
        <w:rPr>
          <w:rFonts w:asciiTheme="minorHAnsi" w:hAnsiTheme="minorHAnsi" w:cstheme="minorHAnsi"/>
        </w:rPr>
        <w:t>Armády</w:t>
      </w:r>
      <w:r w:rsidR="00A924FF">
        <w:rPr>
          <w:rFonts w:asciiTheme="minorHAnsi" w:hAnsiTheme="minorHAnsi" w:cstheme="minorHAnsi"/>
        </w:rPr>
        <w:t>)</w:t>
      </w:r>
      <w:r w:rsidR="00E818F2">
        <w:rPr>
          <w:rFonts w:asciiTheme="minorHAnsi" w:hAnsiTheme="minorHAnsi" w:cstheme="minorHAnsi"/>
        </w:rPr>
        <w:t xml:space="preserve"> </w:t>
      </w:r>
      <w:r w:rsidR="00836B85" w:rsidRPr="001B6890">
        <w:rPr>
          <w:rFonts w:asciiTheme="minorHAnsi" w:hAnsiTheme="minorHAnsi" w:cstheme="minorHAnsi"/>
        </w:rPr>
        <w:t>s</w:t>
      </w:r>
      <w:r w:rsidR="00E7424B" w:rsidRPr="001B6890">
        <w:rPr>
          <w:rFonts w:asciiTheme="minorHAnsi" w:hAnsiTheme="minorHAnsi" w:cstheme="minorHAnsi"/>
        </w:rPr>
        <w:t xml:space="preserve"> celkovými </w:t>
      </w:r>
      <w:r w:rsidR="00836B85" w:rsidRPr="001B6890">
        <w:rPr>
          <w:rFonts w:asciiTheme="minorHAnsi" w:hAnsiTheme="minorHAnsi" w:cstheme="minorHAnsi"/>
        </w:rPr>
        <w:t xml:space="preserve">výdaji ve výši </w:t>
      </w:r>
      <w:r w:rsidR="00733427">
        <w:rPr>
          <w:rFonts w:asciiTheme="minorHAnsi" w:hAnsiTheme="minorHAnsi" w:cstheme="minorHAnsi"/>
        </w:rPr>
        <w:t>1 589 776 747</w:t>
      </w:r>
      <w:r w:rsidR="001A05E4" w:rsidRPr="001B6890">
        <w:rPr>
          <w:rFonts w:asciiTheme="minorHAnsi" w:hAnsiTheme="minorHAnsi" w:cstheme="minorHAnsi"/>
        </w:rPr>
        <w:t xml:space="preserve"> Kč prověřoval, zda</w:t>
      </w:r>
      <w:r w:rsidR="00733427">
        <w:rPr>
          <w:rFonts w:asciiTheme="minorHAnsi" w:hAnsiTheme="minorHAnsi" w:cstheme="minorHAnsi"/>
        </w:rPr>
        <w:t xml:space="preserve"> </w:t>
      </w:r>
      <w:r w:rsidR="001A05E4" w:rsidRPr="001B6890">
        <w:rPr>
          <w:rFonts w:asciiTheme="minorHAnsi" w:hAnsiTheme="minorHAnsi" w:cstheme="minorHAnsi"/>
        </w:rPr>
        <w:t>MO</w:t>
      </w:r>
      <w:r w:rsidR="00EC0D29">
        <w:rPr>
          <w:rFonts w:asciiTheme="minorHAnsi" w:hAnsiTheme="minorHAnsi" w:cstheme="minorHAnsi"/>
        </w:rPr>
        <w:t xml:space="preserve"> </w:t>
      </w:r>
      <w:r w:rsidR="00EC0D29" w:rsidRPr="001B6890">
        <w:rPr>
          <w:rFonts w:asciiTheme="minorHAnsi" w:hAnsiTheme="minorHAnsi" w:cstheme="minorHAnsi"/>
        </w:rPr>
        <w:t>vynal</w:t>
      </w:r>
      <w:r w:rsidR="00EC0D29">
        <w:rPr>
          <w:rFonts w:asciiTheme="minorHAnsi" w:hAnsiTheme="minorHAnsi" w:cstheme="minorHAnsi"/>
        </w:rPr>
        <w:t xml:space="preserve">ožilo </w:t>
      </w:r>
      <w:r w:rsidR="004E2C2E">
        <w:rPr>
          <w:rFonts w:asciiTheme="minorHAnsi" w:hAnsiTheme="minorHAnsi" w:cstheme="minorHAnsi"/>
        </w:rPr>
        <w:t>tyto výdaje</w:t>
      </w:r>
      <w:r w:rsidR="004E2C2E" w:rsidRPr="001B6890">
        <w:rPr>
          <w:rFonts w:asciiTheme="minorHAnsi" w:hAnsiTheme="minorHAnsi" w:cstheme="minorHAnsi"/>
        </w:rPr>
        <w:t xml:space="preserve"> </w:t>
      </w:r>
      <w:r w:rsidR="00733427">
        <w:rPr>
          <w:rFonts w:asciiTheme="minorHAnsi" w:hAnsiTheme="minorHAnsi" w:cstheme="minorHAnsi"/>
        </w:rPr>
        <w:t xml:space="preserve">účelně, hospodárně, efektivně a </w:t>
      </w:r>
      <w:r w:rsidR="001E4065" w:rsidRPr="001B6890">
        <w:rPr>
          <w:rFonts w:asciiTheme="minorHAnsi" w:hAnsiTheme="minorHAnsi" w:cstheme="minorHAnsi"/>
        </w:rPr>
        <w:t>v</w:t>
      </w:r>
      <w:r w:rsidR="00733427">
        <w:rPr>
          <w:rFonts w:asciiTheme="minorHAnsi" w:hAnsiTheme="minorHAnsi" w:cstheme="minorHAnsi"/>
        </w:rPr>
        <w:t xml:space="preserve"> </w:t>
      </w:r>
      <w:r w:rsidR="001E4065" w:rsidRPr="001B6890">
        <w:rPr>
          <w:rFonts w:asciiTheme="minorHAnsi" w:hAnsiTheme="minorHAnsi" w:cstheme="minorHAnsi"/>
        </w:rPr>
        <w:t>sou</w:t>
      </w:r>
      <w:r w:rsidR="001A05E4" w:rsidRPr="001B6890">
        <w:rPr>
          <w:rFonts w:asciiTheme="minorHAnsi" w:hAnsiTheme="minorHAnsi" w:cstheme="minorHAnsi"/>
        </w:rPr>
        <w:t>ladu s právními předpisy</w:t>
      </w:r>
      <w:r w:rsidR="001E4065" w:rsidRPr="001B6890">
        <w:rPr>
          <w:rFonts w:asciiTheme="minorHAnsi" w:hAnsiTheme="minorHAnsi" w:cstheme="minorHAnsi"/>
        </w:rPr>
        <w:t xml:space="preserve">. </w:t>
      </w:r>
      <w:r w:rsidR="000A5B3B">
        <w:rPr>
          <w:rFonts w:asciiTheme="minorHAnsi" w:hAnsiTheme="minorHAnsi" w:cstheme="minorHAnsi"/>
        </w:rPr>
        <w:t>Dále u</w:t>
      </w:r>
      <w:r w:rsidR="00806629">
        <w:rPr>
          <w:rFonts w:asciiTheme="minorHAnsi" w:hAnsiTheme="minorHAnsi" w:cstheme="minorHAnsi"/>
        </w:rPr>
        <w:t xml:space="preserve"> </w:t>
      </w:r>
      <w:r w:rsidR="00733427">
        <w:rPr>
          <w:rFonts w:asciiTheme="minorHAnsi" w:hAnsiTheme="minorHAnsi" w:cstheme="minorHAnsi"/>
        </w:rPr>
        <w:t xml:space="preserve">čtyř rámcových smluv / rámcové dohody </w:t>
      </w:r>
      <w:r w:rsidR="000A5B3B">
        <w:rPr>
          <w:rFonts w:asciiTheme="minorHAnsi" w:hAnsiTheme="minorHAnsi" w:cstheme="minorHAnsi"/>
        </w:rPr>
        <w:t xml:space="preserve">na údržbu, opravy a nákupy náhradních dílů </w:t>
      </w:r>
      <w:r w:rsidR="004E2C2E">
        <w:rPr>
          <w:rFonts w:asciiTheme="minorHAnsi" w:hAnsiTheme="minorHAnsi" w:cstheme="minorHAnsi"/>
        </w:rPr>
        <w:t>automobilní technik</w:t>
      </w:r>
      <w:r w:rsidR="00A924FF">
        <w:rPr>
          <w:rFonts w:asciiTheme="minorHAnsi" w:hAnsiTheme="minorHAnsi" w:cstheme="minorHAnsi"/>
        </w:rPr>
        <w:t>y</w:t>
      </w:r>
      <w:r w:rsidR="004E2C2E">
        <w:rPr>
          <w:rFonts w:asciiTheme="minorHAnsi" w:hAnsiTheme="minorHAnsi" w:cstheme="minorHAnsi"/>
        </w:rPr>
        <w:t xml:space="preserve"> Armády </w:t>
      </w:r>
      <w:r w:rsidR="00733427">
        <w:rPr>
          <w:rFonts w:asciiTheme="minorHAnsi" w:hAnsiTheme="minorHAnsi" w:cstheme="minorHAnsi"/>
        </w:rPr>
        <w:t xml:space="preserve">kontroloval, zda </w:t>
      </w:r>
      <w:r w:rsidR="001A05E4" w:rsidRPr="001B6890">
        <w:rPr>
          <w:rFonts w:asciiTheme="minorHAnsi" w:hAnsiTheme="minorHAnsi" w:cstheme="minorHAnsi"/>
        </w:rPr>
        <w:t xml:space="preserve">MO </w:t>
      </w:r>
      <w:r w:rsidR="0095451F" w:rsidRPr="001B6890">
        <w:rPr>
          <w:rFonts w:asciiTheme="minorHAnsi" w:hAnsiTheme="minorHAnsi" w:cstheme="minorHAnsi"/>
        </w:rPr>
        <w:t>vynalo</w:t>
      </w:r>
      <w:r w:rsidR="00733427">
        <w:rPr>
          <w:rFonts w:asciiTheme="minorHAnsi" w:hAnsiTheme="minorHAnsi" w:cstheme="minorHAnsi"/>
        </w:rPr>
        <w:t>žilo</w:t>
      </w:r>
      <w:r w:rsidR="0095451F" w:rsidRPr="001B6890">
        <w:rPr>
          <w:rFonts w:asciiTheme="minorHAnsi" w:hAnsiTheme="minorHAnsi" w:cstheme="minorHAnsi"/>
        </w:rPr>
        <w:t xml:space="preserve"> </w:t>
      </w:r>
      <w:r w:rsidR="00733427">
        <w:rPr>
          <w:rFonts w:asciiTheme="minorHAnsi" w:hAnsiTheme="minorHAnsi" w:cstheme="minorHAnsi"/>
        </w:rPr>
        <w:t>výdaje na</w:t>
      </w:r>
      <w:r w:rsidR="000A5B3B">
        <w:rPr>
          <w:rFonts w:asciiTheme="minorHAnsi" w:hAnsiTheme="minorHAnsi" w:cstheme="minorHAnsi"/>
        </w:rPr>
        <w:t xml:space="preserve"> vybran</w:t>
      </w:r>
      <w:r w:rsidR="00AC14EB">
        <w:rPr>
          <w:rFonts w:asciiTheme="minorHAnsi" w:hAnsiTheme="minorHAnsi" w:cstheme="minorHAnsi"/>
        </w:rPr>
        <w:t>á</w:t>
      </w:r>
      <w:r w:rsidR="00733427">
        <w:rPr>
          <w:rFonts w:asciiTheme="minorHAnsi" w:hAnsiTheme="minorHAnsi" w:cstheme="minorHAnsi"/>
        </w:rPr>
        <w:t xml:space="preserve"> plnění</w:t>
      </w:r>
      <w:r w:rsidR="000A5B3B">
        <w:rPr>
          <w:rStyle w:val="Znakapoznpodarou"/>
          <w:rFonts w:asciiTheme="minorHAnsi" w:hAnsiTheme="minorHAnsi" w:cstheme="minorHAnsi"/>
        </w:rPr>
        <w:footnoteReference w:id="22"/>
      </w:r>
      <w:r w:rsidR="00733427">
        <w:rPr>
          <w:rFonts w:asciiTheme="minorHAnsi" w:hAnsiTheme="minorHAnsi" w:cstheme="minorHAnsi"/>
        </w:rPr>
        <w:t xml:space="preserve"> v</w:t>
      </w:r>
      <w:r w:rsidR="004E2C2E">
        <w:rPr>
          <w:rFonts w:asciiTheme="minorHAnsi" w:hAnsiTheme="minorHAnsi" w:cstheme="minorHAnsi"/>
        </w:rPr>
        <w:t> </w:t>
      </w:r>
      <w:r w:rsidR="000A5B3B">
        <w:rPr>
          <w:rFonts w:asciiTheme="minorHAnsi" w:hAnsiTheme="minorHAnsi" w:cstheme="minorHAnsi"/>
        </w:rPr>
        <w:t>c</w:t>
      </w:r>
      <w:r w:rsidR="00733427">
        <w:rPr>
          <w:rFonts w:asciiTheme="minorHAnsi" w:hAnsiTheme="minorHAnsi" w:cstheme="minorHAnsi"/>
        </w:rPr>
        <w:t>e</w:t>
      </w:r>
      <w:r w:rsidR="000A5B3B">
        <w:rPr>
          <w:rFonts w:asciiTheme="minorHAnsi" w:hAnsiTheme="minorHAnsi" w:cstheme="minorHAnsi"/>
        </w:rPr>
        <w:t>lkové</w:t>
      </w:r>
      <w:r w:rsidR="00733427">
        <w:rPr>
          <w:rFonts w:asciiTheme="minorHAnsi" w:hAnsiTheme="minorHAnsi" w:cstheme="minorHAnsi"/>
        </w:rPr>
        <w:t xml:space="preserve"> výši 28 506 145 Kč</w:t>
      </w:r>
      <w:r w:rsidR="000A5B3B">
        <w:rPr>
          <w:rFonts w:asciiTheme="minorHAnsi" w:hAnsiTheme="minorHAnsi" w:cstheme="minorHAnsi"/>
        </w:rPr>
        <w:t xml:space="preserve"> účelně, hospodárně, efektivně a </w:t>
      </w:r>
      <w:r w:rsidR="000A5B3B" w:rsidRPr="001B6890">
        <w:rPr>
          <w:rFonts w:asciiTheme="minorHAnsi" w:hAnsiTheme="minorHAnsi" w:cstheme="minorHAnsi"/>
        </w:rPr>
        <w:t>v</w:t>
      </w:r>
      <w:r w:rsidR="000A5B3B">
        <w:rPr>
          <w:rFonts w:asciiTheme="minorHAnsi" w:hAnsiTheme="minorHAnsi" w:cstheme="minorHAnsi"/>
        </w:rPr>
        <w:t> </w:t>
      </w:r>
      <w:r w:rsidR="000A5B3B" w:rsidRPr="001B6890">
        <w:rPr>
          <w:rFonts w:asciiTheme="minorHAnsi" w:hAnsiTheme="minorHAnsi" w:cstheme="minorHAnsi"/>
        </w:rPr>
        <w:t>souladu s právními předpisy</w:t>
      </w:r>
      <w:r w:rsidR="001A05E4" w:rsidRPr="001B6890">
        <w:rPr>
          <w:rFonts w:asciiTheme="minorHAnsi" w:hAnsiTheme="minorHAnsi" w:cstheme="minorHAnsi"/>
        </w:rPr>
        <w:t>.</w:t>
      </w:r>
    </w:p>
    <w:p w14:paraId="50209E9E" w14:textId="37F49B7E" w:rsidR="001A05E4" w:rsidRPr="001B6890" w:rsidRDefault="002D513A" w:rsidP="00FB2609">
      <w:pPr>
        <w:spacing w:before="120"/>
        <w:jc w:val="both"/>
        <w:rPr>
          <w:rFonts w:asciiTheme="minorHAnsi" w:hAnsiTheme="minorHAnsi" w:cstheme="minorHAnsi"/>
        </w:rPr>
      </w:pPr>
      <w:r>
        <w:rPr>
          <w:rFonts w:asciiTheme="minorHAnsi" w:hAnsiTheme="minorHAnsi" w:cstheme="minorHAnsi"/>
          <w:b/>
          <w:bCs/>
        </w:rPr>
        <w:t>3</w:t>
      </w:r>
      <w:r w:rsidRPr="002D513A">
        <w:rPr>
          <w:rFonts w:asciiTheme="minorHAnsi" w:hAnsiTheme="minorHAnsi" w:cstheme="minorHAnsi"/>
          <w:b/>
          <w:bCs/>
        </w:rPr>
        <w:t>.</w:t>
      </w:r>
      <w:r>
        <w:rPr>
          <w:rFonts w:asciiTheme="minorHAnsi" w:hAnsiTheme="minorHAnsi" w:cstheme="minorHAnsi"/>
          <w:b/>
          <w:bCs/>
        </w:rPr>
        <w:t>5</w:t>
      </w:r>
      <w:r w:rsidRPr="009D4F7F">
        <w:rPr>
          <w:rFonts w:asciiTheme="minorHAnsi" w:hAnsiTheme="minorHAnsi" w:cstheme="minorHAnsi"/>
        </w:rPr>
        <w:t xml:space="preserve"> </w:t>
      </w:r>
      <w:r w:rsidR="000A5B3B">
        <w:rPr>
          <w:rFonts w:asciiTheme="minorHAnsi" w:hAnsiTheme="minorHAnsi" w:cstheme="minorHAnsi"/>
        </w:rPr>
        <w:t>U VOP CZ vybr</w:t>
      </w:r>
      <w:r w:rsidR="00174B80">
        <w:rPr>
          <w:rFonts w:asciiTheme="minorHAnsi" w:hAnsiTheme="minorHAnsi" w:cstheme="minorHAnsi"/>
        </w:rPr>
        <w:t>al</w:t>
      </w:r>
      <w:r w:rsidR="000A5B3B">
        <w:rPr>
          <w:rFonts w:asciiTheme="minorHAnsi" w:hAnsiTheme="minorHAnsi" w:cstheme="minorHAnsi"/>
        </w:rPr>
        <w:t xml:space="preserve"> </w:t>
      </w:r>
      <w:r w:rsidR="00174B80">
        <w:rPr>
          <w:rFonts w:asciiTheme="minorHAnsi" w:hAnsiTheme="minorHAnsi" w:cstheme="minorHAnsi"/>
        </w:rPr>
        <w:t xml:space="preserve">NKÚ </w:t>
      </w:r>
      <w:r w:rsidR="000A5B3B">
        <w:rPr>
          <w:rFonts w:asciiTheme="minorHAnsi" w:hAnsiTheme="minorHAnsi" w:cstheme="minorHAnsi"/>
        </w:rPr>
        <w:t>kontrolní vzorek</w:t>
      </w:r>
      <w:r w:rsidR="00174B80">
        <w:rPr>
          <w:rFonts w:asciiTheme="minorHAnsi" w:hAnsiTheme="minorHAnsi" w:cstheme="minorHAnsi"/>
        </w:rPr>
        <w:t xml:space="preserve"> dvou</w:t>
      </w:r>
      <w:r w:rsidR="000A5B3B">
        <w:rPr>
          <w:rFonts w:asciiTheme="minorHAnsi" w:hAnsiTheme="minorHAnsi" w:cstheme="minorHAnsi"/>
        </w:rPr>
        <w:t xml:space="preserve"> smluv</w:t>
      </w:r>
      <w:r w:rsidR="00FB2609">
        <w:rPr>
          <w:rFonts w:asciiTheme="minorHAnsi" w:hAnsiTheme="minorHAnsi" w:cstheme="minorHAnsi"/>
        </w:rPr>
        <w:t xml:space="preserve"> </w:t>
      </w:r>
      <w:r w:rsidR="0080029D">
        <w:rPr>
          <w:rFonts w:asciiTheme="minorHAnsi" w:hAnsiTheme="minorHAnsi" w:cstheme="minorHAnsi"/>
        </w:rPr>
        <w:t xml:space="preserve">uzavřených s MO </w:t>
      </w:r>
      <w:r w:rsidR="00FB2609">
        <w:rPr>
          <w:rFonts w:asciiTheme="minorHAnsi" w:hAnsiTheme="minorHAnsi" w:cstheme="minorHAnsi"/>
        </w:rPr>
        <w:t xml:space="preserve">na dodávky cisternových automobilů a </w:t>
      </w:r>
      <w:r w:rsidR="00D21DB2">
        <w:rPr>
          <w:rFonts w:asciiTheme="minorHAnsi" w:hAnsiTheme="minorHAnsi" w:cstheme="minorHAnsi"/>
        </w:rPr>
        <w:t xml:space="preserve">na </w:t>
      </w:r>
      <w:r w:rsidR="00FB2609">
        <w:rPr>
          <w:rFonts w:asciiTheme="minorHAnsi" w:hAnsiTheme="minorHAnsi" w:cstheme="minorHAnsi"/>
        </w:rPr>
        <w:t>údržbu a opravy jeřábové techniky Armády v celkové hodnotě 261 841 897 Kč</w:t>
      </w:r>
      <w:r w:rsidR="001A0FDE">
        <w:rPr>
          <w:rFonts w:asciiTheme="minorHAnsi" w:hAnsiTheme="minorHAnsi" w:cstheme="minorHAnsi"/>
        </w:rPr>
        <w:t>.</w:t>
      </w:r>
      <w:r w:rsidR="00174B80">
        <w:rPr>
          <w:rFonts w:asciiTheme="minorHAnsi" w:hAnsiTheme="minorHAnsi" w:cstheme="minorHAnsi"/>
        </w:rPr>
        <w:t xml:space="preserve"> </w:t>
      </w:r>
      <w:r w:rsidR="001A0FDE">
        <w:rPr>
          <w:rFonts w:asciiTheme="minorHAnsi" w:hAnsiTheme="minorHAnsi" w:cstheme="minorHAnsi"/>
        </w:rPr>
        <w:t xml:space="preserve">V rámci plnění těchto smluv </w:t>
      </w:r>
      <w:r w:rsidR="00174B80">
        <w:rPr>
          <w:rFonts w:asciiTheme="minorHAnsi" w:hAnsiTheme="minorHAnsi" w:cstheme="minorHAnsi"/>
        </w:rPr>
        <w:t>zjišťoval</w:t>
      </w:r>
      <w:r w:rsidR="00CC4BD3">
        <w:rPr>
          <w:rFonts w:asciiTheme="minorHAnsi" w:hAnsiTheme="minorHAnsi" w:cstheme="minorHAnsi"/>
        </w:rPr>
        <w:t xml:space="preserve">, zda podnik </w:t>
      </w:r>
      <w:r w:rsidR="00AC14EB">
        <w:rPr>
          <w:rFonts w:asciiTheme="minorHAnsi" w:hAnsiTheme="minorHAnsi" w:cstheme="minorHAnsi"/>
        </w:rPr>
        <w:t>realizova</w:t>
      </w:r>
      <w:r w:rsidR="00CC4BD3">
        <w:rPr>
          <w:rFonts w:asciiTheme="minorHAnsi" w:hAnsiTheme="minorHAnsi" w:cstheme="minorHAnsi"/>
        </w:rPr>
        <w:t>l</w:t>
      </w:r>
      <w:r w:rsidR="00AC14EB">
        <w:rPr>
          <w:rFonts w:asciiTheme="minorHAnsi" w:hAnsiTheme="minorHAnsi" w:cstheme="minorHAnsi"/>
        </w:rPr>
        <w:t xml:space="preserve"> plnění </w:t>
      </w:r>
      <w:r w:rsidR="00CC4BD3">
        <w:rPr>
          <w:rFonts w:asciiTheme="minorHAnsi" w:hAnsiTheme="minorHAnsi" w:cstheme="minorHAnsi"/>
        </w:rPr>
        <w:t xml:space="preserve">v souladu </w:t>
      </w:r>
      <w:r w:rsidR="00AC14EB">
        <w:rPr>
          <w:rFonts w:asciiTheme="minorHAnsi" w:hAnsiTheme="minorHAnsi" w:cstheme="minorHAnsi"/>
        </w:rPr>
        <w:t xml:space="preserve">s právními předpisy, smluvními </w:t>
      </w:r>
      <w:r w:rsidR="00AC14EB" w:rsidRPr="00CC4BD3">
        <w:rPr>
          <w:rFonts w:asciiTheme="minorHAnsi" w:hAnsiTheme="minorHAnsi" w:cstheme="minorHAnsi"/>
        </w:rPr>
        <w:t>ustanoveními a</w:t>
      </w:r>
      <w:r w:rsidR="00CC4BD3" w:rsidRPr="00CC4BD3">
        <w:rPr>
          <w:rFonts w:asciiTheme="minorHAnsi" w:hAnsiTheme="minorHAnsi" w:cstheme="minorHAnsi"/>
        </w:rPr>
        <w:t xml:space="preserve"> zda </w:t>
      </w:r>
      <w:r w:rsidR="00276274">
        <w:rPr>
          <w:rFonts w:asciiTheme="minorHAnsi" w:hAnsiTheme="minorHAnsi" w:cstheme="minorHAnsi"/>
        </w:rPr>
        <w:t xml:space="preserve">realizací </w:t>
      </w:r>
      <w:r w:rsidR="00CC4BD3" w:rsidRPr="00CC4BD3">
        <w:rPr>
          <w:rFonts w:asciiTheme="minorHAnsi" w:hAnsiTheme="minorHAnsi" w:cstheme="minorHAnsi"/>
        </w:rPr>
        <w:t>dosáhl zisku.</w:t>
      </w:r>
    </w:p>
    <w:p w14:paraId="0E71EAB1" w14:textId="0041F18E" w:rsidR="00815D2D" w:rsidRDefault="002D513A" w:rsidP="00DE5DE9">
      <w:pPr>
        <w:spacing w:before="120"/>
        <w:jc w:val="both"/>
        <w:rPr>
          <w:rFonts w:asciiTheme="minorHAnsi" w:hAnsiTheme="minorHAnsi" w:cstheme="minorHAnsi"/>
        </w:rPr>
      </w:pPr>
      <w:r>
        <w:rPr>
          <w:rFonts w:asciiTheme="minorHAnsi" w:hAnsiTheme="minorHAnsi" w:cstheme="minorHAnsi"/>
          <w:b/>
          <w:bCs/>
        </w:rPr>
        <w:t>3</w:t>
      </w:r>
      <w:r w:rsidRPr="002D513A">
        <w:rPr>
          <w:rFonts w:asciiTheme="minorHAnsi" w:hAnsiTheme="minorHAnsi" w:cstheme="minorHAnsi"/>
          <w:b/>
          <w:bCs/>
        </w:rPr>
        <w:t>.</w:t>
      </w:r>
      <w:r>
        <w:rPr>
          <w:rFonts w:asciiTheme="minorHAnsi" w:hAnsiTheme="minorHAnsi" w:cstheme="minorHAnsi"/>
          <w:b/>
          <w:bCs/>
        </w:rPr>
        <w:t>6</w:t>
      </w:r>
      <w:r w:rsidRPr="009D4F7F">
        <w:rPr>
          <w:rFonts w:asciiTheme="minorHAnsi" w:hAnsiTheme="minorHAnsi" w:cstheme="minorHAnsi"/>
        </w:rPr>
        <w:t xml:space="preserve"> </w:t>
      </w:r>
      <w:r w:rsidR="00F653B8" w:rsidRPr="00116544">
        <w:rPr>
          <w:rFonts w:asciiTheme="minorHAnsi" w:hAnsiTheme="minorHAnsi" w:cstheme="minorHAnsi"/>
        </w:rPr>
        <w:t>K</w:t>
      </w:r>
      <w:r w:rsidR="00A00575" w:rsidRPr="00116544">
        <w:rPr>
          <w:rFonts w:asciiTheme="minorHAnsi" w:hAnsiTheme="minorHAnsi" w:cstheme="minorHAnsi"/>
        </w:rPr>
        <w:t>ritéria p</w:t>
      </w:r>
      <w:r w:rsidR="0002419B" w:rsidRPr="00116544">
        <w:rPr>
          <w:rFonts w:asciiTheme="minorHAnsi" w:hAnsiTheme="minorHAnsi" w:cstheme="minorHAnsi"/>
        </w:rPr>
        <w:t>ro posouzení</w:t>
      </w:r>
      <w:r w:rsidR="0002419B" w:rsidRPr="003C79DF">
        <w:rPr>
          <w:rFonts w:asciiTheme="minorHAnsi" w:hAnsiTheme="minorHAnsi" w:cstheme="minorHAnsi"/>
        </w:rPr>
        <w:t xml:space="preserve"> souladu s</w:t>
      </w:r>
      <w:r w:rsidR="00116544">
        <w:rPr>
          <w:rFonts w:asciiTheme="minorHAnsi" w:hAnsiTheme="minorHAnsi" w:cstheme="minorHAnsi"/>
        </w:rPr>
        <w:t xml:space="preserve"> </w:t>
      </w:r>
      <w:r w:rsidR="0002419B" w:rsidRPr="003C79DF">
        <w:rPr>
          <w:rFonts w:asciiTheme="minorHAnsi" w:hAnsiTheme="minorHAnsi" w:cstheme="minorHAnsi"/>
        </w:rPr>
        <w:t>právními předpisy byl</w:t>
      </w:r>
      <w:r w:rsidR="00F653B8">
        <w:rPr>
          <w:rFonts w:asciiTheme="minorHAnsi" w:hAnsiTheme="minorHAnsi" w:cstheme="minorHAnsi"/>
        </w:rPr>
        <w:t>a</w:t>
      </w:r>
      <w:r w:rsidR="0002419B" w:rsidRPr="003C79DF">
        <w:rPr>
          <w:rFonts w:asciiTheme="minorHAnsi" w:hAnsiTheme="minorHAnsi" w:cstheme="minorHAnsi"/>
        </w:rPr>
        <w:t xml:space="preserve"> </w:t>
      </w:r>
      <w:r w:rsidR="00F653B8">
        <w:rPr>
          <w:rFonts w:asciiTheme="minorHAnsi" w:hAnsiTheme="minorHAnsi" w:cstheme="minorHAnsi"/>
        </w:rPr>
        <w:t xml:space="preserve">čerpána ze </w:t>
      </w:r>
      <w:r w:rsidR="0002419B" w:rsidRPr="003C79DF">
        <w:rPr>
          <w:rFonts w:asciiTheme="minorHAnsi" w:hAnsiTheme="minorHAnsi" w:cstheme="minorHAnsi"/>
        </w:rPr>
        <w:t>zákon</w:t>
      </w:r>
      <w:r w:rsidR="00F653B8">
        <w:rPr>
          <w:rFonts w:asciiTheme="minorHAnsi" w:hAnsiTheme="minorHAnsi" w:cstheme="minorHAnsi"/>
        </w:rPr>
        <w:t>a</w:t>
      </w:r>
      <w:r w:rsidR="0002419B" w:rsidRPr="003C79DF">
        <w:rPr>
          <w:rFonts w:asciiTheme="minorHAnsi" w:hAnsiTheme="minorHAnsi" w:cstheme="minorHAnsi"/>
        </w:rPr>
        <w:t xml:space="preserve"> č. </w:t>
      </w:r>
      <w:r w:rsidR="00DE5DE9">
        <w:rPr>
          <w:rFonts w:asciiTheme="minorHAnsi" w:hAnsiTheme="minorHAnsi" w:cstheme="minorHAnsi"/>
        </w:rPr>
        <w:t>77/1997</w:t>
      </w:r>
      <w:r w:rsidR="00116544">
        <w:rPr>
          <w:rFonts w:asciiTheme="minorHAnsi" w:hAnsiTheme="minorHAnsi" w:cstheme="minorHAnsi"/>
        </w:rPr>
        <w:t> </w:t>
      </w:r>
      <w:r w:rsidR="00DE5DE9">
        <w:rPr>
          <w:rFonts w:asciiTheme="minorHAnsi" w:hAnsiTheme="minorHAnsi" w:cstheme="minorHAnsi"/>
        </w:rPr>
        <w:t>Sb.</w:t>
      </w:r>
      <w:r w:rsidR="00276274">
        <w:rPr>
          <w:rStyle w:val="Znakapoznpodarou"/>
          <w:rFonts w:asciiTheme="minorHAnsi" w:hAnsiTheme="minorHAnsi" w:cstheme="minorHAnsi"/>
        </w:rPr>
        <w:footnoteReference w:id="23"/>
      </w:r>
      <w:r w:rsidR="00DE5DE9">
        <w:rPr>
          <w:rFonts w:asciiTheme="minorHAnsi" w:hAnsiTheme="minorHAnsi" w:cstheme="minorHAnsi"/>
        </w:rPr>
        <w:t xml:space="preserve">, </w:t>
      </w:r>
      <w:r w:rsidR="00FA0BF6">
        <w:rPr>
          <w:rFonts w:asciiTheme="minorHAnsi" w:hAnsiTheme="minorHAnsi" w:cstheme="minorHAnsi"/>
        </w:rPr>
        <w:t xml:space="preserve">zákona </w:t>
      </w:r>
      <w:r w:rsidR="00F653B8">
        <w:rPr>
          <w:rFonts w:asciiTheme="minorHAnsi" w:hAnsiTheme="minorHAnsi" w:cstheme="minorHAnsi"/>
        </w:rPr>
        <w:t xml:space="preserve">č. </w:t>
      </w:r>
      <w:r w:rsidR="0002419B" w:rsidRPr="003C79DF">
        <w:rPr>
          <w:rFonts w:asciiTheme="minorHAnsi" w:hAnsiTheme="minorHAnsi" w:cstheme="minorHAnsi"/>
        </w:rPr>
        <w:t>137/2006 Sb.</w:t>
      </w:r>
      <w:r w:rsidR="0031193D" w:rsidRPr="003C79DF">
        <w:rPr>
          <w:rStyle w:val="Znakapoznpodarou"/>
          <w:rFonts w:asciiTheme="minorHAnsi" w:hAnsiTheme="minorHAnsi" w:cstheme="minorHAnsi"/>
        </w:rPr>
        <w:footnoteReference w:id="24"/>
      </w:r>
      <w:r w:rsidR="0002419B" w:rsidRPr="003C79DF">
        <w:rPr>
          <w:rFonts w:asciiTheme="minorHAnsi" w:hAnsiTheme="minorHAnsi" w:cstheme="minorHAnsi"/>
        </w:rPr>
        <w:t xml:space="preserve">, </w:t>
      </w:r>
      <w:r w:rsidR="00FA0BF6">
        <w:rPr>
          <w:rFonts w:asciiTheme="minorHAnsi" w:hAnsiTheme="minorHAnsi" w:cstheme="minorHAnsi"/>
        </w:rPr>
        <w:t xml:space="preserve">zákona </w:t>
      </w:r>
      <w:r w:rsidR="0002419B" w:rsidRPr="003C79DF">
        <w:rPr>
          <w:rFonts w:asciiTheme="minorHAnsi" w:hAnsiTheme="minorHAnsi" w:cstheme="minorHAnsi"/>
        </w:rPr>
        <w:t>č. 134/2016 Sb.</w:t>
      </w:r>
      <w:r w:rsidR="0031193D" w:rsidRPr="003C79DF">
        <w:rPr>
          <w:rStyle w:val="Znakapoznpodarou"/>
          <w:rFonts w:asciiTheme="minorHAnsi" w:hAnsiTheme="minorHAnsi" w:cstheme="minorHAnsi"/>
        </w:rPr>
        <w:footnoteReference w:id="25"/>
      </w:r>
      <w:r w:rsidR="0002419B" w:rsidRPr="003C79DF">
        <w:rPr>
          <w:rFonts w:asciiTheme="minorHAnsi" w:hAnsiTheme="minorHAnsi" w:cstheme="minorHAnsi"/>
        </w:rPr>
        <w:t xml:space="preserve">, </w:t>
      </w:r>
      <w:r w:rsidR="00FA0BF6">
        <w:rPr>
          <w:rFonts w:asciiTheme="minorHAnsi" w:hAnsiTheme="minorHAnsi" w:cstheme="minorHAnsi"/>
        </w:rPr>
        <w:t xml:space="preserve">zákona </w:t>
      </w:r>
      <w:r w:rsidR="0002419B" w:rsidRPr="003C79DF">
        <w:rPr>
          <w:rFonts w:asciiTheme="minorHAnsi" w:hAnsiTheme="minorHAnsi" w:cstheme="minorHAnsi"/>
        </w:rPr>
        <w:t>č. 218/2000 Sb.</w:t>
      </w:r>
      <w:r w:rsidR="0031193D" w:rsidRPr="003C79DF">
        <w:rPr>
          <w:rStyle w:val="Znakapoznpodarou"/>
          <w:rFonts w:asciiTheme="minorHAnsi" w:hAnsiTheme="minorHAnsi" w:cstheme="minorHAnsi"/>
        </w:rPr>
        <w:footnoteReference w:id="26"/>
      </w:r>
      <w:r w:rsidR="0002419B" w:rsidRPr="003C79DF">
        <w:rPr>
          <w:rFonts w:asciiTheme="minorHAnsi" w:hAnsiTheme="minorHAnsi" w:cstheme="minorHAnsi"/>
        </w:rPr>
        <w:t xml:space="preserve">, </w:t>
      </w:r>
      <w:r w:rsidR="00FA0BF6">
        <w:rPr>
          <w:rFonts w:asciiTheme="minorHAnsi" w:hAnsiTheme="minorHAnsi" w:cstheme="minorHAnsi"/>
        </w:rPr>
        <w:t xml:space="preserve">zákona </w:t>
      </w:r>
      <w:r w:rsidR="00B76948" w:rsidRPr="003C79DF">
        <w:rPr>
          <w:rFonts w:asciiTheme="minorHAnsi" w:hAnsiTheme="minorHAnsi" w:cstheme="minorHAnsi"/>
        </w:rPr>
        <w:t>č.</w:t>
      </w:r>
      <w:r w:rsidR="003E06BF">
        <w:rPr>
          <w:rFonts w:asciiTheme="minorHAnsi" w:hAnsiTheme="minorHAnsi" w:cstheme="minorHAnsi"/>
        </w:rPr>
        <w:t xml:space="preserve"> </w:t>
      </w:r>
      <w:r w:rsidR="00B76948" w:rsidRPr="003C79DF">
        <w:rPr>
          <w:rFonts w:asciiTheme="minorHAnsi" w:hAnsiTheme="minorHAnsi" w:cstheme="minorHAnsi"/>
        </w:rPr>
        <w:t>219/2000 Sb.</w:t>
      </w:r>
      <w:r w:rsidR="0031193D" w:rsidRPr="003C79DF">
        <w:rPr>
          <w:rStyle w:val="Znakapoznpodarou"/>
          <w:rFonts w:asciiTheme="minorHAnsi" w:hAnsiTheme="minorHAnsi" w:cstheme="minorHAnsi"/>
        </w:rPr>
        <w:footnoteReference w:id="27"/>
      </w:r>
      <w:r w:rsidR="003C79DF">
        <w:rPr>
          <w:rFonts w:asciiTheme="minorHAnsi" w:hAnsiTheme="minorHAnsi" w:cstheme="minorHAnsi"/>
        </w:rPr>
        <w:t>,</w:t>
      </w:r>
      <w:r w:rsidR="00B76948" w:rsidRPr="003C79DF">
        <w:rPr>
          <w:rFonts w:asciiTheme="minorHAnsi" w:hAnsiTheme="minorHAnsi" w:cstheme="minorHAnsi"/>
        </w:rPr>
        <w:t xml:space="preserve"> </w:t>
      </w:r>
      <w:r w:rsidR="00FA0BF6">
        <w:rPr>
          <w:rFonts w:asciiTheme="minorHAnsi" w:hAnsiTheme="minorHAnsi" w:cstheme="minorHAnsi"/>
        </w:rPr>
        <w:t xml:space="preserve">zákona </w:t>
      </w:r>
      <w:r w:rsidR="0002419B" w:rsidRPr="003C79DF">
        <w:rPr>
          <w:rFonts w:asciiTheme="minorHAnsi" w:hAnsiTheme="minorHAnsi" w:cstheme="minorHAnsi"/>
        </w:rPr>
        <w:t>č.</w:t>
      </w:r>
      <w:r w:rsidR="003E06BF">
        <w:rPr>
          <w:rFonts w:asciiTheme="minorHAnsi" w:hAnsiTheme="minorHAnsi" w:cstheme="minorHAnsi"/>
        </w:rPr>
        <w:t xml:space="preserve"> </w:t>
      </w:r>
      <w:r w:rsidR="0002419B" w:rsidRPr="003C79DF">
        <w:rPr>
          <w:rFonts w:asciiTheme="minorHAnsi" w:hAnsiTheme="minorHAnsi" w:cstheme="minorHAnsi"/>
        </w:rPr>
        <w:t>89/2012 Sb.</w:t>
      </w:r>
      <w:r w:rsidR="0002419B" w:rsidRPr="003C79DF">
        <w:rPr>
          <w:rStyle w:val="Znakapoznpodarou"/>
          <w:rFonts w:asciiTheme="minorHAnsi" w:hAnsiTheme="minorHAnsi" w:cstheme="minorHAnsi"/>
        </w:rPr>
        <w:footnoteReference w:id="28"/>
      </w:r>
      <w:r w:rsidR="003C79DF">
        <w:rPr>
          <w:rFonts w:asciiTheme="minorHAnsi" w:hAnsiTheme="minorHAnsi" w:cstheme="minorHAnsi"/>
        </w:rPr>
        <w:t xml:space="preserve"> a vyhlášk</w:t>
      </w:r>
      <w:r w:rsidR="00F653B8">
        <w:rPr>
          <w:rFonts w:asciiTheme="minorHAnsi" w:hAnsiTheme="minorHAnsi" w:cstheme="minorHAnsi"/>
        </w:rPr>
        <w:t>y</w:t>
      </w:r>
      <w:r w:rsidR="003C79DF">
        <w:rPr>
          <w:rFonts w:asciiTheme="minorHAnsi" w:hAnsiTheme="minorHAnsi" w:cstheme="minorHAnsi"/>
        </w:rPr>
        <w:t xml:space="preserve"> č. 560/2006 Sb</w:t>
      </w:r>
      <w:r w:rsidR="00F653B8">
        <w:rPr>
          <w:rFonts w:asciiTheme="minorHAnsi" w:hAnsiTheme="minorHAnsi" w:cstheme="minorHAnsi"/>
        </w:rPr>
        <w:t>.</w:t>
      </w:r>
      <w:r w:rsidR="00F653B8">
        <w:rPr>
          <w:rStyle w:val="Znakapoznpodarou"/>
          <w:rFonts w:asciiTheme="minorHAnsi" w:hAnsiTheme="minorHAnsi" w:cstheme="minorHAnsi"/>
        </w:rPr>
        <w:footnoteReference w:id="29"/>
      </w:r>
      <w:r w:rsidR="00EA47EC" w:rsidRPr="00BF78A5">
        <w:rPr>
          <w:rFonts w:asciiTheme="minorHAnsi" w:hAnsiTheme="minorHAnsi" w:cstheme="minorHAnsi"/>
        </w:rPr>
        <w:t xml:space="preserve"> </w:t>
      </w:r>
      <w:r w:rsidR="00BF78A5">
        <w:rPr>
          <w:rFonts w:asciiTheme="minorHAnsi" w:hAnsiTheme="minorHAnsi" w:cstheme="minorHAnsi"/>
        </w:rPr>
        <w:t>P</w:t>
      </w:r>
      <w:r w:rsidR="00EA47EC" w:rsidRPr="003C79DF">
        <w:rPr>
          <w:rFonts w:asciiTheme="minorHAnsi" w:hAnsiTheme="minorHAnsi" w:cstheme="minorHAnsi"/>
        </w:rPr>
        <w:t>ojmy</w:t>
      </w:r>
      <w:r w:rsidR="00BF78A5">
        <w:rPr>
          <w:rFonts w:asciiTheme="minorHAnsi" w:hAnsiTheme="minorHAnsi" w:cstheme="minorHAnsi"/>
        </w:rPr>
        <w:t xml:space="preserve"> hospodárnost, efektivnost a účelnost</w:t>
      </w:r>
      <w:r w:rsidR="00EA47EC" w:rsidRPr="003C79DF">
        <w:rPr>
          <w:rFonts w:asciiTheme="minorHAnsi" w:hAnsiTheme="minorHAnsi" w:cstheme="minorHAnsi"/>
        </w:rPr>
        <w:t xml:space="preserve"> vymez</w:t>
      </w:r>
      <w:r w:rsidR="00BF78A5">
        <w:rPr>
          <w:rFonts w:asciiTheme="minorHAnsi" w:hAnsiTheme="minorHAnsi" w:cstheme="minorHAnsi"/>
        </w:rPr>
        <w:t>uje</w:t>
      </w:r>
      <w:r w:rsidR="00EA47EC" w:rsidRPr="003C79DF">
        <w:rPr>
          <w:rFonts w:asciiTheme="minorHAnsi" w:hAnsiTheme="minorHAnsi" w:cstheme="minorHAnsi"/>
        </w:rPr>
        <w:t xml:space="preserve"> ustanovení § 2 písm. m) až o) zákona č.</w:t>
      </w:r>
      <w:r w:rsidR="00116544">
        <w:rPr>
          <w:rFonts w:asciiTheme="minorHAnsi" w:hAnsiTheme="minorHAnsi" w:cstheme="minorHAnsi"/>
        </w:rPr>
        <w:t> </w:t>
      </w:r>
      <w:r w:rsidR="00EA47EC" w:rsidRPr="003C79DF">
        <w:rPr>
          <w:rFonts w:asciiTheme="minorHAnsi" w:hAnsiTheme="minorHAnsi" w:cstheme="minorHAnsi"/>
        </w:rPr>
        <w:t>320/2001 Sb.</w:t>
      </w:r>
      <w:r w:rsidR="00EA47EC" w:rsidRPr="003C79DF">
        <w:rPr>
          <w:rStyle w:val="Znakapoznpodarou"/>
          <w:rFonts w:asciiTheme="minorHAnsi" w:hAnsiTheme="minorHAnsi" w:cstheme="minorHAnsi"/>
        </w:rPr>
        <w:footnoteReference w:id="30"/>
      </w:r>
      <w:r w:rsidR="00DE5DE9">
        <w:rPr>
          <w:rFonts w:asciiTheme="minorHAnsi" w:hAnsiTheme="minorHAnsi" w:cstheme="minorHAnsi"/>
        </w:rPr>
        <w:t xml:space="preserve"> </w:t>
      </w:r>
      <w:r w:rsidR="00DE5DE9" w:rsidRPr="003E4D6E">
        <w:rPr>
          <w:rFonts w:asciiTheme="minorHAnsi" w:hAnsiTheme="minorHAnsi" w:cstheme="minorHAnsi"/>
        </w:rPr>
        <w:t xml:space="preserve">Jako kritéria byla </w:t>
      </w:r>
      <w:r w:rsidR="00BF78A5">
        <w:rPr>
          <w:rFonts w:asciiTheme="minorHAnsi" w:hAnsiTheme="minorHAnsi" w:cstheme="minorHAnsi"/>
        </w:rPr>
        <w:t>dále</w:t>
      </w:r>
      <w:r w:rsidR="00FA0BF6">
        <w:rPr>
          <w:rFonts w:asciiTheme="minorHAnsi" w:hAnsiTheme="minorHAnsi" w:cstheme="minorHAnsi"/>
        </w:rPr>
        <w:t xml:space="preserve"> </w:t>
      </w:r>
      <w:r w:rsidR="003E4D6E" w:rsidRPr="003E4D6E">
        <w:rPr>
          <w:rFonts w:asciiTheme="minorHAnsi" w:hAnsiTheme="minorHAnsi" w:cstheme="minorHAnsi"/>
        </w:rPr>
        <w:t xml:space="preserve">využita </w:t>
      </w:r>
      <w:r w:rsidR="00DE5DE9" w:rsidRPr="003E4D6E">
        <w:rPr>
          <w:rFonts w:asciiTheme="minorHAnsi" w:hAnsiTheme="minorHAnsi" w:cstheme="minorHAnsi"/>
        </w:rPr>
        <w:t xml:space="preserve">ustanovení vyplývající </w:t>
      </w:r>
      <w:r w:rsidR="0034488F">
        <w:rPr>
          <w:rFonts w:asciiTheme="minorHAnsi" w:hAnsiTheme="minorHAnsi" w:cstheme="minorHAnsi"/>
        </w:rPr>
        <w:t>z </w:t>
      </w:r>
      <w:r w:rsidR="00DE5DE9" w:rsidRPr="003E4D6E">
        <w:rPr>
          <w:rFonts w:asciiTheme="minorHAnsi" w:hAnsiTheme="minorHAnsi" w:cstheme="minorHAnsi"/>
        </w:rPr>
        <w:t>říd</w:t>
      </w:r>
      <w:r w:rsidR="003E4D6E" w:rsidRPr="003E4D6E">
        <w:rPr>
          <w:rFonts w:asciiTheme="minorHAnsi" w:hAnsiTheme="minorHAnsi" w:cstheme="minorHAnsi"/>
        </w:rPr>
        <w:t>i</w:t>
      </w:r>
      <w:r w:rsidR="00DE5DE9" w:rsidRPr="003E4D6E">
        <w:rPr>
          <w:rFonts w:asciiTheme="minorHAnsi" w:hAnsiTheme="minorHAnsi" w:cstheme="minorHAnsi"/>
        </w:rPr>
        <w:t>cích</w:t>
      </w:r>
      <w:r w:rsidR="0034488F">
        <w:rPr>
          <w:rFonts w:asciiTheme="minorHAnsi" w:hAnsiTheme="minorHAnsi" w:cstheme="minorHAnsi"/>
        </w:rPr>
        <w:t xml:space="preserve"> a</w:t>
      </w:r>
      <w:r w:rsidR="00BF78A5">
        <w:rPr>
          <w:rFonts w:asciiTheme="minorHAnsi" w:hAnsiTheme="minorHAnsi" w:cstheme="minorHAnsi"/>
        </w:rPr>
        <w:t> </w:t>
      </w:r>
      <w:r w:rsidR="0034488F" w:rsidRPr="003E4D6E">
        <w:rPr>
          <w:rFonts w:asciiTheme="minorHAnsi" w:hAnsiTheme="minorHAnsi" w:cstheme="minorHAnsi"/>
        </w:rPr>
        <w:t>strategických</w:t>
      </w:r>
      <w:r w:rsidR="00DE5DE9" w:rsidRPr="003E4D6E">
        <w:rPr>
          <w:rFonts w:asciiTheme="minorHAnsi" w:hAnsiTheme="minorHAnsi" w:cstheme="minorHAnsi"/>
        </w:rPr>
        <w:t xml:space="preserve"> dokumentů VOP</w:t>
      </w:r>
      <w:r w:rsidR="00A572EF">
        <w:rPr>
          <w:rFonts w:asciiTheme="minorHAnsi" w:hAnsiTheme="minorHAnsi" w:cstheme="minorHAnsi"/>
        </w:rPr>
        <w:t> </w:t>
      </w:r>
      <w:r w:rsidR="003E4D6E" w:rsidRPr="003E4D6E">
        <w:rPr>
          <w:rFonts w:asciiTheme="minorHAnsi" w:hAnsiTheme="minorHAnsi" w:cstheme="minorHAnsi"/>
        </w:rPr>
        <w:t xml:space="preserve">CZ, </w:t>
      </w:r>
      <w:r w:rsidR="00DE5DE9" w:rsidRPr="003E4D6E">
        <w:rPr>
          <w:rFonts w:asciiTheme="minorHAnsi" w:hAnsiTheme="minorHAnsi" w:cstheme="minorHAnsi"/>
        </w:rPr>
        <w:t xml:space="preserve">zejména </w:t>
      </w:r>
      <w:r w:rsidR="003E4D6E" w:rsidRPr="003E4D6E">
        <w:rPr>
          <w:rFonts w:asciiTheme="minorHAnsi" w:hAnsiTheme="minorHAnsi" w:cstheme="minorHAnsi"/>
        </w:rPr>
        <w:t>z</w:t>
      </w:r>
      <w:r w:rsidR="00DE5DE9" w:rsidRPr="003E4D6E">
        <w:rPr>
          <w:rFonts w:asciiTheme="minorHAnsi" w:hAnsiTheme="minorHAnsi" w:cstheme="minorHAnsi"/>
        </w:rPr>
        <w:t>akládací listin</w:t>
      </w:r>
      <w:r w:rsidR="003E4D6E" w:rsidRPr="003E4D6E">
        <w:rPr>
          <w:rFonts w:asciiTheme="minorHAnsi" w:hAnsiTheme="minorHAnsi" w:cstheme="minorHAnsi"/>
        </w:rPr>
        <w:t>y</w:t>
      </w:r>
      <w:r w:rsidR="00DE5DE9" w:rsidRPr="003E4D6E">
        <w:rPr>
          <w:rFonts w:asciiTheme="minorHAnsi" w:hAnsiTheme="minorHAnsi" w:cstheme="minorHAnsi"/>
        </w:rPr>
        <w:t xml:space="preserve">, </w:t>
      </w:r>
      <w:r w:rsidR="003E4D6E" w:rsidRPr="003E4D6E">
        <w:rPr>
          <w:rFonts w:asciiTheme="minorHAnsi" w:hAnsiTheme="minorHAnsi" w:cstheme="minorHAnsi"/>
        </w:rPr>
        <w:t>s</w:t>
      </w:r>
      <w:r w:rsidR="00DE5DE9" w:rsidRPr="003E4D6E">
        <w:rPr>
          <w:rFonts w:asciiTheme="minorHAnsi" w:hAnsiTheme="minorHAnsi" w:cstheme="minorHAnsi"/>
        </w:rPr>
        <w:t>tatut</w:t>
      </w:r>
      <w:r w:rsidR="003E4D6E" w:rsidRPr="003E4D6E">
        <w:rPr>
          <w:rFonts w:asciiTheme="minorHAnsi" w:hAnsiTheme="minorHAnsi" w:cstheme="minorHAnsi"/>
        </w:rPr>
        <w:t>u</w:t>
      </w:r>
      <w:r w:rsidR="003E4D6E" w:rsidRPr="003E4D6E">
        <w:rPr>
          <w:rFonts w:ascii="Calibri" w:eastAsia="Calibri" w:hAnsi="Calibri" w:cs="Calibri"/>
          <w:vertAlign w:val="superscript"/>
        </w:rPr>
        <w:footnoteReference w:id="31"/>
      </w:r>
      <w:r w:rsidR="00D03AE4">
        <w:rPr>
          <w:rFonts w:asciiTheme="minorHAnsi" w:hAnsiTheme="minorHAnsi" w:cstheme="minorHAnsi"/>
        </w:rPr>
        <w:t>,</w:t>
      </w:r>
      <w:r w:rsidR="003E4D6E" w:rsidRPr="003E4D6E">
        <w:rPr>
          <w:rFonts w:asciiTheme="minorHAnsi" w:hAnsiTheme="minorHAnsi" w:cstheme="minorHAnsi"/>
        </w:rPr>
        <w:t xml:space="preserve"> </w:t>
      </w:r>
      <w:r w:rsidR="00FA0BF6">
        <w:rPr>
          <w:rFonts w:asciiTheme="minorHAnsi" w:hAnsiTheme="minorHAnsi" w:cstheme="minorHAnsi"/>
        </w:rPr>
        <w:t>finančních plánů</w:t>
      </w:r>
      <w:r w:rsidR="00FA0BF6" w:rsidRPr="003E4D6E">
        <w:rPr>
          <w:rFonts w:asciiTheme="minorHAnsi" w:hAnsiTheme="minorHAnsi" w:cstheme="minorHAnsi"/>
        </w:rPr>
        <w:t xml:space="preserve"> </w:t>
      </w:r>
      <w:r w:rsidR="00FA0BF6">
        <w:rPr>
          <w:rFonts w:asciiTheme="minorHAnsi" w:hAnsiTheme="minorHAnsi" w:cstheme="minorHAnsi"/>
        </w:rPr>
        <w:t>a</w:t>
      </w:r>
      <w:r w:rsidR="00D27F85">
        <w:rPr>
          <w:rFonts w:asciiTheme="minorHAnsi" w:hAnsiTheme="minorHAnsi" w:cstheme="minorHAnsi"/>
        </w:rPr>
        <w:t> </w:t>
      </w:r>
      <w:r w:rsidR="00DE5DE9" w:rsidRPr="003E4D6E">
        <w:rPr>
          <w:rFonts w:asciiTheme="minorHAnsi" w:hAnsiTheme="minorHAnsi" w:cstheme="minorHAnsi"/>
        </w:rPr>
        <w:t>strategie</w:t>
      </w:r>
      <w:r w:rsidR="00D03AE4">
        <w:rPr>
          <w:rFonts w:asciiTheme="minorHAnsi" w:hAnsiTheme="minorHAnsi" w:cstheme="minorHAnsi"/>
        </w:rPr>
        <w:t xml:space="preserve"> </w:t>
      </w:r>
      <w:r w:rsidR="00DE5DE9" w:rsidRPr="003E4D6E">
        <w:rPr>
          <w:rFonts w:asciiTheme="minorHAnsi" w:hAnsiTheme="minorHAnsi" w:cstheme="minorHAnsi"/>
        </w:rPr>
        <w:t>podniku</w:t>
      </w:r>
      <w:r w:rsidR="003E4D6E" w:rsidRPr="003E4D6E">
        <w:rPr>
          <w:rFonts w:asciiTheme="minorHAnsi" w:hAnsiTheme="minorHAnsi" w:cstheme="minorHAnsi"/>
        </w:rPr>
        <w:t>.</w:t>
      </w:r>
    </w:p>
    <w:p w14:paraId="4345533B" w14:textId="6C056AC9" w:rsidR="001A05E4" w:rsidRPr="003E4D6E" w:rsidRDefault="00815D2D" w:rsidP="00DE5DE9">
      <w:pPr>
        <w:spacing w:before="120"/>
        <w:jc w:val="both"/>
        <w:rPr>
          <w:rFonts w:asciiTheme="minorHAnsi" w:hAnsiTheme="minorHAnsi" w:cstheme="minorHAnsi"/>
        </w:rPr>
      </w:pPr>
      <w:r w:rsidRPr="00815D2D">
        <w:rPr>
          <w:rFonts w:asciiTheme="minorHAnsi" w:hAnsiTheme="minorHAnsi" w:cstheme="minorHAnsi"/>
          <w:b/>
        </w:rPr>
        <w:t>3.7</w:t>
      </w:r>
      <w:r>
        <w:rPr>
          <w:rFonts w:asciiTheme="minorHAnsi" w:hAnsiTheme="minorHAnsi" w:cstheme="minorHAnsi"/>
        </w:rPr>
        <w:t xml:space="preserve"> </w:t>
      </w:r>
      <w:r w:rsidR="001A05E4" w:rsidRPr="003E4D6E">
        <w:rPr>
          <w:rFonts w:asciiTheme="minorHAnsi" w:hAnsiTheme="minorHAnsi" w:cstheme="minorHAnsi"/>
        </w:rPr>
        <w:t xml:space="preserve">Hospodárnost výdajů posuzoval </w:t>
      </w:r>
      <w:r w:rsidR="00116544" w:rsidRPr="003E4D6E">
        <w:rPr>
          <w:rFonts w:asciiTheme="minorHAnsi" w:hAnsiTheme="minorHAnsi" w:cstheme="minorHAnsi"/>
        </w:rPr>
        <w:t xml:space="preserve">NKÚ </w:t>
      </w:r>
      <w:r w:rsidR="00BF78A5">
        <w:rPr>
          <w:rFonts w:asciiTheme="minorHAnsi" w:hAnsiTheme="minorHAnsi" w:cstheme="minorHAnsi"/>
        </w:rPr>
        <w:t xml:space="preserve">mimo jiné </w:t>
      </w:r>
      <w:r w:rsidR="001A05E4" w:rsidRPr="003E4D6E">
        <w:rPr>
          <w:rFonts w:asciiTheme="minorHAnsi" w:hAnsiTheme="minorHAnsi" w:cstheme="minorHAnsi"/>
        </w:rPr>
        <w:t xml:space="preserve">podle </w:t>
      </w:r>
      <w:r w:rsidR="00AE0410">
        <w:rPr>
          <w:rFonts w:asciiTheme="minorHAnsi" w:hAnsiTheme="minorHAnsi" w:cstheme="minorHAnsi"/>
        </w:rPr>
        <w:t>průběhu</w:t>
      </w:r>
      <w:r w:rsidR="00122032">
        <w:rPr>
          <w:rFonts w:asciiTheme="minorHAnsi" w:hAnsiTheme="minorHAnsi" w:cstheme="minorHAnsi"/>
        </w:rPr>
        <w:t xml:space="preserve"> realizované </w:t>
      </w:r>
      <w:r w:rsidR="00BF78A5">
        <w:rPr>
          <w:rFonts w:asciiTheme="minorHAnsi" w:hAnsiTheme="minorHAnsi" w:cstheme="minorHAnsi"/>
        </w:rPr>
        <w:t>veřejné zakázky</w:t>
      </w:r>
      <w:r w:rsidR="00A572EF">
        <w:rPr>
          <w:rFonts w:asciiTheme="minorHAnsi" w:hAnsiTheme="minorHAnsi" w:cstheme="minorHAnsi"/>
        </w:rPr>
        <w:t xml:space="preserve">, </w:t>
      </w:r>
      <w:r w:rsidR="00AF48A6">
        <w:rPr>
          <w:rFonts w:asciiTheme="minorHAnsi" w:hAnsiTheme="minorHAnsi" w:cstheme="minorHAnsi"/>
        </w:rPr>
        <w:t>přitom přihléd</w:t>
      </w:r>
      <w:r w:rsidR="0034488F">
        <w:rPr>
          <w:rFonts w:asciiTheme="minorHAnsi" w:hAnsiTheme="minorHAnsi" w:cstheme="minorHAnsi"/>
        </w:rPr>
        <w:t>l</w:t>
      </w:r>
      <w:r w:rsidR="00AF48A6">
        <w:rPr>
          <w:rFonts w:asciiTheme="minorHAnsi" w:hAnsiTheme="minorHAnsi" w:cstheme="minorHAnsi"/>
        </w:rPr>
        <w:t xml:space="preserve"> k provedené analýze potřeb, průzkumu trhu a </w:t>
      </w:r>
      <w:r w:rsidR="001A05E4" w:rsidRPr="003E4D6E">
        <w:rPr>
          <w:rFonts w:asciiTheme="minorHAnsi" w:hAnsiTheme="minorHAnsi" w:cstheme="minorHAnsi"/>
        </w:rPr>
        <w:t>vymezení předmětu veřejné zakázky</w:t>
      </w:r>
      <w:r w:rsidR="00AF48A6">
        <w:rPr>
          <w:rFonts w:asciiTheme="minorHAnsi" w:hAnsiTheme="minorHAnsi" w:cstheme="minorHAnsi"/>
        </w:rPr>
        <w:t xml:space="preserve"> z</w:t>
      </w:r>
      <w:r w:rsidR="003E06BF">
        <w:rPr>
          <w:rFonts w:asciiTheme="minorHAnsi" w:hAnsiTheme="minorHAnsi" w:cstheme="minorHAnsi"/>
        </w:rPr>
        <w:t xml:space="preserve"> </w:t>
      </w:r>
      <w:r w:rsidR="00AF48A6">
        <w:rPr>
          <w:rFonts w:asciiTheme="minorHAnsi" w:hAnsiTheme="minorHAnsi" w:cstheme="minorHAnsi"/>
        </w:rPr>
        <w:t xml:space="preserve">hlediska kvantitativních </w:t>
      </w:r>
      <w:r w:rsidR="0034488F">
        <w:rPr>
          <w:rFonts w:asciiTheme="minorHAnsi" w:hAnsiTheme="minorHAnsi" w:cstheme="minorHAnsi"/>
        </w:rPr>
        <w:t>i</w:t>
      </w:r>
      <w:r w:rsidR="00AF48A6">
        <w:rPr>
          <w:rFonts w:asciiTheme="minorHAnsi" w:hAnsiTheme="minorHAnsi" w:cstheme="minorHAnsi"/>
        </w:rPr>
        <w:t xml:space="preserve"> kvalitativních požadavků na předmět plnění</w:t>
      </w:r>
      <w:r w:rsidR="001A05E4" w:rsidRPr="003E4D6E">
        <w:rPr>
          <w:rFonts w:asciiTheme="minorHAnsi" w:hAnsiTheme="minorHAnsi" w:cstheme="minorHAnsi"/>
        </w:rPr>
        <w:t xml:space="preserve">. V případě využití výjimky </w:t>
      </w:r>
      <w:r w:rsidR="003E4D6E" w:rsidRPr="003E4D6E">
        <w:rPr>
          <w:rFonts w:asciiTheme="minorHAnsi" w:hAnsiTheme="minorHAnsi" w:cstheme="minorHAnsi"/>
        </w:rPr>
        <w:t xml:space="preserve">ze </w:t>
      </w:r>
      <w:r w:rsidR="001A05E4" w:rsidRPr="0088636A">
        <w:rPr>
          <w:rFonts w:asciiTheme="minorHAnsi" w:hAnsiTheme="minorHAnsi" w:cstheme="minorHAnsi"/>
        </w:rPr>
        <w:t>zákona</w:t>
      </w:r>
      <w:r w:rsidR="008126B2" w:rsidRPr="0088636A">
        <w:rPr>
          <w:rFonts w:asciiTheme="minorHAnsi" w:hAnsiTheme="minorHAnsi" w:cstheme="minorHAnsi"/>
          <w:vertAlign w:val="superscript"/>
        </w:rPr>
        <w:t>1</w:t>
      </w:r>
      <w:r w:rsidR="00130E4C" w:rsidRPr="0088636A">
        <w:rPr>
          <w:rFonts w:asciiTheme="minorHAnsi" w:hAnsiTheme="minorHAnsi" w:cstheme="minorHAnsi"/>
          <w:vertAlign w:val="superscript"/>
        </w:rPr>
        <w:t>8</w:t>
      </w:r>
      <w:r w:rsidR="001A05E4" w:rsidRPr="0088636A">
        <w:rPr>
          <w:rFonts w:asciiTheme="minorHAnsi" w:hAnsiTheme="minorHAnsi" w:cstheme="minorHAnsi"/>
        </w:rPr>
        <w:t xml:space="preserve"> p</w:t>
      </w:r>
      <w:r w:rsidR="001A05E4" w:rsidRPr="003E4D6E">
        <w:rPr>
          <w:rFonts w:asciiTheme="minorHAnsi" w:hAnsiTheme="minorHAnsi" w:cstheme="minorHAnsi"/>
        </w:rPr>
        <w:t xml:space="preserve">osuzoval </w:t>
      </w:r>
      <w:r w:rsidR="00D03AE4">
        <w:rPr>
          <w:rFonts w:asciiTheme="minorHAnsi" w:hAnsiTheme="minorHAnsi" w:cstheme="minorHAnsi"/>
        </w:rPr>
        <w:t xml:space="preserve">způsob </w:t>
      </w:r>
      <w:r w:rsidR="003E4D6E" w:rsidRPr="003E4D6E">
        <w:rPr>
          <w:rFonts w:asciiTheme="minorHAnsi" w:hAnsiTheme="minorHAnsi" w:cstheme="minorHAnsi"/>
        </w:rPr>
        <w:t xml:space="preserve">určení </w:t>
      </w:r>
      <w:r w:rsidR="001A05E4" w:rsidRPr="003E4D6E">
        <w:rPr>
          <w:rFonts w:asciiTheme="minorHAnsi" w:hAnsiTheme="minorHAnsi" w:cstheme="minorHAnsi"/>
        </w:rPr>
        <w:t>ceny v</w:t>
      </w:r>
      <w:r w:rsidR="003E4D6E" w:rsidRPr="003E4D6E">
        <w:rPr>
          <w:rFonts w:asciiTheme="minorHAnsi" w:hAnsiTheme="minorHAnsi" w:cstheme="minorHAnsi"/>
        </w:rPr>
        <w:t> místě a</w:t>
      </w:r>
      <w:r w:rsidR="00312042">
        <w:rPr>
          <w:rFonts w:asciiTheme="minorHAnsi" w:hAnsiTheme="minorHAnsi" w:cstheme="minorHAnsi"/>
        </w:rPr>
        <w:t xml:space="preserve"> </w:t>
      </w:r>
      <w:r w:rsidR="003E4D6E" w:rsidRPr="003E4D6E">
        <w:rPr>
          <w:rFonts w:asciiTheme="minorHAnsi" w:hAnsiTheme="minorHAnsi" w:cstheme="minorHAnsi"/>
        </w:rPr>
        <w:t>čase obvyklé</w:t>
      </w:r>
      <w:r w:rsidR="001A05E4" w:rsidRPr="00D03AE4">
        <w:rPr>
          <w:rFonts w:asciiTheme="minorHAnsi" w:hAnsiTheme="minorHAnsi" w:cstheme="minorHAnsi"/>
        </w:rPr>
        <w:t xml:space="preserve">. Efektivnost výdajů </w:t>
      </w:r>
      <w:r w:rsidR="003E4D6E" w:rsidRPr="00D03AE4">
        <w:rPr>
          <w:rFonts w:asciiTheme="minorHAnsi" w:hAnsiTheme="minorHAnsi" w:cstheme="minorHAnsi"/>
        </w:rPr>
        <w:t>posuzoval</w:t>
      </w:r>
      <w:r w:rsidR="001A05E4" w:rsidRPr="00D03AE4">
        <w:rPr>
          <w:rFonts w:asciiTheme="minorHAnsi" w:hAnsiTheme="minorHAnsi" w:cstheme="minorHAnsi"/>
        </w:rPr>
        <w:t xml:space="preserve"> </w:t>
      </w:r>
      <w:r w:rsidR="00116544">
        <w:rPr>
          <w:rFonts w:asciiTheme="minorHAnsi" w:hAnsiTheme="minorHAnsi" w:cstheme="minorHAnsi"/>
        </w:rPr>
        <w:t xml:space="preserve">NKÚ </w:t>
      </w:r>
      <w:r w:rsidR="001A05E4" w:rsidRPr="00D03AE4">
        <w:rPr>
          <w:rFonts w:asciiTheme="minorHAnsi" w:hAnsiTheme="minorHAnsi" w:cstheme="minorHAnsi"/>
        </w:rPr>
        <w:t xml:space="preserve">podle přínosu </w:t>
      </w:r>
      <w:r w:rsidR="00A00575" w:rsidRPr="00D03AE4">
        <w:rPr>
          <w:rFonts w:asciiTheme="minorHAnsi" w:hAnsiTheme="minorHAnsi" w:cstheme="minorHAnsi"/>
        </w:rPr>
        <w:t xml:space="preserve">nákupu </w:t>
      </w:r>
      <w:r w:rsidR="001A05E4" w:rsidRPr="00D03AE4">
        <w:rPr>
          <w:rFonts w:asciiTheme="minorHAnsi" w:hAnsiTheme="minorHAnsi" w:cstheme="minorHAnsi"/>
        </w:rPr>
        <w:t xml:space="preserve">či opravy </w:t>
      </w:r>
      <w:r w:rsidR="0043008D">
        <w:rPr>
          <w:rFonts w:asciiTheme="minorHAnsi" w:hAnsiTheme="minorHAnsi" w:cstheme="minorHAnsi"/>
        </w:rPr>
        <w:t xml:space="preserve">techniky </w:t>
      </w:r>
      <w:r w:rsidR="001A05E4" w:rsidRPr="00D03AE4">
        <w:rPr>
          <w:rFonts w:asciiTheme="minorHAnsi" w:hAnsiTheme="minorHAnsi" w:cstheme="minorHAnsi"/>
        </w:rPr>
        <w:t>z</w:t>
      </w:r>
      <w:r w:rsidR="003E06BF">
        <w:rPr>
          <w:rFonts w:asciiTheme="minorHAnsi" w:hAnsiTheme="minorHAnsi" w:cstheme="minorHAnsi"/>
        </w:rPr>
        <w:t xml:space="preserve"> </w:t>
      </w:r>
      <w:r w:rsidR="001A05E4" w:rsidRPr="00D03AE4">
        <w:rPr>
          <w:rFonts w:asciiTheme="minorHAnsi" w:hAnsiTheme="minorHAnsi" w:cstheme="minorHAnsi"/>
        </w:rPr>
        <w:t>hlediska množství, kvality</w:t>
      </w:r>
      <w:r w:rsidR="00D03AE4">
        <w:rPr>
          <w:rFonts w:asciiTheme="minorHAnsi" w:hAnsiTheme="minorHAnsi" w:cstheme="minorHAnsi"/>
        </w:rPr>
        <w:t>,</w:t>
      </w:r>
      <w:r w:rsidR="00312042">
        <w:rPr>
          <w:rFonts w:asciiTheme="minorHAnsi" w:hAnsiTheme="minorHAnsi" w:cstheme="minorHAnsi"/>
        </w:rPr>
        <w:t xml:space="preserve"> </w:t>
      </w:r>
      <w:r w:rsidR="001A05E4" w:rsidRPr="00D03AE4">
        <w:rPr>
          <w:rFonts w:asciiTheme="minorHAnsi" w:hAnsiTheme="minorHAnsi" w:cstheme="minorHAnsi"/>
        </w:rPr>
        <w:t>včasnosti</w:t>
      </w:r>
      <w:r w:rsidR="00FC670F">
        <w:rPr>
          <w:rFonts w:asciiTheme="minorHAnsi" w:hAnsiTheme="minorHAnsi" w:cstheme="minorHAnsi"/>
        </w:rPr>
        <w:t xml:space="preserve"> </w:t>
      </w:r>
      <w:r w:rsidR="00D03AE4">
        <w:rPr>
          <w:rFonts w:asciiTheme="minorHAnsi" w:hAnsiTheme="minorHAnsi" w:cstheme="minorHAnsi"/>
        </w:rPr>
        <w:t>a</w:t>
      </w:r>
      <w:r w:rsidR="00312042">
        <w:rPr>
          <w:rFonts w:asciiTheme="minorHAnsi" w:hAnsiTheme="minorHAnsi" w:cstheme="minorHAnsi"/>
        </w:rPr>
        <w:t xml:space="preserve"> </w:t>
      </w:r>
      <w:r w:rsidR="00D03AE4">
        <w:rPr>
          <w:rFonts w:asciiTheme="minorHAnsi" w:hAnsiTheme="minorHAnsi" w:cstheme="minorHAnsi"/>
        </w:rPr>
        <w:t>udržitelnosti</w:t>
      </w:r>
      <w:r w:rsidR="00FC670F">
        <w:rPr>
          <w:rFonts w:asciiTheme="minorHAnsi" w:hAnsiTheme="minorHAnsi" w:cstheme="minorHAnsi"/>
        </w:rPr>
        <w:t xml:space="preserve"> následného využívání</w:t>
      </w:r>
      <w:r w:rsidR="00D03AE4">
        <w:rPr>
          <w:rFonts w:asciiTheme="minorHAnsi" w:hAnsiTheme="minorHAnsi" w:cstheme="minorHAnsi"/>
        </w:rPr>
        <w:t xml:space="preserve"> </w:t>
      </w:r>
      <w:r w:rsidR="0043008D">
        <w:rPr>
          <w:rFonts w:asciiTheme="minorHAnsi" w:hAnsiTheme="minorHAnsi" w:cstheme="minorHAnsi"/>
        </w:rPr>
        <w:t xml:space="preserve">techniky </w:t>
      </w:r>
      <w:r w:rsidR="001A05E4" w:rsidRPr="00D03AE4">
        <w:rPr>
          <w:rFonts w:asciiTheme="minorHAnsi" w:hAnsiTheme="minorHAnsi" w:cstheme="minorHAnsi"/>
        </w:rPr>
        <w:t>ve vztahu k</w:t>
      </w:r>
      <w:r w:rsidR="003E06BF">
        <w:rPr>
          <w:rFonts w:asciiTheme="minorHAnsi" w:hAnsiTheme="minorHAnsi" w:cstheme="minorHAnsi"/>
        </w:rPr>
        <w:t xml:space="preserve"> </w:t>
      </w:r>
      <w:r w:rsidR="001A05E4" w:rsidRPr="00D03AE4">
        <w:rPr>
          <w:rFonts w:asciiTheme="minorHAnsi" w:hAnsiTheme="minorHAnsi" w:cstheme="minorHAnsi"/>
        </w:rPr>
        <w:t xml:space="preserve">výši vynaložených </w:t>
      </w:r>
      <w:r w:rsidR="00D03AE4" w:rsidRPr="00D03AE4">
        <w:rPr>
          <w:rFonts w:asciiTheme="minorHAnsi" w:hAnsiTheme="minorHAnsi" w:cstheme="minorHAnsi"/>
        </w:rPr>
        <w:t xml:space="preserve">peněžních </w:t>
      </w:r>
      <w:r w:rsidR="001A05E4" w:rsidRPr="00D03AE4">
        <w:rPr>
          <w:rFonts w:asciiTheme="minorHAnsi" w:hAnsiTheme="minorHAnsi" w:cstheme="minorHAnsi"/>
        </w:rPr>
        <w:t xml:space="preserve">prostředků. </w:t>
      </w:r>
      <w:r w:rsidR="00D03AE4">
        <w:rPr>
          <w:rFonts w:asciiTheme="minorHAnsi" w:hAnsiTheme="minorHAnsi" w:cstheme="minorHAnsi"/>
        </w:rPr>
        <w:t>Ú</w:t>
      </w:r>
      <w:r w:rsidR="0031193D" w:rsidRPr="00D03AE4">
        <w:rPr>
          <w:rFonts w:asciiTheme="minorHAnsi" w:hAnsiTheme="minorHAnsi" w:cstheme="minorHAnsi"/>
        </w:rPr>
        <w:t>čelnost</w:t>
      </w:r>
      <w:r w:rsidR="00D03AE4">
        <w:rPr>
          <w:rFonts w:asciiTheme="minorHAnsi" w:hAnsiTheme="minorHAnsi" w:cstheme="minorHAnsi"/>
        </w:rPr>
        <w:t xml:space="preserve"> výdajů posuzoval </w:t>
      </w:r>
      <w:r w:rsidR="0031193D" w:rsidRPr="00D03AE4">
        <w:rPr>
          <w:rFonts w:asciiTheme="minorHAnsi" w:hAnsiTheme="minorHAnsi" w:cstheme="minorHAnsi"/>
        </w:rPr>
        <w:t xml:space="preserve">podle </w:t>
      </w:r>
      <w:r w:rsidR="00D03AE4" w:rsidRPr="00D03AE4">
        <w:rPr>
          <w:rFonts w:asciiTheme="minorHAnsi" w:hAnsiTheme="minorHAnsi" w:cstheme="minorHAnsi"/>
        </w:rPr>
        <w:t xml:space="preserve">splnění cíle investiční akce a </w:t>
      </w:r>
      <w:r w:rsidR="0031193D" w:rsidRPr="00D03AE4">
        <w:rPr>
          <w:rFonts w:asciiTheme="minorHAnsi" w:hAnsiTheme="minorHAnsi" w:cstheme="minorHAnsi"/>
        </w:rPr>
        <w:t>míry naplnění stanovených potřeb</w:t>
      </w:r>
      <w:r w:rsidR="00073BB8">
        <w:rPr>
          <w:rFonts w:asciiTheme="minorHAnsi" w:hAnsiTheme="minorHAnsi" w:cstheme="minorHAnsi"/>
        </w:rPr>
        <w:t xml:space="preserve"> a požadavků</w:t>
      </w:r>
      <w:r w:rsidR="0031193D" w:rsidRPr="00D03AE4">
        <w:rPr>
          <w:rFonts w:asciiTheme="minorHAnsi" w:hAnsiTheme="minorHAnsi" w:cstheme="minorHAnsi"/>
        </w:rPr>
        <w:t xml:space="preserve"> A</w:t>
      </w:r>
      <w:r w:rsidR="00D03AE4" w:rsidRPr="00D03AE4">
        <w:rPr>
          <w:rFonts w:asciiTheme="minorHAnsi" w:hAnsiTheme="minorHAnsi" w:cstheme="minorHAnsi"/>
        </w:rPr>
        <w:t>rmády</w:t>
      </w:r>
      <w:r w:rsidR="00FC670F">
        <w:rPr>
          <w:rFonts w:asciiTheme="minorHAnsi" w:hAnsiTheme="minorHAnsi" w:cstheme="minorHAnsi"/>
        </w:rPr>
        <w:t>, kdy provozovaná technika má sloužit k plnění úkolů rezortu</w:t>
      </w:r>
      <w:r w:rsidR="0031193D" w:rsidRPr="00D03AE4">
        <w:rPr>
          <w:rFonts w:asciiTheme="minorHAnsi" w:hAnsiTheme="minorHAnsi" w:cstheme="minorHAnsi"/>
        </w:rPr>
        <w:t>.</w:t>
      </w:r>
    </w:p>
    <w:p w14:paraId="5596CA7C" w14:textId="77777777" w:rsidR="00000ECF" w:rsidRPr="00000ECF" w:rsidRDefault="00000ECF" w:rsidP="008A7D18">
      <w:pPr>
        <w:spacing w:before="120"/>
        <w:ind w:left="567" w:hanging="567"/>
        <w:jc w:val="both"/>
        <w:rPr>
          <w:rFonts w:ascii="Calibri" w:hAnsi="Calibri" w:cstheme="minorHAnsi"/>
          <w:i/>
          <w:sz w:val="20"/>
          <w:szCs w:val="20"/>
        </w:rPr>
      </w:pPr>
      <w:bookmarkStart w:id="13" w:name="_Hlk130221966"/>
      <w:r w:rsidRPr="00000ECF">
        <w:rPr>
          <w:rFonts w:asciiTheme="minorHAnsi" w:hAnsiTheme="minorHAnsi" w:cstheme="minorHAnsi"/>
          <w:b/>
          <w:i/>
          <w:sz w:val="20"/>
          <w:szCs w:val="20"/>
        </w:rPr>
        <w:t>Pozn.:</w:t>
      </w:r>
      <w:r w:rsidRPr="00000ECF">
        <w:rPr>
          <w:rFonts w:asciiTheme="minorHAnsi" w:hAnsiTheme="minorHAnsi" w:cstheme="minorHAnsi"/>
          <w:i/>
          <w:sz w:val="20"/>
          <w:szCs w:val="20"/>
        </w:rPr>
        <w:tab/>
      </w:r>
      <w:r w:rsidRPr="00000ECF">
        <w:rPr>
          <w:rFonts w:ascii="Calibri" w:hAnsi="Calibri" w:cstheme="minorHAnsi"/>
          <w:i/>
          <w:sz w:val="20"/>
          <w:szCs w:val="20"/>
        </w:rPr>
        <w:t>Právní předpisy uvedené v tomto kontrolním závěru jsou aplikovány ve znění účinném pro kontrolované období.</w:t>
      </w:r>
    </w:p>
    <w:bookmarkEnd w:id="13"/>
    <w:p w14:paraId="14E2DEE7" w14:textId="77777777" w:rsidR="00000ECF" w:rsidRPr="00000ECF" w:rsidRDefault="00000ECF" w:rsidP="00000ECF">
      <w:pPr>
        <w:spacing w:before="120"/>
        <w:ind w:left="567" w:hanging="567"/>
        <w:jc w:val="both"/>
        <w:rPr>
          <w:rFonts w:ascii="Calibri" w:hAnsi="Calibri" w:cstheme="minorHAnsi"/>
          <w:i/>
          <w:sz w:val="20"/>
          <w:szCs w:val="20"/>
        </w:rPr>
      </w:pPr>
      <w:r w:rsidRPr="00000ECF">
        <w:rPr>
          <w:rFonts w:asciiTheme="minorHAnsi" w:hAnsiTheme="minorHAnsi" w:cstheme="minorHAnsi"/>
          <w:b/>
          <w:i/>
          <w:sz w:val="20"/>
          <w:szCs w:val="20"/>
        </w:rPr>
        <w:tab/>
      </w:r>
      <w:r w:rsidR="003C79DF">
        <w:rPr>
          <w:rFonts w:asciiTheme="minorHAnsi" w:hAnsiTheme="minorHAnsi" w:cstheme="minorHAnsi"/>
          <w:i/>
          <w:sz w:val="20"/>
          <w:szCs w:val="20"/>
        </w:rPr>
        <w:t>H</w:t>
      </w:r>
      <w:r w:rsidRPr="00000ECF">
        <w:rPr>
          <w:rFonts w:asciiTheme="minorHAnsi" w:hAnsiTheme="minorHAnsi" w:cstheme="minorHAnsi"/>
          <w:i/>
          <w:sz w:val="20"/>
          <w:szCs w:val="20"/>
        </w:rPr>
        <w:t>odnoty peněžních prostředků zahrnují ceny včetně DPH, pokud není uvedeno jinak.</w:t>
      </w:r>
    </w:p>
    <w:p w14:paraId="5E8DEDF4" w14:textId="77777777" w:rsidR="00661B18" w:rsidRDefault="00661B18">
      <w:pPr>
        <w:rPr>
          <w:rFonts w:asciiTheme="minorHAnsi" w:hAnsiTheme="minorHAnsi" w:cstheme="minorHAnsi"/>
          <w:b/>
          <w:kern w:val="36"/>
          <w:sz w:val="28"/>
          <w:szCs w:val="28"/>
        </w:rPr>
      </w:pPr>
    </w:p>
    <w:p w14:paraId="05EE7FAA" w14:textId="77777777" w:rsidR="00130E4C" w:rsidRDefault="00130E4C">
      <w:pPr>
        <w:rPr>
          <w:rFonts w:asciiTheme="minorHAnsi" w:hAnsiTheme="minorHAnsi" w:cstheme="minorHAnsi"/>
          <w:b/>
          <w:kern w:val="36"/>
          <w:sz w:val="28"/>
          <w:szCs w:val="28"/>
        </w:rPr>
      </w:pPr>
    </w:p>
    <w:p w14:paraId="29A43DF4" w14:textId="77777777" w:rsidR="00130E4C" w:rsidRDefault="00130E4C">
      <w:pPr>
        <w:rPr>
          <w:rFonts w:asciiTheme="minorHAnsi" w:hAnsiTheme="minorHAnsi" w:cstheme="minorHAnsi"/>
          <w:b/>
          <w:kern w:val="36"/>
          <w:sz w:val="28"/>
          <w:szCs w:val="28"/>
        </w:rPr>
      </w:pPr>
    </w:p>
    <w:p w14:paraId="29297393" w14:textId="77777777" w:rsidR="00F254B3" w:rsidRDefault="00F254B3" w:rsidP="00371455">
      <w:pPr>
        <w:pStyle w:val="Nadpis1"/>
        <w:spacing w:before="0" w:after="0"/>
        <w:jc w:val="center"/>
        <w:rPr>
          <w:rFonts w:asciiTheme="minorHAnsi" w:hAnsiTheme="minorHAnsi" w:cstheme="minorHAnsi"/>
          <w:sz w:val="28"/>
          <w:szCs w:val="28"/>
        </w:rPr>
      </w:pPr>
    </w:p>
    <w:p w14:paraId="1CE97F07" w14:textId="29792FBF" w:rsidR="001A05E4" w:rsidRPr="00CE0687" w:rsidRDefault="001A05E4" w:rsidP="00371455">
      <w:pPr>
        <w:pStyle w:val="Nadpis1"/>
        <w:spacing w:before="0" w:after="0"/>
        <w:jc w:val="center"/>
        <w:rPr>
          <w:rFonts w:asciiTheme="minorHAnsi" w:hAnsiTheme="minorHAnsi" w:cstheme="minorHAnsi"/>
          <w:sz w:val="28"/>
          <w:szCs w:val="28"/>
          <w:highlight w:val="yellow"/>
        </w:rPr>
      </w:pPr>
      <w:r w:rsidRPr="005834AC">
        <w:rPr>
          <w:rFonts w:asciiTheme="minorHAnsi" w:hAnsiTheme="minorHAnsi" w:cstheme="minorHAnsi"/>
          <w:sz w:val="28"/>
          <w:szCs w:val="28"/>
        </w:rPr>
        <w:t xml:space="preserve">IV. </w:t>
      </w:r>
      <w:r w:rsidR="004F7A7B" w:rsidRPr="004F7A7B">
        <w:rPr>
          <w:rFonts w:asciiTheme="minorHAnsi" w:hAnsiTheme="minorHAnsi" w:cstheme="minorHAnsi"/>
          <w:sz w:val="28"/>
          <w:szCs w:val="28"/>
        </w:rPr>
        <w:t>Podrobné skutečnosti zjištěné kontrolou</w:t>
      </w:r>
    </w:p>
    <w:p w14:paraId="44BAEAA9" w14:textId="3643A94B" w:rsidR="001A05E4" w:rsidRDefault="001A05E4" w:rsidP="001A05E4">
      <w:pPr>
        <w:keepNext/>
        <w:shd w:val="clear" w:color="auto" w:fill="FFFFFF"/>
        <w:ind w:right="6"/>
        <w:jc w:val="both"/>
        <w:rPr>
          <w:rFonts w:ascii="Calibri" w:hAnsi="Calibri"/>
        </w:rPr>
      </w:pPr>
    </w:p>
    <w:p w14:paraId="5CC26262" w14:textId="77777777" w:rsidR="00F254B3" w:rsidRPr="00C26E2B" w:rsidRDefault="00F254B3" w:rsidP="001A05E4">
      <w:pPr>
        <w:keepNext/>
        <w:shd w:val="clear" w:color="auto" w:fill="FFFFFF"/>
        <w:ind w:right="6"/>
        <w:jc w:val="both"/>
        <w:rPr>
          <w:rFonts w:ascii="Calibri" w:hAnsi="Calibri"/>
        </w:rPr>
      </w:pPr>
    </w:p>
    <w:p w14:paraId="51C93B4C" w14:textId="77777777" w:rsidR="001A05E4" w:rsidRPr="00C26E2B" w:rsidRDefault="001C196C" w:rsidP="00371455">
      <w:pPr>
        <w:pStyle w:val="Nadpis2"/>
        <w:numPr>
          <w:ilvl w:val="0"/>
          <w:numId w:val="29"/>
        </w:numPr>
        <w:pBdr>
          <w:bottom w:val="single" w:sz="12" w:space="1" w:color="BD2A33"/>
        </w:pBdr>
        <w:spacing w:before="0" w:after="0"/>
        <w:ind w:left="284" w:hanging="284"/>
        <w:jc w:val="both"/>
        <w:rPr>
          <w:rFonts w:asciiTheme="minorHAnsi" w:hAnsiTheme="minorHAnsi" w:cstheme="minorHAnsi"/>
          <w:i w:val="0"/>
          <w:sz w:val="24"/>
          <w:szCs w:val="24"/>
        </w:rPr>
      </w:pPr>
      <w:bookmarkStart w:id="14" w:name="_Hlk126752100"/>
      <w:r>
        <w:rPr>
          <w:rFonts w:asciiTheme="minorHAnsi" w:hAnsiTheme="minorHAnsi" w:cstheme="minorHAnsi"/>
          <w:i w:val="0"/>
          <w:sz w:val="24"/>
          <w:szCs w:val="24"/>
        </w:rPr>
        <w:t>Nekonzistentn</w:t>
      </w:r>
      <w:r w:rsidR="004A6327">
        <w:rPr>
          <w:rFonts w:asciiTheme="minorHAnsi" w:hAnsiTheme="minorHAnsi" w:cstheme="minorHAnsi"/>
          <w:i w:val="0"/>
          <w:sz w:val="24"/>
          <w:szCs w:val="24"/>
        </w:rPr>
        <w:t xml:space="preserve">í </w:t>
      </w:r>
      <w:r w:rsidR="00314A00">
        <w:rPr>
          <w:rFonts w:asciiTheme="minorHAnsi" w:hAnsiTheme="minorHAnsi" w:cstheme="minorHAnsi"/>
          <w:i w:val="0"/>
          <w:sz w:val="24"/>
          <w:szCs w:val="24"/>
        </w:rPr>
        <w:t>plán</w:t>
      </w:r>
      <w:r w:rsidR="000A666B">
        <w:rPr>
          <w:rFonts w:asciiTheme="minorHAnsi" w:hAnsiTheme="minorHAnsi" w:cstheme="minorHAnsi"/>
          <w:i w:val="0"/>
          <w:sz w:val="24"/>
          <w:szCs w:val="24"/>
        </w:rPr>
        <w:t>ování</w:t>
      </w:r>
      <w:r w:rsidR="00142886">
        <w:rPr>
          <w:rFonts w:asciiTheme="minorHAnsi" w:hAnsiTheme="minorHAnsi" w:cstheme="minorHAnsi"/>
          <w:i w:val="0"/>
          <w:sz w:val="24"/>
          <w:szCs w:val="24"/>
        </w:rPr>
        <w:t xml:space="preserve">, změny potřeb </w:t>
      </w:r>
      <w:r w:rsidR="005D3619">
        <w:rPr>
          <w:rFonts w:asciiTheme="minorHAnsi" w:hAnsiTheme="minorHAnsi" w:cstheme="minorHAnsi"/>
          <w:i w:val="0"/>
          <w:sz w:val="24"/>
          <w:szCs w:val="24"/>
        </w:rPr>
        <w:t>a zpo</w:t>
      </w:r>
      <w:r w:rsidR="00D95FE0">
        <w:rPr>
          <w:rFonts w:asciiTheme="minorHAnsi" w:hAnsiTheme="minorHAnsi" w:cstheme="minorHAnsi"/>
          <w:i w:val="0"/>
          <w:sz w:val="24"/>
          <w:szCs w:val="24"/>
        </w:rPr>
        <w:t>ž</w:t>
      </w:r>
      <w:r w:rsidR="005D3619">
        <w:rPr>
          <w:rFonts w:asciiTheme="minorHAnsi" w:hAnsiTheme="minorHAnsi" w:cstheme="minorHAnsi"/>
          <w:i w:val="0"/>
          <w:sz w:val="24"/>
          <w:szCs w:val="24"/>
        </w:rPr>
        <w:t>ďování</w:t>
      </w:r>
      <w:r w:rsidR="00FC670F">
        <w:rPr>
          <w:rFonts w:asciiTheme="minorHAnsi" w:hAnsiTheme="minorHAnsi" w:cstheme="minorHAnsi"/>
          <w:i w:val="0"/>
          <w:sz w:val="24"/>
          <w:szCs w:val="24"/>
        </w:rPr>
        <w:t xml:space="preserve"> </w:t>
      </w:r>
      <w:r w:rsidR="004A6327">
        <w:rPr>
          <w:rFonts w:asciiTheme="minorHAnsi" w:hAnsiTheme="minorHAnsi" w:cstheme="minorHAnsi"/>
          <w:i w:val="0"/>
          <w:sz w:val="24"/>
          <w:szCs w:val="24"/>
        </w:rPr>
        <w:t xml:space="preserve">nákupů automobilní techniky </w:t>
      </w:r>
    </w:p>
    <w:p w14:paraId="2FF4ADA6" w14:textId="4FDB4EFE" w:rsidR="00BE435A" w:rsidRDefault="00722505" w:rsidP="00891A4C">
      <w:pPr>
        <w:tabs>
          <w:tab w:val="left" w:pos="426"/>
        </w:tabs>
        <w:spacing w:before="120"/>
        <w:contextualSpacing/>
        <w:jc w:val="both"/>
        <w:rPr>
          <w:rFonts w:asciiTheme="minorHAnsi" w:hAnsiTheme="minorHAnsi" w:cstheme="minorHAnsi"/>
          <w:color w:val="000000"/>
        </w:rPr>
      </w:pPr>
      <w:r w:rsidRPr="00722505">
        <w:rPr>
          <w:rFonts w:asciiTheme="minorHAnsi" w:hAnsiTheme="minorHAnsi" w:cstheme="minorHAnsi"/>
          <w:b/>
          <w:color w:val="000000"/>
        </w:rPr>
        <w:t>4.1</w:t>
      </w:r>
      <w:r>
        <w:rPr>
          <w:rFonts w:asciiTheme="minorHAnsi" w:hAnsiTheme="minorHAnsi" w:cstheme="minorHAnsi"/>
          <w:color w:val="000000"/>
        </w:rPr>
        <w:t xml:space="preserve"> </w:t>
      </w:r>
      <w:r w:rsidR="00BE435A" w:rsidRPr="00314CDB">
        <w:rPr>
          <w:rFonts w:asciiTheme="minorHAnsi" w:hAnsiTheme="minorHAnsi" w:cstheme="minorHAnsi"/>
          <w:color w:val="000000"/>
        </w:rPr>
        <w:t>V koncepčních a strategických</w:t>
      </w:r>
      <w:r w:rsidR="00BE435A" w:rsidRPr="00BE435A">
        <w:rPr>
          <w:rFonts w:asciiTheme="minorHAnsi" w:hAnsiTheme="minorHAnsi" w:cstheme="minorHAnsi"/>
          <w:color w:val="000000"/>
        </w:rPr>
        <w:t xml:space="preserve"> dokumentech vymezilo </w:t>
      </w:r>
      <w:r w:rsidR="00314CDB" w:rsidRPr="00BE435A">
        <w:rPr>
          <w:rFonts w:asciiTheme="minorHAnsi" w:hAnsiTheme="minorHAnsi" w:cstheme="minorHAnsi"/>
          <w:color w:val="000000"/>
        </w:rPr>
        <w:t xml:space="preserve">MO </w:t>
      </w:r>
      <w:r w:rsidR="00BE435A" w:rsidRPr="00BE435A">
        <w:rPr>
          <w:rFonts w:asciiTheme="minorHAnsi" w:hAnsiTheme="minorHAnsi" w:cstheme="minorHAnsi"/>
          <w:color w:val="000000"/>
        </w:rPr>
        <w:t xml:space="preserve">specifické a termínované cíle </w:t>
      </w:r>
      <w:r w:rsidR="009C359A">
        <w:rPr>
          <w:rFonts w:asciiTheme="minorHAnsi" w:hAnsiTheme="minorHAnsi" w:cstheme="minorHAnsi"/>
          <w:color w:val="000000"/>
        </w:rPr>
        <w:t xml:space="preserve">především pro </w:t>
      </w:r>
      <w:r w:rsidR="00BE435A" w:rsidRPr="00BE435A">
        <w:rPr>
          <w:rFonts w:asciiTheme="minorHAnsi" w:hAnsiTheme="minorHAnsi" w:cstheme="minorHAnsi"/>
          <w:color w:val="000000"/>
        </w:rPr>
        <w:t>strategické a zvlášť významné projekty</w:t>
      </w:r>
      <w:r w:rsidR="009C359A">
        <w:rPr>
          <w:rFonts w:asciiTheme="minorHAnsi" w:hAnsiTheme="minorHAnsi" w:cstheme="minorHAnsi"/>
          <w:color w:val="000000"/>
        </w:rPr>
        <w:t xml:space="preserve"> na nákupy bojové techniky</w:t>
      </w:r>
      <w:r w:rsidR="00BE435A" w:rsidRPr="00BE435A">
        <w:rPr>
          <w:rFonts w:asciiTheme="minorHAnsi" w:hAnsiTheme="minorHAnsi" w:cstheme="minorHAnsi"/>
          <w:color w:val="000000"/>
        </w:rPr>
        <w:t>. Ve vztahu k</w:t>
      </w:r>
      <w:r w:rsidR="00BE435A">
        <w:rPr>
          <w:rFonts w:asciiTheme="minorHAnsi" w:hAnsiTheme="minorHAnsi" w:cstheme="minorHAnsi"/>
          <w:color w:val="000000"/>
        </w:rPr>
        <w:t> </w:t>
      </w:r>
      <w:r w:rsidR="00BE435A" w:rsidRPr="00891A4C">
        <w:rPr>
          <w:rFonts w:asciiTheme="minorHAnsi" w:hAnsiTheme="minorHAnsi" w:cstheme="minorHAnsi"/>
          <w:color w:val="000000"/>
        </w:rPr>
        <w:t>doplňování</w:t>
      </w:r>
      <w:r w:rsidR="00BE435A">
        <w:rPr>
          <w:rFonts w:asciiTheme="minorHAnsi" w:hAnsiTheme="minorHAnsi" w:cstheme="minorHAnsi"/>
          <w:color w:val="000000"/>
        </w:rPr>
        <w:t xml:space="preserve"> a obměně</w:t>
      </w:r>
      <w:r w:rsidR="00BE435A" w:rsidRPr="00891A4C">
        <w:rPr>
          <w:rFonts w:asciiTheme="minorHAnsi" w:hAnsiTheme="minorHAnsi" w:cstheme="minorHAnsi"/>
          <w:color w:val="000000"/>
        </w:rPr>
        <w:t xml:space="preserve"> </w:t>
      </w:r>
      <w:r w:rsidR="00BE435A" w:rsidRPr="00BE435A">
        <w:rPr>
          <w:rFonts w:asciiTheme="minorHAnsi" w:hAnsiTheme="minorHAnsi" w:cstheme="minorHAnsi"/>
          <w:color w:val="000000"/>
        </w:rPr>
        <w:t>automobilní techni</w:t>
      </w:r>
      <w:r w:rsidR="00BE435A">
        <w:rPr>
          <w:rFonts w:asciiTheme="minorHAnsi" w:hAnsiTheme="minorHAnsi" w:cstheme="minorHAnsi"/>
          <w:color w:val="000000"/>
        </w:rPr>
        <w:t>ky</w:t>
      </w:r>
      <w:r w:rsidR="00BE435A" w:rsidRPr="00BE435A">
        <w:rPr>
          <w:rFonts w:asciiTheme="minorHAnsi" w:hAnsiTheme="minorHAnsi" w:cstheme="minorHAnsi"/>
          <w:color w:val="000000"/>
        </w:rPr>
        <w:t xml:space="preserve"> v nich uvádělo obecné záměry a principy, například v </w:t>
      </w:r>
      <w:r w:rsidR="00BE435A" w:rsidRPr="00BE435A">
        <w:rPr>
          <w:rFonts w:asciiTheme="minorHAnsi" w:hAnsiTheme="minorHAnsi" w:cstheme="minorHAnsi"/>
          <w:i/>
          <w:color w:val="000000"/>
        </w:rPr>
        <w:t>Koncepci výstavby Armády České republiky 2025</w:t>
      </w:r>
      <w:r w:rsidR="00BE435A" w:rsidRPr="00BE435A">
        <w:rPr>
          <w:rFonts w:asciiTheme="minorHAnsi" w:hAnsiTheme="minorHAnsi" w:cstheme="minorHAnsi"/>
          <w:color w:val="000000"/>
        </w:rPr>
        <w:t xml:space="preserve"> v rámci milníku 2020 uvedlo jako prioritu </w:t>
      </w:r>
      <w:r w:rsidR="00BE435A" w:rsidRPr="009C5C4B">
        <w:rPr>
          <w:rFonts w:asciiTheme="minorHAnsi" w:hAnsiTheme="minorHAnsi" w:cstheme="minorHAnsi"/>
          <w:color w:val="000000"/>
        </w:rPr>
        <w:t>„</w:t>
      </w:r>
      <w:r w:rsidR="00BE435A" w:rsidRPr="00BE435A">
        <w:rPr>
          <w:rFonts w:asciiTheme="minorHAnsi" w:hAnsiTheme="minorHAnsi" w:cstheme="minorHAnsi"/>
          <w:i/>
          <w:color w:val="000000"/>
        </w:rPr>
        <w:t>náhradu vojenské techniky, která je na konci svého životního cyklu</w:t>
      </w:r>
      <w:r w:rsidR="00BE435A" w:rsidRPr="009C5C4B">
        <w:rPr>
          <w:rFonts w:asciiTheme="minorHAnsi" w:hAnsiTheme="minorHAnsi" w:cstheme="minorHAnsi"/>
          <w:color w:val="000000"/>
        </w:rPr>
        <w:t>“</w:t>
      </w:r>
      <w:r w:rsidR="00BE435A" w:rsidRPr="005F24AC">
        <w:rPr>
          <w:rFonts w:asciiTheme="minorHAnsi" w:hAnsiTheme="minorHAnsi" w:cstheme="minorHAnsi"/>
          <w:color w:val="000000"/>
        </w:rPr>
        <w:t>.</w:t>
      </w:r>
      <w:r w:rsidR="00BE435A" w:rsidRPr="00BE435A">
        <w:rPr>
          <w:rFonts w:asciiTheme="minorHAnsi" w:hAnsiTheme="minorHAnsi" w:cstheme="minorHAnsi"/>
          <w:color w:val="000000"/>
        </w:rPr>
        <w:t xml:space="preserve"> Podle </w:t>
      </w:r>
      <w:r w:rsidR="00BE435A" w:rsidRPr="00BE435A">
        <w:rPr>
          <w:rFonts w:asciiTheme="minorHAnsi" w:hAnsiTheme="minorHAnsi" w:cstheme="minorHAnsi"/>
          <w:i/>
          <w:color w:val="000000"/>
        </w:rPr>
        <w:t>Strategie vyzbrojování ozbrojených sil a podpory obranného průmyslu České republiky do roku 2030</w:t>
      </w:r>
      <w:r w:rsidR="00BE435A" w:rsidRPr="00BE435A">
        <w:rPr>
          <w:rFonts w:asciiTheme="minorHAnsi" w:hAnsiTheme="minorHAnsi" w:cstheme="minorHAnsi"/>
          <w:color w:val="000000"/>
        </w:rPr>
        <w:t xml:space="preserve"> </w:t>
      </w:r>
      <w:r w:rsidR="009C359A">
        <w:rPr>
          <w:rFonts w:asciiTheme="minorHAnsi" w:hAnsiTheme="minorHAnsi" w:cstheme="minorHAnsi"/>
          <w:color w:val="000000"/>
        </w:rPr>
        <w:t xml:space="preserve">mělo být </w:t>
      </w:r>
      <w:r w:rsidR="00BE435A" w:rsidRPr="00BE435A">
        <w:rPr>
          <w:rFonts w:asciiTheme="minorHAnsi" w:hAnsiTheme="minorHAnsi" w:cstheme="minorHAnsi"/>
          <w:color w:val="000000"/>
        </w:rPr>
        <w:t xml:space="preserve">pořizování majetku MO mj. včasné, bezpečné a zároveň koncepční. Konkrétní potřeby v oblasti nákupů automobilní techniky určovalo </w:t>
      </w:r>
      <w:r w:rsidR="00E92E25">
        <w:rPr>
          <w:rFonts w:asciiTheme="minorHAnsi" w:hAnsiTheme="minorHAnsi" w:cstheme="minorHAnsi"/>
          <w:color w:val="000000"/>
        </w:rPr>
        <w:t xml:space="preserve">MO </w:t>
      </w:r>
      <w:r w:rsidR="00BE435A" w:rsidRPr="00BE435A">
        <w:rPr>
          <w:rFonts w:asciiTheme="minorHAnsi" w:hAnsiTheme="minorHAnsi" w:cstheme="minorHAnsi"/>
          <w:color w:val="000000"/>
        </w:rPr>
        <w:t>v plánovacích dokumentech, zejména ve střednědobých a akvizičních plánech a</w:t>
      </w:r>
      <w:r w:rsidR="00BE435A">
        <w:rPr>
          <w:rFonts w:asciiTheme="minorHAnsi" w:hAnsiTheme="minorHAnsi" w:cstheme="minorHAnsi"/>
          <w:color w:val="000000"/>
        </w:rPr>
        <w:t> </w:t>
      </w:r>
      <w:r w:rsidR="00BE435A" w:rsidRPr="00BE435A">
        <w:rPr>
          <w:rFonts w:asciiTheme="minorHAnsi" w:hAnsiTheme="minorHAnsi" w:cstheme="minorHAnsi"/>
          <w:color w:val="000000"/>
        </w:rPr>
        <w:t>dokumentacích programů</w:t>
      </w:r>
      <w:r w:rsidR="002A7A6A">
        <w:rPr>
          <w:rFonts w:asciiTheme="minorHAnsi" w:hAnsiTheme="minorHAnsi" w:cstheme="minorHAnsi"/>
          <w:color w:val="000000"/>
        </w:rPr>
        <w:t>.</w:t>
      </w:r>
    </w:p>
    <w:p w14:paraId="58B68761" w14:textId="2B72558B" w:rsidR="004F6AAE" w:rsidRDefault="00722505" w:rsidP="00A25D39">
      <w:pPr>
        <w:spacing w:before="120" w:after="120"/>
        <w:jc w:val="both"/>
        <w:rPr>
          <w:rFonts w:ascii="Calibri" w:hAnsi="Calibri"/>
        </w:rPr>
      </w:pPr>
      <w:r w:rsidRPr="00722505">
        <w:rPr>
          <w:rFonts w:asciiTheme="minorHAnsi" w:hAnsiTheme="minorHAnsi" w:cstheme="minorHAnsi"/>
          <w:b/>
          <w:color w:val="000000"/>
        </w:rPr>
        <w:t>4.</w:t>
      </w:r>
      <w:r w:rsidR="00454342">
        <w:rPr>
          <w:rFonts w:asciiTheme="minorHAnsi" w:hAnsiTheme="minorHAnsi" w:cstheme="minorHAnsi"/>
          <w:b/>
          <w:color w:val="000000"/>
        </w:rPr>
        <w:t>2</w:t>
      </w:r>
      <w:r>
        <w:rPr>
          <w:rFonts w:asciiTheme="minorHAnsi" w:hAnsiTheme="minorHAnsi" w:cstheme="minorHAnsi"/>
          <w:color w:val="000000"/>
        </w:rPr>
        <w:t xml:space="preserve"> </w:t>
      </w:r>
      <w:r w:rsidR="00640AF7" w:rsidRPr="003C2D54">
        <w:rPr>
          <w:rFonts w:ascii="Calibri" w:hAnsi="Calibri"/>
        </w:rPr>
        <w:t xml:space="preserve">NKÚ </w:t>
      </w:r>
      <w:r w:rsidR="009E6F77" w:rsidRPr="00815D2D">
        <w:rPr>
          <w:rFonts w:ascii="Calibri" w:hAnsi="Calibri"/>
        </w:rPr>
        <w:t xml:space="preserve">prověřil plánování vybraných </w:t>
      </w:r>
      <w:r w:rsidR="0046274A" w:rsidRPr="00815D2D">
        <w:rPr>
          <w:rFonts w:ascii="Calibri" w:hAnsi="Calibri"/>
        </w:rPr>
        <w:t>nákupů</w:t>
      </w:r>
      <w:r w:rsidR="007F58EB">
        <w:rPr>
          <w:rFonts w:ascii="Calibri" w:hAnsi="Calibri"/>
        </w:rPr>
        <w:t>, jejichž předpokládané výdaje byly finančně významné</w:t>
      </w:r>
      <w:r w:rsidR="009E6F77" w:rsidRPr="00815D2D">
        <w:rPr>
          <w:rFonts w:ascii="Calibri" w:hAnsi="Calibri"/>
        </w:rPr>
        <w:t xml:space="preserve">. </w:t>
      </w:r>
      <w:r w:rsidR="003C2D54" w:rsidRPr="00815D2D">
        <w:rPr>
          <w:rFonts w:ascii="Calibri" w:hAnsi="Calibri"/>
        </w:rPr>
        <w:t>Účelem</w:t>
      </w:r>
      <w:r w:rsidR="003C2D54" w:rsidRPr="003C2D54">
        <w:rPr>
          <w:rFonts w:ascii="Calibri" w:hAnsi="Calibri"/>
        </w:rPr>
        <w:t xml:space="preserve"> </w:t>
      </w:r>
      <w:r w:rsidR="007F58EB">
        <w:rPr>
          <w:rFonts w:ascii="Calibri" w:hAnsi="Calibri"/>
        </w:rPr>
        <w:t xml:space="preserve">těchto </w:t>
      </w:r>
      <w:r w:rsidR="003C2D54" w:rsidRPr="003C2D54">
        <w:rPr>
          <w:rFonts w:ascii="Calibri" w:hAnsi="Calibri"/>
        </w:rPr>
        <w:t xml:space="preserve">nákupů bylo </w:t>
      </w:r>
      <w:r w:rsidR="009E6F77" w:rsidRPr="003C2D54">
        <w:rPr>
          <w:rFonts w:ascii="Calibri" w:hAnsi="Calibri"/>
        </w:rPr>
        <w:t xml:space="preserve">doplnění </w:t>
      </w:r>
      <w:r w:rsidR="007F58EB">
        <w:rPr>
          <w:rFonts w:ascii="Calibri" w:hAnsi="Calibri"/>
        </w:rPr>
        <w:t xml:space="preserve">automobilní </w:t>
      </w:r>
      <w:r w:rsidR="009E6F77" w:rsidRPr="003C2D54">
        <w:rPr>
          <w:rFonts w:ascii="Calibri" w:hAnsi="Calibri"/>
        </w:rPr>
        <w:t>techniky na tabulkové počty</w:t>
      </w:r>
      <w:r w:rsidR="009E6F77" w:rsidRPr="003C2D54">
        <w:rPr>
          <w:rStyle w:val="Znakapoznpodarou"/>
          <w:rFonts w:ascii="Calibri" w:hAnsi="Calibri"/>
        </w:rPr>
        <w:footnoteReference w:id="32"/>
      </w:r>
      <w:r w:rsidR="009E6F77" w:rsidRPr="003C2D54">
        <w:rPr>
          <w:rFonts w:ascii="Calibri" w:hAnsi="Calibri"/>
        </w:rPr>
        <w:t>, popř</w:t>
      </w:r>
      <w:r w:rsidR="003F7CAA">
        <w:rPr>
          <w:rFonts w:ascii="Calibri" w:hAnsi="Calibri"/>
        </w:rPr>
        <w:t>ípadě</w:t>
      </w:r>
      <w:r w:rsidR="003C2D54" w:rsidRPr="003C2D54">
        <w:rPr>
          <w:rFonts w:ascii="Calibri" w:hAnsi="Calibri"/>
        </w:rPr>
        <w:t xml:space="preserve"> </w:t>
      </w:r>
      <w:r w:rsidR="00525E49">
        <w:rPr>
          <w:rFonts w:ascii="Calibri" w:hAnsi="Calibri"/>
        </w:rPr>
        <w:t>obměna</w:t>
      </w:r>
      <w:r w:rsidR="009E6F77" w:rsidRPr="003C2D54">
        <w:rPr>
          <w:rFonts w:ascii="Calibri" w:hAnsi="Calibri"/>
        </w:rPr>
        <w:t xml:space="preserve"> zastaralé techniky s překročenou životností. </w:t>
      </w:r>
      <w:r w:rsidR="003C2D54">
        <w:rPr>
          <w:rFonts w:ascii="Calibri" w:hAnsi="Calibri"/>
        </w:rPr>
        <w:t xml:space="preserve">Jednalo se </w:t>
      </w:r>
      <w:r w:rsidR="003F7CAA">
        <w:rPr>
          <w:rFonts w:ascii="Calibri" w:hAnsi="Calibri"/>
        </w:rPr>
        <w:t xml:space="preserve">například o osobní a nákladní terénní automobily, </w:t>
      </w:r>
      <w:r w:rsidR="00525E49">
        <w:rPr>
          <w:rFonts w:ascii="Calibri" w:hAnsi="Calibri"/>
        </w:rPr>
        <w:t xml:space="preserve">cisternové </w:t>
      </w:r>
      <w:r w:rsidR="003F7CAA">
        <w:rPr>
          <w:rFonts w:ascii="Calibri" w:hAnsi="Calibri"/>
        </w:rPr>
        <w:t>a</w:t>
      </w:r>
      <w:r w:rsidR="00E92E25">
        <w:rPr>
          <w:rFonts w:ascii="Calibri" w:hAnsi="Calibri"/>
        </w:rPr>
        <w:t xml:space="preserve"> </w:t>
      </w:r>
      <w:r w:rsidR="00525E49">
        <w:rPr>
          <w:rFonts w:ascii="Calibri" w:hAnsi="Calibri"/>
        </w:rPr>
        <w:t>vyprošťovací</w:t>
      </w:r>
      <w:r w:rsidR="003F7CAA">
        <w:rPr>
          <w:rFonts w:ascii="Calibri" w:hAnsi="Calibri"/>
        </w:rPr>
        <w:t xml:space="preserve"> automobily, </w:t>
      </w:r>
      <w:r w:rsidR="001C189B">
        <w:rPr>
          <w:rFonts w:ascii="Calibri" w:hAnsi="Calibri"/>
        </w:rPr>
        <w:t xml:space="preserve">automobilní </w:t>
      </w:r>
      <w:r w:rsidR="00794583">
        <w:rPr>
          <w:rFonts w:ascii="Calibri" w:hAnsi="Calibri"/>
        </w:rPr>
        <w:t xml:space="preserve">jeřáby, </w:t>
      </w:r>
      <w:r w:rsidR="003F7CAA">
        <w:rPr>
          <w:rFonts w:ascii="Calibri" w:hAnsi="Calibri"/>
        </w:rPr>
        <w:t xml:space="preserve">kontejnerové nakladače </w:t>
      </w:r>
      <w:r w:rsidR="009C359A">
        <w:rPr>
          <w:rFonts w:ascii="Calibri" w:hAnsi="Calibri"/>
        </w:rPr>
        <w:t>a</w:t>
      </w:r>
      <w:r w:rsidR="003F7CAA">
        <w:rPr>
          <w:rFonts w:ascii="Calibri" w:hAnsi="Calibri"/>
        </w:rPr>
        <w:t xml:space="preserve"> zdravotnická vozidla.</w:t>
      </w:r>
    </w:p>
    <w:p w14:paraId="6D74786A" w14:textId="4236ECE8" w:rsidR="00F95ADB" w:rsidRDefault="00722505" w:rsidP="007F58EB">
      <w:pPr>
        <w:spacing w:before="120" w:after="120"/>
        <w:jc w:val="both"/>
        <w:rPr>
          <w:rFonts w:asciiTheme="minorHAnsi" w:hAnsiTheme="minorHAnsi" w:cstheme="minorHAnsi"/>
        </w:rPr>
      </w:pPr>
      <w:r w:rsidRPr="00722505">
        <w:rPr>
          <w:rFonts w:asciiTheme="minorHAnsi" w:hAnsiTheme="minorHAnsi" w:cstheme="minorHAnsi"/>
          <w:b/>
          <w:color w:val="000000"/>
        </w:rPr>
        <w:t>4.</w:t>
      </w:r>
      <w:r w:rsidR="007F58EB">
        <w:rPr>
          <w:rFonts w:asciiTheme="minorHAnsi" w:hAnsiTheme="minorHAnsi" w:cstheme="minorHAnsi"/>
          <w:b/>
          <w:color w:val="000000"/>
        </w:rPr>
        <w:t>3</w:t>
      </w:r>
      <w:r>
        <w:rPr>
          <w:rFonts w:asciiTheme="minorHAnsi" w:hAnsiTheme="minorHAnsi" w:cstheme="minorHAnsi"/>
          <w:b/>
          <w:color w:val="000000"/>
        </w:rPr>
        <w:t xml:space="preserve"> </w:t>
      </w:r>
      <w:r w:rsidR="003C2D54" w:rsidRPr="00503BBF">
        <w:rPr>
          <w:rFonts w:ascii="Calibri" w:hAnsi="Calibri"/>
        </w:rPr>
        <w:t xml:space="preserve">NKÚ zjistil, že </w:t>
      </w:r>
      <w:r w:rsidR="003F7CAA" w:rsidRPr="00503BBF">
        <w:rPr>
          <w:rFonts w:ascii="Calibri" w:hAnsi="Calibri"/>
        </w:rPr>
        <w:t>p</w:t>
      </w:r>
      <w:r w:rsidR="003C5389" w:rsidRPr="00503BBF">
        <w:rPr>
          <w:rFonts w:asciiTheme="minorHAnsi" w:hAnsiTheme="minorHAnsi" w:cstheme="minorHAnsi"/>
        </w:rPr>
        <w:t>rovázanost</w:t>
      </w:r>
      <w:r w:rsidR="00724FA2">
        <w:rPr>
          <w:rFonts w:asciiTheme="minorHAnsi" w:hAnsiTheme="minorHAnsi" w:cstheme="minorHAnsi"/>
        </w:rPr>
        <w:t xml:space="preserve"> údajů </w:t>
      </w:r>
      <w:r w:rsidR="00924E57">
        <w:rPr>
          <w:rFonts w:asciiTheme="minorHAnsi" w:hAnsiTheme="minorHAnsi" w:cstheme="minorHAnsi"/>
        </w:rPr>
        <w:t xml:space="preserve">uvedených </w:t>
      </w:r>
      <w:r w:rsidR="00724FA2">
        <w:rPr>
          <w:rFonts w:asciiTheme="minorHAnsi" w:hAnsiTheme="minorHAnsi" w:cstheme="minorHAnsi"/>
        </w:rPr>
        <w:t xml:space="preserve">v </w:t>
      </w:r>
      <w:r w:rsidR="003F7CAA" w:rsidRPr="00503BBF">
        <w:rPr>
          <w:rFonts w:asciiTheme="minorHAnsi" w:hAnsiTheme="minorHAnsi" w:cstheme="minorHAnsi"/>
        </w:rPr>
        <w:t xml:space="preserve">jednotlivých </w:t>
      </w:r>
      <w:r w:rsidR="003C5389" w:rsidRPr="00503BBF">
        <w:rPr>
          <w:rFonts w:asciiTheme="minorHAnsi" w:hAnsiTheme="minorHAnsi" w:cstheme="minorHAnsi"/>
        </w:rPr>
        <w:t>střednědobých a</w:t>
      </w:r>
      <w:r w:rsidR="00E92E25">
        <w:rPr>
          <w:rFonts w:asciiTheme="minorHAnsi" w:hAnsiTheme="minorHAnsi" w:cstheme="minorHAnsi"/>
        </w:rPr>
        <w:t xml:space="preserve"> </w:t>
      </w:r>
      <w:r w:rsidR="003C5389" w:rsidRPr="00503BBF">
        <w:rPr>
          <w:rFonts w:asciiTheme="minorHAnsi" w:hAnsiTheme="minorHAnsi" w:cstheme="minorHAnsi"/>
        </w:rPr>
        <w:t>akvizičních plán</w:t>
      </w:r>
      <w:r w:rsidR="00724FA2">
        <w:rPr>
          <w:rFonts w:asciiTheme="minorHAnsi" w:hAnsiTheme="minorHAnsi" w:cstheme="minorHAnsi"/>
        </w:rPr>
        <w:t>ech</w:t>
      </w:r>
      <w:r w:rsidR="003C5389" w:rsidRPr="00503BBF">
        <w:rPr>
          <w:rFonts w:asciiTheme="minorHAnsi" w:hAnsiTheme="minorHAnsi" w:cstheme="minorHAnsi"/>
        </w:rPr>
        <w:t xml:space="preserve"> </w:t>
      </w:r>
      <w:r w:rsidR="00A25D39" w:rsidRPr="00503BBF">
        <w:rPr>
          <w:rFonts w:asciiTheme="minorHAnsi" w:hAnsiTheme="minorHAnsi" w:cstheme="minorHAnsi"/>
        </w:rPr>
        <w:t>byla</w:t>
      </w:r>
      <w:r w:rsidR="003C5389" w:rsidRPr="00503BBF">
        <w:rPr>
          <w:rFonts w:asciiTheme="minorHAnsi" w:hAnsiTheme="minorHAnsi" w:cstheme="minorHAnsi"/>
        </w:rPr>
        <w:t xml:space="preserve"> pouze částečná. </w:t>
      </w:r>
      <w:r w:rsidR="0046274A">
        <w:rPr>
          <w:rFonts w:asciiTheme="minorHAnsi" w:hAnsiTheme="minorHAnsi" w:cstheme="minorHAnsi"/>
        </w:rPr>
        <w:t>D</w:t>
      </w:r>
      <w:r w:rsidR="0046274A" w:rsidRPr="00503BBF">
        <w:rPr>
          <w:rFonts w:asciiTheme="minorHAnsi" w:hAnsiTheme="minorHAnsi" w:cstheme="minorHAnsi"/>
        </w:rPr>
        <w:t xml:space="preserve">ruhy </w:t>
      </w:r>
      <w:r w:rsidR="0046274A">
        <w:rPr>
          <w:rFonts w:asciiTheme="minorHAnsi" w:hAnsiTheme="minorHAnsi" w:cstheme="minorHAnsi"/>
        </w:rPr>
        <w:t xml:space="preserve">automobilní </w:t>
      </w:r>
      <w:r w:rsidR="0046274A" w:rsidRPr="00503BBF">
        <w:rPr>
          <w:rFonts w:asciiTheme="minorHAnsi" w:hAnsiTheme="minorHAnsi" w:cstheme="minorHAnsi"/>
        </w:rPr>
        <w:t xml:space="preserve">techniky </w:t>
      </w:r>
      <w:r w:rsidR="0046274A">
        <w:rPr>
          <w:rFonts w:asciiTheme="minorHAnsi" w:hAnsiTheme="minorHAnsi" w:cstheme="minorHAnsi"/>
        </w:rPr>
        <w:t>se z</w:t>
      </w:r>
      <w:r w:rsidR="00A25D39" w:rsidRPr="00503BBF">
        <w:rPr>
          <w:rFonts w:asciiTheme="minorHAnsi" w:hAnsiTheme="minorHAnsi" w:cstheme="minorHAnsi"/>
        </w:rPr>
        <w:t>pravidla s</w:t>
      </w:r>
      <w:r w:rsidR="003C5389" w:rsidRPr="00503BBF">
        <w:rPr>
          <w:rFonts w:asciiTheme="minorHAnsi" w:hAnsiTheme="minorHAnsi" w:cstheme="minorHAnsi"/>
        </w:rPr>
        <w:t>hod</w:t>
      </w:r>
      <w:r w:rsidR="00A25D39" w:rsidRPr="00503BBF">
        <w:rPr>
          <w:rFonts w:asciiTheme="minorHAnsi" w:hAnsiTheme="minorHAnsi" w:cstheme="minorHAnsi"/>
        </w:rPr>
        <w:t>ovaly</w:t>
      </w:r>
      <w:r w:rsidR="003C5389" w:rsidRPr="00503BBF">
        <w:rPr>
          <w:rFonts w:asciiTheme="minorHAnsi" w:hAnsiTheme="minorHAnsi" w:cstheme="minorHAnsi"/>
        </w:rPr>
        <w:t xml:space="preserve">, avšak </w:t>
      </w:r>
      <w:r w:rsidR="00AA7CD4">
        <w:rPr>
          <w:rFonts w:asciiTheme="minorHAnsi" w:hAnsiTheme="minorHAnsi" w:cstheme="minorHAnsi"/>
        </w:rPr>
        <w:t>lišily</w:t>
      </w:r>
      <w:r w:rsidR="003C5389" w:rsidRPr="00503BBF">
        <w:rPr>
          <w:rFonts w:asciiTheme="minorHAnsi" w:hAnsiTheme="minorHAnsi" w:cstheme="minorHAnsi"/>
        </w:rPr>
        <w:t xml:space="preserve"> se počty</w:t>
      </w:r>
      <w:r w:rsidR="00E92E25">
        <w:rPr>
          <w:rFonts w:asciiTheme="minorHAnsi" w:hAnsiTheme="minorHAnsi" w:cstheme="minorHAnsi"/>
        </w:rPr>
        <w:t xml:space="preserve">, </w:t>
      </w:r>
      <w:r w:rsidR="00A25D39" w:rsidRPr="00503BBF">
        <w:rPr>
          <w:rFonts w:asciiTheme="minorHAnsi" w:hAnsiTheme="minorHAnsi" w:cstheme="minorHAnsi"/>
        </w:rPr>
        <w:t>někdy i typy</w:t>
      </w:r>
      <w:r w:rsidR="00503BBF">
        <w:rPr>
          <w:rFonts w:asciiTheme="minorHAnsi" w:hAnsiTheme="minorHAnsi" w:cstheme="minorHAnsi"/>
        </w:rPr>
        <w:t xml:space="preserve"> </w:t>
      </w:r>
      <w:r w:rsidR="00A25D39" w:rsidRPr="00503BBF">
        <w:rPr>
          <w:rFonts w:asciiTheme="minorHAnsi" w:hAnsiTheme="minorHAnsi" w:cstheme="minorHAnsi"/>
        </w:rPr>
        <w:t>techniky</w:t>
      </w:r>
      <w:r w:rsidR="00F95ADB">
        <w:rPr>
          <w:rFonts w:asciiTheme="minorHAnsi" w:hAnsiTheme="minorHAnsi" w:cstheme="minorHAnsi"/>
        </w:rPr>
        <w:t xml:space="preserve"> </w:t>
      </w:r>
      <w:r w:rsidR="00E92E25">
        <w:rPr>
          <w:rFonts w:asciiTheme="minorHAnsi" w:hAnsiTheme="minorHAnsi" w:cstheme="minorHAnsi"/>
        </w:rPr>
        <w:t>nebo</w:t>
      </w:r>
      <w:r w:rsidR="0046274A">
        <w:rPr>
          <w:rFonts w:asciiTheme="minorHAnsi" w:hAnsiTheme="minorHAnsi" w:cstheme="minorHAnsi"/>
        </w:rPr>
        <w:t xml:space="preserve"> </w:t>
      </w:r>
      <w:r w:rsidR="003C5389" w:rsidRPr="00503BBF">
        <w:rPr>
          <w:rFonts w:asciiTheme="minorHAnsi" w:hAnsiTheme="minorHAnsi" w:cstheme="minorHAnsi"/>
        </w:rPr>
        <w:t>výše plánovaných peněžních prostředků</w:t>
      </w:r>
      <w:r w:rsidR="00F95ADB">
        <w:rPr>
          <w:rFonts w:asciiTheme="minorHAnsi" w:hAnsiTheme="minorHAnsi" w:cstheme="minorHAnsi"/>
        </w:rPr>
        <w:t xml:space="preserve"> a p</w:t>
      </w:r>
      <w:r w:rsidR="00503BBF">
        <w:rPr>
          <w:rFonts w:asciiTheme="minorHAnsi" w:hAnsiTheme="minorHAnsi" w:cstheme="minorHAnsi"/>
        </w:rPr>
        <w:t xml:space="preserve">osouvaly se termíny </w:t>
      </w:r>
      <w:r w:rsidR="002F7786">
        <w:rPr>
          <w:rFonts w:asciiTheme="minorHAnsi" w:hAnsiTheme="minorHAnsi" w:cstheme="minorHAnsi"/>
        </w:rPr>
        <w:t>realizace</w:t>
      </w:r>
      <w:r w:rsidR="003C5389" w:rsidRPr="00503BBF">
        <w:rPr>
          <w:rFonts w:asciiTheme="minorHAnsi" w:hAnsiTheme="minorHAnsi" w:cstheme="minorHAnsi"/>
        </w:rPr>
        <w:t xml:space="preserve">. </w:t>
      </w:r>
      <w:r w:rsidR="000E55A4" w:rsidRPr="00503BBF">
        <w:rPr>
          <w:rFonts w:asciiTheme="minorHAnsi" w:hAnsiTheme="minorHAnsi" w:cstheme="minorHAnsi"/>
        </w:rPr>
        <w:t xml:space="preserve">Provázanost finančně významných akcí na pořízení automobilní techniky </w:t>
      </w:r>
      <w:r w:rsidR="00503BBF" w:rsidRPr="00503BBF">
        <w:rPr>
          <w:rFonts w:asciiTheme="minorHAnsi" w:hAnsiTheme="minorHAnsi" w:cstheme="minorHAnsi"/>
        </w:rPr>
        <w:t xml:space="preserve">uvedených v dokumentaci programu </w:t>
      </w:r>
      <w:r w:rsidR="000E55A4" w:rsidRPr="00503BBF">
        <w:rPr>
          <w:rFonts w:asciiTheme="minorHAnsi" w:hAnsiTheme="minorHAnsi" w:cstheme="minorHAnsi"/>
        </w:rPr>
        <w:t xml:space="preserve">107 690 </w:t>
      </w:r>
      <w:r w:rsidR="00503BBF" w:rsidRPr="00503BBF">
        <w:rPr>
          <w:rFonts w:asciiTheme="minorHAnsi" w:hAnsiTheme="minorHAnsi" w:cstheme="minorHAnsi"/>
        </w:rPr>
        <w:t xml:space="preserve">s nákupy dle </w:t>
      </w:r>
      <w:r w:rsidR="000E55A4" w:rsidRPr="00503BBF">
        <w:rPr>
          <w:rFonts w:asciiTheme="minorHAnsi" w:hAnsiTheme="minorHAnsi" w:cstheme="minorHAnsi"/>
        </w:rPr>
        <w:t xml:space="preserve">střednědobých plánů </w:t>
      </w:r>
      <w:r w:rsidR="00A25D39" w:rsidRPr="00503BBF">
        <w:rPr>
          <w:rFonts w:asciiTheme="minorHAnsi" w:hAnsiTheme="minorHAnsi" w:cstheme="minorHAnsi"/>
        </w:rPr>
        <w:t xml:space="preserve">byla </w:t>
      </w:r>
      <w:r w:rsidR="00503BBF" w:rsidRPr="00503BBF">
        <w:rPr>
          <w:rFonts w:asciiTheme="minorHAnsi" w:hAnsiTheme="minorHAnsi" w:cstheme="minorHAnsi"/>
        </w:rPr>
        <w:t xml:space="preserve">rovněž pouze </w:t>
      </w:r>
      <w:r w:rsidR="000E55A4" w:rsidRPr="00503BBF">
        <w:rPr>
          <w:rFonts w:asciiTheme="minorHAnsi" w:hAnsiTheme="minorHAnsi" w:cstheme="minorHAnsi"/>
        </w:rPr>
        <w:t>částečná</w:t>
      </w:r>
      <w:r w:rsidR="000E55A4" w:rsidRPr="007F58EB">
        <w:rPr>
          <w:rFonts w:asciiTheme="minorHAnsi" w:hAnsiTheme="minorHAnsi" w:cstheme="minorHAnsi"/>
        </w:rPr>
        <w:t>.</w:t>
      </w:r>
      <w:bookmarkStart w:id="15" w:name="_Hlk129181077"/>
      <w:r w:rsidR="00F95ADB">
        <w:rPr>
          <w:rFonts w:asciiTheme="minorHAnsi" w:hAnsiTheme="minorHAnsi" w:cstheme="minorHAnsi"/>
        </w:rPr>
        <w:t xml:space="preserve"> </w:t>
      </w:r>
      <w:r w:rsidR="00062BA6">
        <w:rPr>
          <w:rFonts w:asciiTheme="minorHAnsi" w:hAnsiTheme="minorHAnsi" w:cstheme="minorHAnsi"/>
        </w:rPr>
        <w:t>Jednotlivé plány</w:t>
      </w:r>
      <w:r w:rsidR="00525E49" w:rsidRPr="007F58EB">
        <w:rPr>
          <w:rFonts w:asciiTheme="minorHAnsi" w:hAnsiTheme="minorHAnsi" w:cstheme="minorHAnsi"/>
        </w:rPr>
        <w:t xml:space="preserve"> a dokumentace programů </w:t>
      </w:r>
      <w:r w:rsidR="0046274A" w:rsidRPr="007F58EB">
        <w:rPr>
          <w:rFonts w:asciiTheme="minorHAnsi" w:hAnsiTheme="minorHAnsi" w:cstheme="minorHAnsi"/>
        </w:rPr>
        <w:t xml:space="preserve">tak </w:t>
      </w:r>
      <w:r w:rsidR="00525E49" w:rsidRPr="007F58EB">
        <w:rPr>
          <w:rFonts w:asciiTheme="minorHAnsi" w:hAnsiTheme="minorHAnsi" w:cstheme="minorHAnsi"/>
        </w:rPr>
        <w:t>nebyly v případě nákupů automobilní techniky vzájemně konzistentní</w:t>
      </w:r>
      <w:bookmarkEnd w:id="15"/>
      <w:r w:rsidR="00525E49" w:rsidRPr="007F58EB">
        <w:rPr>
          <w:rFonts w:asciiTheme="minorHAnsi" w:hAnsiTheme="minorHAnsi" w:cstheme="minorHAnsi"/>
        </w:rPr>
        <w:t>,</w:t>
      </w:r>
      <w:r w:rsidR="00525E49">
        <w:rPr>
          <w:rFonts w:asciiTheme="minorHAnsi" w:hAnsiTheme="minorHAnsi" w:cstheme="minorHAnsi"/>
        </w:rPr>
        <w:t xml:space="preserve"> jejich údaje nenavazovaly v oblasti plánovaných výdajů a počtů techniky ani v oblasti předpokládaných termínů realizace nákupů.</w:t>
      </w:r>
      <w:r w:rsidR="00F95ADB">
        <w:rPr>
          <w:rFonts w:asciiTheme="minorHAnsi" w:hAnsiTheme="minorHAnsi" w:cstheme="minorHAnsi"/>
        </w:rPr>
        <w:t xml:space="preserve"> MO změny neodůvodňovalo.</w:t>
      </w:r>
    </w:p>
    <w:p w14:paraId="3264D37D" w14:textId="16864ACE" w:rsidR="00F254B3" w:rsidRDefault="007F58EB" w:rsidP="00561746">
      <w:pPr>
        <w:spacing w:before="120" w:after="120"/>
        <w:jc w:val="both"/>
        <w:rPr>
          <w:rFonts w:asciiTheme="minorHAnsi" w:hAnsiTheme="minorHAnsi" w:cstheme="minorHAnsi"/>
        </w:rPr>
      </w:pPr>
      <w:r w:rsidRPr="007D513E">
        <w:rPr>
          <w:rFonts w:asciiTheme="minorHAnsi" w:hAnsiTheme="minorHAnsi" w:cstheme="minorHAnsi"/>
          <w:b/>
          <w:color w:val="000000"/>
        </w:rPr>
        <w:t>4.4</w:t>
      </w:r>
      <w:r w:rsidRPr="007D513E">
        <w:rPr>
          <w:rFonts w:asciiTheme="minorHAnsi" w:hAnsiTheme="minorHAnsi" w:cstheme="minorHAnsi"/>
          <w:color w:val="000000"/>
        </w:rPr>
        <w:t xml:space="preserve"> </w:t>
      </w:r>
      <w:r w:rsidR="0007634F" w:rsidRPr="007D513E">
        <w:rPr>
          <w:rFonts w:asciiTheme="minorHAnsi" w:hAnsiTheme="minorHAnsi" w:cstheme="minorHAnsi"/>
          <w:color w:val="000000"/>
        </w:rPr>
        <w:t xml:space="preserve">NKÚ dále zjistil, že téměř </w:t>
      </w:r>
      <w:r w:rsidRPr="00561746">
        <w:rPr>
          <w:rFonts w:asciiTheme="minorHAnsi" w:hAnsiTheme="minorHAnsi" w:cstheme="minorHAnsi"/>
        </w:rPr>
        <w:t xml:space="preserve">dvě třetiny automobilní techniky </w:t>
      </w:r>
      <w:r w:rsidR="0007634F" w:rsidRPr="007D513E">
        <w:rPr>
          <w:rFonts w:asciiTheme="minorHAnsi" w:hAnsiTheme="minorHAnsi" w:cstheme="minorHAnsi"/>
          <w:color w:val="000000"/>
        </w:rPr>
        <w:t xml:space="preserve">měly ke konci roku 2021 </w:t>
      </w:r>
      <w:r w:rsidRPr="00561746">
        <w:rPr>
          <w:rFonts w:asciiTheme="minorHAnsi" w:hAnsiTheme="minorHAnsi" w:cstheme="minorHAnsi"/>
        </w:rPr>
        <w:t xml:space="preserve">překročenou </w:t>
      </w:r>
      <w:r w:rsidR="0007634F" w:rsidRPr="00561746">
        <w:rPr>
          <w:rFonts w:asciiTheme="minorHAnsi" w:hAnsiTheme="minorHAnsi" w:cstheme="minorHAnsi"/>
        </w:rPr>
        <w:t xml:space="preserve">dobu </w:t>
      </w:r>
      <w:r w:rsidRPr="00561746">
        <w:rPr>
          <w:rFonts w:asciiTheme="minorHAnsi" w:hAnsiTheme="minorHAnsi" w:cstheme="minorHAnsi"/>
        </w:rPr>
        <w:t>životnost</w:t>
      </w:r>
      <w:r w:rsidR="0007634F" w:rsidRPr="00561746">
        <w:rPr>
          <w:rFonts w:asciiTheme="minorHAnsi" w:hAnsiTheme="minorHAnsi" w:cstheme="minorHAnsi"/>
        </w:rPr>
        <w:t>i</w:t>
      </w:r>
      <w:r w:rsidRPr="00561746">
        <w:rPr>
          <w:rFonts w:asciiTheme="minorHAnsi" w:hAnsiTheme="minorHAnsi" w:cstheme="minorHAnsi"/>
        </w:rPr>
        <w:t xml:space="preserve">. </w:t>
      </w:r>
      <w:r w:rsidR="0007634F" w:rsidRPr="00561746">
        <w:rPr>
          <w:rFonts w:asciiTheme="minorHAnsi" w:hAnsiTheme="minorHAnsi" w:cstheme="minorHAnsi"/>
        </w:rPr>
        <w:t>Te</w:t>
      </w:r>
      <w:r w:rsidRPr="00561746">
        <w:rPr>
          <w:rFonts w:asciiTheme="minorHAnsi" w:hAnsiTheme="minorHAnsi" w:cstheme="minorHAnsi"/>
        </w:rPr>
        <w:t>chnika je</w:t>
      </w:r>
      <w:r w:rsidR="0007634F" w:rsidRPr="00561746">
        <w:rPr>
          <w:rFonts w:asciiTheme="minorHAnsi" w:hAnsiTheme="minorHAnsi" w:cstheme="minorHAnsi"/>
        </w:rPr>
        <w:t xml:space="preserve"> </w:t>
      </w:r>
      <w:r w:rsidRPr="00561746">
        <w:rPr>
          <w:rFonts w:asciiTheme="minorHAnsi" w:hAnsiTheme="minorHAnsi" w:cstheme="minorHAnsi"/>
        </w:rPr>
        <w:t xml:space="preserve">zastaralá </w:t>
      </w:r>
      <w:r w:rsidR="00092FDC">
        <w:rPr>
          <w:rFonts w:asciiTheme="minorHAnsi" w:hAnsiTheme="minorHAnsi" w:cstheme="minorHAnsi"/>
        </w:rPr>
        <w:t xml:space="preserve">a </w:t>
      </w:r>
      <w:r w:rsidRPr="00561746">
        <w:rPr>
          <w:rFonts w:asciiTheme="minorHAnsi" w:hAnsiTheme="minorHAnsi" w:cstheme="minorHAnsi"/>
        </w:rPr>
        <w:t xml:space="preserve">její provoz se stal neudržitelný </w:t>
      </w:r>
      <w:r w:rsidR="005F24AC">
        <w:rPr>
          <w:rFonts w:asciiTheme="minorHAnsi" w:hAnsiTheme="minorHAnsi" w:cstheme="minorHAnsi"/>
        </w:rPr>
        <w:t xml:space="preserve">– </w:t>
      </w:r>
      <w:r w:rsidRPr="00561746">
        <w:rPr>
          <w:rFonts w:asciiTheme="minorHAnsi" w:hAnsiTheme="minorHAnsi" w:cstheme="minorHAnsi"/>
        </w:rPr>
        <w:t>obměna</w:t>
      </w:r>
      <w:r w:rsidR="00225F4B" w:rsidRPr="00561746">
        <w:rPr>
          <w:rFonts w:asciiTheme="minorHAnsi" w:hAnsiTheme="minorHAnsi" w:cstheme="minorHAnsi"/>
        </w:rPr>
        <w:t xml:space="preserve"> techniky </w:t>
      </w:r>
      <w:r w:rsidRPr="00561746">
        <w:rPr>
          <w:rFonts w:asciiTheme="minorHAnsi" w:hAnsiTheme="minorHAnsi" w:cstheme="minorHAnsi"/>
        </w:rPr>
        <w:t xml:space="preserve">je </w:t>
      </w:r>
      <w:r w:rsidR="0007634F" w:rsidRPr="00561746">
        <w:rPr>
          <w:rFonts w:asciiTheme="minorHAnsi" w:hAnsiTheme="minorHAnsi" w:cstheme="minorHAnsi"/>
        </w:rPr>
        <w:t xml:space="preserve">proto </w:t>
      </w:r>
      <w:r w:rsidRPr="00561746">
        <w:rPr>
          <w:rFonts w:asciiTheme="minorHAnsi" w:hAnsiTheme="minorHAnsi" w:cstheme="minorHAnsi"/>
        </w:rPr>
        <w:t xml:space="preserve">nezbytná. </w:t>
      </w:r>
      <w:r w:rsidR="00503BBF" w:rsidRPr="007D513E">
        <w:rPr>
          <w:rFonts w:asciiTheme="minorHAnsi" w:hAnsiTheme="minorHAnsi" w:cstheme="minorHAnsi"/>
        </w:rPr>
        <w:t xml:space="preserve">Při samotné realizaci nákupů </w:t>
      </w:r>
      <w:r w:rsidR="00DD4B27" w:rsidRPr="007D513E">
        <w:rPr>
          <w:rFonts w:asciiTheme="minorHAnsi" w:hAnsiTheme="minorHAnsi" w:cstheme="minorHAnsi"/>
        </w:rPr>
        <w:t xml:space="preserve">však </w:t>
      </w:r>
      <w:r w:rsidR="00503BBF" w:rsidRPr="007D513E">
        <w:rPr>
          <w:rFonts w:asciiTheme="minorHAnsi" w:hAnsiTheme="minorHAnsi" w:cstheme="minorHAnsi"/>
        </w:rPr>
        <w:t xml:space="preserve">docházelo </w:t>
      </w:r>
      <w:r w:rsidR="00A25D39" w:rsidRPr="007D513E">
        <w:rPr>
          <w:rFonts w:asciiTheme="minorHAnsi" w:hAnsiTheme="minorHAnsi" w:cstheme="minorHAnsi"/>
        </w:rPr>
        <w:t>k časov</w:t>
      </w:r>
      <w:r w:rsidR="005F24AC">
        <w:rPr>
          <w:rFonts w:asciiTheme="minorHAnsi" w:hAnsiTheme="minorHAnsi" w:cstheme="minorHAnsi"/>
        </w:rPr>
        <w:t>ým</w:t>
      </w:r>
      <w:r w:rsidR="00A25D39" w:rsidRPr="007D513E">
        <w:rPr>
          <w:rFonts w:asciiTheme="minorHAnsi" w:hAnsiTheme="minorHAnsi" w:cstheme="minorHAnsi"/>
        </w:rPr>
        <w:t xml:space="preserve"> posun</w:t>
      </w:r>
      <w:r w:rsidR="005F24AC">
        <w:rPr>
          <w:rFonts w:asciiTheme="minorHAnsi" w:hAnsiTheme="minorHAnsi" w:cstheme="minorHAnsi"/>
        </w:rPr>
        <w:t>ům</w:t>
      </w:r>
      <w:r w:rsidR="00503BBF" w:rsidRPr="007D513E">
        <w:rPr>
          <w:rFonts w:asciiTheme="minorHAnsi" w:hAnsiTheme="minorHAnsi" w:cstheme="minorHAnsi"/>
        </w:rPr>
        <w:t xml:space="preserve"> a </w:t>
      </w:r>
      <w:r w:rsidR="00A25D39" w:rsidRPr="007D513E">
        <w:rPr>
          <w:rFonts w:asciiTheme="minorHAnsi" w:hAnsiTheme="minorHAnsi" w:cstheme="minorHAnsi"/>
        </w:rPr>
        <w:t>zpožďování realizace</w:t>
      </w:r>
      <w:r w:rsidR="00503BBF" w:rsidRPr="007D513E">
        <w:rPr>
          <w:rFonts w:asciiTheme="minorHAnsi" w:hAnsiTheme="minorHAnsi" w:cstheme="minorHAnsi"/>
        </w:rPr>
        <w:t xml:space="preserve"> oproti p</w:t>
      </w:r>
      <w:r w:rsidR="00A5177B" w:rsidRPr="007D513E">
        <w:rPr>
          <w:rFonts w:asciiTheme="minorHAnsi" w:hAnsiTheme="minorHAnsi" w:cstheme="minorHAnsi"/>
        </w:rPr>
        <w:t>ředpokládaný</w:t>
      </w:r>
      <w:r w:rsidR="00503BBF" w:rsidRPr="007D513E">
        <w:rPr>
          <w:rFonts w:asciiTheme="minorHAnsi" w:hAnsiTheme="minorHAnsi" w:cstheme="minorHAnsi"/>
        </w:rPr>
        <w:t>m termínům</w:t>
      </w:r>
      <w:r w:rsidR="00A25D39" w:rsidRPr="007D513E">
        <w:rPr>
          <w:rFonts w:asciiTheme="minorHAnsi" w:hAnsiTheme="minorHAnsi" w:cstheme="minorHAnsi"/>
        </w:rPr>
        <w:t>.</w:t>
      </w:r>
      <w:r w:rsidR="00F82D1C" w:rsidRPr="007D513E">
        <w:rPr>
          <w:rFonts w:asciiTheme="minorHAnsi" w:hAnsiTheme="minorHAnsi" w:cstheme="minorHAnsi"/>
        </w:rPr>
        <w:t xml:space="preserve"> </w:t>
      </w:r>
      <w:r w:rsidR="001310BC" w:rsidRPr="00561746">
        <w:rPr>
          <w:rFonts w:asciiTheme="minorHAnsi" w:hAnsiTheme="minorHAnsi" w:cstheme="minorHAnsi"/>
          <w:lang w:eastAsia="en-US"/>
        </w:rPr>
        <w:t xml:space="preserve">MO v kontrolované oblasti neplnilo střednědobé plány časově ani věcně. Do doby ukončení kontroly </w:t>
      </w:r>
      <w:r w:rsidR="001310BC" w:rsidRPr="007D513E">
        <w:rPr>
          <w:rFonts w:asciiTheme="minorHAnsi" w:hAnsiTheme="minorHAnsi" w:cstheme="minorHAnsi"/>
        </w:rPr>
        <w:t>n</w:t>
      </w:r>
      <w:r w:rsidR="00F82D1C" w:rsidRPr="007D513E">
        <w:rPr>
          <w:rFonts w:asciiTheme="minorHAnsi" w:hAnsiTheme="minorHAnsi" w:cstheme="minorHAnsi"/>
        </w:rPr>
        <w:t xml:space="preserve">apříklad </w:t>
      </w:r>
      <w:r w:rsidR="00F25923" w:rsidRPr="007D513E">
        <w:rPr>
          <w:rFonts w:asciiTheme="minorHAnsi" w:hAnsiTheme="minorHAnsi" w:cstheme="minorHAnsi"/>
        </w:rPr>
        <w:t xml:space="preserve">nepořídilo </w:t>
      </w:r>
      <w:r w:rsidR="00F82D1C" w:rsidRPr="007D513E">
        <w:rPr>
          <w:rFonts w:asciiTheme="minorHAnsi" w:hAnsiTheme="minorHAnsi" w:cstheme="minorHAnsi"/>
        </w:rPr>
        <w:t>automobilní jeřáb</w:t>
      </w:r>
      <w:r w:rsidR="00F25923" w:rsidRPr="007D513E">
        <w:rPr>
          <w:rFonts w:asciiTheme="minorHAnsi" w:hAnsiTheme="minorHAnsi" w:cstheme="minorHAnsi"/>
        </w:rPr>
        <w:t>y</w:t>
      </w:r>
      <w:r w:rsidR="00F82D1C" w:rsidRPr="007D513E">
        <w:rPr>
          <w:rFonts w:asciiTheme="minorHAnsi" w:hAnsiTheme="minorHAnsi" w:cstheme="minorHAnsi"/>
        </w:rPr>
        <w:t>, vyprošťovací automobil</w:t>
      </w:r>
      <w:r w:rsidR="00F25923" w:rsidRPr="007D513E">
        <w:rPr>
          <w:rFonts w:asciiTheme="minorHAnsi" w:hAnsiTheme="minorHAnsi" w:cstheme="minorHAnsi"/>
        </w:rPr>
        <w:t>y</w:t>
      </w:r>
      <w:r w:rsidR="00F82D1C" w:rsidRPr="007D513E">
        <w:rPr>
          <w:rFonts w:asciiTheme="minorHAnsi" w:hAnsiTheme="minorHAnsi" w:cstheme="minorHAnsi"/>
        </w:rPr>
        <w:t xml:space="preserve"> </w:t>
      </w:r>
      <w:r w:rsidR="009C359A" w:rsidRPr="007D513E">
        <w:rPr>
          <w:rFonts w:asciiTheme="minorHAnsi" w:hAnsiTheme="minorHAnsi" w:cstheme="minorHAnsi"/>
        </w:rPr>
        <w:t xml:space="preserve">s nosností </w:t>
      </w:r>
      <w:r w:rsidR="00F82D1C" w:rsidRPr="007D513E">
        <w:rPr>
          <w:rFonts w:asciiTheme="minorHAnsi" w:hAnsiTheme="minorHAnsi" w:cstheme="minorHAnsi"/>
        </w:rPr>
        <w:t>30</w:t>
      </w:r>
      <w:r w:rsidR="0073210D" w:rsidRPr="007D513E">
        <w:rPr>
          <w:rFonts w:asciiTheme="minorHAnsi" w:hAnsiTheme="minorHAnsi" w:cstheme="minorHAnsi"/>
        </w:rPr>
        <w:t> </w:t>
      </w:r>
      <w:r w:rsidR="00F82D1C" w:rsidRPr="007D513E">
        <w:rPr>
          <w:rFonts w:asciiTheme="minorHAnsi" w:hAnsiTheme="minorHAnsi" w:cstheme="minorHAnsi"/>
        </w:rPr>
        <w:t>tun, hákov</w:t>
      </w:r>
      <w:r w:rsidR="00F25923" w:rsidRPr="007D513E">
        <w:rPr>
          <w:rFonts w:asciiTheme="minorHAnsi" w:hAnsiTheme="minorHAnsi" w:cstheme="minorHAnsi"/>
        </w:rPr>
        <w:t>é</w:t>
      </w:r>
      <w:r w:rsidR="00F82D1C" w:rsidRPr="007D513E">
        <w:rPr>
          <w:rFonts w:asciiTheme="minorHAnsi" w:hAnsiTheme="minorHAnsi" w:cstheme="minorHAnsi"/>
        </w:rPr>
        <w:t xml:space="preserve"> nakladač</w:t>
      </w:r>
      <w:r w:rsidR="00F25923" w:rsidRPr="007D513E">
        <w:rPr>
          <w:rFonts w:asciiTheme="minorHAnsi" w:hAnsiTheme="minorHAnsi" w:cstheme="minorHAnsi"/>
        </w:rPr>
        <w:t>e</w:t>
      </w:r>
      <w:r w:rsidR="00F82D1C" w:rsidRPr="007D513E">
        <w:rPr>
          <w:rFonts w:asciiTheme="minorHAnsi" w:hAnsiTheme="minorHAnsi" w:cstheme="minorHAnsi"/>
        </w:rPr>
        <w:t xml:space="preserve"> kontejnerů</w:t>
      </w:r>
      <w:r w:rsidR="00924E57" w:rsidRPr="007D513E">
        <w:rPr>
          <w:rFonts w:asciiTheme="minorHAnsi" w:hAnsiTheme="minorHAnsi" w:cstheme="minorHAnsi"/>
        </w:rPr>
        <w:t xml:space="preserve"> (příklad č. 1)</w:t>
      </w:r>
      <w:r w:rsidR="00F82D1C" w:rsidRPr="007D513E">
        <w:rPr>
          <w:rFonts w:asciiTheme="minorHAnsi" w:hAnsiTheme="minorHAnsi" w:cstheme="minorHAnsi"/>
        </w:rPr>
        <w:t>, automobilní rypadl</w:t>
      </w:r>
      <w:r w:rsidR="00F25923" w:rsidRPr="007D513E">
        <w:rPr>
          <w:rFonts w:asciiTheme="minorHAnsi" w:hAnsiTheme="minorHAnsi" w:cstheme="minorHAnsi"/>
        </w:rPr>
        <w:t>a</w:t>
      </w:r>
      <w:r w:rsidR="00F82D1C" w:rsidRPr="007D513E">
        <w:rPr>
          <w:rFonts w:asciiTheme="minorHAnsi" w:hAnsiTheme="minorHAnsi" w:cstheme="minorHAnsi"/>
        </w:rPr>
        <w:t xml:space="preserve"> nebo odmořovací automobil</w:t>
      </w:r>
      <w:r w:rsidR="00F25923" w:rsidRPr="007D513E">
        <w:rPr>
          <w:rFonts w:asciiTheme="minorHAnsi" w:hAnsiTheme="minorHAnsi" w:cstheme="minorHAnsi"/>
        </w:rPr>
        <w:t>y</w:t>
      </w:r>
      <w:r w:rsidR="00F82D1C" w:rsidRPr="007D513E">
        <w:rPr>
          <w:rFonts w:asciiTheme="minorHAnsi" w:hAnsiTheme="minorHAnsi" w:cstheme="minorHAnsi"/>
        </w:rPr>
        <w:t>.</w:t>
      </w:r>
      <w:r w:rsidR="001310BC" w:rsidRPr="007D513E">
        <w:rPr>
          <w:rFonts w:asciiTheme="minorHAnsi" w:hAnsiTheme="minorHAnsi" w:cstheme="minorHAnsi"/>
        </w:rPr>
        <w:t xml:space="preserve"> </w:t>
      </w:r>
    </w:p>
    <w:p w14:paraId="4F354DB7" w14:textId="77777777" w:rsidR="00F254B3" w:rsidRDefault="00F254B3">
      <w:pPr>
        <w:rPr>
          <w:rFonts w:asciiTheme="minorHAnsi" w:hAnsiTheme="minorHAnsi" w:cstheme="minorHAnsi"/>
        </w:rPr>
      </w:pPr>
      <w:r>
        <w:rPr>
          <w:rFonts w:asciiTheme="minorHAnsi" w:hAnsiTheme="minorHAnsi" w:cstheme="minorHAnsi"/>
        </w:rPr>
        <w:br w:type="page"/>
      </w:r>
    </w:p>
    <w:p w14:paraId="61123DF9" w14:textId="77777777" w:rsidR="005465DF" w:rsidRPr="005465DF" w:rsidRDefault="005465DF" w:rsidP="007B1941">
      <w:pPr>
        <w:pBdr>
          <w:top w:val="single" w:sz="12" w:space="1" w:color="004595"/>
          <w:left w:val="single" w:sz="12" w:space="0" w:color="004595"/>
          <w:bottom w:val="single" w:sz="12" w:space="1" w:color="004595"/>
          <w:right w:val="single" w:sz="12" w:space="1" w:color="004595"/>
        </w:pBdr>
        <w:jc w:val="both"/>
        <w:rPr>
          <w:rFonts w:asciiTheme="minorHAnsi" w:hAnsiTheme="minorHAnsi" w:cstheme="minorHAnsi"/>
          <w:b/>
          <w:i/>
        </w:rPr>
      </w:pPr>
      <w:r w:rsidRPr="005465DF">
        <w:rPr>
          <w:rFonts w:asciiTheme="minorHAnsi" w:hAnsiTheme="minorHAnsi" w:cstheme="minorHAnsi"/>
          <w:b/>
          <w:i/>
        </w:rPr>
        <w:lastRenderedPageBreak/>
        <w:t>Příklad č. 1</w:t>
      </w:r>
    </w:p>
    <w:p w14:paraId="13E051F3" w14:textId="38F08D7D" w:rsidR="005465DF" w:rsidRPr="005465DF" w:rsidRDefault="005465DF" w:rsidP="007B1941">
      <w:pPr>
        <w:pBdr>
          <w:top w:val="single" w:sz="12" w:space="1" w:color="004595"/>
          <w:left w:val="single" w:sz="12" w:space="0" w:color="004595"/>
          <w:bottom w:val="single" w:sz="12" w:space="1" w:color="004595"/>
          <w:right w:val="single" w:sz="12" w:space="1" w:color="004595"/>
        </w:pBdr>
        <w:jc w:val="both"/>
        <w:rPr>
          <w:rFonts w:asciiTheme="minorHAnsi" w:hAnsiTheme="minorHAnsi" w:cstheme="minorHAnsi"/>
          <w:i/>
        </w:rPr>
      </w:pPr>
      <w:r w:rsidRPr="005465DF">
        <w:rPr>
          <w:rFonts w:asciiTheme="minorHAnsi" w:hAnsiTheme="minorHAnsi" w:cstheme="minorHAnsi"/>
          <w:i/>
        </w:rPr>
        <w:t xml:space="preserve">Pořízení hákových nakladačů kontejnerů předpokládalo </w:t>
      </w:r>
      <w:r w:rsidR="005F24AC">
        <w:rPr>
          <w:rFonts w:asciiTheme="minorHAnsi" w:hAnsiTheme="minorHAnsi" w:cstheme="minorHAnsi"/>
          <w:i/>
        </w:rPr>
        <w:t xml:space="preserve">MO </w:t>
      </w:r>
      <w:r w:rsidRPr="005465DF">
        <w:rPr>
          <w:rFonts w:asciiTheme="minorHAnsi" w:hAnsiTheme="minorHAnsi" w:cstheme="minorHAnsi"/>
          <w:i/>
        </w:rPr>
        <w:t>v rámci střednědobých plánů nejprve v letech 2018–2020 s výdaji ve výši 306 mil. Kč</w:t>
      </w:r>
      <w:r w:rsidR="00924E57">
        <w:rPr>
          <w:rStyle w:val="Znakapoznpodarou"/>
          <w:rFonts w:asciiTheme="minorHAnsi" w:hAnsiTheme="minorHAnsi" w:cstheme="minorHAnsi"/>
          <w:i/>
        </w:rPr>
        <w:footnoteReference w:id="33"/>
      </w:r>
      <w:r w:rsidRPr="005465DF">
        <w:rPr>
          <w:rFonts w:asciiTheme="minorHAnsi" w:hAnsiTheme="minorHAnsi" w:cstheme="minorHAnsi"/>
          <w:i/>
        </w:rPr>
        <w:t>, poté v letech 2018–2021 s výdaji ve výši 561 mil. Kč, poté v letech 2020–2022 s výdaji ve výši 323 mil. Kč a</w:t>
      </w:r>
      <w:r>
        <w:rPr>
          <w:rFonts w:asciiTheme="minorHAnsi" w:hAnsiTheme="minorHAnsi" w:cstheme="minorHAnsi"/>
          <w:i/>
        </w:rPr>
        <w:t> </w:t>
      </w:r>
      <w:r w:rsidRPr="005465DF">
        <w:rPr>
          <w:rFonts w:asciiTheme="minorHAnsi" w:hAnsiTheme="minorHAnsi" w:cstheme="minorHAnsi"/>
          <w:i/>
        </w:rPr>
        <w:t>poté v letech 2021–2023 s výdaji ve výši 306 mil. Kč. V původní dokumentaci programu 107</w:t>
      </w:r>
      <w:r>
        <w:rPr>
          <w:rFonts w:asciiTheme="minorHAnsi" w:hAnsiTheme="minorHAnsi" w:cstheme="minorHAnsi"/>
          <w:i/>
        </w:rPr>
        <w:t> </w:t>
      </w:r>
      <w:r w:rsidRPr="005465DF">
        <w:rPr>
          <w:rFonts w:asciiTheme="minorHAnsi" w:hAnsiTheme="minorHAnsi" w:cstheme="minorHAnsi"/>
          <w:i/>
        </w:rPr>
        <w:t xml:space="preserve">690 bylo </w:t>
      </w:r>
      <w:r w:rsidR="008A525A">
        <w:rPr>
          <w:rFonts w:asciiTheme="minorHAnsi" w:hAnsiTheme="minorHAnsi" w:cstheme="minorHAnsi"/>
          <w:i/>
        </w:rPr>
        <w:t xml:space="preserve">plánováno </w:t>
      </w:r>
      <w:r w:rsidRPr="005465DF">
        <w:rPr>
          <w:rFonts w:asciiTheme="minorHAnsi" w:hAnsiTheme="minorHAnsi" w:cstheme="minorHAnsi"/>
          <w:i/>
        </w:rPr>
        <w:t xml:space="preserve">pořízení </w:t>
      </w:r>
      <w:r w:rsidR="008A525A">
        <w:rPr>
          <w:rFonts w:asciiTheme="minorHAnsi" w:hAnsiTheme="minorHAnsi" w:cstheme="minorHAnsi"/>
          <w:i/>
        </w:rPr>
        <w:t xml:space="preserve">sedmi nakladačů </w:t>
      </w:r>
      <w:r w:rsidRPr="005465DF">
        <w:rPr>
          <w:rFonts w:asciiTheme="minorHAnsi" w:hAnsiTheme="minorHAnsi" w:cstheme="minorHAnsi"/>
          <w:i/>
        </w:rPr>
        <w:t xml:space="preserve">v letech 2020–2021 s výdaji ve výši 119 mil. Kč. V doplňku č. 1 dokumentace programu </w:t>
      </w:r>
      <w:r w:rsidR="008A525A">
        <w:rPr>
          <w:rFonts w:asciiTheme="minorHAnsi" w:hAnsiTheme="minorHAnsi" w:cstheme="minorHAnsi"/>
          <w:i/>
        </w:rPr>
        <w:t xml:space="preserve">107 690 </w:t>
      </w:r>
      <w:r w:rsidRPr="005465DF">
        <w:rPr>
          <w:rFonts w:asciiTheme="minorHAnsi" w:hAnsiTheme="minorHAnsi" w:cstheme="minorHAnsi"/>
          <w:i/>
        </w:rPr>
        <w:t xml:space="preserve">bylo </w:t>
      </w:r>
      <w:r w:rsidR="008A525A">
        <w:rPr>
          <w:rFonts w:asciiTheme="minorHAnsi" w:hAnsiTheme="minorHAnsi" w:cstheme="minorHAnsi"/>
          <w:i/>
        </w:rPr>
        <w:t xml:space="preserve">plánováno </w:t>
      </w:r>
      <w:r w:rsidR="008A525A" w:rsidRPr="005465DF">
        <w:rPr>
          <w:rFonts w:asciiTheme="minorHAnsi" w:hAnsiTheme="minorHAnsi" w:cstheme="minorHAnsi"/>
          <w:i/>
        </w:rPr>
        <w:t xml:space="preserve">pořízení </w:t>
      </w:r>
      <w:r w:rsidR="008A525A">
        <w:rPr>
          <w:rFonts w:asciiTheme="minorHAnsi" w:hAnsiTheme="minorHAnsi" w:cstheme="minorHAnsi"/>
          <w:i/>
        </w:rPr>
        <w:t xml:space="preserve">celkem 27 nakladačů </w:t>
      </w:r>
      <w:r w:rsidR="008A525A" w:rsidRPr="005465DF">
        <w:rPr>
          <w:rFonts w:asciiTheme="minorHAnsi" w:hAnsiTheme="minorHAnsi" w:cstheme="minorHAnsi"/>
          <w:i/>
        </w:rPr>
        <w:t>s</w:t>
      </w:r>
      <w:r w:rsidR="001310BC">
        <w:rPr>
          <w:rFonts w:asciiTheme="minorHAnsi" w:hAnsiTheme="minorHAnsi" w:cstheme="minorHAnsi"/>
          <w:i/>
        </w:rPr>
        <w:t> </w:t>
      </w:r>
      <w:r w:rsidR="008A525A" w:rsidRPr="005465DF">
        <w:rPr>
          <w:rFonts w:asciiTheme="minorHAnsi" w:hAnsiTheme="minorHAnsi" w:cstheme="minorHAnsi"/>
          <w:i/>
        </w:rPr>
        <w:t xml:space="preserve">výdaji ve výši 515,3 mil. Kč </w:t>
      </w:r>
      <w:r w:rsidRPr="005465DF">
        <w:rPr>
          <w:rFonts w:asciiTheme="minorHAnsi" w:hAnsiTheme="minorHAnsi" w:cstheme="minorHAnsi"/>
          <w:i/>
        </w:rPr>
        <w:t xml:space="preserve">(bez rozpisu jednotlivých let pořízení). MO tuto techniku do doby ukončení kontroly nepořídilo. Provedlo nicméně registraci investiční akce s realizací od roku 2023 s celkovými výdaji ve výši 1 526,5 mil. Kč za 80 hákových nakladačů kontejnerů. Počátek realizace nákupu tak bude oproti </w:t>
      </w:r>
      <w:r w:rsidR="00BF556D">
        <w:rPr>
          <w:rFonts w:asciiTheme="minorHAnsi" w:hAnsiTheme="minorHAnsi" w:cstheme="minorHAnsi"/>
          <w:i/>
        </w:rPr>
        <w:t xml:space="preserve">původnímu </w:t>
      </w:r>
      <w:r w:rsidRPr="005465DF">
        <w:rPr>
          <w:rFonts w:asciiTheme="minorHAnsi" w:hAnsiTheme="minorHAnsi" w:cstheme="minorHAnsi"/>
          <w:i/>
        </w:rPr>
        <w:t>plánu zpožděn nejméně o pět let.</w:t>
      </w:r>
    </w:p>
    <w:p w14:paraId="1FB49E9D" w14:textId="56C0D900" w:rsidR="00CE2496" w:rsidRDefault="00722505" w:rsidP="007B1941">
      <w:pPr>
        <w:spacing w:before="240" w:after="120"/>
        <w:jc w:val="both"/>
        <w:rPr>
          <w:rFonts w:asciiTheme="minorHAnsi" w:eastAsia="Calibri" w:hAnsiTheme="minorHAnsi" w:cstheme="minorHAnsi"/>
          <w:lang w:eastAsia="en-US"/>
        </w:rPr>
      </w:pPr>
      <w:r w:rsidRPr="00722505">
        <w:rPr>
          <w:rFonts w:asciiTheme="minorHAnsi" w:hAnsiTheme="minorHAnsi" w:cstheme="minorHAnsi"/>
          <w:b/>
          <w:color w:val="000000"/>
        </w:rPr>
        <w:t>4.</w:t>
      </w:r>
      <w:r w:rsidR="00991DA0">
        <w:rPr>
          <w:rFonts w:asciiTheme="minorHAnsi" w:hAnsiTheme="minorHAnsi" w:cstheme="minorHAnsi"/>
          <w:b/>
          <w:color w:val="000000"/>
        </w:rPr>
        <w:t>5</w:t>
      </w:r>
      <w:r>
        <w:rPr>
          <w:rFonts w:asciiTheme="minorHAnsi" w:hAnsiTheme="minorHAnsi" w:cstheme="minorHAnsi"/>
          <w:color w:val="000000"/>
        </w:rPr>
        <w:t xml:space="preserve"> </w:t>
      </w:r>
      <w:r w:rsidR="00CE2496">
        <w:rPr>
          <w:rFonts w:asciiTheme="minorHAnsi" w:eastAsia="Calibri" w:hAnsiTheme="minorHAnsi" w:cstheme="minorHAnsi"/>
          <w:lang w:eastAsia="en-US"/>
        </w:rPr>
        <w:t xml:space="preserve">Důvodem zpožďování nákupů </w:t>
      </w:r>
      <w:r w:rsidR="000A060A">
        <w:rPr>
          <w:rFonts w:asciiTheme="minorHAnsi" w:eastAsia="Calibri" w:hAnsiTheme="minorHAnsi" w:cstheme="minorHAnsi"/>
          <w:lang w:eastAsia="en-US"/>
        </w:rPr>
        <w:t xml:space="preserve">automobilní techniky </w:t>
      </w:r>
      <w:r w:rsidR="00CE2496">
        <w:rPr>
          <w:rFonts w:asciiTheme="minorHAnsi" w:eastAsia="Calibri" w:hAnsiTheme="minorHAnsi" w:cstheme="minorHAnsi"/>
          <w:lang w:eastAsia="en-US"/>
        </w:rPr>
        <w:t>byly změny priorit Armády</w:t>
      </w:r>
      <w:r w:rsidR="00F25923">
        <w:rPr>
          <w:rFonts w:asciiTheme="minorHAnsi" w:eastAsia="Calibri" w:hAnsiTheme="minorHAnsi" w:cstheme="minorHAnsi"/>
          <w:lang w:eastAsia="en-US"/>
        </w:rPr>
        <w:t>,</w:t>
      </w:r>
      <w:r w:rsidR="00BF556D">
        <w:rPr>
          <w:rFonts w:asciiTheme="minorHAnsi" w:eastAsia="Calibri" w:hAnsiTheme="minorHAnsi" w:cstheme="minorHAnsi"/>
          <w:lang w:eastAsia="en-US"/>
        </w:rPr>
        <w:t xml:space="preserve"> </w:t>
      </w:r>
      <w:r w:rsidR="001310BC">
        <w:rPr>
          <w:rFonts w:asciiTheme="minorHAnsi" w:eastAsia="Calibri" w:hAnsiTheme="minorHAnsi" w:cstheme="minorHAnsi"/>
          <w:lang w:eastAsia="en-US"/>
        </w:rPr>
        <w:t xml:space="preserve">zejména </w:t>
      </w:r>
      <w:r w:rsidR="00D575B2">
        <w:rPr>
          <w:rFonts w:asciiTheme="minorHAnsi" w:eastAsia="Calibri" w:hAnsiTheme="minorHAnsi" w:cstheme="minorHAnsi"/>
          <w:lang w:eastAsia="en-US"/>
        </w:rPr>
        <w:t>přednostní</w:t>
      </w:r>
      <w:r w:rsidR="00CE2496">
        <w:rPr>
          <w:rFonts w:asciiTheme="minorHAnsi" w:eastAsia="Calibri" w:hAnsiTheme="minorHAnsi" w:cstheme="minorHAnsi"/>
          <w:lang w:eastAsia="en-US"/>
        </w:rPr>
        <w:t xml:space="preserve"> </w:t>
      </w:r>
      <w:r w:rsidR="00A5177B">
        <w:rPr>
          <w:rFonts w:asciiTheme="minorHAnsi" w:eastAsia="Calibri" w:hAnsiTheme="minorHAnsi" w:cstheme="minorHAnsi"/>
          <w:lang w:eastAsia="en-US"/>
        </w:rPr>
        <w:t>pořizování</w:t>
      </w:r>
      <w:r w:rsidR="00CE2496">
        <w:rPr>
          <w:rFonts w:asciiTheme="minorHAnsi" w:eastAsia="Calibri" w:hAnsiTheme="minorHAnsi" w:cstheme="minorHAnsi"/>
          <w:lang w:eastAsia="en-US"/>
        </w:rPr>
        <w:t xml:space="preserve"> </w:t>
      </w:r>
      <w:r w:rsidR="000A060A">
        <w:rPr>
          <w:rFonts w:asciiTheme="minorHAnsi" w:eastAsia="Calibri" w:hAnsiTheme="minorHAnsi" w:cstheme="minorHAnsi"/>
          <w:lang w:eastAsia="en-US"/>
        </w:rPr>
        <w:t>vícepočetné</w:t>
      </w:r>
      <w:r w:rsidR="000A060A">
        <w:rPr>
          <w:rStyle w:val="Znakapoznpodarou"/>
          <w:rFonts w:asciiTheme="minorHAnsi" w:eastAsia="Calibri" w:hAnsiTheme="minorHAnsi" w:cstheme="minorHAnsi"/>
          <w:lang w:eastAsia="en-US"/>
        </w:rPr>
        <w:footnoteReference w:id="34"/>
      </w:r>
      <w:r w:rsidR="000A060A">
        <w:rPr>
          <w:rFonts w:asciiTheme="minorHAnsi" w:eastAsia="Calibri" w:hAnsiTheme="minorHAnsi" w:cstheme="minorHAnsi"/>
          <w:lang w:eastAsia="en-US"/>
        </w:rPr>
        <w:t xml:space="preserve"> </w:t>
      </w:r>
      <w:r w:rsidR="00CE2496">
        <w:rPr>
          <w:rFonts w:asciiTheme="minorHAnsi" w:eastAsia="Calibri" w:hAnsiTheme="minorHAnsi" w:cstheme="minorHAnsi"/>
          <w:lang w:eastAsia="en-US"/>
        </w:rPr>
        <w:t xml:space="preserve">techniky a rovněž </w:t>
      </w:r>
      <w:r w:rsidR="00F82D1C">
        <w:rPr>
          <w:rFonts w:asciiTheme="minorHAnsi" w:eastAsia="Calibri" w:hAnsiTheme="minorHAnsi" w:cstheme="minorHAnsi"/>
          <w:lang w:eastAsia="en-US"/>
        </w:rPr>
        <w:t>dlouhá příprava investiční</w:t>
      </w:r>
      <w:r w:rsidR="00C33BAA">
        <w:rPr>
          <w:rFonts w:asciiTheme="minorHAnsi" w:eastAsia="Calibri" w:hAnsiTheme="minorHAnsi" w:cstheme="minorHAnsi"/>
          <w:lang w:eastAsia="en-US"/>
        </w:rPr>
        <w:t>ch</w:t>
      </w:r>
      <w:r w:rsidR="00F82D1C">
        <w:rPr>
          <w:rFonts w:asciiTheme="minorHAnsi" w:eastAsia="Calibri" w:hAnsiTheme="minorHAnsi" w:cstheme="minorHAnsi"/>
          <w:lang w:eastAsia="en-US"/>
        </w:rPr>
        <w:t xml:space="preserve"> akc</w:t>
      </w:r>
      <w:r w:rsidR="00C33BAA">
        <w:rPr>
          <w:rFonts w:asciiTheme="minorHAnsi" w:eastAsia="Calibri" w:hAnsiTheme="minorHAnsi" w:cstheme="minorHAnsi"/>
          <w:lang w:eastAsia="en-US"/>
        </w:rPr>
        <w:t>í</w:t>
      </w:r>
      <w:r w:rsidR="00F82D1C">
        <w:rPr>
          <w:rFonts w:asciiTheme="minorHAnsi" w:eastAsia="Calibri" w:hAnsiTheme="minorHAnsi" w:cstheme="minorHAnsi"/>
          <w:lang w:eastAsia="en-US"/>
        </w:rPr>
        <w:t xml:space="preserve"> spojená se změnami </w:t>
      </w:r>
      <w:r w:rsidR="00CE2496">
        <w:rPr>
          <w:rFonts w:asciiTheme="minorHAnsi" w:eastAsia="Calibri" w:hAnsiTheme="minorHAnsi" w:cstheme="minorHAnsi"/>
          <w:lang w:eastAsia="en-US"/>
        </w:rPr>
        <w:t xml:space="preserve">technických </w:t>
      </w:r>
      <w:r w:rsidR="00CE2496" w:rsidRPr="00507B56">
        <w:rPr>
          <w:rFonts w:asciiTheme="minorHAnsi" w:eastAsia="Calibri" w:hAnsiTheme="minorHAnsi" w:cstheme="minorHAnsi"/>
          <w:lang w:eastAsia="en-US"/>
        </w:rPr>
        <w:t>požadavků.</w:t>
      </w:r>
      <w:r w:rsidR="00507B56" w:rsidRPr="00507B56">
        <w:rPr>
          <w:rFonts w:ascii="Calibri" w:hAnsi="Calibri" w:cs="Calibri"/>
          <w:lang w:eastAsia="en-US"/>
        </w:rPr>
        <w:t xml:space="preserve"> </w:t>
      </w:r>
      <w:r w:rsidR="00507B56" w:rsidRPr="00507B56">
        <w:rPr>
          <w:rFonts w:ascii="Calibri" w:eastAsia="Calibri" w:hAnsi="Calibri" w:cs="Calibri"/>
          <w:lang w:eastAsia="en-US"/>
        </w:rPr>
        <w:t xml:space="preserve">Do programu </w:t>
      </w:r>
      <w:r w:rsidR="001310BC">
        <w:rPr>
          <w:rFonts w:ascii="Calibri" w:eastAsia="Calibri" w:hAnsi="Calibri" w:cs="Calibri"/>
          <w:lang w:eastAsia="en-US"/>
        </w:rPr>
        <w:t xml:space="preserve">107 690 </w:t>
      </w:r>
      <w:r w:rsidR="00C33BAA" w:rsidRPr="00142886">
        <w:rPr>
          <w:rFonts w:ascii="Calibri" w:hAnsi="Calibri" w:cs="Calibri"/>
          <w:lang w:eastAsia="en-US"/>
        </w:rPr>
        <w:t xml:space="preserve">zařadilo </w:t>
      </w:r>
      <w:r w:rsidR="005B2F8B">
        <w:rPr>
          <w:rFonts w:ascii="Calibri" w:hAnsi="Calibri" w:cs="Calibri"/>
          <w:lang w:eastAsia="en-US"/>
        </w:rPr>
        <w:t xml:space="preserve">MO </w:t>
      </w:r>
      <w:r w:rsidR="00C33BAA" w:rsidRPr="00507B56">
        <w:rPr>
          <w:rFonts w:ascii="Calibri" w:hAnsi="Calibri" w:cs="Calibri"/>
          <w:lang w:eastAsia="en-US"/>
        </w:rPr>
        <w:t>například</w:t>
      </w:r>
      <w:r w:rsidR="00C33BAA">
        <w:rPr>
          <w:rFonts w:ascii="Calibri" w:hAnsi="Calibri" w:cs="Calibri"/>
          <w:lang w:eastAsia="en-US"/>
        </w:rPr>
        <w:t xml:space="preserve"> </w:t>
      </w:r>
      <w:r w:rsidR="009C359A">
        <w:rPr>
          <w:rFonts w:ascii="Calibri" w:hAnsi="Calibri" w:cs="Calibri"/>
          <w:lang w:eastAsia="en-US"/>
        </w:rPr>
        <w:t xml:space="preserve">akci na </w:t>
      </w:r>
      <w:r w:rsidR="00507B56" w:rsidRPr="00507B56">
        <w:rPr>
          <w:rFonts w:ascii="Calibri" w:hAnsi="Calibri" w:cs="Calibri"/>
          <w:lang w:eastAsia="en-US"/>
        </w:rPr>
        <w:t xml:space="preserve">urgentní </w:t>
      </w:r>
      <w:r w:rsidR="009C359A">
        <w:rPr>
          <w:rFonts w:ascii="Calibri" w:hAnsi="Calibri" w:cs="Calibri"/>
          <w:lang w:eastAsia="en-US"/>
        </w:rPr>
        <w:t>nákup</w:t>
      </w:r>
      <w:r w:rsidR="00507B56" w:rsidRPr="00507B56">
        <w:rPr>
          <w:rFonts w:ascii="Calibri" w:hAnsi="Calibri" w:cs="Calibri"/>
          <w:lang w:eastAsia="en-US"/>
        </w:rPr>
        <w:t xml:space="preserve"> </w:t>
      </w:r>
      <w:r w:rsidR="00507B56">
        <w:rPr>
          <w:rFonts w:ascii="Calibri" w:hAnsi="Calibri" w:cs="Calibri"/>
          <w:lang w:eastAsia="en-US"/>
        </w:rPr>
        <w:t xml:space="preserve">209 </w:t>
      </w:r>
      <w:r w:rsidR="00507B56" w:rsidRPr="00507B56">
        <w:rPr>
          <w:rFonts w:ascii="Calibri" w:hAnsi="Calibri" w:cs="Calibri"/>
          <w:lang w:eastAsia="en-US"/>
        </w:rPr>
        <w:t xml:space="preserve">nákladních </w:t>
      </w:r>
      <w:r w:rsidR="001A7CA7" w:rsidRPr="00142886">
        <w:rPr>
          <w:rFonts w:ascii="Calibri" w:hAnsi="Calibri" w:cs="Calibri"/>
          <w:lang w:eastAsia="en-US"/>
        </w:rPr>
        <w:t>terénní</w:t>
      </w:r>
      <w:r w:rsidR="001A7CA7" w:rsidRPr="00507B56">
        <w:rPr>
          <w:rFonts w:ascii="Calibri" w:hAnsi="Calibri" w:cs="Calibri"/>
          <w:lang w:eastAsia="en-US"/>
        </w:rPr>
        <w:t xml:space="preserve">ch </w:t>
      </w:r>
      <w:r w:rsidR="00507B56" w:rsidRPr="00507B56">
        <w:rPr>
          <w:rFonts w:ascii="Calibri" w:hAnsi="Calibri" w:cs="Calibri"/>
          <w:lang w:eastAsia="en-US"/>
        </w:rPr>
        <w:t>automobilů</w:t>
      </w:r>
      <w:r w:rsidR="00507B56" w:rsidRPr="00507B56">
        <w:rPr>
          <w:rFonts w:ascii="Calibri" w:hAnsi="Calibri" w:cs="Calibri"/>
          <w:i/>
          <w:lang w:eastAsia="en-US"/>
        </w:rPr>
        <w:t xml:space="preserve"> </w:t>
      </w:r>
      <w:r w:rsidR="00507B56" w:rsidRPr="00142886">
        <w:rPr>
          <w:rFonts w:ascii="Calibri" w:hAnsi="Calibri" w:cs="Calibri"/>
          <w:lang w:eastAsia="en-US"/>
        </w:rPr>
        <w:t>za 2 313 mil. Kč</w:t>
      </w:r>
      <w:r w:rsidR="009C359A">
        <w:rPr>
          <w:rFonts w:ascii="Calibri" w:hAnsi="Calibri" w:cs="Calibri"/>
          <w:lang w:eastAsia="en-US"/>
        </w:rPr>
        <w:t xml:space="preserve">, která nebyla </w:t>
      </w:r>
      <w:r w:rsidR="005B2F8B">
        <w:rPr>
          <w:rFonts w:ascii="Calibri" w:hAnsi="Calibri" w:cs="Calibri"/>
          <w:lang w:eastAsia="en-US"/>
        </w:rPr>
        <w:t>v</w:t>
      </w:r>
      <w:r w:rsidR="00225F4B">
        <w:rPr>
          <w:rFonts w:ascii="Calibri" w:hAnsi="Calibri" w:cs="Calibri"/>
          <w:lang w:eastAsia="en-US"/>
        </w:rPr>
        <w:t> </w:t>
      </w:r>
      <w:r w:rsidR="009C359A">
        <w:rPr>
          <w:rFonts w:ascii="Calibri" w:hAnsi="Calibri" w:cs="Calibri"/>
          <w:lang w:eastAsia="en-US"/>
        </w:rPr>
        <w:t>dokumentac</w:t>
      </w:r>
      <w:r w:rsidR="005B2F8B">
        <w:rPr>
          <w:rFonts w:ascii="Calibri" w:hAnsi="Calibri" w:cs="Calibri"/>
          <w:lang w:eastAsia="en-US"/>
        </w:rPr>
        <w:t>i</w:t>
      </w:r>
      <w:r w:rsidR="009C359A">
        <w:rPr>
          <w:rFonts w:ascii="Calibri" w:hAnsi="Calibri" w:cs="Calibri"/>
          <w:lang w:eastAsia="en-US"/>
        </w:rPr>
        <w:t xml:space="preserve"> programu p</w:t>
      </w:r>
      <w:r w:rsidR="00F25923">
        <w:rPr>
          <w:rFonts w:ascii="Calibri" w:hAnsi="Calibri" w:cs="Calibri"/>
          <w:lang w:eastAsia="en-US"/>
        </w:rPr>
        <w:t>ředpokládána</w:t>
      </w:r>
      <w:r w:rsidR="00507B56">
        <w:rPr>
          <w:rFonts w:ascii="Calibri" w:hAnsi="Calibri" w:cs="Calibri"/>
          <w:lang w:eastAsia="en-US"/>
        </w:rPr>
        <w:t xml:space="preserve">. </w:t>
      </w:r>
      <w:r w:rsidR="00CE2496">
        <w:rPr>
          <w:rFonts w:asciiTheme="minorHAnsi" w:eastAsia="Calibri" w:hAnsiTheme="minorHAnsi" w:cstheme="minorHAnsi"/>
          <w:lang w:eastAsia="en-US"/>
        </w:rPr>
        <w:t>NKÚ také zjistil, že MO ne</w:t>
      </w:r>
      <w:r w:rsidR="00D575B2">
        <w:rPr>
          <w:rFonts w:asciiTheme="minorHAnsi" w:eastAsia="Calibri" w:hAnsiTheme="minorHAnsi" w:cstheme="minorHAnsi"/>
          <w:lang w:eastAsia="en-US"/>
        </w:rPr>
        <w:t>určovalo</w:t>
      </w:r>
      <w:r w:rsidR="00CE2496">
        <w:rPr>
          <w:rFonts w:asciiTheme="minorHAnsi" w:eastAsia="Calibri" w:hAnsiTheme="minorHAnsi" w:cstheme="minorHAnsi"/>
          <w:lang w:eastAsia="en-US"/>
        </w:rPr>
        <w:t xml:space="preserve"> priority pro pořízení nové automobilní techniky podle ekonomické efektivnosti prováděných oprav </w:t>
      </w:r>
      <w:r w:rsidR="00D575B2">
        <w:rPr>
          <w:rFonts w:asciiTheme="minorHAnsi" w:eastAsia="Calibri" w:hAnsiTheme="minorHAnsi" w:cstheme="minorHAnsi"/>
          <w:lang w:eastAsia="en-US"/>
        </w:rPr>
        <w:t xml:space="preserve">stávající </w:t>
      </w:r>
      <w:r w:rsidR="00CE2496">
        <w:rPr>
          <w:rFonts w:asciiTheme="minorHAnsi" w:eastAsia="Calibri" w:hAnsiTheme="minorHAnsi" w:cstheme="minorHAnsi"/>
          <w:lang w:eastAsia="en-US"/>
        </w:rPr>
        <w:t xml:space="preserve">techniky. Efektivnost </w:t>
      </w:r>
      <w:r w:rsidR="00F25923">
        <w:rPr>
          <w:rFonts w:asciiTheme="minorHAnsi" w:eastAsia="Calibri" w:hAnsiTheme="minorHAnsi" w:cstheme="minorHAnsi"/>
          <w:lang w:eastAsia="en-US"/>
        </w:rPr>
        <w:t xml:space="preserve">mimovojskových oprav </w:t>
      </w:r>
      <w:r w:rsidR="00CE2496">
        <w:rPr>
          <w:rFonts w:asciiTheme="minorHAnsi" w:eastAsia="Calibri" w:hAnsiTheme="minorHAnsi" w:cstheme="minorHAnsi"/>
          <w:lang w:eastAsia="en-US"/>
        </w:rPr>
        <w:t xml:space="preserve">mělo MO zjišťovat </w:t>
      </w:r>
      <w:r w:rsidR="00E93115">
        <w:rPr>
          <w:rFonts w:asciiTheme="minorHAnsi" w:eastAsia="Calibri" w:hAnsiTheme="minorHAnsi" w:cstheme="minorHAnsi"/>
          <w:lang w:eastAsia="en-US"/>
        </w:rPr>
        <w:t xml:space="preserve">mj. na základě </w:t>
      </w:r>
      <w:r w:rsidR="00CE2496">
        <w:rPr>
          <w:rFonts w:asciiTheme="minorHAnsi" w:eastAsia="Calibri" w:hAnsiTheme="minorHAnsi" w:cstheme="minorHAnsi"/>
          <w:lang w:eastAsia="en-US"/>
        </w:rPr>
        <w:t>vnitřní</w:t>
      </w:r>
      <w:r w:rsidR="00E93115">
        <w:rPr>
          <w:rFonts w:asciiTheme="minorHAnsi" w:eastAsia="Calibri" w:hAnsiTheme="minorHAnsi" w:cstheme="minorHAnsi"/>
          <w:lang w:eastAsia="en-US"/>
        </w:rPr>
        <w:t>ch</w:t>
      </w:r>
      <w:r w:rsidR="00CE2496">
        <w:rPr>
          <w:rFonts w:asciiTheme="minorHAnsi" w:eastAsia="Calibri" w:hAnsiTheme="minorHAnsi" w:cstheme="minorHAnsi"/>
          <w:lang w:eastAsia="en-US"/>
        </w:rPr>
        <w:t xml:space="preserve"> předpis</w:t>
      </w:r>
      <w:r w:rsidR="00E93115">
        <w:rPr>
          <w:rFonts w:asciiTheme="minorHAnsi" w:eastAsia="Calibri" w:hAnsiTheme="minorHAnsi" w:cstheme="minorHAnsi"/>
          <w:lang w:eastAsia="en-US"/>
        </w:rPr>
        <w:t>ů</w:t>
      </w:r>
      <w:r w:rsidR="003272F2">
        <w:rPr>
          <w:rFonts w:asciiTheme="minorHAnsi" w:eastAsia="Calibri" w:hAnsiTheme="minorHAnsi" w:cstheme="minorHAnsi"/>
          <w:lang w:eastAsia="en-US"/>
        </w:rPr>
        <w:t>,</w:t>
      </w:r>
      <w:r w:rsidR="005B2F8B">
        <w:rPr>
          <w:rFonts w:asciiTheme="minorHAnsi" w:eastAsia="Calibri" w:hAnsiTheme="minorHAnsi" w:cstheme="minorHAnsi"/>
          <w:lang w:eastAsia="en-US"/>
        </w:rPr>
        <w:t xml:space="preserve"> </w:t>
      </w:r>
      <w:r w:rsidR="00E93115" w:rsidRPr="00E93115">
        <w:rPr>
          <w:rFonts w:asciiTheme="minorHAnsi" w:eastAsia="Calibri" w:hAnsiTheme="minorHAnsi" w:cstheme="minorHAnsi"/>
          <w:lang w:eastAsia="en-US"/>
        </w:rPr>
        <w:t>což neprovádělo</w:t>
      </w:r>
      <w:r w:rsidR="00CE2496" w:rsidRPr="00E93115">
        <w:rPr>
          <w:rFonts w:asciiTheme="minorHAnsi" w:eastAsia="Calibri" w:hAnsiTheme="minorHAnsi" w:cstheme="minorHAnsi"/>
          <w:lang w:eastAsia="en-US"/>
        </w:rPr>
        <w:t xml:space="preserve">. Důsledkem </w:t>
      </w:r>
      <w:r w:rsidR="00CE2496">
        <w:rPr>
          <w:rFonts w:asciiTheme="minorHAnsi" w:eastAsia="Calibri" w:hAnsiTheme="minorHAnsi" w:cstheme="minorHAnsi"/>
          <w:lang w:eastAsia="en-US"/>
        </w:rPr>
        <w:t>byl</w:t>
      </w:r>
      <w:r w:rsidR="002952D6">
        <w:rPr>
          <w:rFonts w:asciiTheme="minorHAnsi" w:eastAsia="Calibri" w:hAnsiTheme="minorHAnsi" w:cstheme="minorHAnsi"/>
          <w:lang w:eastAsia="en-US"/>
        </w:rPr>
        <w:t>o</w:t>
      </w:r>
      <w:r w:rsidR="00CE2496">
        <w:rPr>
          <w:rFonts w:asciiTheme="minorHAnsi" w:eastAsia="Calibri" w:hAnsiTheme="minorHAnsi" w:cstheme="minorHAnsi"/>
          <w:lang w:eastAsia="en-US"/>
        </w:rPr>
        <w:t xml:space="preserve"> neefektivn</w:t>
      </w:r>
      <w:r w:rsidR="002952D6">
        <w:rPr>
          <w:rFonts w:asciiTheme="minorHAnsi" w:eastAsia="Calibri" w:hAnsiTheme="minorHAnsi" w:cstheme="minorHAnsi"/>
          <w:lang w:eastAsia="en-US"/>
        </w:rPr>
        <w:t>í</w:t>
      </w:r>
      <w:r w:rsidR="00CE2496">
        <w:rPr>
          <w:rFonts w:asciiTheme="minorHAnsi" w:eastAsia="Calibri" w:hAnsiTheme="minorHAnsi" w:cstheme="minorHAnsi"/>
          <w:lang w:eastAsia="en-US"/>
        </w:rPr>
        <w:t xml:space="preserve"> a</w:t>
      </w:r>
      <w:r w:rsidR="00C33BAA">
        <w:rPr>
          <w:rFonts w:asciiTheme="minorHAnsi" w:eastAsia="Calibri" w:hAnsiTheme="minorHAnsi" w:cstheme="minorHAnsi"/>
          <w:lang w:eastAsia="en-US"/>
        </w:rPr>
        <w:t xml:space="preserve"> </w:t>
      </w:r>
      <w:r w:rsidR="00CE2496">
        <w:rPr>
          <w:rFonts w:asciiTheme="minorHAnsi" w:eastAsia="Calibri" w:hAnsiTheme="minorHAnsi" w:cstheme="minorHAnsi"/>
          <w:lang w:eastAsia="en-US"/>
        </w:rPr>
        <w:t>neúčeln</w:t>
      </w:r>
      <w:r w:rsidR="002952D6">
        <w:rPr>
          <w:rFonts w:asciiTheme="minorHAnsi" w:eastAsia="Calibri" w:hAnsiTheme="minorHAnsi" w:cstheme="minorHAnsi"/>
          <w:lang w:eastAsia="en-US"/>
        </w:rPr>
        <w:t>é</w:t>
      </w:r>
      <w:r w:rsidR="00CE2496">
        <w:rPr>
          <w:rFonts w:asciiTheme="minorHAnsi" w:eastAsia="Calibri" w:hAnsiTheme="minorHAnsi" w:cstheme="minorHAnsi"/>
          <w:lang w:eastAsia="en-US"/>
        </w:rPr>
        <w:t xml:space="preserve"> </w:t>
      </w:r>
      <w:r w:rsidR="00AA7CD4">
        <w:rPr>
          <w:rFonts w:asciiTheme="minorHAnsi" w:eastAsia="Calibri" w:hAnsiTheme="minorHAnsi" w:cstheme="minorHAnsi"/>
          <w:lang w:eastAsia="en-US"/>
        </w:rPr>
        <w:t>vyna</w:t>
      </w:r>
      <w:r w:rsidR="002952D6">
        <w:rPr>
          <w:rFonts w:asciiTheme="minorHAnsi" w:eastAsia="Calibri" w:hAnsiTheme="minorHAnsi" w:cstheme="minorHAnsi"/>
          <w:lang w:eastAsia="en-US"/>
        </w:rPr>
        <w:t>kládání</w:t>
      </w:r>
      <w:r w:rsidR="00AA7CD4">
        <w:rPr>
          <w:rFonts w:asciiTheme="minorHAnsi" w:eastAsia="Calibri" w:hAnsiTheme="minorHAnsi" w:cstheme="minorHAnsi"/>
          <w:lang w:eastAsia="en-US"/>
        </w:rPr>
        <w:t xml:space="preserve"> peněžní</w:t>
      </w:r>
      <w:r w:rsidR="002952D6">
        <w:rPr>
          <w:rFonts w:asciiTheme="minorHAnsi" w:eastAsia="Calibri" w:hAnsiTheme="minorHAnsi" w:cstheme="minorHAnsi"/>
          <w:lang w:eastAsia="en-US"/>
        </w:rPr>
        <w:t>ch</w:t>
      </w:r>
      <w:r w:rsidR="00AA7CD4">
        <w:rPr>
          <w:rFonts w:asciiTheme="minorHAnsi" w:eastAsia="Calibri" w:hAnsiTheme="minorHAnsi" w:cstheme="minorHAnsi"/>
          <w:lang w:eastAsia="en-US"/>
        </w:rPr>
        <w:t xml:space="preserve"> prostředk</w:t>
      </w:r>
      <w:r w:rsidR="002952D6">
        <w:rPr>
          <w:rFonts w:asciiTheme="minorHAnsi" w:eastAsia="Calibri" w:hAnsiTheme="minorHAnsi" w:cstheme="minorHAnsi"/>
          <w:lang w:eastAsia="en-US"/>
        </w:rPr>
        <w:t>ů</w:t>
      </w:r>
      <w:r w:rsidR="00AA7CD4">
        <w:rPr>
          <w:rFonts w:asciiTheme="minorHAnsi" w:eastAsia="Calibri" w:hAnsiTheme="minorHAnsi" w:cstheme="minorHAnsi"/>
          <w:lang w:eastAsia="en-US"/>
        </w:rPr>
        <w:t xml:space="preserve"> státního rozpočtu na </w:t>
      </w:r>
      <w:r w:rsidR="00CE2496">
        <w:rPr>
          <w:rFonts w:asciiTheme="minorHAnsi" w:eastAsia="Calibri" w:hAnsiTheme="minorHAnsi" w:cstheme="minorHAnsi"/>
          <w:lang w:eastAsia="en-US"/>
        </w:rPr>
        <w:t xml:space="preserve">opravy </w:t>
      </w:r>
      <w:r w:rsidR="00CE2496" w:rsidRPr="0088636A">
        <w:rPr>
          <w:rFonts w:asciiTheme="minorHAnsi" w:eastAsia="Calibri" w:hAnsiTheme="minorHAnsi" w:cstheme="minorHAnsi"/>
          <w:lang w:eastAsia="en-US"/>
        </w:rPr>
        <w:t>osobních terénních automobilů a</w:t>
      </w:r>
      <w:r w:rsidR="002952D6">
        <w:rPr>
          <w:rFonts w:asciiTheme="minorHAnsi" w:eastAsia="Calibri" w:hAnsiTheme="minorHAnsi" w:cstheme="minorHAnsi"/>
          <w:lang w:eastAsia="en-US"/>
        </w:rPr>
        <w:t xml:space="preserve"> </w:t>
      </w:r>
      <w:r w:rsidR="00CE2496" w:rsidRPr="0088636A">
        <w:rPr>
          <w:rFonts w:asciiTheme="minorHAnsi" w:eastAsia="Calibri" w:hAnsiTheme="minorHAnsi" w:cstheme="minorHAnsi"/>
          <w:lang w:eastAsia="en-US"/>
        </w:rPr>
        <w:t xml:space="preserve">jeřábové techniky vysokého stáří a ve špatném technickém stavu (viz </w:t>
      </w:r>
      <w:r w:rsidR="00AA7CD4" w:rsidRPr="0088636A">
        <w:rPr>
          <w:rFonts w:asciiTheme="minorHAnsi" w:eastAsia="Calibri" w:hAnsiTheme="minorHAnsi" w:cstheme="minorHAnsi"/>
          <w:lang w:eastAsia="en-US"/>
        </w:rPr>
        <w:t>odst. 4.</w:t>
      </w:r>
      <w:r w:rsidR="003272F2" w:rsidRPr="0088636A">
        <w:rPr>
          <w:rFonts w:asciiTheme="minorHAnsi" w:eastAsia="Calibri" w:hAnsiTheme="minorHAnsi" w:cstheme="minorHAnsi"/>
          <w:lang w:eastAsia="en-US"/>
        </w:rPr>
        <w:t>2</w:t>
      </w:r>
      <w:r w:rsidR="007274B9">
        <w:rPr>
          <w:rFonts w:asciiTheme="minorHAnsi" w:eastAsia="Calibri" w:hAnsiTheme="minorHAnsi" w:cstheme="minorHAnsi"/>
          <w:lang w:eastAsia="en-US"/>
        </w:rPr>
        <w:t>0</w:t>
      </w:r>
      <w:r w:rsidR="008C0526" w:rsidRPr="0088636A">
        <w:rPr>
          <w:rFonts w:asciiTheme="minorHAnsi" w:eastAsia="Calibri" w:hAnsiTheme="minorHAnsi" w:cstheme="minorHAnsi"/>
          <w:lang w:eastAsia="en-US"/>
        </w:rPr>
        <w:t xml:space="preserve"> až 4.</w:t>
      </w:r>
      <w:r w:rsidR="009B53BC" w:rsidRPr="0088636A">
        <w:rPr>
          <w:rFonts w:asciiTheme="minorHAnsi" w:eastAsia="Calibri" w:hAnsiTheme="minorHAnsi" w:cstheme="minorHAnsi"/>
          <w:lang w:eastAsia="en-US"/>
        </w:rPr>
        <w:t>2</w:t>
      </w:r>
      <w:r w:rsidR="007274B9">
        <w:rPr>
          <w:rFonts w:asciiTheme="minorHAnsi" w:eastAsia="Calibri" w:hAnsiTheme="minorHAnsi" w:cstheme="minorHAnsi"/>
          <w:lang w:eastAsia="en-US"/>
        </w:rPr>
        <w:t>5</w:t>
      </w:r>
      <w:r w:rsidR="008C0526" w:rsidRPr="0088636A">
        <w:rPr>
          <w:rFonts w:asciiTheme="minorHAnsi" w:eastAsia="Calibri" w:hAnsiTheme="minorHAnsi" w:cstheme="minorHAnsi"/>
          <w:lang w:eastAsia="en-US"/>
        </w:rPr>
        <w:t>)</w:t>
      </w:r>
      <w:r w:rsidR="00D575B2" w:rsidRPr="0088636A">
        <w:rPr>
          <w:rFonts w:asciiTheme="minorHAnsi" w:eastAsia="Calibri" w:hAnsiTheme="minorHAnsi" w:cstheme="minorHAnsi"/>
          <w:lang w:eastAsia="en-US"/>
        </w:rPr>
        <w:t>.</w:t>
      </w:r>
    </w:p>
    <w:p w14:paraId="6F359D83" w14:textId="4C67E585" w:rsidR="003E36FE" w:rsidRDefault="00722505" w:rsidP="00815D2D">
      <w:pPr>
        <w:spacing w:before="120" w:after="120"/>
        <w:jc w:val="both"/>
        <w:rPr>
          <w:rFonts w:asciiTheme="minorHAnsi" w:hAnsiTheme="minorHAnsi" w:cstheme="minorHAnsi"/>
          <w:b/>
        </w:rPr>
      </w:pPr>
      <w:bookmarkStart w:id="16" w:name="_Hlk126759936"/>
      <w:r w:rsidRPr="00722505">
        <w:rPr>
          <w:rFonts w:asciiTheme="minorHAnsi" w:hAnsiTheme="minorHAnsi" w:cstheme="minorHAnsi"/>
          <w:b/>
          <w:color w:val="000000"/>
        </w:rPr>
        <w:t>4.</w:t>
      </w:r>
      <w:r w:rsidR="00991DA0">
        <w:rPr>
          <w:rFonts w:asciiTheme="minorHAnsi" w:hAnsiTheme="minorHAnsi" w:cstheme="minorHAnsi"/>
          <w:b/>
          <w:color w:val="000000"/>
        </w:rPr>
        <w:t>6</w:t>
      </w:r>
      <w:r>
        <w:rPr>
          <w:rFonts w:asciiTheme="minorHAnsi" w:hAnsiTheme="minorHAnsi" w:cstheme="minorHAnsi"/>
          <w:color w:val="000000"/>
        </w:rPr>
        <w:t xml:space="preserve"> </w:t>
      </w:r>
      <w:r w:rsidR="00E22D55" w:rsidRPr="00C47CC6">
        <w:rPr>
          <w:rFonts w:ascii="Calibri" w:eastAsia="Calibri" w:hAnsi="Calibri" w:cs="Calibri"/>
          <w:lang w:eastAsia="en-US"/>
        </w:rPr>
        <w:t xml:space="preserve">Armáda </w:t>
      </w:r>
      <w:r w:rsidR="00E22D55">
        <w:rPr>
          <w:rFonts w:ascii="Calibri" w:eastAsia="Calibri" w:hAnsi="Calibri" w:cs="Calibri"/>
          <w:lang w:eastAsia="en-US"/>
        </w:rPr>
        <w:t>disponovala</w:t>
      </w:r>
      <w:r w:rsidR="00E22D55" w:rsidRPr="00C47CC6">
        <w:rPr>
          <w:rFonts w:ascii="Calibri" w:eastAsia="Calibri" w:hAnsi="Calibri" w:cs="Calibri"/>
          <w:lang w:eastAsia="en-US"/>
        </w:rPr>
        <w:t xml:space="preserve"> v kontrolovaném období </w:t>
      </w:r>
      <w:r w:rsidR="00E22D55">
        <w:rPr>
          <w:rFonts w:ascii="Calibri" w:eastAsia="Calibri" w:hAnsi="Calibri" w:cs="Calibri"/>
          <w:lang w:eastAsia="en-US"/>
        </w:rPr>
        <w:t>cca 120</w:t>
      </w:r>
      <w:r w:rsidR="00CE2496" w:rsidRPr="000A060A">
        <w:rPr>
          <w:rFonts w:asciiTheme="minorHAnsi" w:eastAsia="Calibri" w:hAnsiTheme="minorHAnsi" w:cstheme="minorHAnsi"/>
          <w:lang w:eastAsia="en-US"/>
        </w:rPr>
        <w:t xml:space="preserve"> automobilní</w:t>
      </w:r>
      <w:r w:rsidR="00E22D55">
        <w:rPr>
          <w:rFonts w:asciiTheme="minorHAnsi" w:eastAsia="Calibri" w:hAnsiTheme="minorHAnsi" w:cstheme="minorHAnsi"/>
          <w:lang w:eastAsia="en-US"/>
        </w:rPr>
        <w:t>mi</w:t>
      </w:r>
      <w:r w:rsidR="00CE2496" w:rsidRPr="000A060A">
        <w:rPr>
          <w:rFonts w:asciiTheme="minorHAnsi" w:eastAsia="Calibri" w:hAnsiTheme="minorHAnsi" w:cstheme="minorHAnsi"/>
          <w:lang w:eastAsia="en-US"/>
        </w:rPr>
        <w:t xml:space="preserve"> jeřáb</w:t>
      </w:r>
      <w:r w:rsidR="00E22D55">
        <w:rPr>
          <w:rFonts w:asciiTheme="minorHAnsi" w:eastAsia="Calibri" w:hAnsiTheme="minorHAnsi" w:cstheme="minorHAnsi"/>
          <w:lang w:eastAsia="en-US"/>
        </w:rPr>
        <w:t xml:space="preserve">y. Jejich </w:t>
      </w:r>
      <w:r w:rsidR="003A7D0E">
        <w:rPr>
          <w:rFonts w:asciiTheme="minorHAnsi" w:eastAsia="Calibri" w:hAnsiTheme="minorHAnsi" w:cstheme="minorHAnsi"/>
          <w:lang w:eastAsia="en-US"/>
        </w:rPr>
        <w:t xml:space="preserve">průměrné </w:t>
      </w:r>
      <w:r w:rsidR="00E22D55">
        <w:rPr>
          <w:rFonts w:asciiTheme="minorHAnsi" w:eastAsia="Calibri" w:hAnsiTheme="minorHAnsi" w:cstheme="minorHAnsi"/>
          <w:lang w:eastAsia="en-US"/>
        </w:rPr>
        <w:t xml:space="preserve">stáří </w:t>
      </w:r>
      <w:r w:rsidR="00CE2496" w:rsidRPr="000A060A">
        <w:rPr>
          <w:rFonts w:asciiTheme="minorHAnsi" w:eastAsia="Calibri" w:hAnsiTheme="minorHAnsi" w:cstheme="minorHAnsi"/>
          <w:lang w:eastAsia="en-US"/>
        </w:rPr>
        <w:t xml:space="preserve">ke konci roku 2021 </w:t>
      </w:r>
      <w:r w:rsidR="004B4634">
        <w:rPr>
          <w:rFonts w:asciiTheme="minorHAnsi" w:eastAsia="Calibri" w:hAnsiTheme="minorHAnsi" w:cstheme="minorHAnsi"/>
          <w:lang w:eastAsia="en-US"/>
        </w:rPr>
        <w:t xml:space="preserve">činilo 30 let a </w:t>
      </w:r>
      <w:r w:rsidR="00CE2496" w:rsidRPr="000A060A">
        <w:rPr>
          <w:rFonts w:asciiTheme="minorHAnsi" w:eastAsia="Calibri" w:hAnsiTheme="minorHAnsi" w:cstheme="minorHAnsi"/>
          <w:lang w:eastAsia="en-US"/>
        </w:rPr>
        <w:t xml:space="preserve">průměrnou životnost </w:t>
      </w:r>
      <w:r w:rsidR="00C00E2F" w:rsidRPr="000A060A">
        <w:rPr>
          <w:rFonts w:asciiTheme="minorHAnsi" w:eastAsia="Calibri" w:hAnsiTheme="minorHAnsi" w:cstheme="minorHAnsi"/>
          <w:lang w:eastAsia="en-US"/>
        </w:rPr>
        <w:t>převyšoval</w:t>
      </w:r>
      <w:r w:rsidR="00A0679F">
        <w:rPr>
          <w:rFonts w:asciiTheme="minorHAnsi" w:eastAsia="Calibri" w:hAnsiTheme="minorHAnsi" w:cstheme="minorHAnsi"/>
          <w:lang w:eastAsia="en-US"/>
        </w:rPr>
        <w:t>y</w:t>
      </w:r>
      <w:r w:rsidR="00C00E2F" w:rsidRPr="000A060A">
        <w:rPr>
          <w:rFonts w:asciiTheme="minorHAnsi" w:eastAsia="Calibri" w:hAnsiTheme="minorHAnsi" w:cstheme="minorHAnsi"/>
          <w:lang w:eastAsia="en-US"/>
        </w:rPr>
        <w:t xml:space="preserve"> </w:t>
      </w:r>
      <w:r w:rsidR="00CE2496" w:rsidRPr="000A060A">
        <w:rPr>
          <w:rFonts w:asciiTheme="minorHAnsi" w:eastAsia="Calibri" w:hAnsiTheme="minorHAnsi" w:cstheme="minorHAnsi"/>
          <w:lang w:eastAsia="en-US"/>
        </w:rPr>
        <w:t>o</w:t>
      </w:r>
      <w:r w:rsidR="00516259">
        <w:rPr>
          <w:rFonts w:asciiTheme="minorHAnsi" w:eastAsia="Calibri" w:hAnsiTheme="minorHAnsi" w:cstheme="minorHAnsi"/>
          <w:lang w:eastAsia="en-US"/>
        </w:rPr>
        <w:t xml:space="preserve"> </w:t>
      </w:r>
      <w:r w:rsidR="00CE2496" w:rsidRPr="000A060A">
        <w:rPr>
          <w:rFonts w:asciiTheme="minorHAnsi" w:eastAsia="Calibri" w:hAnsiTheme="minorHAnsi" w:cstheme="minorHAnsi"/>
          <w:lang w:eastAsia="en-US"/>
        </w:rPr>
        <w:t>20</w:t>
      </w:r>
      <w:r w:rsidR="00A0679F">
        <w:rPr>
          <w:rFonts w:asciiTheme="minorHAnsi" w:eastAsia="Calibri" w:hAnsiTheme="minorHAnsi" w:cstheme="minorHAnsi"/>
          <w:lang w:eastAsia="en-US"/>
        </w:rPr>
        <w:t> </w:t>
      </w:r>
      <w:r w:rsidR="00CE2496" w:rsidRPr="000A060A">
        <w:rPr>
          <w:rFonts w:asciiTheme="minorHAnsi" w:eastAsia="Calibri" w:hAnsiTheme="minorHAnsi" w:cstheme="minorHAnsi"/>
          <w:lang w:eastAsia="en-US"/>
        </w:rPr>
        <w:t>%</w:t>
      </w:r>
      <w:r w:rsidR="000A060A" w:rsidRPr="000A060A">
        <w:rPr>
          <w:rFonts w:asciiTheme="minorHAnsi" w:eastAsia="Calibri" w:hAnsiTheme="minorHAnsi" w:cstheme="minorHAnsi"/>
          <w:lang w:eastAsia="en-US"/>
        </w:rPr>
        <w:t xml:space="preserve"> (</w:t>
      </w:r>
      <w:r w:rsidR="000A060A" w:rsidRPr="0088636A">
        <w:rPr>
          <w:rFonts w:asciiTheme="minorHAnsi" w:eastAsia="Calibri" w:hAnsiTheme="minorHAnsi" w:cstheme="minorHAnsi"/>
          <w:lang w:eastAsia="en-US"/>
        </w:rPr>
        <w:t>příloha č. 2)</w:t>
      </w:r>
      <w:r w:rsidR="00CE2496" w:rsidRPr="0088636A">
        <w:rPr>
          <w:rFonts w:asciiTheme="minorHAnsi" w:eastAsia="Calibri" w:hAnsiTheme="minorHAnsi" w:cstheme="minorHAnsi"/>
          <w:lang w:eastAsia="en-US"/>
        </w:rPr>
        <w:t>.</w:t>
      </w:r>
      <w:r w:rsidR="00CE2496" w:rsidRPr="000A060A">
        <w:rPr>
          <w:rFonts w:asciiTheme="minorHAnsi" w:eastAsia="Calibri" w:hAnsiTheme="minorHAnsi" w:cstheme="minorHAnsi"/>
          <w:lang w:eastAsia="en-US"/>
        </w:rPr>
        <w:t xml:space="preserve"> </w:t>
      </w:r>
      <w:bookmarkEnd w:id="16"/>
      <w:r w:rsidR="00CE2496" w:rsidRPr="000A060A">
        <w:rPr>
          <w:rFonts w:asciiTheme="minorHAnsi" w:eastAsia="Calibri" w:hAnsiTheme="minorHAnsi" w:cstheme="minorHAnsi"/>
          <w:lang w:eastAsia="en-US"/>
        </w:rPr>
        <w:t>T</w:t>
      </w:r>
      <w:r w:rsidR="000A060A">
        <w:rPr>
          <w:rFonts w:asciiTheme="minorHAnsi" w:eastAsia="Calibri" w:hAnsiTheme="minorHAnsi" w:cstheme="minorHAnsi"/>
          <w:lang w:eastAsia="en-US"/>
        </w:rPr>
        <w:t>ato t</w:t>
      </w:r>
      <w:r w:rsidR="00CE2496" w:rsidRPr="000A060A">
        <w:rPr>
          <w:rFonts w:asciiTheme="minorHAnsi" w:eastAsia="Calibri" w:hAnsiTheme="minorHAnsi" w:cstheme="minorHAnsi"/>
          <w:lang w:eastAsia="en-US"/>
        </w:rPr>
        <w:t>echnika zároveň dlouhodobě neplnila koeficient technické pohotovosti</w:t>
      </w:r>
      <w:r w:rsidR="0035352F">
        <w:rPr>
          <w:rStyle w:val="Znakapoznpodarou"/>
          <w:rFonts w:asciiTheme="minorHAnsi" w:eastAsia="Calibri" w:hAnsiTheme="minorHAnsi" w:cstheme="minorHAnsi"/>
          <w:lang w:eastAsia="en-US"/>
        </w:rPr>
        <w:footnoteReference w:id="35"/>
      </w:r>
      <w:r w:rsidR="00CE2496" w:rsidRPr="000A060A">
        <w:rPr>
          <w:rFonts w:asciiTheme="minorHAnsi" w:eastAsia="Calibri" w:hAnsiTheme="minorHAnsi" w:cstheme="minorHAnsi"/>
          <w:lang w:eastAsia="en-US"/>
        </w:rPr>
        <w:t xml:space="preserve"> ve výši 80 %, v kontrolovaném období se</w:t>
      </w:r>
      <w:r w:rsidR="00CA629F">
        <w:rPr>
          <w:rFonts w:asciiTheme="minorHAnsi" w:eastAsia="Calibri" w:hAnsiTheme="minorHAnsi" w:cstheme="minorHAnsi"/>
          <w:lang w:eastAsia="en-US"/>
        </w:rPr>
        <w:t xml:space="preserve"> hodnota</w:t>
      </w:r>
      <w:r w:rsidR="00CE2496" w:rsidRPr="000A060A">
        <w:rPr>
          <w:rFonts w:asciiTheme="minorHAnsi" w:eastAsia="Calibri" w:hAnsiTheme="minorHAnsi" w:cstheme="minorHAnsi"/>
          <w:lang w:eastAsia="en-US"/>
        </w:rPr>
        <w:t xml:space="preserve"> koeficient</w:t>
      </w:r>
      <w:r w:rsidR="00CA629F">
        <w:rPr>
          <w:rFonts w:asciiTheme="minorHAnsi" w:eastAsia="Calibri" w:hAnsiTheme="minorHAnsi" w:cstheme="minorHAnsi"/>
          <w:lang w:eastAsia="en-US"/>
        </w:rPr>
        <w:t>u</w:t>
      </w:r>
      <w:r w:rsidR="00CE2496" w:rsidRPr="000A060A">
        <w:rPr>
          <w:rFonts w:asciiTheme="minorHAnsi" w:eastAsia="Calibri" w:hAnsiTheme="minorHAnsi" w:cstheme="minorHAnsi"/>
          <w:lang w:eastAsia="en-US"/>
        </w:rPr>
        <w:t xml:space="preserve"> pohyboval</w:t>
      </w:r>
      <w:r w:rsidR="00CA629F">
        <w:rPr>
          <w:rFonts w:asciiTheme="minorHAnsi" w:eastAsia="Calibri" w:hAnsiTheme="minorHAnsi" w:cstheme="minorHAnsi"/>
          <w:lang w:eastAsia="en-US"/>
        </w:rPr>
        <w:t>a</w:t>
      </w:r>
      <w:r w:rsidR="00CE2496" w:rsidRPr="000A060A">
        <w:rPr>
          <w:rFonts w:asciiTheme="minorHAnsi" w:eastAsia="Calibri" w:hAnsiTheme="minorHAnsi" w:cstheme="minorHAnsi"/>
          <w:lang w:eastAsia="en-US"/>
        </w:rPr>
        <w:t xml:space="preserve"> pouze okolo 70</w:t>
      </w:r>
      <w:r w:rsidR="00D575B2">
        <w:rPr>
          <w:rFonts w:asciiTheme="minorHAnsi" w:eastAsia="Calibri" w:hAnsiTheme="minorHAnsi" w:cstheme="minorHAnsi"/>
          <w:lang w:eastAsia="en-US"/>
        </w:rPr>
        <w:t> </w:t>
      </w:r>
      <w:r w:rsidR="00CE2496" w:rsidRPr="000A060A">
        <w:rPr>
          <w:rFonts w:asciiTheme="minorHAnsi" w:eastAsia="Calibri" w:hAnsiTheme="minorHAnsi" w:cstheme="minorHAnsi"/>
          <w:lang w:eastAsia="en-US"/>
        </w:rPr>
        <w:t>%.</w:t>
      </w:r>
      <w:r w:rsidR="00413028">
        <w:rPr>
          <w:rFonts w:asciiTheme="minorHAnsi" w:eastAsia="Calibri" w:hAnsiTheme="minorHAnsi" w:cstheme="minorHAnsi"/>
          <w:lang w:eastAsia="en-US"/>
        </w:rPr>
        <w:t xml:space="preserve"> MO původně plánovalo pořídit </w:t>
      </w:r>
      <w:r w:rsidR="00D575B2">
        <w:rPr>
          <w:rFonts w:asciiTheme="minorHAnsi" w:eastAsia="Calibri" w:hAnsiTheme="minorHAnsi" w:cstheme="minorHAnsi"/>
          <w:lang w:eastAsia="en-US"/>
        </w:rPr>
        <w:t xml:space="preserve">v programu 107 690 </w:t>
      </w:r>
      <w:r w:rsidR="00F669CB">
        <w:rPr>
          <w:rFonts w:asciiTheme="minorHAnsi" w:eastAsia="Calibri" w:hAnsiTheme="minorHAnsi" w:cstheme="minorHAnsi"/>
          <w:lang w:eastAsia="en-US"/>
        </w:rPr>
        <w:t xml:space="preserve">celkem 12 autojeřábů </w:t>
      </w:r>
      <w:r w:rsidR="0058517D">
        <w:rPr>
          <w:rFonts w:asciiTheme="minorHAnsi" w:eastAsia="Calibri" w:hAnsiTheme="minorHAnsi" w:cstheme="minorHAnsi"/>
          <w:lang w:eastAsia="en-US"/>
        </w:rPr>
        <w:t xml:space="preserve">(šest </w:t>
      </w:r>
      <w:r w:rsidR="00E93115">
        <w:rPr>
          <w:rFonts w:asciiTheme="minorHAnsi" w:eastAsia="Calibri" w:hAnsiTheme="minorHAnsi" w:cstheme="minorHAnsi"/>
          <w:lang w:eastAsia="en-US"/>
        </w:rPr>
        <w:t>s nosností do 20 tun</w:t>
      </w:r>
      <w:r w:rsidR="0058517D">
        <w:rPr>
          <w:rFonts w:asciiTheme="minorHAnsi" w:eastAsia="Calibri" w:hAnsiTheme="minorHAnsi" w:cstheme="minorHAnsi"/>
          <w:lang w:eastAsia="en-US"/>
        </w:rPr>
        <w:t xml:space="preserve"> a šest s nosností nad 20 tun)</w:t>
      </w:r>
      <w:r w:rsidR="00E93115">
        <w:rPr>
          <w:rFonts w:asciiTheme="minorHAnsi" w:eastAsia="Calibri" w:hAnsiTheme="minorHAnsi" w:cstheme="minorHAnsi"/>
          <w:lang w:eastAsia="en-US"/>
        </w:rPr>
        <w:t xml:space="preserve"> </w:t>
      </w:r>
      <w:r w:rsidR="00413028">
        <w:rPr>
          <w:rFonts w:asciiTheme="minorHAnsi" w:eastAsia="Calibri" w:hAnsiTheme="minorHAnsi" w:cstheme="minorHAnsi"/>
          <w:lang w:eastAsia="en-US"/>
        </w:rPr>
        <w:t>v letech 2019–2021</w:t>
      </w:r>
      <w:r w:rsidR="00F669CB">
        <w:rPr>
          <w:rFonts w:asciiTheme="minorHAnsi" w:eastAsia="Calibri" w:hAnsiTheme="minorHAnsi" w:cstheme="minorHAnsi"/>
          <w:lang w:eastAsia="en-US"/>
        </w:rPr>
        <w:t xml:space="preserve"> s</w:t>
      </w:r>
      <w:r w:rsidR="0058517D">
        <w:rPr>
          <w:rFonts w:asciiTheme="minorHAnsi" w:eastAsia="Calibri" w:hAnsiTheme="minorHAnsi" w:cstheme="minorHAnsi"/>
          <w:lang w:eastAsia="en-US"/>
        </w:rPr>
        <w:t xml:space="preserve"> celkovými </w:t>
      </w:r>
      <w:r w:rsidR="00F669CB">
        <w:rPr>
          <w:rFonts w:asciiTheme="minorHAnsi" w:eastAsia="Calibri" w:hAnsiTheme="minorHAnsi" w:cstheme="minorHAnsi"/>
          <w:lang w:eastAsia="en-US"/>
        </w:rPr>
        <w:t xml:space="preserve">výdaji ve výši 135 mil. Kč. Z důvodu nepřipravenosti </w:t>
      </w:r>
      <w:r w:rsidR="0058517D">
        <w:rPr>
          <w:rFonts w:asciiTheme="minorHAnsi" w:eastAsia="Calibri" w:hAnsiTheme="minorHAnsi" w:cstheme="minorHAnsi"/>
          <w:lang w:eastAsia="en-US"/>
        </w:rPr>
        <w:t>investiční akce</w:t>
      </w:r>
      <w:r w:rsidR="00F669CB">
        <w:rPr>
          <w:rFonts w:asciiTheme="minorHAnsi" w:eastAsia="Calibri" w:hAnsiTheme="minorHAnsi" w:cstheme="minorHAnsi"/>
          <w:lang w:eastAsia="en-US"/>
        </w:rPr>
        <w:t xml:space="preserve"> </w:t>
      </w:r>
      <w:r w:rsidR="00CA629F">
        <w:rPr>
          <w:rFonts w:asciiTheme="minorHAnsi" w:eastAsia="Calibri" w:hAnsiTheme="minorHAnsi" w:cstheme="minorHAnsi"/>
          <w:lang w:eastAsia="en-US"/>
        </w:rPr>
        <w:t xml:space="preserve">však </w:t>
      </w:r>
      <w:r w:rsidR="00F669CB">
        <w:rPr>
          <w:rFonts w:asciiTheme="minorHAnsi" w:eastAsia="Calibri" w:hAnsiTheme="minorHAnsi" w:cstheme="minorHAnsi"/>
          <w:lang w:eastAsia="en-US"/>
        </w:rPr>
        <w:t xml:space="preserve">k nákupu nedošlo. </w:t>
      </w:r>
      <w:r w:rsidR="00D575B2">
        <w:rPr>
          <w:rFonts w:asciiTheme="minorHAnsi" w:eastAsia="Calibri" w:hAnsiTheme="minorHAnsi" w:cstheme="minorHAnsi"/>
          <w:lang w:eastAsia="en-US"/>
        </w:rPr>
        <w:t>T</w:t>
      </w:r>
      <w:r w:rsidR="00F669CB">
        <w:rPr>
          <w:rFonts w:asciiTheme="minorHAnsi" w:eastAsia="Calibri" w:hAnsiTheme="minorHAnsi" w:cstheme="minorHAnsi"/>
          <w:lang w:eastAsia="en-US"/>
        </w:rPr>
        <w:t>eprve v listopadu 2022</w:t>
      </w:r>
      <w:r w:rsidR="00C00E2F">
        <w:rPr>
          <w:rFonts w:asciiTheme="minorHAnsi" w:eastAsia="Calibri" w:hAnsiTheme="minorHAnsi" w:cstheme="minorHAnsi"/>
          <w:lang w:eastAsia="en-US"/>
        </w:rPr>
        <w:t xml:space="preserve"> </w:t>
      </w:r>
      <w:r w:rsidR="0058517D">
        <w:rPr>
          <w:rFonts w:asciiTheme="minorHAnsi" w:eastAsia="Calibri" w:hAnsiTheme="minorHAnsi" w:cstheme="minorHAnsi"/>
          <w:lang w:eastAsia="en-US"/>
        </w:rPr>
        <w:t xml:space="preserve">MO </w:t>
      </w:r>
      <w:r w:rsidR="00C00E2F">
        <w:rPr>
          <w:rFonts w:asciiTheme="minorHAnsi" w:eastAsia="Calibri" w:hAnsiTheme="minorHAnsi" w:cstheme="minorHAnsi"/>
          <w:lang w:eastAsia="en-US"/>
        </w:rPr>
        <w:t>dokonč</w:t>
      </w:r>
      <w:r w:rsidR="0058517D">
        <w:rPr>
          <w:rFonts w:asciiTheme="minorHAnsi" w:eastAsia="Calibri" w:hAnsiTheme="minorHAnsi" w:cstheme="minorHAnsi"/>
          <w:lang w:eastAsia="en-US"/>
        </w:rPr>
        <w:t>ilo</w:t>
      </w:r>
      <w:r w:rsidR="00C00E2F">
        <w:rPr>
          <w:rFonts w:asciiTheme="minorHAnsi" w:eastAsia="Calibri" w:hAnsiTheme="minorHAnsi" w:cstheme="minorHAnsi"/>
          <w:lang w:eastAsia="en-US"/>
        </w:rPr>
        <w:t xml:space="preserve"> průzkum trhu</w:t>
      </w:r>
      <w:r w:rsidR="0058517D">
        <w:rPr>
          <w:rFonts w:asciiTheme="minorHAnsi" w:eastAsia="Calibri" w:hAnsiTheme="minorHAnsi" w:cstheme="minorHAnsi"/>
          <w:lang w:eastAsia="en-US"/>
        </w:rPr>
        <w:t>. Z</w:t>
      </w:r>
      <w:r w:rsidR="00F669CB">
        <w:rPr>
          <w:rFonts w:asciiTheme="minorHAnsi" w:eastAsia="Calibri" w:hAnsiTheme="minorHAnsi" w:cstheme="minorHAnsi"/>
          <w:lang w:eastAsia="en-US"/>
        </w:rPr>
        <w:t xml:space="preserve">měnilo </w:t>
      </w:r>
      <w:r w:rsidR="00257E6F">
        <w:rPr>
          <w:rFonts w:asciiTheme="minorHAnsi" w:eastAsia="Calibri" w:hAnsiTheme="minorHAnsi" w:cstheme="minorHAnsi"/>
          <w:lang w:eastAsia="en-US"/>
        </w:rPr>
        <w:t>rozsah a</w:t>
      </w:r>
      <w:r w:rsidR="00A0679F">
        <w:rPr>
          <w:rFonts w:asciiTheme="minorHAnsi" w:eastAsia="Calibri" w:hAnsiTheme="minorHAnsi" w:cstheme="minorHAnsi"/>
          <w:lang w:eastAsia="en-US"/>
        </w:rPr>
        <w:t xml:space="preserve"> </w:t>
      </w:r>
      <w:r w:rsidR="00F669CB">
        <w:rPr>
          <w:rFonts w:asciiTheme="minorHAnsi" w:eastAsia="Calibri" w:hAnsiTheme="minorHAnsi" w:cstheme="minorHAnsi"/>
          <w:lang w:eastAsia="en-US"/>
        </w:rPr>
        <w:t>technické p</w:t>
      </w:r>
      <w:r w:rsidR="00257E6F">
        <w:rPr>
          <w:rFonts w:asciiTheme="minorHAnsi" w:eastAsia="Calibri" w:hAnsiTheme="minorHAnsi" w:cstheme="minorHAnsi"/>
          <w:lang w:eastAsia="en-US"/>
        </w:rPr>
        <w:t xml:space="preserve">arametry </w:t>
      </w:r>
      <w:r w:rsidR="006B1446">
        <w:rPr>
          <w:rFonts w:asciiTheme="minorHAnsi" w:eastAsia="Calibri" w:hAnsiTheme="minorHAnsi" w:cstheme="minorHAnsi"/>
          <w:lang w:eastAsia="en-US"/>
        </w:rPr>
        <w:t>a</w:t>
      </w:r>
      <w:r w:rsidR="00A0679F">
        <w:rPr>
          <w:rFonts w:asciiTheme="minorHAnsi" w:eastAsia="Calibri" w:hAnsiTheme="minorHAnsi" w:cstheme="minorHAnsi"/>
          <w:lang w:eastAsia="en-US"/>
        </w:rPr>
        <w:t xml:space="preserve"> </w:t>
      </w:r>
      <w:r w:rsidR="006B1446">
        <w:rPr>
          <w:rFonts w:asciiTheme="minorHAnsi" w:eastAsia="Calibri" w:hAnsiTheme="minorHAnsi" w:cstheme="minorHAnsi"/>
          <w:lang w:eastAsia="en-US"/>
        </w:rPr>
        <w:t xml:space="preserve">zvýšilo </w:t>
      </w:r>
      <w:r w:rsidR="00F669CB">
        <w:rPr>
          <w:rFonts w:asciiTheme="minorHAnsi" w:eastAsia="Calibri" w:hAnsiTheme="minorHAnsi" w:cstheme="minorHAnsi"/>
          <w:lang w:eastAsia="en-US"/>
        </w:rPr>
        <w:t xml:space="preserve">předpokládané výdaje </w:t>
      </w:r>
      <w:r w:rsidR="0058517D">
        <w:rPr>
          <w:rFonts w:asciiTheme="minorHAnsi" w:eastAsia="Calibri" w:hAnsiTheme="minorHAnsi" w:cstheme="minorHAnsi"/>
          <w:lang w:eastAsia="en-US"/>
        </w:rPr>
        <w:t>investiční akce</w:t>
      </w:r>
      <w:r w:rsidR="00F669CB">
        <w:rPr>
          <w:rFonts w:asciiTheme="minorHAnsi" w:eastAsia="Calibri" w:hAnsiTheme="minorHAnsi" w:cstheme="minorHAnsi"/>
          <w:lang w:eastAsia="en-US"/>
        </w:rPr>
        <w:t xml:space="preserve">. </w:t>
      </w:r>
      <w:r w:rsidR="00257E6F">
        <w:rPr>
          <w:rFonts w:asciiTheme="minorHAnsi" w:eastAsia="Calibri" w:hAnsiTheme="minorHAnsi" w:cstheme="minorHAnsi"/>
          <w:lang w:eastAsia="en-US"/>
        </w:rPr>
        <w:t>N</w:t>
      </w:r>
      <w:r w:rsidR="00F669CB">
        <w:rPr>
          <w:rFonts w:asciiTheme="minorHAnsi" w:eastAsia="Calibri" w:hAnsiTheme="minorHAnsi" w:cstheme="minorHAnsi"/>
          <w:lang w:eastAsia="en-US"/>
        </w:rPr>
        <w:t>ově plán</w:t>
      </w:r>
      <w:r w:rsidR="00D575B2">
        <w:rPr>
          <w:rFonts w:asciiTheme="minorHAnsi" w:eastAsia="Calibri" w:hAnsiTheme="minorHAnsi" w:cstheme="minorHAnsi"/>
          <w:lang w:eastAsia="en-US"/>
        </w:rPr>
        <w:t xml:space="preserve">ovalo </w:t>
      </w:r>
      <w:r w:rsidR="00CA629F">
        <w:rPr>
          <w:rFonts w:asciiTheme="minorHAnsi" w:eastAsia="Calibri" w:hAnsiTheme="minorHAnsi" w:cstheme="minorHAnsi"/>
          <w:lang w:eastAsia="en-US"/>
        </w:rPr>
        <w:t>nakoupit</w:t>
      </w:r>
      <w:r w:rsidR="00257E6F">
        <w:rPr>
          <w:rFonts w:asciiTheme="minorHAnsi" w:eastAsia="Calibri" w:hAnsiTheme="minorHAnsi" w:cstheme="minorHAnsi"/>
          <w:lang w:eastAsia="en-US"/>
        </w:rPr>
        <w:t xml:space="preserve"> 60</w:t>
      </w:r>
      <w:r w:rsidR="00A0679F">
        <w:rPr>
          <w:rFonts w:asciiTheme="minorHAnsi" w:eastAsia="Calibri" w:hAnsiTheme="minorHAnsi" w:cstheme="minorHAnsi"/>
          <w:lang w:eastAsia="en-US"/>
        </w:rPr>
        <w:t xml:space="preserve"> </w:t>
      </w:r>
      <w:r w:rsidR="009A382C">
        <w:rPr>
          <w:rFonts w:asciiTheme="minorHAnsi" w:eastAsia="Calibri" w:hAnsiTheme="minorHAnsi" w:cstheme="minorHAnsi"/>
          <w:lang w:eastAsia="en-US"/>
        </w:rPr>
        <w:t>auto</w:t>
      </w:r>
      <w:r w:rsidR="00D575B2">
        <w:rPr>
          <w:rFonts w:asciiTheme="minorHAnsi" w:eastAsia="Calibri" w:hAnsiTheme="minorHAnsi" w:cstheme="minorHAnsi"/>
          <w:lang w:eastAsia="en-US"/>
        </w:rPr>
        <w:t xml:space="preserve">mobilních </w:t>
      </w:r>
      <w:r w:rsidR="00257E6F">
        <w:rPr>
          <w:rFonts w:asciiTheme="minorHAnsi" w:eastAsia="Calibri" w:hAnsiTheme="minorHAnsi" w:cstheme="minorHAnsi"/>
          <w:lang w:eastAsia="en-US"/>
        </w:rPr>
        <w:t xml:space="preserve">jeřábů více typů s nosností 28 až 35 tun </w:t>
      </w:r>
      <w:r w:rsidR="00F669CB">
        <w:rPr>
          <w:rFonts w:asciiTheme="minorHAnsi" w:eastAsia="Calibri" w:hAnsiTheme="minorHAnsi" w:cstheme="minorHAnsi"/>
          <w:lang w:eastAsia="en-US"/>
        </w:rPr>
        <w:t>v</w:t>
      </w:r>
      <w:r w:rsidR="00257E6F">
        <w:rPr>
          <w:rFonts w:asciiTheme="minorHAnsi" w:eastAsia="Calibri" w:hAnsiTheme="minorHAnsi" w:cstheme="minorHAnsi"/>
          <w:lang w:eastAsia="en-US"/>
        </w:rPr>
        <w:t> </w:t>
      </w:r>
      <w:r w:rsidR="00F669CB">
        <w:rPr>
          <w:rFonts w:asciiTheme="minorHAnsi" w:eastAsia="Calibri" w:hAnsiTheme="minorHAnsi" w:cstheme="minorHAnsi"/>
          <w:lang w:eastAsia="en-US"/>
        </w:rPr>
        <w:t>období 2024–2027</w:t>
      </w:r>
      <w:r w:rsidR="00257E6F">
        <w:rPr>
          <w:rFonts w:asciiTheme="minorHAnsi" w:eastAsia="Calibri" w:hAnsiTheme="minorHAnsi" w:cstheme="minorHAnsi"/>
          <w:lang w:eastAsia="en-US"/>
        </w:rPr>
        <w:t xml:space="preserve"> s</w:t>
      </w:r>
      <w:r w:rsidR="00516259">
        <w:rPr>
          <w:rFonts w:asciiTheme="minorHAnsi" w:eastAsia="Calibri" w:hAnsiTheme="minorHAnsi" w:cstheme="minorHAnsi"/>
          <w:lang w:eastAsia="en-US"/>
        </w:rPr>
        <w:t xml:space="preserve"> </w:t>
      </w:r>
      <w:r w:rsidR="00257E6F">
        <w:rPr>
          <w:rFonts w:asciiTheme="minorHAnsi" w:eastAsia="Calibri" w:hAnsiTheme="minorHAnsi" w:cstheme="minorHAnsi"/>
          <w:lang w:eastAsia="en-US"/>
        </w:rPr>
        <w:t>celkovými výdaji 1 200 mil. Kč, tj.</w:t>
      </w:r>
      <w:r w:rsidR="00CA629F">
        <w:rPr>
          <w:rFonts w:asciiTheme="minorHAnsi" w:eastAsia="Calibri" w:hAnsiTheme="minorHAnsi" w:cstheme="minorHAnsi"/>
          <w:lang w:eastAsia="en-US"/>
        </w:rPr>
        <w:t xml:space="preserve"> </w:t>
      </w:r>
      <w:r w:rsidR="00257E6F">
        <w:rPr>
          <w:rFonts w:asciiTheme="minorHAnsi" w:eastAsia="Calibri" w:hAnsiTheme="minorHAnsi" w:cstheme="minorHAnsi"/>
          <w:lang w:eastAsia="en-US"/>
        </w:rPr>
        <w:t>ročně 15</w:t>
      </w:r>
      <w:r w:rsidR="00CA629F">
        <w:rPr>
          <w:rFonts w:asciiTheme="minorHAnsi" w:eastAsia="Calibri" w:hAnsiTheme="minorHAnsi" w:cstheme="minorHAnsi"/>
          <w:lang w:eastAsia="en-US"/>
        </w:rPr>
        <w:t xml:space="preserve"> </w:t>
      </w:r>
      <w:r w:rsidR="00A31F7F">
        <w:rPr>
          <w:rFonts w:asciiTheme="minorHAnsi" w:eastAsia="Calibri" w:hAnsiTheme="minorHAnsi" w:cstheme="minorHAnsi"/>
          <w:lang w:eastAsia="en-US"/>
        </w:rPr>
        <w:t>vozidel</w:t>
      </w:r>
      <w:r w:rsidR="00257E6F">
        <w:rPr>
          <w:rFonts w:asciiTheme="minorHAnsi" w:eastAsia="Calibri" w:hAnsiTheme="minorHAnsi" w:cstheme="minorHAnsi"/>
          <w:lang w:eastAsia="en-US"/>
        </w:rPr>
        <w:t xml:space="preserve"> za 300</w:t>
      </w:r>
      <w:r w:rsidR="00CA629F">
        <w:rPr>
          <w:rFonts w:asciiTheme="minorHAnsi" w:eastAsia="Calibri" w:hAnsiTheme="minorHAnsi" w:cstheme="minorHAnsi"/>
          <w:lang w:eastAsia="en-US"/>
        </w:rPr>
        <w:t> </w:t>
      </w:r>
      <w:r w:rsidR="00257E6F">
        <w:rPr>
          <w:rFonts w:asciiTheme="minorHAnsi" w:eastAsia="Calibri" w:hAnsiTheme="minorHAnsi" w:cstheme="minorHAnsi"/>
          <w:lang w:eastAsia="en-US"/>
        </w:rPr>
        <w:t xml:space="preserve">mil. Kč. </w:t>
      </w:r>
      <w:r w:rsidR="009A382C">
        <w:rPr>
          <w:rFonts w:asciiTheme="minorHAnsi" w:eastAsia="Calibri" w:hAnsiTheme="minorHAnsi" w:cstheme="minorHAnsi"/>
          <w:lang w:eastAsia="en-US"/>
        </w:rPr>
        <w:t>Ná</w:t>
      </w:r>
      <w:r w:rsidR="00257E6F">
        <w:rPr>
          <w:rFonts w:asciiTheme="minorHAnsi" w:eastAsia="Calibri" w:hAnsiTheme="minorHAnsi" w:cstheme="minorHAnsi"/>
          <w:lang w:eastAsia="en-US"/>
        </w:rPr>
        <w:t xml:space="preserve">kup tak bude </w:t>
      </w:r>
      <w:r w:rsidR="009A382C">
        <w:rPr>
          <w:rFonts w:asciiTheme="minorHAnsi" w:eastAsia="Calibri" w:hAnsiTheme="minorHAnsi" w:cstheme="minorHAnsi"/>
          <w:lang w:eastAsia="en-US"/>
        </w:rPr>
        <w:t xml:space="preserve">zpožděn </w:t>
      </w:r>
      <w:r w:rsidR="00257E6F">
        <w:rPr>
          <w:rFonts w:asciiTheme="minorHAnsi" w:eastAsia="Calibri" w:hAnsiTheme="minorHAnsi" w:cstheme="minorHAnsi"/>
          <w:lang w:eastAsia="en-US"/>
        </w:rPr>
        <w:t xml:space="preserve">nejméně </w:t>
      </w:r>
      <w:r w:rsidR="00D575B2">
        <w:rPr>
          <w:rFonts w:asciiTheme="minorHAnsi" w:eastAsia="Calibri" w:hAnsiTheme="minorHAnsi" w:cstheme="minorHAnsi"/>
          <w:lang w:eastAsia="en-US"/>
        </w:rPr>
        <w:t xml:space="preserve">o </w:t>
      </w:r>
      <w:r w:rsidR="00257E6F">
        <w:rPr>
          <w:rFonts w:asciiTheme="minorHAnsi" w:eastAsia="Calibri" w:hAnsiTheme="minorHAnsi" w:cstheme="minorHAnsi"/>
          <w:lang w:eastAsia="en-US"/>
        </w:rPr>
        <w:t>šest let</w:t>
      </w:r>
      <w:r w:rsidR="009A382C">
        <w:rPr>
          <w:rFonts w:asciiTheme="minorHAnsi" w:eastAsia="Calibri" w:hAnsiTheme="minorHAnsi" w:cstheme="minorHAnsi"/>
          <w:lang w:eastAsia="en-US"/>
        </w:rPr>
        <w:t xml:space="preserve"> oproti původnímu předpokladu</w:t>
      </w:r>
      <w:r w:rsidR="00257E6F" w:rsidRPr="00257E6F">
        <w:rPr>
          <w:rFonts w:asciiTheme="minorHAnsi" w:eastAsia="Calibri" w:hAnsiTheme="minorHAnsi" w:cstheme="minorHAnsi"/>
          <w:lang w:eastAsia="en-US"/>
        </w:rPr>
        <w:t>.</w:t>
      </w:r>
    </w:p>
    <w:p w14:paraId="76E8986F" w14:textId="77777777" w:rsidR="001A05E4" w:rsidRPr="00113003" w:rsidRDefault="00922767" w:rsidP="00371455">
      <w:pPr>
        <w:pStyle w:val="Nadpis2"/>
        <w:numPr>
          <w:ilvl w:val="0"/>
          <w:numId w:val="29"/>
        </w:numPr>
        <w:pBdr>
          <w:bottom w:val="single" w:sz="12" w:space="1" w:color="BD2A33"/>
        </w:pBdr>
        <w:spacing w:after="0"/>
        <w:ind w:left="284" w:hanging="284"/>
        <w:jc w:val="both"/>
        <w:rPr>
          <w:rFonts w:asciiTheme="minorHAnsi" w:hAnsiTheme="minorHAnsi" w:cstheme="minorHAnsi"/>
          <w:i w:val="0"/>
          <w:sz w:val="24"/>
          <w:szCs w:val="24"/>
        </w:rPr>
      </w:pPr>
      <w:bookmarkStart w:id="17" w:name="_Hlk126765645"/>
      <w:bookmarkEnd w:id="14"/>
      <w:r>
        <w:rPr>
          <w:rFonts w:asciiTheme="minorHAnsi" w:hAnsiTheme="minorHAnsi" w:cstheme="minorHAnsi"/>
          <w:i w:val="0"/>
          <w:sz w:val="24"/>
          <w:szCs w:val="24"/>
        </w:rPr>
        <w:t>Nadhodnocení potřeby pořizovaných osobních terénních automobilů</w:t>
      </w:r>
      <w:r w:rsidR="001C196C" w:rsidRPr="00113003">
        <w:rPr>
          <w:rFonts w:asciiTheme="minorHAnsi" w:hAnsiTheme="minorHAnsi" w:cstheme="minorHAnsi"/>
          <w:i w:val="0"/>
          <w:sz w:val="24"/>
          <w:szCs w:val="24"/>
        </w:rPr>
        <w:t xml:space="preserve"> </w:t>
      </w:r>
    </w:p>
    <w:p w14:paraId="542CBF40" w14:textId="0FDA4B3C" w:rsidR="00C55F88" w:rsidRPr="00203512" w:rsidRDefault="00722505" w:rsidP="0035352F">
      <w:pPr>
        <w:spacing w:before="120"/>
        <w:jc w:val="both"/>
        <w:rPr>
          <w:rFonts w:ascii="Calibri" w:eastAsia="Calibri" w:hAnsi="Calibri"/>
          <w:highlight w:val="yellow"/>
          <w:lang w:eastAsia="en-US"/>
        </w:rPr>
      </w:pPr>
      <w:r w:rsidRPr="00722505">
        <w:rPr>
          <w:rFonts w:asciiTheme="minorHAnsi" w:hAnsiTheme="minorHAnsi" w:cstheme="minorHAnsi"/>
          <w:b/>
          <w:color w:val="000000"/>
        </w:rPr>
        <w:t>4.</w:t>
      </w:r>
      <w:r w:rsidR="00991DA0">
        <w:rPr>
          <w:rFonts w:asciiTheme="minorHAnsi" w:hAnsiTheme="minorHAnsi" w:cstheme="minorHAnsi"/>
          <w:b/>
          <w:color w:val="000000"/>
        </w:rPr>
        <w:t>7</w:t>
      </w:r>
      <w:r>
        <w:rPr>
          <w:rFonts w:asciiTheme="minorHAnsi" w:hAnsiTheme="minorHAnsi" w:cstheme="minorHAnsi"/>
          <w:color w:val="000000"/>
        </w:rPr>
        <w:t xml:space="preserve"> </w:t>
      </w:r>
      <w:r w:rsidR="00D97D9A" w:rsidRPr="00893857">
        <w:rPr>
          <w:rFonts w:ascii="Calibri" w:eastAsia="Calibri" w:hAnsi="Calibri" w:cs="Calibri"/>
          <w:lang w:eastAsia="en-US"/>
        </w:rPr>
        <w:t>Armáda</w:t>
      </w:r>
      <w:r w:rsidR="00620222" w:rsidRPr="00893857">
        <w:rPr>
          <w:rFonts w:ascii="Calibri" w:eastAsia="Calibri" w:hAnsi="Calibri" w:cs="Calibri"/>
          <w:lang w:eastAsia="en-US"/>
        </w:rPr>
        <w:t xml:space="preserve"> </w:t>
      </w:r>
      <w:r w:rsidR="00A24CC9" w:rsidRPr="00893857">
        <w:rPr>
          <w:rFonts w:ascii="Calibri" w:eastAsia="Calibri" w:hAnsi="Calibri" w:cs="Calibri"/>
          <w:lang w:eastAsia="en-US"/>
        </w:rPr>
        <w:t>disponovala</w:t>
      </w:r>
      <w:r w:rsidR="00D97D9A" w:rsidRPr="00893857">
        <w:rPr>
          <w:rFonts w:ascii="Calibri" w:eastAsia="Calibri" w:hAnsi="Calibri" w:cs="Calibri"/>
          <w:lang w:eastAsia="en-US"/>
        </w:rPr>
        <w:t xml:space="preserve"> v</w:t>
      </w:r>
      <w:r w:rsidR="00CA629F" w:rsidRPr="00893857">
        <w:rPr>
          <w:rFonts w:ascii="Calibri" w:eastAsia="Calibri" w:hAnsi="Calibri" w:cs="Calibri"/>
          <w:lang w:eastAsia="en-US"/>
        </w:rPr>
        <w:t xml:space="preserve"> </w:t>
      </w:r>
      <w:r w:rsidR="00D97D9A" w:rsidRPr="00893857">
        <w:rPr>
          <w:rFonts w:ascii="Calibri" w:eastAsia="Calibri" w:hAnsi="Calibri" w:cs="Calibri"/>
          <w:lang w:eastAsia="en-US"/>
        </w:rPr>
        <w:t>kontrolovaném</w:t>
      </w:r>
      <w:r w:rsidR="00D97D9A" w:rsidRPr="00C47CC6">
        <w:rPr>
          <w:rFonts w:ascii="Calibri" w:eastAsia="Calibri" w:hAnsi="Calibri" w:cs="Calibri"/>
          <w:lang w:eastAsia="en-US"/>
        </w:rPr>
        <w:t xml:space="preserve"> období </w:t>
      </w:r>
      <w:r w:rsidR="00A24CC9">
        <w:rPr>
          <w:rFonts w:ascii="Calibri" w:eastAsia="Calibri" w:hAnsi="Calibri" w:cs="Calibri"/>
          <w:lang w:eastAsia="en-US"/>
        </w:rPr>
        <w:t>téměř</w:t>
      </w:r>
      <w:r w:rsidR="00D97D9A" w:rsidRPr="00C47CC6">
        <w:rPr>
          <w:rFonts w:ascii="Calibri" w:eastAsia="Calibri" w:hAnsi="Calibri" w:cs="Calibri"/>
          <w:lang w:eastAsia="en-US"/>
        </w:rPr>
        <w:t xml:space="preserve"> </w:t>
      </w:r>
      <w:r w:rsidR="00A24CC9">
        <w:rPr>
          <w:rFonts w:ascii="Calibri" w:eastAsia="Calibri" w:hAnsi="Calibri" w:cs="Calibri"/>
          <w:lang w:eastAsia="en-US"/>
        </w:rPr>
        <w:t xml:space="preserve">1 300 </w:t>
      </w:r>
      <w:r w:rsidR="00D97D9A" w:rsidRPr="00C47CC6">
        <w:rPr>
          <w:rFonts w:ascii="Calibri" w:eastAsia="Calibri" w:hAnsi="Calibri" w:cs="Calibri"/>
          <w:lang w:eastAsia="en-US"/>
        </w:rPr>
        <w:t>osobní</w:t>
      </w:r>
      <w:r w:rsidR="00A24CC9">
        <w:rPr>
          <w:rFonts w:ascii="Calibri" w:eastAsia="Calibri" w:hAnsi="Calibri" w:cs="Calibri"/>
          <w:lang w:eastAsia="en-US"/>
        </w:rPr>
        <w:t>mi</w:t>
      </w:r>
      <w:r w:rsidR="00D97D9A" w:rsidRPr="00C47CC6">
        <w:rPr>
          <w:rFonts w:ascii="Calibri" w:eastAsia="Calibri" w:hAnsi="Calibri" w:cs="Calibri"/>
          <w:lang w:eastAsia="en-US"/>
        </w:rPr>
        <w:t xml:space="preserve"> terénní</w:t>
      </w:r>
      <w:r w:rsidR="00A24CC9">
        <w:rPr>
          <w:rFonts w:ascii="Calibri" w:eastAsia="Calibri" w:hAnsi="Calibri" w:cs="Calibri"/>
          <w:lang w:eastAsia="en-US"/>
        </w:rPr>
        <w:t>mi</w:t>
      </w:r>
      <w:r w:rsidR="00D97D9A" w:rsidRPr="00C47CC6">
        <w:rPr>
          <w:rFonts w:ascii="Calibri" w:eastAsia="Calibri" w:hAnsi="Calibri" w:cs="Calibri"/>
          <w:lang w:eastAsia="en-US"/>
        </w:rPr>
        <w:t xml:space="preserve"> automobil</w:t>
      </w:r>
      <w:r w:rsidR="00A24CC9">
        <w:rPr>
          <w:rFonts w:ascii="Calibri" w:eastAsia="Calibri" w:hAnsi="Calibri" w:cs="Calibri"/>
          <w:lang w:eastAsia="en-US"/>
        </w:rPr>
        <w:t>y</w:t>
      </w:r>
      <w:r w:rsidR="00D97D9A" w:rsidRPr="00C47CC6">
        <w:rPr>
          <w:rFonts w:ascii="Calibri" w:eastAsia="Calibri" w:hAnsi="Calibri" w:cs="Calibri"/>
          <w:lang w:eastAsia="en-US"/>
        </w:rPr>
        <w:t xml:space="preserve">. </w:t>
      </w:r>
      <w:r w:rsidR="007306E4">
        <w:rPr>
          <w:rFonts w:ascii="Calibri" w:eastAsia="Calibri" w:hAnsi="Calibri" w:cs="Calibri"/>
          <w:lang w:eastAsia="en-US"/>
        </w:rPr>
        <w:t xml:space="preserve">Jejich průměrné stáří </w:t>
      </w:r>
      <w:r w:rsidR="00E22D55" w:rsidRPr="00E22D55">
        <w:rPr>
          <w:rFonts w:ascii="Calibri" w:eastAsia="Calibri" w:hAnsi="Calibri" w:cs="Calibri"/>
          <w:lang w:eastAsia="en-US"/>
        </w:rPr>
        <w:t xml:space="preserve">ke konci roku 2021 činilo </w:t>
      </w:r>
      <w:r w:rsidR="00E22D55">
        <w:rPr>
          <w:rFonts w:ascii="Calibri" w:eastAsia="Calibri" w:hAnsi="Calibri" w:cs="Calibri"/>
          <w:lang w:eastAsia="en-US"/>
        </w:rPr>
        <w:t>19 let</w:t>
      </w:r>
      <w:r w:rsidR="00E22D55" w:rsidRPr="00E22D55">
        <w:t xml:space="preserve"> </w:t>
      </w:r>
      <w:r w:rsidR="00E22D55" w:rsidRPr="00E22D55">
        <w:rPr>
          <w:rFonts w:ascii="Calibri" w:eastAsia="Calibri" w:hAnsi="Calibri" w:cs="Calibri"/>
          <w:lang w:eastAsia="en-US"/>
        </w:rPr>
        <w:t xml:space="preserve">a </w:t>
      </w:r>
      <w:r w:rsidR="00985BB7">
        <w:rPr>
          <w:rFonts w:ascii="Calibri" w:eastAsia="Calibri" w:hAnsi="Calibri" w:cs="Calibri"/>
          <w:lang w:eastAsia="en-US"/>
        </w:rPr>
        <w:t xml:space="preserve">hodnotu </w:t>
      </w:r>
      <w:r w:rsidR="00E22D55" w:rsidRPr="00E22D55">
        <w:rPr>
          <w:rFonts w:ascii="Calibri" w:eastAsia="Calibri" w:hAnsi="Calibri" w:cs="Calibri"/>
          <w:lang w:eastAsia="en-US"/>
        </w:rPr>
        <w:t>průměrn</w:t>
      </w:r>
      <w:r w:rsidR="00985BB7">
        <w:rPr>
          <w:rFonts w:ascii="Calibri" w:eastAsia="Calibri" w:hAnsi="Calibri" w:cs="Calibri"/>
          <w:lang w:eastAsia="en-US"/>
        </w:rPr>
        <w:t>é</w:t>
      </w:r>
      <w:r w:rsidR="00E22D55" w:rsidRPr="00E22D55">
        <w:rPr>
          <w:rFonts w:ascii="Calibri" w:eastAsia="Calibri" w:hAnsi="Calibri" w:cs="Calibri"/>
          <w:lang w:eastAsia="en-US"/>
        </w:rPr>
        <w:t xml:space="preserve"> životnost</w:t>
      </w:r>
      <w:r w:rsidR="00985BB7">
        <w:rPr>
          <w:rFonts w:ascii="Calibri" w:eastAsia="Calibri" w:hAnsi="Calibri" w:cs="Calibri"/>
          <w:lang w:eastAsia="en-US"/>
        </w:rPr>
        <w:t>i</w:t>
      </w:r>
      <w:r w:rsidR="00E22D55" w:rsidRPr="00E22D55">
        <w:rPr>
          <w:rFonts w:ascii="Calibri" w:eastAsia="Calibri" w:hAnsi="Calibri" w:cs="Calibri"/>
          <w:lang w:eastAsia="en-US"/>
        </w:rPr>
        <w:t xml:space="preserve"> převyšoval</w:t>
      </w:r>
      <w:r w:rsidR="00985BB7">
        <w:rPr>
          <w:rFonts w:ascii="Calibri" w:eastAsia="Calibri" w:hAnsi="Calibri" w:cs="Calibri"/>
          <w:lang w:eastAsia="en-US"/>
        </w:rPr>
        <w:t>y</w:t>
      </w:r>
      <w:r w:rsidR="00E22D55" w:rsidRPr="00E22D55">
        <w:rPr>
          <w:rFonts w:ascii="Calibri" w:eastAsia="Calibri" w:hAnsi="Calibri" w:cs="Calibri"/>
          <w:lang w:eastAsia="en-US"/>
        </w:rPr>
        <w:t xml:space="preserve"> o 2</w:t>
      </w:r>
      <w:r w:rsidR="00E22D55">
        <w:rPr>
          <w:rFonts w:ascii="Calibri" w:eastAsia="Calibri" w:hAnsi="Calibri" w:cs="Calibri"/>
          <w:lang w:eastAsia="en-US"/>
        </w:rPr>
        <w:t>7</w:t>
      </w:r>
      <w:r w:rsidR="00985BB7">
        <w:rPr>
          <w:rFonts w:ascii="Calibri" w:eastAsia="Calibri" w:hAnsi="Calibri" w:cs="Calibri"/>
          <w:lang w:eastAsia="en-US"/>
        </w:rPr>
        <w:t> </w:t>
      </w:r>
      <w:r w:rsidR="00E22D55" w:rsidRPr="0088636A">
        <w:rPr>
          <w:rFonts w:ascii="Calibri" w:eastAsia="Calibri" w:hAnsi="Calibri" w:cs="Calibri"/>
          <w:lang w:eastAsia="en-US"/>
        </w:rPr>
        <w:t>% (příloha č. 2).</w:t>
      </w:r>
      <w:r w:rsidR="00E22D55" w:rsidRPr="00E22D55">
        <w:rPr>
          <w:rFonts w:ascii="Calibri" w:eastAsia="Calibri" w:hAnsi="Calibri" w:cs="Calibri"/>
          <w:lang w:eastAsia="en-US"/>
        </w:rPr>
        <w:t xml:space="preserve"> </w:t>
      </w:r>
      <w:r w:rsidR="005C50C4" w:rsidRPr="00E22D55">
        <w:rPr>
          <w:rFonts w:ascii="Calibri" w:eastAsia="Calibri" w:hAnsi="Calibri" w:cs="Calibri"/>
          <w:lang w:eastAsia="en-US"/>
        </w:rPr>
        <w:t>MO přistoupilo</w:t>
      </w:r>
      <w:r w:rsidR="00203512">
        <w:rPr>
          <w:rFonts w:ascii="Calibri" w:eastAsia="Calibri" w:hAnsi="Calibri" w:cs="Calibri"/>
          <w:lang w:eastAsia="en-US"/>
        </w:rPr>
        <w:t xml:space="preserve"> k</w:t>
      </w:r>
      <w:r w:rsidR="005C50C4" w:rsidRPr="00E22D55">
        <w:rPr>
          <w:rFonts w:ascii="Calibri" w:eastAsia="Calibri" w:hAnsi="Calibri" w:cs="Calibri"/>
          <w:lang w:eastAsia="en-US"/>
        </w:rPr>
        <w:t xml:space="preserve"> </w:t>
      </w:r>
      <w:r w:rsidR="00E22D55" w:rsidRPr="00E22D55">
        <w:rPr>
          <w:rFonts w:ascii="Calibri" w:eastAsia="Calibri" w:hAnsi="Calibri" w:cs="Calibri"/>
          <w:lang w:eastAsia="en-US"/>
        </w:rPr>
        <w:t xml:space="preserve">jejich </w:t>
      </w:r>
      <w:r w:rsidR="00203512">
        <w:rPr>
          <w:rFonts w:ascii="Calibri" w:eastAsia="Calibri" w:hAnsi="Calibri" w:cs="Calibri"/>
          <w:lang w:eastAsia="en-US"/>
        </w:rPr>
        <w:t>kompletní</w:t>
      </w:r>
      <w:r w:rsidR="00E22D55" w:rsidRPr="00E22D55">
        <w:rPr>
          <w:rFonts w:ascii="Calibri" w:eastAsia="Calibri" w:hAnsi="Calibri" w:cs="Calibri"/>
          <w:lang w:eastAsia="en-US"/>
        </w:rPr>
        <w:t xml:space="preserve"> </w:t>
      </w:r>
      <w:r w:rsidR="00985BB7">
        <w:rPr>
          <w:rFonts w:ascii="Calibri" w:eastAsia="Calibri" w:hAnsi="Calibri" w:cs="Calibri"/>
          <w:lang w:eastAsia="en-US"/>
        </w:rPr>
        <w:t>vý</w:t>
      </w:r>
      <w:r w:rsidR="00620222" w:rsidRPr="00E22D55">
        <w:rPr>
          <w:rFonts w:ascii="Calibri" w:eastAsia="Calibri" w:hAnsi="Calibri" w:cs="Calibri"/>
          <w:lang w:eastAsia="en-US"/>
        </w:rPr>
        <w:t>měně. V</w:t>
      </w:r>
      <w:r w:rsidR="009E02ED">
        <w:rPr>
          <w:rFonts w:ascii="Calibri" w:eastAsia="Calibri" w:hAnsi="Calibri" w:cs="Calibri"/>
          <w:lang w:eastAsia="en-US"/>
        </w:rPr>
        <w:t xml:space="preserve"> doplňku č. 1 </w:t>
      </w:r>
      <w:r w:rsidR="00620222" w:rsidRPr="00E22D55">
        <w:rPr>
          <w:rFonts w:ascii="Calibri" w:eastAsia="Calibri" w:hAnsi="Calibri" w:cs="Calibri"/>
          <w:lang w:eastAsia="en-US"/>
        </w:rPr>
        <w:t>dokumentac</w:t>
      </w:r>
      <w:r w:rsidR="009E02ED">
        <w:rPr>
          <w:rFonts w:ascii="Calibri" w:eastAsia="Calibri" w:hAnsi="Calibri" w:cs="Calibri"/>
          <w:lang w:eastAsia="en-US"/>
        </w:rPr>
        <w:t>e</w:t>
      </w:r>
      <w:r w:rsidR="00620222" w:rsidRPr="00E22D55">
        <w:rPr>
          <w:rFonts w:ascii="Calibri" w:eastAsia="Calibri" w:hAnsi="Calibri" w:cs="Calibri"/>
          <w:lang w:eastAsia="en-US"/>
        </w:rPr>
        <w:t xml:space="preserve"> programu 107 690</w:t>
      </w:r>
      <w:r w:rsidR="00060A65" w:rsidRPr="00E22D55">
        <w:rPr>
          <w:rFonts w:ascii="Calibri" w:eastAsia="Calibri" w:hAnsi="Calibri" w:cs="Calibri"/>
          <w:lang w:eastAsia="en-US"/>
        </w:rPr>
        <w:t xml:space="preserve"> </w:t>
      </w:r>
      <w:r w:rsidR="00203512">
        <w:rPr>
          <w:rFonts w:ascii="Calibri" w:eastAsia="Calibri" w:hAnsi="Calibri" w:cs="Calibri"/>
          <w:lang w:eastAsia="en-US"/>
        </w:rPr>
        <w:t xml:space="preserve">stanovilo </w:t>
      </w:r>
      <w:r w:rsidR="00060A65" w:rsidRPr="00E22D55">
        <w:rPr>
          <w:rFonts w:ascii="Calibri" w:eastAsia="Calibri" w:hAnsi="Calibri" w:cs="Calibri"/>
          <w:lang w:eastAsia="en-US"/>
        </w:rPr>
        <w:t>celkov</w:t>
      </w:r>
      <w:r w:rsidR="00203512">
        <w:rPr>
          <w:rFonts w:ascii="Calibri" w:eastAsia="Calibri" w:hAnsi="Calibri" w:cs="Calibri"/>
          <w:lang w:eastAsia="en-US"/>
        </w:rPr>
        <w:t>ou</w:t>
      </w:r>
      <w:r w:rsidR="00060A65" w:rsidRPr="00E22D55">
        <w:rPr>
          <w:rFonts w:ascii="Calibri" w:eastAsia="Calibri" w:hAnsi="Calibri" w:cs="Calibri"/>
          <w:lang w:eastAsia="en-US"/>
        </w:rPr>
        <w:t xml:space="preserve"> </w:t>
      </w:r>
      <w:r w:rsidR="00203512" w:rsidRPr="00E22D55">
        <w:rPr>
          <w:rFonts w:ascii="Calibri" w:eastAsia="Calibri" w:hAnsi="Calibri" w:cs="Calibri"/>
          <w:lang w:eastAsia="en-US"/>
        </w:rPr>
        <w:t>potřebu do roku 2027</w:t>
      </w:r>
      <w:r w:rsidR="00203512">
        <w:rPr>
          <w:rFonts w:ascii="Calibri" w:eastAsia="Calibri" w:hAnsi="Calibri" w:cs="Calibri"/>
          <w:lang w:eastAsia="en-US"/>
        </w:rPr>
        <w:t xml:space="preserve"> </w:t>
      </w:r>
      <w:r w:rsidR="00060A65" w:rsidRPr="00E22D55">
        <w:rPr>
          <w:rFonts w:ascii="Calibri" w:eastAsia="Calibri" w:hAnsi="Calibri" w:cs="Calibri"/>
          <w:lang w:eastAsia="en-US"/>
        </w:rPr>
        <w:t xml:space="preserve">ve výši 2 228 </w:t>
      </w:r>
      <w:r w:rsidR="00203512">
        <w:rPr>
          <w:rFonts w:ascii="Calibri" w:eastAsia="Calibri" w:hAnsi="Calibri" w:cs="Calibri"/>
          <w:lang w:eastAsia="en-US"/>
        </w:rPr>
        <w:t>automobilů</w:t>
      </w:r>
      <w:r w:rsidR="00C55F88" w:rsidRPr="00E22D55">
        <w:rPr>
          <w:rFonts w:ascii="Calibri" w:eastAsia="Calibri" w:hAnsi="Calibri" w:cs="Calibri"/>
          <w:lang w:eastAsia="en-US"/>
        </w:rPr>
        <w:t xml:space="preserve">. </w:t>
      </w:r>
      <w:r w:rsidR="00203512">
        <w:rPr>
          <w:rFonts w:ascii="Calibri" w:eastAsia="Calibri" w:hAnsi="Calibri" w:cs="Calibri"/>
          <w:lang w:eastAsia="en-US"/>
        </w:rPr>
        <w:t xml:space="preserve">Tabulkový počet v době kontroly činil </w:t>
      </w:r>
      <w:r w:rsidR="00060A65" w:rsidRPr="00E22D55">
        <w:rPr>
          <w:rFonts w:ascii="Calibri" w:eastAsia="Calibri" w:hAnsi="Calibri" w:cs="Calibri"/>
          <w:lang w:eastAsia="en-US"/>
        </w:rPr>
        <w:t>1</w:t>
      </w:r>
      <w:r w:rsidR="005C50C4" w:rsidRPr="00E22D55">
        <w:rPr>
          <w:rFonts w:ascii="Calibri" w:eastAsia="Calibri" w:hAnsi="Calibri" w:cs="Calibri"/>
          <w:lang w:eastAsia="en-US"/>
        </w:rPr>
        <w:t xml:space="preserve"> 344 </w:t>
      </w:r>
      <w:r w:rsidR="00203512">
        <w:rPr>
          <w:rFonts w:ascii="Calibri" w:eastAsia="Calibri" w:hAnsi="Calibri" w:cs="Calibri"/>
          <w:lang w:eastAsia="en-US"/>
        </w:rPr>
        <w:t>osobních terénních automobilů</w:t>
      </w:r>
      <w:r w:rsidR="00B17762">
        <w:rPr>
          <w:rFonts w:ascii="Calibri" w:eastAsia="Calibri" w:hAnsi="Calibri" w:cs="Calibri"/>
          <w:lang w:eastAsia="en-US"/>
        </w:rPr>
        <w:t xml:space="preserve">, </w:t>
      </w:r>
      <w:r w:rsidR="00203512">
        <w:rPr>
          <w:rFonts w:ascii="Calibri" w:eastAsia="Calibri" w:hAnsi="Calibri" w:cs="Calibri"/>
          <w:lang w:eastAsia="en-US"/>
        </w:rPr>
        <w:t xml:space="preserve">tento počet byl platný </w:t>
      </w:r>
      <w:r w:rsidR="00B17762">
        <w:rPr>
          <w:rFonts w:ascii="Calibri" w:eastAsia="Calibri" w:hAnsi="Calibri" w:cs="Calibri"/>
          <w:lang w:eastAsia="en-US"/>
        </w:rPr>
        <w:t>od</w:t>
      </w:r>
      <w:r w:rsidR="00203512">
        <w:rPr>
          <w:rFonts w:ascii="Calibri" w:eastAsia="Calibri" w:hAnsi="Calibri" w:cs="Calibri"/>
          <w:lang w:eastAsia="en-US"/>
        </w:rPr>
        <w:t xml:space="preserve"> </w:t>
      </w:r>
      <w:r w:rsidR="005C50C4" w:rsidRPr="00E22D55">
        <w:rPr>
          <w:rFonts w:ascii="Calibri" w:eastAsia="Calibri" w:hAnsi="Calibri" w:cs="Calibri"/>
          <w:lang w:eastAsia="en-US"/>
        </w:rPr>
        <w:t>ro</w:t>
      </w:r>
      <w:r w:rsidR="00B17762">
        <w:rPr>
          <w:rFonts w:ascii="Calibri" w:eastAsia="Calibri" w:hAnsi="Calibri" w:cs="Calibri"/>
          <w:lang w:eastAsia="en-US"/>
        </w:rPr>
        <w:t>ku</w:t>
      </w:r>
      <w:r w:rsidR="005C50C4" w:rsidRPr="00E22D55">
        <w:rPr>
          <w:rFonts w:ascii="Calibri" w:eastAsia="Calibri" w:hAnsi="Calibri" w:cs="Calibri"/>
          <w:lang w:eastAsia="en-US"/>
        </w:rPr>
        <w:t xml:space="preserve"> 2020</w:t>
      </w:r>
      <w:r w:rsidR="00060A65" w:rsidRPr="00E22D55">
        <w:rPr>
          <w:rFonts w:ascii="Calibri" w:eastAsia="Calibri" w:hAnsi="Calibri" w:cs="Calibri"/>
          <w:lang w:eastAsia="en-US"/>
        </w:rPr>
        <w:t>.</w:t>
      </w:r>
      <w:r w:rsidR="00C55F88" w:rsidRPr="00E22D55">
        <w:rPr>
          <w:rFonts w:ascii="Calibri" w:eastAsia="Calibri" w:hAnsi="Calibri" w:cs="Calibri"/>
          <w:lang w:eastAsia="en-US"/>
        </w:rPr>
        <w:t xml:space="preserve"> </w:t>
      </w:r>
      <w:bookmarkStart w:id="18" w:name="_Hlk118992137"/>
      <w:r w:rsidR="00203512">
        <w:rPr>
          <w:rFonts w:ascii="Calibri" w:eastAsia="Calibri" w:hAnsi="Calibri" w:cs="Calibri"/>
          <w:lang w:eastAsia="en-US"/>
        </w:rPr>
        <w:t>P</w:t>
      </w:r>
      <w:r w:rsidR="00003BEF" w:rsidRPr="00E22D55">
        <w:rPr>
          <w:rFonts w:ascii="Calibri" w:eastAsia="Calibri" w:hAnsi="Calibri"/>
          <w:lang w:eastAsia="en-US"/>
        </w:rPr>
        <w:t xml:space="preserve">otřebu ve výši </w:t>
      </w:r>
      <w:r w:rsidR="00C55F88" w:rsidRPr="00E22D55">
        <w:rPr>
          <w:rFonts w:ascii="Calibri" w:eastAsia="Calibri" w:hAnsi="Calibri"/>
          <w:lang w:eastAsia="en-US"/>
        </w:rPr>
        <w:t xml:space="preserve">2 228 </w:t>
      </w:r>
      <w:r w:rsidR="00203512">
        <w:rPr>
          <w:rFonts w:ascii="Calibri" w:eastAsia="Calibri" w:hAnsi="Calibri"/>
          <w:lang w:eastAsia="en-US"/>
        </w:rPr>
        <w:t>automobilů</w:t>
      </w:r>
      <w:r w:rsidR="00C55F88" w:rsidRPr="00E22D55">
        <w:rPr>
          <w:rFonts w:ascii="Calibri" w:eastAsia="Calibri" w:hAnsi="Calibri"/>
          <w:lang w:eastAsia="en-US"/>
        </w:rPr>
        <w:t xml:space="preserve"> </w:t>
      </w:r>
      <w:r w:rsidR="00203512">
        <w:rPr>
          <w:rFonts w:ascii="Calibri" w:eastAsia="Calibri" w:hAnsi="Calibri"/>
          <w:lang w:eastAsia="en-US"/>
        </w:rPr>
        <w:t>MO n</w:t>
      </w:r>
      <w:r w:rsidR="00F3069C">
        <w:rPr>
          <w:rFonts w:ascii="Calibri" w:eastAsia="Calibri" w:hAnsi="Calibri"/>
          <w:lang w:eastAsia="en-US"/>
        </w:rPr>
        <w:t>ezdůvodnilo.</w:t>
      </w:r>
    </w:p>
    <w:p w14:paraId="53B1EDDD" w14:textId="249E2927" w:rsidR="00C55F88" w:rsidRPr="00C55F88" w:rsidRDefault="00815D2D" w:rsidP="00CF33D8">
      <w:pPr>
        <w:spacing w:before="120"/>
        <w:jc w:val="both"/>
        <w:rPr>
          <w:rFonts w:ascii="Calibri" w:eastAsia="Calibri" w:hAnsi="Calibri" w:cs="Calibri"/>
          <w:lang w:eastAsia="en-US"/>
        </w:rPr>
      </w:pPr>
      <w:bookmarkStart w:id="19" w:name="_Hlk118990617"/>
      <w:r w:rsidRPr="00815D2D">
        <w:rPr>
          <w:rFonts w:ascii="Calibri" w:eastAsia="Calibri" w:hAnsi="Calibri" w:cs="Calibri"/>
          <w:b/>
          <w:lang w:eastAsia="en-US"/>
        </w:rPr>
        <w:lastRenderedPageBreak/>
        <w:t>4.</w:t>
      </w:r>
      <w:r w:rsidR="00991DA0">
        <w:rPr>
          <w:rFonts w:ascii="Calibri" w:eastAsia="Calibri" w:hAnsi="Calibri" w:cs="Calibri"/>
          <w:b/>
          <w:lang w:eastAsia="en-US"/>
        </w:rPr>
        <w:t>8</w:t>
      </w:r>
      <w:r>
        <w:rPr>
          <w:rFonts w:ascii="Calibri" w:eastAsia="Calibri" w:hAnsi="Calibri" w:cs="Calibri"/>
          <w:lang w:eastAsia="en-US"/>
        </w:rPr>
        <w:t xml:space="preserve"> </w:t>
      </w:r>
      <w:r w:rsidR="00985BB7" w:rsidRPr="00203512">
        <w:rPr>
          <w:rFonts w:ascii="Calibri" w:eastAsia="Calibri" w:hAnsi="Calibri" w:cs="Calibri"/>
          <w:lang w:eastAsia="en-US"/>
        </w:rPr>
        <w:t xml:space="preserve">MO </w:t>
      </w:r>
      <w:r w:rsidR="00985BB7">
        <w:rPr>
          <w:rFonts w:ascii="Calibri" w:eastAsia="Calibri" w:hAnsi="Calibri" w:cs="Calibri"/>
          <w:lang w:eastAsia="en-US"/>
        </w:rPr>
        <w:t>v</w:t>
      </w:r>
      <w:r w:rsidR="00C55F88" w:rsidRPr="00203512">
        <w:rPr>
          <w:rFonts w:ascii="Calibri" w:eastAsia="Calibri" w:hAnsi="Calibri" w:cs="Calibri"/>
          <w:lang w:eastAsia="en-US"/>
        </w:rPr>
        <w:t xml:space="preserve"> </w:t>
      </w:r>
      <w:r w:rsidR="00C55F88" w:rsidRPr="00203512">
        <w:rPr>
          <w:rFonts w:ascii="Calibri" w:eastAsia="Calibri" w:hAnsi="Calibri" w:cs="Calibri"/>
          <w:i/>
          <w:lang w:eastAsia="en-US"/>
        </w:rPr>
        <w:t>Koncepci výstavby Armády České republiky 2030</w:t>
      </w:r>
      <w:r w:rsidR="00C55F88" w:rsidRPr="00203512">
        <w:rPr>
          <w:rFonts w:ascii="Calibri" w:eastAsia="Calibri" w:hAnsi="Calibri" w:cs="Calibri"/>
          <w:lang w:eastAsia="en-US"/>
        </w:rPr>
        <w:t xml:space="preserve"> </w:t>
      </w:r>
      <w:bookmarkEnd w:id="19"/>
      <w:r w:rsidR="00650E55" w:rsidRPr="00203512">
        <w:rPr>
          <w:rFonts w:ascii="Calibri" w:eastAsia="Calibri" w:hAnsi="Calibri" w:cs="Calibri"/>
          <w:lang w:eastAsia="en-US"/>
        </w:rPr>
        <w:t xml:space="preserve">předpokládá </w:t>
      </w:r>
      <w:r w:rsidR="00C55F88" w:rsidRPr="00203512">
        <w:rPr>
          <w:rFonts w:ascii="Calibri" w:eastAsia="Calibri" w:hAnsi="Calibri" w:cs="Calibri"/>
          <w:lang w:eastAsia="en-US"/>
        </w:rPr>
        <w:t xml:space="preserve">nárůst </w:t>
      </w:r>
      <w:r w:rsidR="00650E55">
        <w:rPr>
          <w:rFonts w:ascii="Calibri" w:eastAsia="Calibri" w:hAnsi="Calibri" w:cs="Calibri"/>
          <w:lang w:eastAsia="en-US"/>
        </w:rPr>
        <w:t>počt</w:t>
      </w:r>
      <w:r w:rsidR="00985BB7">
        <w:rPr>
          <w:rFonts w:ascii="Calibri" w:eastAsia="Calibri" w:hAnsi="Calibri" w:cs="Calibri"/>
          <w:lang w:eastAsia="en-US"/>
        </w:rPr>
        <w:t>u</w:t>
      </w:r>
      <w:r w:rsidR="00650E55">
        <w:rPr>
          <w:rFonts w:ascii="Calibri" w:eastAsia="Calibri" w:hAnsi="Calibri" w:cs="Calibri"/>
          <w:lang w:eastAsia="en-US"/>
        </w:rPr>
        <w:t xml:space="preserve"> </w:t>
      </w:r>
      <w:r w:rsidR="00C55F88" w:rsidRPr="00203512">
        <w:rPr>
          <w:rFonts w:ascii="Calibri" w:eastAsia="Calibri" w:hAnsi="Calibri" w:cs="Calibri"/>
          <w:lang w:eastAsia="en-US"/>
        </w:rPr>
        <w:t>personálu k zajištění schopností a plnění úkolů A</w:t>
      </w:r>
      <w:r w:rsidR="00650E55">
        <w:rPr>
          <w:rFonts w:ascii="Calibri" w:eastAsia="Calibri" w:hAnsi="Calibri" w:cs="Calibri"/>
          <w:lang w:eastAsia="en-US"/>
        </w:rPr>
        <w:t>rmády</w:t>
      </w:r>
      <w:r w:rsidR="00C55F88" w:rsidRPr="00203512">
        <w:rPr>
          <w:rFonts w:ascii="Calibri" w:eastAsia="Calibri" w:hAnsi="Calibri" w:cs="Calibri"/>
          <w:lang w:eastAsia="en-US"/>
        </w:rPr>
        <w:t xml:space="preserve"> do roku 2030</w:t>
      </w:r>
      <w:r w:rsidR="00203512" w:rsidRPr="00203512">
        <w:rPr>
          <w:rFonts w:ascii="Calibri" w:eastAsia="Calibri" w:hAnsi="Calibri" w:cs="Calibri"/>
          <w:lang w:eastAsia="en-US"/>
        </w:rPr>
        <w:t xml:space="preserve"> podle následující tabulky č. 1</w:t>
      </w:r>
      <w:r w:rsidR="00C55F88" w:rsidRPr="00203512">
        <w:rPr>
          <w:rFonts w:ascii="Calibri" w:eastAsia="Calibri" w:hAnsi="Calibri" w:cs="Calibri"/>
          <w:lang w:eastAsia="en-US"/>
        </w:rPr>
        <w:t>.</w:t>
      </w:r>
    </w:p>
    <w:p w14:paraId="6BFF1B89" w14:textId="77777777" w:rsidR="00C55F88" w:rsidRPr="00C55F88" w:rsidRDefault="00C55F88" w:rsidP="0035352F">
      <w:pPr>
        <w:spacing w:before="120"/>
        <w:jc w:val="both"/>
        <w:rPr>
          <w:rFonts w:ascii="Calibri" w:eastAsia="Calibri" w:hAnsi="Calibri" w:cs="Calibri"/>
          <w:b/>
          <w:lang w:eastAsia="en-US"/>
        </w:rPr>
      </w:pPr>
      <w:r w:rsidRPr="00C55F88">
        <w:rPr>
          <w:rFonts w:ascii="Calibri" w:eastAsia="Calibri" w:hAnsi="Calibri" w:cs="Calibri"/>
          <w:b/>
          <w:lang w:eastAsia="en-US"/>
        </w:rPr>
        <w:t xml:space="preserve">Tabulka č. </w:t>
      </w:r>
      <w:r w:rsidR="00CC34B5">
        <w:rPr>
          <w:rFonts w:ascii="Calibri" w:eastAsia="Calibri" w:hAnsi="Calibri" w:cs="Calibri"/>
          <w:b/>
          <w:lang w:eastAsia="en-US"/>
        </w:rPr>
        <w:t>1</w:t>
      </w:r>
      <w:r w:rsidR="005C50C4">
        <w:rPr>
          <w:rFonts w:ascii="Calibri" w:eastAsia="Calibri" w:hAnsi="Calibri" w:cs="Calibri"/>
          <w:b/>
          <w:lang w:eastAsia="en-US"/>
        </w:rPr>
        <w:t>:</w:t>
      </w:r>
      <w:r w:rsidRPr="00C55F88">
        <w:rPr>
          <w:rFonts w:ascii="Calibri" w:eastAsia="Calibri" w:hAnsi="Calibri" w:cs="Calibri"/>
          <w:b/>
          <w:lang w:eastAsia="en-US"/>
        </w:rPr>
        <w:t xml:space="preserve"> P</w:t>
      </w:r>
      <w:r w:rsidR="004B14C5">
        <w:rPr>
          <w:rFonts w:ascii="Calibri" w:eastAsia="Calibri" w:hAnsi="Calibri" w:cs="Calibri"/>
          <w:b/>
          <w:lang w:eastAsia="en-US"/>
        </w:rPr>
        <w:t xml:space="preserve">ředpokládaný </w:t>
      </w:r>
      <w:r w:rsidRPr="00C55F88">
        <w:rPr>
          <w:rFonts w:ascii="Calibri" w:eastAsia="Calibri" w:hAnsi="Calibri" w:cs="Calibri"/>
          <w:b/>
          <w:lang w:eastAsia="en-US"/>
        </w:rPr>
        <w:t>nárůst personálu</w:t>
      </w:r>
    </w:p>
    <w:tbl>
      <w:tblPr>
        <w:tblStyle w:val="Mkatabulky4"/>
        <w:tblW w:w="9068" w:type="dxa"/>
        <w:tblInd w:w="-5" w:type="dxa"/>
        <w:tblLook w:val="04A0" w:firstRow="1" w:lastRow="0" w:firstColumn="1" w:lastColumn="0" w:noHBand="0" w:noVBand="1"/>
      </w:tblPr>
      <w:tblGrid>
        <w:gridCol w:w="3969"/>
        <w:gridCol w:w="1274"/>
        <w:gridCol w:w="1275"/>
        <w:gridCol w:w="1275"/>
        <w:gridCol w:w="1275"/>
      </w:tblGrid>
      <w:tr w:rsidR="00BB6D36" w:rsidRPr="00C55F88" w14:paraId="362AE136" w14:textId="77777777" w:rsidTr="000B5549">
        <w:trPr>
          <w:trHeight w:val="397"/>
        </w:trPr>
        <w:tc>
          <w:tcPr>
            <w:tcW w:w="3969" w:type="dxa"/>
            <w:shd w:val="clear" w:color="auto" w:fill="E5F1FF"/>
            <w:vAlign w:val="center"/>
          </w:tcPr>
          <w:p w14:paraId="34D05852" w14:textId="19806176" w:rsidR="00BB6D36" w:rsidRPr="00846594" w:rsidRDefault="00BB6D36" w:rsidP="00CF5F7B">
            <w:pPr>
              <w:jc w:val="center"/>
              <w:rPr>
                <w:rFonts w:asciiTheme="minorHAnsi" w:hAnsiTheme="minorHAnsi" w:cstheme="minorHAnsi"/>
                <w:b/>
                <w:sz w:val="22"/>
                <w:szCs w:val="22"/>
              </w:rPr>
            </w:pPr>
          </w:p>
        </w:tc>
        <w:tc>
          <w:tcPr>
            <w:tcW w:w="1274" w:type="dxa"/>
            <w:shd w:val="clear" w:color="auto" w:fill="E5F1FF"/>
            <w:vAlign w:val="center"/>
          </w:tcPr>
          <w:p w14:paraId="37D91DE0" w14:textId="6D27B658" w:rsidR="00BB6D36" w:rsidRPr="00846594" w:rsidRDefault="00BB6D36">
            <w:pPr>
              <w:jc w:val="center"/>
              <w:rPr>
                <w:rFonts w:asciiTheme="minorHAnsi" w:hAnsiTheme="minorHAnsi" w:cstheme="minorHAnsi"/>
                <w:b/>
                <w:sz w:val="22"/>
                <w:szCs w:val="22"/>
              </w:rPr>
            </w:pPr>
            <w:r w:rsidRPr="00846594">
              <w:rPr>
                <w:rFonts w:asciiTheme="minorHAnsi" w:hAnsiTheme="minorHAnsi" w:cstheme="minorHAnsi"/>
                <w:b/>
                <w:sz w:val="22"/>
                <w:szCs w:val="22"/>
              </w:rPr>
              <w:t>2020</w:t>
            </w:r>
          </w:p>
        </w:tc>
        <w:tc>
          <w:tcPr>
            <w:tcW w:w="1275" w:type="dxa"/>
            <w:shd w:val="clear" w:color="auto" w:fill="E5F1FF"/>
            <w:vAlign w:val="center"/>
          </w:tcPr>
          <w:p w14:paraId="1F5BFD48" w14:textId="278B3CF0" w:rsidR="00BB6D36" w:rsidRPr="00BB6D36" w:rsidRDefault="00BB6D36">
            <w:pPr>
              <w:jc w:val="center"/>
              <w:rPr>
                <w:rFonts w:asciiTheme="minorHAnsi" w:hAnsiTheme="minorHAnsi" w:cstheme="minorHAnsi"/>
                <w:b/>
                <w:sz w:val="22"/>
                <w:szCs w:val="22"/>
              </w:rPr>
            </w:pPr>
            <w:r w:rsidRPr="00BB6D36">
              <w:rPr>
                <w:rFonts w:asciiTheme="minorHAnsi" w:hAnsiTheme="minorHAnsi" w:cstheme="minorHAnsi"/>
                <w:b/>
                <w:sz w:val="22"/>
                <w:szCs w:val="22"/>
              </w:rPr>
              <w:t>2030</w:t>
            </w:r>
          </w:p>
        </w:tc>
        <w:tc>
          <w:tcPr>
            <w:tcW w:w="1275" w:type="dxa"/>
            <w:shd w:val="clear" w:color="auto" w:fill="E5F1FF"/>
            <w:vAlign w:val="center"/>
          </w:tcPr>
          <w:p w14:paraId="27108401" w14:textId="77777777" w:rsidR="00BB6D36" w:rsidRPr="00846594" w:rsidRDefault="00BB6D36">
            <w:pPr>
              <w:jc w:val="center"/>
              <w:rPr>
                <w:rFonts w:asciiTheme="minorHAnsi" w:hAnsiTheme="minorHAnsi" w:cstheme="minorHAnsi"/>
                <w:b/>
                <w:sz w:val="22"/>
                <w:szCs w:val="22"/>
              </w:rPr>
            </w:pPr>
            <w:r>
              <w:rPr>
                <w:rFonts w:asciiTheme="minorHAnsi" w:hAnsiTheme="minorHAnsi" w:cstheme="minorHAnsi"/>
                <w:b/>
                <w:sz w:val="22"/>
                <w:szCs w:val="22"/>
              </w:rPr>
              <w:t>Nárůst o</w:t>
            </w:r>
          </w:p>
        </w:tc>
        <w:tc>
          <w:tcPr>
            <w:tcW w:w="1275" w:type="dxa"/>
            <w:shd w:val="clear" w:color="auto" w:fill="E5F1FF"/>
            <w:vAlign w:val="center"/>
          </w:tcPr>
          <w:p w14:paraId="3FA4F3D4" w14:textId="77777777" w:rsidR="00BB6D36" w:rsidRPr="00BB6D36" w:rsidRDefault="00BB6D36">
            <w:pPr>
              <w:jc w:val="center"/>
              <w:rPr>
                <w:rFonts w:asciiTheme="minorHAnsi" w:hAnsiTheme="minorHAnsi" w:cstheme="minorHAnsi"/>
                <w:b/>
                <w:sz w:val="22"/>
                <w:szCs w:val="22"/>
              </w:rPr>
            </w:pPr>
            <w:r w:rsidRPr="00BB6D36">
              <w:rPr>
                <w:rFonts w:asciiTheme="minorHAnsi" w:hAnsiTheme="minorHAnsi" w:cstheme="minorHAnsi"/>
                <w:b/>
                <w:sz w:val="22"/>
                <w:szCs w:val="22"/>
              </w:rPr>
              <w:t>Nárůst v %</w:t>
            </w:r>
          </w:p>
        </w:tc>
      </w:tr>
      <w:tr w:rsidR="00BB6D36" w:rsidRPr="00C55F88" w14:paraId="7085E10E" w14:textId="77777777" w:rsidTr="000B5549">
        <w:trPr>
          <w:trHeight w:val="340"/>
        </w:trPr>
        <w:tc>
          <w:tcPr>
            <w:tcW w:w="3969" w:type="dxa"/>
            <w:vAlign w:val="center"/>
          </w:tcPr>
          <w:p w14:paraId="260E9C40" w14:textId="77777777" w:rsidR="00BB6D36" w:rsidRPr="00846594" w:rsidRDefault="00BB6D36" w:rsidP="000B5549">
            <w:pPr>
              <w:rPr>
                <w:rFonts w:asciiTheme="minorHAnsi" w:hAnsiTheme="minorHAnsi" w:cstheme="minorHAnsi"/>
                <w:sz w:val="22"/>
                <w:szCs w:val="22"/>
              </w:rPr>
            </w:pPr>
            <w:r w:rsidRPr="00846594">
              <w:rPr>
                <w:rFonts w:asciiTheme="minorHAnsi" w:hAnsiTheme="minorHAnsi" w:cstheme="minorHAnsi"/>
                <w:sz w:val="22"/>
                <w:szCs w:val="22"/>
              </w:rPr>
              <w:t>Vojáci z povolání</w:t>
            </w:r>
          </w:p>
        </w:tc>
        <w:tc>
          <w:tcPr>
            <w:tcW w:w="1274" w:type="dxa"/>
            <w:vAlign w:val="center"/>
          </w:tcPr>
          <w:p w14:paraId="198D0F9B" w14:textId="77777777" w:rsidR="00BB6D36" w:rsidRPr="00846594" w:rsidRDefault="00BB6D36" w:rsidP="00BB6D36">
            <w:pPr>
              <w:jc w:val="right"/>
              <w:rPr>
                <w:rFonts w:asciiTheme="minorHAnsi" w:hAnsiTheme="minorHAnsi" w:cstheme="minorHAnsi"/>
                <w:sz w:val="22"/>
                <w:szCs w:val="22"/>
              </w:rPr>
            </w:pPr>
            <w:r w:rsidRPr="00846594">
              <w:rPr>
                <w:rFonts w:asciiTheme="minorHAnsi" w:hAnsiTheme="minorHAnsi" w:cstheme="minorHAnsi"/>
                <w:sz w:val="22"/>
                <w:szCs w:val="22"/>
              </w:rPr>
              <w:t>22 995</w:t>
            </w:r>
          </w:p>
        </w:tc>
        <w:tc>
          <w:tcPr>
            <w:tcW w:w="1275" w:type="dxa"/>
            <w:vAlign w:val="center"/>
          </w:tcPr>
          <w:p w14:paraId="539C644E" w14:textId="77777777" w:rsidR="00BB6D36" w:rsidRPr="00BB6D36" w:rsidRDefault="00BB6D36" w:rsidP="00BB6D36">
            <w:pPr>
              <w:jc w:val="right"/>
              <w:rPr>
                <w:rFonts w:asciiTheme="minorHAnsi" w:hAnsiTheme="minorHAnsi" w:cstheme="minorHAnsi"/>
                <w:sz w:val="22"/>
                <w:szCs w:val="22"/>
              </w:rPr>
            </w:pPr>
            <w:r w:rsidRPr="00BB6D36">
              <w:rPr>
                <w:rFonts w:asciiTheme="minorHAnsi" w:hAnsiTheme="minorHAnsi" w:cstheme="minorHAnsi"/>
                <w:sz w:val="22"/>
                <w:szCs w:val="22"/>
              </w:rPr>
              <w:t>30 000</w:t>
            </w:r>
          </w:p>
        </w:tc>
        <w:tc>
          <w:tcPr>
            <w:tcW w:w="1275" w:type="dxa"/>
            <w:vAlign w:val="center"/>
          </w:tcPr>
          <w:p w14:paraId="31C0EA9D" w14:textId="77777777" w:rsidR="00BB6D36" w:rsidRPr="00846594" w:rsidRDefault="00BB6D36" w:rsidP="00BB6D36">
            <w:pPr>
              <w:jc w:val="right"/>
              <w:rPr>
                <w:rFonts w:asciiTheme="minorHAnsi" w:hAnsiTheme="minorHAnsi" w:cstheme="minorHAnsi"/>
                <w:sz w:val="22"/>
                <w:szCs w:val="22"/>
              </w:rPr>
            </w:pPr>
            <w:r>
              <w:rPr>
                <w:rFonts w:asciiTheme="minorHAnsi" w:hAnsiTheme="minorHAnsi" w:cstheme="minorHAnsi"/>
                <w:sz w:val="22"/>
                <w:szCs w:val="22"/>
              </w:rPr>
              <w:t>7 005</w:t>
            </w:r>
          </w:p>
        </w:tc>
        <w:tc>
          <w:tcPr>
            <w:tcW w:w="1275" w:type="dxa"/>
            <w:vAlign w:val="center"/>
          </w:tcPr>
          <w:p w14:paraId="50F5608D" w14:textId="77777777" w:rsidR="00BB6D36" w:rsidRPr="00BB6D36" w:rsidRDefault="00BB6D36" w:rsidP="00985BB7">
            <w:pPr>
              <w:ind w:right="174"/>
              <w:jc w:val="right"/>
              <w:rPr>
                <w:rFonts w:asciiTheme="minorHAnsi" w:hAnsiTheme="minorHAnsi" w:cstheme="minorHAnsi"/>
                <w:sz w:val="22"/>
                <w:szCs w:val="22"/>
              </w:rPr>
            </w:pPr>
            <w:r w:rsidRPr="00BB6D36">
              <w:rPr>
                <w:rFonts w:asciiTheme="minorHAnsi" w:hAnsiTheme="minorHAnsi" w:cstheme="minorHAnsi"/>
                <w:sz w:val="22"/>
                <w:szCs w:val="22"/>
              </w:rPr>
              <w:t>30,5 %</w:t>
            </w:r>
          </w:p>
        </w:tc>
      </w:tr>
      <w:tr w:rsidR="00BB6D36" w:rsidRPr="00C55F88" w14:paraId="7DF307C5" w14:textId="77777777" w:rsidTr="000B5549">
        <w:trPr>
          <w:trHeight w:val="340"/>
        </w:trPr>
        <w:tc>
          <w:tcPr>
            <w:tcW w:w="3969" w:type="dxa"/>
            <w:vAlign w:val="center"/>
          </w:tcPr>
          <w:p w14:paraId="5B17BC23" w14:textId="77777777" w:rsidR="00BB6D36" w:rsidRPr="00846594" w:rsidRDefault="00BB6D36" w:rsidP="000B5549">
            <w:pPr>
              <w:rPr>
                <w:rFonts w:asciiTheme="minorHAnsi" w:hAnsiTheme="minorHAnsi" w:cstheme="minorHAnsi"/>
                <w:sz w:val="22"/>
                <w:szCs w:val="22"/>
              </w:rPr>
            </w:pPr>
            <w:r w:rsidRPr="00846594">
              <w:rPr>
                <w:rFonts w:asciiTheme="minorHAnsi" w:hAnsiTheme="minorHAnsi" w:cstheme="minorHAnsi"/>
                <w:sz w:val="22"/>
                <w:szCs w:val="22"/>
              </w:rPr>
              <w:t>Aktivní záloha</w:t>
            </w:r>
          </w:p>
        </w:tc>
        <w:tc>
          <w:tcPr>
            <w:tcW w:w="1274" w:type="dxa"/>
            <w:vAlign w:val="center"/>
          </w:tcPr>
          <w:p w14:paraId="389973D7" w14:textId="77777777" w:rsidR="00BB6D36" w:rsidRPr="00846594" w:rsidRDefault="00BB6D36" w:rsidP="00BB6D36">
            <w:pPr>
              <w:jc w:val="right"/>
              <w:rPr>
                <w:rFonts w:asciiTheme="minorHAnsi" w:hAnsiTheme="minorHAnsi" w:cstheme="minorHAnsi"/>
                <w:sz w:val="22"/>
                <w:szCs w:val="22"/>
              </w:rPr>
            </w:pPr>
            <w:r w:rsidRPr="00846594">
              <w:rPr>
                <w:rFonts w:asciiTheme="minorHAnsi" w:hAnsiTheme="minorHAnsi" w:cstheme="minorHAnsi"/>
                <w:sz w:val="22"/>
                <w:szCs w:val="22"/>
              </w:rPr>
              <w:t>3 650</w:t>
            </w:r>
          </w:p>
        </w:tc>
        <w:tc>
          <w:tcPr>
            <w:tcW w:w="1275" w:type="dxa"/>
            <w:vAlign w:val="center"/>
          </w:tcPr>
          <w:p w14:paraId="71FDD2DF" w14:textId="77777777" w:rsidR="00BB6D36" w:rsidRPr="00BB6D36" w:rsidRDefault="00BB6D36" w:rsidP="00BB6D36">
            <w:pPr>
              <w:jc w:val="right"/>
              <w:rPr>
                <w:rFonts w:asciiTheme="minorHAnsi" w:hAnsiTheme="minorHAnsi" w:cstheme="minorHAnsi"/>
                <w:sz w:val="22"/>
                <w:szCs w:val="22"/>
              </w:rPr>
            </w:pPr>
            <w:r w:rsidRPr="00BB6D36">
              <w:rPr>
                <w:rFonts w:asciiTheme="minorHAnsi" w:hAnsiTheme="minorHAnsi" w:cstheme="minorHAnsi"/>
                <w:sz w:val="22"/>
                <w:szCs w:val="22"/>
              </w:rPr>
              <w:t>10 000</w:t>
            </w:r>
          </w:p>
        </w:tc>
        <w:tc>
          <w:tcPr>
            <w:tcW w:w="1275" w:type="dxa"/>
            <w:vAlign w:val="center"/>
          </w:tcPr>
          <w:p w14:paraId="318FB810" w14:textId="77777777" w:rsidR="00BB6D36" w:rsidRPr="00846594" w:rsidRDefault="00BB6D36" w:rsidP="00BB6D36">
            <w:pPr>
              <w:jc w:val="right"/>
              <w:rPr>
                <w:rFonts w:asciiTheme="minorHAnsi" w:hAnsiTheme="minorHAnsi" w:cstheme="minorHAnsi"/>
                <w:sz w:val="22"/>
                <w:szCs w:val="22"/>
              </w:rPr>
            </w:pPr>
            <w:r>
              <w:rPr>
                <w:rFonts w:asciiTheme="minorHAnsi" w:hAnsiTheme="minorHAnsi" w:cstheme="minorHAnsi"/>
                <w:sz w:val="22"/>
                <w:szCs w:val="22"/>
              </w:rPr>
              <w:t>6 350</w:t>
            </w:r>
          </w:p>
        </w:tc>
        <w:tc>
          <w:tcPr>
            <w:tcW w:w="1275" w:type="dxa"/>
            <w:vAlign w:val="center"/>
          </w:tcPr>
          <w:p w14:paraId="71950BCF" w14:textId="77777777" w:rsidR="00BB6D36" w:rsidRPr="00BB6D36" w:rsidRDefault="00BB6D36" w:rsidP="00985BB7">
            <w:pPr>
              <w:ind w:right="174"/>
              <w:jc w:val="right"/>
              <w:rPr>
                <w:rFonts w:asciiTheme="minorHAnsi" w:hAnsiTheme="minorHAnsi" w:cstheme="minorHAnsi"/>
                <w:sz w:val="22"/>
                <w:szCs w:val="22"/>
              </w:rPr>
            </w:pPr>
            <w:r w:rsidRPr="00BB6D36">
              <w:rPr>
                <w:rFonts w:asciiTheme="minorHAnsi" w:hAnsiTheme="minorHAnsi" w:cstheme="minorHAnsi"/>
                <w:sz w:val="22"/>
                <w:szCs w:val="22"/>
              </w:rPr>
              <w:t>17</w:t>
            </w:r>
            <w:r w:rsidR="002D3536">
              <w:rPr>
                <w:rFonts w:asciiTheme="minorHAnsi" w:hAnsiTheme="minorHAnsi" w:cstheme="minorHAnsi"/>
                <w:sz w:val="22"/>
                <w:szCs w:val="22"/>
              </w:rPr>
              <w:t>4</w:t>
            </w:r>
            <w:r w:rsidRPr="00BB6D36">
              <w:rPr>
                <w:rFonts w:asciiTheme="minorHAnsi" w:hAnsiTheme="minorHAnsi" w:cstheme="minorHAnsi"/>
                <w:sz w:val="22"/>
                <w:szCs w:val="22"/>
              </w:rPr>
              <w:t>,</w:t>
            </w:r>
            <w:r w:rsidR="002D3536">
              <w:rPr>
                <w:rFonts w:asciiTheme="minorHAnsi" w:hAnsiTheme="minorHAnsi" w:cstheme="minorHAnsi"/>
                <w:sz w:val="22"/>
                <w:szCs w:val="22"/>
              </w:rPr>
              <w:t>0</w:t>
            </w:r>
            <w:r w:rsidRPr="00BB6D36">
              <w:rPr>
                <w:rFonts w:asciiTheme="minorHAnsi" w:hAnsiTheme="minorHAnsi" w:cstheme="minorHAnsi"/>
                <w:sz w:val="22"/>
                <w:szCs w:val="22"/>
              </w:rPr>
              <w:t xml:space="preserve"> %</w:t>
            </w:r>
          </w:p>
        </w:tc>
      </w:tr>
      <w:tr w:rsidR="00BB6D36" w:rsidRPr="00C55F88" w14:paraId="763814D3" w14:textId="77777777" w:rsidTr="000B5549">
        <w:trPr>
          <w:trHeight w:val="340"/>
        </w:trPr>
        <w:tc>
          <w:tcPr>
            <w:tcW w:w="3969" w:type="dxa"/>
            <w:vAlign w:val="center"/>
          </w:tcPr>
          <w:p w14:paraId="6F7E0F45" w14:textId="77777777" w:rsidR="00BB6D36" w:rsidRPr="00846594" w:rsidRDefault="00BB6D36" w:rsidP="000B5549">
            <w:pPr>
              <w:rPr>
                <w:rFonts w:asciiTheme="minorHAnsi" w:hAnsiTheme="minorHAnsi" w:cstheme="minorHAnsi"/>
                <w:sz w:val="22"/>
                <w:szCs w:val="22"/>
              </w:rPr>
            </w:pPr>
            <w:r w:rsidRPr="00846594">
              <w:rPr>
                <w:rFonts w:asciiTheme="minorHAnsi" w:hAnsiTheme="minorHAnsi" w:cstheme="minorHAnsi"/>
                <w:sz w:val="22"/>
                <w:szCs w:val="22"/>
              </w:rPr>
              <w:t>Státní a občanští zaměstnanci</w:t>
            </w:r>
          </w:p>
        </w:tc>
        <w:tc>
          <w:tcPr>
            <w:tcW w:w="1274" w:type="dxa"/>
            <w:vAlign w:val="center"/>
          </w:tcPr>
          <w:p w14:paraId="521CA9E6" w14:textId="77777777" w:rsidR="00BB6D36" w:rsidRPr="00846594" w:rsidRDefault="00BB6D36" w:rsidP="00BB6D36">
            <w:pPr>
              <w:jc w:val="right"/>
              <w:rPr>
                <w:rFonts w:asciiTheme="minorHAnsi" w:hAnsiTheme="minorHAnsi" w:cstheme="minorHAnsi"/>
                <w:sz w:val="22"/>
                <w:szCs w:val="22"/>
              </w:rPr>
            </w:pPr>
            <w:r w:rsidRPr="00846594">
              <w:rPr>
                <w:rFonts w:asciiTheme="minorHAnsi" w:hAnsiTheme="minorHAnsi" w:cstheme="minorHAnsi"/>
                <w:sz w:val="22"/>
                <w:szCs w:val="22"/>
              </w:rPr>
              <w:t>3 907</w:t>
            </w:r>
          </w:p>
        </w:tc>
        <w:tc>
          <w:tcPr>
            <w:tcW w:w="1275" w:type="dxa"/>
            <w:vAlign w:val="center"/>
          </w:tcPr>
          <w:p w14:paraId="30AEC2AF" w14:textId="77777777" w:rsidR="00BB6D36" w:rsidRPr="00BB6D36" w:rsidRDefault="00BB6D36" w:rsidP="00BB6D36">
            <w:pPr>
              <w:jc w:val="right"/>
              <w:rPr>
                <w:rFonts w:asciiTheme="minorHAnsi" w:hAnsiTheme="minorHAnsi" w:cstheme="minorHAnsi"/>
                <w:sz w:val="22"/>
                <w:szCs w:val="22"/>
              </w:rPr>
            </w:pPr>
            <w:r w:rsidRPr="00BB6D36">
              <w:rPr>
                <w:rFonts w:asciiTheme="minorHAnsi" w:hAnsiTheme="minorHAnsi" w:cstheme="minorHAnsi"/>
                <w:sz w:val="22"/>
                <w:szCs w:val="22"/>
              </w:rPr>
              <w:t>4 535</w:t>
            </w:r>
          </w:p>
        </w:tc>
        <w:tc>
          <w:tcPr>
            <w:tcW w:w="1275" w:type="dxa"/>
            <w:vAlign w:val="center"/>
          </w:tcPr>
          <w:p w14:paraId="3B6F7D28" w14:textId="77777777" w:rsidR="00BB6D36" w:rsidRPr="00846594" w:rsidRDefault="00BB6D36" w:rsidP="00BB6D36">
            <w:pPr>
              <w:jc w:val="right"/>
              <w:rPr>
                <w:rFonts w:asciiTheme="minorHAnsi" w:hAnsiTheme="minorHAnsi" w:cstheme="minorHAnsi"/>
                <w:sz w:val="22"/>
                <w:szCs w:val="22"/>
              </w:rPr>
            </w:pPr>
            <w:r>
              <w:rPr>
                <w:rFonts w:asciiTheme="minorHAnsi" w:hAnsiTheme="minorHAnsi" w:cstheme="minorHAnsi"/>
                <w:sz w:val="22"/>
                <w:szCs w:val="22"/>
              </w:rPr>
              <w:t>628</w:t>
            </w:r>
          </w:p>
        </w:tc>
        <w:tc>
          <w:tcPr>
            <w:tcW w:w="1275" w:type="dxa"/>
            <w:vAlign w:val="center"/>
          </w:tcPr>
          <w:p w14:paraId="3F21293E" w14:textId="77777777" w:rsidR="00BB6D36" w:rsidRPr="00BB6D36" w:rsidRDefault="00BB6D36" w:rsidP="00985BB7">
            <w:pPr>
              <w:ind w:right="174"/>
              <w:jc w:val="right"/>
              <w:rPr>
                <w:rFonts w:asciiTheme="minorHAnsi" w:hAnsiTheme="minorHAnsi" w:cstheme="minorHAnsi"/>
                <w:sz w:val="22"/>
                <w:szCs w:val="22"/>
              </w:rPr>
            </w:pPr>
            <w:r w:rsidRPr="00BB6D36">
              <w:rPr>
                <w:rFonts w:asciiTheme="minorHAnsi" w:hAnsiTheme="minorHAnsi" w:cstheme="minorHAnsi"/>
                <w:sz w:val="22"/>
                <w:szCs w:val="22"/>
              </w:rPr>
              <w:t>16,1 %</w:t>
            </w:r>
          </w:p>
        </w:tc>
      </w:tr>
      <w:tr w:rsidR="00BB6D36" w:rsidRPr="00C55F88" w14:paraId="4E431133" w14:textId="77777777" w:rsidTr="000B5549">
        <w:trPr>
          <w:trHeight w:val="340"/>
        </w:trPr>
        <w:tc>
          <w:tcPr>
            <w:tcW w:w="3969" w:type="dxa"/>
            <w:shd w:val="clear" w:color="auto" w:fill="auto"/>
            <w:vAlign w:val="center"/>
          </w:tcPr>
          <w:p w14:paraId="6083D2AB" w14:textId="77777777" w:rsidR="00BB6D36" w:rsidRPr="0035352F" w:rsidRDefault="00BB6D36" w:rsidP="000B5549">
            <w:pPr>
              <w:rPr>
                <w:rFonts w:asciiTheme="minorHAnsi" w:hAnsiTheme="minorHAnsi" w:cstheme="minorHAnsi"/>
                <w:b/>
                <w:sz w:val="22"/>
                <w:szCs w:val="22"/>
              </w:rPr>
            </w:pPr>
            <w:r w:rsidRPr="0035352F">
              <w:rPr>
                <w:rFonts w:asciiTheme="minorHAnsi" w:hAnsiTheme="minorHAnsi" w:cstheme="minorHAnsi"/>
                <w:b/>
                <w:sz w:val="22"/>
                <w:szCs w:val="22"/>
              </w:rPr>
              <w:t>Celkem</w:t>
            </w:r>
          </w:p>
        </w:tc>
        <w:tc>
          <w:tcPr>
            <w:tcW w:w="1274" w:type="dxa"/>
            <w:shd w:val="clear" w:color="auto" w:fill="auto"/>
            <w:vAlign w:val="center"/>
          </w:tcPr>
          <w:p w14:paraId="3C35D93E" w14:textId="77777777" w:rsidR="00BB6D36" w:rsidRPr="0035352F" w:rsidRDefault="00BB6D36" w:rsidP="00BB6D36">
            <w:pPr>
              <w:jc w:val="right"/>
              <w:rPr>
                <w:rFonts w:asciiTheme="minorHAnsi" w:hAnsiTheme="minorHAnsi" w:cstheme="minorHAnsi"/>
                <w:b/>
                <w:sz w:val="22"/>
                <w:szCs w:val="22"/>
              </w:rPr>
            </w:pPr>
            <w:r w:rsidRPr="0035352F">
              <w:rPr>
                <w:rFonts w:asciiTheme="minorHAnsi" w:hAnsiTheme="minorHAnsi" w:cstheme="minorHAnsi"/>
                <w:b/>
                <w:sz w:val="22"/>
                <w:szCs w:val="22"/>
              </w:rPr>
              <w:t>30 552</w:t>
            </w:r>
          </w:p>
        </w:tc>
        <w:tc>
          <w:tcPr>
            <w:tcW w:w="1275" w:type="dxa"/>
            <w:shd w:val="clear" w:color="auto" w:fill="auto"/>
            <w:vAlign w:val="center"/>
          </w:tcPr>
          <w:p w14:paraId="78DBE14F" w14:textId="77777777" w:rsidR="00BB6D36" w:rsidRPr="00BB6D36" w:rsidRDefault="00BB6D36" w:rsidP="00BB6D36">
            <w:pPr>
              <w:jc w:val="right"/>
              <w:rPr>
                <w:rFonts w:asciiTheme="minorHAnsi" w:hAnsiTheme="minorHAnsi" w:cstheme="minorHAnsi"/>
                <w:b/>
                <w:sz w:val="22"/>
                <w:szCs w:val="22"/>
              </w:rPr>
            </w:pPr>
            <w:r w:rsidRPr="00BB6D36">
              <w:rPr>
                <w:rFonts w:asciiTheme="minorHAnsi" w:hAnsiTheme="minorHAnsi" w:cstheme="minorHAnsi"/>
                <w:b/>
                <w:sz w:val="22"/>
                <w:szCs w:val="22"/>
              </w:rPr>
              <w:t>44 535</w:t>
            </w:r>
          </w:p>
        </w:tc>
        <w:tc>
          <w:tcPr>
            <w:tcW w:w="1275" w:type="dxa"/>
            <w:shd w:val="clear" w:color="auto" w:fill="auto"/>
            <w:vAlign w:val="center"/>
          </w:tcPr>
          <w:p w14:paraId="265F7FF9" w14:textId="77777777" w:rsidR="00BB6D36" w:rsidRPr="0035352F" w:rsidRDefault="00BB6D36" w:rsidP="00BB6D36">
            <w:pPr>
              <w:jc w:val="right"/>
              <w:rPr>
                <w:rFonts w:asciiTheme="minorHAnsi" w:hAnsiTheme="minorHAnsi" w:cstheme="minorHAnsi"/>
                <w:b/>
                <w:sz w:val="22"/>
                <w:szCs w:val="22"/>
              </w:rPr>
            </w:pPr>
            <w:r>
              <w:rPr>
                <w:rFonts w:asciiTheme="minorHAnsi" w:hAnsiTheme="minorHAnsi" w:cstheme="minorHAnsi"/>
                <w:b/>
                <w:sz w:val="22"/>
                <w:szCs w:val="22"/>
              </w:rPr>
              <w:t>13 983</w:t>
            </w:r>
          </w:p>
        </w:tc>
        <w:tc>
          <w:tcPr>
            <w:tcW w:w="1275" w:type="dxa"/>
            <w:shd w:val="clear" w:color="auto" w:fill="auto"/>
            <w:vAlign w:val="center"/>
          </w:tcPr>
          <w:p w14:paraId="38BD3911" w14:textId="77777777" w:rsidR="00BB6D36" w:rsidRPr="00BB6D36" w:rsidRDefault="00BB6D36" w:rsidP="00985BB7">
            <w:pPr>
              <w:ind w:right="174"/>
              <w:jc w:val="right"/>
              <w:rPr>
                <w:rFonts w:asciiTheme="minorHAnsi" w:hAnsiTheme="minorHAnsi" w:cstheme="minorHAnsi"/>
                <w:b/>
                <w:sz w:val="22"/>
                <w:szCs w:val="22"/>
              </w:rPr>
            </w:pPr>
            <w:r w:rsidRPr="00BB6D36">
              <w:rPr>
                <w:rFonts w:asciiTheme="minorHAnsi" w:hAnsiTheme="minorHAnsi" w:cstheme="minorHAnsi"/>
                <w:b/>
                <w:sz w:val="22"/>
                <w:szCs w:val="22"/>
              </w:rPr>
              <w:t>45,8 %</w:t>
            </w:r>
          </w:p>
        </w:tc>
      </w:tr>
      <w:tr w:rsidR="00BB6D36" w:rsidRPr="00C55F88" w14:paraId="1A6237CF" w14:textId="77777777" w:rsidTr="000B5549">
        <w:trPr>
          <w:trHeight w:val="340"/>
        </w:trPr>
        <w:tc>
          <w:tcPr>
            <w:tcW w:w="3969" w:type="dxa"/>
            <w:shd w:val="clear" w:color="auto" w:fill="auto"/>
            <w:vAlign w:val="center"/>
          </w:tcPr>
          <w:p w14:paraId="7DF7AB10" w14:textId="23AD9D7A" w:rsidR="00BB6D36" w:rsidRPr="00922767" w:rsidRDefault="00CF5F7B" w:rsidP="000B5549">
            <w:pPr>
              <w:rPr>
                <w:rFonts w:asciiTheme="minorHAnsi" w:hAnsiTheme="minorHAnsi" w:cstheme="minorHAnsi"/>
                <w:sz w:val="22"/>
                <w:szCs w:val="22"/>
              </w:rPr>
            </w:pPr>
            <w:r>
              <w:rPr>
                <w:rFonts w:asciiTheme="minorHAnsi" w:hAnsiTheme="minorHAnsi" w:cstheme="minorHAnsi"/>
                <w:sz w:val="22"/>
                <w:szCs w:val="22"/>
              </w:rPr>
              <w:t>–</w:t>
            </w:r>
            <w:r w:rsidR="00922767" w:rsidRPr="00922767">
              <w:rPr>
                <w:rFonts w:asciiTheme="minorHAnsi" w:hAnsiTheme="minorHAnsi" w:cstheme="minorHAnsi"/>
                <w:sz w:val="22"/>
                <w:szCs w:val="22"/>
              </w:rPr>
              <w:t xml:space="preserve"> z toho v</w:t>
            </w:r>
            <w:r w:rsidR="00DB39AE" w:rsidRPr="00922767">
              <w:rPr>
                <w:rFonts w:asciiTheme="minorHAnsi" w:hAnsiTheme="minorHAnsi" w:cstheme="minorHAnsi"/>
                <w:sz w:val="22"/>
                <w:szCs w:val="22"/>
              </w:rPr>
              <w:t>ojáci z povolání a aktivní záloha</w:t>
            </w:r>
          </w:p>
        </w:tc>
        <w:tc>
          <w:tcPr>
            <w:tcW w:w="1274" w:type="dxa"/>
            <w:shd w:val="clear" w:color="auto" w:fill="auto"/>
            <w:vAlign w:val="center"/>
          </w:tcPr>
          <w:p w14:paraId="216A8757" w14:textId="77777777" w:rsidR="00BB6D36" w:rsidRPr="00922767" w:rsidRDefault="00BB6D36" w:rsidP="00BB6D36">
            <w:pPr>
              <w:jc w:val="right"/>
              <w:rPr>
                <w:rFonts w:asciiTheme="minorHAnsi" w:hAnsiTheme="minorHAnsi" w:cstheme="minorHAnsi"/>
                <w:sz w:val="22"/>
                <w:szCs w:val="22"/>
              </w:rPr>
            </w:pPr>
            <w:r w:rsidRPr="00922767">
              <w:rPr>
                <w:rFonts w:asciiTheme="minorHAnsi" w:hAnsiTheme="minorHAnsi" w:cstheme="minorHAnsi"/>
                <w:sz w:val="22"/>
                <w:szCs w:val="22"/>
              </w:rPr>
              <w:t>26 645</w:t>
            </w:r>
          </w:p>
        </w:tc>
        <w:tc>
          <w:tcPr>
            <w:tcW w:w="1275" w:type="dxa"/>
            <w:shd w:val="clear" w:color="auto" w:fill="auto"/>
            <w:vAlign w:val="center"/>
          </w:tcPr>
          <w:p w14:paraId="0ED6D845" w14:textId="77777777" w:rsidR="00BB6D36" w:rsidRPr="00922767" w:rsidRDefault="00BB6D36" w:rsidP="00BB6D36">
            <w:pPr>
              <w:jc w:val="right"/>
              <w:rPr>
                <w:rFonts w:asciiTheme="minorHAnsi" w:hAnsiTheme="minorHAnsi" w:cstheme="minorHAnsi"/>
                <w:sz w:val="22"/>
                <w:szCs w:val="22"/>
              </w:rPr>
            </w:pPr>
            <w:r w:rsidRPr="00922767">
              <w:rPr>
                <w:rFonts w:asciiTheme="minorHAnsi" w:hAnsiTheme="minorHAnsi" w:cstheme="minorHAnsi"/>
                <w:sz w:val="22"/>
                <w:szCs w:val="22"/>
              </w:rPr>
              <w:t>40 000</w:t>
            </w:r>
          </w:p>
        </w:tc>
        <w:tc>
          <w:tcPr>
            <w:tcW w:w="1275" w:type="dxa"/>
            <w:shd w:val="clear" w:color="auto" w:fill="auto"/>
            <w:vAlign w:val="center"/>
          </w:tcPr>
          <w:p w14:paraId="6333835D" w14:textId="77777777" w:rsidR="00BB6D36" w:rsidRPr="00922767" w:rsidRDefault="00BB6D36" w:rsidP="00BB6D36">
            <w:pPr>
              <w:jc w:val="right"/>
              <w:rPr>
                <w:rFonts w:asciiTheme="minorHAnsi" w:hAnsiTheme="minorHAnsi" w:cstheme="minorHAnsi"/>
                <w:sz w:val="22"/>
                <w:szCs w:val="22"/>
              </w:rPr>
            </w:pPr>
            <w:r w:rsidRPr="00922767">
              <w:rPr>
                <w:rFonts w:asciiTheme="minorHAnsi" w:hAnsiTheme="minorHAnsi" w:cstheme="minorHAnsi"/>
                <w:sz w:val="22"/>
                <w:szCs w:val="22"/>
              </w:rPr>
              <w:t>13 355</w:t>
            </w:r>
          </w:p>
        </w:tc>
        <w:tc>
          <w:tcPr>
            <w:tcW w:w="1275" w:type="dxa"/>
            <w:shd w:val="clear" w:color="auto" w:fill="auto"/>
            <w:vAlign w:val="center"/>
          </w:tcPr>
          <w:p w14:paraId="4A437EBF" w14:textId="77777777" w:rsidR="00BB6D36" w:rsidRPr="00922767" w:rsidRDefault="00BB6D36" w:rsidP="00985BB7">
            <w:pPr>
              <w:ind w:right="174"/>
              <w:jc w:val="right"/>
              <w:rPr>
                <w:rFonts w:asciiTheme="minorHAnsi" w:hAnsiTheme="minorHAnsi" w:cstheme="minorHAnsi"/>
                <w:sz w:val="22"/>
                <w:szCs w:val="22"/>
              </w:rPr>
            </w:pPr>
            <w:r w:rsidRPr="00922767">
              <w:rPr>
                <w:rFonts w:asciiTheme="minorHAnsi" w:hAnsiTheme="minorHAnsi" w:cstheme="minorHAnsi"/>
                <w:sz w:val="22"/>
                <w:szCs w:val="22"/>
              </w:rPr>
              <w:t>50,1 %</w:t>
            </w:r>
          </w:p>
        </w:tc>
      </w:tr>
    </w:tbl>
    <w:p w14:paraId="4503D28C" w14:textId="77777777" w:rsidR="00C55F88" w:rsidRDefault="00C55F88" w:rsidP="00BD7201">
      <w:pPr>
        <w:spacing w:after="120"/>
        <w:jc w:val="both"/>
        <w:rPr>
          <w:rFonts w:ascii="Calibri" w:eastAsia="Calibri" w:hAnsi="Calibri" w:cs="Calibri"/>
          <w:sz w:val="20"/>
          <w:szCs w:val="20"/>
          <w:lang w:eastAsia="en-US"/>
        </w:rPr>
      </w:pPr>
      <w:r w:rsidRPr="00C55F88">
        <w:rPr>
          <w:rFonts w:ascii="Calibri" w:eastAsia="Calibri" w:hAnsi="Calibri" w:cs="Calibri"/>
          <w:b/>
          <w:sz w:val="20"/>
          <w:szCs w:val="20"/>
          <w:lang w:eastAsia="en-US"/>
        </w:rPr>
        <w:t>Zdroj:</w:t>
      </w:r>
      <w:r w:rsidRPr="00C55F88">
        <w:rPr>
          <w:rFonts w:ascii="Calibri" w:eastAsia="Calibri" w:hAnsi="Calibri" w:cs="Calibri"/>
          <w:sz w:val="20"/>
          <w:szCs w:val="20"/>
          <w:lang w:eastAsia="en-US"/>
        </w:rPr>
        <w:t xml:space="preserve"> </w:t>
      </w:r>
      <w:r w:rsidRPr="000B5549">
        <w:rPr>
          <w:rFonts w:ascii="Calibri" w:eastAsia="Calibri" w:hAnsi="Calibri" w:cs="Calibri"/>
          <w:i/>
          <w:sz w:val="20"/>
          <w:szCs w:val="20"/>
          <w:lang w:eastAsia="en-US"/>
        </w:rPr>
        <w:t>Koncepce výstavby Armády České republiky 2030</w:t>
      </w:r>
      <w:r w:rsidR="00846594">
        <w:rPr>
          <w:rFonts w:ascii="Calibri" w:eastAsia="Calibri" w:hAnsi="Calibri" w:cs="Calibri"/>
          <w:sz w:val="20"/>
          <w:szCs w:val="20"/>
          <w:lang w:eastAsia="en-US"/>
        </w:rPr>
        <w:t>.</w:t>
      </w:r>
    </w:p>
    <w:p w14:paraId="3EB1103D" w14:textId="4A9558B5" w:rsidR="00AD53A9" w:rsidRDefault="00815D2D" w:rsidP="00C55F88">
      <w:pPr>
        <w:spacing w:before="120"/>
        <w:jc w:val="both"/>
        <w:rPr>
          <w:rFonts w:ascii="Calibri" w:eastAsia="Calibri" w:hAnsi="Calibri"/>
          <w:lang w:eastAsia="en-US"/>
        </w:rPr>
      </w:pPr>
      <w:r w:rsidRPr="00815D2D">
        <w:rPr>
          <w:rFonts w:ascii="Calibri" w:eastAsia="Calibri" w:hAnsi="Calibri" w:cs="Calibri"/>
          <w:b/>
          <w:lang w:eastAsia="en-US"/>
        </w:rPr>
        <w:t>4.</w:t>
      </w:r>
      <w:r w:rsidR="00991DA0">
        <w:rPr>
          <w:rFonts w:ascii="Calibri" w:eastAsia="Calibri" w:hAnsi="Calibri" w:cs="Calibri"/>
          <w:b/>
          <w:lang w:eastAsia="en-US"/>
        </w:rPr>
        <w:t>9</w:t>
      </w:r>
      <w:r>
        <w:rPr>
          <w:rFonts w:ascii="Calibri" w:eastAsia="Calibri" w:hAnsi="Calibri" w:cs="Calibri"/>
          <w:lang w:eastAsia="en-US"/>
        </w:rPr>
        <w:t xml:space="preserve"> </w:t>
      </w:r>
      <w:r w:rsidR="007C6563">
        <w:rPr>
          <w:rFonts w:ascii="Calibri" w:eastAsia="Calibri" w:hAnsi="Calibri"/>
          <w:lang w:eastAsia="en-US"/>
        </w:rPr>
        <w:t>S</w:t>
      </w:r>
      <w:r w:rsidR="00AD53A9" w:rsidRPr="00AD53A9">
        <w:rPr>
          <w:rFonts w:ascii="Calibri" w:eastAsia="Calibri" w:hAnsi="Calibri"/>
          <w:lang w:eastAsia="en-US"/>
        </w:rPr>
        <w:t>tanov</w:t>
      </w:r>
      <w:r w:rsidR="007C6563">
        <w:rPr>
          <w:rFonts w:ascii="Calibri" w:eastAsia="Calibri" w:hAnsi="Calibri"/>
          <w:lang w:eastAsia="en-US"/>
        </w:rPr>
        <w:t xml:space="preserve">ená potřeba </w:t>
      </w:r>
      <w:r w:rsidR="00C55F88" w:rsidRPr="00AD53A9">
        <w:rPr>
          <w:rFonts w:ascii="Calibri" w:eastAsia="Calibri" w:hAnsi="Calibri"/>
          <w:lang w:eastAsia="en-US"/>
        </w:rPr>
        <w:t>2</w:t>
      </w:r>
      <w:r w:rsidR="007C6563">
        <w:rPr>
          <w:rFonts w:ascii="Calibri" w:eastAsia="Calibri" w:hAnsi="Calibri"/>
          <w:lang w:eastAsia="en-US"/>
        </w:rPr>
        <w:t> </w:t>
      </w:r>
      <w:r w:rsidR="00C55F88" w:rsidRPr="00AD53A9">
        <w:rPr>
          <w:rFonts w:ascii="Calibri" w:eastAsia="Calibri" w:hAnsi="Calibri"/>
          <w:lang w:eastAsia="en-US"/>
        </w:rPr>
        <w:t>228</w:t>
      </w:r>
      <w:r w:rsidR="007C6563">
        <w:rPr>
          <w:rFonts w:ascii="Calibri" w:eastAsia="Calibri" w:hAnsi="Calibri"/>
          <w:lang w:eastAsia="en-US"/>
        </w:rPr>
        <w:t xml:space="preserve"> vozidel představuje </w:t>
      </w:r>
      <w:r w:rsidR="00C55F88" w:rsidRPr="00AD53A9">
        <w:rPr>
          <w:rFonts w:ascii="Calibri" w:eastAsia="Calibri" w:hAnsi="Calibri"/>
          <w:lang w:eastAsia="en-US"/>
        </w:rPr>
        <w:t xml:space="preserve">o 884 vozidel (o 65,8 %) více, než uvádějí tabulkové počty </w:t>
      </w:r>
      <w:r w:rsidR="00AD53A9" w:rsidRPr="00AD53A9">
        <w:rPr>
          <w:rFonts w:ascii="Calibri" w:eastAsia="Calibri" w:hAnsi="Calibri"/>
          <w:lang w:eastAsia="en-US"/>
        </w:rPr>
        <w:t xml:space="preserve">Armády </w:t>
      </w:r>
      <w:r w:rsidR="00C55F88" w:rsidRPr="00AD53A9">
        <w:rPr>
          <w:rFonts w:ascii="Calibri" w:eastAsia="Calibri" w:hAnsi="Calibri"/>
          <w:lang w:eastAsia="en-US"/>
        </w:rPr>
        <w:t>v roce 2020</w:t>
      </w:r>
      <w:r w:rsidR="009E02ED">
        <w:rPr>
          <w:rFonts w:ascii="Calibri" w:eastAsia="Calibri" w:hAnsi="Calibri"/>
          <w:lang w:eastAsia="en-US"/>
        </w:rPr>
        <w:t xml:space="preserve"> (tj. 1 344 vozidel)</w:t>
      </w:r>
      <w:r w:rsidR="00AD53A9">
        <w:rPr>
          <w:rFonts w:ascii="Calibri" w:eastAsia="Calibri" w:hAnsi="Calibri"/>
          <w:lang w:eastAsia="en-US"/>
        </w:rPr>
        <w:t>, viz tabulka č. 2</w:t>
      </w:r>
      <w:r w:rsidR="00C55F88" w:rsidRPr="00AD53A9">
        <w:rPr>
          <w:rFonts w:ascii="Calibri" w:eastAsia="Calibri" w:hAnsi="Calibri"/>
          <w:lang w:eastAsia="en-US"/>
        </w:rPr>
        <w:t>.</w:t>
      </w:r>
    </w:p>
    <w:p w14:paraId="29C8C3A9" w14:textId="77777777" w:rsidR="00AD53A9" w:rsidRPr="00BD7201" w:rsidRDefault="00AD53A9" w:rsidP="00AD53A9">
      <w:pPr>
        <w:spacing w:before="120"/>
        <w:jc w:val="both"/>
        <w:rPr>
          <w:rFonts w:ascii="Calibri" w:eastAsia="Calibri" w:hAnsi="Calibri" w:cs="Calibri"/>
          <w:b/>
          <w:lang w:eastAsia="en-US"/>
        </w:rPr>
      </w:pPr>
      <w:bookmarkStart w:id="20" w:name="_Hlk127279676"/>
      <w:r w:rsidRPr="00C55F88">
        <w:rPr>
          <w:rFonts w:ascii="Calibri" w:eastAsia="Calibri" w:hAnsi="Calibri" w:cs="Calibri"/>
          <w:b/>
          <w:lang w:eastAsia="en-US"/>
        </w:rPr>
        <w:t xml:space="preserve">Tabulka č. </w:t>
      </w:r>
      <w:r>
        <w:rPr>
          <w:rFonts w:ascii="Calibri" w:eastAsia="Calibri" w:hAnsi="Calibri" w:cs="Calibri"/>
          <w:b/>
          <w:lang w:eastAsia="en-US"/>
        </w:rPr>
        <w:t>2:</w:t>
      </w:r>
      <w:r w:rsidRPr="00C55F88">
        <w:rPr>
          <w:rFonts w:ascii="Calibri" w:eastAsia="Calibri" w:hAnsi="Calibri" w:cs="Calibri"/>
          <w:b/>
          <w:lang w:eastAsia="en-US"/>
        </w:rPr>
        <w:t xml:space="preserve"> P</w:t>
      </w:r>
      <w:r>
        <w:rPr>
          <w:rFonts w:ascii="Calibri" w:eastAsia="Calibri" w:hAnsi="Calibri" w:cs="Calibri"/>
          <w:b/>
          <w:lang w:eastAsia="en-US"/>
        </w:rPr>
        <w:t xml:space="preserve">ředpokládaný </w:t>
      </w:r>
      <w:r w:rsidRPr="00C55F88">
        <w:rPr>
          <w:rFonts w:ascii="Calibri" w:eastAsia="Calibri" w:hAnsi="Calibri" w:cs="Calibri"/>
          <w:b/>
          <w:lang w:eastAsia="en-US"/>
        </w:rPr>
        <w:t xml:space="preserve">nárůst </w:t>
      </w:r>
      <w:r>
        <w:rPr>
          <w:rFonts w:ascii="Calibri" w:eastAsia="Calibri" w:hAnsi="Calibri" w:cs="Calibri"/>
          <w:b/>
          <w:lang w:eastAsia="en-US"/>
        </w:rPr>
        <w:t>tabulkového počtu osobních terénních automobilů</w:t>
      </w:r>
    </w:p>
    <w:bookmarkEnd w:id="20"/>
    <w:tbl>
      <w:tblPr>
        <w:tblStyle w:val="Mkatabulky4"/>
        <w:tblW w:w="9073" w:type="dxa"/>
        <w:tblInd w:w="-5" w:type="dxa"/>
        <w:tblLook w:val="04A0" w:firstRow="1" w:lastRow="0" w:firstColumn="1" w:lastColumn="0" w:noHBand="0" w:noVBand="1"/>
      </w:tblPr>
      <w:tblGrid>
        <w:gridCol w:w="3969"/>
        <w:gridCol w:w="1276"/>
        <w:gridCol w:w="1276"/>
        <w:gridCol w:w="1276"/>
        <w:gridCol w:w="1276"/>
      </w:tblGrid>
      <w:tr w:rsidR="004B2279" w:rsidRPr="00846594" w14:paraId="149F90EF" w14:textId="77777777" w:rsidTr="000B5549">
        <w:trPr>
          <w:trHeight w:val="397"/>
        </w:trPr>
        <w:tc>
          <w:tcPr>
            <w:tcW w:w="3969" w:type="dxa"/>
            <w:shd w:val="clear" w:color="auto" w:fill="E5F1FF"/>
            <w:vAlign w:val="center"/>
          </w:tcPr>
          <w:p w14:paraId="1606F986" w14:textId="66F27DB6" w:rsidR="00BB6D36" w:rsidRPr="00846594" w:rsidRDefault="00BB6D36" w:rsidP="00CF5F7B">
            <w:pPr>
              <w:jc w:val="center"/>
              <w:rPr>
                <w:rFonts w:asciiTheme="minorHAnsi" w:hAnsiTheme="minorHAnsi" w:cstheme="minorHAnsi"/>
                <w:b/>
                <w:sz w:val="22"/>
                <w:szCs w:val="22"/>
              </w:rPr>
            </w:pPr>
          </w:p>
        </w:tc>
        <w:tc>
          <w:tcPr>
            <w:tcW w:w="1276" w:type="dxa"/>
            <w:shd w:val="clear" w:color="auto" w:fill="E5F1FF"/>
            <w:vAlign w:val="center"/>
          </w:tcPr>
          <w:p w14:paraId="249F35F7" w14:textId="7FCDA5F3" w:rsidR="00BB6D36" w:rsidRPr="00BB6D36" w:rsidRDefault="00BB6D36" w:rsidP="00CF5F7B">
            <w:pPr>
              <w:jc w:val="center"/>
              <w:rPr>
                <w:rFonts w:asciiTheme="minorHAnsi" w:hAnsiTheme="minorHAnsi" w:cstheme="minorHAnsi"/>
                <w:b/>
                <w:sz w:val="22"/>
                <w:szCs w:val="22"/>
              </w:rPr>
            </w:pPr>
            <w:r w:rsidRPr="00BB6D36">
              <w:rPr>
                <w:rFonts w:asciiTheme="minorHAnsi" w:hAnsiTheme="minorHAnsi" w:cstheme="minorHAnsi"/>
                <w:b/>
                <w:sz w:val="22"/>
                <w:szCs w:val="22"/>
              </w:rPr>
              <w:t>2020</w:t>
            </w:r>
          </w:p>
        </w:tc>
        <w:tc>
          <w:tcPr>
            <w:tcW w:w="1276" w:type="dxa"/>
            <w:shd w:val="clear" w:color="auto" w:fill="E5F1FF"/>
            <w:vAlign w:val="center"/>
          </w:tcPr>
          <w:p w14:paraId="0AE6059F" w14:textId="0F645EA1" w:rsidR="00BB6D36" w:rsidRPr="00BB6D36" w:rsidRDefault="00BB6D36" w:rsidP="00CF5F7B">
            <w:pPr>
              <w:jc w:val="center"/>
              <w:rPr>
                <w:rFonts w:asciiTheme="minorHAnsi" w:hAnsiTheme="minorHAnsi" w:cstheme="minorHAnsi"/>
                <w:b/>
                <w:sz w:val="22"/>
                <w:szCs w:val="22"/>
              </w:rPr>
            </w:pPr>
            <w:r w:rsidRPr="00BB6D36">
              <w:rPr>
                <w:rFonts w:asciiTheme="minorHAnsi" w:hAnsiTheme="minorHAnsi" w:cstheme="minorHAnsi"/>
                <w:b/>
                <w:sz w:val="22"/>
                <w:szCs w:val="22"/>
              </w:rPr>
              <w:t>20</w:t>
            </w:r>
            <w:r w:rsidR="00E9761E">
              <w:rPr>
                <w:rFonts w:asciiTheme="minorHAnsi" w:hAnsiTheme="minorHAnsi" w:cstheme="minorHAnsi"/>
                <w:b/>
                <w:sz w:val="22"/>
                <w:szCs w:val="22"/>
              </w:rPr>
              <w:t>27</w:t>
            </w:r>
          </w:p>
        </w:tc>
        <w:tc>
          <w:tcPr>
            <w:tcW w:w="1276" w:type="dxa"/>
            <w:shd w:val="clear" w:color="auto" w:fill="E5F1FF"/>
            <w:vAlign w:val="center"/>
          </w:tcPr>
          <w:p w14:paraId="357263C7" w14:textId="77777777" w:rsidR="00BB6D36" w:rsidRPr="00BB6D36" w:rsidRDefault="00BB6D36" w:rsidP="00CF5F7B">
            <w:pPr>
              <w:jc w:val="center"/>
              <w:rPr>
                <w:rFonts w:asciiTheme="minorHAnsi" w:hAnsiTheme="minorHAnsi" w:cstheme="minorHAnsi"/>
                <w:b/>
                <w:sz w:val="22"/>
                <w:szCs w:val="22"/>
              </w:rPr>
            </w:pPr>
            <w:r w:rsidRPr="00BB6D36">
              <w:rPr>
                <w:rFonts w:asciiTheme="minorHAnsi" w:hAnsiTheme="minorHAnsi" w:cstheme="minorHAnsi"/>
                <w:b/>
                <w:sz w:val="22"/>
                <w:szCs w:val="22"/>
              </w:rPr>
              <w:t>Nárůst</w:t>
            </w:r>
            <w:r>
              <w:rPr>
                <w:rFonts w:asciiTheme="minorHAnsi" w:hAnsiTheme="minorHAnsi" w:cstheme="minorHAnsi"/>
                <w:b/>
                <w:sz w:val="22"/>
                <w:szCs w:val="22"/>
              </w:rPr>
              <w:t xml:space="preserve"> o</w:t>
            </w:r>
          </w:p>
        </w:tc>
        <w:tc>
          <w:tcPr>
            <w:tcW w:w="1276" w:type="dxa"/>
            <w:shd w:val="clear" w:color="auto" w:fill="E5F1FF"/>
            <w:vAlign w:val="center"/>
          </w:tcPr>
          <w:p w14:paraId="006A99EC" w14:textId="77777777" w:rsidR="00BB6D36" w:rsidRPr="00BB6D36" w:rsidRDefault="00BB6D36" w:rsidP="004B2279">
            <w:pPr>
              <w:jc w:val="center"/>
              <w:rPr>
                <w:rFonts w:asciiTheme="minorHAnsi" w:hAnsiTheme="minorHAnsi" w:cstheme="minorHAnsi"/>
                <w:b/>
                <w:sz w:val="22"/>
                <w:szCs w:val="22"/>
              </w:rPr>
            </w:pPr>
            <w:r w:rsidRPr="00BB6D36">
              <w:rPr>
                <w:rFonts w:asciiTheme="minorHAnsi" w:hAnsiTheme="minorHAnsi" w:cstheme="minorHAnsi"/>
                <w:b/>
                <w:sz w:val="22"/>
                <w:szCs w:val="22"/>
              </w:rPr>
              <w:t>Nárůst v %</w:t>
            </w:r>
          </w:p>
        </w:tc>
      </w:tr>
      <w:tr w:rsidR="004B2279" w:rsidRPr="003216F2" w14:paraId="789642E4" w14:textId="77777777" w:rsidTr="000B5549">
        <w:trPr>
          <w:trHeight w:val="340"/>
        </w:trPr>
        <w:tc>
          <w:tcPr>
            <w:tcW w:w="3969" w:type="dxa"/>
            <w:shd w:val="clear" w:color="auto" w:fill="auto"/>
            <w:vAlign w:val="center"/>
          </w:tcPr>
          <w:p w14:paraId="4887DC05" w14:textId="77777777" w:rsidR="00BB6D36" w:rsidRPr="00846594" w:rsidRDefault="00BB6D36" w:rsidP="000B5549">
            <w:pPr>
              <w:rPr>
                <w:rFonts w:asciiTheme="minorHAnsi" w:hAnsiTheme="minorHAnsi" w:cstheme="minorHAnsi"/>
                <w:sz w:val="22"/>
                <w:szCs w:val="22"/>
              </w:rPr>
            </w:pPr>
            <w:r w:rsidRPr="00846594">
              <w:rPr>
                <w:rFonts w:asciiTheme="minorHAnsi" w:hAnsiTheme="minorHAnsi" w:cstheme="minorHAnsi"/>
                <w:sz w:val="22"/>
                <w:szCs w:val="22"/>
              </w:rPr>
              <w:t>Osobní terénní automobily</w:t>
            </w:r>
          </w:p>
        </w:tc>
        <w:tc>
          <w:tcPr>
            <w:tcW w:w="1276" w:type="dxa"/>
            <w:shd w:val="clear" w:color="auto" w:fill="auto"/>
            <w:vAlign w:val="center"/>
          </w:tcPr>
          <w:p w14:paraId="1F107DD4" w14:textId="77777777" w:rsidR="00BB6D36" w:rsidRPr="00BB6D36" w:rsidRDefault="00BB6D36" w:rsidP="004B2279">
            <w:pPr>
              <w:jc w:val="right"/>
              <w:rPr>
                <w:rFonts w:asciiTheme="minorHAnsi" w:hAnsiTheme="minorHAnsi" w:cstheme="minorHAnsi"/>
                <w:sz w:val="22"/>
                <w:szCs w:val="22"/>
              </w:rPr>
            </w:pPr>
            <w:r w:rsidRPr="00BB6D36">
              <w:rPr>
                <w:rFonts w:ascii="Calibri" w:eastAsia="Calibri" w:hAnsi="Calibri" w:cs="Calibri"/>
                <w:sz w:val="22"/>
                <w:szCs w:val="22"/>
                <w:lang w:eastAsia="en-US"/>
              </w:rPr>
              <w:t>*</w:t>
            </w:r>
            <w:r w:rsidRPr="00BB6D36">
              <w:rPr>
                <w:rFonts w:asciiTheme="minorHAnsi" w:hAnsiTheme="minorHAnsi" w:cstheme="minorHAnsi"/>
                <w:sz w:val="22"/>
                <w:szCs w:val="22"/>
              </w:rPr>
              <w:t>1 344</w:t>
            </w:r>
          </w:p>
        </w:tc>
        <w:tc>
          <w:tcPr>
            <w:tcW w:w="1276" w:type="dxa"/>
            <w:shd w:val="clear" w:color="auto" w:fill="auto"/>
            <w:vAlign w:val="center"/>
          </w:tcPr>
          <w:p w14:paraId="56B7ED41" w14:textId="77777777" w:rsidR="00BB6D36" w:rsidRPr="00BB6D36" w:rsidRDefault="00BB6D36">
            <w:pPr>
              <w:jc w:val="right"/>
              <w:rPr>
                <w:rFonts w:asciiTheme="minorHAnsi" w:hAnsiTheme="minorHAnsi" w:cstheme="minorHAnsi"/>
                <w:sz w:val="22"/>
                <w:szCs w:val="22"/>
              </w:rPr>
            </w:pPr>
            <w:r w:rsidRPr="00BB6D36">
              <w:rPr>
                <w:rFonts w:ascii="Calibri" w:eastAsia="Calibri" w:hAnsi="Calibri" w:cs="Calibri"/>
                <w:sz w:val="22"/>
                <w:szCs w:val="22"/>
                <w:lang w:eastAsia="en-US"/>
              </w:rPr>
              <w:t>*</w:t>
            </w:r>
            <w:r w:rsidRPr="00BB6D36">
              <w:rPr>
                <w:rFonts w:asciiTheme="minorHAnsi" w:hAnsiTheme="minorHAnsi" w:cstheme="minorHAnsi"/>
                <w:sz w:val="22"/>
                <w:szCs w:val="22"/>
              </w:rPr>
              <w:t>*2 228</w:t>
            </w:r>
          </w:p>
        </w:tc>
        <w:tc>
          <w:tcPr>
            <w:tcW w:w="1276" w:type="dxa"/>
            <w:vAlign w:val="center"/>
          </w:tcPr>
          <w:p w14:paraId="6915BC24" w14:textId="77777777" w:rsidR="00BB6D36" w:rsidRPr="00BB6D36" w:rsidRDefault="00BB6D36">
            <w:pPr>
              <w:jc w:val="center"/>
              <w:rPr>
                <w:rFonts w:asciiTheme="minorHAnsi" w:hAnsiTheme="minorHAnsi" w:cstheme="minorHAnsi"/>
                <w:sz w:val="22"/>
                <w:szCs w:val="22"/>
              </w:rPr>
            </w:pPr>
            <w:r>
              <w:rPr>
                <w:rFonts w:asciiTheme="minorHAnsi" w:hAnsiTheme="minorHAnsi" w:cstheme="minorHAnsi"/>
                <w:sz w:val="22"/>
                <w:szCs w:val="22"/>
              </w:rPr>
              <w:t>884</w:t>
            </w:r>
          </w:p>
        </w:tc>
        <w:tc>
          <w:tcPr>
            <w:tcW w:w="1276" w:type="dxa"/>
            <w:vAlign w:val="center"/>
          </w:tcPr>
          <w:p w14:paraId="01DF8FA4" w14:textId="77777777" w:rsidR="00BB6D36" w:rsidRPr="00BB6D36" w:rsidRDefault="00BB6D36">
            <w:pPr>
              <w:jc w:val="center"/>
              <w:rPr>
                <w:rFonts w:asciiTheme="minorHAnsi" w:hAnsiTheme="minorHAnsi" w:cstheme="minorHAnsi"/>
                <w:sz w:val="22"/>
                <w:szCs w:val="22"/>
              </w:rPr>
            </w:pPr>
            <w:r w:rsidRPr="00BB6D36">
              <w:rPr>
                <w:rFonts w:asciiTheme="minorHAnsi" w:hAnsiTheme="minorHAnsi" w:cstheme="minorHAnsi"/>
                <w:sz w:val="22"/>
                <w:szCs w:val="22"/>
              </w:rPr>
              <w:t>65,8 %</w:t>
            </w:r>
          </w:p>
        </w:tc>
      </w:tr>
    </w:tbl>
    <w:p w14:paraId="224EE574" w14:textId="30657980" w:rsidR="004B2279" w:rsidRDefault="00BB6D36" w:rsidP="00AD53A9">
      <w:pPr>
        <w:jc w:val="both"/>
        <w:rPr>
          <w:rFonts w:ascii="Calibri" w:eastAsia="Calibri" w:hAnsi="Calibri" w:cs="Calibri"/>
          <w:sz w:val="20"/>
          <w:szCs w:val="20"/>
          <w:lang w:eastAsia="en-US"/>
        </w:rPr>
      </w:pPr>
      <w:r>
        <w:rPr>
          <w:rFonts w:ascii="Calibri" w:eastAsia="Calibri" w:hAnsi="Calibri" w:cs="Calibri"/>
          <w:sz w:val="20"/>
          <w:szCs w:val="20"/>
          <w:lang w:eastAsia="en-US"/>
        </w:rPr>
        <w:t xml:space="preserve">* </w:t>
      </w:r>
      <w:r w:rsidR="004B2279">
        <w:rPr>
          <w:rFonts w:ascii="Calibri" w:eastAsia="Calibri" w:hAnsi="Calibri" w:cs="Calibri"/>
          <w:sz w:val="20"/>
          <w:szCs w:val="20"/>
          <w:lang w:eastAsia="en-US"/>
        </w:rPr>
        <w:tab/>
        <w:t>T</w:t>
      </w:r>
      <w:r w:rsidR="00AD53A9">
        <w:rPr>
          <w:rFonts w:ascii="Calibri" w:eastAsia="Calibri" w:hAnsi="Calibri" w:cs="Calibri"/>
          <w:sz w:val="20"/>
          <w:szCs w:val="20"/>
          <w:lang w:eastAsia="en-US"/>
        </w:rPr>
        <w:t>abulkový počet techniky stanovený M</w:t>
      </w:r>
      <w:r w:rsidR="004B2279">
        <w:rPr>
          <w:rFonts w:ascii="Calibri" w:eastAsia="Calibri" w:hAnsi="Calibri" w:cs="Calibri"/>
          <w:sz w:val="20"/>
          <w:szCs w:val="20"/>
          <w:lang w:eastAsia="en-US"/>
        </w:rPr>
        <w:t>inisterstvem obrany.</w:t>
      </w:r>
      <w:r w:rsidR="00AD53A9">
        <w:rPr>
          <w:rFonts w:ascii="Calibri" w:eastAsia="Calibri" w:hAnsi="Calibri" w:cs="Calibri"/>
          <w:sz w:val="20"/>
          <w:szCs w:val="20"/>
          <w:lang w:eastAsia="en-US"/>
        </w:rPr>
        <w:t xml:space="preserve"> </w:t>
      </w:r>
    </w:p>
    <w:p w14:paraId="37912D80" w14:textId="3BA8B0A7" w:rsidR="00AD53A9" w:rsidRPr="00AD53A9" w:rsidRDefault="00AD53A9" w:rsidP="00AD53A9">
      <w:pPr>
        <w:jc w:val="both"/>
        <w:rPr>
          <w:rFonts w:ascii="Calibri" w:eastAsia="Calibri" w:hAnsi="Calibri" w:cs="Calibri"/>
          <w:sz w:val="20"/>
          <w:szCs w:val="20"/>
          <w:lang w:eastAsia="en-US"/>
        </w:rPr>
      </w:pPr>
      <w:r>
        <w:rPr>
          <w:rFonts w:ascii="Calibri" w:eastAsia="Calibri" w:hAnsi="Calibri" w:cs="Calibri"/>
          <w:sz w:val="20"/>
          <w:szCs w:val="20"/>
          <w:lang w:eastAsia="en-US"/>
        </w:rPr>
        <w:t>*</w:t>
      </w:r>
      <w:r w:rsidR="00BB6D36">
        <w:rPr>
          <w:rFonts w:ascii="Calibri" w:eastAsia="Calibri" w:hAnsi="Calibri" w:cs="Calibri"/>
          <w:sz w:val="20"/>
          <w:szCs w:val="20"/>
          <w:lang w:eastAsia="en-US"/>
        </w:rPr>
        <w:t>*</w:t>
      </w:r>
      <w:r>
        <w:rPr>
          <w:rFonts w:ascii="Calibri" w:eastAsia="Calibri" w:hAnsi="Calibri" w:cs="Calibri"/>
          <w:sz w:val="20"/>
          <w:szCs w:val="20"/>
          <w:lang w:eastAsia="en-US"/>
        </w:rPr>
        <w:t xml:space="preserve"> </w:t>
      </w:r>
      <w:r w:rsidR="004B2279">
        <w:rPr>
          <w:rFonts w:ascii="Calibri" w:eastAsia="Calibri" w:hAnsi="Calibri" w:cs="Calibri"/>
          <w:sz w:val="20"/>
          <w:szCs w:val="20"/>
          <w:lang w:eastAsia="en-US"/>
        </w:rPr>
        <w:tab/>
        <w:t>P</w:t>
      </w:r>
      <w:r>
        <w:rPr>
          <w:rFonts w:ascii="Calibri" w:eastAsia="Calibri" w:hAnsi="Calibri" w:cs="Calibri"/>
          <w:sz w:val="20"/>
          <w:szCs w:val="20"/>
          <w:lang w:eastAsia="en-US"/>
        </w:rPr>
        <w:t xml:space="preserve">očet podle doplňku č. 1 dokumentace programu 107 690. </w:t>
      </w:r>
    </w:p>
    <w:p w14:paraId="578B5E0B" w14:textId="3FF2F805" w:rsidR="002C110F" w:rsidRDefault="00815D2D" w:rsidP="002C110F">
      <w:pPr>
        <w:spacing w:before="120"/>
        <w:jc w:val="both"/>
        <w:rPr>
          <w:rFonts w:ascii="Calibri" w:eastAsia="Calibri" w:hAnsi="Calibri"/>
          <w:lang w:eastAsia="en-US"/>
        </w:rPr>
      </w:pPr>
      <w:r w:rsidRPr="00815D2D">
        <w:rPr>
          <w:rFonts w:ascii="Calibri" w:eastAsia="Calibri" w:hAnsi="Calibri" w:cs="Calibri"/>
          <w:b/>
          <w:lang w:eastAsia="en-US"/>
        </w:rPr>
        <w:t>4.</w:t>
      </w:r>
      <w:r>
        <w:rPr>
          <w:rFonts w:ascii="Calibri" w:eastAsia="Calibri" w:hAnsi="Calibri" w:cs="Calibri"/>
          <w:b/>
          <w:lang w:eastAsia="en-US"/>
        </w:rPr>
        <w:t>1</w:t>
      </w:r>
      <w:r w:rsidR="00991DA0">
        <w:rPr>
          <w:rFonts w:ascii="Calibri" w:eastAsia="Calibri" w:hAnsi="Calibri" w:cs="Calibri"/>
          <w:b/>
          <w:lang w:eastAsia="en-US"/>
        </w:rPr>
        <w:t>0</w:t>
      </w:r>
      <w:r>
        <w:rPr>
          <w:rFonts w:ascii="Calibri" w:eastAsia="Calibri" w:hAnsi="Calibri" w:cs="Calibri"/>
          <w:lang w:eastAsia="en-US"/>
        </w:rPr>
        <w:t xml:space="preserve"> </w:t>
      </w:r>
      <w:r w:rsidR="009E02ED">
        <w:rPr>
          <w:rFonts w:ascii="Calibri" w:eastAsia="Calibri" w:hAnsi="Calibri" w:cs="Calibri"/>
          <w:lang w:eastAsia="en-US"/>
        </w:rPr>
        <w:t xml:space="preserve">Z porovnání údajů v tabulkách č. 1 a </w:t>
      </w:r>
      <w:r w:rsidR="004B2279">
        <w:rPr>
          <w:rFonts w:ascii="Calibri" w:eastAsia="Calibri" w:hAnsi="Calibri" w:cs="Calibri"/>
          <w:lang w:eastAsia="en-US"/>
        </w:rPr>
        <w:t xml:space="preserve">č. </w:t>
      </w:r>
      <w:r w:rsidR="009E02ED">
        <w:rPr>
          <w:rFonts w:ascii="Calibri" w:eastAsia="Calibri" w:hAnsi="Calibri" w:cs="Calibri"/>
          <w:lang w:eastAsia="en-US"/>
        </w:rPr>
        <w:t xml:space="preserve">2 vyplývá, že nárůst počtu osobních terénních automobilů ve výši </w:t>
      </w:r>
      <w:r w:rsidR="00E54256" w:rsidRPr="00E54256">
        <w:rPr>
          <w:rFonts w:ascii="Calibri" w:eastAsia="Calibri" w:hAnsi="Calibri"/>
          <w:lang w:eastAsia="en-US"/>
        </w:rPr>
        <w:t>65,8 %</w:t>
      </w:r>
      <w:r w:rsidR="00812199">
        <w:rPr>
          <w:rFonts w:ascii="Calibri" w:eastAsia="Calibri" w:hAnsi="Calibri"/>
          <w:lang w:eastAsia="en-US"/>
        </w:rPr>
        <w:t xml:space="preserve"> neodpovídá </w:t>
      </w:r>
      <w:r w:rsidR="00C55F88" w:rsidRPr="00E54256">
        <w:rPr>
          <w:rFonts w:ascii="Calibri" w:eastAsia="Calibri" w:hAnsi="Calibri"/>
          <w:lang w:eastAsia="en-US"/>
        </w:rPr>
        <w:t>nárůst</w:t>
      </w:r>
      <w:r w:rsidR="00812199">
        <w:rPr>
          <w:rFonts w:ascii="Calibri" w:eastAsia="Calibri" w:hAnsi="Calibri"/>
          <w:lang w:eastAsia="en-US"/>
        </w:rPr>
        <w:t>u</w:t>
      </w:r>
      <w:r w:rsidR="00C55F88" w:rsidRPr="00E54256">
        <w:rPr>
          <w:rFonts w:ascii="Calibri" w:eastAsia="Calibri" w:hAnsi="Calibri"/>
          <w:lang w:eastAsia="en-US"/>
        </w:rPr>
        <w:t xml:space="preserve"> počt</w:t>
      </w:r>
      <w:r w:rsidR="007322F8">
        <w:rPr>
          <w:rFonts w:ascii="Calibri" w:eastAsia="Calibri" w:hAnsi="Calibri"/>
          <w:lang w:eastAsia="en-US"/>
        </w:rPr>
        <w:t>u</w:t>
      </w:r>
      <w:r w:rsidR="00C55F88" w:rsidRPr="00E54256">
        <w:rPr>
          <w:rFonts w:ascii="Calibri" w:eastAsia="Calibri" w:hAnsi="Calibri"/>
          <w:lang w:eastAsia="en-US"/>
        </w:rPr>
        <w:t xml:space="preserve"> personálu</w:t>
      </w:r>
      <w:r w:rsidR="00812199">
        <w:rPr>
          <w:rFonts w:ascii="Calibri" w:eastAsia="Calibri" w:hAnsi="Calibri"/>
          <w:lang w:eastAsia="en-US"/>
        </w:rPr>
        <w:t xml:space="preserve">, který činí </w:t>
      </w:r>
      <w:r w:rsidR="00C55F88" w:rsidRPr="00E54256">
        <w:rPr>
          <w:rFonts w:ascii="Calibri" w:eastAsia="Calibri" w:hAnsi="Calibri"/>
          <w:lang w:eastAsia="en-US"/>
        </w:rPr>
        <w:t>45,8 %</w:t>
      </w:r>
      <w:r w:rsidR="00812199">
        <w:rPr>
          <w:rFonts w:ascii="Calibri" w:eastAsia="Calibri" w:hAnsi="Calibri"/>
          <w:lang w:eastAsia="en-US"/>
        </w:rPr>
        <w:t xml:space="preserve"> pro personál celkem, resp. </w:t>
      </w:r>
      <w:r w:rsidR="00E54256" w:rsidRPr="00E54256">
        <w:rPr>
          <w:rFonts w:ascii="Calibri" w:eastAsia="Calibri" w:hAnsi="Calibri"/>
          <w:lang w:eastAsia="en-US"/>
        </w:rPr>
        <w:t>50,1 %</w:t>
      </w:r>
      <w:r w:rsidR="00812199">
        <w:rPr>
          <w:rFonts w:ascii="Calibri" w:eastAsia="Calibri" w:hAnsi="Calibri"/>
          <w:lang w:eastAsia="en-US"/>
        </w:rPr>
        <w:t xml:space="preserve"> pro personál bez státních a občanských zaměstnanců</w:t>
      </w:r>
      <w:r w:rsidR="00E54256" w:rsidRPr="00E54256">
        <w:rPr>
          <w:rFonts w:ascii="Calibri" w:eastAsia="Calibri" w:hAnsi="Calibri"/>
          <w:lang w:eastAsia="en-US"/>
        </w:rPr>
        <w:t xml:space="preserve">. </w:t>
      </w:r>
      <w:r w:rsidR="00211D4F">
        <w:rPr>
          <w:rFonts w:ascii="Calibri" w:eastAsia="Calibri" w:hAnsi="Calibri"/>
          <w:lang w:eastAsia="en-US"/>
        </w:rPr>
        <w:t xml:space="preserve">Předpokládané </w:t>
      </w:r>
      <w:r w:rsidR="008726B3">
        <w:rPr>
          <w:rFonts w:ascii="Calibri" w:eastAsia="Calibri" w:hAnsi="Calibri"/>
          <w:lang w:eastAsia="en-US"/>
        </w:rPr>
        <w:t>n</w:t>
      </w:r>
      <w:r w:rsidR="007C6563">
        <w:rPr>
          <w:rFonts w:ascii="Calibri" w:eastAsia="Calibri" w:hAnsi="Calibri"/>
          <w:lang w:eastAsia="en-US"/>
        </w:rPr>
        <w:t xml:space="preserve">avýšení počtu </w:t>
      </w:r>
      <w:r w:rsidR="009616F1">
        <w:rPr>
          <w:rFonts w:ascii="Calibri" w:eastAsia="Calibri" w:hAnsi="Calibri"/>
          <w:lang w:eastAsia="en-US"/>
        </w:rPr>
        <w:t xml:space="preserve">osobních terénních automobilů </w:t>
      </w:r>
      <w:r w:rsidR="00211D4F">
        <w:rPr>
          <w:rFonts w:ascii="Calibri" w:eastAsia="Calibri" w:hAnsi="Calibri"/>
          <w:lang w:eastAsia="en-US"/>
        </w:rPr>
        <w:t>neodpovídá</w:t>
      </w:r>
      <w:r w:rsidR="00C55F88" w:rsidRPr="00E54256">
        <w:rPr>
          <w:rFonts w:ascii="Calibri" w:eastAsia="Calibri" w:hAnsi="Calibri"/>
          <w:lang w:eastAsia="en-US"/>
        </w:rPr>
        <w:t xml:space="preserve"> </w:t>
      </w:r>
      <w:r w:rsidR="008726B3">
        <w:rPr>
          <w:rFonts w:ascii="Calibri" w:eastAsia="Calibri" w:hAnsi="Calibri"/>
          <w:lang w:eastAsia="en-US"/>
        </w:rPr>
        <w:t xml:space="preserve">plánovanému </w:t>
      </w:r>
      <w:r w:rsidR="00E54256" w:rsidRPr="00E54256">
        <w:rPr>
          <w:rFonts w:ascii="Calibri" w:eastAsia="Calibri" w:hAnsi="Calibri"/>
          <w:lang w:eastAsia="en-US"/>
        </w:rPr>
        <w:t>nárůst</w:t>
      </w:r>
      <w:r w:rsidR="00211D4F">
        <w:rPr>
          <w:rFonts w:ascii="Calibri" w:eastAsia="Calibri" w:hAnsi="Calibri"/>
          <w:lang w:eastAsia="en-US"/>
        </w:rPr>
        <w:t>u</w:t>
      </w:r>
      <w:r w:rsidR="00E54256" w:rsidRPr="00E54256">
        <w:rPr>
          <w:rFonts w:ascii="Calibri" w:eastAsia="Calibri" w:hAnsi="Calibri"/>
          <w:lang w:eastAsia="en-US"/>
        </w:rPr>
        <w:t xml:space="preserve"> personálu</w:t>
      </w:r>
      <w:r w:rsidR="00812199">
        <w:rPr>
          <w:rFonts w:ascii="Calibri" w:eastAsia="Calibri" w:hAnsi="Calibri"/>
          <w:lang w:eastAsia="en-US"/>
        </w:rPr>
        <w:t xml:space="preserve"> Armády</w:t>
      </w:r>
      <w:r w:rsidR="00211D4F">
        <w:rPr>
          <w:rFonts w:ascii="Calibri" w:eastAsia="Calibri" w:hAnsi="Calibri"/>
          <w:lang w:eastAsia="en-US"/>
        </w:rPr>
        <w:t xml:space="preserve"> a současně výrazně převyšuje stávající tabulkový počet vozidel</w:t>
      </w:r>
      <w:r w:rsidR="009616F1">
        <w:rPr>
          <w:rFonts w:ascii="Calibri" w:eastAsia="Calibri" w:hAnsi="Calibri"/>
          <w:lang w:eastAsia="en-US"/>
        </w:rPr>
        <w:t>.</w:t>
      </w:r>
    </w:p>
    <w:p w14:paraId="18A39DF8" w14:textId="27D62AC7" w:rsidR="005A6A98" w:rsidRPr="00C760A0" w:rsidRDefault="00815D2D" w:rsidP="00815D2D">
      <w:pPr>
        <w:spacing w:before="120"/>
        <w:jc w:val="both"/>
        <w:rPr>
          <w:rFonts w:ascii="Calibri" w:eastAsia="Calibri" w:hAnsi="Calibri"/>
          <w:lang w:eastAsia="en-US"/>
        </w:rPr>
      </w:pPr>
      <w:r w:rsidRPr="00815D2D">
        <w:rPr>
          <w:rFonts w:ascii="Calibri" w:eastAsia="Calibri" w:hAnsi="Calibri" w:cs="Calibri"/>
          <w:b/>
          <w:lang w:eastAsia="en-US"/>
        </w:rPr>
        <w:t>4.</w:t>
      </w:r>
      <w:r>
        <w:rPr>
          <w:rFonts w:ascii="Calibri" w:eastAsia="Calibri" w:hAnsi="Calibri" w:cs="Calibri"/>
          <w:b/>
          <w:lang w:eastAsia="en-US"/>
        </w:rPr>
        <w:t>1</w:t>
      </w:r>
      <w:r w:rsidR="00991DA0">
        <w:rPr>
          <w:rFonts w:ascii="Calibri" w:eastAsia="Calibri" w:hAnsi="Calibri" w:cs="Calibri"/>
          <w:b/>
          <w:lang w:eastAsia="en-US"/>
        </w:rPr>
        <w:t>1</w:t>
      </w:r>
      <w:r>
        <w:rPr>
          <w:rFonts w:ascii="Calibri" w:eastAsia="Calibri" w:hAnsi="Calibri" w:cs="Calibri"/>
          <w:lang w:eastAsia="en-US"/>
        </w:rPr>
        <w:t xml:space="preserve"> </w:t>
      </w:r>
      <w:r w:rsidR="00E54256" w:rsidRPr="00E54256">
        <w:rPr>
          <w:rFonts w:ascii="Calibri" w:eastAsia="Calibri" w:hAnsi="Calibri"/>
          <w:lang w:eastAsia="en-US"/>
        </w:rPr>
        <w:t>Z</w:t>
      </w:r>
      <w:r w:rsidR="002C110F">
        <w:rPr>
          <w:rFonts w:ascii="Calibri" w:eastAsia="Calibri" w:hAnsi="Calibri"/>
          <w:lang w:eastAsia="en-US"/>
        </w:rPr>
        <w:t xml:space="preserve"> výše popsaných </w:t>
      </w:r>
      <w:r w:rsidR="00C55F88" w:rsidRPr="00E54256">
        <w:rPr>
          <w:rFonts w:ascii="Calibri" w:eastAsia="Calibri" w:hAnsi="Calibri"/>
          <w:lang w:eastAsia="en-US"/>
        </w:rPr>
        <w:t xml:space="preserve">důvodů považuje </w:t>
      </w:r>
      <w:r w:rsidR="007322F8" w:rsidRPr="00E54256">
        <w:rPr>
          <w:rFonts w:ascii="Calibri" w:eastAsia="Calibri" w:hAnsi="Calibri"/>
          <w:lang w:eastAsia="en-US"/>
        </w:rPr>
        <w:t xml:space="preserve">NKÚ </w:t>
      </w:r>
      <w:r w:rsidR="00812199">
        <w:rPr>
          <w:rFonts w:ascii="Calibri" w:eastAsia="Calibri" w:hAnsi="Calibri"/>
          <w:lang w:eastAsia="en-US"/>
        </w:rPr>
        <w:t>p</w:t>
      </w:r>
      <w:r w:rsidR="00C55F88" w:rsidRPr="00E54256">
        <w:rPr>
          <w:rFonts w:ascii="Calibri" w:eastAsia="Calibri" w:hAnsi="Calibri"/>
          <w:lang w:eastAsia="en-US"/>
        </w:rPr>
        <w:t>otřeb</w:t>
      </w:r>
      <w:r w:rsidR="00812199">
        <w:rPr>
          <w:rFonts w:ascii="Calibri" w:eastAsia="Calibri" w:hAnsi="Calibri"/>
          <w:lang w:eastAsia="en-US"/>
        </w:rPr>
        <w:t>u</w:t>
      </w:r>
      <w:r w:rsidR="00C55F88" w:rsidRPr="00E54256">
        <w:rPr>
          <w:rFonts w:ascii="Calibri" w:eastAsia="Calibri" w:hAnsi="Calibri"/>
          <w:lang w:eastAsia="en-US"/>
        </w:rPr>
        <w:t xml:space="preserve"> pořízení 2 228 osobních terénních </w:t>
      </w:r>
      <w:r w:rsidR="009616F1">
        <w:rPr>
          <w:rFonts w:ascii="Calibri" w:eastAsia="Calibri" w:hAnsi="Calibri"/>
          <w:lang w:eastAsia="en-US"/>
        </w:rPr>
        <w:t>automobilů</w:t>
      </w:r>
      <w:r w:rsidR="00C55F88" w:rsidRPr="00E54256">
        <w:rPr>
          <w:rFonts w:ascii="Calibri" w:eastAsia="Calibri" w:hAnsi="Calibri"/>
          <w:lang w:eastAsia="en-US"/>
        </w:rPr>
        <w:t xml:space="preserve"> za nadhodnocen</w:t>
      </w:r>
      <w:r w:rsidR="00812199">
        <w:rPr>
          <w:rFonts w:ascii="Calibri" w:eastAsia="Calibri" w:hAnsi="Calibri"/>
          <w:lang w:eastAsia="en-US"/>
        </w:rPr>
        <w:t>ou</w:t>
      </w:r>
      <w:r w:rsidR="00C55F88" w:rsidRPr="00E54256">
        <w:rPr>
          <w:rFonts w:ascii="Calibri" w:eastAsia="Calibri" w:hAnsi="Calibri"/>
          <w:lang w:eastAsia="en-US"/>
        </w:rPr>
        <w:t>.</w:t>
      </w:r>
      <w:bookmarkEnd w:id="18"/>
      <w:r w:rsidR="002C110F">
        <w:rPr>
          <w:rFonts w:ascii="Calibri" w:eastAsia="Calibri" w:hAnsi="Calibri"/>
          <w:lang w:eastAsia="en-US"/>
        </w:rPr>
        <w:t xml:space="preserve"> </w:t>
      </w:r>
      <w:r w:rsidR="00C55F88" w:rsidRPr="00E54256">
        <w:rPr>
          <w:rFonts w:ascii="Calibri" w:eastAsia="Calibri" w:hAnsi="Calibri"/>
          <w:lang w:eastAsia="en-US"/>
        </w:rPr>
        <w:t>Do doby ukončení kontroly pořídilo</w:t>
      </w:r>
      <w:r w:rsidR="00812199">
        <w:rPr>
          <w:rFonts w:ascii="Calibri" w:eastAsia="Calibri" w:hAnsi="Calibri"/>
          <w:lang w:eastAsia="en-US"/>
        </w:rPr>
        <w:t xml:space="preserve"> MO</w:t>
      </w:r>
      <w:r w:rsidR="00C55F88" w:rsidRPr="00E54256">
        <w:rPr>
          <w:rFonts w:ascii="Calibri" w:eastAsia="Calibri" w:hAnsi="Calibri"/>
          <w:lang w:eastAsia="en-US"/>
        </w:rPr>
        <w:t xml:space="preserve"> </w:t>
      </w:r>
      <w:r w:rsidR="00E54256">
        <w:rPr>
          <w:rFonts w:ascii="Calibri" w:eastAsia="Calibri" w:hAnsi="Calibri"/>
          <w:lang w:eastAsia="en-US"/>
        </w:rPr>
        <w:t xml:space="preserve">pro Armádu zatím </w:t>
      </w:r>
      <w:r w:rsidR="00C55F88" w:rsidRPr="00E54256">
        <w:rPr>
          <w:rFonts w:ascii="Calibri" w:eastAsia="Calibri" w:hAnsi="Calibri"/>
          <w:lang w:eastAsia="en-US"/>
        </w:rPr>
        <w:t>1 00</w:t>
      </w:r>
      <w:r w:rsidR="00E54256">
        <w:rPr>
          <w:rFonts w:ascii="Calibri" w:eastAsia="Calibri" w:hAnsi="Calibri"/>
          <w:lang w:eastAsia="en-US"/>
        </w:rPr>
        <w:t>0</w:t>
      </w:r>
      <w:r w:rsidR="00C55F88" w:rsidRPr="00E54256">
        <w:rPr>
          <w:rFonts w:ascii="Calibri" w:eastAsia="Calibri" w:hAnsi="Calibri"/>
          <w:lang w:eastAsia="en-US"/>
        </w:rPr>
        <w:t xml:space="preserve"> </w:t>
      </w:r>
      <w:r w:rsidR="002C110F">
        <w:rPr>
          <w:rFonts w:ascii="Calibri" w:eastAsia="Calibri" w:hAnsi="Calibri"/>
          <w:lang w:eastAsia="en-US"/>
        </w:rPr>
        <w:t>automobilů</w:t>
      </w:r>
      <w:r w:rsidR="00812199">
        <w:rPr>
          <w:rFonts w:ascii="Calibri" w:eastAsia="Calibri" w:hAnsi="Calibri"/>
          <w:lang w:eastAsia="en-US"/>
        </w:rPr>
        <w:t xml:space="preserve">, nicméně </w:t>
      </w:r>
      <w:r w:rsidR="00325FA4">
        <w:rPr>
          <w:rFonts w:ascii="Calibri" w:eastAsia="Calibri" w:hAnsi="Calibri"/>
          <w:lang w:eastAsia="en-US"/>
        </w:rPr>
        <w:t xml:space="preserve">uzavřená </w:t>
      </w:r>
      <w:r w:rsidR="00812199">
        <w:rPr>
          <w:rFonts w:ascii="Calibri" w:eastAsia="Calibri" w:hAnsi="Calibri"/>
          <w:lang w:eastAsia="en-US"/>
        </w:rPr>
        <w:t>r</w:t>
      </w:r>
      <w:r w:rsidR="002C110F">
        <w:rPr>
          <w:rFonts w:ascii="Calibri" w:eastAsia="Calibri" w:hAnsi="Calibri"/>
          <w:lang w:eastAsia="en-US"/>
        </w:rPr>
        <w:t>ámcová dohoda umožňuje pořídit</w:t>
      </w:r>
      <w:r w:rsidR="00812199">
        <w:rPr>
          <w:rFonts w:ascii="Calibri" w:eastAsia="Calibri" w:hAnsi="Calibri"/>
          <w:lang w:eastAsia="en-US"/>
        </w:rPr>
        <w:t xml:space="preserve"> </w:t>
      </w:r>
      <w:r w:rsidR="00325FA4">
        <w:rPr>
          <w:rFonts w:ascii="Calibri" w:eastAsia="Calibri" w:hAnsi="Calibri"/>
          <w:lang w:eastAsia="en-US"/>
        </w:rPr>
        <w:t xml:space="preserve">celou dodávku </w:t>
      </w:r>
      <w:r w:rsidR="002C110F">
        <w:rPr>
          <w:rFonts w:ascii="Calibri" w:eastAsia="Calibri" w:hAnsi="Calibri"/>
          <w:lang w:eastAsia="en-US"/>
        </w:rPr>
        <w:t>2 228 automobilů</w:t>
      </w:r>
      <w:r w:rsidR="00325FA4">
        <w:rPr>
          <w:rFonts w:ascii="Calibri" w:eastAsia="Calibri" w:hAnsi="Calibri"/>
          <w:lang w:eastAsia="en-US"/>
        </w:rPr>
        <w:t xml:space="preserve"> do roku 2024</w:t>
      </w:r>
      <w:r w:rsidR="002C110F">
        <w:rPr>
          <w:rFonts w:ascii="Calibri" w:eastAsia="Calibri" w:hAnsi="Calibri"/>
          <w:lang w:eastAsia="en-US"/>
        </w:rPr>
        <w:t>.</w:t>
      </w:r>
      <w:r w:rsidR="00325FA4">
        <w:rPr>
          <w:rFonts w:ascii="Calibri" w:eastAsia="Calibri" w:hAnsi="Calibri"/>
          <w:lang w:eastAsia="en-US"/>
        </w:rPr>
        <w:t xml:space="preserve"> </w:t>
      </w:r>
      <w:r w:rsidR="002C110F" w:rsidRPr="00E54256">
        <w:rPr>
          <w:rFonts w:ascii="Calibri" w:eastAsia="Calibri" w:hAnsi="Calibri"/>
          <w:lang w:eastAsia="en-US"/>
        </w:rPr>
        <w:t xml:space="preserve">NKÚ </w:t>
      </w:r>
      <w:r w:rsidR="002C110F">
        <w:rPr>
          <w:rFonts w:ascii="Calibri" w:eastAsia="Calibri" w:hAnsi="Calibri"/>
          <w:lang w:eastAsia="en-US"/>
        </w:rPr>
        <w:t xml:space="preserve">proto vyhodnotil </w:t>
      </w:r>
      <w:r w:rsidR="002C110F" w:rsidRPr="00E54256">
        <w:rPr>
          <w:rFonts w:ascii="Calibri" w:eastAsia="Calibri" w:hAnsi="Calibri"/>
          <w:lang w:eastAsia="en-US"/>
        </w:rPr>
        <w:t>riziko budoucích neúčeln</w:t>
      </w:r>
      <w:r w:rsidR="0007634F">
        <w:rPr>
          <w:rFonts w:ascii="Calibri" w:eastAsia="Calibri" w:hAnsi="Calibri"/>
          <w:lang w:eastAsia="en-US"/>
        </w:rPr>
        <w:t>ě</w:t>
      </w:r>
      <w:r w:rsidR="002C110F" w:rsidRPr="00E54256">
        <w:rPr>
          <w:rFonts w:ascii="Calibri" w:eastAsia="Calibri" w:hAnsi="Calibri"/>
          <w:lang w:eastAsia="en-US"/>
        </w:rPr>
        <w:t xml:space="preserve"> a</w:t>
      </w:r>
      <w:r w:rsidR="002C0A79">
        <w:rPr>
          <w:rFonts w:ascii="Calibri" w:eastAsia="Calibri" w:hAnsi="Calibri"/>
          <w:lang w:eastAsia="en-US"/>
        </w:rPr>
        <w:t xml:space="preserve"> </w:t>
      </w:r>
      <w:r w:rsidR="002C110F" w:rsidRPr="00E54256">
        <w:rPr>
          <w:rFonts w:ascii="Calibri" w:eastAsia="Calibri" w:hAnsi="Calibri"/>
          <w:lang w:eastAsia="en-US"/>
        </w:rPr>
        <w:t>nehospodárn</w:t>
      </w:r>
      <w:r w:rsidR="0007634F">
        <w:rPr>
          <w:rFonts w:ascii="Calibri" w:eastAsia="Calibri" w:hAnsi="Calibri"/>
          <w:lang w:eastAsia="en-US"/>
        </w:rPr>
        <w:t>ě</w:t>
      </w:r>
      <w:r w:rsidR="002C110F" w:rsidRPr="00E54256">
        <w:rPr>
          <w:rFonts w:ascii="Calibri" w:eastAsia="Calibri" w:hAnsi="Calibri"/>
          <w:lang w:eastAsia="en-US"/>
        </w:rPr>
        <w:t xml:space="preserve"> </w:t>
      </w:r>
      <w:r w:rsidR="0007634F">
        <w:rPr>
          <w:rFonts w:ascii="Calibri" w:eastAsia="Calibri" w:hAnsi="Calibri"/>
          <w:lang w:eastAsia="en-US"/>
        </w:rPr>
        <w:t xml:space="preserve">vynaložených </w:t>
      </w:r>
      <w:r w:rsidR="002C110F" w:rsidRPr="00E54256">
        <w:rPr>
          <w:rFonts w:ascii="Calibri" w:eastAsia="Calibri" w:hAnsi="Calibri"/>
          <w:lang w:eastAsia="en-US"/>
        </w:rPr>
        <w:t xml:space="preserve">výdajů MO na pořízení nadbytečných osobních terénních </w:t>
      </w:r>
      <w:r w:rsidR="002C110F">
        <w:rPr>
          <w:rFonts w:ascii="Calibri" w:eastAsia="Calibri" w:hAnsi="Calibri"/>
          <w:lang w:eastAsia="en-US"/>
        </w:rPr>
        <w:t>automobilů</w:t>
      </w:r>
      <w:r w:rsidR="002C110F" w:rsidRPr="00E54256">
        <w:rPr>
          <w:rFonts w:ascii="Calibri" w:eastAsia="Calibri" w:hAnsi="Calibri"/>
          <w:lang w:eastAsia="en-US"/>
        </w:rPr>
        <w:t>.</w:t>
      </w:r>
      <w:bookmarkEnd w:id="17"/>
      <w:r w:rsidR="00325FA4">
        <w:rPr>
          <w:rFonts w:ascii="Calibri" w:eastAsia="Calibri" w:hAnsi="Calibri"/>
          <w:lang w:eastAsia="en-US"/>
        </w:rPr>
        <w:t xml:space="preserve"> Při průměrné ceně </w:t>
      </w:r>
      <w:r w:rsidR="00560B19">
        <w:rPr>
          <w:rFonts w:ascii="Calibri" w:eastAsia="Calibri" w:hAnsi="Calibri"/>
          <w:lang w:eastAsia="en-US"/>
        </w:rPr>
        <w:t>0,</w:t>
      </w:r>
      <w:r w:rsidR="00325FA4">
        <w:rPr>
          <w:rFonts w:ascii="Calibri" w:eastAsia="Calibri" w:hAnsi="Calibri"/>
          <w:lang w:eastAsia="en-US"/>
        </w:rPr>
        <w:t xml:space="preserve">9 </w:t>
      </w:r>
      <w:r w:rsidR="00560B19">
        <w:rPr>
          <w:rFonts w:ascii="Calibri" w:eastAsia="Calibri" w:hAnsi="Calibri"/>
          <w:lang w:eastAsia="en-US"/>
        </w:rPr>
        <w:t>mil.</w:t>
      </w:r>
      <w:r w:rsidR="00325FA4">
        <w:rPr>
          <w:rFonts w:ascii="Calibri" w:eastAsia="Calibri" w:hAnsi="Calibri"/>
          <w:lang w:eastAsia="en-US"/>
        </w:rPr>
        <w:t xml:space="preserve"> Kč </w:t>
      </w:r>
      <w:r w:rsidR="007322F8">
        <w:rPr>
          <w:rFonts w:ascii="Calibri" w:eastAsia="Calibri" w:hAnsi="Calibri"/>
          <w:lang w:eastAsia="en-US"/>
        </w:rPr>
        <w:t>z</w:t>
      </w:r>
      <w:r w:rsidR="00325FA4">
        <w:rPr>
          <w:rFonts w:ascii="Calibri" w:eastAsia="Calibri" w:hAnsi="Calibri"/>
          <w:lang w:eastAsia="en-US"/>
        </w:rPr>
        <w:t xml:space="preserve">a jedno vozidlo představuje nárůst potřeby oproti tabulkovým počtům o 884 vozidel částku 795,6 mil. </w:t>
      </w:r>
      <w:r w:rsidR="00325FA4" w:rsidRPr="00035CD9">
        <w:rPr>
          <w:rFonts w:ascii="Calibri" w:eastAsia="Calibri" w:hAnsi="Calibri"/>
          <w:lang w:eastAsia="en-US"/>
        </w:rPr>
        <w:t xml:space="preserve">Kč. </w:t>
      </w:r>
      <w:r w:rsidR="00137703">
        <w:rPr>
          <w:rFonts w:ascii="Calibri" w:eastAsia="Calibri" w:hAnsi="Calibri"/>
          <w:lang w:eastAsia="en-US"/>
        </w:rPr>
        <w:t>Tyto p</w:t>
      </w:r>
      <w:r w:rsidR="00275ACB" w:rsidRPr="00035CD9">
        <w:rPr>
          <w:rFonts w:ascii="Calibri" w:eastAsia="Calibri" w:hAnsi="Calibri"/>
          <w:lang w:eastAsia="en-US"/>
        </w:rPr>
        <w:t xml:space="preserve">eněžní prostředky státního rozpočtu </w:t>
      </w:r>
      <w:r w:rsidR="007322F8">
        <w:rPr>
          <w:rFonts w:ascii="Calibri" w:eastAsia="Calibri" w:hAnsi="Calibri"/>
          <w:lang w:eastAsia="en-US"/>
        </w:rPr>
        <w:t xml:space="preserve">může </w:t>
      </w:r>
      <w:r w:rsidR="00035CD9">
        <w:rPr>
          <w:rFonts w:ascii="Calibri" w:eastAsia="Calibri" w:hAnsi="Calibri"/>
          <w:lang w:eastAsia="en-US"/>
        </w:rPr>
        <w:t xml:space="preserve">MO </w:t>
      </w:r>
      <w:r w:rsidR="00275ACB" w:rsidRPr="00035CD9">
        <w:rPr>
          <w:rFonts w:ascii="Calibri" w:eastAsia="Calibri" w:hAnsi="Calibri"/>
          <w:lang w:eastAsia="en-US"/>
        </w:rPr>
        <w:t>využít např</w:t>
      </w:r>
      <w:r w:rsidR="00F45C1D">
        <w:rPr>
          <w:rFonts w:ascii="Calibri" w:eastAsia="Calibri" w:hAnsi="Calibri"/>
          <w:lang w:eastAsia="en-US"/>
        </w:rPr>
        <w:t>íklad</w:t>
      </w:r>
      <w:r w:rsidR="00275ACB" w:rsidRPr="00035CD9">
        <w:rPr>
          <w:rFonts w:ascii="Calibri" w:eastAsia="Calibri" w:hAnsi="Calibri"/>
          <w:lang w:eastAsia="en-US"/>
        </w:rPr>
        <w:t xml:space="preserve"> na odkládané pořízení </w:t>
      </w:r>
      <w:r w:rsidR="00137703">
        <w:rPr>
          <w:rFonts w:ascii="Calibri" w:eastAsia="Calibri" w:hAnsi="Calibri"/>
          <w:lang w:eastAsia="en-US"/>
        </w:rPr>
        <w:t>jiné</w:t>
      </w:r>
      <w:r w:rsidR="0007634F">
        <w:rPr>
          <w:rFonts w:ascii="Calibri" w:eastAsia="Calibri" w:hAnsi="Calibri"/>
          <w:lang w:eastAsia="en-US"/>
        </w:rPr>
        <w:t xml:space="preserve"> potřebné automobilní techniky</w:t>
      </w:r>
      <w:r w:rsidR="00275ACB" w:rsidRPr="00035CD9">
        <w:rPr>
          <w:rFonts w:ascii="Calibri" w:eastAsia="Calibri" w:hAnsi="Calibri"/>
          <w:lang w:eastAsia="en-US"/>
        </w:rPr>
        <w:t>.</w:t>
      </w:r>
    </w:p>
    <w:p w14:paraId="57F001FE" w14:textId="77777777" w:rsidR="001A05E4" w:rsidRPr="005A6A98" w:rsidRDefault="001C196C" w:rsidP="00371455">
      <w:pPr>
        <w:pStyle w:val="Nadpis2"/>
        <w:numPr>
          <w:ilvl w:val="0"/>
          <w:numId w:val="29"/>
        </w:numPr>
        <w:pBdr>
          <w:bottom w:val="single" w:sz="12" w:space="1" w:color="BD2A33"/>
        </w:pBdr>
        <w:spacing w:after="0"/>
        <w:ind w:left="284" w:hanging="284"/>
        <w:jc w:val="both"/>
        <w:rPr>
          <w:rFonts w:asciiTheme="minorHAnsi" w:hAnsiTheme="minorHAnsi" w:cstheme="minorHAnsi"/>
          <w:i w:val="0"/>
          <w:sz w:val="24"/>
          <w:szCs w:val="24"/>
        </w:rPr>
      </w:pPr>
      <w:bookmarkStart w:id="21" w:name="_Hlk127194390"/>
      <w:r w:rsidRPr="00581DFA">
        <w:rPr>
          <w:rFonts w:asciiTheme="minorHAnsi" w:hAnsiTheme="minorHAnsi" w:cstheme="minorHAnsi"/>
          <w:i w:val="0"/>
          <w:sz w:val="24"/>
          <w:szCs w:val="24"/>
        </w:rPr>
        <w:t>Nedostatečná</w:t>
      </w:r>
      <w:r>
        <w:rPr>
          <w:rFonts w:asciiTheme="minorHAnsi" w:hAnsiTheme="minorHAnsi" w:cstheme="minorHAnsi"/>
          <w:i w:val="0"/>
          <w:sz w:val="24"/>
          <w:szCs w:val="24"/>
        </w:rPr>
        <w:t xml:space="preserve"> vypovídací schopnost ukazatelů programu</w:t>
      </w:r>
      <w:r w:rsidR="007D0B1B">
        <w:rPr>
          <w:rFonts w:asciiTheme="minorHAnsi" w:hAnsiTheme="minorHAnsi" w:cstheme="minorHAnsi"/>
          <w:i w:val="0"/>
          <w:sz w:val="24"/>
          <w:szCs w:val="24"/>
        </w:rPr>
        <w:t xml:space="preserve"> 107 690</w:t>
      </w:r>
    </w:p>
    <w:p w14:paraId="2D895161" w14:textId="6349C253" w:rsidR="00223B2B" w:rsidRDefault="00223B2B" w:rsidP="00223B2B">
      <w:pPr>
        <w:spacing w:before="120"/>
        <w:jc w:val="both"/>
        <w:rPr>
          <w:rFonts w:ascii="Calibri" w:hAnsi="Calibri" w:cs="Calibri"/>
          <w:lang w:eastAsia="en-US"/>
        </w:rPr>
      </w:pPr>
      <w:r w:rsidRPr="00223B2B">
        <w:rPr>
          <w:rFonts w:ascii="Calibri" w:hAnsi="Calibri" w:cs="Calibri"/>
          <w:b/>
          <w:lang w:eastAsia="en-US"/>
        </w:rPr>
        <w:t>4.</w:t>
      </w:r>
      <w:r w:rsidR="00991DA0" w:rsidRPr="00223B2B">
        <w:rPr>
          <w:rFonts w:ascii="Calibri" w:hAnsi="Calibri" w:cs="Calibri"/>
          <w:b/>
          <w:lang w:eastAsia="en-US"/>
        </w:rPr>
        <w:t>1</w:t>
      </w:r>
      <w:r w:rsidR="00991DA0">
        <w:rPr>
          <w:rFonts w:ascii="Calibri" w:hAnsi="Calibri" w:cs="Calibri"/>
          <w:b/>
          <w:lang w:eastAsia="en-US"/>
        </w:rPr>
        <w:t>2</w:t>
      </w:r>
      <w:r w:rsidR="00991DA0" w:rsidRPr="00223B2B">
        <w:rPr>
          <w:rFonts w:ascii="Calibri" w:hAnsi="Calibri" w:cs="Calibri"/>
          <w:lang w:eastAsia="en-US"/>
        </w:rPr>
        <w:t xml:space="preserve"> </w:t>
      </w:r>
      <w:r w:rsidRPr="00223B2B">
        <w:rPr>
          <w:rFonts w:ascii="Calibri" w:hAnsi="Calibri" w:cs="Calibri"/>
          <w:lang w:eastAsia="en-US"/>
        </w:rPr>
        <w:t xml:space="preserve">Podle </w:t>
      </w:r>
      <w:r w:rsidR="00864421">
        <w:rPr>
          <w:rFonts w:ascii="Calibri" w:hAnsi="Calibri" w:cs="Calibri"/>
          <w:lang w:eastAsia="en-US"/>
        </w:rPr>
        <w:t xml:space="preserve">ustanovení § 2 písm. c) </w:t>
      </w:r>
      <w:r w:rsidRPr="00223B2B">
        <w:rPr>
          <w:rFonts w:ascii="Calibri" w:hAnsi="Calibri" w:cs="Calibri"/>
          <w:lang w:eastAsia="en-US"/>
        </w:rPr>
        <w:t xml:space="preserve">vyhlášky č. 560/2006 Sb. je </w:t>
      </w:r>
      <w:r w:rsidRPr="00C760A0">
        <w:rPr>
          <w:rFonts w:ascii="Calibri" w:hAnsi="Calibri" w:cs="Calibri"/>
          <w:lang w:eastAsia="en-US"/>
        </w:rPr>
        <w:t>„</w:t>
      </w:r>
      <w:r w:rsidRPr="00223B2B">
        <w:rPr>
          <w:rFonts w:ascii="Calibri" w:hAnsi="Calibri" w:cs="Calibri"/>
          <w:i/>
          <w:lang w:eastAsia="en-US"/>
        </w:rPr>
        <w:t xml:space="preserve">indikátorem nebo parametrem kvalitativní ukazatel vymezený v </w:t>
      </w:r>
      <w:r w:rsidRPr="005D065B">
        <w:rPr>
          <w:rFonts w:asciiTheme="minorHAnsi" w:hAnsiTheme="minorHAnsi" w:cstheme="minorHAnsi"/>
          <w:i/>
          <w:lang w:eastAsia="en-US"/>
        </w:rPr>
        <w:t>dokumentaci akce (projektu), který specifikuje jeho konkrétní cíl nebo efektivnost</w:t>
      </w:r>
      <w:r w:rsidRPr="00C760A0">
        <w:rPr>
          <w:rFonts w:asciiTheme="minorHAnsi" w:hAnsiTheme="minorHAnsi" w:cstheme="minorHAnsi"/>
          <w:lang w:eastAsia="en-US"/>
        </w:rPr>
        <w:t>“</w:t>
      </w:r>
      <w:r w:rsidRPr="00EB2191">
        <w:rPr>
          <w:rFonts w:asciiTheme="minorHAnsi" w:hAnsiTheme="minorHAnsi" w:cstheme="minorHAnsi"/>
          <w:lang w:eastAsia="en-US"/>
        </w:rPr>
        <w:t>.</w:t>
      </w:r>
      <w:r w:rsidRPr="005D065B">
        <w:rPr>
          <w:rFonts w:asciiTheme="minorHAnsi" w:hAnsiTheme="minorHAnsi" w:cstheme="minorHAnsi"/>
          <w:lang w:eastAsia="en-US"/>
        </w:rPr>
        <w:t xml:space="preserve"> Pojmy indikátor</w:t>
      </w:r>
      <w:r w:rsidRPr="005D065B">
        <w:rPr>
          <w:rFonts w:asciiTheme="minorHAnsi" w:hAnsiTheme="minorHAnsi" w:cstheme="minorHAnsi"/>
          <w:vertAlign w:val="superscript"/>
          <w:lang w:eastAsia="en-US"/>
        </w:rPr>
        <w:footnoteReference w:id="36"/>
      </w:r>
      <w:r w:rsidRPr="005D065B">
        <w:rPr>
          <w:rFonts w:asciiTheme="minorHAnsi" w:hAnsiTheme="minorHAnsi" w:cstheme="minorHAnsi"/>
          <w:lang w:eastAsia="en-US"/>
        </w:rPr>
        <w:t xml:space="preserve"> a parametr</w:t>
      </w:r>
      <w:r w:rsidRPr="005D065B">
        <w:rPr>
          <w:rFonts w:asciiTheme="minorHAnsi" w:hAnsiTheme="minorHAnsi" w:cstheme="minorHAnsi"/>
          <w:vertAlign w:val="superscript"/>
          <w:lang w:eastAsia="en-US"/>
        </w:rPr>
        <w:footnoteReference w:id="37"/>
      </w:r>
      <w:r w:rsidRPr="005D065B">
        <w:rPr>
          <w:rFonts w:asciiTheme="minorHAnsi" w:hAnsiTheme="minorHAnsi" w:cstheme="minorHAnsi"/>
          <w:lang w:eastAsia="en-US"/>
        </w:rPr>
        <w:t xml:space="preserve"> </w:t>
      </w:r>
      <w:r w:rsidR="002A7252" w:rsidRPr="005D065B">
        <w:rPr>
          <w:rFonts w:asciiTheme="minorHAnsi" w:hAnsiTheme="minorHAnsi" w:cstheme="minorHAnsi"/>
          <w:lang w:eastAsia="en-US"/>
        </w:rPr>
        <w:t xml:space="preserve">dále </w:t>
      </w:r>
      <w:r w:rsidRPr="005D065B">
        <w:rPr>
          <w:rFonts w:asciiTheme="minorHAnsi" w:hAnsiTheme="minorHAnsi" w:cstheme="minorHAnsi"/>
          <w:lang w:eastAsia="en-US"/>
        </w:rPr>
        <w:t xml:space="preserve">upřesňuje </w:t>
      </w:r>
      <w:bookmarkStart w:id="22" w:name="_Hlk126933514"/>
      <w:r w:rsidR="002C0A79">
        <w:rPr>
          <w:rFonts w:asciiTheme="minorHAnsi" w:hAnsiTheme="minorHAnsi" w:cstheme="minorHAnsi"/>
          <w:lang w:eastAsia="en-US"/>
        </w:rPr>
        <w:t>p</w:t>
      </w:r>
      <w:r w:rsidRPr="005D065B">
        <w:rPr>
          <w:rFonts w:asciiTheme="minorHAnsi" w:hAnsiTheme="minorHAnsi" w:cstheme="minorHAnsi"/>
          <w:lang w:eastAsia="en-US"/>
        </w:rPr>
        <w:t xml:space="preserve">okyn Ministerstva financí č. R 1-2010, </w:t>
      </w:r>
      <w:r w:rsidRPr="005D065B">
        <w:rPr>
          <w:rFonts w:asciiTheme="minorHAnsi" w:hAnsiTheme="minorHAnsi" w:cstheme="minorHAnsi"/>
          <w:i/>
          <w:lang w:eastAsia="en-US"/>
        </w:rPr>
        <w:t>k upřesnění postupu Ministerstva</w:t>
      </w:r>
      <w:r w:rsidRPr="00223B2B">
        <w:rPr>
          <w:rFonts w:ascii="Calibri" w:hAnsi="Calibri" w:cs="Calibri"/>
          <w:i/>
          <w:lang w:eastAsia="en-US"/>
        </w:rPr>
        <w:t xml:space="preserve"> financí, správců programů a účastníků programu při přípravě, realizaci, financování a vyhodnocení programu nebo akce </w:t>
      </w:r>
      <w:r w:rsidR="00516259">
        <w:rPr>
          <w:rFonts w:ascii="Calibri" w:hAnsi="Calibri" w:cs="Calibri"/>
          <w:i/>
          <w:lang w:eastAsia="en-US"/>
        </w:rPr>
        <w:br/>
      </w:r>
      <w:r w:rsidRPr="00223B2B">
        <w:rPr>
          <w:rFonts w:ascii="Calibri" w:hAnsi="Calibri" w:cs="Calibri"/>
          <w:i/>
          <w:lang w:eastAsia="en-US"/>
        </w:rPr>
        <w:t>a</w:t>
      </w:r>
      <w:r w:rsidR="00516259">
        <w:rPr>
          <w:rFonts w:ascii="Calibri" w:hAnsi="Calibri" w:cs="Calibri"/>
          <w:i/>
          <w:lang w:eastAsia="en-US"/>
        </w:rPr>
        <w:t xml:space="preserve"> </w:t>
      </w:r>
      <w:r w:rsidRPr="00223B2B">
        <w:rPr>
          <w:rFonts w:ascii="Calibri" w:hAnsi="Calibri" w:cs="Calibri"/>
          <w:i/>
          <w:lang w:eastAsia="en-US"/>
        </w:rPr>
        <w:t>k</w:t>
      </w:r>
      <w:r w:rsidR="00516259">
        <w:rPr>
          <w:rFonts w:ascii="Calibri" w:hAnsi="Calibri" w:cs="Calibri"/>
          <w:i/>
          <w:lang w:eastAsia="en-US"/>
        </w:rPr>
        <w:t xml:space="preserve"> </w:t>
      </w:r>
      <w:r w:rsidRPr="00223B2B">
        <w:rPr>
          <w:rFonts w:ascii="Calibri" w:hAnsi="Calibri" w:cs="Calibri"/>
          <w:i/>
          <w:lang w:eastAsia="en-US"/>
        </w:rPr>
        <w:t>provozování informačního systému programového financování</w:t>
      </w:r>
      <w:r w:rsidR="002C0A79">
        <w:rPr>
          <w:rFonts w:ascii="Calibri" w:hAnsi="Calibri" w:cs="Calibri"/>
          <w:lang w:eastAsia="en-US"/>
        </w:rPr>
        <w:t>,</w:t>
      </w:r>
      <w:r w:rsidRPr="00223B2B">
        <w:rPr>
          <w:rFonts w:ascii="Calibri" w:hAnsi="Calibri" w:cs="Calibri"/>
          <w:i/>
          <w:lang w:eastAsia="en-US"/>
        </w:rPr>
        <w:t xml:space="preserve"> </w:t>
      </w:r>
      <w:bookmarkEnd w:id="22"/>
      <w:r w:rsidRPr="00223B2B">
        <w:rPr>
          <w:rFonts w:ascii="Calibri" w:hAnsi="Calibri" w:cs="Calibri"/>
          <w:lang w:eastAsia="en-US"/>
        </w:rPr>
        <w:t xml:space="preserve">vydaný ve </w:t>
      </w:r>
      <w:r w:rsidRPr="00C760A0">
        <w:rPr>
          <w:rFonts w:ascii="Calibri" w:hAnsi="Calibri" w:cs="Calibri"/>
          <w:i/>
          <w:lang w:eastAsia="en-US"/>
        </w:rPr>
        <w:t xml:space="preserve">Finančním </w:t>
      </w:r>
      <w:r w:rsidRPr="00C760A0">
        <w:rPr>
          <w:rFonts w:ascii="Calibri" w:hAnsi="Calibri" w:cs="Calibri"/>
          <w:i/>
          <w:lang w:eastAsia="en-US"/>
        </w:rPr>
        <w:lastRenderedPageBreak/>
        <w:t>zpravodaji</w:t>
      </w:r>
      <w:r w:rsidRPr="00223B2B">
        <w:rPr>
          <w:rFonts w:ascii="Calibri" w:hAnsi="Calibri" w:cs="Calibri"/>
          <w:lang w:eastAsia="en-US"/>
        </w:rPr>
        <w:t xml:space="preserve"> č.</w:t>
      </w:r>
      <w:r w:rsidR="00267B15">
        <w:rPr>
          <w:rFonts w:ascii="Calibri" w:hAnsi="Calibri" w:cs="Calibri"/>
          <w:lang w:eastAsia="en-US"/>
        </w:rPr>
        <w:t xml:space="preserve"> </w:t>
      </w:r>
      <w:r w:rsidRPr="00223B2B">
        <w:rPr>
          <w:rFonts w:ascii="Calibri" w:hAnsi="Calibri" w:cs="Calibri"/>
          <w:lang w:eastAsia="en-US"/>
        </w:rPr>
        <w:t>5/2010 a</w:t>
      </w:r>
      <w:r w:rsidR="002C0A79">
        <w:rPr>
          <w:rFonts w:ascii="Calibri" w:hAnsi="Calibri" w:cs="Calibri"/>
          <w:lang w:eastAsia="en-US"/>
        </w:rPr>
        <w:t xml:space="preserve"> </w:t>
      </w:r>
      <w:r w:rsidRPr="00223B2B">
        <w:rPr>
          <w:rFonts w:ascii="Calibri" w:hAnsi="Calibri" w:cs="Calibri"/>
          <w:lang w:eastAsia="en-US"/>
        </w:rPr>
        <w:t xml:space="preserve">účinný od 15. června 2010. </w:t>
      </w:r>
      <w:r w:rsidR="00CA3F9C">
        <w:rPr>
          <w:rFonts w:ascii="Calibri" w:hAnsi="Calibri" w:cs="Calibri"/>
          <w:lang w:eastAsia="en-US"/>
        </w:rPr>
        <w:t>Indikátor i parametr se vymezují</w:t>
      </w:r>
      <w:r w:rsidR="005D065B">
        <w:rPr>
          <w:rFonts w:ascii="Calibri" w:hAnsi="Calibri" w:cs="Calibri"/>
          <w:lang w:eastAsia="en-US"/>
        </w:rPr>
        <w:t xml:space="preserve"> v</w:t>
      </w:r>
      <w:r w:rsidR="00BE6E06">
        <w:rPr>
          <w:rFonts w:ascii="Calibri" w:hAnsi="Calibri" w:cs="Calibri"/>
          <w:lang w:eastAsia="en-US"/>
        </w:rPr>
        <w:t> </w:t>
      </w:r>
      <w:r w:rsidRPr="00223B2B">
        <w:rPr>
          <w:rFonts w:ascii="Calibri" w:hAnsi="Calibri" w:cs="Calibri"/>
          <w:lang w:eastAsia="en-US"/>
        </w:rPr>
        <w:t>dokumentac</w:t>
      </w:r>
      <w:r w:rsidR="005D065B">
        <w:rPr>
          <w:rFonts w:ascii="Calibri" w:hAnsi="Calibri" w:cs="Calibri"/>
          <w:lang w:eastAsia="en-US"/>
        </w:rPr>
        <w:t>i</w:t>
      </w:r>
      <w:r w:rsidRPr="00223B2B">
        <w:rPr>
          <w:rFonts w:ascii="Calibri" w:hAnsi="Calibri" w:cs="Calibri"/>
          <w:lang w:eastAsia="en-US"/>
        </w:rPr>
        <w:t xml:space="preserve"> akce</w:t>
      </w:r>
      <w:r w:rsidR="002F480F" w:rsidRPr="00C760A0">
        <w:rPr>
          <w:rFonts w:asciiTheme="minorHAnsi" w:hAnsiTheme="minorHAnsi" w:cstheme="minorHAnsi"/>
        </w:rPr>
        <w:t xml:space="preserve"> </w:t>
      </w:r>
      <w:r w:rsidR="002F480F" w:rsidRPr="002F480F">
        <w:rPr>
          <w:rFonts w:ascii="Calibri" w:hAnsi="Calibri" w:cs="Calibri"/>
          <w:lang w:eastAsia="en-US"/>
        </w:rPr>
        <w:t>a na základě ustanovení § 4 odst. 1 písm. c) vyhlášky č. 560/2006 Sb. rovněž v dokumentaci programu.</w:t>
      </w:r>
      <w:r w:rsidRPr="00223B2B">
        <w:rPr>
          <w:rFonts w:ascii="Calibri" w:hAnsi="Calibri" w:cs="Calibri"/>
          <w:lang w:eastAsia="en-US"/>
        </w:rPr>
        <w:t xml:space="preserve"> Indikátor vyjadřuje, čeho se má realizací akce dosáhnout</w:t>
      </w:r>
      <w:r w:rsidR="00267B15">
        <w:rPr>
          <w:rFonts w:ascii="Calibri" w:hAnsi="Calibri" w:cs="Calibri"/>
          <w:lang w:eastAsia="en-US"/>
        </w:rPr>
        <w:t>,</w:t>
      </w:r>
      <w:r w:rsidR="00CA3F9C">
        <w:rPr>
          <w:rFonts w:ascii="Calibri" w:hAnsi="Calibri" w:cs="Calibri"/>
          <w:lang w:eastAsia="en-US"/>
        </w:rPr>
        <w:t xml:space="preserve"> </w:t>
      </w:r>
      <w:r w:rsidR="00883C04">
        <w:rPr>
          <w:rFonts w:ascii="Calibri" w:hAnsi="Calibri" w:cs="Calibri"/>
          <w:lang w:eastAsia="en-US"/>
        </w:rPr>
        <w:t>a</w:t>
      </w:r>
      <w:r w:rsidR="002A7252">
        <w:rPr>
          <w:rFonts w:ascii="Calibri" w:hAnsi="Calibri" w:cs="Calibri"/>
          <w:lang w:eastAsia="en-US"/>
        </w:rPr>
        <w:t> </w:t>
      </w:r>
      <w:r w:rsidRPr="00223B2B">
        <w:rPr>
          <w:rFonts w:ascii="Calibri" w:hAnsi="Calibri" w:cs="Calibri"/>
          <w:lang w:eastAsia="en-US"/>
        </w:rPr>
        <w:t>parametr vyjadřuje, jak se toho má dosáhnout.</w:t>
      </w:r>
    </w:p>
    <w:p w14:paraId="0803C37E" w14:textId="0D030906" w:rsidR="00467E88" w:rsidRDefault="00CF0A07" w:rsidP="00467E88">
      <w:pPr>
        <w:keepNext/>
        <w:tabs>
          <w:tab w:val="left" w:pos="284"/>
        </w:tabs>
        <w:spacing w:before="120"/>
        <w:jc w:val="both"/>
        <w:rPr>
          <w:rFonts w:asciiTheme="minorHAnsi" w:hAnsiTheme="minorHAnsi" w:cstheme="minorHAnsi"/>
        </w:rPr>
      </w:pPr>
      <w:r w:rsidRPr="00273437">
        <w:rPr>
          <w:rFonts w:asciiTheme="minorHAnsi" w:hAnsiTheme="minorHAnsi" w:cstheme="minorHAnsi"/>
          <w:b/>
        </w:rPr>
        <w:t>4.1</w:t>
      </w:r>
      <w:r w:rsidR="007274B9">
        <w:rPr>
          <w:rFonts w:asciiTheme="minorHAnsi" w:hAnsiTheme="minorHAnsi" w:cstheme="minorHAnsi"/>
          <w:b/>
        </w:rPr>
        <w:t>3</w:t>
      </w:r>
      <w:r w:rsidRPr="00273437">
        <w:rPr>
          <w:rFonts w:asciiTheme="minorHAnsi" w:hAnsiTheme="minorHAnsi" w:cstheme="minorHAnsi"/>
        </w:rPr>
        <w:t xml:space="preserve"> </w:t>
      </w:r>
      <w:r w:rsidR="00883C04">
        <w:rPr>
          <w:rFonts w:asciiTheme="minorHAnsi" w:hAnsiTheme="minorHAnsi" w:cstheme="minorHAnsi"/>
        </w:rPr>
        <w:t xml:space="preserve">Program </w:t>
      </w:r>
      <w:r w:rsidR="00600455">
        <w:rPr>
          <w:rFonts w:ascii="Calibri" w:hAnsi="Calibri" w:cs="Calibri"/>
          <w:lang w:eastAsia="en-US"/>
        </w:rPr>
        <w:t>107</w:t>
      </w:r>
      <w:r w:rsidR="00407623">
        <w:rPr>
          <w:rFonts w:ascii="Calibri" w:hAnsi="Calibri" w:cs="Calibri"/>
          <w:lang w:eastAsia="en-US"/>
        </w:rPr>
        <w:t> </w:t>
      </w:r>
      <w:r w:rsidR="00600455">
        <w:rPr>
          <w:rFonts w:ascii="Calibri" w:hAnsi="Calibri" w:cs="Calibri"/>
          <w:lang w:eastAsia="en-US"/>
        </w:rPr>
        <w:t>690</w:t>
      </w:r>
      <w:r w:rsidR="00600455" w:rsidRPr="00C760A0">
        <w:rPr>
          <w:rFonts w:asciiTheme="minorHAnsi" w:hAnsiTheme="minorHAnsi" w:cstheme="minorHAnsi"/>
        </w:rPr>
        <w:t xml:space="preserve"> </w:t>
      </w:r>
      <w:r w:rsidR="00883C04">
        <w:rPr>
          <w:rFonts w:asciiTheme="minorHAnsi" w:hAnsiTheme="minorHAnsi" w:cstheme="minorHAnsi"/>
        </w:rPr>
        <w:t xml:space="preserve">je zaměřen </w:t>
      </w:r>
      <w:r w:rsidR="00467E88">
        <w:rPr>
          <w:rFonts w:asciiTheme="minorHAnsi" w:hAnsiTheme="minorHAnsi" w:cstheme="minorHAnsi"/>
        </w:rPr>
        <w:t xml:space="preserve">zejména </w:t>
      </w:r>
      <w:r w:rsidR="00883C04">
        <w:rPr>
          <w:rFonts w:asciiTheme="minorHAnsi" w:hAnsiTheme="minorHAnsi" w:cstheme="minorHAnsi"/>
        </w:rPr>
        <w:t xml:space="preserve">na </w:t>
      </w:r>
      <w:r w:rsidR="00883C04" w:rsidRPr="00883C04">
        <w:rPr>
          <w:rFonts w:asciiTheme="minorHAnsi" w:hAnsiTheme="minorHAnsi" w:cstheme="minorHAnsi"/>
        </w:rPr>
        <w:t>rozvoj, pořízení a technické zhodnocení prostředků logistiky tak, aby bylo zajištěno funkční zázemí vojsk v poli i ve stálých dislokacích.</w:t>
      </w:r>
      <w:r w:rsidR="00467E88">
        <w:rPr>
          <w:rFonts w:asciiTheme="minorHAnsi" w:hAnsiTheme="minorHAnsi" w:cstheme="minorHAnsi"/>
        </w:rPr>
        <w:t xml:space="preserve"> </w:t>
      </w:r>
      <w:r w:rsidR="00580820">
        <w:rPr>
          <w:rFonts w:asciiTheme="minorHAnsi" w:hAnsiTheme="minorHAnsi" w:cstheme="minorHAnsi"/>
        </w:rPr>
        <w:t xml:space="preserve">Program </w:t>
      </w:r>
      <w:r w:rsidR="002A7252">
        <w:rPr>
          <w:rFonts w:asciiTheme="minorHAnsi" w:hAnsiTheme="minorHAnsi" w:cstheme="minorHAnsi"/>
        </w:rPr>
        <w:t xml:space="preserve">se </w:t>
      </w:r>
      <w:r w:rsidR="00467E88">
        <w:rPr>
          <w:rFonts w:asciiTheme="minorHAnsi" w:hAnsiTheme="minorHAnsi" w:cstheme="minorHAnsi"/>
        </w:rPr>
        <w:t>dělí</w:t>
      </w:r>
      <w:r w:rsidR="00580820">
        <w:rPr>
          <w:rFonts w:asciiTheme="minorHAnsi" w:hAnsiTheme="minorHAnsi" w:cstheme="minorHAnsi"/>
        </w:rPr>
        <w:t xml:space="preserve"> na tři podprogramy. </w:t>
      </w:r>
      <w:r w:rsidR="00467E88">
        <w:rPr>
          <w:rFonts w:asciiTheme="minorHAnsi" w:hAnsiTheme="minorHAnsi" w:cstheme="minorHAnsi"/>
        </w:rPr>
        <w:t xml:space="preserve">Věcně i finančně </w:t>
      </w:r>
      <w:r w:rsidR="008706EB">
        <w:rPr>
          <w:rFonts w:asciiTheme="minorHAnsi" w:hAnsiTheme="minorHAnsi" w:cstheme="minorHAnsi"/>
        </w:rPr>
        <w:t>nejdůležitější</w:t>
      </w:r>
      <w:r w:rsidR="00467E88">
        <w:rPr>
          <w:rFonts w:asciiTheme="minorHAnsi" w:hAnsiTheme="minorHAnsi" w:cstheme="minorHAnsi"/>
        </w:rPr>
        <w:t xml:space="preserve"> </w:t>
      </w:r>
      <w:r w:rsidR="00580820">
        <w:rPr>
          <w:rFonts w:asciiTheme="minorHAnsi" w:hAnsiTheme="minorHAnsi" w:cstheme="minorHAnsi"/>
        </w:rPr>
        <w:t>je p</w:t>
      </w:r>
      <w:r w:rsidR="00580820" w:rsidRPr="007D0B1B">
        <w:rPr>
          <w:rFonts w:asciiTheme="minorHAnsi" w:hAnsiTheme="minorHAnsi" w:cstheme="minorHAnsi"/>
        </w:rPr>
        <w:t xml:space="preserve">odprogram </w:t>
      </w:r>
      <w:bookmarkStart w:id="23" w:name="_Hlk126940370"/>
      <w:r w:rsidR="00EB2191">
        <w:rPr>
          <w:rFonts w:asciiTheme="minorHAnsi" w:hAnsiTheme="minorHAnsi" w:cstheme="minorHAnsi"/>
        </w:rPr>
        <w:br/>
      </w:r>
      <w:r w:rsidR="00580820" w:rsidRPr="007D0B1B">
        <w:rPr>
          <w:rFonts w:asciiTheme="minorHAnsi" w:hAnsiTheme="minorHAnsi" w:cstheme="minorHAnsi"/>
        </w:rPr>
        <w:t>č.</w:t>
      </w:r>
      <w:r w:rsidR="008706EB">
        <w:rPr>
          <w:rFonts w:asciiTheme="minorHAnsi" w:hAnsiTheme="minorHAnsi" w:cstheme="minorHAnsi"/>
        </w:rPr>
        <w:t> </w:t>
      </w:r>
      <w:r w:rsidR="00580820" w:rsidRPr="007D0B1B">
        <w:rPr>
          <w:rFonts w:asciiTheme="minorHAnsi" w:hAnsiTheme="minorHAnsi" w:cstheme="minorHAnsi"/>
        </w:rPr>
        <w:t>107</w:t>
      </w:r>
      <w:r w:rsidR="00EB2191">
        <w:rPr>
          <w:rFonts w:asciiTheme="minorHAnsi" w:hAnsiTheme="minorHAnsi" w:cstheme="minorHAnsi"/>
        </w:rPr>
        <w:t> </w:t>
      </w:r>
      <w:r w:rsidR="00580820" w:rsidRPr="007D0B1B">
        <w:rPr>
          <w:rFonts w:asciiTheme="minorHAnsi" w:hAnsiTheme="minorHAnsi" w:cstheme="minorHAnsi"/>
        </w:rPr>
        <w:t>691</w:t>
      </w:r>
      <w:r w:rsidR="00EB2191">
        <w:rPr>
          <w:rFonts w:asciiTheme="minorHAnsi" w:hAnsiTheme="minorHAnsi" w:cstheme="minorHAnsi"/>
        </w:rPr>
        <w:t xml:space="preserve"> </w:t>
      </w:r>
      <w:r w:rsidR="00580820" w:rsidRPr="007D0B1B">
        <w:rPr>
          <w:rFonts w:asciiTheme="minorHAnsi" w:hAnsiTheme="minorHAnsi" w:cstheme="minorHAnsi"/>
        </w:rPr>
        <w:t xml:space="preserve">– </w:t>
      </w:r>
      <w:r w:rsidR="00580820" w:rsidRPr="009717CB">
        <w:rPr>
          <w:rFonts w:asciiTheme="minorHAnsi" w:hAnsiTheme="minorHAnsi" w:cstheme="minorHAnsi"/>
          <w:i/>
        </w:rPr>
        <w:t>Udržení a</w:t>
      </w:r>
      <w:r w:rsidR="002A7A8F">
        <w:rPr>
          <w:rFonts w:asciiTheme="minorHAnsi" w:hAnsiTheme="minorHAnsi" w:cstheme="minorHAnsi"/>
          <w:i/>
        </w:rPr>
        <w:t xml:space="preserve"> </w:t>
      </w:r>
      <w:r w:rsidR="00580820" w:rsidRPr="009717CB">
        <w:rPr>
          <w:rFonts w:asciiTheme="minorHAnsi" w:hAnsiTheme="minorHAnsi" w:cstheme="minorHAnsi"/>
          <w:i/>
        </w:rPr>
        <w:t>rozvoj schopností logistiky Armády</w:t>
      </w:r>
      <w:bookmarkEnd w:id="23"/>
      <w:r w:rsidR="00580820" w:rsidRPr="00596441">
        <w:rPr>
          <w:rFonts w:asciiTheme="minorHAnsi" w:hAnsiTheme="minorHAnsi" w:cstheme="minorHAnsi"/>
          <w:vertAlign w:val="superscript"/>
        </w:rPr>
        <w:t xml:space="preserve"> </w:t>
      </w:r>
      <w:r w:rsidR="00580820">
        <w:rPr>
          <w:rFonts w:asciiTheme="minorHAnsi" w:hAnsiTheme="minorHAnsi" w:cstheme="minorHAnsi"/>
        </w:rPr>
        <w:t>(dále také „podprogram 107 691“)</w:t>
      </w:r>
      <w:r w:rsidR="00EF4141">
        <w:rPr>
          <w:rFonts w:asciiTheme="minorHAnsi" w:hAnsiTheme="minorHAnsi" w:cstheme="minorHAnsi"/>
        </w:rPr>
        <w:t xml:space="preserve">, který využívá téměř 80 % peněžních prostředků programu. </w:t>
      </w:r>
      <w:r w:rsidR="00467E88">
        <w:rPr>
          <w:rFonts w:asciiTheme="minorHAnsi" w:hAnsiTheme="minorHAnsi" w:cstheme="minorHAnsi"/>
        </w:rPr>
        <w:t>V rámci tohoto podprogramu byly realizovány i nákupy automobilní techniky.</w:t>
      </w:r>
    </w:p>
    <w:p w14:paraId="136F76AB" w14:textId="007F6A47" w:rsidR="00596441" w:rsidRPr="00596441" w:rsidRDefault="00914591" w:rsidP="00596441">
      <w:pPr>
        <w:spacing w:before="120"/>
        <w:jc w:val="both"/>
        <w:rPr>
          <w:rFonts w:ascii="Calibri" w:hAnsi="Calibri" w:cs="Calibri"/>
          <w:lang w:eastAsia="en-US"/>
        </w:rPr>
      </w:pPr>
      <w:r w:rsidRPr="00914591">
        <w:rPr>
          <w:rFonts w:ascii="Calibri" w:hAnsi="Calibri" w:cs="Calibri"/>
          <w:b/>
        </w:rPr>
        <w:t>4.1</w:t>
      </w:r>
      <w:r w:rsidR="007274B9">
        <w:rPr>
          <w:rFonts w:ascii="Calibri" w:hAnsi="Calibri" w:cs="Calibri"/>
          <w:b/>
        </w:rPr>
        <w:t>4</w:t>
      </w:r>
      <w:r>
        <w:rPr>
          <w:rFonts w:ascii="Calibri" w:hAnsi="Calibri" w:cs="Calibri"/>
        </w:rPr>
        <w:t xml:space="preserve"> </w:t>
      </w:r>
      <w:r w:rsidR="00596441" w:rsidRPr="0078334B">
        <w:rPr>
          <w:rFonts w:ascii="Calibri" w:hAnsi="Calibri" w:cs="Calibri"/>
        </w:rPr>
        <w:t xml:space="preserve">MO </w:t>
      </w:r>
      <w:r w:rsidR="00580820" w:rsidRPr="0078334B">
        <w:rPr>
          <w:rFonts w:ascii="Calibri" w:hAnsi="Calibri" w:cs="Calibri"/>
        </w:rPr>
        <w:t>v programu stanovilo celkem</w:t>
      </w:r>
      <w:r w:rsidR="00580820">
        <w:rPr>
          <w:rFonts w:ascii="Calibri" w:hAnsi="Calibri" w:cs="Calibri"/>
        </w:rPr>
        <w:t xml:space="preserve"> </w:t>
      </w:r>
      <w:r w:rsidR="00596441" w:rsidRPr="00596441">
        <w:rPr>
          <w:rFonts w:ascii="Calibri" w:hAnsi="Calibri" w:cs="Calibri"/>
        </w:rPr>
        <w:t>pět dílčích cílů</w:t>
      </w:r>
      <w:r w:rsidR="00580820">
        <w:rPr>
          <w:rFonts w:ascii="Calibri" w:hAnsi="Calibri" w:cs="Calibri"/>
        </w:rPr>
        <w:t>,</w:t>
      </w:r>
      <w:r w:rsidR="00596441" w:rsidRPr="00596441">
        <w:rPr>
          <w:rFonts w:ascii="Calibri" w:hAnsi="Calibri" w:cs="Calibri"/>
        </w:rPr>
        <w:t xml:space="preserve"> z nichž čtyři se vztahují k podprogramu 107</w:t>
      </w:r>
      <w:r w:rsidR="00EF4141">
        <w:rPr>
          <w:rFonts w:ascii="Calibri" w:hAnsi="Calibri" w:cs="Calibri"/>
        </w:rPr>
        <w:t> </w:t>
      </w:r>
      <w:r w:rsidR="00596441" w:rsidRPr="00596441">
        <w:rPr>
          <w:rFonts w:ascii="Calibri" w:hAnsi="Calibri" w:cs="Calibri"/>
        </w:rPr>
        <w:t xml:space="preserve">691: </w:t>
      </w:r>
      <w:bookmarkStart w:id="24" w:name="_Hlk113546007"/>
    </w:p>
    <w:p w14:paraId="362832F2" w14:textId="434408C9" w:rsidR="00596441" w:rsidRPr="005452E6" w:rsidRDefault="0078334B" w:rsidP="000031DB">
      <w:pPr>
        <w:pStyle w:val="Odstavecseseznamem"/>
        <w:numPr>
          <w:ilvl w:val="0"/>
          <w:numId w:val="35"/>
        </w:numPr>
        <w:ind w:left="284" w:hanging="284"/>
        <w:jc w:val="both"/>
        <w:rPr>
          <w:rFonts w:ascii="Calibri" w:hAnsi="Calibri" w:cs="Calibri"/>
          <w:lang w:eastAsia="en-US"/>
        </w:rPr>
      </w:pPr>
      <w:r>
        <w:rPr>
          <w:rFonts w:ascii="Calibri" w:hAnsi="Calibri" w:cs="Calibri"/>
          <w:lang w:eastAsia="en-US"/>
        </w:rPr>
        <w:t>c</w:t>
      </w:r>
      <w:r w:rsidR="005452E6" w:rsidRPr="005452E6">
        <w:rPr>
          <w:rFonts w:ascii="Calibri" w:hAnsi="Calibri" w:cs="Calibri"/>
          <w:lang w:eastAsia="en-US"/>
        </w:rPr>
        <w:t xml:space="preserve">íl č. 1 </w:t>
      </w:r>
      <w:r w:rsidR="00522595">
        <w:rPr>
          <w:rFonts w:ascii="Calibri" w:hAnsi="Calibri" w:cs="Calibri"/>
          <w:i/>
          <w:lang w:eastAsia="en-US"/>
        </w:rPr>
        <w:t>d</w:t>
      </w:r>
      <w:r w:rsidR="00596441" w:rsidRPr="005452E6">
        <w:rPr>
          <w:rFonts w:ascii="Calibri" w:hAnsi="Calibri" w:cs="Calibri"/>
          <w:i/>
          <w:lang w:eastAsia="en-US"/>
        </w:rPr>
        <w:t>opravní zabezpečení úkolů ozbrojených sil ČR materiálem a prostředky</w:t>
      </w:r>
      <w:bookmarkEnd w:id="24"/>
      <w:r w:rsidR="00596441" w:rsidRPr="005452E6">
        <w:rPr>
          <w:rFonts w:ascii="Calibri" w:hAnsi="Calibri" w:cs="Calibri"/>
          <w:lang w:eastAsia="en-US"/>
        </w:rPr>
        <w:t>,</w:t>
      </w:r>
    </w:p>
    <w:p w14:paraId="3F3749ED" w14:textId="5E987653" w:rsidR="00596441" w:rsidRPr="005452E6" w:rsidRDefault="0078334B" w:rsidP="000031DB">
      <w:pPr>
        <w:pStyle w:val="Odstavecseseznamem"/>
        <w:numPr>
          <w:ilvl w:val="0"/>
          <w:numId w:val="35"/>
        </w:numPr>
        <w:spacing w:after="160"/>
        <w:ind w:left="284" w:hanging="284"/>
        <w:contextualSpacing/>
        <w:jc w:val="both"/>
        <w:rPr>
          <w:rFonts w:ascii="Calibri" w:hAnsi="Calibri" w:cs="Calibri"/>
          <w:lang w:eastAsia="en-US"/>
        </w:rPr>
      </w:pPr>
      <w:r>
        <w:rPr>
          <w:rFonts w:ascii="Calibri" w:hAnsi="Calibri" w:cs="Calibri"/>
          <w:lang w:eastAsia="en-US"/>
        </w:rPr>
        <w:t>c</w:t>
      </w:r>
      <w:r w:rsidR="005452E6" w:rsidRPr="005452E6">
        <w:rPr>
          <w:rFonts w:ascii="Calibri" w:hAnsi="Calibri" w:cs="Calibri"/>
          <w:lang w:eastAsia="en-US"/>
        </w:rPr>
        <w:t>íl č. 2</w:t>
      </w:r>
      <w:r w:rsidR="000031DB">
        <w:rPr>
          <w:rFonts w:ascii="Calibri" w:hAnsi="Calibri" w:cs="Calibri"/>
          <w:lang w:eastAsia="en-US"/>
        </w:rPr>
        <w:t xml:space="preserve"> </w:t>
      </w:r>
      <w:r w:rsidR="00522595">
        <w:rPr>
          <w:rFonts w:ascii="Calibri" w:hAnsi="Calibri" w:cs="Calibri"/>
          <w:i/>
          <w:lang w:eastAsia="en-US"/>
        </w:rPr>
        <w:t>z</w:t>
      </w:r>
      <w:r w:rsidR="00596441" w:rsidRPr="005452E6">
        <w:rPr>
          <w:rFonts w:ascii="Calibri" w:hAnsi="Calibri" w:cs="Calibri"/>
          <w:i/>
          <w:lang w:eastAsia="en-US"/>
        </w:rPr>
        <w:t>ásobování ozbrojených sil ČR materiálem (majetkem)</w:t>
      </w:r>
      <w:r w:rsidR="00596441" w:rsidRPr="00E41388">
        <w:rPr>
          <w:rFonts w:ascii="Calibri" w:hAnsi="Calibri" w:cs="Calibri"/>
          <w:lang w:eastAsia="en-US"/>
        </w:rPr>
        <w:t>,</w:t>
      </w:r>
    </w:p>
    <w:p w14:paraId="471BE509" w14:textId="12F12E1D" w:rsidR="00596441" w:rsidRPr="005452E6" w:rsidRDefault="0078334B" w:rsidP="000031DB">
      <w:pPr>
        <w:pStyle w:val="Odstavecseseznamem"/>
        <w:numPr>
          <w:ilvl w:val="0"/>
          <w:numId w:val="35"/>
        </w:numPr>
        <w:spacing w:after="160"/>
        <w:ind w:left="284" w:hanging="284"/>
        <w:contextualSpacing/>
        <w:jc w:val="both"/>
        <w:rPr>
          <w:rFonts w:ascii="Calibri" w:hAnsi="Calibri" w:cs="Calibri"/>
          <w:i/>
          <w:lang w:eastAsia="en-US"/>
        </w:rPr>
      </w:pPr>
      <w:bookmarkStart w:id="25" w:name="_Hlk113546174"/>
      <w:r>
        <w:rPr>
          <w:rFonts w:ascii="Calibri" w:hAnsi="Calibri" w:cs="Calibri"/>
          <w:lang w:eastAsia="en-US"/>
        </w:rPr>
        <w:t>c</w:t>
      </w:r>
      <w:r w:rsidR="005452E6" w:rsidRPr="005452E6">
        <w:rPr>
          <w:rFonts w:ascii="Calibri" w:hAnsi="Calibri" w:cs="Calibri"/>
          <w:lang w:eastAsia="en-US"/>
        </w:rPr>
        <w:t>íl č. 3</w:t>
      </w:r>
      <w:r w:rsidR="000031DB">
        <w:rPr>
          <w:rFonts w:ascii="Calibri" w:hAnsi="Calibri" w:cs="Calibri"/>
          <w:lang w:eastAsia="en-US"/>
        </w:rPr>
        <w:t xml:space="preserve"> </w:t>
      </w:r>
      <w:r w:rsidR="00522595">
        <w:rPr>
          <w:rFonts w:ascii="Calibri" w:hAnsi="Calibri" w:cs="Calibri"/>
          <w:i/>
          <w:lang w:eastAsia="en-US"/>
        </w:rPr>
        <w:t>v</w:t>
      </w:r>
      <w:r w:rsidR="00596441" w:rsidRPr="005452E6">
        <w:rPr>
          <w:rFonts w:ascii="Calibri" w:hAnsi="Calibri" w:cs="Calibri"/>
          <w:i/>
          <w:lang w:eastAsia="en-US"/>
        </w:rPr>
        <w:t>ýzbrojní a technické zabezpečení vojenské techniky a materiálu ozbrojených sil ČR</w:t>
      </w:r>
      <w:r w:rsidR="00596441" w:rsidRPr="00E41388">
        <w:rPr>
          <w:rFonts w:ascii="Calibri" w:hAnsi="Calibri" w:cs="Calibri"/>
          <w:lang w:eastAsia="en-US"/>
        </w:rPr>
        <w:t>,</w:t>
      </w:r>
      <w:bookmarkEnd w:id="25"/>
    </w:p>
    <w:p w14:paraId="142E5F3E" w14:textId="3817A1BD" w:rsidR="00596441" w:rsidRPr="005452E6" w:rsidRDefault="0078334B" w:rsidP="00C760A0">
      <w:pPr>
        <w:pStyle w:val="Odstavecseseznamem"/>
        <w:numPr>
          <w:ilvl w:val="0"/>
          <w:numId w:val="35"/>
        </w:numPr>
        <w:ind w:left="284" w:hanging="284"/>
        <w:contextualSpacing/>
        <w:rPr>
          <w:rFonts w:ascii="Calibri" w:hAnsi="Calibri" w:cs="Calibri"/>
          <w:lang w:eastAsia="en-US"/>
        </w:rPr>
      </w:pPr>
      <w:bookmarkStart w:id="26" w:name="_Hlk113546223"/>
      <w:r>
        <w:rPr>
          <w:rFonts w:ascii="Calibri" w:hAnsi="Calibri" w:cs="Calibri"/>
          <w:lang w:eastAsia="en-US"/>
        </w:rPr>
        <w:t>c</w:t>
      </w:r>
      <w:r w:rsidR="005452E6" w:rsidRPr="005452E6">
        <w:rPr>
          <w:rFonts w:ascii="Calibri" w:hAnsi="Calibri" w:cs="Calibri"/>
          <w:lang w:eastAsia="en-US"/>
        </w:rPr>
        <w:t>íl č. 4</w:t>
      </w:r>
      <w:r w:rsidR="000031DB">
        <w:rPr>
          <w:rFonts w:ascii="Calibri" w:hAnsi="Calibri" w:cs="Calibri"/>
          <w:lang w:eastAsia="en-US"/>
        </w:rPr>
        <w:t xml:space="preserve"> </w:t>
      </w:r>
      <w:r w:rsidR="00522595">
        <w:rPr>
          <w:rFonts w:ascii="Calibri" w:hAnsi="Calibri" w:cs="Calibri"/>
          <w:i/>
          <w:lang w:eastAsia="en-US"/>
        </w:rPr>
        <w:t>p</w:t>
      </w:r>
      <w:r w:rsidR="00596441" w:rsidRPr="005452E6">
        <w:rPr>
          <w:rFonts w:ascii="Calibri" w:hAnsi="Calibri" w:cs="Calibri"/>
          <w:i/>
          <w:lang w:eastAsia="en-US"/>
        </w:rPr>
        <w:t>odpora a zabezpečení personálu k plnění úkolů výcviku, operační použitelnost ozbrojených sil ČR a propagace na veřejnosti</w:t>
      </w:r>
      <w:bookmarkEnd w:id="26"/>
      <w:r w:rsidR="00596441" w:rsidRPr="00E41388">
        <w:rPr>
          <w:rFonts w:ascii="Calibri" w:hAnsi="Calibri" w:cs="Calibri"/>
          <w:lang w:eastAsia="en-US"/>
        </w:rPr>
        <w:t>.</w:t>
      </w:r>
    </w:p>
    <w:p w14:paraId="52088040" w14:textId="7DA494BE" w:rsidR="00580820" w:rsidRDefault="00467E88" w:rsidP="00DD0364">
      <w:pPr>
        <w:spacing w:before="120"/>
        <w:jc w:val="both"/>
        <w:rPr>
          <w:rFonts w:ascii="Calibri" w:hAnsi="Calibri" w:cs="Calibri"/>
          <w:lang w:eastAsia="en-US"/>
        </w:rPr>
      </w:pPr>
      <w:r w:rsidRPr="00914591">
        <w:rPr>
          <w:rFonts w:ascii="Calibri" w:hAnsi="Calibri" w:cs="Calibri"/>
          <w:b/>
        </w:rPr>
        <w:t>4.1</w:t>
      </w:r>
      <w:r w:rsidR="007274B9">
        <w:rPr>
          <w:rFonts w:ascii="Calibri" w:hAnsi="Calibri" w:cs="Calibri"/>
          <w:b/>
        </w:rPr>
        <w:t>5</w:t>
      </w:r>
      <w:r>
        <w:rPr>
          <w:rFonts w:ascii="Calibri" w:hAnsi="Calibri" w:cs="Calibri"/>
        </w:rPr>
        <w:t xml:space="preserve"> </w:t>
      </w:r>
      <w:r w:rsidRPr="00580820">
        <w:rPr>
          <w:rFonts w:ascii="Calibri" w:hAnsi="Calibri" w:cs="Calibri"/>
          <w:lang w:eastAsia="en-US"/>
        </w:rPr>
        <w:t xml:space="preserve">NKÚ </w:t>
      </w:r>
      <w:r>
        <w:rPr>
          <w:rFonts w:ascii="Calibri" w:hAnsi="Calibri" w:cs="Calibri"/>
          <w:lang w:eastAsia="en-US"/>
        </w:rPr>
        <w:t>u pod</w:t>
      </w:r>
      <w:r w:rsidRPr="00580820">
        <w:rPr>
          <w:rFonts w:ascii="Calibri" w:hAnsi="Calibri" w:cs="Calibri"/>
          <w:lang w:eastAsia="en-US"/>
        </w:rPr>
        <w:t>programu</w:t>
      </w:r>
      <w:r>
        <w:rPr>
          <w:rFonts w:ascii="Calibri" w:hAnsi="Calibri" w:cs="Calibri"/>
          <w:lang w:eastAsia="en-US"/>
        </w:rPr>
        <w:t xml:space="preserve"> 107 691 </w:t>
      </w:r>
      <w:r w:rsidRPr="00580820">
        <w:rPr>
          <w:rFonts w:ascii="Calibri" w:hAnsi="Calibri" w:cs="Calibri"/>
          <w:lang w:eastAsia="en-US"/>
        </w:rPr>
        <w:t>pos</w:t>
      </w:r>
      <w:r>
        <w:rPr>
          <w:rFonts w:ascii="Calibri" w:hAnsi="Calibri" w:cs="Calibri"/>
          <w:lang w:eastAsia="en-US"/>
        </w:rPr>
        <w:t>uzoval</w:t>
      </w:r>
      <w:r w:rsidRPr="00580820">
        <w:rPr>
          <w:rFonts w:ascii="Calibri" w:hAnsi="Calibri" w:cs="Calibri"/>
          <w:lang w:eastAsia="en-US"/>
        </w:rPr>
        <w:t xml:space="preserve"> </w:t>
      </w:r>
      <w:r>
        <w:rPr>
          <w:rFonts w:ascii="Calibri" w:hAnsi="Calibri" w:cs="Calibri"/>
          <w:lang w:eastAsia="en-US"/>
        </w:rPr>
        <w:t>nastav</w:t>
      </w:r>
      <w:r w:rsidRPr="00580820">
        <w:rPr>
          <w:rFonts w:ascii="Calibri" w:hAnsi="Calibri" w:cs="Calibri"/>
          <w:lang w:eastAsia="en-US"/>
        </w:rPr>
        <w:t>ení cílů</w:t>
      </w:r>
      <w:r w:rsidR="00F74B44">
        <w:rPr>
          <w:rFonts w:ascii="Calibri" w:hAnsi="Calibri" w:cs="Calibri"/>
          <w:lang w:eastAsia="en-US"/>
        </w:rPr>
        <w:t xml:space="preserve"> a</w:t>
      </w:r>
      <w:r>
        <w:rPr>
          <w:rFonts w:ascii="Calibri" w:hAnsi="Calibri" w:cs="Calibri"/>
          <w:lang w:eastAsia="en-US"/>
        </w:rPr>
        <w:t xml:space="preserve"> </w:t>
      </w:r>
      <w:r w:rsidRPr="00580820">
        <w:rPr>
          <w:rFonts w:ascii="Calibri" w:hAnsi="Calibri" w:cs="Calibri"/>
          <w:lang w:eastAsia="en-US"/>
        </w:rPr>
        <w:t xml:space="preserve">indikátorů </w:t>
      </w:r>
      <w:r w:rsidR="00F74B44">
        <w:rPr>
          <w:rFonts w:ascii="Calibri" w:hAnsi="Calibri" w:cs="Calibri"/>
          <w:lang w:eastAsia="en-US"/>
        </w:rPr>
        <w:t xml:space="preserve">pro jeho vyhodnocení. </w:t>
      </w:r>
      <w:r w:rsidR="00580820">
        <w:rPr>
          <w:rFonts w:ascii="Calibri" w:hAnsi="Calibri" w:cs="Calibri"/>
        </w:rPr>
        <w:t xml:space="preserve">Výstupy akcí realizovaných v rámci podprogramu </w:t>
      </w:r>
      <w:r w:rsidR="00F74B44">
        <w:rPr>
          <w:rFonts w:ascii="Calibri" w:hAnsi="Calibri" w:cs="Calibri"/>
        </w:rPr>
        <w:t xml:space="preserve">107 691 </w:t>
      </w:r>
      <w:r w:rsidR="00580820">
        <w:rPr>
          <w:rFonts w:ascii="Calibri" w:hAnsi="Calibri" w:cs="Calibri"/>
        </w:rPr>
        <w:t xml:space="preserve">mají vést k naplnění </w:t>
      </w:r>
      <w:r w:rsidR="00EF4141">
        <w:rPr>
          <w:rFonts w:ascii="Calibri" w:hAnsi="Calibri" w:cs="Calibri"/>
        </w:rPr>
        <w:t>uvedených</w:t>
      </w:r>
      <w:r w:rsidR="00580820">
        <w:rPr>
          <w:rFonts w:ascii="Calibri" w:hAnsi="Calibri" w:cs="Calibri"/>
        </w:rPr>
        <w:t xml:space="preserve"> </w:t>
      </w:r>
      <w:r w:rsidR="00917998">
        <w:rPr>
          <w:rFonts w:ascii="Calibri" w:hAnsi="Calibri" w:cs="Calibri"/>
        </w:rPr>
        <w:t xml:space="preserve">čtyř </w:t>
      </w:r>
      <w:r w:rsidR="00580820">
        <w:rPr>
          <w:rFonts w:ascii="Calibri" w:hAnsi="Calibri" w:cs="Calibri"/>
        </w:rPr>
        <w:t xml:space="preserve">cílů. </w:t>
      </w:r>
      <w:r w:rsidR="00E1333A" w:rsidRPr="00580820">
        <w:rPr>
          <w:rFonts w:ascii="Calibri" w:hAnsi="Calibri" w:cs="Calibri"/>
          <w:lang w:eastAsia="en-US"/>
        </w:rPr>
        <w:t xml:space="preserve">MO </w:t>
      </w:r>
      <w:r w:rsidR="00E1333A">
        <w:rPr>
          <w:rFonts w:ascii="Calibri" w:hAnsi="Calibri" w:cs="Calibri"/>
          <w:lang w:eastAsia="en-US"/>
        </w:rPr>
        <w:t xml:space="preserve">pro každou akci </w:t>
      </w:r>
      <w:r w:rsidR="00E1333A" w:rsidRPr="00580820">
        <w:rPr>
          <w:rFonts w:ascii="Calibri" w:hAnsi="Calibri" w:cs="Calibri"/>
          <w:lang w:eastAsia="en-US"/>
        </w:rPr>
        <w:t xml:space="preserve">stanovilo </w:t>
      </w:r>
      <w:r w:rsidR="00E1333A">
        <w:rPr>
          <w:rFonts w:ascii="Calibri" w:hAnsi="Calibri" w:cs="Calibri"/>
          <w:lang w:eastAsia="en-US"/>
        </w:rPr>
        <w:t xml:space="preserve">finanční, časové </w:t>
      </w:r>
      <w:r w:rsidR="002A402D">
        <w:rPr>
          <w:rFonts w:ascii="Calibri" w:hAnsi="Calibri" w:cs="Calibri"/>
          <w:lang w:eastAsia="en-US"/>
        </w:rPr>
        <w:t>i</w:t>
      </w:r>
      <w:r w:rsidR="00E1333A">
        <w:rPr>
          <w:rFonts w:ascii="Calibri" w:hAnsi="Calibri" w:cs="Calibri"/>
          <w:lang w:eastAsia="en-US"/>
        </w:rPr>
        <w:t xml:space="preserve"> </w:t>
      </w:r>
      <w:r w:rsidR="00E1333A" w:rsidRPr="00580820">
        <w:rPr>
          <w:rFonts w:ascii="Calibri" w:hAnsi="Calibri" w:cs="Calibri"/>
          <w:lang w:eastAsia="en-US"/>
        </w:rPr>
        <w:t>věcné parametry</w:t>
      </w:r>
      <w:r w:rsidR="00917998">
        <w:rPr>
          <w:rFonts w:ascii="Calibri" w:hAnsi="Calibri" w:cs="Calibri"/>
          <w:lang w:eastAsia="en-US"/>
        </w:rPr>
        <w:t>,</w:t>
      </w:r>
      <w:r w:rsidR="00E1333A" w:rsidRPr="00580820">
        <w:rPr>
          <w:rFonts w:ascii="Calibri" w:hAnsi="Calibri" w:cs="Calibri"/>
          <w:lang w:eastAsia="en-US"/>
        </w:rPr>
        <w:t xml:space="preserve"> </w:t>
      </w:r>
      <w:r w:rsidR="00917998">
        <w:rPr>
          <w:rFonts w:ascii="Calibri" w:hAnsi="Calibri" w:cs="Calibri"/>
          <w:lang w:eastAsia="en-US"/>
        </w:rPr>
        <w:t xml:space="preserve">tj. </w:t>
      </w:r>
      <w:r w:rsidR="00E1333A" w:rsidRPr="00580820">
        <w:rPr>
          <w:rFonts w:ascii="Calibri" w:hAnsi="Calibri" w:cs="Calibri"/>
          <w:lang w:eastAsia="en-US"/>
        </w:rPr>
        <w:t>druhy a</w:t>
      </w:r>
      <w:r w:rsidR="0078334B">
        <w:rPr>
          <w:rFonts w:ascii="Calibri" w:hAnsi="Calibri" w:cs="Calibri"/>
          <w:lang w:eastAsia="en-US"/>
        </w:rPr>
        <w:t xml:space="preserve"> </w:t>
      </w:r>
      <w:r w:rsidR="00E1333A" w:rsidRPr="00580820">
        <w:rPr>
          <w:rFonts w:ascii="Calibri" w:hAnsi="Calibri" w:cs="Calibri"/>
          <w:lang w:eastAsia="en-US"/>
        </w:rPr>
        <w:t>počty pořizované techniky.</w:t>
      </w:r>
    </w:p>
    <w:p w14:paraId="2B2CEFF7" w14:textId="2DEB28FF" w:rsidR="00580820" w:rsidRPr="00580820" w:rsidRDefault="00914591" w:rsidP="00DD0364">
      <w:pPr>
        <w:spacing w:before="120"/>
        <w:jc w:val="both"/>
        <w:rPr>
          <w:rFonts w:ascii="Calibri" w:hAnsi="Calibri" w:cs="Calibri"/>
          <w:lang w:eastAsia="en-US"/>
        </w:rPr>
      </w:pPr>
      <w:r w:rsidRPr="00914591">
        <w:rPr>
          <w:rFonts w:ascii="Calibri" w:hAnsi="Calibri" w:cs="Calibri"/>
          <w:b/>
          <w:lang w:eastAsia="en-US"/>
        </w:rPr>
        <w:t>4.1</w:t>
      </w:r>
      <w:r w:rsidR="007274B9">
        <w:rPr>
          <w:rFonts w:ascii="Calibri" w:hAnsi="Calibri" w:cs="Calibri"/>
          <w:b/>
          <w:lang w:eastAsia="en-US"/>
        </w:rPr>
        <w:t>6</w:t>
      </w:r>
      <w:r>
        <w:rPr>
          <w:rFonts w:ascii="Calibri" w:hAnsi="Calibri" w:cs="Calibri"/>
          <w:lang w:eastAsia="en-US"/>
        </w:rPr>
        <w:t xml:space="preserve"> </w:t>
      </w:r>
      <w:r w:rsidR="00580820" w:rsidRPr="00580820">
        <w:rPr>
          <w:rFonts w:ascii="Calibri" w:hAnsi="Calibri" w:cs="Calibri"/>
          <w:lang w:eastAsia="en-US"/>
        </w:rPr>
        <w:t xml:space="preserve">Za základní princip hodnocení </w:t>
      </w:r>
      <w:r w:rsidR="00661203">
        <w:rPr>
          <w:rFonts w:ascii="Calibri" w:hAnsi="Calibri" w:cs="Calibri"/>
          <w:lang w:eastAsia="en-US"/>
        </w:rPr>
        <w:t xml:space="preserve">cílů </w:t>
      </w:r>
      <w:r w:rsidR="00580820" w:rsidRPr="00580820">
        <w:rPr>
          <w:rFonts w:ascii="Calibri" w:hAnsi="Calibri" w:cs="Calibri"/>
          <w:lang w:eastAsia="en-US"/>
        </w:rPr>
        <w:t xml:space="preserve">zvolilo </w:t>
      </w:r>
      <w:r w:rsidR="00522595" w:rsidRPr="00580820">
        <w:rPr>
          <w:rFonts w:ascii="Calibri" w:hAnsi="Calibri" w:cs="Calibri"/>
          <w:lang w:eastAsia="en-US"/>
        </w:rPr>
        <w:t xml:space="preserve">MO </w:t>
      </w:r>
      <w:r w:rsidR="00580820" w:rsidRPr="00580820">
        <w:rPr>
          <w:rFonts w:ascii="Calibri" w:hAnsi="Calibri" w:cs="Calibri"/>
          <w:lang w:eastAsia="en-US"/>
        </w:rPr>
        <w:t>poměrovou analýzu vycházející ze skutečných a plánovaných počtů druhů techniky s nepřekročenou životností. Obměnu techniky vyjádřilo jako podíl skutečných počtů obměněné techniky v kusech vůči plánovaným počtům v návaznosti na platnou organizační strukturu</w:t>
      </w:r>
      <w:r w:rsidR="004632FE">
        <w:rPr>
          <w:rFonts w:ascii="Calibri" w:hAnsi="Calibri" w:cs="Calibri"/>
          <w:lang w:eastAsia="en-US"/>
        </w:rPr>
        <w:t>:</w:t>
      </w:r>
    </w:p>
    <w:p w14:paraId="75FEB2F7" w14:textId="77777777" w:rsidR="00580820" w:rsidRPr="00113003" w:rsidRDefault="00580820" w:rsidP="00E1333A">
      <w:pPr>
        <w:spacing w:before="120"/>
        <w:ind w:left="2272" w:firstLine="284"/>
        <w:jc w:val="both"/>
        <w:rPr>
          <w:rFonts w:ascii="Calibri" w:hAnsi="Calibri" w:cs="Calibri"/>
          <w:i/>
          <w:lang w:eastAsia="en-US"/>
        </w:rPr>
      </w:pPr>
      <w:r w:rsidRPr="00580820">
        <w:rPr>
          <w:rFonts w:ascii="Calibri" w:hAnsi="Calibri" w:cs="Calibri"/>
          <w:lang w:eastAsia="en-US"/>
        </w:rPr>
        <w:t xml:space="preserve">   </w:t>
      </w:r>
      <w:r w:rsidRPr="00113003">
        <w:rPr>
          <w:rFonts w:ascii="Calibri" w:hAnsi="Calibri" w:cs="Calibri"/>
          <w:i/>
          <w:lang w:eastAsia="en-US"/>
        </w:rPr>
        <w:t>Skutečné počty</w:t>
      </w:r>
    </w:p>
    <w:p w14:paraId="47249E93" w14:textId="77777777" w:rsidR="00580820" w:rsidRPr="00113003" w:rsidRDefault="004632FE" w:rsidP="00E1333A">
      <w:pPr>
        <w:spacing w:before="120"/>
        <w:jc w:val="both"/>
        <w:rPr>
          <w:rFonts w:ascii="Calibri" w:hAnsi="Calibri" w:cs="Calibri"/>
          <w:i/>
          <w:lang w:eastAsia="en-US"/>
        </w:rPr>
      </w:pPr>
      <w:r w:rsidRPr="00113003">
        <w:rPr>
          <w:rFonts w:ascii="Calibri" w:hAnsi="Calibri" w:cs="Calibri"/>
          <w:i/>
          <w:lang w:eastAsia="en-US"/>
        </w:rPr>
        <w:t xml:space="preserve">                 U</w:t>
      </w:r>
      <w:r w:rsidR="00580820" w:rsidRPr="00113003">
        <w:rPr>
          <w:rFonts w:ascii="Calibri" w:hAnsi="Calibri" w:cs="Calibri"/>
          <w:i/>
          <w:lang w:eastAsia="en-US"/>
        </w:rPr>
        <w:t>kazatel</w:t>
      </w:r>
      <w:r w:rsidR="00917998" w:rsidRPr="00113003">
        <w:rPr>
          <w:rStyle w:val="Znakapoznpodarou"/>
          <w:rFonts w:ascii="Calibri" w:hAnsi="Calibri" w:cs="Calibri"/>
          <w:i/>
          <w:lang w:eastAsia="en-US"/>
        </w:rPr>
        <w:footnoteReference w:id="38"/>
      </w:r>
      <w:r w:rsidR="00580820" w:rsidRPr="00113003">
        <w:rPr>
          <w:rFonts w:ascii="Calibri" w:hAnsi="Calibri" w:cs="Calibri"/>
          <w:i/>
          <w:lang w:eastAsia="en-US"/>
        </w:rPr>
        <w:t xml:space="preserve"> (v %) =   ----------------------- x 100</w:t>
      </w:r>
    </w:p>
    <w:p w14:paraId="62E43628" w14:textId="77777777" w:rsidR="00580820" w:rsidRPr="00113003" w:rsidRDefault="00580820" w:rsidP="00E1333A">
      <w:pPr>
        <w:spacing w:before="120"/>
        <w:ind w:left="2272" w:firstLine="284"/>
        <w:jc w:val="both"/>
        <w:rPr>
          <w:rFonts w:ascii="Calibri" w:hAnsi="Calibri" w:cs="Calibri"/>
          <w:lang w:eastAsia="en-US"/>
        </w:rPr>
      </w:pPr>
      <w:r w:rsidRPr="00113003">
        <w:rPr>
          <w:rFonts w:ascii="Calibri" w:hAnsi="Calibri" w:cs="Calibri"/>
          <w:i/>
          <w:lang w:eastAsia="en-US"/>
        </w:rPr>
        <w:t xml:space="preserve">  Plánované počty</w:t>
      </w:r>
    </w:p>
    <w:p w14:paraId="67FE84AE" w14:textId="7CECCB9F" w:rsidR="00EF4141" w:rsidRDefault="00F3069C" w:rsidP="00E1333A">
      <w:pPr>
        <w:spacing w:before="120"/>
        <w:jc w:val="both"/>
        <w:rPr>
          <w:rFonts w:ascii="Calibri" w:hAnsi="Calibri" w:cs="Calibri"/>
          <w:lang w:eastAsia="en-US"/>
        </w:rPr>
      </w:pPr>
      <w:r>
        <w:rPr>
          <w:rFonts w:ascii="Calibri" w:hAnsi="Calibri" w:cs="Calibri"/>
          <w:lang w:eastAsia="en-US"/>
        </w:rPr>
        <w:t>Ke</w:t>
      </w:r>
      <w:r w:rsidR="00223B2B" w:rsidRPr="00580820">
        <w:rPr>
          <w:rFonts w:ascii="Calibri" w:hAnsi="Calibri" w:cs="Calibri"/>
          <w:lang w:eastAsia="en-US"/>
        </w:rPr>
        <w:t xml:space="preserve"> stanovení </w:t>
      </w:r>
      <w:r w:rsidRPr="00C760A0">
        <w:rPr>
          <w:rFonts w:ascii="Calibri" w:hAnsi="Calibri" w:cs="Calibri"/>
          <w:lang w:eastAsia="en-US"/>
        </w:rPr>
        <w:t>„</w:t>
      </w:r>
      <w:r w:rsidR="00522595">
        <w:rPr>
          <w:rFonts w:ascii="Calibri" w:hAnsi="Calibri" w:cs="Calibri"/>
          <w:i/>
          <w:lang w:eastAsia="en-US"/>
        </w:rPr>
        <w:t>s</w:t>
      </w:r>
      <w:r>
        <w:rPr>
          <w:rFonts w:ascii="Calibri" w:hAnsi="Calibri" w:cs="Calibri"/>
          <w:i/>
          <w:lang w:eastAsia="en-US"/>
        </w:rPr>
        <w:t>kutečných počtů</w:t>
      </w:r>
      <w:r w:rsidRPr="00C760A0">
        <w:rPr>
          <w:rFonts w:ascii="Calibri" w:hAnsi="Calibri" w:cs="Calibri"/>
          <w:lang w:eastAsia="en-US"/>
        </w:rPr>
        <w:t>“</w:t>
      </w:r>
      <w:r>
        <w:rPr>
          <w:rFonts w:ascii="Calibri" w:hAnsi="Calibri" w:cs="Calibri"/>
          <w:i/>
          <w:lang w:eastAsia="en-US"/>
        </w:rPr>
        <w:t xml:space="preserve"> </w:t>
      </w:r>
      <w:r>
        <w:rPr>
          <w:rFonts w:ascii="Calibri" w:hAnsi="Calibri" w:cs="Calibri"/>
          <w:lang w:eastAsia="en-US"/>
        </w:rPr>
        <w:t>a</w:t>
      </w:r>
      <w:r>
        <w:rPr>
          <w:rFonts w:ascii="Calibri" w:hAnsi="Calibri" w:cs="Calibri"/>
          <w:i/>
          <w:lang w:eastAsia="en-US"/>
        </w:rPr>
        <w:t xml:space="preserve"> </w:t>
      </w:r>
      <w:r w:rsidRPr="00C760A0">
        <w:rPr>
          <w:rFonts w:ascii="Calibri" w:hAnsi="Calibri" w:cs="Calibri"/>
          <w:lang w:eastAsia="en-US"/>
        </w:rPr>
        <w:t>„</w:t>
      </w:r>
      <w:r w:rsidR="00522595">
        <w:rPr>
          <w:rFonts w:ascii="Calibri" w:hAnsi="Calibri" w:cs="Calibri"/>
          <w:i/>
          <w:lang w:eastAsia="en-US"/>
        </w:rPr>
        <w:t>p</w:t>
      </w:r>
      <w:r>
        <w:rPr>
          <w:rFonts w:ascii="Calibri" w:hAnsi="Calibri" w:cs="Calibri"/>
          <w:i/>
          <w:lang w:eastAsia="en-US"/>
        </w:rPr>
        <w:t>lánovaných počtů</w:t>
      </w:r>
      <w:r w:rsidRPr="00C760A0">
        <w:rPr>
          <w:rFonts w:ascii="Calibri" w:hAnsi="Calibri" w:cs="Calibri"/>
          <w:lang w:eastAsia="en-US"/>
        </w:rPr>
        <w:t>“</w:t>
      </w:r>
      <w:r>
        <w:rPr>
          <w:rFonts w:ascii="Calibri" w:hAnsi="Calibri" w:cs="Calibri"/>
          <w:i/>
          <w:lang w:eastAsia="en-US"/>
        </w:rPr>
        <w:t xml:space="preserve"> </w:t>
      </w:r>
      <w:r w:rsidR="00522595">
        <w:rPr>
          <w:rFonts w:ascii="Calibri" w:hAnsi="Calibri" w:cs="Calibri"/>
          <w:lang w:eastAsia="en-US"/>
        </w:rPr>
        <w:t xml:space="preserve">uvedlo </w:t>
      </w:r>
      <w:r w:rsidR="00DB39AE">
        <w:rPr>
          <w:rFonts w:ascii="Calibri" w:hAnsi="Calibri" w:cs="Calibri"/>
          <w:lang w:eastAsia="en-US"/>
        </w:rPr>
        <w:t xml:space="preserve">MO v dokumentaci programu </w:t>
      </w:r>
      <w:r w:rsidR="00661203">
        <w:rPr>
          <w:rFonts w:ascii="Calibri" w:hAnsi="Calibri" w:cs="Calibri"/>
          <w:lang w:eastAsia="en-US"/>
        </w:rPr>
        <w:t xml:space="preserve">107 690 </w:t>
      </w:r>
      <w:r w:rsidR="00310A64">
        <w:rPr>
          <w:rFonts w:ascii="Calibri" w:hAnsi="Calibri" w:cs="Calibri"/>
          <w:lang w:eastAsia="en-US"/>
        </w:rPr>
        <w:t>pouze</w:t>
      </w:r>
      <w:r w:rsidR="00522595">
        <w:rPr>
          <w:rFonts w:ascii="Calibri" w:hAnsi="Calibri" w:cs="Calibri"/>
          <w:lang w:eastAsia="en-US"/>
        </w:rPr>
        <w:t xml:space="preserve"> to</w:t>
      </w:r>
      <w:r w:rsidR="00DB39AE">
        <w:rPr>
          <w:rFonts w:ascii="Calibri" w:hAnsi="Calibri" w:cs="Calibri"/>
          <w:lang w:eastAsia="en-US"/>
        </w:rPr>
        <w:t xml:space="preserve">, že </w:t>
      </w:r>
      <w:r w:rsidR="00223B2B" w:rsidRPr="00580820">
        <w:rPr>
          <w:rFonts w:ascii="Calibri" w:hAnsi="Calibri" w:cs="Calibri"/>
          <w:lang w:eastAsia="en-US"/>
        </w:rPr>
        <w:t>po ukončení realizace programu</w:t>
      </w:r>
      <w:r w:rsidR="00DB39AE">
        <w:rPr>
          <w:rFonts w:ascii="Calibri" w:hAnsi="Calibri" w:cs="Calibri"/>
          <w:lang w:eastAsia="en-US"/>
        </w:rPr>
        <w:t xml:space="preserve"> mají být čerpány</w:t>
      </w:r>
      <w:r w:rsidR="00223B2B" w:rsidRPr="00580820">
        <w:rPr>
          <w:rFonts w:ascii="Calibri" w:hAnsi="Calibri" w:cs="Calibri"/>
          <w:lang w:eastAsia="en-US"/>
        </w:rPr>
        <w:t xml:space="preserve"> z</w:t>
      </w:r>
      <w:r w:rsidR="00223B2B">
        <w:rPr>
          <w:rFonts w:ascii="Calibri" w:hAnsi="Calibri" w:cs="Calibri"/>
          <w:lang w:eastAsia="en-US"/>
        </w:rPr>
        <w:t> informačních systémů MO</w:t>
      </w:r>
      <w:r w:rsidR="00223B2B" w:rsidRPr="00580820">
        <w:rPr>
          <w:rFonts w:ascii="Calibri" w:hAnsi="Calibri" w:cs="Calibri"/>
          <w:lang w:eastAsia="en-US"/>
        </w:rPr>
        <w:t>.</w:t>
      </w:r>
    </w:p>
    <w:p w14:paraId="2A34F37C" w14:textId="51DB9018" w:rsidR="00F254B3" w:rsidRDefault="0092429F" w:rsidP="00825901">
      <w:pPr>
        <w:spacing w:before="120" w:after="240"/>
        <w:jc w:val="both"/>
        <w:rPr>
          <w:rFonts w:asciiTheme="minorHAnsi" w:hAnsiTheme="minorHAnsi" w:cstheme="minorHAnsi"/>
        </w:rPr>
      </w:pPr>
      <w:r w:rsidRPr="004632FE">
        <w:rPr>
          <w:rFonts w:ascii="Calibri" w:hAnsi="Calibri" w:cs="Calibri"/>
          <w:b/>
          <w:lang w:eastAsia="en-US"/>
        </w:rPr>
        <w:t>4.</w:t>
      </w:r>
      <w:r w:rsidRPr="00F3069C">
        <w:rPr>
          <w:rFonts w:ascii="Calibri" w:hAnsi="Calibri" w:cs="Calibri"/>
          <w:b/>
          <w:lang w:eastAsia="en-US"/>
        </w:rPr>
        <w:t>1</w:t>
      </w:r>
      <w:r w:rsidR="007274B9">
        <w:rPr>
          <w:rFonts w:ascii="Calibri" w:hAnsi="Calibri" w:cs="Calibri"/>
          <w:b/>
          <w:lang w:eastAsia="en-US"/>
        </w:rPr>
        <w:t>7</w:t>
      </w:r>
      <w:r w:rsidR="00223B2B" w:rsidRPr="00F3069C">
        <w:rPr>
          <w:rFonts w:ascii="Calibri" w:hAnsi="Calibri" w:cs="Calibri"/>
          <w:b/>
          <w:lang w:eastAsia="en-US"/>
        </w:rPr>
        <w:t xml:space="preserve"> </w:t>
      </w:r>
      <w:r w:rsidR="00E1333A" w:rsidRPr="00F3069C">
        <w:rPr>
          <w:rFonts w:ascii="Calibri" w:hAnsi="Calibri" w:cs="Calibri"/>
          <w:lang w:eastAsia="en-US"/>
        </w:rPr>
        <w:t xml:space="preserve">MO </w:t>
      </w:r>
      <w:r w:rsidR="002A7252" w:rsidRPr="00F3069C">
        <w:rPr>
          <w:rFonts w:ascii="Calibri" w:hAnsi="Calibri" w:cs="Calibri"/>
          <w:lang w:eastAsia="en-US"/>
        </w:rPr>
        <w:t xml:space="preserve">v podprogramu </w:t>
      </w:r>
      <w:r w:rsidR="00132440">
        <w:rPr>
          <w:rFonts w:ascii="Calibri" w:hAnsi="Calibri" w:cs="Calibri"/>
          <w:lang w:eastAsia="en-US"/>
        </w:rPr>
        <w:t xml:space="preserve">107 691 </w:t>
      </w:r>
      <w:r w:rsidR="00E1333A" w:rsidRPr="00F3069C">
        <w:rPr>
          <w:rFonts w:ascii="Calibri" w:hAnsi="Calibri" w:cs="Calibri"/>
          <w:lang w:eastAsia="en-US"/>
        </w:rPr>
        <w:t>nastavilo</w:t>
      </w:r>
      <w:r w:rsidR="002A7252" w:rsidRPr="00F3069C">
        <w:rPr>
          <w:rFonts w:ascii="Calibri" w:hAnsi="Calibri" w:cs="Calibri"/>
          <w:lang w:eastAsia="en-US"/>
        </w:rPr>
        <w:t xml:space="preserve"> ukazatele</w:t>
      </w:r>
      <w:r w:rsidR="00E1333A" w:rsidRPr="00F3069C">
        <w:rPr>
          <w:rFonts w:ascii="Calibri" w:hAnsi="Calibri" w:cs="Calibri"/>
          <w:lang w:eastAsia="en-US"/>
        </w:rPr>
        <w:t xml:space="preserve"> pouze pro vybrané druhy pořizované techniky. </w:t>
      </w:r>
      <w:r w:rsidR="00661203" w:rsidRPr="00F3069C">
        <w:rPr>
          <w:rFonts w:ascii="Calibri" w:hAnsi="Calibri" w:cs="Calibri"/>
          <w:lang w:eastAsia="en-US"/>
        </w:rPr>
        <w:t xml:space="preserve">Ukazatele mají vyjadřovat kritéria pro hodnocení </w:t>
      </w:r>
      <w:r w:rsidR="00661203" w:rsidRPr="00F3069C">
        <w:rPr>
          <w:rFonts w:asciiTheme="minorHAnsi" w:hAnsiTheme="minorHAnsi" w:cstheme="minorHAnsi"/>
        </w:rPr>
        <w:t xml:space="preserve">naplnění cílů podprogramu, a tedy efektu jeho realizace. </w:t>
      </w:r>
      <w:r w:rsidR="00132440">
        <w:rPr>
          <w:rFonts w:asciiTheme="minorHAnsi" w:hAnsiTheme="minorHAnsi" w:cstheme="minorHAnsi"/>
        </w:rPr>
        <w:t xml:space="preserve">NKÚ zjistil, že </w:t>
      </w:r>
      <w:r w:rsidR="006B1EE5" w:rsidRPr="00F3069C">
        <w:rPr>
          <w:rFonts w:asciiTheme="minorHAnsi" w:hAnsiTheme="minorHAnsi" w:cstheme="minorHAnsi"/>
        </w:rPr>
        <w:t xml:space="preserve">MO </w:t>
      </w:r>
      <w:r w:rsidR="006B1EE5">
        <w:rPr>
          <w:rFonts w:asciiTheme="minorHAnsi" w:hAnsiTheme="minorHAnsi" w:cstheme="minorHAnsi"/>
        </w:rPr>
        <w:t xml:space="preserve">stanovilo </w:t>
      </w:r>
      <w:r w:rsidR="00132440">
        <w:rPr>
          <w:rFonts w:asciiTheme="minorHAnsi" w:hAnsiTheme="minorHAnsi" w:cstheme="minorHAnsi"/>
        </w:rPr>
        <w:t>h</w:t>
      </w:r>
      <w:r w:rsidR="00661203" w:rsidRPr="00F3069C">
        <w:rPr>
          <w:rFonts w:asciiTheme="minorHAnsi" w:hAnsiTheme="minorHAnsi" w:cstheme="minorHAnsi"/>
        </w:rPr>
        <w:t xml:space="preserve">odnoty ukazatelů </w:t>
      </w:r>
      <w:r w:rsidR="005208BA">
        <w:rPr>
          <w:rFonts w:asciiTheme="minorHAnsi" w:hAnsiTheme="minorHAnsi" w:cstheme="minorHAnsi"/>
        </w:rPr>
        <w:t>pouze</w:t>
      </w:r>
      <w:r w:rsidR="00661203" w:rsidRPr="00F3069C">
        <w:rPr>
          <w:rFonts w:asciiTheme="minorHAnsi" w:hAnsiTheme="minorHAnsi" w:cstheme="minorHAnsi"/>
        </w:rPr>
        <w:t xml:space="preserve"> v</w:t>
      </w:r>
      <w:r w:rsidR="00516259">
        <w:rPr>
          <w:rFonts w:asciiTheme="minorHAnsi" w:hAnsiTheme="minorHAnsi" w:cstheme="minorHAnsi"/>
        </w:rPr>
        <w:t xml:space="preserve"> procentech</w:t>
      </w:r>
      <w:r w:rsidR="005208BA">
        <w:rPr>
          <w:rFonts w:asciiTheme="minorHAnsi" w:hAnsiTheme="minorHAnsi" w:cstheme="minorHAnsi"/>
        </w:rPr>
        <w:t xml:space="preserve"> a</w:t>
      </w:r>
      <w:r w:rsidR="00516259">
        <w:rPr>
          <w:rFonts w:asciiTheme="minorHAnsi" w:hAnsiTheme="minorHAnsi" w:cstheme="minorHAnsi"/>
        </w:rPr>
        <w:t> </w:t>
      </w:r>
      <w:r w:rsidR="005208BA">
        <w:rPr>
          <w:rFonts w:asciiTheme="minorHAnsi" w:hAnsiTheme="minorHAnsi" w:cstheme="minorHAnsi"/>
        </w:rPr>
        <w:t xml:space="preserve">neuvedlo </w:t>
      </w:r>
      <w:r w:rsidR="00310A64">
        <w:rPr>
          <w:rFonts w:asciiTheme="minorHAnsi" w:hAnsiTheme="minorHAnsi" w:cstheme="minorHAnsi"/>
        </w:rPr>
        <w:t>žádné</w:t>
      </w:r>
      <w:r w:rsidR="005208BA">
        <w:rPr>
          <w:rFonts w:asciiTheme="minorHAnsi" w:hAnsiTheme="minorHAnsi" w:cstheme="minorHAnsi"/>
        </w:rPr>
        <w:t xml:space="preserve"> </w:t>
      </w:r>
      <w:r w:rsidR="00661203" w:rsidRPr="00F3069C">
        <w:rPr>
          <w:rFonts w:asciiTheme="minorHAnsi" w:hAnsiTheme="minorHAnsi" w:cstheme="minorHAnsi"/>
        </w:rPr>
        <w:t>konkrétní výchozí a</w:t>
      </w:r>
      <w:r w:rsidR="00310A64">
        <w:rPr>
          <w:rFonts w:asciiTheme="minorHAnsi" w:hAnsiTheme="minorHAnsi" w:cstheme="minorHAnsi"/>
        </w:rPr>
        <w:t>ni</w:t>
      </w:r>
      <w:r w:rsidR="006B1EE5">
        <w:rPr>
          <w:rFonts w:asciiTheme="minorHAnsi" w:hAnsiTheme="minorHAnsi" w:cstheme="minorHAnsi"/>
        </w:rPr>
        <w:t xml:space="preserve"> </w:t>
      </w:r>
      <w:r w:rsidR="00661203" w:rsidRPr="00F3069C">
        <w:rPr>
          <w:rFonts w:asciiTheme="minorHAnsi" w:hAnsiTheme="minorHAnsi" w:cstheme="minorHAnsi"/>
        </w:rPr>
        <w:t>cílov</w:t>
      </w:r>
      <w:r w:rsidR="005208BA">
        <w:rPr>
          <w:rFonts w:asciiTheme="minorHAnsi" w:hAnsiTheme="minorHAnsi" w:cstheme="minorHAnsi"/>
        </w:rPr>
        <w:t>é</w:t>
      </w:r>
      <w:r w:rsidR="00661203" w:rsidRPr="00F3069C">
        <w:rPr>
          <w:rFonts w:asciiTheme="minorHAnsi" w:hAnsiTheme="minorHAnsi" w:cstheme="minorHAnsi"/>
        </w:rPr>
        <w:t xml:space="preserve"> počt</w:t>
      </w:r>
      <w:r w:rsidR="005208BA">
        <w:rPr>
          <w:rFonts w:asciiTheme="minorHAnsi" w:hAnsiTheme="minorHAnsi" w:cstheme="minorHAnsi"/>
        </w:rPr>
        <w:t>y</w:t>
      </w:r>
      <w:r w:rsidR="00661203" w:rsidRPr="00F3069C">
        <w:rPr>
          <w:rFonts w:asciiTheme="minorHAnsi" w:hAnsiTheme="minorHAnsi" w:cstheme="minorHAnsi"/>
        </w:rPr>
        <w:t xml:space="preserve"> techniky</w:t>
      </w:r>
      <w:r w:rsidR="00F3069C" w:rsidRPr="00F3069C">
        <w:rPr>
          <w:rFonts w:asciiTheme="minorHAnsi" w:hAnsiTheme="minorHAnsi" w:cstheme="minorHAnsi"/>
        </w:rPr>
        <w:t xml:space="preserve"> </w:t>
      </w:r>
      <w:r w:rsidR="00D972E8" w:rsidRPr="00F3069C">
        <w:rPr>
          <w:rFonts w:asciiTheme="minorHAnsi" w:hAnsiTheme="minorHAnsi" w:cstheme="minorHAnsi"/>
        </w:rPr>
        <w:t>(viz příklad č. 2)</w:t>
      </w:r>
      <w:r w:rsidR="00661203" w:rsidRPr="00F3069C">
        <w:rPr>
          <w:rFonts w:asciiTheme="minorHAnsi" w:hAnsiTheme="minorHAnsi" w:cstheme="minorHAnsi"/>
        </w:rPr>
        <w:t xml:space="preserve">. </w:t>
      </w:r>
      <w:r w:rsidR="005208BA" w:rsidRPr="00132440">
        <w:rPr>
          <w:rFonts w:asciiTheme="minorHAnsi" w:hAnsiTheme="minorHAnsi" w:cstheme="minorHAnsi"/>
        </w:rPr>
        <w:t>Porovn</w:t>
      </w:r>
      <w:r w:rsidR="00132440">
        <w:rPr>
          <w:rFonts w:asciiTheme="minorHAnsi" w:hAnsiTheme="minorHAnsi" w:cstheme="minorHAnsi"/>
        </w:rPr>
        <w:t>ání</w:t>
      </w:r>
      <w:r w:rsidR="005208BA" w:rsidRPr="00132440">
        <w:rPr>
          <w:rFonts w:asciiTheme="minorHAnsi" w:hAnsiTheme="minorHAnsi" w:cstheme="minorHAnsi"/>
        </w:rPr>
        <w:t xml:space="preserve"> hodnot ukazatelů nevypovídá o skutečném měřitelném efektu realizace podprogramu</w:t>
      </w:r>
      <w:r w:rsidR="005208BA" w:rsidRPr="00132440">
        <w:rPr>
          <w:rFonts w:ascii="Calibri" w:hAnsi="Calibri" w:cs="Calibri"/>
        </w:rPr>
        <w:t>, resp.</w:t>
      </w:r>
      <w:r w:rsidR="00516259">
        <w:rPr>
          <w:rFonts w:ascii="Calibri" w:hAnsi="Calibri" w:cs="Calibri"/>
        </w:rPr>
        <w:t> </w:t>
      </w:r>
      <w:r w:rsidR="005208BA" w:rsidRPr="00132440">
        <w:rPr>
          <w:rFonts w:ascii="Calibri" w:hAnsi="Calibri" w:cs="Calibri"/>
        </w:rPr>
        <w:t xml:space="preserve">programu </w:t>
      </w:r>
      <w:r w:rsidR="005208BA" w:rsidRPr="00132440">
        <w:rPr>
          <w:rFonts w:ascii="Calibri" w:hAnsi="Calibri" w:cs="Calibri"/>
          <w:lang w:eastAsia="en-US"/>
        </w:rPr>
        <w:t xml:space="preserve">107 690. </w:t>
      </w:r>
      <w:r w:rsidR="00F3069C" w:rsidRPr="00132440">
        <w:rPr>
          <w:rFonts w:asciiTheme="minorHAnsi" w:hAnsiTheme="minorHAnsi" w:cstheme="minorHAnsi"/>
        </w:rPr>
        <w:t xml:space="preserve">MO tak </w:t>
      </w:r>
      <w:r w:rsidR="005208BA" w:rsidRPr="00132440">
        <w:rPr>
          <w:rFonts w:asciiTheme="minorHAnsi" w:hAnsiTheme="minorHAnsi" w:cstheme="minorHAnsi"/>
        </w:rPr>
        <w:t>nemůže</w:t>
      </w:r>
      <w:r w:rsidR="00F3069C" w:rsidRPr="00132440">
        <w:rPr>
          <w:rFonts w:asciiTheme="minorHAnsi" w:hAnsiTheme="minorHAnsi" w:cstheme="minorHAnsi"/>
        </w:rPr>
        <w:t xml:space="preserve"> sledovat pokrok </w:t>
      </w:r>
      <w:r w:rsidR="005208BA" w:rsidRPr="00132440">
        <w:rPr>
          <w:rFonts w:asciiTheme="minorHAnsi" w:hAnsiTheme="minorHAnsi" w:cstheme="minorHAnsi"/>
        </w:rPr>
        <w:t>při</w:t>
      </w:r>
      <w:r w:rsidR="006B1EE5">
        <w:rPr>
          <w:rFonts w:asciiTheme="minorHAnsi" w:hAnsiTheme="minorHAnsi" w:cstheme="minorHAnsi"/>
        </w:rPr>
        <w:t xml:space="preserve"> </w:t>
      </w:r>
      <w:r w:rsidR="005208BA" w:rsidRPr="00132440">
        <w:rPr>
          <w:rFonts w:asciiTheme="minorHAnsi" w:hAnsiTheme="minorHAnsi" w:cstheme="minorHAnsi"/>
        </w:rPr>
        <w:t>realizaci pod</w:t>
      </w:r>
      <w:r w:rsidR="00F3069C" w:rsidRPr="00132440">
        <w:rPr>
          <w:rFonts w:asciiTheme="minorHAnsi" w:hAnsiTheme="minorHAnsi" w:cstheme="minorHAnsi"/>
        </w:rPr>
        <w:t>program</w:t>
      </w:r>
      <w:r w:rsidR="005208BA" w:rsidRPr="00132440">
        <w:rPr>
          <w:rFonts w:asciiTheme="minorHAnsi" w:hAnsiTheme="minorHAnsi" w:cstheme="minorHAnsi"/>
        </w:rPr>
        <w:t>u</w:t>
      </w:r>
      <w:r w:rsidR="00F3069C" w:rsidRPr="00132440">
        <w:rPr>
          <w:rFonts w:asciiTheme="minorHAnsi" w:hAnsiTheme="minorHAnsi" w:cstheme="minorHAnsi"/>
        </w:rPr>
        <w:t xml:space="preserve"> a </w:t>
      </w:r>
      <w:r w:rsidR="002E3DDA" w:rsidRPr="00132440">
        <w:rPr>
          <w:rFonts w:asciiTheme="minorHAnsi" w:hAnsiTheme="minorHAnsi" w:cstheme="minorHAnsi"/>
        </w:rPr>
        <w:t xml:space="preserve">po </w:t>
      </w:r>
      <w:r w:rsidR="00132440" w:rsidRPr="00132440">
        <w:rPr>
          <w:rFonts w:asciiTheme="minorHAnsi" w:hAnsiTheme="minorHAnsi" w:cstheme="minorHAnsi"/>
        </w:rPr>
        <w:t xml:space="preserve">jeho </w:t>
      </w:r>
      <w:r w:rsidR="002E3DDA" w:rsidRPr="00132440">
        <w:rPr>
          <w:rFonts w:asciiTheme="minorHAnsi" w:hAnsiTheme="minorHAnsi" w:cstheme="minorHAnsi"/>
        </w:rPr>
        <w:t xml:space="preserve">ukončení nebude schopno </w:t>
      </w:r>
      <w:r w:rsidR="005208BA" w:rsidRPr="00132440">
        <w:rPr>
          <w:rFonts w:asciiTheme="minorHAnsi" w:hAnsiTheme="minorHAnsi" w:cstheme="minorHAnsi"/>
        </w:rPr>
        <w:t>pod</w:t>
      </w:r>
      <w:r w:rsidR="00F3069C" w:rsidRPr="00132440">
        <w:rPr>
          <w:rFonts w:asciiTheme="minorHAnsi" w:hAnsiTheme="minorHAnsi" w:cstheme="minorHAnsi"/>
        </w:rPr>
        <w:t>program</w:t>
      </w:r>
      <w:r w:rsidR="00310A64" w:rsidRPr="00132440">
        <w:rPr>
          <w:rFonts w:asciiTheme="minorHAnsi" w:hAnsiTheme="minorHAnsi" w:cstheme="minorHAnsi"/>
        </w:rPr>
        <w:t>, resp.</w:t>
      </w:r>
      <w:r w:rsidR="005208BA" w:rsidRPr="00132440">
        <w:rPr>
          <w:rFonts w:asciiTheme="minorHAnsi" w:hAnsiTheme="minorHAnsi" w:cstheme="minorHAnsi"/>
        </w:rPr>
        <w:t xml:space="preserve"> program </w:t>
      </w:r>
      <w:r w:rsidR="00F3069C" w:rsidRPr="00132440">
        <w:rPr>
          <w:rFonts w:asciiTheme="minorHAnsi" w:hAnsiTheme="minorHAnsi" w:cstheme="minorHAnsi"/>
        </w:rPr>
        <w:t>vyhodnotit.</w:t>
      </w:r>
    </w:p>
    <w:p w14:paraId="0342FA70" w14:textId="77777777" w:rsidR="00F254B3" w:rsidRDefault="00F254B3">
      <w:pPr>
        <w:rPr>
          <w:rFonts w:asciiTheme="minorHAnsi" w:hAnsiTheme="minorHAnsi" w:cstheme="minorHAnsi"/>
        </w:rPr>
      </w:pPr>
      <w:r>
        <w:rPr>
          <w:rFonts w:asciiTheme="minorHAnsi" w:hAnsiTheme="minorHAnsi" w:cstheme="minorHAnsi"/>
        </w:rPr>
        <w:br w:type="page"/>
      </w:r>
    </w:p>
    <w:p w14:paraId="4C6DA194" w14:textId="77777777" w:rsidR="00245F55" w:rsidRDefault="00245F55" w:rsidP="007B1941">
      <w:pPr>
        <w:pBdr>
          <w:top w:val="single" w:sz="12" w:space="1" w:color="004595"/>
          <w:left w:val="single" w:sz="12" w:space="0" w:color="004595"/>
          <w:bottom w:val="single" w:sz="12" w:space="1" w:color="004595"/>
          <w:right w:val="single" w:sz="12" w:space="4" w:color="004595"/>
        </w:pBdr>
        <w:rPr>
          <w:rFonts w:asciiTheme="minorHAnsi" w:hAnsiTheme="minorHAnsi" w:cstheme="minorHAnsi"/>
          <w:b/>
          <w:i/>
        </w:rPr>
      </w:pPr>
      <w:r w:rsidRPr="001C56EA">
        <w:rPr>
          <w:rFonts w:asciiTheme="minorHAnsi" w:hAnsiTheme="minorHAnsi" w:cstheme="minorHAnsi"/>
          <w:b/>
          <w:i/>
        </w:rPr>
        <w:lastRenderedPageBreak/>
        <w:t xml:space="preserve">Příklad č. </w:t>
      </w:r>
      <w:r>
        <w:rPr>
          <w:rFonts w:asciiTheme="minorHAnsi" w:hAnsiTheme="minorHAnsi" w:cstheme="minorHAnsi"/>
          <w:b/>
          <w:i/>
        </w:rPr>
        <w:t>2</w:t>
      </w:r>
    </w:p>
    <w:p w14:paraId="24DC9A30" w14:textId="79725433" w:rsidR="00245F55" w:rsidRDefault="00BF0363" w:rsidP="007B1941">
      <w:pPr>
        <w:pBdr>
          <w:top w:val="single" w:sz="12" w:space="1" w:color="004595"/>
          <w:left w:val="single" w:sz="12" w:space="0" w:color="004595"/>
          <w:bottom w:val="single" w:sz="12" w:space="1" w:color="004595"/>
          <w:right w:val="single" w:sz="12" w:space="4" w:color="004595"/>
        </w:pBdr>
        <w:jc w:val="both"/>
        <w:rPr>
          <w:rFonts w:asciiTheme="minorHAnsi" w:hAnsiTheme="minorHAnsi" w:cstheme="minorHAnsi"/>
          <w:i/>
        </w:rPr>
      </w:pPr>
      <w:r w:rsidRPr="004F06BD">
        <w:rPr>
          <w:rFonts w:asciiTheme="minorHAnsi" w:hAnsiTheme="minorHAnsi" w:cstheme="minorHAnsi"/>
          <w:i/>
        </w:rPr>
        <w:t>V dokumentaci programu</w:t>
      </w:r>
      <w:r w:rsidRPr="00FA5A3D">
        <w:rPr>
          <w:rFonts w:asciiTheme="minorHAnsi" w:hAnsiTheme="minorHAnsi" w:cstheme="minorHAnsi"/>
          <w:i/>
        </w:rPr>
        <w:t xml:space="preserve"> </w:t>
      </w:r>
      <w:r w:rsidR="00DC5C8A">
        <w:rPr>
          <w:rFonts w:asciiTheme="minorHAnsi" w:hAnsiTheme="minorHAnsi" w:cstheme="minorHAnsi"/>
          <w:i/>
        </w:rPr>
        <w:t xml:space="preserve">stanovilo </w:t>
      </w:r>
      <w:r w:rsidR="004F06BD">
        <w:rPr>
          <w:rFonts w:asciiTheme="minorHAnsi" w:hAnsiTheme="minorHAnsi" w:cstheme="minorHAnsi"/>
          <w:i/>
        </w:rPr>
        <w:t xml:space="preserve">MO </w:t>
      </w:r>
      <w:r w:rsidRPr="00FA5A3D">
        <w:rPr>
          <w:rFonts w:asciiTheme="minorHAnsi" w:hAnsiTheme="minorHAnsi" w:cstheme="minorHAnsi"/>
          <w:i/>
        </w:rPr>
        <w:t xml:space="preserve">pro cíl č. 1 </w:t>
      </w:r>
      <w:r w:rsidR="004F06BD">
        <w:rPr>
          <w:rFonts w:asciiTheme="minorHAnsi" w:hAnsiTheme="minorHAnsi" w:cstheme="minorHAnsi"/>
          <w:i/>
        </w:rPr>
        <w:t>(„d</w:t>
      </w:r>
      <w:r w:rsidR="00FA5A3D" w:rsidRPr="00FA5A3D">
        <w:rPr>
          <w:rFonts w:asciiTheme="minorHAnsi" w:hAnsiTheme="minorHAnsi" w:cstheme="minorHAnsi"/>
          <w:i/>
        </w:rPr>
        <w:t>opravní zabezpečení úkolů ozbrojených sil ČR materiálem a prostředky</w:t>
      </w:r>
      <w:r w:rsidR="004F06BD">
        <w:rPr>
          <w:rFonts w:asciiTheme="minorHAnsi" w:hAnsiTheme="minorHAnsi" w:cstheme="minorHAnsi"/>
          <w:i/>
        </w:rPr>
        <w:t>“)</w:t>
      </w:r>
      <w:r w:rsidR="00FA5A3D">
        <w:rPr>
          <w:rFonts w:asciiTheme="minorHAnsi" w:hAnsiTheme="minorHAnsi" w:cstheme="minorHAnsi"/>
          <w:i/>
        </w:rPr>
        <w:t xml:space="preserve"> </w:t>
      </w:r>
      <w:r w:rsidR="004F06BD">
        <w:rPr>
          <w:rFonts w:asciiTheme="minorHAnsi" w:hAnsiTheme="minorHAnsi" w:cstheme="minorHAnsi"/>
          <w:i/>
        </w:rPr>
        <w:t>mimo jiné</w:t>
      </w:r>
      <w:r w:rsidR="00CD1AD7">
        <w:rPr>
          <w:rFonts w:asciiTheme="minorHAnsi" w:hAnsiTheme="minorHAnsi" w:cstheme="minorHAnsi"/>
          <w:i/>
        </w:rPr>
        <w:t xml:space="preserve"> ukazatel</w:t>
      </w:r>
      <w:r w:rsidR="00FA5A3D">
        <w:rPr>
          <w:rFonts w:asciiTheme="minorHAnsi" w:hAnsiTheme="minorHAnsi" w:cstheme="minorHAnsi"/>
          <w:i/>
        </w:rPr>
        <w:t xml:space="preserve"> „</w:t>
      </w:r>
      <w:r w:rsidR="004F06BD">
        <w:rPr>
          <w:rFonts w:asciiTheme="minorHAnsi" w:hAnsiTheme="minorHAnsi" w:cstheme="minorHAnsi"/>
          <w:i/>
        </w:rPr>
        <w:t>p</w:t>
      </w:r>
      <w:r w:rsidR="00FA5A3D" w:rsidRPr="00FA5A3D">
        <w:rPr>
          <w:rFonts w:asciiTheme="minorHAnsi" w:hAnsiTheme="minorHAnsi" w:cstheme="minorHAnsi"/>
          <w:i/>
        </w:rPr>
        <w:t xml:space="preserve">lnit legislativní podmínky pro provoz vozidel v kategorii M1 a udržet jejich stáří pod hranicí </w:t>
      </w:r>
      <w:r w:rsidR="00FA5A3D">
        <w:rPr>
          <w:rFonts w:asciiTheme="minorHAnsi" w:hAnsiTheme="minorHAnsi" w:cstheme="minorHAnsi"/>
          <w:i/>
        </w:rPr>
        <w:t>osmi</w:t>
      </w:r>
      <w:r w:rsidR="00FA5A3D" w:rsidRPr="00FA5A3D">
        <w:rPr>
          <w:rFonts w:asciiTheme="minorHAnsi" w:hAnsiTheme="minorHAnsi" w:cstheme="minorHAnsi"/>
          <w:i/>
        </w:rPr>
        <w:t xml:space="preserve"> let</w:t>
      </w:r>
      <w:r w:rsidR="00661203">
        <w:rPr>
          <w:rFonts w:asciiTheme="minorHAnsi" w:hAnsiTheme="minorHAnsi" w:cstheme="minorHAnsi"/>
          <w:i/>
        </w:rPr>
        <w:t>“</w:t>
      </w:r>
      <w:r w:rsidR="004F06BD">
        <w:rPr>
          <w:rFonts w:asciiTheme="minorHAnsi" w:hAnsiTheme="minorHAnsi" w:cstheme="minorHAnsi"/>
          <w:i/>
        </w:rPr>
        <w:t>.</w:t>
      </w:r>
      <w:r w:rsidR="00FA5A3D" w:rsidRPr="00FA5A3D">
        <w:rPr>
          <w:rFonts w:asciiTheme="minorHAnsi" w:hAnsiTheme="minorHAnsi" w:cstheme="minorHAnsi"/>
          <w:i/>
        </w:rPr>
        <w:t xml:space="preserve"> Výchozí hodnota ukazatele 39</w:t>
      </w:r>
      <w:r w:rsidR="004F06BD">
        <w:rPr>
          <w:rFonts w:asciiTheme="minorHAnsi" w:hAnsiTheme="minorHAnsi" w:cstheme="minorHAnsi"/>
          <w:i/>
        </w:rPr>
        <w:t> </w:t>
      </w:r>
      <w:r w:rsidR="00FA5A3D" w:rsidRPr="00FA5A3D">
        <w:rPr>
          <w:rFonts w:asciiTheme="minorHAnsi" w:hAnsiTheme="minorHAnsi" w:cstheme="minorHAnsi"/>
          <w:i/>
        </w:rPr>
        <w:t xml:space="preserve">% </w:t>
      </w:r>
      <w:r w:rsidR="00661203">
        <w:rPr>
          <w:rFonts w:asciiTheme="minorHAnsi" w:hAnsiTheme="minorHAnsi" w:cstheme="minorHAnsi"/>
          <w:i/>
        </w:rPr>
        <w:t>má být</w:t>
      </w:r>
      <w:r w:rsidR="00FA5A3D" w:rsidRPr="00FA5A3D">
        <w:rPr>
          <w:rFonts w:asciiTheme="minorHAnsi" w:hAnsiTheme="minorHAnsi" w:cstheme="minorHAnsi"/>
          <w:i/>
        </w:rPr>
        <w:t xml:space="preserve"> realizací podprogramu navýšena nejméně na 60 %. </w:t>
      </w:r>
      <w:r w:rsidR="00661203">
        <w:rPr>
          <w:rFonts w:asciiTheme="minorHAnsi" w:hAnsiTheme="minorHAnsi" w:cstheme="minorHAnsi"/>
          <w:i/>
        </w:rPr>
        <w:t xml:space="preserve">Pro výpočet a vyhodnocení ukazatele mají být </w:t>
      </w:r>
      <w:r w:rsidR="004F06BD">
        <w:rPr>
          <w:rFonts w:asciiTheme="minorHAnsi" w:hAnsiTheme="minorHAnsi" w:cstheme="minorHAnsi"/>
          <w:i/>
        </w:rPr>
        <w:t>„</w:t>
      </w:r>
      <w:r w:rsidR="00661203">
        <w:rPr>
          <w:rFonts w:asciiTheme="minorHAnsi" w:hAnsiTheme="minorHAnsi" w:cstheme="minorHAnsi"/>
          <w:i/>
        </w:rPr>
        <w:t>s</w:t>
      </w:r>
      <w:r w:rsidR="00661203" w:rsidRPr="00FA5A3D">
        <w:rPr>
          <w:rFonts w:asciiTheme="minorHAnsi" w:hAnsiTheme="minorHAnsi" w:cstheme="minorHAnsi"/>
          <w:i/>
        </w:rPr>
        <w:t>kutečnými počty</w:t>
      </w:r>
      <w:r w:rsidR="004F06BD">
        <w:rPr>
          <w:rFonts w:asciiTheme="minorHAnsi" w:hAnsiTheme="minorHAnsi" w:cstheme="minorHAnsi"/>
          <w:i/>
        </w:rPr>
        <w:t>“</w:t>
      </w:r>
      <w:r w:rsidR="00661203">
        <w:rPr>
          <w:rFonts w:asciiTheme="minorHAnsi" w:hAnsiTheme="minorHAnsi" w:cstheme="minorHAnsi"/>
          <w:i/>
        </w:rPr>
        <w:t xml:space="preserve"> p</w:t>
      </w:r>
      <w:r w:rsidR="00661203" w:rsidRPr="00FA5A3D">
        <w:rPr>
          <w:rFonts w:asciiTheme="minorHAnsi" w:hAnsiTheme="minorHAnsi" w:cstheme="minorHAnsi"/>
          <w:i/>
        </w:rPr>
        <w:t>očty vozidel s průměrným stářím nižším než 8 let</w:t>
      </w:r>
      <w:r w:rsidR="00661203">
        <w:rPr>
          <w:rFonts w:asciiTheme="minorHAnsi" w:hAnsiTheme="minorHAnsi" w:cstheme="minorHAnsi"/>
          <w:i/>
        </w:rPr>
        <w:t xml:space="preserve"> a</w:t>
      </w:r>
      <w:r w:rsidR="003A249F">
        <w:rPr>
          <w:rFonts w:asciiTheme="minorHAnsi" w:hAnsiTheme="minorHAnsi" w:cstheme="minorHAnsi"/>
          <w:i/>
        </w:rPr>
        <w:t> „</w:t>
      </w:r>
      <w:r w:rsidR="00661203">
        <w:rPr>
          <w:rFonts w:asciiTheme="minorHAnsi" w:hAnsiTheme="minorHAnsi" w:cstheme="minorHAnsi"/>
          <w:i/>
        </w:rPr>
        <w:t>p</w:t>
      </w:r>
      <w:r w:rsidR="00661203" w:rsidRPr="00FA5A3D">
        <w:rPr>
          <w:rFonts w:asciiTheme="minorHAnsi" w:hAnsiTheme="minorHAnsi" w:cstheme="minorHAnsi"/>
          <w:i/>
        </w:rPr>
        <w:t>lánovanými počty</w:t>
      </w:r>
      <w:r w:rsidR="003A249F">
        <w:rPr>
          <w:rFonts w:asciiTheme="minorHAnsi" w:hAnsiTheme="minorHAnsi" w:cstheme="minorHAnsi"/>
          <w:i/>
        </w:rPr>
        <w:t>“</w:t>
      </w:r>
      <w:r w:rsidR="00661203">
        <w:rPr>
          <w:rFonts w:asciiTheme="minorHAnsi" w:hAnsiTheme="minorHAnsi" w:cstheme="minorHAnsi"/>
          <w:i/>
        </w:rPr>
        <w:t xml:space="preserve"> p</w:t>
      </w:r>
      <w:r w:rsidR="00661203" w:rsidRPr="00FA5A3D">
        <w:rPr>
          <w:rFonts w:asciiTheme="minorHAnsi" w:hAnsiTheme="minorHAnsi" w:cstheme="minorHAnsi"/>
          <w:i/>
        </w:rPr>
        <w:t>očty všech motorových vozidel.</w:t>
      </w:r>
      <w:r w:rsidR="00661203">
        <w:rPr>
          <w:rFonts w:asciiTheme="minorHAnsi" w:hAnsiTheme="minorHAnsi" w:cstheme="minorHAnsi"/>
          <w:i/>
        </w:rPr>
        <w:t xml:space="preserve"> </w:t>
      </w:r>
      <w:r w:rsidR="00DC1614">
        <w:rPr>
          <w:rFonts w:asciiTheme="minorHAnsi" w:hAnsiTheme="minorHAnsi" w:cstheme="minorHAnsi"/>
          <w:i/>
        </w:rPr>
        <w:t xml:space="preserve">MO však </w:t>
      </w:r>
      <w:r w:rsidR="006A3519">
        <w:rPr>
          <w:rFonts w:asciiTheme="minorHAnsi" w:hAnsiTheme="minorHAnsi" w:cstheme="minorHAnsi"/>
          <w:i/>
        </w:rPr>
        <w:t xml:space="preserve">v popisu ukazatele </w:t>
      </w:r>
      <w:r w:rsidR="00DC1614">
        <w:rPr>
          <w:rFonts w:asciiTheme="minorHAnsi" w:hAnsiTheme="minorHAnsi" w:cstheme="minorHAnsi"/>
          <w:i/>
        </w:rPr>
        <w:t>ne</w:t>
      </w:r>
      <w:r w:rsidR="00FA5A3D">
        <w:rPr>
          <w:rFonts w:asciiTheme="minorHAnsi" w:hAnsiTheme="minorHAnsi" w:cstheme="minorHAnsi"/>
          <w:i/>
        </w:rPr>
        <w:t>uved</w:t>
      </w:r>
      <w:r w:rsidR="00DC1614">
        <w:rPr>
          <w:rFonts w:asciiTheme="minorHAnsi" w:hAnsiTheme="minorHAnsi" w:cstheme="minorHAnsi"/>
          <w:i/>
        </w:rPr>
        <w:t>lo</w:t>
      </w:r>
      <w:r w:rsidR="00FA5A3D">
        <w:rPr>
          <w:rFonts w:asciiTheme="minorHAnsi" w:hAnsiTheme="minorHAnsi" w:cstheme="minorHAnsi"/>
          <w:i/>
        </w:rPr>
        <w:t xml:space="preserve">, </w:t>
      </w:r>
      <w:r w:rsidR="00DC1614">
        <w:rPr>
          <w:rFonts w:asciiTheme="minorHAnsi" w:hAnsiTheme="minorHAnsi" w:cstheme="minorHAnsi"/>
          <w:i/>
        </w:rPr>
        <w:t>z jakých počtů vycházelo</w:t>
      </w:r>
      <w:r w:rsidR="005F44BC">
        <w:rPr>
          <w:rFonts w:asciiTheme="minorHAnsi" w:hAnsiTheme="minorHAnsi" w:cstheme="minorHAnsi"/>
          <w:i/>
        </w:rPr>
        <w:t xml:space="preserve"> </w:t>
      </w:r>
      <w:r w:rsidR="00661203">
        <w:rPr>
          <w:rFonts w:asciiTheme="minorHAnsi" w:hAnsiTheme="minorHAnsi" w:cstheme="minorHAnsi"/>
          <w:i/>
        </w:rPr>
        <w:t>a</w:t>
      </w:r>
      <w:r w:rsidR="005F44BC">
        <w:rPr>
          <w:rFonts w:asciiTheme="minorHAnsi" w:hAnsiTheme="minorHAnsi" w:cstheme="minorHAnsi"/>
          <w:i/>
        </w:rPr>
        <w:t xml:space="preserve"> bude vycházet</w:t>
      </w:r>
      <w:r w:rsidR="00DC1614">
        <w:rPr>
          <w:rFonts w:asciiTheme="minorHAnsi" w:hAnsiTheme="minorHAnsi" w:cstheme="minorHAnsi"/>
          <w:i/>
        </w:rPr>
        <w:t xml:space="preserve"> při výpočtu výchozí a</w:t>
      </w:r>
      <w:r w:rsidR="004F06BD">
        <w:rPr>
          <w:rFonts w:asciiTheme="minorHAnsi" w:hAnsiTheme="minorHAnsi" w:cstheme="minorHAnsi"/>
          <w:i/>
        </w:rPr>
        <w:t xml:space="preserve"> </w:t>
      </w:r>
      <w:r w:rsidR="00DC1614">
        <w:rPr>
          <w:rFonts w:asciiTheme="minorHAnsi" w:hAnsiTheme="minorHAnsi" w:cstheme="minorHAnsi"/>
          <w:i/>
        </w:rPr>
        <w:t>cílové hodnoty</w:t>
      </w:r>
      <w:r w:rsidR="00661203">
        <w:rPr>
          <w:rFonts w:asciiTheme="minorHAnsi" w:hAnsiTheme="minorHAnsi" w:cstheme="minorHAnsi"/>
          <w:i/>
        </w:rPr>
        <w:t xml:space="preserve"> ukazatele</w:t>
      </w:r>
      <w:r w:rsidR="00DC1614">
        <w:rPr>
          <w:rFonts w:asciiTheme="minorHAnsi" w:hAnsiTheme="minorHAnsi" w:cstheme="minorHAnsi"/>
          <w:i/>
        </w:rPr>
        <w:t>. MO d</w:t>
      </w:r>
      <w:r w:rsidR="00FA5A3D">
        <w:rPr>
          <w:rFonts w:asciiTheme="minorHAnsi" w:hAnsiTheme="minorHAnsi" w:cstheme="minorHAnsi"/>
          <w:i/>
        </w:rPr>
        <w:t xml:space="preserve">ále </w:t>
      </w:r>
      <w:r w:rsidR="006A3519">
        <w:rPr>
          <w:rFonts w:asciiTheme="minorHAnsi" w:hAnsiTheme="minorHAnsi" w:cstheme="minorHAnsi"/>
          <w:i/>
        </w:rPr>
        <w:t xml:space="preserve">v dokumentaci programu </w:t>
      </w:r>
      <w:r w:rsidR="00DC1614">
        <w:rPr>
          <w:rFonts w:asciiTheme="minorHAnsi" w:hAnsiTheme="minorHAnsi" w:cstheme="minorHAnsi"/>
          <w:i/>
        </w:rPr>
        <w:t xml:space="preserve">stanovilo </w:t>
      </w:r>
      <w:r w:rsidR="00FA5A3D">
        <w:rPr>
          <w:rFonts w:asciiTheme="minorHAnsi" w:hAnsiTheme="minorHAnsi" w:cstheme="minorHAnsi"/>
          <w:i/>
        </w:rPr>
        <w:t xml:space="preserve">předpokládané </w:t>
      </w:r>
      <w:r w:rsidR="00FA5A3D" w:rsidRPr="008F4231">
        <w:rPr>
          <w:rFonts w:asciiTheme="minorHAnsi" w:hAnsiTheme="minorHAnsi" w:cstheme="minorHAnsi"/>
          <w:i/>
        </w:rPr>
        <w:t>parametry</w:t>
      </w:r>
      <w:r w:rsidR="00DC1614" w:rsidRPr="008F4231">
        <w:rPr>
          <w:rFonts w:asciiTheme="minorHAnsi" w:hAnsiTheme="minorHAnsi" w:cstheme="minorHAnsi"/>
          <w:i/>
        </w:rPr>
        <w:t xml:space="preserve"> akcí</w:t>
      </w:r>
      <w:r w:rsidR="005F44BC">
        <w:rPr>
          <w:rFonts w:asciiTheme="minorHAnsi" w:hAnsiTheme="minorHAnsi" w:cstheme="minorHAnsi"/>
          <w:i/>
        </w:rPr>
        <w:t xml:space="preserve"> </w:t>
      </w:r>
      <w:r w:rsidR="00661203">
        <w:rPr>
          <w:rFonts w:asciiTheme="minorHAnsi" w:hAnsiTheme="minorHAnsi" w:cstheme="minorHAnsi"/>
          <w:i/>
        </w:rPr>
        <w:t>k plnění cíle č. 1</w:t>
      </w:r>
      <w:r w:rsidR="00FA5A3D" w:rsidRPr="008F4231">
        <w:rPr>
          <w:rFonts w:asciiTheme="minorHAnsi" w:hAnsiTheme="minorHAnsi" w:cstheme="minorHAnsi"/>
          <w:i/>
        </w:rPr>
        <w:t>:</w:t>
      </w:r>
      <w:r w:rsidR="008F4231" w:rsidRPr="008F4231">
        <w:rPr>
          <w:rFonts w:asciiTheme="minorHAnsi" w:hAnsiTheme="minorHAnsi" w:cstheme="minorHAnsi"/>
          <w:i/>
        </w:rPr>
        <w:t xml:space="preserve"> 240</w:t>
      </w:r>
      <w:r w:rsidR="00BC4523">
        <w:rPr>
          <w:rFonts w:asciiTheme="minorHAnsi" w:hAnsiTheme="minorHAnsi" w:cstheme="minorHAnsi"/>
          <w:i/>
        </w:rPr>
        <w:t> </w:t>
      </w:r>
      <w:r w:rsidR="008F4231" w:rsidRPr="008F4231">
        <w:rPr>
          <w:rFonts w:asciiTheme="minorHAnsi" w:hAnsiTheme="minorHAnsi" w:cstheme="minorHAnsi"/>
          <w:i/>
        </w:rPr>
        <w:t xml:space="preserve">automobilů osobních malých, 80 automobilů osobních středních, 26 automobilů osobních velkých a 53 automobilů M1-K (mikrobusů). MO v dokumentaci programu neuvedlo žádnou vazbu </w:t>
      </w:r>
      <w:r w:rsidR="00FA5A3D" w:rsidRPr="008F4231">
        <w:rPr>
          <w:rFonts w:asciiTheme="minorHAnsi" w:hAnsiTheme="minorHAnsi" w:cstheme="minorHAnsi"/>
          <w:i/>
        </w:rPr>
        <w:t xml:space="preserve">mezi </w:t>
      </w:r>
      <w:r w:rsidR="005F44BC">
        <w:rPr>
          <w:rFonts w:asciiTheme="minorHAnsi" w:hAnsiTheme="minorHAnsi" w:cstheme="minorHAnsi"/>
          <w:i/>
        </w:rPr>
        <w:t xml:space="preserve">stanovenými </w:t>
      </w:r>
      <w:r w:rsidR="00FA5A3D" w:rsidRPr="008F4231">
        <w:rPr>
          <w:rFonts w:asciiTheme="minorHAnsi" w:hAnsiTheme="minorHAnsi" w:cstheme="minorHAnsi"/>
          <w:i/>
        </w:rPr>
        <w:t xml:space="preserve">parametry </w:t>
      </w:r>
      <w:r w:rsidR="00581D88">
        <w:rPr>
          <w:rFonts w:asciiTheme="minorHAnsi" w:hAnsiTheme="minorHAnsi" w:cstheme="minorHAnsi"/>
          <w:i/>
        </w:rPr>
        <w:t xml:space="preserve">akcí </w:t>
      </w:r>
      <w:r w:rsidR="00FA5A3D" w:rsidRPr="008F4231">
        <w:rPr>
          <w:rFonts w:asciiTheme="minorHAnsi" w:hAnsiTheme="minorHAnsi" w:cstheme="minorHAnsi"/>
          <w:i/>
        </w:rPr>
        <w:t>a ukazatelem</w:t>
      </w:r>
      <w:r w:rsidR="00036B4D" w:rsidRPr="008F4231">
        <w:rPr>
          <w:rFonts w:asciiTheme="minorHAnsi" w:hAnsiTheme="minorHAnsi" w:cstheme="minorHAnsi"/>
          <w:i/>
        </w:rPr>
        <w:t xml:space="preserve">. </w:t>
      </w:r>
      <w:r w:rsidR="008F4231" w:rsidRPr="008F4231">
        <w:rPr>
          <w:rFonts w:asciiTheme="minorHAnsi" w:hAnsiTheme="minorHAnsi" w:cstheme="minorHAnsi"/>
          <w:i/>
        </w:rPr>
        <w:t>Neuvedlo</w:t>
      </w:r>
      <w:r w:rsidR="008F4231">
        <w:rPr>
          <w:rFonts w:asciiTheme="minorHAnsi" w:hAnsiTheme="minorHAnsi" w:cstheme="minorHAnsi"/>
          <w:i/>
        </w:rPr>
        <w:t xml:space="preserve"> ani </w:t>
      </w:r>
      <w:r w:rsidR="005F44BC">
        <w:rPr>
          <w:rFonts w:asciiTheme="minorHAnsi" w:hAnsiTheme="minorHAnsi" w:cstheme="minorHAnsi"/>
          <w:i/>
        </w:rPr>
        <w:t>skutečné a plánované počty</w:t>
      </w:r>
      <w:r w:rsidR="00BC4523">
        <w:rPr>
          <w:rFonts w:asciiTheme="minorHAnsi" w:hAnsiTheme="minorHAnsi" w:cstheme="minorHAnsi"/>
          <w:i/>
        </w:rPr>
        <w:t xml:space="preserve"> automobilů</w:t>
      </w:r>
      <w:r w:rsidR="005F44BC">
        <w:rPr>
          <w:rFonts w:asciiTheme="minorHAnsi" w:hAnsiTheme="minorHAnsi" w:cstheme="minorHAnsi"/>
          <w:i/>
        </w:rPr>
        <w:t xml:space="preserve"> použité pro s</w:t>
      </w:r>
      <w:r w:rsidR="008F4231">
        <w:rPr>
          <w:rFonts w:asciiTheme="minorHAnsi" w:hAnsiTheme="minorHAnsi" w:cstheme="minorHAnsi"/>
          <w:i/>
        </w:rPr>
        <w:t>tanoven</w:t>
      </w:r>
      <w:r w:rsidR="005F44BC">
        <w:rPr>
          <w:rFonts w:asciiTheme="minorHAnsi" w:hAnsiTheme="minorHAnsi" w:cstheme="minorHAnsi"/>
          <w:i/>
        </w:rPr>
        <w:t>í</w:t>
      </w:r>
      <w:r w:rsidR="008F4231">
        <w:rPr>
          <w:rFonts w:asciiTheme="minorHAnsi" w:hAnsiTheme="minorHAnsi" w:cstheme="minorHAnsi"/>
          <w:i/>
        </w:rPr>
        <w:t xml:space="preserve"> výchozí </w:t>
      </w:r>
      <w:r w:rsidR="00581D88">
        <w:rPr>
          <w:rFonts w:asciiTheme="minorHAnsi" w:hAnsiTheme="minorHAnsi" w:cstheme="minorHAnsi"/>
          <w:i/>
        </w:rPr>
        <w:t xml:space="preserve">a cílové </w:t>
      </w:r>
      <w:r w:rsidR="008F4231">
        <w:rPr>
          <w:rFonts w:asciiTheme="minorHAnsi" w:hAnsiTheme="minorHAnsi" w:cstheme="minorHAnsi"/>
          <w:i/>
        </w:rPr>
        <w:t>hodnot</w:t>
      </w:r>
      <w:r w:rsidR="005F44BC">
        <w:rPr>
          <w:rFonts w:asciiTheme="minorHAnsi" w:hAnsiTheme="minorHAnsi" w:cstheme="minorHAnsi"/>
          <w:i/>
        </w:rPr>
        <w:t>y</w:t>
      </w:r>
      <w:r w:rsidR="008F4231">
        <w:rPr>
          <w:rFonts w:asciiTheme="minorHAnsi" w:hAnsiTheme="minorHAnsi" w:cstheme="minorHAnsi"/>
          <w:i/>
        </w:rPr>
        <w:t xml:space="preserve"> ukazatele</w:t>
      </w:r>
      <w:r w:rsidR="005F44BC">
        <w:rPr>
          <w:rFonts w:asciiTheme="minorHAnsi" w:hAnsiTheme="minorHAnsi" w:cstheme="minorHAnsi"/>
          <w:i/>
        </w:rPr>
        <w:t>.</w:t>
      </w:r>
    </w:p>
    <w:p w14:paraId="3E13DABC" w14:textId="61A6684B" w:rsidR="002A7252" w:rsidRDefault="00245F55" w:rsidP="00BC4523">
      <w:pPr>
        <w:spacing w:before="240"/>
        <w:jc w:val="both"/>
        <w:rPr>
          <w:rFonts w:asciiTheme="minorHAnsi" w:hAnsiTheme="minorHAnsi" w:cstheme="minorHAnsi"/>
        </w:rPr>
      </w:pPr>
      <w:r w:rsidRPr="005F44BC">
        <w:rPr>
          <w:rFonts w:asciiTheme="minorHAnsi" w:hAnsiTheme="minorHAnsi" w:cstheme="minorHAnsi"/>
          <w:b/>
        </w:rPr>
        <w:t>4.</w:t>
      </w:r>
      <w:r w:rsidR="002A0432">
        <w:rPr>
          <w:rFonts w:asciiTheme="minorHAnsi" w:hAnsiTheme="minorHAnsi" w:cstheme="minorHAnsi"/>
          <w:b/>
        </w:rPr>
        <w:t>1</w:t>
      </w:r>
      <w:r w:rsidR="007274B9">
        <w:rPr>
          <w:rFonts w:asciiTheme="minorHAnsi" w:hAnsiTheme="minorHAnsi" w:cstheme="minorHAnsi"/>
          <w:b/>
        </w:rPr>
        <w:t>8</w:t>
      </w:r>
      <w:r w:rsidRPr="005F44BC">
        <w:rPr>
          <w:rFonts w:asciiTheme="minorHAnsi" w:hAnsiTheme="minorHAnsi" w:cstheme="minorHAnsi"/>
        </w:rPr>
        <w:t xml:space="preserve"> </w:t>
      </w:r>
      <w:r w:rsidR="00DC1614" w:rsidRPr="005F44BC">
        <w:rPr>
          <w:rFonts w:asciiTheme="minorHAnsi" w:hAnsiTheme="minorHAnsi" w:cstheme="minorHAnsi"/>
        </w:rPr>
        <w:t xml:space="preserve">Doplňkem č. 1 dokumentace programu </w:t>
      </w:r>
      <w:r w:rsidR="00BC4523">
        <w:rPr>
          <w:rFonts w:asciiTheme="minorHAnsi" w:hAnsiTheme="minorHAnsi" w:cstheme="minorHAnsi"/>
        </w:rPr>
        <w:t xml:space="preserve">107 690 </w:t>
      </w:r>
      <w:r w:rsidR="00DC1614" w:rsidRPr="005F44BC">
        <w:rPr>
          <w:rFonts w:asciiTheme="minorHAnsi" w:hAnsiTheme="minorHAnsi" w:cstheme="minorHAnsi"/>
        </w:rPr>
        <w:t xml:space="preserve">došlo k navýšení </w:t>
      </w:r>
      <w:r w:rsidR="00F50DB4">
        <w:rPr>
          <w:rFonts w:asciiTheme="minorHAnsi" w:hAnsiTheme="minorHAnsi" w:cstheme="minorHAnsi"/>
        </w:rPr>
        <w:t xml:space="preserve">objemu </w:t>
      </w:r>
      <w:r w:rsidR="00DC1614" w:rsidRPr="005F44BC">
        <w:rPr>
          <w:rFonts w:asciiTheme="minorHAnsi" w:hAnsiTheme="minorHAnsi" w:cstheme="minorHAnsi"/>
        </w:rPr>
        <w:t xml:space="preserve">peněžních prostředků </w:t>
      </w:r>
      <w:r w:rsidR="00036B4D" w:rsidRPr="005F44BC">
        <w:rPr>
          <w:rFonts w:asciiTheme="minorHAnsi" w:hAnsiTheme="minorHAnsi" w:cstheme="minorHAnsi"/>
        </w:rPr>
        <w:t>státního rozpočtu</w:t>
      </w:r>
      <w:r w:rsidR="00DC1614" w:rsidRPr="005F44BC">
        <w:rPr>
          <w:rFonts w:asciiTheme="minorHAnsi" w:hAnsiTheme="minorHAnsi" w:cstheme="minorHAnsi"/>
        </w:rPr>
        <w:t xml:space="preserve"> na podprogram </w:t>
      </w:r>
      <w:r w:rsidR="00BC4523">
        <w:rPr>
          <w:rFonts w:asciiTheme="minorHAnsi" w:hAnsiTheme="minorHAnsi" w:cstheme="minorHAnsi"/>
        </w:rPr>
        <w:t xml:space="preserve">107 691 </w:t>
      </w:r>
      <w:r w:rsidR="00DC1614" w:rsidRPr="005F44BC">
        <w:rPr>
          <w:rFonts w:asciiTheme="minorHAnsi" w:hAnsiTheme="minorHAnsi" w:cstheme="minorHAnsi"/>
        </w:rPr>
        <w:t>z</w:t>
      </w:r>
      <w:r w:rsidR="005F44BC" w:rsidRPr="005F44BC">
        <w:rPr>
          <w:rFonts w:asciiTheme="minorHAnsi" w:hAnsiTheme="minorHAnsi" w:cstheme="minorHAnsi"/>
        </w:rPr>
        <w:t xml:space="preserve"> původních</w:t>
      </w:r>
      <w:r w:rsidR="00DC1614" w:rsidRPr="005F44BC">
        <w:rPr>
          <w:rFonts w:asciiTheme="minorHAnsi" w:hAnsiTheme="minorHAnsi" w:cstheme="minorHAnsi"/>
        </w:rPr>
        <w:t xml:space="preserve"> 3 696,5 mil. Kč na </w:t>
      </w:r>
      <w:r w:rsidR="006B1EE5">
        <w:rPr>
          <w:rFonts w:asciiTheme="minorHAnsi" w:hAnsiTheme="minorHAnsi" w:cstheme="minorHAnsi"/>
        </w:rPr>
        <w:br/>
      </w:r>
      <w:r w:rsidR="00DC1614" w:rsidRPr="005F44BC">
        <w:rPr>
          <w:rFonts w:asciiTheme="minorHAnsi" w:hAnsiTheme="minorHAnsi" w:cstheme="minorHAnsi"/>
        </w:rPr>
        <w:t>20 94</w:t>
      </w:r>
      <w:r w:rsidR="0051324A">
        <w:rPr>
          <w:rFonts w:asciiTheme="minorHAnsi" w:hAnsiTheme="minorHAnsi" w:cstheme="minorHAnsi"/>
        </w:rPr>
        <w:t>7</w:t>
      </w:r>
      <w:r w:rsidR="00DC1614" w:rsidRPr="005F44BC">
        <w:rPr>
          <w:rFonts w:asciiTheme="minorHAnsi" w:hAnsiTheme="minorHAnsi" w:cstheme="minorHAnsi"/>
        </w:rPr>
        <w:t>,0 mil.</w:t>
      </w:r>
      <w:r w:rsidR="006B1EE5">
        <w:rPr>
          <w:rFonts w:asciiTheme="minorHAnsi" w:hAnsiTheme="minorHAnsi" w:cstheme="minorHAnsi"/>
        </w:rPr>
        <w:t xml:space="preserve"> </w:t>
      </w:r>
      <w:r w:rsidR="00DC1614" w:rsidRPr="005F44BC">
        <w:rPr>
          <w:rFonts w:asciiTheme="minorHAnsi" w:hAnsiTheme="minorHAnsi" w:cstheme="minorHAnsi"/>
        </w:rPr>
        <w:t>Kč, tj.</w:t>
      </w:r>
      <w:r w:rsidR="006B1EE5">
        <w:rPr>
          <w:rFonts w:asciiTheme="minorHAnsi" w:hAnsiTheme="minorHAnsi" w:cstheme="minorHAnsi"/>
        </w:rPr>
        <w:t xml:space="preserve"> </w:t>
      </w:r>
      <w:r w:rsidR="00DC1614" w:rsidRPr="005F44BC">
        <w:rPr>
          <w:rFonts w:asciiTheme="minorHAnsi" w:hAnsiTheme="minorHAnsi" w:cstheme="minorHAnsi"/>
        </w:rPr>
        <w:t>o</w:t>
      </w:r>
      <w:r w:rsidR="006B1EE5">
        <w:rPr>
          <w:rFonts w:asciiTheme="minorHAnsi" w:hAnsiTheme="minorHAnsi" w:cstheme="minorHAnsi"/>
        </w:rPr>
        <w:t xml:space="preserve"> </w:t>
      </w:r>
      <w:r w:rsidR="00DC1614" w:rsidRPr="005F44BC">
        <w:rPr>
          <w:rFonts w:asciiTheme="minorHAnsi" w:hAnsiTheme="minorHAnsi" w:cstheme="minorHAnsi"/>
        </w:rPr>
        <w:t>466</w:t>
      </w:r>
      <w:r w:rsidR="00BC4523">
        <w:rPr>
          <w:rFonts w:asciiTheme="minorHAnsi" w:hAnsiTheme="minorHAnsi" w:cstheme="minorHAnsi"/>
        </w:rPr>
        <w:t> </w:t>
      </w:r>
      <w:r w:rsidR="00DC1614" w:rsidRPr="005F44BC">
        <w:rPr>
          <w:rFonts w:asciiTheme="minorHAnsi" w:hAnsiTheme="minorHAnsi" w:cstheme="minorHAnsi"/>
        </w:rPr>
        <w:t xml:space="preserve">%. </w:t>
      </w:r>
      <w:r w:rsidR="00BE788C">
        <w:rPr>
          <w:rFonts w:asciiTheme="minorHAnsi" w:hAnsiTheme="minorHAnsi" w:cstheme="minorHAnsi"/>
        </w:rPr>
        <w:t xml:space="preserve">MO </w:t>
      </w:r>
      <w:r w:rsidR="00F50DB4">
        <w:rPr>
          <w:rFonts w:asciiTheme="minorHAnsi" w:hAnsiTheme="minorHAnsi" w:cstheme="minorHAnsi"/>
        </w:rPr>
        <w:t>zároveň</w:t>
      </w:r>
      <w:r w:rsidR="00BE788C">
        <w:rPr>
          <w:rFonts w:asciiTheme="minorHAnsi" w:hAnsiTheme="minorHAnsi" w:cstheme="minorHAnsi"/>
        </w:rPr>
        <w:t xml:space="preserve"> </w:t>
      </w:r>
      <w:r w:rsidR="005F44BC" w:rsidRPr="00044500">
        <w:rPr>
          <w:rFonts w:asciiTheme="minorHAnsi" w:hAnsiTheme="minorHAnsi" w:cstheme="minorHAnsi"/>
        </w:rPr>
        <w:t>výrazně navýšil</w:t>
      </w:r>
      <w:r w:rsidR="00044500" w:rsidRPr="00044500">
        <w:rPr>
          <w:rFonts w:asciiTheme="minorHAnsi" w:hAnsiTheme="minorHAnsi" w:cstheme="minorHAnsi"/>
        </w:rPr>
        <w:t>o příslušné počty plánované pořizované techniky</w:t>
      </w:r>
      <w:r w:rsidR="00DB39AE" w:rsidRPr="00044500">
        <w:rPr>
          <w:rFonts w:asciiTheme="minorHAnsi" w:hAnsiTheme="minorHAnsi" w:cstheme="minorHAnsi"/>
        </w:rPr>
        <w:t xml:space="preserve">. </w:t>
      </w:r>
      <w:r w:rsidR="00F50DB4">
        <w:rPr>
          <w:rFonts w:asciiTheme="minorHAnsi" w:hAnsiTheme="minorHAnsi" w:cstheme="minorHAnsi"/>
        </w:rPr>
        <w:t xml:space="preserve">Přesto u většiny </w:t>
      </w:r>
      <w:r w:rsidR="00BE788C" w:rsidRPr="00044500">
        <w:rPr>
          <w:rFonts w:asciiTheme="minorHAnsi" w:hAnsiTheme="minorHAnsi" w:cstheme="minorHAnsi"/>
        </w:rPr>
        <w:t xml:space="preserve">ukazatelů </w:t>
      </w:r>
      <w:r w:rsidR="00F50DB4">
        <w:rPr>
          <w:rFonts w:asciiTheme="minorHAnsi" w:hAnsiTheme="minorHAnsi" w:cstheme="minorHAnsi"/>
        </w:rPr>
        <w:t xml:space="preserve">nezohlednilo </w:t>
      </w:r>
      <w:r w:rsidR="00BE788C" w:rsidRPr="00044500">
        <w:rPr>
          <w:rFonts w:asciiTheme="minorHAnsi" w:hAnsiTheme="minorHAnsi" w:cstheme="minorHAnsi"/>
        </w:rPr>
        <w:t xml:space="preserve">navýšení </w:t>
      </w:r>
      <w:r w:rsidR="00F50DB4">
        <w:rPr>
          <w:rFonts w:asciiTheme="minorHAnsi" w:hAnsiTheme="minorHAnsi" w:cstheme="minorHAnsi"/>
        </w:rPr>
        <w:t xml:space="preserve">peněžních </w:t>
      </w:r>
      <w:r w:rsidR="00BE788C" w:rsidRPr="00044500">
        <w:rPr>
          <w:rFonts w:asciiTheme="minorHAnsi" w:hAnsiTheme="minorHAnsi" w:cstheme="minorHAnsi"/>
        </w:rPr>
        <w:t>prostředků</w:t>
      </w:r>
      <w:r w:rsidR="00F50DB4">
        <w:rPr>
          <w:rFonts w:asciiTheme="minorHAnsi" w:hAnsiTheme="minorHAnsi" w:cstheme="minorHAnsi"/>
        </w:rPr>
        <w:t xml:space="preserve"> ani počt</w:t>
      </w:r>
      <w:r w:rsidR="008C285A">
        <w:rPr>
          <w:rFonts w:asciiTheme="minorHAnsi" w:hAnsiTheme="minorHAnsi" w:cstheme="minorHAnsi"/>
        </w:rPr>
        <w:t>u</w:t>
      </w:r>
      <w:r w:rsidR="00F50DB4">
        <w:rPr>
          <w:rFonts w:asciiTheme="minorHAnsi" w:hAnsiTheme="minorHAnsi" w:cstheme="minorHAnsi"/>
        </w:rPr>
        <w:t xml:space="preserve"> pořizované techniky a hodnoty ukazatelů efektivnosti neupravilo</w:t>
      </w:r>
      <w:r w:rsidR="00BE788C" w:rsidRPr="00044500">
        <w:rPr>
          <w:rFonts w:asciiTheme="minorHAnsi" w:hAnsiTheme="minorHAnsi" w:cstheme="minorHAnsi"/>
        </w:rPr>
        <w:t xml:space="preserve">. </w:t>
      </w:r>
      <w:r w:rsidR="00BC4523" w:rsidRPr="00BC4523">
        <w:rPr>
          <w:rFonts w:asciiTheme="minorHAnsi" w:hAnsiTheme="minorHAnsi" w:cstheme="minorHAnsi"/>
        </w:rPr>
        <w:t>Např</w:t>
      </w:r>
      <w:r w:rsidR="00F50DB4">
        <w:rPr>
          <w:rFonts w:asciiTheme="minorHAnsi" w:hAnsiTheme="minorHAnsi" w:cstheme="minorHAnsi"/>
        </w:rPr>
        <w:t>íklad</w:t>
      </w:r>
      <w:r w:rsidR="00BC4523" w:rsidRPr="00BC4523">
        <w:rPr>
          <w:rFonts w:asciiTheme="minorHAnsi" w:hAnsiTheme="minorHAnsi" w:cstheme="minorHAnsi"/>
        </w:rPr>
        <w:t xml:space="preserve"> ačkoliv </w:t>
      </w:r>
      <w:r w:rsidR="002A7A8F">
        <w:rPr>
          <w:rFonts w:asciiTheme="minorHAnsi" w:hAnsiTheme="minorHAnsi" w:cstheme="minorHAnsi"/>
        </w:rPr>
        <w:br/>
      </w:r>
      <w:r w:rsidR="00BC4523" w:rsidRPr="00BC4523">
        <w:rPr>
          <w:rFonts w:asciiTheme="minorHAnsi" w:hAnsiTheme="minorHAnsi" w:cstheme="minorHAnsi"/>
        </w:rPr>
        <w:t>u</w:t>
      </w:r>
      <w:r w:rsidR="002A7A8F">
        <w:rPr>
          <w:rFonts w:asciiTheme="minorHAnsi" w:hAnsiTheme="minorHAnsi" w:cstheme="minorHAnsi"/>
        </w:rPr>
        <w:t xml:space="preserve"> </w:t>
      </w:r>
      <w:r w:rsidR="00BC4523" w:rsidRPr="00BC4523">
        <w:rPr>
          <w:rFonts w:asciiTheme="minorHAnsi" w:hAnsiTheme="minorHAnsi" w:cstheme="minorHAnsi"/>
        </w:rPr>
        <w:t xml:space="preserve">položky </w:t>
      </w:r>
      <w:r w:rsidR="008C285A">
        <w:rPr>
          <w:rFonts w:asciiTheme="minorHAnsi" w:hAnsiTheme="minorHAnsi" w:cstheme="minorHAnsi"/>
        </w:rPr>
        <w:t>„</w:t>
      </w:r>
      <w:r w:rsidR="008C285A" w:rsidRPr="00C760A0">
        <w:rPr>
          <w:rFonts w:asciiTheme="minorHAnsi" w:hAnsiTheme="minorHAnsi" w:cstheme="minorHAnsi"/>
          <w:i/>
        </w:rPr>
        <w:t>k</w:t>
      </w:r>
      <w:r w:rsidR="00BC4523" w:rsidRPr="00BC4523">
        <w:rPr>
          <w:rFonts w:asciiTheme="minorHAnsi" w:hAnsiTheme="minorHAnsi" w:cstheme="minorHAnsi"/>
          <w:i/>
        </w:rPr>
        <w:t>ontejnerový nakladač</w:t>
      </w:r>
      <w:r w:rsidR="008C285A" w:rsidRPr="00C760A0">
        <w:rPr>
          <w:rFonts w:asciiTheme="minorHAnsi" w:hAnsiTheme="minorHAnsi" w:cstheme="minorHAnsi"/>
        </w:rPr>
        <w:t>“</w:t>
      </w:r>
      <w:r w:rsidR="00BC4523" w:rsidRPr="00BC4523">
        <w:rPr>
          <w:rFonts w:asciiTheme="minorHAnsi" w:hAnsiTheme="minorHAnsi" w:cstheme="minorHAnsi"/>
        </w:rPr>
        <w:t xml:space="preserve"> navýšilo </w:t>
      </w:r>
      <w:r w:rsidR="008C285A" w:rsidRPr="00BC4523">
        <w:rPr>
          <w:rFonts w:asciiTheme="minorHAnsi" w:hAnsiTheme="minorHAnsi" w:cstheme="minorHAnsi"/>
        </w:rPr>
        <w:t xml:space="preserve">MO </w:t>
      </w:r>
      <w:r w:rsidR="00BC4523" w:rsidRPr="00BC4523">
        <w:rPr>
          <w:rFonts w:asciiTheme="minorHAnsi" w:hAnsiTheme="minorHAnsi" w:cstheme="minorHAnsi"/>
        </w:rPr>
        <w:t xml:space="preserve">plánovaný počet z 30 na 81 vozidel nebo </w:t>
      </w:r>
      <w:r w:rsidR="002A7A8F">
        <w:rPr>
          <w:rFonts w:asciiTheme="minorHAnsi" w:hAnsiTheme="minorHAnsi" w:cstheme="minorHAnsi"/>
        </w:rPr>
        <w:br/>
      </w:r>
      <w:r w:rsidR="00BC4523" w:rsidRPr="00BC4523">
        <w:rPr>
          <w:rFonts w:asciiTheme="minorHAnsi" w:hAnsiTheme="minorHAnsi" w:cstheme="minorHAnsi"/>
        </w:rPr>
        <w:t>u</w:t>
      </w:r>
      <w:r w:rsidR="002A7A8F">
        <w:rPr>
          <w:rFonts w:asciiTheme="minorHAnsi" w:hAnsiTheme="minorHAnsi" w:cstheme="minorHAnsi"/>
        </w:rPr>
        <w:t xml:space="preserve"> </w:t>
      </w:r>
      <w:r w:rsidR="00BC4523" w:rsidRPr="00BC4523">
        <w:rPr>
          <w:rFonts w:asciiTheme="minorHAnsi" w:hAnsiTheme="minorHAnsi" w:cstheme="minorHAnsi"/>
        </w:rPr>
        <w:t xml:space="preserve">položky </w:t>
      </w:r>
      <w:r w:rsidR="008C285A">
        <w:rPr>
          <w:rFonts w:asciiTheme="minorHAnsi" w:hAnsiTheme="minorHAnsi" w:cstheme="minorHAnsi"/>
        </w:rPr>
        <w:t>„</w:t>
      </w:r>
      <w:r w:rsidR="008C285A">
        <w:rPr>
          <w:rFonts w:asciiTheme="minorHAnsi" w:hAnsiTheme="minorHAnsi" w:cstheme="minorHAnsi"/>
          <w:i/>
        </w:rPr>
        <w:t>c</w:t>
      </w:r>
      <w:r w:rsidR="00BC4523" w:rsidRPr="00BC4523">
        <w:rPr>
          <w:rFonts w:asciiTheme="minorHAnsi" w:hAnsiTheme="minorHAnsi" w:cstheme="minorHAnsi"/>
          <w:i/>
        </w:rPr>
        <w:t>isternový automobil</w:t>
      </w:r>
      <w:r w:rsidR="008C285A" w:rsidRPr="00C760A0">
        <w:rPr>
          <w:rFonts w:asciiTheme="minorHAnsi" w:hAnsiTheme="minorHAnsi" w:cstheme="minorHAnsi"/>
        </w:rPr>
        <w:t>“</w:t>
      </w:r>
      <w:r w:rsidR="00BC4523" w:rsidRPr="00BC4523">
        <w:rPr>
          <w:rFonts w:asciiTheme="minorHAnsi" w:hAnsiTheme="minorHAnsi" w:cstheme="minorHAnsi"/>
        </w:rPr>
        <w:t xml:space="preserve"> z 23 na 68 automobilů, zůstaly výchozí a cílové hodnoty ukazatelů nezměněny. </w:t>
      </w:r>
    </w:p>
    <w:p w14:paraId="1ABB3A16" w14:textId="5927F983" w:rsidR="00467E88" w:rsidRPr="00BC4523" w:rsidRDefault="007B1941" w:rsidP="00BC4523">
      <w:pPr>
        <w:spacing w:before="120" w:after="240"/>
        <w:jc w:val="both"/>
        <w:rPr>
          <w:rFonts w:ascii="Calibri" w:hAnsi="Calibri" w:cs="Calibri"/>
        </w:rPr>
      </w:pPr>
      <w:r w:rsidRPr="00EC3556">
        <w:rPr>
          <w:rFonts w:ascii="Calibri" w:hAnsi="Calibri" w:cs="Calibri"/>
          <w:b/>
        </w:rPr>
        <w:t>4.</w:t>
      </w:r>
      <w:r w:rsidR="007274B9">
        <w:rPr>
          <w:rFonts w:ascii="Calibri" w:hAnsi="Calibri" w:cs="Calibri"/>
          <w:b/>
        </w:rPr>
        <w:t>19</w:t>
      </w:r>
      <w:r w:rsidRPr="00EC3556">
        <w:rPr>
          <w:rFonts w:ascii="Calibri" w:hAnsi="Calibri" w:cs="Calibri"/>
        </w:rPr>
        <w:t xml:space="preserve"> </w:t>
      </w:r>
      <w:r w:rsidR="00625F38" w:rsidRPr="00EC3556">
        <w:rPr>
          <w:rFonts w:ascii="Calibri" w:hAnsi="Calibri" w:cs="Calibri"/>
        </w:rPr>
        <w:t xml:space="preserve">NKÚ </w:t>
      </w:r>
      <w:r w:rsidR="00625F38">
        <w:rPr>
          <w:rFonts w:ascii="Calibri" w:hAnsi="Calibri" w:cs="Calibri"/>
        </w:rPr>
        <w:t>n</w:t>
      </w:r>
      <w:r w:rsidR="00D1469E" w:rsidRPr="00EC3556">
        <w:rPr>
          <w:rFonts w:ascii="Calibri" w:hAnsi="Calibri" w:cs="Calibri"/>
        </w:rPr>
        <w:t>a základě uvedených zjištěn</w:t>
      </w:r>
      <w:r w:rsidR="00625F38">
        <w:rPr>
          <w:rFonts w:ascii="Calibri" w:hAnsi="Calibri" w:cs="Calibri"/>
        </w:rPr>
        <w:t>í</w:t>
      </w:r>
      <w:r w:rsidR="00D1469E" w:rsidRPr="00EC3556">
        <w:rPr>
          <w:rFonts w:ascii="Calibri" w:hAnsi="Calibri" w:cs="Calibri"/>
        </w:rPr>
        <w:t xml:space="preserve"> vyhodnotil, že </w:t>
      </w:r>
      <w:r w:rsidR="005B40FA">
        <w:rPr>
          <w:rFonts w:ascii="Calibri" w:hAnsi="Calibri" w:cs="Calibri"/>
        </w:rPr>
        <w:t xml:space="preserve">stanovené </w:t>
      </w:r>
      <w:r w:rsidR="00EC3556" w:rsidRPr="00EC3556">
        <w:rPr>
          <w:rFonts w:ascii="Calibri" w:hAnsi="Calibri" w:cs="Calibri"/>
        </w:rPr>
        <w:t>u</w:t>
      </w:r>
      <w:r w:rsidRPr="00EC3556">
        <w:rPr>
          <w:rFonts w:ascii="Calibri" w:hAnsi="Calibri" w:cs="Calibri"/>
        </w:rPr>
        <w:t>kazatele</w:t>
      </w:r>
      <w:r w:rsidR="00EC3556" w:rsidRPr="00EC3556">
        <w:rPr>
          <w:rFonts w:ascii="Calibri" w:hAnsi="Calibri" w:cs="Calibri"/>
        </w:rPr>
        <w:t xml:space="preserve"> podprogramu 107 691 </w:t>
      </w:r>
      <w:r w:rsidR="00DB39AE" w:rsidRPr="00EC3556">
        <w:rPr>
          <w:rFonts w:ascii="Calibri" w:hAnsi="Calibri" w:cs="Calibri"/>
        </w:rPr>
        <w:t>mají</w:t>
      </w:r>
      <w:r w:rsidR="00EC3556" w:rsidRPr="00EC3556">
        <w:rPr>
          <w:rFonts w:ascii="Calibri" w:hAnsi="Calibri" w:cs="Calibri"/>
        </w:rPr>
        <w:t xml:space="preserve"> </w:t>
      </w:r>
      <w:r w:rsidRPr="00EC3556">
        <w:rPr>
          <w:rFonts w:ascii="Calibri" w:hAnsi="Calibri" w:cs="Calibri"/>
        </w:rPr>
        <w:t>nízkou vypovídací schopnost</w:t>
      </w:r>
      <w:r w:rsidR="0062225C">
        <w:rPr>
          <w:rFonts w:ascii="Calibri" w:hAnsi="Calibri" w:cs="Calibri"/>
        </w:rPr>
        <w:t xml:space="preserve">, která </w:t>
      </w:r>
      <w:r w:rsidR="000770F6">
        <w:rPr>
          <w:rFonts w:ascii="Calibri" w:hAnsi="Calibri" w:cs="Calibri"/>
        </w:rPr>
        <w:t xml:space="preserve">je </w:t>
      </w:r>
      <w:r w:rsidR="0062225C">
        <w:rPr>
          <w:rFonts w:ascii="Calibri" w:hAnsi="Calibri" w:cs="Calibri"/>
        </w:rPr>
        <w:t xml:space="preserve">pro </w:t>
      </w:r>
      <w:r w:rsidRPr="00EC3556">
        <w:rPr>
          <w:rFonts w:ascii="Calibri" w:hAnsi="Calibri" w:cs="Calibri"/>
        </w:rPr>
        <w:t>hodnocení</w:t>
      </w:r>
      <w:r w:rsidR="005B40FA">
        <w:rPr>
          <w:rFonts w:ascii="Calibri" w:hAnsi="Calibri" w:cs="Calibri"/>
        </w:rPr>
        <w:t xml:space="preserve"> míry naplňování cílů podprogramu</w:t>
      </w:r>
      <w:r w:rsidR="00BC4523">
        <w:rPr>
          <w:rFonts w:ascii="Calibri" w:hAnsi="Calibri" w:cs="Calibri"/>
        </w:rPr>
        <w:t>, resp. programu 107 690</w:t>
      </w:r>
      <w:r w:rsidR="005B40FA">
        <w:rPr>
          <w:rFonts w:ascii="Calibri" w:hAnsi="Calibri" w:cs="Calibri"/>
        </w:rPr>
        <w:t xml:space="preserve"> nedostatečná. </w:t>
      </w:r>
      <w:r w:rsidRPr="00864421">
        <w:rPr>
          <w:rFonts w:ascii="Calibri" w:hAnsi="Calibri" w:cs="Calibri"/>
        </w:rPr>
        <w:t xml:space="preserve">Dosažení stanovených ukazatelů po ukončení podprogramu </w:t>
      </w:r>
      <w:r w:rsidR="005B40FA" w:rsidRPr="00864421">
        <w:rPr>
          <w:rFonts w:ascii="Calibri" w:hAnsi="Calibri" w:cs="Calibri"/>
        </w:rPr>
        <w:t xml:space="preserve">tak </w:t>
      </w:r>
      <w:r w:rsidRPr="00864421">
        <w:rPr>
          <w:rFonts w:ascii="Calibri" w:hAnsi="Calibri" w:cs="Calibri"/>
        </w:rPr>
        <w:t>nebude vypovídat o </w:t>
      </w:r>
      <w:r w:rsidR="00EC3556" w:rsidRPr="00864421">
        <w:rPr>
          <w:rFonts w:ascii="Calibri" w:hAnsi="Calibri" w:cs="Calibri"/>
        </w:rPr>
        <w:t>měřitelném efektu realizace podprogramu</w:t>
      </w:r>
      <w:r w:rsidR="00864421" w:rsidRPr="00864421">
        <w:rPr>
          <w:rFonts w:ascii="Calibri" w:hAnsi="Calibri" w:cs="Calibri"/>
        </w:rPr>
        <w:t xml:space="preserve"> ve smyslu ustanovení §</w:t>
      </w:r>
      <w:r w:rsidR="0062225C">
        <w:rPr>
          <w:rFonts w:ascii="Calibri" w:hAnsi="Calibri" w:cs="Calibri"/>
        </w:rPr>
        <w:t> </w:t>
      </w:r>
      <w:r w:rsidR="00864421" w:rsidRPr="00864421">
        <w:rPr>
          <w:rFonts w:ascii="Calibri" w:hAnsi="Calibri" w:cs="Calibri"/>
        </w:rPr>
        <w:t>2</w:t>
      </w:r>
      <w:r w:rsidR="0062225C">
        <w:rPr>
          <w:rFonts w:ascii="Calibri" w:hAnsi="Calibri" w:cs="Calibri"/>
        </w:rPr>
        <w:t> </w:t>
      </w:r>
      <w:r w:rsidR="00864421" w:rsidRPr="00864421">
        <w:rPr>
          <w:rFonts w:ascii="Calibri" w:hAnsi="Calibri" w:cs="Calibri"/>
        </w:rPr>
        <w:t xml:space="preserve">písm. c) </w:t>
      </w:r>
      <w:r w:rsidR="005B40FA" w:rsidRPr="00864421">
        <w:rPr>
          <w:rFonts w:ascii="Calibri" w:hAnsi="Calibri" w:cs="Calibri"/>
        </w:rPr>
        <w:t>vyhlášk</w:t>
      </w:r>
      <w:r w:rsidR="00864421" w:rsidRPr="00864421">
        <w:rPr>
          <w:rFonts w:ascii="Calibri" w:hAnsi="Calibri" w:cs="Calibri"/>
        </w:rPr>
        <w:t>y</w:t>
      </w:r>
      <w:r w:rsidR="005B40FA" w:rsidRPr="00864421">
        <w:rPr>
          <w:rFonts w:ascii="Calibri" w:hAnsi="Calibri" w:cs="Calibri"/>
        </w:rPr>
        <w:t xml:space="preserve"> č. 560/2006 Sb.</w:t>
      </w:r>
      <w:r w:rsidR="00F50DB4">
        <w:rPr>
          <w:rFonts w:ascii="Calibri" w:hAnsi="Calibri" w:cs="Calibri"/>
        </w:rPr>
        <w:t xml:space="preserve"> </w:t>
      </w:r>
      <w:r w:rsidR="00AD2937">
        <w:rPr>
          <w:rFonts w:ascii="Calibri" w:hAnsi="Calibri" w:cs="Calibri"/>
        </w:rPr>
        <w:t>P</w:t>
      </w:r>
      <w:r w:rsidR="00F50DB4">
        <w:rPr>
          <w:rFonts w:ascii="Calibri" w:hAnsi="Calibri" w:cs="Calibri"/>
        </w:rPr>
        <w:t xml:space="preserve">rogram 107 690 </w:t>
      </w:r>
      <w:r w:rsidR="00AD2937">
        <w:rPr>
          <w:rFonts w:ascii="Calibri" w:hAnsi="Calibri" w:cs="Calibri"/>
        </w:rPr>
        <w:t xml:space="preserve">tak </w:t>
      </w:r>
      <w:r w:rsidR="00F50DB4">
        <w:rPr>
          <w:rFonts w:ascii="Calibri" w:hAnsi="Calibri" w:cs="Calibri"/>
        </w:rPr>
        <w:t>nebude možné řádně vyhodnotit.</w:t>
      </w:r>
    </w:p>
    <w:bookmarkEnd w:id="21"/>
    <w:p w14:paraId="1BB02507" w14:textId="77777777" w:rsidR="001C196C" w:rsidRPr="00371455" w:rsidRDefault="001C196C" w:rsidP="00371455">
      <w:pPr>
        <w:pStyle w:val="Nadpis2"/>
        <w:numPr>
          <w:ilvl w:val="0"/>
          <w:numId w:val="29"/>
        </w:numPr>
        <w:pBdr>
          <w:bottom w:val="single" w:sz="12" w:space="1" w:color="BD2A33"/>
        </w:pBdr>
        <w:spacing w:after="0"/>
        <w:ind w:left="284" w:hanging="284"/>
        <w:rPr>
          <w:rFonts w:asciiTheme="minorHAnsi" w:hAnsiTheme="minorHAnsi" w:cstheme="minorHAnsi"/>
          <w:i w:val="0"/>
          <w:sz w:val="24"/>
          <w:szCs w:val="24"/>
        </w:rPr>
      </w:pPr>
      <w:r w:rsidRPr="00371455">
        <w:rPr>
          <w:rFonts w:asciiTheme="minorHAnsi" w:hAnsiTheme="minorHAnsi" w:cstheme="minorHAnsi"/>
          <w:i w:val="0"/>
          <w:sz w:val="24"/>
          <w:szCs w:val="24"/>
        </w:rPr>
        <w:t xml:space="preserve">Neefektivně </w:t>
      </w:r>
      <w:r w:rsidR="00EE603A" w:rsidRPr="00371455">
        <w:rPr>
          <w:rFonts w:asciiTheme="minorHAnsi" w:hAnsiTheme="minorHAnsi" w:cstheme="minorHAnsi"/>
          <w:i w:val="0"/>
          <w:sz w:val="24"/>
          <w:szCs w:val="24"/>
        </w:rPr>
        <w:t xml:space="preserve">a neúčelně </w:t>
      </w:r>
      <w:r w:rsidRPr="00371455">
        <w:rPr>
          <w:rFonts w:asciiTheme="minorHAnsi" w:hAnsiTheme="minorHAnsi" w:cstheme="minorHAnsi"/>
          <w:i w:val="0"/>
          <w:sz w:val="24"/>
          <w:szCs w:val="24"/>
        </w:rPr>
        <w:t>vynaložené výdaje na opravy</w:t>
      </w:r>
      <w:r w:rsidR="00900E7F" w:rsidRPr="00371455">
        <w:rPr>
          <w:rFonts w:asciiTheme="minorHAnsi" w:hAnsiTheme="minorHAnsi" w:cstheme="minorHAnsi"/>
          <w:i w:val="0"/>
          <w:sz w:val="24"/>
          <w:szCs w:val="24"/>
        </w:rPr>
        <w:t xml:space="preserve"> automobilní techniky</w:t>
      </w:r>
    </w:p>
    <w:p w14:paraId="4F893883" w14:textId="6FFE1C0D" w:rsidR="00CB59DD" w:rsidRDefault="00CB59DD" w:rsidP="00CB59DD">
      <w:pPr>
        <w:tabs>
          <w:tab w:val="left" w:pos="426"/>
        </w:tabs>
        <w:spacing w:before="120"/>
        <w:jc w:val="both"/>
        <w:rPr>
          <w:rFonts w:asciiTheme="minorHAnsi" w:hAnsiTheme="minorHAnsi" w:cstheme="minorHAnsi"/>
        </w:rPr>
      </w:pPr>
      <w:r w:rsidRPr="00CB59DD">
        <w:rPr>
          <w:rFonts w:asciiTheme="minorHAnsi" w:hAnsiTheme="minorHAnsi" w:cstheme="minorHAnsi"/>
          <w:b/>
        </w:rPr>
        <w:t>4.</w:t>
      </w:r>
      <w:r w:rsidR="002A0432">
        <w:rPr>
          <w:rFonts w:asciiTheme="minorHAnsi" w:hAnsiTheme="minorHAnsi" w:cstheme="minorHAnsi"/>
          <w:b/>
        </w:rPr>
        <w:t>2</w:t>
      </w:r>
      <w:r w:rsidR="007274B9">
        <w:rPr>
          <w:rFonts w:asciiTheme="minorHAnsi" w:hAnsiTheme="minorHAnsi" w:cstheme="minorHAnsi"/>
          <w:b/>
        </w:rPr>
        <w:t>0</w:t>
      </w:r>
      <w:r w:rsidRPr="00CB59DD">
        <w:rPr>
          <w:rFonts w:asciiTheme="minorHAnsi" w:hAnsiTheme="minorHAnsi" w:cstheme="minorHAnsi"/>
          <w:b/>
        </w:rPr>
        <w:t xml:space="preserve"> </w:t>
      </w:r>
      <w:r w:rsidR="003C13D6" w:rsidRPr="00AC1329">
        <w:rPr>
          <w:rFonts w:asciiTheme="minorHAnsi" w:hAnsiTheme="minorHAnsi" w:cstheme="minorHAnsi"/>
        </w:rPr>
        <w:t>Kontrola</w:t>
      </w:r>
      <w:r w:rsidRPr="003C13D6">
        <w:rPr>
          <w:rFonts w:asciiTheme="minorHAnsi" w:hAnsiTheme="minorHAnsi" w:cstheme="minorHAnsi"/>
        </w:rPr>
        <w:t xml:space="preserve"> prověřil</w:t>
      </w:r>
      <w:r w:rsidR="003C13D6" w:rsidRPr="003C13D6">
        <w:rPr>
          <w:rFonts w:asciiTheme="minorHAnsi" w:hAnsiTheme="minorHAnsi" w:cstheme="minorHAnsi"/>
        </w:rPr>
        <w:t>a</w:t>
      </w:r>
      <w:r w:rsidRPr="003C13D6">
        <w:rPr>
          <w:rFonts w:asciiTheme="minorHAnsi" w:hAnsiTheme="minorHAnsi" w:cstheme="minorHAnsi"/>
        </w:rPr>
        <w:t xml:space="preserve"> realizaci</w:t>
      </w:r>
      <w:r>
        <w:rPr>
          <w:rFonts w:asciiTheme="minorHAnsi" w:hAnsiTheme="minorHAnsi" w:cstheme="minorHAnsi"/>
        </w:rPr>
        <w:t xml:space="preserve"> oprav </w:t>
      </w:r>
      <w:r w:rsidRPr="004045CA">
        <w:rPr>
          <w:rFonts w:asciiTheme="minorHAnsi" w:hAnsiTheme="minorHAnsi" w:cstheme="minorHAnsi"/>
        </w:rPr>
        <w:t xml:space="preserve">automobilní techniky </w:t>
      </w:r>
      <w:r w:rsidR="00D9332D">
        <w:rPr>
          <w:rFonts w:asciiTheme="minorHAnsi" w:hAnsiTheme="minorHAnsi" w:cstheme="minorHAnsi"/>
        </w:rPr>
        <w:t xml:space="preserve">z hledisek efektivnosti a účelnosti </w:t>
      </w:r>
      <w:r w:rsidRPr="004045CA">
        <w:rPr>
          <w:rFonts w:asciiTheme="minorHAnsi" w:hAnsiTheme="minorHAnsi" w:cstheme="minorHAnsi"/>
        </w:rPr>
        <w:t xml:space="preserve">na kontrolním vzorku </w:t>
      </w:r>
      <w:r w:rsidR="004D4BE4">
        <w:rPr>
          <w:rFonts w:asciiTheme="minorHAnsi" w:hAnsiTheme="minorHAnsi" w:cstheme="minorHAnsi"/>
        </w:rPr>
        <w:t xml:space="preserve">46 </w:t>
      </w:r>
      <w:r>
        <w:rPr>
          <w:rFonts w:asciiTheme="minorHAnsi" w:hAnsiTheme="minorHAnsi" w:cstheme="minorHAnsi"/>
        </w:rPr>
        <w:t xml:space="preserve">plnění </w:t>
      </w:r>
      <w:r w:rsidR="006376CE">
        <w:rPr>
          <w:rFonts w:asciiTheme="minorHAnsi" w:hAnsiTheme="minorHAnsi" w:cstheme="minorHAnsi"/>
        </w:rPr>
        <w:t xml:space="preserve">na základě </w:t>
      </w:r>
      <w:r>
        <w:rPr>
          <w:rFonts w:asciiTheme="minorHAnsi" w:hAnsiTheme="minorHAnsi" w:cstheme="minorHAnsi"/>
        </w:rPr>
        <w:t>rámcov</w:t>
      </w:r>
      <w:r w:rsidR="00DE5003">
        <w:rPr>
          <w:rFonts w:asciiTheme="minorHAnsi" w:hAnsiTheme="minorHAnsi" w:cstheme="minorHAnsi"/>
        </w:rPr>
        <w:t>ých</w:t>
      </w:r>
      <w:r>
        <w:rPr>
          <w:rFonts w:asciiTheme="minorHAnsi" w:hAnsiTheme="minorHAnsi" w:cstheme="minorHAnsi"/>
        </w:rPr>
        <w:t xml:space="preserve"> smluv</w:t>
      </w:r>
      <w:r w:rsidR="004D4BE4">
        <w:rPr>
          <w:rFonts w:asciiTheme="minorHAnsi" w:hAnsiTheme="minorHAnsi" w:cstheme="minorHAnsi"/>
        </w:rPr>
        <w:t xml:space="preserve"> </w:t>
      </w:r>
      <w:r>
        <w:rPr>
          <w:rFonts w:asciiTheme="minorHAnsi" w:hAnsiTheme="minorHAnsi" w:cstheme="minorHAnsi"/>
        </w:rPr>
        <w:t xml:space="preserve">na </w:t>
      </w:r>
      <w:r w:rsidR="000A6CD3">
        <w:rPr>
          <w:rFonts w:asciiTheme="minorHAnsi" w:hAnsiTheme="minorHAnsi" w:cstheme="minorHAnsi"/>
        </w:rPr>
        <w:t xml:space="preserve">běžné </w:t>
      </w:r>
      <w:r>
        <w:rPr>
          <w:rFonts w:asciiTheme="minorHAnsi" w:hAnsiTheme="minorHAnsi" w:cstheme="minorHAnsi"/>
        </w:rPr>
        <w:t xml:space="preserve">opravy osobních </w:t>
      </w:r>
      <w:r w:rsidR="00D9332D">
        <w:rPr>
          <w:rFonts w:asciiTheme="minorHAnsi" w:hAnsiTheme="minorHAnsi" w:cstheme="minorHAnsi"/>
        </w:rPr>
        <w:t>a</w:t>
      </w:r>
      <w:r w:rsidR="006376CE">
        <w:rPr>
          <w:rFonts w:asciiTheme="minorHAnsi" w:hAnsiTheme="minorHAnsi" w:cstheme="minorHAnsi"/>
        </w:rPr>
        <w:t> </w:t>
      </w:r>
      <w:r w:rsidR="00D9332D">
        <w:rPr>
          <w:rFonts w:asciiTheme="minorHAnsi" w:hAnsiTheme="minorHAnsi" w:cstheme="minorHAnsi"/>
        </w:rPr>
        <w:t xml:space="preserve">středních nákladních </w:t>
      </w:r>
      <w:r>
        <w:rPr>
          <w:rFonts w:asciiTheme="minorHAnsi" w:hAnsiTheme="minorHAnsi" w:cstheme="minorHAnsi"/>
        </w:rPr>
        <w:t>terénních automobilů</w:t>
      </w:r>
      <w:r w:rsidR="00D9332D">
        <w:rPr>
          <w:rFonts w:asciiTheme="minorHAnsi" w:hAnsiTheme="minorHAnsi" w:cstheme="minorHAnsi"/>
        </w:rPr>
        <w:t xml:space="preserve"> a</w:t>
      </w:r>
      <w:r>
        <w:rPr>
          <w:rFonts w:asciiTheme="minorHAnsi" w:hAnsiTheme="minorHAnsi" w:cstheme="minorHAnsi"/>
        </w:rPr>
        <w:t xml:space="preserve"> jeřábové techniky</w:t>
      </w:r>
      <w:r w:rsidRPr="004045CA">
        <w:rPr>
          <w:rFonts w:asciiTheme="minorHAnsi" w:hAnsiTheme="minorHAnsi" w:cstheme="minorHAnsi"/>
        </w:rPr>
        <w:t>.</w:t>
      </w:r>
      <w:r>
        <w:rPr>
          <w:rFonts w:asciiTheme="minorHAnsi" w:hAnsiTheme="minorHAnsi" w:cstheme="minorHAnsi"/>
        </w:rPr>
        <w:t xml:space="preserve"> NKÚ posuzoval </w:t>
      </w:r>
      <w:r w:rsidR="000A6CD3">
        <w:rPr>
          <w:rFonts w:asciiTheme="minorHAnsi" w:hAnsiTheme="minorHAnsi" w:cstheme="minorHAnsi"/>
        </w:rPr>
        <w:t xml:space="preserve">zejména </w:t>
      </w:r>
      <w:r>
        <w:rPr>
          <w:rFonts w:asciiTheme="minorHAnsi" w:hAnsiTheme="minorHAnsi" w:cstheme="minorHAnsi"/>
        </w:rPr>
        <w:t>rozsah</w:t>
      </w:r>
      <w:r w:rsidR="000A6CD3">
        <w:rPr>
          <w:rFonts w:asciiTheme="minorHAnsi" w:hAnsiTheme="minorHAnsi" w:cstheme="minorHAnsi"/>
        </w:rPr>
        <w:t xml:space="preserve"> oprav</w:t>
      </w:r>
      <w:r>
        <w:rPr>
          <w:rFonts w:asciiTheme="minorHAnsi" w:hAnsiTheme="minorHAnsi" w:cstheme="minorHAnsi"/>
        </w:rPr>
        <w:t xml:space="preserve"> a</w:t>
      </w:r>
      <w:r w:rsidR="003C13D6">
        <w:rPr>
          <w:rFonts w:asciiTheme="minorHAnsi" w:hAnsiTheme="minorHAnsi" w:cstheme="minorHAnsi"/>
        </w:rPr>
        <w:t xml:space="preserve"> </w:t>
      </w:r>
      <w:r>
        <w:rPr>
          <w:rFonts w:asciiTheme="minorHAnsi" w:hAnsiTheme="minorHAnsi" w:cstheme="minorHAnsi"/>
        </w:rPr>
        <w:t xml:space="preserve">fakturovanou cenu včetně porovnání s pořizovací </w:t>
      </w:r>
      <w:r w:rsidR="00D9332D">
        <w:rPr>
          <w:rFonts w:asciiTheme="minorHAnsi" w:hAnsiTheme="minorHAnsi" w:cstheme="minorHAnsi"/>
        </w:rPr>
        <w:t xml:space="preserve">cenou </w:t>
      </w:r>
      <w:r>
        <w:rPr>
          <w:rFonts w:asciiTheme="minorHAnsi" w:hAnsiTheme="minorHAnsi" w:cstheme="minorHAnsi"/>
        </w:rPr>
        <w:t>a</w:t>
      </w:r>
      <w:r w:rsidR="003C13D6">
        <w:rPr>
          <w:rFonts w:asciiTheme="minorHAnsi" w:hAnsiTheme="minorHAnsi" w:cstheme="minorHAnsi"/>
        </w:rPr>
        <w:t xml:space="preserve"> </w:t>
      </w:r>
      <w:r>
        <w:rPr>
          <w:rFonts w:asciiTheme="minorHAnsi" w:hAnsiTheme="minorHAnsi" w:cstheme="minorHAnsi"/>
        </w:rPr>
        <w:t xml:space="preserve">zůstatkovou </w:t>
      </w:r>
      <w:r w:rsidR="00D9332D">
        <w:rPr>
          <w:rFonts w:asciiTheme="minorHAnsi" w:hAnsiTheme="minorHAnsi" w:cstheme="minorHAnsi"/>
        </w:rPr>
        <w:t>účetní hodnotou</w:t>
      </w:r>
      <w:r>
        <w:rPr>
          <w:rFonts w:asciiTheme="minorHAnsi" w:hAnsiTheme="minorHAnsi" w:cstheme="minorHAnsi"/>
        </w:rPr>
        <w:t xml:space="preserve"> techniky a</w:t>
      </w:r>
      <w:r w:rsidR="003C13D6">
        <w:rPr>
          <w:rFonts w:asciiTheme="minorHAnsi" w:hAnsiTheme="minorHAnsi" w:cstheme="minorHAnsi"/>
        </w:rPr>
        <w:t xml:space="preserve"> </w:t>
      </w:r>
      <w:r w:rsidR="000A6CD3">
        <w:rPr>
          <w:rFonts w:asciiTheme="minorHAnsi" w:hAnsiTheme="minorHAnsi" w:cstheme="minorHAnsi"/>
        </w:rPr>
        <w:t>také</w:t>
      </w:r>
      <w:r w:rsidR="00C856A6">
        <w:rPr>
          <w:rFonts w:asciiTheme="minorHAnsi" w:hAnsiTheme="minorHAnsi" w:cstheme="minorHAnsi"/>
        </w:rPr>
        <w:t xml:space="preserve"> s</w:t>
      </w:r>
      <w:r w:rsidR="003C13D6">
        <w:rPr>
          <w:rFonts w:asciiTheme="minorHAnsi" w:hAnsiTheme="minorHAnsi" w:cstheme="minorHAnsi"/>
        </w:rPr>
        <w:t xml:space="preserve"> </w:t>
      </w:r>
      <w:r>
        <w:rPr>
          <w:rFonts w:asciiTheme="minorHAnsi" w:hAnsiTheme="minorHAnsi" w:cstheme="minorHAnsi"/>
        </w:rPr>
        <w:t>cenou nov</w:t>
      </w:r>
      <w:r w:rsidR="004D4BE4">
        <w:rPr>
          <w:rFonts w:asciiTheme="minorHAnsi" w:hAnsiTheme="minorHAnsi" w:cstheme="minorHAnsi"/>
        </w:rPr>
        <w:t>ě pořizované</w:t>
      </w:r>
      <w:r>
        <w:rPr>
          <w:rFonts w:asciiTheme="minorHAnsi" w:hAnsiTheme="minorHAnsi" w:cstheme="minorHAnsi"/>
        </w:rPr>
        <w:t xml:space="preserve"> techniky</w:t>
      </w:r>
      <w:r w:rsidR="00926F48">
        <w:rPr>
          <w:rFonts w:asciiTheme="minorHAnsi" w:hAnsiTheme="minorHAnsi" w:cstheme="minorHAnsi"/>
        </w:rPr>
        <w:t xml:space="preserve">. Dále </w:t>
      </w:r>
      <w:r w:rsidR="00C856A6">
        <w:rPr>
          <w:rFonts w:asciiTheme="minorHAnsi" w:hAnsiTheme="minorHAnsi" w:cstheme="minorHAnsi"/>
        </w:rPr>
        <w:t>hodnotil</w:t>
      </w:r>
      <w:r>
        <w:rPr>
          <w:rFonts w:asciiTheme="minorHAnsi" w:hAnsiTheme="minorHAnsi" w:cstheme="minorHAnsi"/>
        </w:rPr>
        <w:t xml:space="preserve"> stáří, </w:t>
      </w:r>
      <w:r w:rsidR="00926F48">
        <w:rPr>
          <w:rFonts w:asciiTheme="minorHAnsi" w:hAnsiTheme="minorHAnsi" w:cstheme="minorHAnsi"/>
        </w:rPr>
        <w:t xml:space="preserve">předpokládanou </w:t>
      </w:r>
      <w:r>
        <w:rPr>
          <w:rFonts w:asciiTheme="minorHAnsi" w:hAnsiTheme="minorHAnsi" w:cstheme="minorHAnsi"/>
        </w:rPr>
        <w:t>životnost, technický stav a vykonanou práci techniky</w:t>
      </w:r>
      <w:r w:rsidR="00926F48">
        <w:rPr>
          <w:rFonts w:asciiTheme="minorHAnsi" w:hAnsiTheme="minorHAnsi" w:cstheme="minorHAnsi"/>
        </w:rPr>
        <w:t xml:space="preserve"> a rovněž její</w:t>
      </w:r>
      <w:r>
        <w:rPr>
          <w:rFonts w:asciiTheme="minorHAnsi" w:hAnsiTheme="minorHAnsi" w:cstheme="minorHAnsi"/>
        </w:rPr>
        <w:t xml:space="preserve"> perspektivnost </w:t>
      </w:r>
      <w:r w:rsidR="00740CBC">
        <w:rPr>
          <w:rFonts w:asciiTheme="minorHAnsi" w:hAnsiTheme="minorHAnsi" w:cstheme="minorHAnsi"/>
        </w:rPr>
        <w:t>vzhledem</w:t>
      </w:r>
      <w:r>
        <w:rPr>
          <w:rFonts w:asciiTheme="minorHAnsi" w:hAnsiTheme="minorHAnsi" w:cstheme="minorHAnsi"/>
        </w:rPr>
        <w:t xml:space="preserve"> k pořízení nové techniky daného druhu a typu</w:t>
      </w:r>
      <w:r w:rsidR="00926F48">
        <w:rPr>
          <w:rFonts w:asciiTheme="minorHAnsi" w:hAnsiTheme="minorHAnsi" w:cstheme="minorHAnsi"/>
        </w:rPr>
        <w:t>.</w:t>
      </w:r>
    </w:p>
    <w:p w14:paraId="5E49D18E" w14:textId="1BF312E8" w:rsidR="00CB59DD" w:rsidRDefault="00926F48" w:rsidP="008D39B4">
      <w:pPr>
        <w:keepNext/>
        <w:tabs>
          <w:tab w:val="left" w:pos="284"/>
        </w:tabs>
        <w:spacing w:before="120" w:after="120"/>
        <w:jc w:val="both"/>
        <w:rPr>
          <w:rFonts w:ascii="Calibri" w:hAnsi="Calibri" w:cs="Calibri"/>
        </w:rPr>
      </w:pPr>
      <w:r>
        <w:rPr>
          <w:rFonts w:asciiTheme="minorHAnsi" w:hAnsiTheme="minorHAnsi" w:cstheme="minorHAnsi"/>
          <w:b/>
        </w:rPr>
        <w:t>4.</w:t>
      </w:r>
      <w:r w:rsidR="002C0BBA">
        <w:rPr>
          <w:rFonts w:asciiTheme="minorHAnsi" w:hAnsiTheme="minorHAnsi" w:cstheme="minorHAnsi"/>
          <w:b/>
        </w:rPr>
        <w:t>2</w:t>
      </w:r>
      <w:r w:rsidR="007274B9">
        <w:rPr>
          <w:rFonts w:asciiTheme="minorHAnsi" w:hAnsiTheme="minorHAnsi" w:cstheme="minorHAnsi"/>
          <w:b/>
        </w:rPr>
        <w:t>1</w:t>
      </w:r>
      <w:r>
        <w:rPr>
          <w:rFonts w:asciiTheme="minorHAnsi" w:hAnsiTheme="minorHAnsi" w:cstheme="minorHAnsi"/>
          <w:b/>
        </w:rPr>
        <w:t xml:space="preserve"> </w:t>
      </w:r>
      <w:r w:rsidRPr="003949F9">
        <w:rPr>
          <w:rFonts w:asciiTheme="minorHAnsi" w:hAnsiTheme="minorHAnsi" w:cstheme="minorHAnsi"/>
        </w:rPr>
        <w:t xml:space="preserve">NKÚ </w:t>
      </w:r>
      <w:r w:rsidR="00492B45" w:rsidRPr="003949F9">
        <w:rPr>
          <w:rFonts w:asciiTheme="minorHAnsi" w:hAnsiTheme="minorHAnsi" w:cstheme="minorHAnsi"/>
        </w:rPr>
        <w:t>zjistil, že MO</w:t>
      </w:r>
      <w:r w:rsidR="00492B45">
        <w:rPr>
          <w:rFonts w:asciiTheme="minorHAnsi" w:hAnsiTheme="minorHAnsi" w:cstheme="minorHAnsi"/>
        </w:rPr>
        <w:t xml:space="preserve"> vynaložilo </w:t>
      </w:r>
      <w:r w:rsidR="0081281B">
        <w:rPr>
          <w:rFonts w:asciiTheme="minorHAnsi" w:hAnsiTheme="minorHAnsi" w:cstheme="minorHAnsi"/>
        </w:rPr>
        <w:t xml:space="preserve">peněžní </w:t>
      </w:r>
      <w:r w:rsidR="0081281B" w:rsidRPr="00926F48">
        <w:rPr>
          <w:rFonts w:asciiTheme="minorHAnsi" w:hAnsiTheme="minorHAnsi" w:cstheme="minorHAnsi"/>
        </w:rPr>
        <w:t>prostředky státního rozpočtu</w:t>
      </w:r>
      <w:r w:rsidRPr="00926F48">
        <w:rPr>
          <w:rFonts w:asciiTheme="minorHAnsi" w:hAnsiTheme="minorHAnsi" w:cstheme="minorHAnsi"/>
        </w:rPr>
        <w:t xml:space="preserve"> na 15 provedených oprav </w:t>
      </w:r>
      <w:r>
        <w:rPr>
          <w:rFonts w:asciiTheme="minorHAnsi" w:hAnsiTheme="minorHAnsi" w:cstheme="minorHAnsi"/>
        </w:rPr>
        <w:t>osobních terénních automobilů</w:t>
      </w:r>
      <w:r w:rsidR="001B517A">
        <w:rPr>
          <w:rStyle w:val="Znakapoznpodarou"/>
          <w:rFonts w:asciiTheme="minorHAnsi" w:hAnsiTheme="minorHAnsi" w:cstheme="minorHAnsi"/>
        </w:rPr>
        <w:footnoteReference w:id="39"/>
      </w:r>
      <w:r>
        <w:rPr>
          <w:rFonts w:asciiTheme="minorHAnsi" w:hAnsiTheme="minorHAnsi" w:cstheme="minorHAnsi"/>
        </w:rPr>
        <w:t xml:space="preserve"> </w:t>
      </w:r>
      <w:r w:rsidRPr="00926F48">
        <w:rPr>
          <w:rFonts w:asciiTheme="minorHAnsi" w:hAnsiTheme="minorHAnsi" w:cstheme="minorHAnsi"/>
        </w:rPr>
        <w:t>v celkové výši 12 540 350 Kč neefektivně</w:t>
      </w:r>
      <w:r w:rsidR="00A311C8">
        <w:rPr>
          <w:rFonts w:asciiTheme="minorHAnsi" w:hAnsiTheme="minorHAnsi" w:cstheme="minorHAnsi"/>
        </w:rPr>
        <w:t>. C</w:t>
      </w:r>
      <w:r w:rsidRPr="00926F48">
        <w:rPr>
          <w:rFonts w:asciiTheme="minorHAnsi" w:hAnsiTheme="minorHAnsi" w:cstheme="minorHAnsi"/>
        </w:rPr>
        <w:t xml:space="preserve">ena za opravy </w:t>
      </w:r>
      <w:r w:rsidR="00572432">
        <w:rPr>
          <w:rFonts w:asciiTheme="minorHAnsi" w:hAnsiTheme="minorHAnsi" w:cstheme="minorHAnsi"/>
        </w:rPr>
        <w:t xml:space="preserve">se pohybovala v rozmezí od 510 885 </w:t>
      </w:r>
      <w:r w:rsidR="003949F9">
        <w:rPr>
          <w:rFonts w:asciiTheme="minorHAnsi" w:hAnsiTheme="minorHAnsi" w:cstheme="minorHAnsi"/>
        </w:rPr>
        <w:t xml:space="preserve">Kč </w:t>
      </w:r>
      <w:r w:rsidR="00572432">
        <w:rPr>
          <w:rFonts w:asciiTheme="minorHAnsi" w:hAnsiTheme="minorHAnsi" w:cstheme="minorHAnsi"/>
        </w:rPr>
        <w:t xml:space="preserve">do 1 362 626 Kč a </w:t>
      </w:r>
      <w:r w:rsidRPr="00926F48">
        <w:rPr>
          <w:rFonts w:asciiTheme="minorHAnsi" w:hAnsiTheme="minorHAnsi" w:cstheme="minorHAnsi"/>
        </w:rPr>
        <w:t xml:space="preserve">násobně převyšovala zůstatkovou </w:t>
      </w:r>
      <w:r>
        <w:rPr>
          <w:rFonts w:asciiTheme="minorHAnsi" w:hAnsiTheme="minorHAnsi" w:cstheme="minorHAnsi"/>
        </w:rPr>
        <w:t xml:space="preserve">účetní </w:t>
      </w:r>
      <w:r w:rsidRPr="00926F48">
        <w:rPr>
          <w:rFonts w:asciiTheme="minorHAnsi" w:hAnsiTheme="minorHAnsi" w:cstheme="minorHAnsi"/>
        </w:rPr>
        <w:t xml:space="preserve">hodnotu </w:t>
      </w:r>
      <w:r>
        <w:rPr>
          <w:rFonts w:asciiTheme="minorHAnsi" w:hAnsiTheme="minorHAnsi" w:cstheme="minorHAnsi"/>
        </w:rPr>
        <w:t>automobilů</w:t>
      </w:r>
      <w:r w:rsidR="007274B9" w:rsidRPr="00C856A6">
        <w:rPr>
          <w:rStyle w:val="Znakapoznpodarou"/>
          <w:rFonts w:asciiTheme="minorHAnsi" w:hAnsiTheme="minorHAnsi" w:cstheme="minorHAnsi"/>
        </w:rPr>
        <w:footnoteReference w:id="40"/>
      </w:r>
      <w:r w:rsidR="00572432">
        <w:rPr>
          <w:rFonts w:asciiTheme="minorHAnsi" w:hAnsiTheme="minorHAnsi" w:cstheme="minorHAnsi"/>
        </w:rPr>
        <w:t>, u</w:t>
      </w:r>
      <w:r w:rsidR="00C856A6">
        <w:rPr>
          <w:rFonts w:asciiTheme="minorHAnsi" w:hAnsiTheme="minorHAnsi" w:cstheme="minorHAnsi"/>
        </w:rPr>
        <w:t xml:space="preserve"> </w:t>
      </w:r>
      <w:r w:rsidRPr="00926F48">
        <w:rPr>
          <w:rFonts w:asciiTheme="minorHAnsi" w:hAnsiTheme="minorHAnsi" w:cstheme="minorHAnsi"/>
        </w:rPr>
        <w:t xml:space="preserve">dvou </w:t>
      </w:r>
      <w:r w:rsidR="00C856A6">
        <w:rPr>
          <w:rFonts w:asciiTheme="minorHAnsi" w:hAnsiTheme="minorHAnsi" w:cstheme="minorHAnsi"/>
        </w:rPr>
        <w:t>oprav</w:t>
      </w:r>
      <w:r w:rsidRPr="00926F48">
        <w:rPr>
          <w:rFonts w:asciiTheme="minorHAnsi" w:hAnsiTheme="minorHAnsi" w:cstheme="minorHAnsi"/>
        </w:rPr>
        <w:t xml:space="preserve"> </w:t>
      </w:r>
      <w:r w:rsidR="00C856A6">
        <w:rPr>
          <w:rFonts w:asciiTheme="minorHAnsi" w:hAnsiTheme="minorHAnsi" w:cstheme="minorHAnsi"/>
        </w:rPr>
        <w:t xml:space="preserve">převyšovala </w:t>
      </w:r>
      <w:r w:rsidR="00572432">
        <w:rPr>
          <w:rFonts w:asciiTheme="minorHAnsi" w:hAnsiTheme="minorHAnsi" w:cstheme="minorHAnsi"/>
        </w:rPr>
        <w:t xml:space="preserve">i </w:t>
      </w:r>
      <w:r w:rsidRPr="00926F48">
        <w:rPr>
          <w:rFonts w:asciiTheme="minorHAnsi" w:hAnsiTheme="minorHAnsi" w:cstheme="minorHAnsi"/>
        </w:rPr>
        <w:t>jejich pořizovací cenu</w:t>
      </w:r>
      <w:r w:rsidR="00C856A6" w:rsidRPr="00926F48">
        <w:rPr>
          <w:rFonts w:asciiTheme="minorHAnsi" w:hAnsiTheme="minorHAnsi" w:cstheme="minorHAnsi"/>
        </w:rPr>
        <w:t>.</w:t>
      </w:r>
      <w:r w:rsidRPr="00926F48">
        <w:rPr>
          <w:rFonts w:asciiTheme="minorHAnsi" w:hAnsiTheme="minorHAnsi" w:cstheme="minorHAnsi"/>
        </w:rPr>
        <w:t xml:space="preserve"> U čtyř </w:t>
      </w:r>
      <w:r>
        <w:rPr>
          <w:rFonts w:asciiTheme="minorHAnsi" w:hAnsiTheme="minorHAnsi" w:cstheme="minorHAnsi"/>
        </w:rPr>
        <w:t>automobilů</w:t>
      </w:r>
      <w:r w:rsidRPr="00926F48">
        <w:rPr>
          <w:rFonts w:asciiTheme="minorHAnsi" w:hAnsiTheme="minorHAnsi" w:cstheme="minorHAnsi"/>
        </w:rPr>
        <w:t xml:space="preserve"> dokonce převyšovala i </w:t>
      </w:r>
      <w:r w:rsidR="00A311C8">
        <w:rPr>
          <w:rFonts w:asciiTheme="minorHAnsi" w:hAnsiTheme="minorHAnsi" w:cstheme="minorHAnsi"/>
        </w:rPr>
        <w:t>částku</w:t>
      </w:r>
      <w:r w:rsidRPr="00926F48">
        <w:rPr>
          <w:rFonts w:asciiTheme="minorHAnsi" w:hAnsiTheme="minorHAnsi" w:cstheme="minorHAnsi"/>
        </w:rPr>
        <w:t xml:space="preserve"> 857 27</w:t>
      </w:r>
      <w:r>
        <w:rPr>
          <w:rFonts w:asciiTheme="minorHAnsi" w:hAnsiTheme="minorHAnsi" w:cstheme="minorHAnsi"/>
        </w:rPr>
        <w:t>3</w:t>
      </w:r>
      <w:r w:rsidRPr="00926F48">
        <w:rPr>
          <w:rFonts w:asciiTheme="minorHAnsi" w:hAnsiTheme="minorHAnsi" w:cstheme="minorHAnsi"/>
        </w:rPr>
        <w:t xml:space="preserve"> Kč</w:t>
      </w:r>
      <w:r w:rsidR="00A311C8">
        <w:rPr>
          <w:rFonts w:asciiTheme="minorHAnsi" w:hAnsiTheme="minorHAnsi" w:cstheme="minorHAnsi"/>
        </w:rPr>
        <w:t>, což je cena</w:t>
      </w:r>
      <w:r w:rsidRPr="00926F48">
        <w:rPr>
          <w:rFonts w:asciiTheme="minorHAnsi" w:hAnsiTheme="minorHAnsi" w:cstheme="minorHAnsi"/>
        </w:rPr>
        <w:t xml:space="preserve"> nového</w:t>
      </w:r>
      <w:r>
        <w:rPr>
          <w:rFonts w:asciiTheme="minorHAnsi" w:hAnsiTheme="minorHAnsi" w:cstheme="minorHAnsi"/>
        </w:rPr>
        <w:t xml:space="preserve"> osobního </w:t>
      </w:r>
      <w:r>
        <w:rPr>
          <w:rFonts w:asciiTheme="minorHAnsi" w:hAnsiTheme="minorHAnsi" w:cstheme="minorHAnsi"/>
        </w:rPr>
        <w:lastRenderedPageBreak/>
        <w:t>terénního automobilu</w:t>
      </w:r>
      <w:r w:rsidR="00A311C8">
        <w:rPr>
          <w:rFonts w:asciiTheme="minorHAnsi" w:hAnsiTheme="minorHAnsi" w:cstheme="minorHAnsi"/>
        </w:rPr>
        <w:t xml:space="preserve"> </w:t>
      </w:r>
      <w:r w:rsidRPr="00926F48">
        <w:rPr>
          <w:rFonts w:asciiTheme="minorHAnsi" w:hAnsiTheme="minorHAnsi" w:cstheme="minorHAnsi"/>
        </w:rPr>
        <w:t>pořiz</w:t>
      </w:r>
      <w:r w:rsidR="00A311C8">
        <w:rPr>
          <w:rFonts w:asciiTheme="minorHAnsi" w:hAnsiTheme="minorHAnsi" w:cstheme="minorHAnsi"/>
        </w:rPr>
        <w:t>ovaného</w:t>
      </w:r>
      <w:r w:rsidRPr="00926F48">
        <w:rPr>
          <w:rFonts w:asciiTheme="minorHAnsi" w:hAnsiTheme="minorHAnsi" w:cstheme="minorHAnsi"/>
        </w:rPr>
        <w:t xml:space="preserve"> </w:t>
      </w:r>
      <w:r w:rsidR="00A311C8">
        <w:rPr>
          <w:rFonts w:asciiTheme="minorHAnsi" w:hAnsiTheme="minorHAnsi" w:cstheme="minorHAnsi"/>
        </w:rPr>
        <w:t>v rámci</w:t>
      </w:r>
      <w:r w:rsidRPr="00926F48">
        <w:rPr>
          <w:rFonts w:asciiTheme="minorHAnsi" w:hAnsiTheme="minorHAnsi" w:cstheme="minorHAnsi"/>
        </w:rPr>
        <w:t xml:space="preserve"> </w:t>
      </w:r>
      <w:r w:rsidR="00C452DE">
        <w:rPr>
          <w:rFonts w:asciiTheme="minorHAnsi" w:hAnsiTheme="minorHAnsi" w:cstheme="minorHAnsi"/>
        </w:rPr>
        <w:t>obměn</w:t>
      </w:r>
      <w:r w:rsidR="00A311C8">
        <w:rPr>
          <w:rFonts w:asciiTheme="minorHAnsi" w:hAnsiTheme="minorHAnsi" w:cstheme="minorHAnsi"/>
        </w:rPr>
        <w:t>y</w:t>
      </w:r>
      <w:r w:rsidR="00C452DE">
        <w:rPr>
          <w:rFonts w:asciiTheme="minorHAnsi" w:hAnsiTheme="minorHAnsi" w:cstheme="minorHAnsi"/>
        </w:rPr>
        <w:t xml:space="preserve"> této techniky</w:t>
      </w:r>
      <w:r w:rsidRPr="00926F48">
        <w:rPr>
          <w:rFonts w:asciiTheme="minorHAnsi" w:hAnsiTheme="minorHAnsi" w:cstheme="minorHAnsi"/>
        </w:rPr>
        <w:t>. U</w:t>
      </w:r>
      <w:r w:rsidR="003949F9">
        <w:rPr>
          <w:rFonts w:asciiTheme="minorHAnsi" w:hAnsiTheme="minorHAnsi" w:cstheme="minorHAnsi"/>
        </w:rPr>
        <w:t xml:space="preserve"> </w:t>
      </w:r>
      <w:r w:rsidRPr="00926F48">
        <w:rPr>
          <w:rFonts w:asciiTheme="minorHAnsi" w:hAnsiTheme="minorHAnsi" w:cstheme="minorHAnsi"/>
        </w:rPr>
        <w:t xml:space="preserve">ostatních </w:t>
      </w:r>
      <w:r w:rsidR="00C856A6">
        <w:rPr>
          <w:rFonts w:asciiTheme="minorHAnsi" w:hAnsiTheme="minorHAnsi" w:cstheme="minorHAnsi"/>
        </w:rPr>
        <w:t xml:space="preserve">plnění </w:t>
      </w:r>
      <w:r w:rsidRPr="00926F48">
        <w:rPr>
          <w:rFonts w:asciiTheme="minorHAnsi" w:hAnsiTheme="minorHAnsi" w:cstheme="minorHAnsi"/>
        </w:rPr>
        <w:t>cena opravy činila nejméně 60</w:t>
      </w:r>
      <w:r w:rsidR="003949F9">
        <w:rPr>
          <w:rFonts w:asciiTheme="minorHAnsi" w:hAnsiTheme="minorHAnsi" w:cstheme="minorHAnsi"/>
        </w:rPr>
        <w:t> </w:t>
      </w:r>
      <w:r w:rsidRPr="00926F48">
        <w:rPr>
          <w:rFonts w:asciiTheme="minorHAnsi" w:hAnsiTheme="minorHAnsi" w:cstheme="minorHAnsi"/>
        </w:rPr>
        <w:t xml:space="preserve">% ceny nového </w:t>
      </w:r>
      <w:r>
        <w:rPr>
          <w:rFonts w:asciiTheme="minorHAnsi" w:hAnsiTheme="minorHAnsi" w:cstheme="minorHAnsi"/>
        </w:rPr>
        <w:t>automobilu</w:t>
      </w:r>
      <w:r w:rsidRPr="00926F48">
        <w:rPr>
          <w:rFonts w:asciiTheme="minorHAnsi" w:hAnsiTheme="minorHAnsi" w:cstheme="minorHAnsi"/>
        </w:rPr>
        <w:t>. MO přitom plánovalo ob</w:t>
      </w:r>
      <w:r w:rsidR="0081281B">
        <w:rPr>
          <w:rFonts w:asciiTheme="minorHAnsi" w:hAnsiTheme="minorHAnsi" w:cstheme="minorHAnsi"/>
        </w:rPr>
        <w:t>měnu</w:t>
      </w:r>
      <w:r w:rsidRPr="00926F48">
        <w:rPr>
          <w:rFonts w:asciiTheme="minorHAnsi" w:hAnsiTheme="minorHAnsi" w:cstheme="minorHAnsi"/>
        </w:rPr>
        <w:t xml:space="preserve"> </w:t>
      </w:r>
      <w:r w:rsidR="001B517A">
        <w:rPr>
          <w:rFonts w:asciiTheme="minorHAnsi" w:hAnsiTheme="minorHAnsi" w:cstheme="minorHAnsi"/>
        </w:rPr>
        <w:t>již ve s</w:t>
      </w:r>
      <w:r w:rsidRPr="00926F48">
        <w:rPr>
          <w:rFonts w:asciiTheme="minorHAnsi" w:hAnsiTheme="minorHAnsi" w:cstheme="minorHAnsi"/>
        </w:rPr>
        <w:t>třednědobém plánu 2016–</w:t>
      </w:r>
      <w:r w:rsidRPr="0081281B">
        <w:rPr>
          <w:rFonts w:asciiTheme="minorHAnsi" w:hAnsiTheme="minorHAnsi" w:cstheme="minorHAnsi"/>
        </w:rPr>
        <w:t xml:space="preserve">2020 s financováním od roku 2018. První </w:t>
      </w:r>
      <w:r w:rsidR="00C856A6">
        <w:rPr>
          <w:rFonts w:asciiTheme="minorHAnsi" w:hAnsiTheme="minorHAnsi" w:cstheme="minorHAnsi"/>
        </w:rPr>
        <w:t xml:space="preserve">nové </w:t>
      </w:r>
      <w:r w:rsidR="001B517A" w:rsidRPr="0081281B">
        <w:rPr>
          <w:rFonts w:asciiTheme="minorHAnsi" w:hAnsiTheme="minorHAnsi" w:cstheme="minorHAnsi"/>
        </w:rPr>
        <w:t>aut</w:t>
      </w:r>
      <w:r w:rsidR="0081281B" w:rsidRPr="0081281B">
        <w:rPr>
          <w:rFonts w:asciiTheme="minorHAnsi" w:hAnsiTheme="minorHAnsi" w:cstheme="minorHAnsi"/>
        </w:rPr>
        <w:t>omobily</w:t>
      </w:r>
      <w:r w:rsidR="001B517A" w:rsidRPr="0081281B">
        <w:rPr>
          <w:rFonts w:asciiTheme="minorHAnsi" w:hAnsiTheme="minorHAnsi" w:cstheme="minorHAnsi"/>
        </w:rPr>
        <w:t xml:space="preserve"> </w:t>
      </w:r>
      <w:r w:rsidR="00C452DE">
        <w:rPr>
          <w:rFonts w:asciiTheme="minorHAnsi" w:hAnsiTheme="minorHAnsi" w:cstheme="minorHAnsi"/>
        </w:rPr>
        <w:t xml:space="preserve">převzalo </w:t>
      </w:r>
      <w:r w:rsidRPr="0081281B">
        <w:rPr>
          <w:rFonts w:asciiTheme="minorHAnsi" w:hAnsiTheme="minorHAnsi" w:cstheme="minorHAnsi"/>
        </w:rPr>
        <w:t>v</w:t>
      </w:r>
      <w:r w:rsidR="009058D7">
        <w:rPr>
          <w:rFonts w:asciiTheme="minorHAnsi" w:hAnsiTheme="minorHAnsi" w:cstheme="minorHAnsi"/>
        </w:rPr>
        <w:t xml:space="preserve"> </w:t>
      </w:r>
      <w:r w:rsidRPr="0081281B">
        <w:rPr>
          <w:rFonts w:asciiTheme="minorHAnsi" w:hAnsiTheme="minorHAnsi" w:cstheme="minorHAnsi"/>
        </w:rPr>
        <w:t>roce 2021.</w:t>
      </w:r>
      <w:r w:rsidR="001B517A" w:rsidRPr="0081281B">
        <w:rPr>
          <w:rFonts w:ascii="Calibri" w:hAnsi="Calibri" w:cs="Calibri"/>
        </w:rPr>
        <w:t xml:space="preserve"> </w:t>
      </w:r>
      <w:r w:rsidR="00A311C8" w:rsidRPr="00273437">
        <w:rPr>
          <w:rFonts w:ascii="Calibri" w:hAnsi="Calibri" w:cs="Calibri"/>
        </w:rPr>
        <w:t xml:space="preserve">Vynaložením peněžních prostředků </w:t>
      </w:r>
      <w:r w:rsidR="00C856A6">
        <w:rPr>
          <w:rFonts w:ascii="Calibri" w:hAnsi="Calibri" w:cs="Calibri"/>
        </w:rPr>
        <w:t xml:space="preserve">státního rozpočtu </w:t>
      </w:r>
      <w:r w:rsidR="00A311C8" w:rsidRPr="00273437">
        <w:rPr>
          <w:rFonts w:ascii="Calibri" w:hAnsi="Calibri" w:cs="Calibri"/>
        </w:rPr>
        <w:t xml:space="preserve">na opravy </w:t>
      </w:r>
      <w:r w:rsidR="0046145F">
        <w:rPr>
          <w:rFonts w:ascii="Calibri" w:hAnsi="Calibri" w:cs="Calibri"/>
        </w:rPr>
        <w:t>osobních terénních</w:t>
      </w:r>
      <w:r w:rsidR="00A311C8">
        <w:rPr>
          <w:rFonts w:ascii="Calibri" w:hAnsi="Calibri" w:cs="Calibri"/>
        </w:rPr>
        <w:t xml:space="preserve"> automobilů</w:t>
      </w:r>
      <w:r w:rsidR="00A311C8" w:rsidRPr="00273437">
        <w:rPr>
          <w:rFonts w:ascii="Calibri" w:hAnsi="Calibri" w:cs="Calibri"/>
        </w:rPr>
        <w:t xml:space="preserve"> tak MO vzhledem k</w:t>
      </w:r>
      <w:r w:rsidR="00A311C8">
        <w:rPr>
          <w:rFonts w:ascii="Calibri" w:hAnsi="Calibri" w:cs="Calibri"/>
        </w:rPr>
        <w:t> </w:t>
      </w:r>
      <w:r w:rsidR="00A311C8" w:rsidRPr="00273437">
        <w:rPr>
          <w:rFonts w:ascii="Calibri" w:hAnsi="Calibri" w:cs="Calibri"/>
        </w:rPr>
        <w:t>ceně oprav, opotřebení</w:t>
      </w:r>
      <w:r w:rsidR="00A311C8">
        <w:rPr>
          <w:rFonts w:ascii="Calibri" w:hAnsi="Calibri" w:cs="Calibri"/>
        </w:rPr>
        <w:t xml:space="preserve"> a</w:t>
      </w:r>
      <w:r w:rsidR="00A311C8" w:rsidRPr="00273437">
        <w:rPr>
          <w:rFonts w:ascii="Calibri" w:hAnsi="Calibri" w:cs="Calibri"/>
        </w:rPr>
        <w:t xml:space="preserve"> předpokládané životnosti opravovaných </w:t>
      </w:r>
      <w:r w:rsidR="00A311C8">
        <w:rPr>
          <w:rFonts w:ascii="Calibri" w:hAnsi="Calibri" w:cs="Calibri"/>
        </w:rPr>
        <w:t>vozidel</w:t>
      </w:r>
      <w:r w:rsidR="00A311C8" w:rsidRPr="00273437">
        <w:rPr>
          <w:rFonts w:ascii="Calibri" w:hAnsi="Calibri" w:cs="Calibri"/>
        </w:rPr>
        <w:t xml:space="preserve"> a pořízení nových </w:t>
      </w:r>
      <w:r w:rsidR="00A311C8">
        <w:rPr>
          <w:rFonts w:ascii="Calibri" w:hAnsi="Calibri" w:cs="Calibri"/>
        </w:rPr>
        <w:t>vozidel</w:t>
      </w:r>
      <w:r w:rsidR="00A311C8" w:rsidRPr="00273437">
        <w:rPr>
          <w:rFonts w:ascii="Calibri" w:hAnsi="Calibri" w:cs="Calibri"/>
        </w:rPr>
        <w:t xml:space="preserve"> nedosáhlo nejvýše možného přínosu pro plnění úkolů Armády</w:t>
      </w:r>
      <w:r w:rsidR="00D972E8">
        <w:rPr>
          <w:rFonts w:ascii="Calibri" w:hAnsi="Calibri" w:cs="Calibri"/>
        </w:rPr>
        <w:t xml:space="preserve"> (viz příklad č. 3)</w:t>
      </w:r>
      <w:r w:rsidR="00A311C8" w:rsidRPr="00273437">
        <w:rPr>
          <w:rFonts w:ascii="Calibri" w:hAnsi="Calibri" w:cs="Calibri"/>
        </w:rPr>
        <w:t>.</w:t>
      </w:r>
    </w:p>
    <w:p w14:paraId="50F917DD" w14:textId="2A879A2C" w:rsidR="004A7679" w:rsidRDefault="008D39B4" w:rsidP="00F254B3">
      <w:pPr>
        <w:spacing w:before="120"/>
        <w:jc w:val="both"/>
        <w:rPr>
          <w:rFonts w:asciiTheme="minorHAnsi" w:hAnsiTheme="minorHAnsi" w:cstheme="minorHAnsi"/>
        </w:rPr>
      </w:pPr>
      <w:r w:rsidRPr="00926F48">
        <w:rPr>
          <w:rFonts w:asciiTheme="minorHAnsi" w:hAnsiTheme="minorHAnsi" w:cstheme="minorHAnsi"/>
          <w:b/>
        </w:rPr>
        <w:t>4.</w:t>
      </w:r>
      <w:r w:rsidR="002C0BBA">
        <w:rPr>
          <w:rFonts w:asciiTheme="minorHAnsi" w:hAnsiTheme="minorHAnsi" w:cstheme="minorHAnsi"/>
          <w:b/>
        </w:rPr>
        <w:t>2</w:t>
      </w:r>
      <w:r w:rsidR="007274B9">
        <w:rPr>
          <w:rFonts w:asciiTheme="minorHAnsi" w:hAnsiTheme="minorHAnsi" w:cstheme="minorHAnsi"/>
          <w:b/>
        </w:rPr>
        <w:t>2</w:t>
      </w:r>
      <w:r>
        <w:rPr>
          <w:rFonts w:asciiTheme="minorHAnsi" w:hAnsiTheme="minorHAnsi" w:cstheme="minorHAnsi"/>
        </w:rPr>
        <w:t xml:space="preserve"> </w:t>
      </w:r>
      <w:r w:rsidRPr="00926F48">
        <w:rPr>
          <w:rFonts w:asciiTheme="minorHAnsi" w:hAnsiTheme="minorHAnsi" w:cstheme="minorHAnsi"/>
        </w:rPr>
        <w:t xml:space="preserve">MO </w:t>
      </w:r>
      <w:r w:rsidR="00475FA9">
        <w:rPr>
          <w:rFonts w:asciiTheme="minorHAnsi" w:hAnsiTheme="minorHAnsi" w:cstheme="minorHAnsi"/>
        </w:rPr>
        <w:t xml:space="preserve">také </w:t>
      </w:r>
      <w:r w:rsidRPr="00926F48">
        <w:rPr>
          <w:rFonts w:asciiTheme="minorHAnsi" w:hAnsiTheme="minorHAnsi" w:cstheme="minorHAnsi"/>
        </w:rPr>
        <w:t xml:space="preserve">vynaložilo peněžní prostředky </w:t>
      </w:r>
      <w:r>
        <w:rPr>
          <w:rFonts w:asciiTheme="minorHAnsi" w:hAnsiTheme="minorHAnsi" w:cstheme="minorHAnsi"/>
        </w:rPr>
        <w:t xml:space="preserve">státního rozpočtu </w:t>
      </w:r>
      <w:r w:rsidRPr="00926F48">
        <w:rPr>
          <w:rFonts w:asciiTheme="minorHAnsi" w:hAnsiTheme="minorHAnsi" w:cstheme="minorHAnsi"/>
        </w:rPr>
        <w:t>ve výši 733 26</w:t>
      </w:r>
      <w:r>
        <w:rPr>
          <w:rFonts w:asciiTheme="minorHAnsi" w:hAnsiTheme="minorHAnsi" w:cstheme="minorHAnsi"/>
        </w:rPr>
        <w:t>1</w:t>
      </w:r>
      <w:r w:rsidRPr="00926F48">
        <w:rPr>
          <w:rFonts w:asciiTheme="minorHAnsi" w:hAnsiTheme="minorHAnsi" w:cstheme="minorHAnsi"/>
        </w:rPr>
        <w:t xml:space="preserve"> Kč </w:t>
      </w:r>
      <w:r>
        <w:rPr>
          <w:rFonts w:asciiTheme="minorHAnsi" w:hAnsiTheme="minorHAnsi" w:cstheme="minorHAnsi"/>
        </w:rPr>
        <w:t>na opravu osobního terénního automobilu</w:t>
      </w:r>
      <w:r w:rsidR="009058D7" w:rsidRPr="009058D7">
        <w:rPr>
          <w:rFonts w:asciiTheme="minorHAnsi" w:hAnsiTheme="minorHAnsi" w:cstheme="minorHAnsi"/>
        </w:rPr>
        <w:t xml:space="preserve"> </w:t>
      </w:r>
      <w:r w:rsidR="009058D7" w:rsidRPr="00926F48">
        <w:rPr>
          <w:rFonts w:asciiTheme="minorHAnsi" w:hAnsiTheme="minorHAnsi" w:cstheme="minorHAnsi"/>
        </w:rPr>
        <w:t>neúčelně</w:t>
      </w:r>
      <w:r w:rsidRPr="00926F48">
        <w:rPr>
          <w:rFonts w:asciiTheme="minorHAnsi" w:hAnsiTheme="minorHAnsi" w:cstheme="minorHAnsi"/>
        </w:rPr>
        <w:t>, neboť proveden</w:t>
      </w:r>
      <w:r>
        <w:rPr>
          <w:rFonts w:asciiTheme="minorHAnsi" w:hAnsiTheme="minorHAnsi" w:cstheme="minorHAnsi"/>
        </w:rPr>
        <w:t>á</w:t>
      </w:r>
      <w:r w:rsidRPr="00926F48">
        <w:rPr>
          <w:rFonts w:asciiTheme="minorHAnsi" w:hAnsiTheme="minorHAnsi" w:cstheme="minorHAnsi"/>
        </w:rPr>
        <w:t xml:space="preserve"> oprav</w:t>
      </w:r>
      <w:r>
        <w:rPr>
          <w:rFonts w:asciiTheme="minorHAnsi" w:hAnsiTheme="minorHAnsi" w:cstheme="minorHAnsi"/>
        </w:rPr>
        <w:t>a</w:t>
      </w:r>
      <w:r w:rsidRPr="00926F48">
        <w:rPr>
          <w:rFonts w:asciiTheme="minorHAnsi" w:hAnsiTheme="minorHAnsi" w:cstheme="minorHAnsi"/>
        </w:rPr>
        <w:t xml:space="preserve"> nezajistil</w:t>
      </w:r>
      <w:r>
        <w:rPr>
          <w:rFonts w:asciiTheme="minorHAnsi" w:hAnsiTheme="minorHAnsi" w:cstheme="minorHAnsi"/>
        </w:rPr>
        <w:t>a</w:t>
      </w:r>
      <w:r w:rsidRPr="00926F48">
        <w:rPr>
          <w:rFonts w:asciiTheme="minorHAnsi" w:hAnsiTheme="minorHAnsi" w:cstheme="minorHAnsi"/>
        </w:rPr>
        <w:t xml:space="preserve"> provozuschopný stav </w:t>
      </w:r>
      <w:r>
        <w:rPr>
          <w:rFonts w:asciiTheme="minorHAnsi" w:hAnsiTheme="minorHAnsi" w:cstheme="minorHAnsi"/>
        </w:rPr>
        <w:t>vozidla</w:t>
      </w:r>
      <w:r w:rsidR="002D480F">
        <w:rPr>
          <w:rFonts w:asciiTheme="minorHAnsi" w:hAnsiTheme="minorHAnsi" w:cstheme="minorHAnsi"/>
        </w:rPr>
        <w:t>.</w:t>
      </w:r>
      <w:r>
        <w:rPr>
          <w:rFonts w:asciiTheme="minorHAnsi" w:hAnsiTheme="minorHAnsi" w:cstheme="minorHAnsi"/>
        </w:rPr>
        <w:t xml:space="preserve"> </w:t>
      </w:r>
      <w:r w:rsidR="009058D7">
        <w:rPr>
          <w:rFonts w:asciiTheme="minorHAnsi" w:hAnsiTheme="minorHAnsi" w:cstheme="minorHAnsi"/>
        </w:rPr>
        <w:t xml:space="preserve">Automobil </w:t>
      </w:r>
      <w:r w:rsidDel="00BD7CB4">
        <w:rPr>
          <w:rFonts w:asciiTheme="minorHAnsi" w:hAnsiTheme="minorHAnsi" w:cstheme="minorHAnsi"/>
        </w:rPr>
        <w:t>ne</w:t>
      </w:r>
      <w:r w:rsidRPr="00926F48" w:rsidDel="00BD7CB4">
        <w:rPr>
          <w:rFonts w:asciiTheme="minorHAnsi" w:hAnsiTheme="minorHAnsi" w:cstheme="minorHAnsi"/>
        </w:rPr>
        <w:t xml:space="preserve">bylo </w:t>
      </w:r>
      <w:r w:rsidR="002D480F" w:rsidRPr="00926F48">
        <w:rPr>
          <w:rFonts w:asciiTheme="minorHAnsi" w:hAnsiTheme="minorHAnsi" w:cstheme="minorHAnsi"/>
        </w:rPr>
        <w:t>možné využívat pro plnění úkolů A</w:t>
      </w:r>
      <w:r w:rsidR="002D480F">
        <w:rPr>
          <w:rFonts w:asciiTheme="minorHAnsi" w:hAnsiTheme="minorHAnsi" w:cstheme="minorHAnsi"/>
        </w:rPr>
        <w:t>rmády</w:t>
      </w:r>
      <w:r w:rsidR="002D480F" w:rsidRPr="00926F48" w:rsidDel="00BD7CB4">
        <w:rPr>
          <w:rFonts w:asciiTheme="minorHAnsi" w:hAnsiTheme="minorHAnsi" w:cstheme="minorHAnsi"/>
        </w:rPr>
        <w:t xml:space="preserve"> </w:t>
      </w:r>
      <w:r w:rsidRPr="00926F48" w:rsidDel="00BD7CB4">
        <w:rPr>
          <w:rFonts w:asciiTheme="minorHAnsi" w:hAnsiTheme="minorHAnsi" w:cstheme="minorHAnsi"/>
        </w:rPr>
        <w:t>po v</w:t>
      </w:r>
      <w:r w:rsidDel="00BD7CB4">
        <w:rPr>
          <w:rFonts w:asciiTheme="minorHAnsi" w:hAnsiTheme="minorHAnsi" w:cstheme="minorHAnsi"/>
        </w:rPr>
        <w:t xml:space="preserve">ětšinu </w:t>
      </w:r>
      <w:r w:rsidRPr="00926F48" w:rsidDel="00BD7CB4">
        <w:rPr>
          <w:rFonts w:asciiTheme="minorHAnsi" w:hAnsiTheme="minorHAnsi" w:cstheme="minorHAnsi"/>
        </w:rPr>
        <w:t xml:space="preserve">kontrolovaného období, celkem </w:t>
      </w:r>
      <w:r w:rsidDel="00BD7CB4">
        <w:rPr>
          <w:rFonts w:asciiTheme="minorHAnsi" w:hAnsiTheme="minorHAnsi" w:cstheme="minorHAnsi"/>
        </w:rPr>
        <w:t>998 dní</w:t>
      </w:r>
      <w:r w:rsidRPr="00926F48" w:rsidDel="00BD7CB4">
        <w:rPr>
          <w:rFonts w:asciiTheme="minorHAnsi" w:hAnsiTheme="minorHAnsi" w:cstheme="minorHAnsi"/>
        </w:rPr>
        <w:t>.</w:t>
      </w:r>
    </w:p>
    <w:p w14:paraId="3C112E08" w14:textId="5B2EABE4" w:rsidR="008D39B4" w:rsidRPr="00926F48" w:rsidRDefault="008D39B4" w:rsidP="004A7679">
      <w:pPr>
        <w:rPr>
          <w:rFonts w:asciiTheme="minorHAnsi" w:hAnsiTheme="minorHAnsi" w:cstheme="minorHAnsi"/>
        </w:rPr>
      </w:pPr>
    </w:p>
    <w:p w14:paraId="7F156CF9" w14:textId="77777777" w:rsidR="00A31F7F" w:rsidRDefault="00A31F7F" w:rsidP="00DB39AE">
      <w:pPr>
        <w:pBdr>
          <w:top w:val="single" w:sz="12" w:space="1" w:color="004595"/>
          <w:left w:val="single" w:sz="12" w:space="4" w:color="004595"/>
          <w:bottom w:val="single" w:sz="12" w:space="1" w:color="004595"/>
          <w:right w:val="single" w:sz="12" w:space="4" w:color="004595"/>
        </w:pBdr>
        <w:rPr>
          <w:rFonts w:asciiTheme="minorHAnsi" w:hAnsiTheme="minorHAnsi" w:cstheme="minorHAnsi"/>
          <w:b/>
          <w:i/>
        </w:rPr>
      </w:pPr>
      <w:r w:rsidRPr="001C56EA">
        <w:rPr>
          <w:rFonts w:asciiTheme="minorHAnsi" w:hAnsiTheme="minorHAnsi" w:cstheme="minorHAnsi"/>
          <w:b/>
          <w:i/>
        </w:rPr>
        <w:t xml:space="preserve">Příklad </w:t>
      </w:r>
      <w:r w:rsidRPr="00EE3EF9">
        <w:rPr>
          <w:rFonts w:asciiTheme="minorHAnsi" w:hAnsiTheme="minorHAnsi" w:cstheme="minorHAnsi"/>
          <w:b/>
          <w:i/>
        </w:rPr>
        <w:t xml:space="preserve">č. </w:t>
      </w:r>
      <w:r w:rsidR="00DD0364">
        <w:rPr>
          <w:rFonts w:asciiTheme="minorHAnsi" w:hAnsiTheme="minorHAnsi" w:cstheme="minorHAnsi"/>
          <w:b/>
          <w:i/>
        </w:rPr>
        <w:t>3</w:t>
      </w:r>
    </w:p>
    <w:p w14:paraId="740277AD" w14:textId="0C3646E4" w:rsidR="00A31F7F" w:rsidRDefault="003E0C6C" w:rsidP="00DB39AE">
      <w:pPr>
        <w:pBdr>
          <w:top w:val="single" w:sz="12" w:space="1" w:color="004595"/>
          <w:left w:val="single" w:sz="12" w:space="4" w:color="004595"/>
          <w:bottom w:val="single" w:sz="12" w:space="1" w:color="004595"/>
          <w:right w:val="single" w:sz="12" w:space="4" w:color="004595"/>
        </w:pBdr>
        <w:jc w:val="both"/>
        <w:rPr>
          <w:rFonts w:asciiTheme="minorHAnsi" w:hAnsiTheme="minorHAnsi" w:cstheme="minorHAnsi"/>
        </w:rPr>
      </w:pPr>
      <w:r>
        <w:rPr>
          <w:rFonts w:ascii="Calibri" w:hAnsi="Calibri" w:cs="Calibri"/>
          <w:i/>
        </w:rPr>
        <w:t>Oprav</w:t>
      </w:r>
      <w:r w:rsidR="00F92284">
        <w:rPr>
          <w:rFonts w:ascii="Calibri" w:hAnsi="Calibri" w:cs="Calibri"/>
          <w:i/>
        </w:rPr>
        <w:t>u</w:t>
      </w:r>
      <w:r>
        <w:rPr>
          <w:rFonts w:ascii="Calibri" w:hAnsi="Calibri" w:cs="Calibri"/>
          <w:i/>
        </w:rPr>
        <w:t xml:space="preserve"> osobního terénního vozidla s rokem výroby </w:t>
      </w:r>
      <w:r w:rsidR="00C459C0">
        <w:rPr>
          <w:rFonts w:ascii="Calibri" w:hAnsi="Calibri" w:cs="Calibri"/>
          <w:i/>
        </w:rPr>
        <w:t>1996</w:t>
      </w:r>
      <w:r>
        <w:rPr>
          <w:rFonts w:ascii="Calibri" w:hAnsi="Calibri" w:cs="Calibri"/>
          <w:i/>
        </w:rPr>
        <w:t xml:space="preserve"> a předpokládanou životností 15 let </w:t>
      </w:r>
      <w:r w:rsidR="00C459C0">
        <w:rPr>
          <w:rFonts w:ascii="Calibri" w:hAnsi="Calibri" w:cs="Arial"/>
          <w:i/>
        </w:rPr>
        <w:t>prov</w:t>
      </w:r>
      <w:r w:rsidR="00231ACF">
        <w:rPr>
          <w:rFonts w:ascii="Calibri" w:hAnsi="Calibri" w:cs="Arial"/>
          <w:i/>
        </w:rPr>
        <w:t>áděl</w:t>
      </w:r>
      <w:r w:rsidR="00C459C0">
        <w:rPr>
          <w:rFonts w:ascii="Calibri" w:hAnsi="Calibri" w:cs="Arial"/>
          <w:i/>
        </w:rPr>
        <w:t xml:space="preserve"> </w:t>
      </w:r>
      <w:r w:rsidR="00F92284">
        <w:rPr>
          <w:rFonts w:ascii="Calibri" w:hAnsi="Calibri" w:cs="Arial"/>
          <w:i/>
        </w:rPr>
        <w:t xml:space="preserve">dodavatel </w:t>
      </w:r>
      <w:r w:rsidR="00C459C0">
        <w:rPr>
          <w:rFonts w:ascii="Calibri" w:hAnsi="Calibri" w:cs="Arial"/>
          <w:i/>
        </w:rPr>
        <w:t xml:space="preserve">od </w:t>
      </w:r>
      <w:r w:rsidR="005E011B">
        <w:rPr>
          <w:rFonts w:ascii="Calibri" w:hAnsi="Calibri" w:cs="Arial"/>
          <w:i/>
        </w:rPr>
        <w:t>června</w:t>
      </w:r>
      <w:r w:rsidR="00C459C0">
        <w:rPr>
          <w:rFonts w:ascii="Calibri" w:hAnsi="Calibri" w:cs="Arial"/>
          <w:i/>
        </w:rPr>
        <w:t xml:space="preserve"> </w:t>
      </w:r>
      <w:r w:rsidR="005E011B">
        <w:rPr>
          <w:rFonts w:ascii="Calibri" w:hAnsi="Calibri" w:cs="Arial"/>
          <w:i/>
        </w:rPr>
        <w:t xml:space="preserve">do července </w:t>
      </w:r>
      <w:r w:rsidR="00C459C0">
        <w:rPr>
          <w:rFonts w:ascii="Calibri" w:hAnsi="Calibri" w:cs="Arial"/>
          <w:i/>
        </w:rPr>
        <w:t>20</w:t>
      </w:r>
      <w:r w:rsidR="005E011B">
        <w:rPr>
          <w:rFonts w:ascii="Calibri" w:hAnsi="Calibri" w:cs="Arial"/>
          <w:i/>
        </w:rPr>
        <w:t>20</w:t>
      </w:r>
      <w:r w:rsidR="00C459C0">
        <w:rPr>
          <w:rFonts w:ascii="Calibri" w:hAnsi="Calibri" w:cs="Arial"/>
          <w:i/>
        </w:rPr>
        <w:t xml:space="preserve"> s celkovými výdaji státního rozpočtu ve výši </w:t>
      </w:r>
      <w:r w:rsidR="005E011B">
        <w:rPr>
          <w:rFonts w:ascii="Calibri" w:hAnsi="Calibri" w:cs="Arial"/>
          <w:i/>
        </w:rPr>
        <w:t>822</w:t>
      </w:r>
      <w:r w:rsidR="00F92284">
        <w:rPr>
          <w:rFonts w:ascii="Calibri" w:hAnsi="Calibri" w:cs="Arial"/>
          <w:i/>
        </w:rPr>
        <w:t> </w:t>
      </w:r>
      <w:r w:rsidR="005E011B">
        <w:rPr>
          <w:rFonts w:ascii="Calibri" w:hAnsi="Calibri" w:cs="Arial"/>
          <w:i/>
        </w:rPr>
        <w:t>983</w:t>
      </w:r>
      <w:r w:rsidR="00C459C0">
        <w:rPr>
          <w:rFonts w:ascii="Calibri" w:hAnsi="Calibri" w:cs="Arial"/>
          <w:i/>
        </w:rPr>
        <w:t xml:space="preserve"> Kč. </w:t>
      </w:r>
      <w:r w:rsidR="005E011B">
        <w:rPr>
          <w:rFonts w:ascii="Calibri" w:hAnsi="Calibri" w:cs="Arial"/>
          <w:i/>
        </w:rPr>
        <w:t>Stáří vozidla bylo 24 let, z</w:t>
      </w:r>
      <w:r w:rsidR="00C459C0">
        <w:rPr>
          <w:rFonts w:ascii="Calibri" w:hAnsi="Calibri" w:cs="Arial"/>
          <w:i/>
        </w:rPr>
        <w:t>ůstatková účetní hodnota 3</w:t>
      </w:r>
      <w:r w:rsidR="005E011B">
        <w:rPr>
          <w:rFonts w:ascii="Calibri" w:hAnsi="Calibri" w:cs="Arial"/>
          <w:i/>
        </w:rPr>
        <w:t>8</w:t>
      </w:r>
      <w:r w:rsidR="00C459C0">
        <w:rPr>
          <w:rFonts w:ascii="Calibri" w:hAnsi="Calibri" w:cs="Arial"/>
          <w:i/>
        </w:rPr>
        <w:t> </w:t>
      </w:r>
      <w:r w:rsidR="005E011B">
        <w:rPr>
          <w:rFonts w:ascii="Calibri" w:hAnsi="Calibri" w:cs="Arial"/>
          <w:i/>
        </w:rPr>
        <w:t>211</w:t>
      </w:r>
      <w:r w:rsidR="00C459C0">
        <w:rPr>
          <w:rFonts w:ascii="Calibri" w:hAnsi="Calibri" w:cs="Arial"/>
          <w:i/>
        </w:rPr>
        <w:t xml:space="preserve"> Kč a</w:t>
      </w:r>
      <w:r w:rsidR="00231ACF">
        <w:rPr>
          <w:rFonts w:ascii="Calibri" w:hAnsi="Calibri" w:cs="Arial"/>
          <w:i/>
        </w:rPr>
        <w:t xml:space="preserve"> </w:t>
      </w:r>
      <w:r w:rsidR="00C459C0">
        <w:rPr>
          <w:rFonts w:ascii="Calibri" w:hAnsi="Calibri" w:cs="Arial"/>
          <w:i/>
        </w:rPr>
        <w:t xml:space="preserve">pořizovací </w:t>
      </w:r>
      <w:r w:rsidR="0046145F">
        <w:rPr>
          <w:rFonts w:ascii="Calibri" w:hAnsi="Calibri" w:cs="Arial"/>
          <w:i/>
        </w:rPr>
        <w:t>cena</w:t>
      </w:r>
      <w:r w:rsidR="00C459C0">
        <w:rPr>
          <w:rFonts w:ascii="Calibri" w:hAnsi="Calibri" w:cs="Arial"/>
          <w:i/>
        </w:rPr>
        <w:t xml:space="preserve"> </w:t>
      </w:r>
      <w:r w:rsidR="005E011B">
        <w:rPr>
          <w:rFonts w:ascii="Calibri" w:hAnsi="Calibri" w:cs="Arial"/>
          <w:i/>
        </w:rPr>
        <w:t>870</w:t>
      </w:r>
      <w:r w:rsidR="00C459C0">
        <w:rPr>
          <w:rFonts w:ascii="Calibri" w:hAnsi="Calibri" w:cs="Arial"/>
          <w:i/>
        </w:rPr>
        <w:t> </w:t>
      </w:r>
      <w:r w:rsidR="005E011B">
        <w:rPr>
          <w:rFonts w:ascii="Calibri" w:hAnsi="Calibri" w:cs="Arial"/>
          <w:i/>
        </w:rPr>
        <w:t>704</w:t>
      </w:r>
      <w:r w:rsidR="00C459C0">
        <w:rPr>
          <w:rFonts w:ascii="Calibri" w:hAnsi="Calibri" w:cs="Arial"/>
          <w:i/>
        </w:rPr>
        <w:t xml:space="preserve"> Kč. </w:t>
      </w:r>
      <w:r w:rsidR="005E011B">
        <w:rPr>
          <w:rFonts w:asciiTheme="minorHAnsi" w:hAnsiTheme="minorHAnsi" w:cstheme="minorHAnsi"/>
          <w:i/>
        </w:rPr>
        <w:t xml:space="preserve">MO </w:t>
      </w:r>
      <w:r w:rsidR="00A311C8" w:rsidRPr="00D60C41">
        <w:rPr>
          <w:rFonts w:ascii="Calibri" w:hAnsi="Calibri" w:cs="Arial"/>
          <w:i/>
        </w:rPr>
        <w:t xml:space="preserve">v době opravy </w:t>
      </w:r>
      <w:r w:rsidR="00BE2555" w:rsidRPr="00D60C41">
        <w:rPr>
          <w:rFonts w:asciiTheme="minorHAnsi" w:hAnsiTheme="minorHAnsi" w:cstheme="minorHAnsi"/>
          <w:i/>
        </w:rPr>
        <w:t>již</w:t>
      </w:r>
      <w:r w:rsidR="00BE2555" w:rsidRPr="0067794E">
        <w:rPr>
          <w:rFonts w:asciiTheme="minorHAnsi" w:hAnsiTheme="minorHAnsi" w:cstheme="minorHAnsi"/>
          <w:i/>
        </w:rPr>
        <w:t xml:space="preserve"> </w:t>
      </w:r>
      <w:r w:rsidR="005E011B" w:rsidRPr="0067794E">
        <w:rPr>
          <w:rFonts w:asciiTheme="minorHAnsi" w:hAnsiTheme="minorHAnsi" w:cstheme="minorHAnsi"/>
          <w:i/>
        </w:rPr>
        <w:t>realizoval</w:t>
      </w:r>
      <w:r w:rsidR="00762312" w:rsidRPr="0067794E">
        <w:rPr>
          <w:rFonts w:asciiTheme="minorHAnsi" w:hAnsiTheme="minorHAnsi" w:cstheme="minorHAnsi"/>
          <w:i/>
        </w:rPr>
        <w:t>o</w:t>
      </w:r>
      <w:r w:rsidR="005E011B" w:rsidRPr="0067794E">
        <w:rPr>
          <w:rFonts w:asciiTheme="minorHAnsi" w:hAnsiTheme="minorHAnsi" w:cstheme="minorHAnsi"/>
          <w:i/>
        </w:rPr>
        <w:t xml:space="preserve"> </w:t>
      </w:r>
      <w:r w:rsidR="00A311C8">
        <w:rPr>
          <w:rFonts w:asciiTheme="minorHAnsi" w:hAnsiTheme="minorHAnsi" w:cstheme="minorHAnsi"/>
          <w:i/>
        </w:rPr>
        <w:t>zadávací řízení na obměnu</w:t>
      </w:r>
      <w:r w:rsidR="005E011B">
        <w:rPr>
          <w:rFonts w:asciiTheme="minorHAnsi" w:hAnsiTheme="minorHAnsi" w:cstheme="minorHAnsi"/>
          <w:i/>
        </w:rPr>
        <w:t xml:space="preserve"> </w:t>
      </w:r>
      <w:r w:rsidR="00A311C8">
        <w:rPr>
          <w:rFonts w:asciiTheme="minorHAnsi" w:hAnsiTheme="minorHAnsi" w:cstheme="minorHAnsi"/>
          <w:i/>
        </w:rPr>
        <w:t xml:space="preserve">této </w:t>
      </w:r>
      <w:r w:rsidR="005E011B">
        <w:rPr>
          <w:rFonts w:asciiTheme="minorHAnsi" w:hAnsiTheme="minorHAnsi" w:cstheme="minorHAnsi"/>
          <w:i/>
        </w:rPr>
        <w:t>techniky</w:t>
      </w:r>
      <w:r w:rsidR="00456922">
        <w:rPr>
          <w:rFonts w:asciiTheme="minorHAnsi" w:hAnsiTheme="minorHAnsi" w:cstheme="minorHAnsi"/>
          <w:i/>
        </w:rPr>
        <w:t>, p</w:t>
      </w:r>
      <w:r w:rsidR="00762312">
        <w:rPr>
          <w:rFonts w:asciiTheme="minorHAnsi" w:hAnsiTheme="minorHAnsi" w:cstheme="minorHAnsi"/>
          <w:i/>
        </w:rPr>
        <w:t>o</w:t>
      </w:r>
      <w:r w:rsidR="00762312">
        <w:rPr>
          <w:rFonts w:ascii="Calibri" w:hAnsi="Calibri" w:cs="Arial"/>
          <w:i/>
        </w:rPr>
        <w:t xml:space="preserve">řizovací cena nového vozidla činila </w:t>
      </w:r>
      <w:r w:rsidR="00762312" w:rsidRPr="005E011B">
        <w:rPr>
          <w:rFonts w:ascii="Calibri" w:hAnsi="Calibri" w:cs="Arial"/>
          <w:i/>
        </w:rPr>
        <w:t>8</w:t>
      </w:r>
      <w:r w:rsidR="00762312" w:rsidRPr="005E011B">
        <w:rPr>
          <w:rFonts w:asciiTheme="minorHAnsi" w:hAnsiTheme="minorHAnsi" w:cstheme="minorHAnsi"/>
          <w:i/>
        </w:rPr>
        <w:t>57</w:t>
      </w:r>
      <w:r w:rsidR="00762312">
        <w:rPr>
          <w:rFonts w:asciiTheme="minorHAnsi" w:hAnsiTheme="minorHAnsi" w:cstheme="minorHAnsi"/>
          <w:i/>
        </w:rPr>
        <w:t> </w:t>
      </w:r>
      <w:r w:rsidR="00762312" w:rsidRPr="005E011B">
        <w:rPr>
          <w:rFonts w:asciiTheme="minorHAnsi" w:hAnsiTheme="minorHAnsi" w:cstheme="minorHAnsi"/>
          <w:i/>
        </w:rPr>
        <w:t>273</w:t>
      </w:r>
      <w:r w:rsidR="00762312">
        <w:rPr>
          <w:rFonts w:asciiTheme="minorHAnsi" w:hAnsiTheme="minorHAnsi" w:cstheme="minorHAnsi"/>
          <w:i/>
        </w:rPr>
        <w:t xml:space="preserve"> Kč.</w:t>
      </w:r>
      <w:r w:rsidR="00D44ACF">
        <w:rPr>
          <w:rFonts w:asciiTheme="minorHAnsi" w:hAnsiTheme="minorHAnsi" w:cstheme="minorHAnsi"/>
          <w:i/>
        </w:rPr>
        <w:t xml:space="preserve"> Dle popisu závad bylo na vozidle požadováno provedení opravy motoru, spojkové soustavy, řízení, přední nápravy, brzdové soustavy, zadní nápravy, karos</w:t>
      </w:r>
      <w:r w:rsidR="00231ACF">
        <w:rPr>
          <w:rFonts w:asciiTheme="minorHAnsi" w:hAnsiTheme="minorHAnsi" w:cstheme="minorHAnsi"/>
          <w:i/>
        </w:rPr>
        <w:t>e</w:t>
      </w:r>
      <w:r w:rsidR="00D44ACF">
        <w:rPr>
          <w:rFonts w:asciiTheme="minorHAnsi" w:hAnsiTheme="minorHAnsi" w:cstheme="minorHAnsi"/>
          <w:i/>
        </w:rPr>
        <w:t>rie, interiéru a</w:t>
      </w:r>
      <w:r w:rsidR="00231ACF">
        <w:rPr>
          <w:rFonts w:asciiTheme="minorHAnsi" w:hAnsiTheme="minorHAnsi" w:cstheme="minorHAnsi"/>
          <w:i/>
        </w:rPr>
        <w:t xml:space="preserve"> </w:t>
      </w:r>
      <w:r w:rsidR="00D44ACF">
        <w:rPr>
          <w:rFonts w:asciiTheme="minorHAnsi" w:hAnsiTheme="minorHAnsi" w:cstheme="minorHAnsi"/>
          <w:i/>
        </w:rPr>
        <w:t>elektroinstalace vozu. V</w:t>
      </w:r>
      <w:r w:rsidR="00231ACF">
        <w:rPr>
          <w:rFonts w:asciiTheme="minorHAnsi" w:hAnsiTheme="minorHAnsi" w:cstheme="minorHAnsi"/>
          <w:i/>
        </w:rPr>
        <w:t xml:space="preserve"> </w:t>
      </w:r>
      <w:r w:rsidR="00D44ACF">
        <w:rPr>
          <w:rFonts w:asciiTheme="minorHAnsi" w:hAnsiTheme="minorHAnsi" w:cstheme="minorHAnsi"/>
          <w:i/>
        </w:rPr>
        <w:t>průběhu opravy požádal dodavatel M</w:t>
      </w:r>
      <w:r w:rsidR="00AF36FE">
        <w:rPr>
          <w:rFonts w:asciiTheme="minorHAnsi" w:hAnsiTheme="minorHAnsi" w:cstheme="minorHAnsi"/>
          <w:i/>
        </w:rPr>
        <w:t>inisterstvo obrany</w:t>
      </w:r>
      <w:r w:rsidR="00D44ACF">
        <w:rPr>
          <w:rFonts w:asciiTheme="minorHAnsi" w:hAnsiTheme="minorHAnsi" w:cstheme="minorHAnsi"/>
          <w:i/>
        </w:rPr>
        <w:t xml:space="preserve"> o schválení navýšení ceny o</w:t>
      </w:r>
      <w:r w:rsidR="00231ACF">
        <w:rPr>
          <w:rFonts w:asciiTheme="minorHAnsi" w:hAnsiTheme="minorHAnsi" w:cstheme="minorHAnsi"/>
          <w:i/>
        </w:rPr>
        <w:t xml:space="preserve"> </w:t>
      </w:r>
      <w:r w:rsidR="00D44ACF">
        <w:rPr>
          <w:rFonts w:asciiTheme="minorHAnsi" w:hAnsiTheme="minorHAnsi" w:cstheme="minorHAnsi"/>
          <w:i/>
        </w:rPr>
        <w:t>36</w:t>
      </w:r>
      <w:r w:rsidR="00231ACF">
        <w:rPr>
          <w:rFonts w:asciiTheme="minorHAnsi" w:hAnsiTheme="minorHAnsi" w:cstheme="minorHAnsi"/>
          <w:i/>
        </w:rPr>
        <w:t> </w:t>
      </w:r>
      <w:r w:rsidR="00D44ACF">
        <w:rPr>
          <w:rFonts w:asciiTheme="minorHAnsi" w:hAnsiTheme="minorHAnsi" w:cstheme="minorHAnsi"/>
          <w:i/>
        </w:rPr>
        <w:t>% (z</w:t>
      </w:r>
      <w:r w:rsidR="00AF36FE">
        <w:rPr>
          <w:rFonts w:asciiTheme="minorHAnsi" w:hAnsiTheme="minorHAnsi" w:cstheme="minorHAnsi"/>
          <w:i/>
        </w:rPr>
        <w:t xml:space="preserve"> </w:t>
      </w:r>
      <w:r w:rsidR="00D44ACF">
        <w:rPr>
          <w:rFonts w:asciiTheme="minorHAnsi" w:hAnsiTheme="minorHAnsi" w:cstheme="minorHAnsi"/>
          <w:i/>
        </w:rPr>
        <w:t xml:space="preserve">606 </w:t>
      </w:r>
      <w:r w:rsidR="00231ACF">
        <w:rPr>
          <w:rFonts w:asciiTheme="minorHAnsi" w:hAnsiTheme="minorHAnsi" w:cstheme="minorHAnsi"/>
          <w:i/>
        </w:rPr>
        <w:t xml:space="preserve">tis. Kč </w:t>
      </w:r>
      <w:r w:rsidR="00D44ACF">
        <w:rPr>
          <w:rFonts w:asciiTheme="minorHAnsi" w:hAnsiTheme="minorHAnsi" w:cstheme="minorHAnsi"/>
          <w:i/>
        </w:rPr>
        <w:t>na 823 tis. Kč)</w:t>
      </w:r>
      <w:r w:rsidR="00BE2555">
        <w:rPr>
          <w:rFonts w:asciiTheme="minorHAnsi" w:hAnsiTheme="minorHAnsi" w:cstheme="minorHAnsi"/>
          <w:i/>
        </w:rPr>
        <w:t xml:space="preserve"> z důvodu komplikovanosti závady a rozs</w:t>
      </w:r>
      <w:r w:rsidR="00231ACF">
        <w:rPr>
          <w:rFonts w:asciiTheme="minorHAnsi" w:hAnsiTheme="minorHAnsi" w:cstheme="minorHAnsi"/>
          <w:i/>
        </w:rPr>
        <w:t>ahu</w:t>
      </w:r>
      <w:r w:rsidR="00BE2555">
        <w:rPr>
          <w:rFonts w:asciiTheme="minorHAnsi" w:hAnsiTheme="minorHAnsi" w:cstheme="minorHAnsi"/>
          <w:i/>
        </w:rPr>
        <w:t xml:space="preserve"> oprav. MO</w:t>
      </w:r>
      <w:r w:rsidR="00D44ACF">
        <w:rPr>
          <w:rFonts w:asciiTheme="minorHAnsi" w:hAnsiTheme="minorHAnsi" w:cstheme="minorHAnsi"/>
          <w:i/>
        </w:rPr>
        <w:t xml:space="preserve"> změnu</w:t>
      </w:r>
      <w:r w:rsidR="00BE2555">
        <w:rPr>
          <w:rFonts w:asciiTheme="minorHAnsi" w:hAnsiTheme="minorHAnsi" w:cstheme="minorHAnsi"/>
          <w:i/>
        </w:rPr>
        <w:t xml:space="preserve"> odsouhlasilo. </w:t>
      </w:r>
      <w:r w:rsidR="00A311C8">
        <w:rPr>
          <w:rFonts w:asciiTheme="minorHAnsi" w:hAnsiTheme="minorHAnsi" w:cstheme="minorHAnsi"/>
          <w:i/>
        </w:rPr>
        <w:t>V</w:t>
      </w:r>
      <w:r w:rsidR="00BE2555">
        <w:rPr>
          <w:rFonts w:asciiTheme="minorHAnsi" w:hAnsiTheme="minorHAnsi" w:cstheme="minorHAnsi"/>
          <w:i/>
        </w:rPr>
        <w:t xml:space="preserve">ozidlo </w:t>
      </w:r>
      <w:r w:rsidR="00483500">
        <w:rPr>
          <w:rFonts w:asciiTheme="minorHAnsi" w:hAnsiTheme="minorHAnsi" w:cstheme="minorHAnsi"/>
          <w:i/>
        </w:rPr>
        <w:t>ne</w:t>
      </w:r>
      <w:r w:rsidR="00BE2555">
        <w:rPr>
          <w:rFonts w:asciiTheme="minorHAnsi" w:hAnsiTheme="minorHAnsi" w:cstheme="minorHAnsi"/>
          <w:i/>
        </w:rPr>
        <w:t xml:space="preserve">ujelo </w:t>
      </w:r>
      <w:r w:rsidR="00483500">
        <w:rPr>
          <w:rFonts w:asciiTheme="minorHAnsi" w:hAnsiTheme="minorHAnsi" w:cstheme="minorHAnsi"/>
          <w:i/>
        </w:rPr>
        <w:t>v roce 2018 ani jeden kilometr, v roce 2019 ujelo šest k</w:t>
      </w:r>
      <w:r w:rsidR="00AF36FE">
        <w:rPr>
          <w:rFonts w:asciiTheme="minorHAnsi" w:hAnsiTheme="minorHAnsi" w:cstheme="minorHAnsi"/>
          <w:i/>
        </w:rPr>
        <w:t>ilometrů</w:t>
      </w:r>
      <w:r w:rsidR="00483500">
        <w:rPr>
          <w:rFonts w:asciiTheme="minorHAnsi" w:hAnsiTheme="minorHAnsi" w:cstheme="minorHAnsi"/>
          <w:i/>
        </w:rPr>
        <w:t>, v roce 2020 ujelo 2 473 km a v roce 2021 ujelo 1 674 km.</w:t>
      </w:r>
    </w:p>
    <w:p w14:paraId="1DB6255B" w14:textId="740D236B" w:rsidR="00B61C12" w:rsidRDefault="00B969BE" w:rsidP="00475FA9">
      <w:pPr>
        <w:spacing w:before="240" w:after="120"/>
        <w:jc w:val="both"/>
        <w:rPr>
          <w:rFonts w:ascii="Calibri" w:hAnsi="Calibri" w:cs="Calibri"/>
        </w:rPr>
      </w:pPr>
      <w:r w:rsidRPr="00B969BE">
        <w:rPr>
          <w:rFonts w:asciiTheme="minorHAnsi" w:hAnsiTheme="minorHAnsi" w:cstheme="minorHAnsi"/>
          <w:b/>
        </w:rPr>
        <w:t>4.</w:t>
      </w:r>
      <w:r w:rsidR="002C0BBA">
        <w:rPr>
          <w:rFonts w:asciiTheme="minorHAnsi" w:hAnsiTheme="minorHAnsi" w:cstheme="minorHAnsi"/>
          <w:b/>
        </w:rPr>
        <w:t>2</w:t>
      </w:r>
      <w:r w:rsidR="007274B9">
        <w:rPr>
          <w:rFonts w:asciiTheme="minorHAnsi" w:hAnsiTheme="minorHAnsi" w:cstheme="minorHAnsi"/>
          <w:b/>
        </w:rPr>
        <w:t>3</w:t>
      </w:r>
      <w:r>
        <w:rPr>
          <w:rFonts w:asciiTheme="minorHAnsi" w:hAnsiTheme="minorHAnsi" w:cstheme="minorHAnsi"/>
          <w:b/>
        </w:rPr>
        <w:t xml:space="preserve"> </w:t>
      </w:r>
      <w:r w:rsidR="00B61C12" w:rsidRPr="00492B45">
        <w:rPr>
          <w:rFonts w:asciiTheme="minorHAnsi" w:hAnsiTheme="minorHAnsi" w:cstheme="minorHAnsi"/>
        </w:rPr>
        <w:t xml:space="preserve">NKÚ </w:t>
      </w:r>
      <w:r w:rsidR="00492B45" w:rsidRPr="00492B45">
        <w:rPr>
          <w:rFonts w:asciiTheme="minorHAnsi" w:hAnsiTheme="minorHAnsi" w:cstheme="minorHAnsi"/>
        </w:rPr>
        <w:t>dále</w:t>
      </w:r>
      <w:r w:rsidR="00B61C12" w:rsidRPr="00492B45">
        <w:rPr>
          <w:rFonts w:asciiTheme="minorHAnsi" w:hAnsiTheme="minorHAnsi" w:cstheme="minorHAnsi"/>
        </w:rPr>
        <w:t xml:space="preserve"> zjistil, že </w:t>
      </w:r>
      <w:r w:rsidR="00B5309D">
        <w:rPr>
          <w:rFonts w:asciiTheme="minorHAnsi" w:hAnsiTheme="minorHAnsi" w:cstheme="minorHAnsi"/>
        </w:rPr>
        <w:t>MO vynaložilo peněžní prostředky státního rozpočtu na</w:t>
      </w:r>
      <w:r w:rsidR="00FE7626">
        <w:rPr>
          <w:rFonts w:asciiTheme="minorHAnsi" w:hAnsiTheme="minorHAnsi" w:cstheme="minorHAnsi"/>
        </w:rPr>
        <w:t xml:space="preserve"> devět provedených oprav jeřábové techniky</w:t>
      </w:r>
      <w:r w:rsidR="00FE7626">
        <w:rPr>
          <w:rStyle w:val="Znakapoznpodarou"/>
          <w:rFonts w:ascii="Calibri" w:hAnsi="Calibri"/>
        </w:rPr>
        <w:footnoteReference w:id="41"/>
      </w:r>
      <w:r w:rsidR="00FE7626">
        <w:rPr>
          <w:rFonts w:asciiTheme="minorHAnsi" w:hAnsiTheme="minorHAnsi" w:cstheme="minorHAnsi"/>
        </w:rPr>
        <w:t xml:space="preserve"> v celkové výši </w:t>
      </w:r>
      <w:r w:rsidR="00FE7626" w:rsidRPr="00FE7626">
        <w:rPr>
          <w:rFonts w:asciiTheme="minorHAnsi" w:hAnsiTheme="minorHAnsi" w:cstheme="minorHAnsi"/>
        </w:rPr>
        <w:t xml:space="preserve">7 708 506 Kč neefektivně, neboť cena za opravy násobně převyšovala zůstatkovou </w:t>
      </w:r>
      <w:r w:rsidR="00456922">
        <w:rPr>
          <w:rFonts w:asciiTheme="minorHAnsi" w:hAnsiTheme="minorHAnsi" w:cstheme="minorHAnsi"/>
        </w:rPr>
        <w:t xml:space="preserve">účetní </w:t>
      </w:r>
      <w:r w:rsidR="00FE7626" w:rsidRPr="00FE7626">
        <w:rPr>
          <w:rFonts w:asciiTheme="minorHAnsi" w:hAnsiTheme="minorHAnsi" w:cstheme="minorHAnsi"/>
        </w:rPr>
        <w:t xml:space="preserve">hodnotu </w:t>
      </w:r>
      <w:r w:rsidR="00806E14">
        <w:rPr>
          <w:rFonts w:asciiTheme="minorHAnsi" w:hAnsiTheme="minorHAnsi" w:cstheme="minorHAnsi"/>
        </w:rPr>
        <w:t xml:space="preserve">techniky </w:t>
      </w:r>
      <w:r w:rsidR="00FE7626" w:rsidRPr="00FE7626">
        <w:rPr>
          <w:rFonts w:asciiTheme="minorHAnsi" w:hAnsiTheme="minorHAnsi" w:cstheme="minorHAnsi"/>
        </w:rPr>
        <w:t>a v</w:t>
      </w:r>
      <w:r w:rsidR="00D132AB">
        <w:rPr>
          <w:rFonts w:asciiTheme="minorHAnsi" w:hAnsiTheme="minorHAnsi" w:cstheme="minorHAnsi"/>
        </w:rPr>
        <w:t xml:space="preserve">e </w:t>
      </w:r>
      <w:r w:rsidR="00D132AB" w:rsidRPr="00D132AB">
        <w:rPr>
          <w:rFonts w:asciiTheme="minorHAnsi" w:hAnsiTheme="minorHAnsi" w:cstheme="minorHAnsi"/>
        </w:rPr>
        <w:t xml:space="preserve">dvou </w:t>
      </w:r>
      <w:r w:rsidR="00FE7626" w:rsidRPr="00D132AB">
        <w:rPr>
          <w:rFonts w:asciiTheme="minorHAnsi" w:hAnsiTheme="minorHAnsi" w:cstheme="minorHAnsi"/>
        </w:rPr>
        <w:t>případech</w:t>
      </w:r>
      <w:r w:rsidR="00FE7626" w:rsidRPr="00FE7626">
        <w:rPr>
          <w:rFonts w:asciiTheme="minorHAnsi" w:hAnsiTheme="minorHAnsi" w:cstheme="minorHAnsi"/>
        </w:rPr>
        <w:t xml:space="preserve"> i jej</w:t>
      </w:r>
      <w:r w:rsidR="00D132AB">
        <w:rPr>
          <w:rFonts w:asciiTheme="minorHAnsi" w:hAnsiTheme="minorHAnsi" w:cstheme="minorHAnsi"/>
        </w:rPr>
        <w:t>í</w:t>
      </w:r>
      <w:r w:rsidR="00FE7626" w:rsidRPr="00FE7626">
        <w:rPr>
          <w:rFonts w:asciiTheme="minorHAnsi" w:hAnsiTheme="minorHAnsi" w:cstheme="minorHAnsi"/>
        </w:rPr>
        <w:t xml:space="preserve"> pořizovací cenu</w:t>
      </w:r>
      <w:r w:rsidR="00A13E80">
        <w:rPr>
          <w:rFonts w:asciiTheme="minorHAnsi" w:hAnsiTheme="minorHAnsi" w:cstheme="minorHAnsi"/>
        </w:rPr>
        <w:t>. S</w:t>
      </w:r>
      <w:r w:rsidR="00B61C12" w:rsidRPr="00492B45">
        <w:rPr>
          <w:rFonts w:ascii="Calibri" w:hAnsi="Calibri"/>
        </w:rPr>
        <w:t>táří a</w:t>
      </w:r>
      <w:r w:rsidR="009058D7">
        <w:rPr>
          <w:rFonts w:ascii="Calibri" w:hAnsi="Calibri"/>
        </w:rPr>
        <w:t xml:space="preserve"> </w:t>
      </w:r>
      <w:r w:rsidR="00B61C12" w:rsidRPr="00492B45">
        <w:rPr>
          <w:rFonts w:ascii="Calibri" w:hAnsi="Calibri"/>
        </w:rPr>
        <w:t>technický stav jeřábové techniky</w:t>
      </w:r>
      <w:r w:rsidR="00492B45">
        <w:rPr>
          <w:rFonts w:ascii="Calibri" w:hAnsi="Calibri"/>
        </w:rPr>
        <w:t xml:space="preserve"> v</w:t>
      </w:r>
      <w:r w:rsidR="00B61C12" w:rsidRPr="00492B45">
        <w:rPr>
          <w:rFonts w:ascii="Calibri" w:hAnsi="Calibri"/>
        </w:rPr>
        <w:t>edly k prodlužování prov</w:t>
      </w:r>
      <w:r w:rsidR="00A13E80">
        <w:rPr>
          <w:rFonts w:ascii="Calibri" w:hAnsi="Calibri"/>
        </w:rPr>
        <w:t>áděn</w:t>
      </w:r>
      <w:r w:rsidR="00266ED4">
        <w:rPr>
          <w:rFonts w:ascii="Calibri" w:hAnsi="Calibri"/>
        </w:rPr>
        <w:t>ých</w:t>
      </w:r>
      <w:r w:rsidR="00B61C12" w:rsidRPr="00492B45">
        <w:rPr>
          <w:rFonts w:ascii="Calibri" w:hAnsi="Calibri"/>
        </w:rPr>
        <w:t xml:space="preserve"> oprav a rovněž navyšování cen za opravy. </w:t>
      </w:r>
      <w:r w:rsidR="00E0150F">
        <w:rPr>
          <w:rFonts w:ascii="Calibri" w:hAnsi="Calibri"/>
        </w:rPr>
        <w:t xml:space="preserve">U některých </w:t>
      </w:r>
      <w:r w:rsidR="00E0150F" w:rsidRPr="00E0150F">
        <w:rPr>
          <w:rFonts w:ascii="Calibri" w:hAnsi="Calibri"/>
        </w:rPr>
        <w:t xml:space="preserve">vozidel </w:t>
      </w:r>
      <w:r w:rsidR="008C0526" w:rsidRPr="00E0150F">
        <w:rPr>
          <w:rFonts w:ascii="Calibri" w:hAnsi="Calibri"/>
        </w:rPr>
        <w:t xml:space="preserve">se </w:t>
      </w:r>
      <w:r w:rsidR="00E0150F" w:rsidRPr="00E0150F">
        <w:rPr>
          <w:rFonts w:ascii="Calibri" w:hAnsi="Calibri"/>
        </w:rPr>
        <w:t xml:space="preserve">opravy </w:t>
      </w:r>
      <w:r w:rsidR="00B61C12" w:rsidRPr="00E0150F">
        <w:rPr>
          <w:rFonts w:ascii="Calibri" w:hAnsi="Calibri"/>
        </w:rPr>
        <w:t xml:space="preserve">v průběhu realizace </w:t>
      </w:r>
      <w:r w:rsidR="00492B45" w:rsidRPr="00E0150F">
        <w:rPr>
          <w:rFonts w:ascii="Calibri" w:hAnsi="Calibri"/>
        </w:rPr>
        <w:t>rámcové smlouvy</w:t>
      </w:r>
      <w:r w:rsidR="00B61C12" w:rsidRPr="00E0150F">
        <w:rPr>
          <w:rFonts w:ascii="Calibri" w:hAnsi="Calibri"/>
        </w:rPr>
        <w:t xml:space="preserve"> </w:t>
      </w:r>
      <w:r w:rsidR="00B61C12" w:rsidRPr="00230091">
        <w:rPr>
          <w:rFonts w:ascii="Calibri" w:hAnsi="Calibri"/>
        </w:rPr>
        <w:t>opakovaly.</w:t>
      </w:r>
      <w:r w:rsidR="008C0526" w:rsidRPr="00230091">
        <w:rPr>
          <w:rFonts w:ascii="Calibri" w:hAnsi="Calibri"/>
        </w:rPr>
        <w:t xml:space="preserve"> MO</w:t>
      </w:r>
      <w:r w:rsidR="00EA0F26">
        <w:rPr>
          <w:rFonts w:ascii="Calibri" w:hAnsi="Calibri"/>
        </w:rPr>
        <w:t xml:space="preserve"> přitom</w:t>
      </w:r>
      <w:r w:rsidR="008C0526" w:rsidRPr="00230091">
        <w:rPr>
          <w:rFonts w:ascii="Calibri" w:hAnsi="Calibri"/>
        </w:rPr>
        <w:t xml:space="preserve"> plánovalo pořízení </w:t>
      </w:r>
      <w:r w:rsidR="00EA0F26">
        <w:rPr>
          <w:rFonts w:ascii="Calibri" w:hAnsi="Calibri"/>
        </w:rPr>
        <w:t xml:space="preserve">nové jeřábové techniky </w:t>
      </w:r>
      <w:r w:rsidR="008C0526" w:rsidRPr="00230091">
        <w:rPr>
          <w:rFonts w:asciiTheme="minorHAnsi" w:hAnsiTheme="minorHAnsi" w:cstheme="minorHAnsi"/>
        </w:rPr>
        <w:t>s</w:t>
      </w:r>
      <w:r w:rsidR="00EA0F26">
        <w:rPr>
          <w:rFonts w:asciiTheme="minorHAnsi" w:hAnsiTheme="minorHAnsi" w:cstheme="minorHAnsi"/>
        </w:rPr>
        <w:t> </w:t>
      </w:r>
      <w:r w:rsidR="008C0526" w:rsidRPr="00230091">
        <w:rPr>
          <w:rFonts w:asciiTheme="minorHAnsi" w:hAnsiTheme="minorHAnsi" w:cstheme="minorHAnsi"/>
        </w:rPr>
        <w:t>financováním od roku 201</w:t>
      </w:r>
      <w:r w:rsidR="00E0150F" w:rsidRPr="00230091">
        <w:rPr>
          <w:rFonts w:asciiTheme="minorHAnsi" w:hAnsiTheme="minorHAnsi" w:cstheme="minorHAnsi"/>
        </w:rPr>
        <w:t>9</w:t>
      </w:r>
      <w:r w:rsidR="00834BA2">
        <w:rPr>
          <w:rFonts w:asciiTheme="minorHAnsi" w:hAnsiTheme="minorHAnsi" w:cstheme="minorHAnsi"/>
        </w:rPr>
        <w:t>;</w:t>
      </w:r>
      <w:r w:rsidR="00EA0F26">
        <w:rPr>
          <w:rFonts w:asciiTheme="minorHAnsi" w:hAnsiTheme="minorHAnsi" w:cstheme="minorHAnsi"/>
        </w:rPr>
        <w:t xml:space="preserve"> d</w:t>
      </w:r>
      <w:r w:rsidR="00230091">
        <w:rPr>
          <w:rFonts w:ascii="Calibri" w:hAnsi="Calibri" w:cs="Calibri"/>
        </w:rPr>
        <w:t xml:space="preserve">o doby ukončení kontroly </w:t>
      </w:r>
      <w:r w:rsidR="00EA0F26">
        <w:rPr>
          <w:rFonts w:ascii="Calibri" w:hAnsi="Calibri" w:cs="Calibri"/>
        </w:rPr>
        <w:t xml:space="preserve">ji </w:t>
      </w:r>
      <w:r w:rsidR="00761DCF">
        <w:rPr>
          <w:rFonts w:ascii="Calibri" w:hAnsi="Calibri" w:cs="Calibri"/>
        </w:rPr>
        <w:t xml:space="preserve">však </w:t>
      </w:r>
      <w:r w:rsidR="00230091">
        <w:rPr>
          <w:rFonts w:ascii="Calibri" w:hAnsi="Calibri" w:cs="Calibri"/>
        </w:rPr>
        <w:t>nepořídilo</w:t>
      </w:r>
      <w:r w:rsidR="0041031D">
        <w:rPr>
          <w:rFonts w:ascii="Calibri" w:hAnsi="Calibri" w:cs="Calibri"/>
        </w:rPr>
        <w:t xml:space="preserve">. </w:t>
      </w:r>
      <w:r w:rsidR="00266ED4" w:rsidRPr="00273437">
        <w:rPr>
          <w:rFonts w:ascii="Calibri" w:hAnsi="Calibri" w:cs="Calibri"/>
        </w:rPr>
        <w:t xml:space="preserve">Vynaložením peněžních prostředků </w:t>
      </w:r>
      <w:r w:rsidR="00EA0F26">
        <w:rPr>
          <w:rFonts w:ascii="Calibri" w:hAnsi="Calibri" w:cs="Calibri"/>
        </w:rPr>
        <w:t xml:space="preserve">státního rozpočtu </w:t>
      </w:r>
      <w:r w:rsidR="00266ED4" w:rsidRPr="00273437">
        <w:rPr>
          <w:rFonts w:ascii="Calibri" w:hAnsi="Calibri" w:cs="Calibri"/>
        </w:rPr>
        <w:t xml:space="preserve">na opravy </w:t>
      </w:r>
      <w:r w:rsidR="00266ED4">
        <w:rPr>
          <w:rFonts w:ascii="Calibri" w:hAnsi="Calibri" w:cs="Calibri"/>
        </w:rPr>
        <w:t xml:space="preserve">jeřábové techniky </w:t>
      </w:r>
      <w:r w:rsidR="00834BA2" w:rsidRPr="00C53ECF">
        <w:rPr>
          <w:rFonts w:asciiTheme="minorHAnsi" w:hAnsiTheme="minorHAnsi" w:cstheme="minorHAnsi"/>
        </w:rPr>
        <w:t>Ministerstvo obrany</w:t>
      </w:r>
      <w:r w:rsidR="00834BA2">
        <w:rPr>
          <w:rFonts w:asciiTheme="minorHAnsi" w:hAnsiTheme="minorHAnsi" w:cstheme="minorHAnsi"/>
        </w:rPr>
        <w:t xml:space="preserve"> </w:t>
      </w:r>
      <w:r w:rsidR="00266ED4" w:rsidRPr="00273437">
        <w:rPr>
          <w:rFonts w:ascii="Calibri" w:hAnsi="Calibri" w:cs="Calibri"/>
        </w:rPr>
        <w:t>vzhledem k</w:t>
      </w:r>
      <w:r w:rsidR="00266ED4">
        <w:rPr>
          <w:rFonts w:ascii="Calibri" w:hAnsi="Calibri" w:cs="Calibri"/>
        </w:rPr>
        <w:t> </w:t>
      </w:r>
      <w:r w:rsidR="00266ED4" w:rsidRPr="00273437">
        <w:rPr>
          <w:rFonts w:ascii="Calibri" w:hAnsi="Calibri" w:cs="Calibri"/>
        </w:rPr>
        <w:t>ceně oprav, opotřebení</w:t>
      </w:r>
      <w:r w:rsidR="00266ED4">
        <w:rPr>
          <w:rFonts w:ascii="Calibri" w:hAnsi="Calibri" w:cs="Calibri"/>
        </w:rPr>
        <w:t xml:space="preserve"> a</w:t>
      </w:r>
      <w:r w:rsidR="00834BA2">
        <w:rPr>
          <w:rFonts w:ascii="Calibri" w:hAnsi="Calibri" w:cs="Calibri"/>
        </w:rPr>
        <w:t xml:space="preserve"> </w:t>
      </w:r>
      <w:r w:rsidR="00266ED4" w:rsidRPr="00273437">
        <w:rPr>
          <w:rFonts w:ascii="Calibri" w:hAnsi="Calibri" w:cs="Calibri"/>
        </w:rPr>
        <w:t>předpokládané životnosti opravovan</w:t>
      </w:r>
      <w:r w:rsidR="00266ED4">
        <w:rPr>
          <w:rFonts w:ascii="Calibri" w:hAnsi="Calibri" w:cs="Calibri"/>
        </w:rPr>
        <w:t>é techniky</w:t>
      </w:r>
      <w:r w:rsidR="00266ED4" w:rsidRPr="00273437">
        <w:rPr>
          <w:rFonts w:ascii="Calibri" w:hAnsi="Calibri" w:cs="Calibri"/>
        </w:rPr>
        <w:t xml:space="preserve"> a </w:t>
      </w:r>
      <w:r w:rsidR="00EA0F26">
        <w:rPr>
          <w:rFonts w:ascii="Calibri" w:hAnsi="Calibri" w:cs="Calibri"/>
        </w:rPr>
        <w:t xml:space="preserve">záměru </w:t>
      </w:r>
      <w:r w:rsidR="00266ED4" w:rsidRPr="00273437">
        <w:rPr>
          <w:rFonts w:ascii="Calibri" w:hAnsi="Calibri" w:cs="Calibri"/>
        </w:rPr>
        <w:t>pořízení nov</w:t>
      </w:r>
      <w:r w:rsidR="00266ED4">
        <w:rPr>
          <w:rFonts w:ascii="Calibri" w:hAnsi="Calibri" w:cs="Calibri"/>
        </w:rPr>
        <w:t>é techniky</w:t>
      </w:r>
      <w:r w:rsidR="00266ED4" w:rsidRPr="00273437">
        <w:rPr>
          <w:rFonts w:ascii="Calibri" w:hAnsi="Calibri" w:cs="Calibri"/>
        </w:rPr>
        <w:t xml:space="preserve"> nedosáhlo nejvýše možného přínosu pro plnění úkolů Armády</w:t>
      </w:r>
      <w:r w:rsidR="00D972E8">
        <w:rPr>
          <w:rFonts w:ascii="Calibri" w:hAnsi="Calibri" w:cs="Calibri"/>
        </w:rPr>
        <w:t xml:space="preserve"> (viz</w:t>
      </w:r>
      <w:r w:rsidR="00834BA2">
        <w:rPr>
          <w:rFonts w:ascii="Calibri" w:hAnsi="Calibri" w:cs="Calibri"/>
        </w:rPr>
        <w:t> </w:t>
      </w:r>
      <w:r w:rsidR="00D972E8">
        <w:rPr>
          <w:rFonts w:ascii="Calibri" w:hAnsi="Calibri" w:cs="Calibri"/>
        </w:rPr>
        <w:t>příklad č. 4)</w:t>
      </w:r>
      <w:r w:rsidR="00266ED4" w:rsidRPr="00273437">
        <w:rPr>
          <w:rFonts w:ascii="Calibri" w:hAnsi="Calibri" w:cs="Calibri"/>
        </w:rPr>
        <w:t>.</w:t>
      </w:r>
    </w:p>
    <w:p w14:paraId="375A975D" w14:textId="3714C4CB" w:rsidR="00C20476" w:rsidRDefault="00D24FDD" w:rsidP="00BE593B">
      <w:pPr>
        <w:spacing w:before="120" w:after="240"/>
        <w:jc w:val="both"/>
        <w:rPr>
          <w:rFonts w:asciiTheme="minorHAnsi" w:hAnsiTheme="minorHAnsi" w:cstheme="minorHAnsi"/>
        </w:rPr>
      </w:pPr>
      <w:bookmarkStart w:id="27" w:name="_Hlk129691668"/>
      <w:r w:rsidRPr="00FE7626">
        <w:rPr>
          <w:rFonts w:asciiTheme="minorHAnsi" w:hAnsiTheme="minorHAnsi" w:cstheme="minorHAnsi"/>
          <w:b/>
        </w:rPr>
        <w:t>4.</w:t>
      </w:r>
      <w:r w:rsidR="002C0BBA">
        <w:rPr>
          <w:rFonts w:asciiTheme="minorHAnsi" w:hAnsiTheme="minorHAnsi" w:cstheme="minorHAnsi"/>
          <w:b/>
        </w:rPr>
        <w:t>2</w:t>
      </w:r>
      <w:r w:rsidR="007274B9">
        <w:rPr>
          <w:rFonts w:asciiTheme="minorHAnsi" w:hAnsiTheme="minorHAnsi" w:cstheme="minorHAnsi"/>
          <w:b/>
        </w:rPr>
        <w:t>4</w:t>
      </w:r>
      <w:r>
        <w:rPr>
          <w:rFonts w:asciiTheme="minorHAnsi" w:hAnsiTheme="minorHAnsi" w:cstheme="minorHAnsi"/>
        </w:rPr>
        <w:t xml:space="preserve"> </w:t>
      </w:r>
      <w:r w:rsidRPr="00FE7626">
        <w:rPr>
          <w:rFonts w:asciiTheme="minorHAnsi" w:hAnsiTheme="minorHAnsi" w:cstheme="minorHAnsi"/>
        </w:rPr>
        <w:t xml:space="preserve">MO </w:t>
      </w:r>
      <w:r>
        <w:rPr>
          <w:rFonts w:asciiTheme="minorHAnsi" w:hAnsiTheme="minorHAnsi" w:cstheme="minorHAnsi"/>
        </w:rPr>
        <w:t xml:space="preserve">také </w:t>
      </w:r>
      <w:r w:rsidRPr="00FE7626">
        <w:rPr>
          <w:rFonts w:asciiTheme="minorHAnsi" w:hAnsiTheme="minorHAnsi" w:cstheme="minorHAnsi"/>
        </w:rPr>
        <w:t xml:space="preserve">vynaložilo peněžní prostředky </w:t>
      </w:r>
      <w:r>
        <w:rPr>
          <w:rFonts w:asciiTheme="minorHAnsi" w:hAnsiTheme="minorHAnsi" w:cstheme="minorHAnsi"/>
        </w:rPr>
        <w:t xml:space="preserve">státního rozpočtu </w:t>
      </w:r>
      <w:r w:rsidRPr="00FE7626">
        <w:rPr>
          <w:rFonts w:asciiTheme="minorHAnsi" w:hAnsiTheme="minorHAnsi" w:cstheme="minorHAnsi"/>
        </w:rPr>
        <w:t xml:space="preserve">ve výši 319 241 Kč </w:t>
      </w:r>
      <w:r>
        <w:rPr>
          <w:rFonts w:asciiTheme="minorHAnsi" w:hAnsiTheme="minorHAnsi" w:cstheme="minorHAnsi"/>
        </w:rPr>
        <w:t>na opravu automobilního jeřábu</w:t>
      </w:r>
      <w:r w:rsidR="00834BA2" w:rsidRPr="00834BA2">
        <w:rPr>
          <w:rFonts w:asciiTheme="minorHAnsi" w:hAnsiTheme="minorHAnsi" w:cstheme="minorHAnsi"/>
        </w:rPr>
        <w:t xml:space="preserve"> </w:t>
      </w:r>
      <w:r w:rsidR="00834BA2" w:rsidRPr="00FE7626">
        <w:rPr>
          <w:rFonts w:asciiTheme="minorHAnsi" w:hAnsiTheme="minorHAnsi" w:cstheme="minorHAnsi"/>
        </w:rPr>
        <w:t>neúčelně</w:t>
      </w:r>
      <w:r w:rsidRPr="00FE7626">
        <w:rPr>
          <w:rFonts w:asciiTheme="minorHAnsi" w:hAnsiTheme="minorHAnsi" w:cstheme="minorHAnsi"/>
        </w:rPr>
        <w:t>, neboť proveden</w:t>
      </w:r>
      <w:r>
        <w:rPr>
          <w:rFonts w:asciiTheme="minorHAnsi" w:hAnsiTheme="minorHAnsi" w:cstheme="minorHAnsi"/>
        </w:rPr>
        <w:t>á</w:t>
      </w:r>
      <w:r w:rsidRPr="00FE7626">
        <w:rPr>
          <w:rFonts w:asciiTheme="minorHAnsi" w:hAnsiTheme="minorHAnsi" w:cstheme="minorHAnsi"/>
        </w:rPr>
        <w:t xml:space="preserve"> oprav</w:t>
      </w:r>
      <w:r>
        <w:rPr>
          <w:rFonts w:asciiTheme="minorHAnsi" w:hAnsiTheme="minorHAnsi" w:cstheme="minorHAnsi"/>
        </w:rPr>
        <w:t>a</w:t>
      </w:r>
      <w:r w:rsidRPr="00FE7626">
        <w:rPr>
          <w:rFonts w:asciiTheme="minorHAnsi" w:hAnsiTheme="minorHAnsi" w:cstheme="minorHAnsi"/>
        </w:rPr>
        <w:t xml:space="preserve"> nezajistil</w:t>
      </w:r>
      <w:r>
        <w:rPr>
          <w:rFonts w:asciiTheme="minorHAnsi" w:hAnsiTheme="minorHAnsi" w:cstheme="minorHAnsi"/>
        </w:rPr>
        <w:t>a</w:t>
      </w:r>
      <w:r w:rsidRPr="00FE7626">
        <w:rPr>
          <w:rFonts w:asciiTheme="minorHAnsi" w:hAnsiTheme="minorHAnsi" w:cstheme="minorHAnsi"/>
        </w:rPr>
        <w:t xml:space="preserve"> </w:t>
      </w:r>
      <w:r w:rsidR="005B18C7">
        <w:rPr>
          <w:rFonts w:asciiTheme="minorHAnsi" w:hAnsiTheme="minorHAnsi" w:cstheme="minorHAnsi"/>
        </w:rPr>
        <w:t xml:space="preserve">jeho </w:t>
      </w:r>
      <w:r>
        <w:rPr>
          <w:rFonts w:asciiTheme="minorHAnsi" w:hAnsiTheme="minorHAnsi" w:cstheme="minorHAnsi"/>
        </w:rPr>
        <w:t>provozuschopný stav</w:t>
      </w:r>
      <w:r w:rsidR="00806E14">
        <w:rPr>
          <w:rFonts w:asciiTheme="minorHAnsi" w:hAnsiTheme="minorHAnsi" w:cstheme="minorHAnsi"/>
        </w:rPr>
        <w:t>.</w:t>
      </w:r>
      <w:r>
        <w:rPr>
          <w:rFonts w:asciiTheme="minorHAnsi" w:hAnsiTheme="minorHAnsi" w:cstheme="minorHAnsi"/>
        </w:rPr>
        <w:t xml:space="preserve"> Jeřáb ne</w:t>
      </w:r>
      <w:r w:rsidRPr="00FE7626">
        <w:rPr>
          <w:rFonts w:asciiTheme="minorHAnsi" w:hAnsiTheme="minorHAnsi" w:cstheme="minorHAnsi"/>
        </w:rPr>
        <w:t>byl</w:t>
      </w:r>
      <w:r w:rsidR="00806E14">
        <w:rPr>
          <w:rFonts w:asciiTheme="minorHAnsi" w:hAnsiTheme="minorHAnsi" w:cstheme="minorHAnsi"/>
        </w:rPr>
        <w:t>o</w:t>
      </w:r>
      <w:r>
        <w:rPr>
          <w:rFonts w:asciiTheme="minorHAnsi" w:hAnsiTheme="minorHAnsi" w:cstheme="minorHAnsi"/>
        </w:rPr>
        <w:t xml:space="preserve"> </w:t>
      </w:r>
      <w:r w:rsidR="00806E14" w:rsidRPr="00FE7626">
        <w:rPr>
          <w:rFonts w:asciiTheme="minorHAnsi" w:hAnsiTheme="minorHAnsi" w:cstheme="minorHAnsi"/>
        </w:rPr>
        <w:t>možné využívat pro plnění úkolů A</w:t>
      </w:r>
      <w:r w:rsidR="00806E14">
        <w:rPr>
          <w:rFonts w:asciiTheme="minorHAnsi" w:hAnsiTheme="minorHAnsi" w:cstheme="minorHAnsi"/>
        </w:rPr>
        <w:t xml:space="preserve">rmády </w:t>
      </w:r>
      <w:r w:rsidRPr="00FE7626">
        <w:rPr>
          <w:rFonts w:asciiTheme="minorHAnsi" w:hAnsiTheme="minorHAnsi" w:cstheme="minorHAnsi"/>
        </w:rPr>
        <w:t xml:space="preserve">po většinu kontrolovaného období, celkem </w:t>
      </w:r>
      <w:r>
        <w:rPr>
          <w:rFonts w:asciiTheme="minorHAnsi" w:hAnsiTheme="minorHAnsi" w:cstheme="minorHAnsi"/>
        </w:rPr>
        <w:t>1 056 dní</w:t>
      </w:r>
      <w:r w:rsidRPr="00FE7626">
        <w:rPr>
          <w:rFonts w:asciiTheme="minorHAnsi" w:hAnsiTheme="minorHAnsi" w:cstheme="minorHAnsi"/>
        </w:rPr>
        <w:t>.</w:t>
      </w:r>
      <w:r w:rsidR="00C20476">
        <w:rPr>
          <w:rFonts w:asciiTheme="minorHAnsi" w:hAnsiTheme="minorHAnsi" w:cstheme="minorHAnsi"/>
        </w:rPr>
        <w:br w:type="page"/>
      </w:r>
    </w:p>
    <w:bookmarkEnd w:id="27"/>
    <w:p w14:paraId="463A93E3" w14:textId="77777777" w:rsidR="00A31F7F" w:rsidRDefault="00A31F7F" w:rsidP="00DB39AE">
      <w:pPr>
        <w:pBdr>
          <w:top w:val="single" w:sz="12" w:space="1" w:color="004595"/>
          <w:left w:val="single" w:sz="12" w:space="4" w:color="004595"/>
          <w:bottom w:val="single" w:sz="12" w:space="1" w:color="004595"/>
          <w:right w:val="single" w:sz="12" w:space="4" w:color="004595"/>
        </w:pBdr>
        <w:rPr>
          <w:rFonts w:asciiTheme="minorHAnsi" w:hAnsiTheme="minorHAnsi" w:cstheme="minorHAnsi"/>
          <w:b/>
          <w:i/>
        </w:rPr>
      </w:pPr>
      <w:r w:rsidRPr="001C56EA">
        <w:rPr>
          <w:rFonts w:asciiTheme="minorHAnsi" w:hAnsiTheme="minorHAnsi" w:cstheme="minorHAnsi"/>
          <w:b/>
          <w:i/>
        </w:rPr>
        <w:lastRenderedPageBreak/>
        <w:t xml:space="preserve">Příklad č. </w:t>
      </w:r>
      <w:r w:rsidR="00DD0364">
        <w:rPr>
          <w:rFonts w:asciiTheme="minorHAnsi" w:hAnsiTheme="minorHAnsi" w:cstheme="minorHAnsi"/>
          <w:b/>
          <w:i/>
        </w:rPr>
        <w:t>4</w:t>
      </w:r>
    </w:p>
    <w:p w14:paraId="50484E98" w14:textId="7BAA3D99" w:rsidR="00A31F7F" w:rsidRPr="00310A64" w:rsidRDefault="00FC6DBF" w:rsidP="00106C12">
      <w:pPr>
        <w:pBdr>
          <w:top w:val="single" w:sz="12" w:space="1" w:color="004595"/>
          <w:left w:val="single" w:sz="12" w:space="4" w:color="004595"/>
          <w:bottom w:val="single" w:sz="12" w:space="1" w:color="004595"/>
          <w:right w:val="single" w:sz="12" w:space="4" w:color="004595"/>
        </w:pBdr>
        <w:jc w:val="both"/>
        <w:rPr>
          <w:rFonts w:asciiTheme="minorHAnsi" w:hAnsiTheme="minorHAnsi" w:cstheme="minorHAnsi"/>
          <w:strike/>
        </w:rPr>
      </w:pPr>
      <w:r w:rsidRPr="00234245">
        <w:rPr>
          <w:rFonts w:ascii="Calibri" w:hAnsi="Calibri" w:cs="Arial"/>
          <w:i/>
        </w:rPr>
        <w:t>Oprav</w:t>
      </w:r>
      <w:r w:rsidR="00F92284" w:rsidRPr="00234245">
        <w:rPr>
          <w:rFonts w:ascii="Calibri" w:hAnsi="Calibri" w:cs="Arial"/>
          <w:i/>
        </w:rPr>
        <w:t>u</w:t>
      </w:r>
      <w:r w:rsidRPr="00234245">
        <w:rPr>
          <w:rFonts w:ascii="Calibri" w:hAnsi="Calibri" w:cs="Arial"/>
          <w:i/>
        </w:rPr>
        <w:t xml:space="preserve"> </w:t>
      </w:r>
      <w:r w:rsidR="00AB6418" w:rsidRPr="00234245">
        <w:rPr>
          <w:rFonts w:ascii="Calibri" w:hAnsi="Calibri" w:cs="Arial"/>
          <w:i/>
        </w:rPr>
        <w:t>jeřábové techniky</w:t>
      </w:r>
      <w:r w:rsidR="00D972E8">
        <w:rPr>
          <w:rFonts w:ascii="Calibri" w:hAnsi="Calibri" w:cs="Arial"/>
          <w:i/>
        </w:rPr>
        <w:t xml:space="preserve"> (</w:t>
      </w:r>
      <w:r w:rsidR="00AB6418">
        <w:rPr>
          <w:rFonts w:ascii="Calibri" w:hAnsi="Calibri" w:cs="Arial"/>
          <w:i/>
        </w:rPr>
        <w:t>a</w:t>
      </w:r>
      <w:r w:rsidR="005B2BD6">
        <w:rPr>
          <w:rFonts w:ascii="Calibri" w:hAnsi="Calibri" w:cs="Arial"/>
          <w:i/>
        </w:rPr>
        <w:t xml:space="preserve">utomobilního </w:t>
      </w:r>
      <w:r w:rsidR="00D972E8">
        <w:rPr>
          <w:rFonts w:ascii="Calibri" w:hAnsi="Calibri" w:cs="Arial"/>
          <w:i/>
        </w:rPr>
        <w:t xml:space="preserve">lopatkového </w:t>
      </w:r>
      <w:r w:rsidR="005B2BD6">
        <w:rPr>
          <w:rFonts w:ascii="Calibri" w:hAnsi="Calibri" w:cs="Arial"/>
          <w:i/>
        </w:rPr>
        <w:t>rypadla</w:t>
      </w:r>
      <w:r w:rsidR="00D972E8">
        <w:rPr>
          <w:rFonts w:ascii="Calibri" w:hAnsi="Calibri" w:cs="Arial"/>
          <w:i/>
        </w:rPr>
        <w:t>)</w:t>
      </w:r>
      <w:r w:rsidR="005B2BD6">
        <w:rPr>
          <w:rFonts w:ascii="Calibri" w:hAnsi="Calibri" w:cs="Arial"/>
          <w:i/>
        </w:rPr>
        <w:t xml:space="preserve"> </w:t>
      </w:r>
      <w:r>
        <w:rPr>
          <w:rFonts w:ascii="Calibri" w:hAnsi="Calibri" w:cs="Arial"/>
          <w:i/>
        </w:rPr>
        <w:t>s</w:t>
      </w:r>
      <w:r w:rsidR="000D3B37">
        <w:rPr>
          <w:rFonts w:ascii="Calibri" w:hAnsi="Calibri" w:cs="Arial"/>
          <w:i/>
        </w:rPr>
        <w:t xml:space="preserve"> </w:t>
      </w:r>
      <w:r>
        <w:rPr>
          <w:rFonts w:ascii="Calibri" w:hAnsi="Calibri" w:cs="Arial"/>
          <w:i/>
        </w:rPr>
        <w:t>rokem výroby 19</w:t>
      </w:r>
      <w:r w:rsidR="005B2BD6">
        <w:rPr>
          <w:rFonts w:ascii="Calibri" w:hAnsi="Calibri" w:cs="Arial"/>
          <w:i/>
        </w:rPr>
        <w:t>90</w:t>
      </w:r>
      <w:r>
        <w:rPr>
          <w:rFonts w:ascii="Calibri" w:hAnsi="Calibri" w:cs="Arial"/>
          <w:i/>
        </w:rPr>
        <w:t xml:space="preserve"> a</w:t>
      </w:r>
      <w:r w:rsidR="00D972E8">
        <w:rPr>
          <w:rFonts w:ascii="Calibri" w:hAnsi="Calibri" w:cs="Arial"/>
          <w:i/>
        </w:rPr>
        <w:t> </w:t>
      </w:r>
      <w:r w:rsidR="00106C12">
        <w:rPr>
          <w:rFonts w:ascii="Calibri" w:hAnsi="Calibri" w:cs="Arial"/>
          <w:i/>
        </w:rPr>
        <w:t xml:space="preserve">předpokládanou </w:t>
      </w:r>
      <w:r>
        <w:rPr>
          <w:rFonts w:ascii="Calibri" w:hAnsi="Calibri" w:cs="Arial"/>
          <w:i/>
        </w:rPr>
        <w:t xml:space="preserve">životností 25 let </w:t>
      </w:r>
      <w:r w:rsidR="008715B1">
        <w:rPr>
          <w:rFonts w:ascii="Calibri" w:hAnsi="Calibri" w:cs="Arial"/>
          <w:i/>
        </w:rPr>
        <w:t>prov</w:t>
      </w:r>
      <w:r w:rsidR="00234245">
        <w:rPr>
          <w:rFonts w:ascii="Calibri" w:hAnsi="Calibri" w:cs="Arial"/>
          <w:i/>
        </w:rPr>
        <w:t>áděl</w:t>
      </w:r>
      <w:r w:rsidR="008715B1">
        <w:rPr>
          <w:rFonts w:ascii="Calibri" w:hAnsi="Calibri" w:cs="Arial"/>
          <w:i/>
        </w:rPr>
        <w:t xml:space="preserve"> </w:t>
      </w:r>
      <w:r w:rsidR="00106C12">
        <w:rPr>
          <w:rFonts w:ascii="Calibri" w:hAnsi="Calibri" w:cs="Arial"/>
          <w:i/>
        </w:rPr>
        <w:t xml:space="preserve">zhotovitel </w:t>
      </w:r>
      <w:r w:rsidR="00FB76B0">
        <w:rPr>
          <w:rFonts w:ascii="Calibri" w:hAnsi="Calibri" w:cs="Arial"/>
          <w:i/>
        </w:rPr>
        <w:t xml:space="preserve">od září 2018 do října </w:t>
      </w:r>
      <w:r>
        <w:rPr>
          <w:rFonts w:ascii="Calibri" w:hAnsi="Calibri" w:cs="Arial"/>
          <w:i/>
        </w:rPr>
        <w:t xml:space="preserve">2019 </w:t>
      </w:r>
      <w:r w:rsidR="00FB76B0">
        <w:rPr>
          <w:rFonts w:ascii="Calibri" w:hAnsi="Calibri" w:cs="Arial"/>
          <w:i/>
        </w:rPr>
        <w:t>s celkovými výdaji</w:t>
      </w:r>
      <w:r w:rsidR="00106C12">
        <w:rPr>
          <w:rFonts w:ascii="Calibri" w:hAnsi="Calibri" w:cs="Arial"/>
          <w:i/>
        </w:rPr>
        <w:t xml:space="preserve"> státního rozpočtu ve výši</w:t>
      </w:r>
      <w:r w:rsidR="00FB76B0">
        <w:rPr>
          <w:rFonts w:ascii="Calibri" w:hAnsi="Calibri" w:cs="Arial"/>
          <w:i/>
        </w:rPr>
        <w:t xml:space="preserve"> 2 056 932 Kč. </w:t>
      </w:r>
      <w:r w:rsidR="00762312">
        <w:rPr>
          <w:rFonts w:ascii="Calibri" w:hAnsi="Calibri" w:cs="Arial"/>
          <w:i/>
        </w:rPr>
        <w:t>Stáří vozidla bylo v</w:t>
      </w:r>
      <w:r w:rsidR="00234245">
        <w:rPr>
          <w:rFonts w:ascii="Calibri" w:hAnsi="Calibri" w:cs="Arial"/>
          <w:i/>
        </w:rPr>
        <w:t xml:space="preserve"> </w:t>
      </w:r>
      <w:r w:rsidR="00762312">
        <w:rPr>
          <w:rFonts w:ascii="Calibri" w:hAnsi="Calibri" w:cs="Arial"/>
          <w:i/>
        </w:rPr>
        <w:t>době opravy 28 let, z</w:t>
      </w:r>
      <w:r w:rsidR="00FB76B0">
        <w:rPr>
          <w:rFonts w:ascii="Calibri" w:hAnsi="Calibri" w:cs="Arial"/>
          <w:i/>
        </w:rPr>
        <w:t xml:space="preserve">ůstatková účetní hodnota </w:t>
      </w:r>
      <w:r w:rsidR="00762312">
        <w:rPr>
          <w:rFonts w:ascii="Calibri" w:hAnsi="Calibri" w:cs="Arial"/>
          <w:i/>
        </w:rPr>
        <w:t xml:space="preserve">činila </w:t>
      </w:r>
      <w:r w:rsidR="00FB76B0">
        <w:rPr>
          <w:rFonts w:ascii="Calibri" w:hAnsi="Calibri" w:cs="Arial"/>
          <w:i/>
        </w:rPr>
        <w:t xml:space="preserve">63 299 Kč a pořizovací </w:t>
      </w:r>
      <w:r w:rsidR="00AB6418">
        <w:rPr>
          <w:rFonts w:ascii="Calibri" w:hAnsi="Calibri" w:cs="Arial"/>
          <w:i/>
        </w:rPr>
        <w:t>cena</w:t>
      </w:r>
      <w:r w:rsidR="00FB76B0">
        <w:rPr>
          <w:rFonts w:ascii="Calibri" w:hAnsi="Calibri" w:cs="Arial"/>
          <w:i/>
        </w:rPr>
        <w:t xml:space="preserve"> 1 400 302 Kč. </w:t>
      </w:r>
      <w:r w:rsidR="00106C12">
        <w:rPr>
          <w:rFonts w:ascii="Calibri" w:hAnsi="Calibri" w:cs="Arial"/>
          <w:i/>
        </w:rPr>
        <w:t>Zhotovitel po provedení kontrolní prohlídky upozornil MO na špatný technický stav</w:t>
      </w:r>
      <w:r w:rsidR="001F07B8">
        <w:rPr>
          <w:rFonts w:ascii="Calibri" w:hAnsi="Calibri" w:cs="Arial"/>
          <w:i/>
        </w:rPr>
        <w:t xml:space="preserve"> vozidla a nekompletnost dílů</w:t>
      </w:r>
      <w:r w:rsidR="00234245">
        <w:rPr>
          <w:rFonts w:ascii="Calibri" w:hAnsi="Calibri" w:cs="Arial"/>
          <w:i/>
        </w:rPr>
        <w:t>;</w:t>
      </w:r>
      <w:r w:rsidR="00106C12">
        <w:rPr>
          <w:rFonts w:ascii="Calibri" w:hAnsi="Calibri" w:cs="Arial"/>
          <w:i/>
        </w:rPr>
        <w:t xml:space="preserve"> bylo nutné opravit jak podvozek, tak nástavbu vozidla</w:t>
      </w:r>
      <w:r w:rsidR="001F07B8">
        <w:rPr>
          <w:rFonts w:ascii="Calibri" w:hAnsi="Calibri" w:cs="Arial"/>
          <w:i/>
        </w:rPr>
        <w:t>, provést technickou údržbu obou částí a připravit a</w:t>
      </w:r>
      <w:r w:rsidR="00234245">
        <w:rPr>
          <w:rFonts w:ascii="Calibri" w:hAnsi="Calibri" w:cs="Arial"/>
          <w:i/>
        </w:rPr>
        <w:t xml:space="preserve"> </w:t>
      </w:r>
      <w:r w:rsidR="001F07B8">
        <w:rPr>
          <w:rFonts w:ascii="Calibri" w:hAnsi="Calibri" w:cs="Arial"/>
          <w:i/>
        </w:rPr>
        <w:t xml:space="preserve">provést </w:t>
      </w:r>
      <w:r w:rsidR="00762312">
        <w:rPr>
          <w:rFonts w:ascii="Calibri" w:hAnsi="Calibri" w:cs="Arial"/>
          <w:i/>
        </w:rPr>
        <w:t xml:space="preserve">předepsanou </w:t>
      </w:r>
      <w:r w:rsidR="001F07B8">
        <w:rPr>
          <w:rFonts w:ascii="Calibri" w:hAnsi="Calibri" w:cs="Arial"/>
          <w:i/>
        </w:rPr>
        <w:t>kontrolu technické způsobilosti a měření emisí.</w:t>
      </w:r>
      <w:r w:rsidR="00106C12">
        <w:rPr>
          <w:rFonts w:ascii="Calibri" w:hAnsi="Calibri" w:cs="Arial"/>
          <w:i/>
        </w:rPr>
        <w:t xml:space="preserve"> </w:t>
      </w:r>
      <w:r w:rsidR="001F07B8">
        <w:rPr>
          <w:rFonts w:ascii="Calibri" w:hAnsi="Calibri" w:cs="Arial"/>
          <w:i/>
        </w:rPr>
        <w:t xml:space="preserve">Vozidlo bylo </w:t>
      </w:r>
      <w:bookmarkStart w:id="28" w:name="_Hlk127954083"/>
      <w:r w:rsidR="001F07B8">
        <w:rPr>
          <w:rFonts w:ascii="Calibri" w:hAnsi="Calibri" w:cs="Arial"/>
          <w:i/>
        </w:rPr>
        <w:t>nepojízdné</w:t>
      </w:r>
      <w:r w:rsidR="006C7B0D">
        <w:rPr>
          <w:rFonts w:ascii="Calibri" w:hAnsi="Calibri" w:cs="Arial"/>
          <w:i/>
        </w:rPr>
        <w:t>,</w:t>
      </w:r>
      <w:r w:rsidR="001F07B8">
        <w:rPr>
          <w:rFonts w:ascii="Calibri" w:hAnsi="Calibri" w:cs="Arial"/>
          <w:i/>
        </w:rPr>
        <w:t xml:space="preserve"> v</w:t>
      </w:r>
      <w:r w:rsidR="000D3B37">
        <w:rPr>
          <w:rFonts w:ascii="Calibri" w:hAnsi="Calibri" w:cs="Arial"/>
          <w:i/>
        </w:rPr>
        <w:t xml:space="preserve"> </w:t>
      </w:r>
      <w:r w:rsidR="001F07B8">
        <w:rPr>
          <w:rFonts w:ascii="Calibri" w:hAnsi="Calibri" w:cs="Arial"/>
          <w:i/>
        </w:rPr>
        <w:t>nevyhovujícím technickém stavu</w:t>
      </w:r>
      <w:bookmarkEnd w:id="28"/>
      <w:r w:rsidR="001F07B8">
        <w:rPr>
          <w:rFonts w:ascii="Calibri" w:hAnsi="Calibri" w:cs="Arial"/>
          <w:i/>
        </w:rPr>
        <w:t xml:space="preserve"> a</w:t>
      </w:r>
      <w:r w:rsidR="006C7B0D">
        <w:rPr>
          <w:rFonts w:ascii="Calibri" w:hAnsi="Calibri" w:cs="Arial"/>
          <w:i/>
        </w:rPr>
        <w:t xml:space="preserve"> </w:t>
      </w:r>
      <w:r w:rsidR="001F07B8">
        <w:rPr>
          <w:rFonts w:ascii="Calibri" w:hAnsi="Calibri" w:cs="Arial"/>
          <w:i/>
        </w:rPr>
        <w:t>s</w:t>
      </w:r>
      <w:r w:rsidR="006C7B0D">
        <w:rPr>
          <w:rFonts w:ascii="Calibri" w:hAnsi="Calibri" w:cs="Arial"/>
          <w:i/>
        </w:rPr>
        <w:t xml:space="preserve"> </w:t>
      </w:r>
      <w:r w:rsidR="001F07B8">
        <w:rPr>
          <w:rFonts w:ascii="Calibri" w:hAnsi="Calibri" w:cs="Arial"/>
          <w:i/>
        </w:rPr>
        <w:t xml:space="preserve">neplatným osvědčením o technické způsobilosti </w:t>
      </w:r>
      <w:r w:rsidR="00AB6418">
        <w:rPr>
          <w:rFonts w:ascii="Calibri" w:hAnsi="Calibri" w:cs="Arial"/>
          <w:i/>
        </w:rPr>
        <w:t>více než čtyři a půl roku (</w:t>
      </w:r>
      <w:r w:rsidR="001F07B8">
        <w:rPr>
          <w:rFonts w:ascii="Calibri" w:hAnsi="Calibri" w:cs="Arial"/>
          <w:i/>
        </w:rPr>
        <w:t xml:space="preserve">od února 2014 do </w:t>
      </w:r>
      <w:r w:rsidR="00AB6418">
        <w:rPr>
          <w:rFonts w:ascii="Calibri" w:hAnsi="Calibri" w:cs="Arial"/>
          <w:i/>
        </w:rPr>
        <w:t>září 2018)</w:t>
      </w:r>
      <w:r w:rsidR="001F07B8">
        <w:rPr>
          <w:rFonts w:ascii="Calibri" w:hAnsi="Calibri" w:cs="Arial"/>
          <w:i/>
        </w:rPr>
        <w:t xml:space="preserve">. </w:t>
      </w:r>
      <w:r w:rsidR="001F07B8" w:rsidRPr="00AD5F94">
        <w:rPr>
          <w:rFonts w:ascii="Calibri" w:hAnsi="Calibri"/>
          <w:i/>
        </w:rPr>
        <w:t>Ze zápisu o</w:t>
      </w:r>
      <w:r w:rsidR="00761DCF">
        <w:rPr>
          <w:rFonts w:ascii="Calibri" w:hAnsi="Calibri"/>
          <w:i/>
        </w:rPr>
        <w:t xml:space="preserve"> </w:t>
      </w:r>
      <w:r w:rsidR="001F07B8" w:rsidRPr="00AD5F94">
        <w:rPr>
          <w:rFonts w:ascii="Calibri" w:hAnsi="Calibri"/>
          <w:i/>
        </w:rPr>
        <w:t xml:space="preserve">technickém stavu </w:t>
      </w:r>
      <w:r w:rsidR="007D15F3">
        <w:rPr>
          <w:rFonts w:ascii="Calibri" w:hAnsi="Calibri"/>
          <w:i/>
        </w:rPr>
        <w:t xml:space="preserve">vozidla </w:t>
      </w:r>
      <w:r w:rsidR="00761DCF">
        <w:rPr>
          <w:rFonts w:ascii="Calibri" w:hAnsi="Calibri"/>
          <w:i/>
        </w:rPr>
        <w:t>NKÚ</w:t>
      </w:r>
      <w:r w:rsidR="000764E9">
        <w:rPr>
          <w:rFonts w:ascii="Calibri" w:hAnsi="Calibri"/>
          <w:i/>
        </w:rPr>
        <w:t xml:space="preserve"> </w:t>
      </w:r>
      <w:r w:rsidR="001F07B8" w:rsidRPr="00AD5F94">
        <w:rPr>
          <w:rFonts w:ascii="Calibri" w:hAnsi="Calibri"/>
          <w:i/>
        </w:rPr>
        <w:t>zji</w:t>
      </w:r>
      <w:r w:rsidR="00761DCF">
        <w:rPr>
          <w:rFonts w:ascii="Calibri" w:hAnsi="Calibri"/>
          <w:i/>
        </w:rPr>
        <w:t>stil</w:t>
      </w:r>
      <w:r w:rsidR="001F07B8" w:rsidRPr="00AD5F94">
        <w:rPr>
          <w:rFonts w:ascii="Calibri" w:hAnsi="Calibri"/>
          <w:i/>
        </w:rPr>
        <w:t xml:space="preserve">, že </w:t>
      </w:r>
      <w:r w:rsidR="000764E9">
        <w:rPr>
          <w:rFonts w:ascii="Calibri" w:hAnsi="Calibri"/>
          <w:i/>
        </w:rPr>
        <w:t xml:space="preserve">vozidlo </w:t>
      </w:r>
      <w:r w:rsidR="00AB6418">
        <w:rPr>
          <w:rFonts w:ascii="Calibri" w:hAnsi="Calibri"/>
          <w:i/>
        </w:rPr>
        <w:t xml:space="preserve">po celou dobu provozu až </w:t>
      </w:r>
      <w:r w:rsidR="00761DCF">
        <w:rPr>
          <w:rFonts w:ascii="Calibri" w:hAnsi="Calibri"/>
          <w:i/>
        </w:rPr>
        <w:t>do února 2014</w:t>
      </w:r>
      <w:r w:rsidR="00AB6418">
        <w:rPr>
          <w:rFonts w:ascii="Calibri" w:hAnsi="Calibri"/>
          <w:i/>
        </w:rPr>
        <w:t xml:space="preserve"> </w:t>
      </w:r>
      <w:r w:rsidR="00761DCF">
        <w:rPr>
          <w:rFonts w:ascii="Calibri" w:hAnsi="Calibri"/>
          <w:i/>
        </w:rPr>
        <w:t>ujelo</w:t>
      </w:r>
      <w:r w:rsidR="00D24FDD">
        <w:rPr>
          <w:rFonts w:ascii="Calibri" w:hAnsi="Calibri"/>
          <w:i/>
        </w:rPr>
        <w:t xml:space="preserve"> pouze</w:t>
      </w:r>
      <w:r w:rsidR="000764E9">
        <w:rPr>
          <w:rFonts w:ascii="Calibri" w:hAnsi="Calibri"/>
          <w:i/>
        </w:rPr>
        <w:t xml:space="preserve"> </w:t>
      </w:r>
      <w:r w:rsidR="001F07B8" w:rsidRPr="00184091">
        <w:rPr>
          <w:rFonts w:ascii="Calibri" w:hAnsi="Calibri"/>
          <w:i/>
        </w:rPr>
        <w:t>2 858 km, nástavb</w:t>
      </w:r>
      <w:r w:rsidR="00762312" w:rsidRPr="00184091">
        <w:rPr>
          <w:rFonts w:ascii="Calibri" w:hAnsi="Calibri"/>
          <w:i/>
        </w:rPr>
        <w:t>a</w:t>
      </w:r>
      <w:r w:rsidR="001F07B8" w:rsidRPr="00184091">
        <w:rPr>
          <w:rFonts w:ascii="Calibri" w:hAnsi="Calibri"/>
          <w:i/>
        </w:rPr>
        <w:t xml:space="preserve"> </w:t>
      </w:r>
      <w:r w:rsidR="00762312" w:rsidRPr="00184091">
        <w:rPr>
          <w:rFonts w:ascii="Calibri" w:hAnsi="Calibri"/>
          <w:i/>
        </w:rPr>
        <w:t xml:space="preserve">vozidla </w:t>
      </w:r>
      <w:r w:rsidR="001F07B8" w:rsidRPr="00184091">
        <w:rPr>
          <w:rFonts w:ascii="Calibri" w:hAnsi="Calibri"/>
          <w:i/>
        </w:rPr>
        <w:t>odpracovala 102,7 motohodin</w:t>
      </w:r>
      <w:r w:rsidR="00234245">
        <w:rPr>
          <w:rFonts w:ascii="Calibri" w:hAnsi="Calibri"/>
          <w:i/>
        </w:rPr>
        <w:t>y</w:t>
      </w:r>
      <w:r w:rsidR="001F07B8" w:rsidRPr="00184091">
        <w:rPr>
          <w:rFonts w:ascii="Calibri" w:hAnsi="Calibri"/>
          <w:i/>
        </w:rPr>
        <w:t xml:space="preserve"> a</w:t>
      </w:r>
      <w:r w:rsidR="00762312" w:rsidRPr="00184091">
        <w:rPr>
          <w:rFonts w:ascii="Calibri" w:hAnsi="Calibri"/>
          <w:i/>
        </w:rPr>
        <w:t> </w:t>
      </w:r>
      <w:r w:rsidR="001F07B8" w:rsidRPr="00184091">
        <w:rPr>
          <w:rFonts w:ascii="Calibri" w:hAnsi="Calibri"/>
          <w:i/>
        </w:rPr>
        <w:t>podvozek 54 motohodin</w:t>
      </w:r>
      <w:r w:rsidR="00AD5F94" w:rsidRPr="00184091">
        <w:rPr>
          <w:rFonts w:ascii="Calibri" w:hAnsi="Calibri"/>
          <w:i/>
        </w:rPr>
        <w:t>.</w:t>
      </w:r>
    </w:p>
    <w:p w14:paraId="00FC02FA" w14:textId="7E4BF021" w:rsidR="004731B1" w:rsidRDefault="00AA7CD4" w:rsidP="00D24FDD">
      <w:pPr>
        <w:spacing w:before="240"/>
        <w:jc w:val="both"/>
        <w:rPr>
          <w:rFonts w:ascii="Calibri" w:hAnsi="Calibri"/>
        </w:rPr>
      </w:pPr>
      <w:r w:rsidRPr="00AA7CD4">
        <w:rPr>
          <w:rFonts w:ascii="Calibri" w:hAnsi="Calibri"/>
          <w:b/>
        </w:rPr>
        <w:t>4.</w:t>
      </w:r>
      <w:r w:rsidR="002C0BBA">
        <w:rPr>
          <w:rFonts w:ascii="Calibri" w:hAnsi="Calibri"/>
          <w:b/>
        </w:rPr>
        <w:t>2</w:t>
      </w:r>
      <w:r w:rsidR="007274B9">
        <w:rPr>
          <w:rFonts w:ascii="Calibri" w:hAnsi="Calibri"/>
          <w:b/>
        </w:rPr>
        <w:t>5</w:t>
      </w:r>
      <w:r w:rsidRPr="00AA7CD4">
        <w:rPr>
          <w:rFonts w:ascii="Calibri" w:hAnsi="Calibri"/>
        </w:rPr>
        <w:t xml:space="preserve"> </w:t>
      </w:r>
      <w:r w:rsidRPr="0041031D">
        <w:rPr>
          <w:rFonts w:ascii="Calibri" w:hAnsi="Calibri"/>
        </w:rPr>
        <w:t xml:space="preserve">MO </w:t>
      </w:r>
      <w:r w:rsidR="00802620" w:rsidRPr="0041031D">
        <w:rPr>
          <w:rFonts w:ascii="Calibri" w:hAnsi="Calibri"/>
        </w:rPr>
        <w:t xml:space="preserve">nedoložilo </w:t>
      </w:r>
      <w:r w:rsidR="008D161B">
        <w:rPr>
          <w:rFonts w:ascii="Calibri" w:hAnsi="Calibri"/>
        </w:rPr>
        <w:t>z</w:t>
      </w:r>
      <w:r w:rsidRPr="0041031D">
        <w:rPr>
          <w:rFonts w:ascii="Calibri" w:hAnsi="Calibri"/>
        </w:rPr>
        <w:t xml:space="preserve">důvodnění </w:t>
      </w:r>
      <w:r w:rsidR="009C2603">
        <w:rPr>
          <w:rFonts w:ascii="Calibri" w:hAnsi="Calibri"/>
        </w:rPr>
        <w:t>rentability</w:t>
      </w:r>
      <w:r w:rsidR="009C2603">
        <w:rPr>
          <w:rStyle w:val="Znakapoznpodarou"/>
          <w:rFonts w:ascii="Calibri" w:hAnsi="Calibri"/>
        </w:rPr>
        <w:footnoteReference w:id="42"/>
      </w:r>
      <w:r w:rsidR="00685191">
        <w:rPr>
          <w:rFonts w:ascii="Calibri" w:hAnsi="Calibri"/>
        </w:rPr>
        <w:t>, resp.</w:t>
      </w:r>
      <w:r w:rsidR="008D161B">
        <w:rPr>
          <w:rFonts w:ascii="Calibri" w:hAnsi="Calibri"/>
        </w:rPr>
        <w:t xml:space="preserve"> </w:t>
      </w:r>
      <w:r w:rsidR="00685191">
        <w:rPr>
          <w:rFonts w:ascii="Calibri" w:hAnsi="Calibri"/>
        </w:rPr>
        <w:t xml:space="preserve">efektivnosti </w:t>
      </w:r>
      <w:r w:rsidR="004D2CA4">
        <w:rPr>
          <w:rFonts w:ascii="Calibri" w:hAnsi="Calibri"/>
        </w:rPr>
        <w:t xml:space="preserve">kontrolovaných </w:t>
      </w:r>
      <w:r w:rsidR="008D161B">
        <w:rPr>
          <w:rFonts w:ascii="Calibri" w:hAnsi="Calibri"/>
        </w:rPr>
        <w:t>oprav</w:t>
      </w:r>
      <w:r w:rsidR="0041031D" w:rsidRPr="0041031D">
        <w:rPr>
          <w:rFonts w:ascii="Calibri" w:hAnsi="Calibri"/>
        </w:rPr>
        <w:t xml:space="preserve"> </w:t>
      </w:r>
      <w:r w:rsidR="006C7B0D">
        <w:rPr>
          <w:rFonts w:ascii="Calibri" w:hAnsi="Calibri"/>
        </w:rPr>
        <w:br/>
      </w:r>
      <w:r w:rsidR="0041031D" w:rsidRPr="0041031D">
        <w:rPr>
          <w:rFonts w:ascii="Calibri" w:hAnsi="Calibri"/>
        </w:rPr>
        <w:t>a</w:t>
      </w:r>
      <w:r w:rsidR="006C7B0D">
        <w:rPr>
          <w:rFonts w:ascii="Calibri" w:hAnsi="Calibri"/>
        </w:rPr>
        <w:t xml:space="preserve"> </w:t>
      </w:r>
      <w:r w:rsidR="0041031D" w:rsidRPr="0041031D">
        <w:rPr>
          <w:rFonts w:ascii="Calibri" w:hAnsi="Calibri"/>
        </w:rPr>
        <w:t xml:space="preserve">nevedlo </w:t>
      </w:r>
      <w:r w:rsidR="00C459C0">
        <w:rPr>
          <w:rFonts w:ascii="Calibri" w:hAnsi="Calibri"/>
        </w:rPr>
        <w:t>záznam</w:t>
      </w:r>
      <w:r w:rsidR="00761DCF">
        <w:rPr>
          <w:rFonts w:ascii="Calibri" w:hAnsi="Calibri"/>
        </w:rPr>
        <w:t>y</w:t>
      </w:r>
      <w:r w:rsidR="00C459C0">
        <w:rPr>
          <w:rFonts w:ascii="Calibri" w:hAnsi="Calibri"/>
        </w:rPr>
        <w:t xml:space="preserve"> o</w:t>
      </w:r>
      <w:r w:rsidR="006C7B0D">
        <w:rPr>
          <w:rFonts w:ascii="Calibri" w:hAnsi="Calibri"/>
        </w:rPr>
        <w:t xml:space="preserve"> </w:t>
      </w:r>
      <w:r w:rsidR="0041031D" w:rsidRPr="0041031D">
        <w:rPr>
          <w:rFonts w:ascii="Calibri" w:hAnsi="Calibri"/>
        </w:rPr>
        <w:t>posouzení perspektivnosti</w:t>
      </w:r>
      <w:r w:rsidR="009C2603">
        <w:rPr>
          <w:rStyle w:val="Znakapoznpodarou"/>
          <w:rFonts w:ascii="Calibri" w:hAnsi="Calibri"/>
        </w:rPr>
        <w:footnoteReference w:id="43"/>
      </w:r>
      <w:r w:rsidR="00802620">
        <w:rPr>
          <w:rFonts w:ascii="Calibri" w:hAnsi="Calibri"/>
        </w:rPr>
        <w:t xml:space="preserve"> opravované</w:t>
      </w:r>
      <w:r w:rsidR="004D2CA4">
        <w:rPr>
          <w:rFonts w:ascii="Calibri" w:hAnsi="Calibri"/>
        </w:rPr>
        <w:t xml:space="preserve"> automobilní</w:t>
      </w:r>
      <w:r w:rsidR="00802620">
        <w:rPr>
          <w:rFonts w:ascii="Calibri" w:hAnsi="Calibri"/>
        </w:rPr>
        <w:t xml:space="preserve"> techniky</w:t>
      </w:r>
      <w:r w:rsidR="0041031D" w:rsidRPr="0041031D">
        <w:rPr>
          <w:rFonts w:ascii="Calibri" w:hAnsi="Calibri"/>
        </w:rPr>
        <w:t xml:space="preserve"> </w:t>
      </w:r>
      <w:r w:rsidRPr="0041031D">
        <w:rPr>
          <w:rFonts w:ascii="Calibri" w:hAnsi="Calibri"/>
        </w:rPr>
        <w:t>a</w:t>
      </w:r>
      <w:r w:rsidR="0041031D" w:rsidRPr="0041031D">
        <w:rPr>
          <w:rFonts w:ascii="Calibri" w:hAnsi="Calibri"/>
        </w:rPr>
        <w:t>ni</w:t>
      </w:r>
      <w:r w:rsidR="006C7B0D">
        <w:rPr>
          <w:rFonts w:ascii="Calibri" w:hAnsi="Calibri"/>
        </w:rPr>
        <w:t xml:space="preserve"> </w:t>
      </w:r>
      <w:r w:rsidRPr="0041031D">
        <w:rPr>
          <w:rFonts w:ascii="Calibri" w:hAnsi="Calibri"/>
        </w:rPr>
        <w:t>porovnání předpokládan</w:t>
      </w:r>
      <w:r w:rsidR="0041031D">
        <w:rPr>
          <w:rFonts w:ascii="Calibri" w:hAnsi="Calibri"/>
        </w:rPr>
        <w:t xml:space="preserve">ých </w:t>
      </w:r>
      <w:r w:rsidRPr="0041031D">
        <w:rPr>
          <w:rFonts w:ascii="Calibri" w:hAnsi="Calibri"/>
        </w:rPr>
        <w:t xml:space="preserve">cen oprav </w:t>
      </w:r>
      <w:r w:rsidR="0041031D" w:rsidRPr="0041031D">
        <w:rPr>
          <w:rFonts w:ascii="Calibri" w:hAnsi="Calibri"/>
        </w:rPr>
        <w:t xml:space="preserve">se </w:t>
      </w:r>
      <w:r w:rsidRPr="0041031D">
        <w:rPr>
          <w:rFonts w:ascii="Calibri" w:hAnsi="Calibri"/>
        </w:rPr>
        <w:t>zůstatkov</w:t>
      </w:r>
      <w:r w:rsidR="0041031D" w:rsidRPr="0041031D">
        <w:rPr>
          <w:rFonts w:ascii="Calibri" w:hAnsi="Calibri"/>
        </w:rPr>
        <w:t xml:space="preserve">ou účetní hodnotou </w:t>
      </w:r>
      <w:r w:rsidR="0041031D">
        <w:rPr>
          <w:rFonts w:ascii="Calibri" w:hAnsi="Calibri"/>
        </w:rPr>
        <w:t xml:space="preserve">příslušné </w:t>
      </w:r>
      <w:r w:rsidR="0041031D" w:rsidRPr="0041031D">
        <w:rPr>
          <w:rFonts w:ascii="Calibri" w:hAnsi="Calibri"/>
        </w:rPr>
        <w:t xml:space="preserve">techniky, </w:t>
      </w:r>
      <w:r w:rsidRPr="0041031D">
        <w:rPr>
          <w:rFonts w:ascii="Calibri" w:hAnsi="Calibri"/>
        </w:rPr>
        <w:t>přestože to m</w:t>
      </w:r>
      <w:r w:rsidR="0041031D" w:rsidRPr="0041031D">
        <w:rPr>
          <w:rFonts w:ascii="Calibri" w:hAnsi="Calibri"/>
        </w:rPr>
        <w:t>ělo</w:t>
      </w:r>
      <w:r w:rsidRPr="0041031D">
        <w:rPr>
          <w:rFonts w:ascii="Calibri" w:hAnsi="Calibri"/>
        </w:rPr>
        <w:t xml:space="preserve"> od </w:t>
      </w:r>
      <w:r w:rsidR="0041031D" w:rsidRPr="0041031D">
        <w:rPr>
          <w:rFonts w:ascii="Calibri" w:hAnsi="Calibri"/>
        </w:rPr>
        <w:t>října</w:t>
      </w:r>
      <w:r w:rsidRPr="0041031D">
        <w:rPr>
          <w:rFonts w:ascii="Calibri" w:hAnsi="Calibri"/>
        </w:rPr>
        <w:t xml:space="preserve"> 2018 stanoveno vnitřními předpisy</w:t>
      </w:r>
      <w:r w:rsidR="009C2603" w:rsidRPr="0081281B">
        <w:rPr>
          <w:rStyle w:val="Znakapoznpodarou"/>
          <w:rFonts w:ascii="Calibri" w:hAnsi="Calibri" w:cs="Calibri"/>
        </w:rPr>
        <w:footnoteReference w:id="44"/>
      </w:r>
      <w:r w:rsidRPr="0041031D">
        <w:rPr>
          <w:rFonts w:ascii="Calibri" w:hAnsi="Calibri"/>
        </w:rPr>
        <w:t xml:space="preserve">. </w:t>
      </w:r>
      <w:r w:rsidR="0041031D">
        <w:rPr>
          <w:rFonts w:ascii="Calibri" w:hAnsi="Calibri"/>
        </w:rPr>
        <w:t xml:space="preserve">Pro </w:t>
      </w:r>
      <w:r w:rsidR="00657A77">
        <w:rPr>
          <w:rFonts w:ascii="Calibri" w:hAnsi="Calibri"/>
        </w:rPr>
        <w:t>doplnění</w:t>
      </w:r>
      <w:r w:rsidR="0041031D">
        <w:rPr>
          <w:rFonts w:ascii="Calibri" w:hAnsi="Calibri"/>
        </w:rPr>
        <w:t xml:space="preserve"> uveden</w:t>
      </w:r>
      <w:r w:rsidR="00762312">
        <w:rPr>
          <w:rFonts w:ascii="Calibri" w:hAnsi="Calibri"/>
        </w:rPr>
        <w:t>ých</w:t>
      </w:r>
      <w:r w:rsidR="0041031D">
        <w:rPr>
          <w:rFonts w:ascii="Calibri" w:hAnsi="Calibri"/>
        </w:rPr>
        <w:t xml:space="preserve"> zjištění </w:t>
      </w:r>
      <w:r w:rsidR="00657A77">
        <w:rPr>
          <w:rFonts w:ascii="Calibri" w:hAnsi="Calibri"/>
        </w:rPr>
        <w:t>sestavil</w:t>
      </w:r>
      <w:r w:rsidR="0041031D">
        <w:rPr>
          <w:rFonts w:ascii="Calibri" w:hAnsi="Calibri"/>
        </w:rPr>
        <w:t xml:space="preserve"> </w:t>
      </w:r>
      <w:r w:rsidR="000D3B37">
        <w:rPr>
          <w:rFonts w:ascii="Calibri" w:hAnsi="Calibri"/>
        </w:rPr>
        <w:t xml:space="preserve">NKÚ </w:t>
      </w:r>
      <w:r w:rsidR="00657A77">
        <w:rPr>
          <w:rFonts w:ascii="Calibri" w:hAnsi="Calibri"/>
        </w:rPr>
        <w:t xml:space="preserve">přehled </w:t>
      </w:r>
      <w:r w:rsidR="0041031D">
        <w:rPr>
          <w:rFonts w:ascii="Calibri" w:hAnsi="Calibri"/>
        </w:rPr>
        <w:t>výdaj</w:t>
      </w:r>
      <w:r w:rsidR="00657A77">
        <w:rPr>
          <w:rFonts w:ascii="Calibri" w:hAnsi="Calibri"/>
        </w:rPr>
        <w:t>ů</w:t>
      </w:r>
      <w:r w:rsidR="0041031D">
        <w:rPr>
          <w:rFonts w:ascii="Calibri" w:hAnsi="Calibri"/>
        </w:rPr>
        <w:t xml:space="preserve"> na </w:t>
      </w:r>
      <w:r w:rsidR="004731B1">
        <w:rPr>
          <w:rFonts w:ascii="Calibri" w:hAnsi="Calibri"/>
        </w:rPr>
        <w:t xml:space="preserve">údržbu, opravy a nákupy náhradních dílů </w:t>
      </w:r>
      <w:r w:rsidR="004B7A58">
        <w:rPr>
          <w:rFonts w:ascii="Calibri" w:hAnsi="Calibri"/>
        </w:rPr>
        <w:t xml:space="preserve">v kontrolovaném období </w:t>
      </w:r>
      <w:r w:rsidR="004731B1">
        <w:rPr>
          <w:rFonts w:ascii="Calibri" w:hAnsi="Calibri"/>
        </w:rPr>
        <w:t xml:space="preserve">podle </w:t>
      </w:r>
      <w:r w:rsidR="0041031D">
        <w:rPr>
          <w:rFonts w:ascii="Calibri" w:hAnsi="Calibri"/>
        </w:rPr>
        <w:t>jednotliv</w:t>
      </w:r>
      <w:r w:rsidR="004731B1">
        <w:rPr>
          <w:rFonts w:ascii="Calibri" w:hAnsi="Calibri"/>
        </w:rPr>
        <w:t>ých</w:t>
      </w:r>
      <w:r w:rsidR="0041031D">
        <w:rPr>
          <w:rFonts w:ascii="Calibri" w:hAnsi="Calibri"/>
        </w:rPr>
        <w:t xml:space="preserve"> druhů </w:t>
      </w:r>
      <w:r w:rsidR="004731B1">
        <w:rPr>
          <w:rFonts w:ascii="Calibri" w:hAnsi="Calibri"/>
        </w:rPr>
        <w:t xml:space="preserve">automobilní </w:t>
      </w:r>
      <w:r w:rsidR="0041031D">
        <w:rPr>
          <w:rFonts w:ascii="Calibri" w:hAnsi="Calibri"/>
        </w:rPr>
        <w:t>techniky, viz tabulka č</w:t>
      </w:r>
      <w:r w:rsidR="0041031D" w:rsidRPr="00745D98">
        <w:rPr>
          <w:rFonts w:ascii="Calibri" w:hAnsi="Calibri"/>
        </w:rPr>
        <w:t xml:space="preserve">. </w:t>
      </w:r>
      <w:r w:rsidR="00D9332D" w:rsidRPr="00745D98">
        <w:rPr>
          <w:rFonts w:ascii="Calibri" w:hAnsi="Calibri"/>
        </w:rPr>
        <w:t>3</w:t>
      </w:r>
      <w:r w:rsidR="004731B1" w:rsidRPr="00745D98">
        <w:rPr>
          <w:rFonts w:ascii="Calibri" w:hAnsi="Calibri"/>
        </w:rPr>
        <w:t>.</w:t>
      </w:r>
    </w:p>
    <w:p w14:paraId="5F0AD78F" w14:textId="77777777" w:rsidR="004731B1" w:rsidRPr="004731B1" w:rsidRDefault="004731B1" w:rsidP="004731B1">
      <w:pPr>
        <w:spacing w:before="120"/>
        <w:jc w:val="both"/>
        <w:rPr>
          <w:rFonts w:ascii="Calibri" w:hAnsi="Calibri"/>
        </w:rPr>
      </w:pPr>
      <w:r w:rsidRPr="004731B1">
        <w:rPr>
          <w:rFonts w:ascii="Calibri" w:hAnsi="Calibri"/>
          <w:b/>
        </w:rPr>
        <w:t xml:space="preserve">Tabulka č. </w:t>
      </w:r>
      <w:r w:rsidR="00DD0364">
        <w:rPr>
          <w:rFonts w:ascii="Calibri" w:hAnsi="Calibri"/>
          <w:b/>
        </w:rPr>
        <w:t>3</w:t>
      </w:r>
      <w:r w:rsidRPr="004731B1">
        <w:rPr>
          <w:rFonts w:ascii="Calibri" w:hAnsi="Calibri"/>
          <w:b/>
        </w:rPr>
        <w:t xml:space="preserve">: </w:t>
      </w:r>
      <w:r w:rsidR="00456922">
        <w:rPr>
          <w:rFonts w:ascii="Calibri" w:hAnsi="Calibri"/>
          <w:b/>
        </w:rPr>
        <w:t>V</w:t>
      </w:r>
      <w:r>
        <w:rPr>
          <w:rFonts w:ascii="Calibri" w:hAnsi="Calibri"/>
          <w:b/>
        </w:rPr>
        <w:t>ýdaje na údržbu, opravy a nákupy náhradních dílů automobilní technik</w:t>
      </w:r>
      <w:r w:rsidR="00456922">
        <w:rPr>
          <w:rFonts w:ascii="Calibri" w:hAnsi="Calibri"/>
          <w:b/>
        </w:rPr>
        <w:t>y</w:t>
      </w:r>
    </w:p>
    <w:tbl>
      <w:tblPr>
        <w:tblStyle w:val="Mkatabulky"/>
        <w:tblW w:w="9100" w:type="dxa"/>
        <w:tblInd w:w="-5" w:type="dxa"/>
        <w:tblLayout w:type="fixed"/>
        <w:tblLook w:val="04A0" w:firstRow="1" w:lastRow="0" w:firstColumn="1" w:lastColumn="0" w:noHBand="0" w:noVBand="1"/>
      </w:tblPr>
      <w:tblGrid>
        <w:gridCol w:w="2977"/>
        <w:gridCol w:w="709"/>
        <w:gridCol w:w="1757"/>
        <w:gridCol w:w="1559"/>
        <w:gridCol w:w="2098"/>
      </w:tblGrid>
      <w:tr w:rsidR="004731B1" w:rsidRPr="00243E67" w14:paraId="46ED201D" w14:textId="77777777" w:rsidTr="00F27EF8">
        <w:trPr>
          <w:trHeight w:val="340"/>
        </w:trPr>
        <w:tc>
          <w:tcPr>
            <w:tcW w:w="2977" w:type="dxa"/>
            <w:shd w:val="clear" w:color="auto" w:fill="E5F1FF"/>
            <w:vAlign w:val="center"/>
          </w:tcPr>
          <w:p w14:paraId="3DFC5F45" w14:textId="77777777" w:rsidR="004731B1" w:rsidRPr="00802620" w:rsidRDefault="004731B1" w:rsidP="00AD5F94">
            <w:pPr>
              <w:autoSpaceDE w:val="0"/>
              <w:autoSpaceDN w:val="0"/>
              <w:adjustRightInd w:val="0"/>
              <w:jc w:val="center"/>
              <w:rPr>
                <w:rFonts w:asciiTheme="minorHAnsi" w:hAnsiTheme="minorHAnsi" w:cstheme="minorHAnsi"/>
                <w:b/>
                <w:sz w:val="20"/>
                <w:szCs w:val="20"/>
              </w:rPr>
            </w:pPr>
            <w:r w:rsidRPr="00802620">
              <w:rPr>
                <w:rFonts w:asciiTheme="minorHAnsi" w:hAnsiTheme="minorHAnsi" w:cstheme="minorHAnsi"/>
                <w:b/>
                <w:sz w:val="20"/>
                <w:szCs w:val="20"/>
              </w:rPr>
              <w:t>Druh techniky</w:t>
            </w:r>
          </w:p>
        </w:tc>
        <w:tc>
          <w:tcPr>
            <w:tcW w:w="709" w:type="dxa"/>
            <w:shd w:val="clear" w:color="auto" w:fill="E5F1FF"/>
            <w:vAlign w:val="center"/>
          </w:tcPr>
          <w:p w14:paraId="15DFA29A" w14:textId="77777777" w:rsidR="004731B1" w:rsidRPr="00802620" w:rsidRDefault="004731B1" w:rsidP="00AD5F94">
            <w:pPr>
              <w:autoSpaceDE w:val="0"/>
              <w:autoSpaceDN w:val="0"/>
              <w:adjustRightInd w:val="0"/>
              <w:jc w:val="center"/>
              <w:rPr>
                <w:rFonts w:asciiTheme="minorHAnsi" w:hAnsiTheme="minorHAnsi" w:cstheme="minorHAnsi"/>
                <w:b/>
                <w:sz w:val="20"/>
                <w:szCs w:val="20"/>
              </w:rPr>
            </w:pPr>
            <w:r w:rsidRPr="00802620">
              <w:rPr>
                <w:rFonts w:asciiTheme="minorHAnsi" w:hAnsiTheme="minorHAnsi" w:cstheme="minorHAnsi"/>
                <w:b/>
                <w:sz w:val="20"/>
                <w:szCs w:val="20"/>
              </w:rPr>
              <w:t>Počet kusů</w:t>
            </w:r>
          </w:p>
        </w:tc>
        <w:tc>
          <w:tcPr>
            <w:tcW w:w="1757" w:type="dxa"/>
            <w:shd w:val="clear" w:color="auto" w:fill="E5F1FF"/>
            <w:vAlign w:val="center"/>
          </w:tcPr>
          <w:p w14:paraId="3F6D9AD4" w14:textId="77777777" w:rsidR="004731B1" w:rsidRPr="00802620" w:rsidRDefault="004731B1" w:rsidP="00F27EF8">
            <w:pPr>
              <w:autoSpaceDE w:val="0"/>
              <w:autoSpaceDN w:val="0"/>
              <w:adjustRightInd w:val="0"/>
              <w:ind w:left="-100" w:right="-55"/>
              <w:jc w:val="center"/>
              <w:rPr>
                <w:rFonts w:asciiTheme="minorHAnsi" w:hAnsiTheme="minorHAnsi" w:cstheme="minorHAnsi"/>
                <w:b/>
                <w:sz w:val="20"/>
                <w:szCs w:val="20"/>
              </w:rPr>
            </w:pPr>
            <w:r w:rsidRPr="00802620">
              <w:rPr>
                <w:rFonts w:asciiTheme="minorHAnsi" w:hAnsiTheme="minorHAnsi" w:cstheme="minorHAnsi"/>
                <w:b/>
                <w:sz w:val="20"/>
                <w:szCs w:val="20"/>
              </w:rPr>
              <w:t xml:space="preserve">Výdaje </w:t>
            </w:r>
            <w:r w:rsidR="00802620" w:rsidRPr="00802620">
              <w:rPr>
                <w:rFonts w:asciiTheme="minorHAnsi" w:hAnsiTheme="minorHAnsi" w:cstheme="minorHAnsi"/>
                <w:b/>
                <w:sz w:val="20"/>
                <w:szCs w:val="20"/>
              </w:rPr>
              <w:t xml:space="preserve">celkem za období </w:t>
            </w:r>
            <w:r w:rsidRPr="00802620">
              <w:rPr>
                <w:rFonts w:asciiTheme="minorHAnsi" w:hAnsiTheme="minorHAnsi" w:cstheme="minorHAnsi"/>
                <w:b/>
                <w:sz w:val="20"/>
                <w:szCs w:val="20"/>
              </w:rPr>
              <w:t>2018–2021</w:t>
            </w:r>
          </w:p>
          <w:p w14:paraId="6AD98949" w14:textId="77777777" w:rsidR="00802620" w:rsidRPr="00802620" w:rsidRDefault="00802620" w:rsidP="00F27EF8">
            <w:pPr>
              <w:autoSpaceDE w:val="0"/>
              <w:autoSpaceDN w:val="0"/>
              <w:adjustRightInd w:val="0"/>
              <w:ind w:left="-100" w:right="-55"/>
              <w:jc w:val="center"/>
              <w:rPr>
                <w:rFonts w:asciiTheme="minorHAnsi" w:hAnsiTheme="minorHAnsi" w:cstheme="minorHAnsi"/>
                <w:b/>
                <w:sz w:val="20"/>
                <w:szCs w:val="20"/>
              </w:rPr>
            </w:pPr>
            <w:r w:rsidRPr="00802620">
              <w:rPr>
                <w:rFonts w:asciiTheme="minorHAnsi" w:hAnsiTheme="minorHAnsi" w:cstheme="minorHAnsi"/>
                <w:b/>
                <w:sz w:val="20"/>
                <w:szCs w:val="20"/>
              </w:rPr>
              <w:t>(v tis. Kč)</w:t>
            </w:r>
          </w:p>
        </w:tc>
        <w:tc>
          <w:tcPr>
            <w:tcW w:w="1559" w:type="dxa"/>
            <w:shd w:val="clear" w:color="auto" w:fill="E5F1FF"/>
            <w:vAlign w:val="center"/>
          </w:tcPr>
          <w:p w14:paraId="3674A04B" w14:textId="77777777" w:rsidR="004731B1" w:rsidRPr="00802620" w:rsidRDefault="004731B1" w:rsidP="00AD5F94">
            <w:pPr>
              <w:autoSpaceDE w:val="0"/>
              <w:autoSpaceDN w:val="0"/>
              <w:adjustRightInd w:val="0"/>
              <w:jc w:val="center"/>
              <w:rPr>
                <w:rFonts w:asciiTheme="minorHAnsi" w:hAnsiTheme="minorHAnsi" w:cstheme="minorHAnsi"/>
                <w:b/>
                <w:sz w:val="20"/>
                <w:szCs w:val="20"/>
              </w:rPr>
            </w:pPr>
            <w:r w:rsidRPr="00802620">
              <w:rPr>
                <w:rFonts w:asciiTheme="minorHAnsi" w:hAnsiTheme="minorHAnsi" w:cstheme="minorHAnsi"/>
                <w:b/>
                <w:sz w:val="20"/>
                <w:szCs w:val="20"/>
              </w:rPr>
              <w:t>Průměrn</w:t>
            </w:r>
            <w:r w:rsidR="00802620" w:rsidRPr="00802620">
              <w:rPr>
                <w:rFonts w:asciiTheme="minorHAnsi" w:hAnsiTheme="minorHAnsi" w:cstheme="minorHAnsi"/>
                <w:b/>
                <w:sz w:val="20"/>
                <w:szCs w:val="20"/>
              </w:rPr>
              <w:t>ý</w:t>
            </w:r>
            <w:r w:rsidRPr="00802620">
              <w:rPr>
                <w:rFonts w:asciiTheme="minorHAnsi" w:hAnsiTheme="minorHAnsi" w:cstheme="minorHAnsi"/>
                <w:b/>
                <w:sz w:val="20"/>
                <w:szCs w:val="20"/>
              </w:rPr>
              <w:t xml:space="preserve"> výdaj </w:t>
            </w:r>
            <w:r w:rsidR="00802620" w:rsidRPr="00802620">
              <w:rPr>
                <w:rFonts w:asciiTheme="minorHAnsi" w:hAnsiTheme="minorHAnsi" w:cstheme="minorHAnsi"/>
                <w:b/>
                <w:sz w:val="20"/>
                <w:szCs w:val="20"/>
              </w:rPr>
              <w:t>za jeden rok</w:t>
            </w:r>
          </w:p>
          <w:p w14:paraId="333630F1" w14:textId="77777777" w:rsidR="00802620" w:rsidRPr="00802620" w:rsidRDefault="00802620" w:rsidP="00AD5F94">
            <w:pPr>
              <w:autoSpaceDE w:val="0"/>
              <w:autoSpaceDN w:val="0"/>
              <w:adjustRightInd w:val="0"/>
              <w:jc w:val="center"/>
              <w:rPr>
                <w:rFonts w:asciiTheme="minorHAnsi" w:hAnsiTheme="minorHAnsi" w:cstheme="minorHAnsi"/>
                <w:b/>
                <w:sz w:val="20"/>
                <w:szCs w:val="20"/>
              </w:rPr>
            </w:pPr>
            <w:r w:rsidRPr="00802620">
              <w:rPr>
                <w:rFonts w:asciiTheme="minorHAnsi" w:hAnsiTheme="minorHAnsi" w:cstheme="minorHAnsi"/>
                <w:b/>
                <w:sz w:val="20"/>
                <w:szCs w:val="20"/>
              </w:rPr>
              <w:t>(v tis. Kč)</w:t>
            </w:r>
          </w:p>
        </w:tc>
        <w:tc>
          <w:tcPr>
            <w:tcW w:w="2098" w:type="dxa"/>
            <w:shd w:val="clear" w:color="auto" w:fill="E5F1FF"/>
          </w:tcPr>
          <w:p w14:paraId="41006345" w14:textId="77777777" w:rsidR="00802620" w:rsidRPr="00802620" w:rsidRDefault="004731B1" w:rsidP="00802620">
            <w:pPr>
              <w:autoSpaceDE w:val="0"/>
              <w:autoSpaceDN w:val="0"/>
              <w:adjustRightInd w:val="0"/>
              <w:jc w:val="center"/>
              <w:rPr>
                <w:rFonts w:cstheme="minorHAnsi"/>
                <w:b/>
                <w:sz w:val="20"/>
                <w:szCs w:val="20"/>
              </w:rPr>
            </w:pPr>
            <w:r w:rsidRPr="00802620">
              <w:rPr>
                <w:rFonts w:asciiTheme="minorHAnsi" w:hAnsiTheme="minorHAnsi" w:cstheme="minorHAnsi"/>
                <w:b/>
                <w:sz w:val="20"/>
                <w:szCs w:val="20"/>
              </w:rPr>
              <w:t>Průměrn</w:t>
            </w:r>
            <w:r w:rsidR="00802620" w:rsidRPr="00802620">
              <w:rPr>
                <w:rFonts w:asciiTheme="minorHAnsi" w:hAnsiTheme="minorHAnsi" w:cstheme="minorHAnsi"/>
                <w:b/>
                <w:sz w:val="20"/>
                <w:szCs w:val="20"/>
              </w:rPr>
              <w:t xml:space="preserve">ý </w:t>
            </w:r>
            <w:r w:rsidRPr="00802620">
              <w:rPr>
                <w:rFonts w:asciiTheme="minorHAnsi" w:hAnsiTheme="minorHAnsi" w:cstheme="minorHAnsi"/>
                <w:b/>
                <w:sz w:val="20"/>
                <w:szCs w:val="20"/>
              </w:rPr>
              <w:t>výdaj</w:t>
            </w:r>
            <w:r w:rsidR="00802620" w:rsidRPr="00802620">
              <w:rPr>
                <w:rFonts w:asciiTheme="minorHAnsi" w:hAnsiTheme="minorHAnsi" w:cstheme="minorHAnsi"/>
                <w:b/>
                <w:sz w:val="20"/>
                <w:szCs w:val="20"/>
              </w:rPr>
              <w:t xml:space="preserve"> za jeden rok na jeden kus</w:t>
            </w:r>
            <w:r w:rsidR="00456922">
              <w:rPr>
                <w:rFonts w:asciiTheme="minorHAnsi" w:hAnsiTheme="minorHAnsi" w:cstheme="minorHAnsi"/>
                <w:b/>
                <w:sz w:val="20"/>
                <w:szCs w:val="20"/>
              </w:rPr>
              <w:t xml:space="preserve"> techniky</w:t>
            </w:r>
            <w:r w:rsidR="00802620">
              <w:rPr>
                <w:rFonts w:asciiTheme="minorHAnsi" w:hAnsiTheme="minorHAnsi" w:cstheme="minorHAnsi"/>
                <w:b/>
                <w:sz w:val="20"/>
                <w:szCs w:val="20"/>
              </w:rPr>
              <w:t xml:space="preserve"> </w:t>
            </w:r>
            <w:r w:rsidR="00802620" w:rsidRPr="00802620">
              <w:rPr>
                <w:rFonts w:asciiTheme="minorHAnsi" w:hAnsiTheme="minorHAnsi" w:cstheme="minorHAnsi"/>
                <w:b/>
                <w:sz w:val="20"/>
                <w:szCs w:val="20"/>
              </w:rPr>
              <w:t>(v tis. Kč)</w:t>
            </w:r>
          </w:p>
        </w:tc>
      </w:tr>
      <w:tr w:rsidR="004731B1" w:rsidRPr="00243E67" w14:paraId="64853DC8" w14:textId="77777777" w:rsidTr="00657A77">
        <w:trPr>
          <w:trHeight w:val="283"/>
        </w:trPr>
        <w:tc>
          <w:tcPr>
            <w:tcW w:w="2977" w:type="dxa"/>
            <w:vAlign w:val="center"/>
          </w:tcPr>
          <w:p w14:paraId="11F5CE68" w14:textId="77777777" w:rsidR="004731B1" w:rsidRPr="00802620" w:rsidRDefault="004731B1" w:rsidP="00137703">
            <w:pPr>
              <w:autoSpaceDE w:val="0"/>
              <w:autoSpaceDN w:val="0"/>
              <w:adjustRightInd w:val="0"/>
              <w:rPr>
                <w:rFonts w:asciiTheme="minorHAnsi" w:hAnsiTheme="minorHAnsi" w:cstheme="minorHAnsi"/>
                <w:sz w:val="20"/>
                <w:szCs w:val="20"/>
              </w:rPr>
            </w:pPr>
            <w:r w:rsidRPr="00802620">
              <w:rPr>
                <w:rFonts w:asciiTheme="minorHAnsi" w:hAnsiTheme="minorHAnsi" w:cstheme="minorHAnsi"/>
                <w:sz w:val="20"/>
                <w:szCs w:val="20"/>
              </w:rPr>
              <w:t>Automobily osobní silniční</w:t>
            </w:r>
          </w:p>
        </w:tc>
        <w:tc>
          <w:tcPr>
            <w:tcW w:w="709" w:type="dxa"/>
            <w:vAlign w:val="center"/>
          </w:tcPr>
          <w:p w14:paraId="1DFC2567" w14:textId="77777777" w:rsidR="004731B1" w:rsidRPr="00802620" w:rsidRDefault="004731B1" w:rsidP="00657A77">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1 210</w:t>
            </w:r>
          </w:p>
        </w:tc>
        <w:tc>
          <w:tcPr>
            <w:tcW w:w="1757" w:type="dxa"/>
            <w:vAlign w:val="center"/>
          </w:tcPr>
          <w:p w14:paraId="6D33AE0B" w14:textId="77777777" w:rsidR="004731B1" w:rsidRPr="00802620" w:rsidRDefault="004731B1" w:rsidP="00657A77">
            <w:pPr>
              <w:autoSpaceDE w:val="0"/>
              <w:autoSpaceDN w:val="0"/>
              <w:adjustRightInd w:val="0"/>
              <w:ind w:left="-100"/>
              <w:jc w:val="right"/>
              <w:rPr>
                <w:rFonts w:asciiTheme="minorHAnsi" w:hAnsiTheme="minorHAnsi" w:cstheme="minorHAnsi"/>
                <w:sz w:val="20"/>
                <w:szCs w:val="20"/>
              </w:rPr>
            </w:pPr>
            <w:r w:rsidRPr="00802620">
              <w:rPr>
                <w:rFonts w:asciiTheme="minorHAnsi" w:hAnsiTheme="minorHAnsi" w:cstheme="minorHAnsi"/>
                <w:sz w:val="20"/>
                <w:szCs w:val="20"/>
              </w:rPr>
              <w:t>71 716,4</w:t>
            </w:r>
          </w:p>
        </w:tc>
        <w:tc>
          <w:tcPr>
            <w:tcW w:w="1559" w:type="dxa"/>
            <w:vAlign w:val="center"/>
          </w:tcPr>
          <w:p w14:paraId="72A8BCBA" w14:textId="77777777" w:rsidR="004731B1" w:rsidRPr="00802620" w:rsidRDefault="004731B1" w:rsidP="00137703">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17 929,1</w:t>
            </w:r>
          </w:p>
        </w:tc>
        <w:tc>
          <w:tcPr>
            <w:tcW w:w="2098" w:type="dxa"/>
            <w:vAlign w:val="center"/>
          </w:tcPr>
          <w:p w14:paraId="4E5D1897" w14:textId="77777777" w:rsidR="004731B1" w:rsidRPr="00802620" w:rsidRDefault="004731B1" w:rsidP="00AD5F94">
            <w:pPr>
              <w:autoSpaceDE w:val="0"/>
              <w:autoSpaceDN w:val="0"/>
              <w:adjustRightInd w:val="0"/>
              <w:jc w:val="center"/>
              <w:rPr>
                <w:rFonts w:asciiTheme="minorHAnsi" w:hAnsiTheme="minorHAnsi" w:cstheme="minorHAnsi"/>
                <w:sz w:val="20"/>
                <w:szCs w:val="20"/>
              </w:rPr>
            </w:pPr>
            <w:r w:rsidRPr="00802620">
              <w:rPr>
                <w:rFonts w:asciiTheme="minorHAnsi" w:hAnsiTheme="minorHAnsi" w:cstheme="minorHAnsi"/>
                <w:sz w:val="20"/>
                <w:szCs w:val="20"/>
              </w:rPr>
              <w:t>14,8</w:t>
            </w:r>
          </w:p>
        </w:tc>
      </w:tr>
      <w:tr w:rsidR="004731B1" w:rsidRPr="00243E67" w14:paraId="0C7EB2A4" w14:textId="77777777" w:rsidTr="00657A77">
        <w:trPr>
          <w:trHeight w:val="283"/>
        </w:trPr>
        <w:tc>
          <w:tcPr>
            <w:tcW w:w="2977" w:type="dxa"/>
            <w:shd w:val="clear" w:color="auto" w:fill="F2C6C9"/>
            <w:vAlign w:val="center"/>
          </w:tcPr>
          <w:p w14:paraId="66A01532" w14:textId="77777777" w:rsidR="004731B1" w:rsidRPr="00802620" w:rsidRDefault="004731B1" w:rsidP="00137703">
            <w:pPr>
              <w:autoSpaceDE w:val="0"/>
              <w:autoSpaceDN w:val="0"/>
              <w:adjustRightInd w:val="0"/>
              <w:rPr>
                <w:rFonts w:asciiTheme="minorHAnsi" w:hAnsiTheme="minorHAnsi" w:cstheme="minorHAnsi"/>
                <w:sz w:val="20"/>
                <w:szCs w:val="20"/>
              </w:rPr>
            </w:pPr>
            <w:r w:rsidRPr="00802620">
              <w:rPr>
                <w:rFonts w:asciiTheme="minorHAnsi" w:hAnsiTheme="minorHAnsi" w:cstheme="minorHAnsi"/>
                <w:sz w:val="20"/>
                <w:szCs w:val="20"/>
              </w:rPr>
              <w:t>Automobily osobní terénní</w:t>
            </w:r>
          </w:p>
        </w:tc>
        <w:tc>
          <w:tcPr>
            <w:tcW w:w="709" w:type="dxa"/>
            <w:shd w:val="clear" w:color="auto" w:fill="F2C6C9"/>
            <w:vAlign w:val="center"/>
          </w:tcPr>
          <w:p w14:paraId="2659FC74" w14:textId="77777777" w:rsidR="004731B1" w:rsidRPr="00802620" w:rsidRDefault="004731B1" w:rsidP="00657A77">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1 296</w:t>
            </w:r>
          </w:p>
        </w:tc>
        <w:tc>
          <w:tcPr>
            <w:tcW w:w="1757" w:type="dxa"/>
            <w:shd w:val="clear" w:color="auto" w:fill="F2C6C9"/>
            <w:vAlign w:val="center"/>
          </w:tcPr>
          <w:p w14:paraId="6536A716" w14:textId="77777777" w:rsidR="004731B1" w:rsidRPr="00802620" w:rsidRDefault="004731B1" w:rsidP="00657A77">
            <w:pPr>
              <w:autoSpaceDE w:val="0"/>
              <w:autoSpaceDN w:val="0"/>
              <w:adjustRightInd w:val="0"/>
              <w:ind w:left="-100"/>
              <w:jc w:val="right"/>
              <w:rPr>
                <w:rFonts w:asciiTheme="minorHAnsi" w:hAnsiTheme="minorHAnsi" w:cstheme="minorHAnsi"/>
                <w:sz w:val="20"/>
                <w:szCs w:val="20"/>
              </w:rPr>
            </w:pPr>
            <w:r w:rsidRPr="00802620">
              <w:rPr>
                <w:rFonts w:asciiTheme="minorHAnsi" w:hAnsiTheme="minorHAnsi" w:cstheme="minorHAnsi"/>
                <w:sz w:val="20"/>
                <w:szCs w:val="20"/>
              </w:rPr>
              <w:t>262 038,4</w:t>
            </w:r>
          </w:p>
        </w:tc>
        <w:tc>
          <w:tcPr>
            <w:tcW w:w="1559" w:type="dxa"/>
            <w:shd w:val="clear" w:color="auto" w:fill="F2C6C9"/>
            <w:vAlign w:val="center"/>
          </w:tcPr>
          <w:p w14:paraId="7CB4D2A0" w14:textId="77777777" w:rsidR="004731B1" w:rsidRPr="00802620" w:rsidRDefault="004731B1" w:rsidP="00137703">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65 509,6</w:t>
            </w:r>
          </w:p>
        </w:tc>
        <w:tc>
          <w:tcPr>
            <w:tcW w:w="2098" w:type="dxa"/>
            <w:shd w:val="clear" w:color="auto" w:fill="F2C6C9"/>
            <w:vAlign w:val="center"/>
          </w:tcPr>
          <w:p w14:paraId="400149F2" w14:textId="77777777" w:rsidR="004731B1" w:rsidRPr="00802620" w:rsidRDefault="004731B1" w:rsidP="00AD5F94">
            <w:pPr>
              <w:autoSpaceDE w:val="0"/>
              <w:autoSpaceDN w:val="0"/>
              <w:adjustRightInd w:val="0"/>
              <w:jc w:val="center"/>
              <w:rPr>
                <w:rFonts w:asciiTheme="minorHAnsi" w:hAnsiTheme="minorHAnsi" w:cstheme="minorHAnsi"/>
                <w:sz w:val="20"/>
                <w:szCs w:val="20"/>
              </w:rPr>
            </w:pPr>
            <w:r w:rsidRPr="00802620">
              <w:rPr>
                <w:rFonts w:asciiTheme="minorHAnsi" w:hAnsiTheme="minorHAnsi" w:cstheme="minorHAnsi"/>
                <w:sz w:val="20"/>
                <w:szCs w:val="20"/>
              </w:rPr>
              <w:t>50,5</w:t>
            </w:r>
          </w:p>
        </w:tc>
      </w:tr>
      <w:tr w:rsidR="004731B1" w:rsidRPr="00243E67" w14:paraId="132E2E0B" w14:textId="77777777" w:rsidTr="00657A77">
        <w:trPr>
          <w:trHeight w:val="283"/>
        </w:trPr>
        <w:tc>
          <w:tcPr>
            <w:tcW w:w="2977" w:type="dxa"/>
            <w:vAlign w:val="center"/>
          </w:tcPr>
          <w:p w14:paraId="7397FC5D" w14:textId="77777777" w:rsidR="004731B1" w:rsidRPr="00802620" w:rsidRDefault="004731B1" w:rsidP="00137703">
            <w:pPr>
              <w:autoSpaceDE w:val="0"/>
              <w:autoSpaceDN w:val="0"/>
              <w:adjustRightInd w:val="0"/>
              <w:rPr>
                <w:rFonts w:asciiTheme="minorHAnsi" w:hAnsiTheme="minorHAnsi" w:cstheme="minorHAnsi"/>
                <w:sz w:val="20"/>
                <w:szCs w:val="20"/>
              </w:rPr>
            </w:pPr>
            <w:r w:rsidRPr="00802620">
              <w:rPr>
                <w:rFonts w:asciiTheme="minorHAnsi" w:hAnsiTheme="minorHAnsi" w:cstheme="minorHAnsi"/>
                <w:sz w:val="20"/>
                <w:szCs w:val="20"/>
              </w:rPr>
              <w:t>Automobily nákladní a speciální</w:t>
            </w:r>
          </w:p>
        </w:tc>
        <w:tc>
          <w:tcPr>
            <w:tcW w:w="709" w:type="dxa"/>
            <w:vAlign w:val="center"/>
          </w:tcPr>
          <w:p w14:paraId="28B9843B" w14:textId="77777777" w:rsidR="004731B1" w:rsidRPr="00802620" w:rsidRDefault="004731B1" w:rsidP="00657A77">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4 529</w:t>
            </w:r>
          </w:p>
        </w:tc>
        <w:tc>
          <w:tcPr>
            <w:tcW w:w="1757" w:type="dxa"/>
            <w:vAlign w:val="center"/>
          </w:tcPr>
          <w:p w14:paraId="70129C6E" w14:textId="77777777" w:rsidR="004731B1" w:rsidRPr="00802620" w:rsidRDefault="004731B1" w:rsidP="00657A77">
            <w:pPr>
              <w:autoSpaceDE w:val="0"/>
              <w:autoSpaceDN w:val="0"/>
              <w:adjustRightInd w:val="0"/>
              <w:ind w:left="-100"/>
              <w:jc w:val="right"/>
              <w:rPr>
                <w:rFonts w:asciiTheme="minorHAnsi" w:hAnsiTheme="minorHAnsi" w:cstheme="minorHAnsi"/>
                <w:sz w:val="20"/>
                <w:szCs w:val="20"/>
              </w:rPr>
            </w:pPr>
            <w:r w:rsidRPr="00802620">
              <w:rPr>
                <w:rFonts w:asciiTheme="minorHAnsi" w:hAnsiTheme="minorHAnsi" w:cstheme="minorHAnsi"/>
                <w:sz w:val="20"/>
                <w:szCs w:val="20"/>
              </w:rPr>
              <w:t>559 971,0</w:t>
            </w:r>
          </w:p>
        </w:tc>
        <w:tc>
          <w:tcPr>
            <w:tcW w:w="1559" w:type="dxa"/>
            <w:vAlign w:val="center"/>
          </w:tcPr>
          <w:p w14:paraId="15080F5D" w14:textId="77777777" w:rsidR="004731B1" w:rsidRPr="00802620" w:rsidRDefault="004731B1" w:rsidP="00137703">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139 992,7</w:t>
            </w:r>
          </w:p>
        </w:tc>
        <w:tc>
          <w:tcPr>
            <w:tcW w:w="2098" w:type="dxa"/>
            <w:vAlign w:val="center"/>
          </w:tcPr>
          <w:p w14:paraId="71422FBC" w14:textId="77777777" w:rsidR="004731B1" w:rsidRPr="00802620" w:rsidRDefault="004731B1" w:rsidP="00AD5F94">
            <w:pPr>
              <w:autoSpaceDE w:val="0"/>
              <w:autoSpaceDN w:val="0"/>
              <w:adjustRightInd w:val="0"/>
              <w:jc w:val="center"/>
              <w:rPr>
                <w:rFonts w:asciiTheme="minorHAnsi" w:hAnsiTheme="minorHAnsi" w:cstheme="minorHAnsi"/>
                <w:sz w:val="20"/>
                <w:szCs w:val="20"/>
              </w:rPr>
            </w:pPr>
            <w:r w:rsidRPr="00802620">
              <w:rPr>
                <w:rFonts w:asciiTheme="minorHAnsi" w:hAnsiTheme="minorHAnsi" w:cstheme="minorHAnsi"/>
                <w:sz w:val="20"/>
                <w:szCs w:val="20"/>
              </w:rPr>
              <w:t>30,9</w:t>
            </w:r>
          </w:p>
        </w:tc>
      </w:tr>
      <w:tr w:rsidR="004731B1" w:rsidRPr="00243E67" w14:paraId="2DF17DFA" w14:textId="77777777" w:rsidTr="00657A77">
        <w:trPr>
          <w:trHeight w:val="283"/>
        </w:trPr>
        <w:tc>
          <w:tcPr>
            <w:tcW w:w="2977" w:type="dxa"/>
            <w:shd w:val="clear" w:color="auto" w:fill="F2C6C9"/>
            <w:vAlign w:val="center"/>
          </w:tcPr>
          <w:p w14:paraId="6DA92174" w14:textId="2CB3F344" w:rsidR="004731B1" w:rsidRPr="00802620" w:rsidRDefault="004731B1" w:rsidP="00137703">
            <w:pPr>
              <w:autoSpaceDE w:val="0"/>
              <w:autoSpaceDN w:val="0"/>
              <w:adjustRightInd w:val="0"/>
              <w:rPr>
                <w:rFonts w:asciiTheme="minorHAnsi" w:hAnsiTheme="minorHAnsi" w:cstheme="minorHAnsi"/>
                <w:sz w:val="20"/>
                <w:szCs w:val="20"/>
              </w:rPr>
            </w:pPr>
            <w:r w:rsidRPr="00802620">
              <w:rPr>
                <w:rFonts w:asciiTheme="minorHAnsi" w:hAnsiTheme="minorHAnsi" w:cstheme="minorHAnsi"/>
                <w:sz w:val="20"/>
                <w:szCs w:val="20"/>
              </w:rPr>
              <w:t>Jeřáby a vyprošťovací aut</w:t>
            </w:r>
            <w:r w:rsidR="007274B9">
              <w:rPr>
                <w:rFonts w:asciiTheme="minorHAnsi" w:hAnsiTheme="minorHAnsi" w:cstheme="minorHAnsi"/>
                <w:sz w:val="20"/>
                <w:szCs w:val="20"/>
              </w:rPr>
              <w:t>omobily</w:t>
            </w:r>
          </w:p>
        </w:tc>
        <w:tc>
          <w:tcPr>
            <w:tcW w:w="709" w:type="dxa"/>
            <w:shd w:val="clear" w:color="auto" w:fill="F2C6C9"/>
            <w:vAlign w:val="center"/>
          </w:tcPr>
          <w:p w14:paraId="0C754798" w14:textId="77777777" w:rsidR="004731B1" w:rsidRPr="00802620" w:rsidRDefault="004731B1" w:rsidP="00657A77">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121</w:t>
            </w:r>
          </w:p>
        </w:tc>
        <w:tc>
          <w:tcPr>
            <w:tcW w:w="1757" w:type="dxa"/>
            <w:shd w:val="clear" w:color="auto" w:fill="F2C6C9"/>
            <w:vAlign w:val="center"/>
          </w:tcPr>
          <w:p w14:paraId="0A484DCA" w14:textId="77777777" w:rsidR="004731B1" w:rsidRPr="00802620" w:rsidRDefault="004731B1" w:rsidP="00657A77">
            <w:pPr>
              <w:autoSpaceDE w:val="0"/>
              <w:autoSpaceDN w:val="0"/>
              <w:adjustRightInd w:val="0"/>
              <w:ind w:left="-100"/>
              <w:jc w:val="right"/>
              <w:rPr>
                <w:rFonts w:asciiTheme="minorHAnsi" w:hAnsiTheme="minorHAnsi" w:cstheme="minorHAnsi"/>
                <w:sz w:val="20"/>
                <w:szCs w:val="20"/>
              </w:rPr>
            </w:pPr>
            <w:r w:rsidRPr="00802620">
              <w:rPr>
                <w:rFonts w:asciiTheme="minorHAnsi" w:hAnsiTheme="minorHAnsi" w:cstheme="minorHAnsi"/>
                <w:sz w:val="20"/>
                <w:szCs w:val="20"/>
              </w:rPr>
              <w:t>46 232,2</w:t>
            </w:r>
          </w:p>
        </w:tc>
        <w:tc>
          <w:tcPr>
            <w:tcW w:w="1559" w:type="dxa"/>
            <w:shd w:val="clear" w:color="auto" w:fill="F2C6C9"/>
            <w:vAlign w:val="center"/>
          </w:tcPr>
          <w:p w14:paraId="12DD015F" w14:textId="77777777" w:rsidR="004731B1" w:rsidRPr="00802620" w:rsidRDefault="004731B1" w:rsidP="00137703">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11 558,0</w:t>
            </w:r>
          </w:p>
        </w:tc>
        <w:tc>
          <w:tcPr>
            <w:tcW w:w="2098" w:type="dxa"/>
            <w:shd w:val="clear" w:color="auto" w:fill="F2C6C9"/>
            <w:vAlign w:val="center"/>
          </w:tcPr>
          <w:p w14:paraId="438A5BD3" w14:textId="77777777" w:rsidR="004731B1" w:rsidRPr="00802620" w:rsidRDefault="004731B1" w:rsidP="00AD5F94">
            <w:pPr>
              <w:autoSpaceDE w:val="0"/>
              <w:autoSpaceDN w:val="0"/>
              <w:adjustRightInd w:val="0"/>
              <w:jc w:val="center"/>
              <w:rPr>
                <w:rFonts w:asciiTheme="minorHAnsi" w:hAnsiTheme="minorHAnsi" w:cstheme="minorHAnsi"/>
                <w:sz w:val="20"/>
                <w:szCs w:val="20"/>
              </w:rPr>
            </w:pPr>
            <w:r w:rsidRPr="00802620">
              <w:rPr>
                <w:rFonts w:asciiTheme="minorHAnsi" w:hAnsiTheme="minorHAnsi" w:cstheme="minorHAnsi"/>
                <w:sz w:val="20"/>
                <w:szCs w:val="20"/>
              </w:rPr>
              <w:t>95,5</w:t>
            </w:r>
          </w:p>
        </w:tc>
      </w:tr>
      <w:tr w:rsidR="004731B1" w:rsidRPr="00243E67" w14:paraId="23AA4FF0" w14:textId="77777777" w:rsidTr="00657A77">
        <w:trPr>
          <w:trHeight w:val="283"/>
        </w:trPr>
        <w:tc>
          <w:tcPr>
            <w:tcW w:w="2977" w:type="dxa"/>
            <w:vAlign w:val="center"/>
          </w:tcPr>
          <w:p w14:paraId="247AAEDF" w14:textId="77777777" w:rsidR="004731B1" w:rsidRPr="00802620" w:rsidRDefault="004731B1" w:rsidP="00137703">
            <w:pPr>
              <w:autoSpaceDE w:val="0"/>
              <w:autoSpaceDN w:val="0"/>
              <w:adjustRightInd w:val="0"/>
              <w:rPr>
                <w:rFonts w:asciiTheme="minorHAnsi" w:hAnsiTheme="minorHAnsi" w:cstheme="minorHAnsi"/>
                <w:sz w:val="20"/>
                <w:szCs w:val="20"/>
              </w:rPr>
            </w:pPr>
            <w:r w:rsidRPr="00802620">
              <w:rPr>
                <w:rFonts w:asciiTheme="minorHAnsi" w:hAnsiTheme="minorHAnsi" w:cstheme="minorHAnsi"/>
                <w:sz w:val="20"/>
                <w:szCs w:val="20"/>
              </w:rPr>
              <w:t>Ostatní automobilní technika</w:t>
            </w:r>
          </w:p>
        </w:tc>
        <w:tc>
          <w:tcPr>
            <w:tcW w:w="709" w:type="dxa"/>
            <w:vAlign w:val="center"/>
          </w:tcPr>
          <w:p w14:paraId="11936CB1" w14:textId="77777777" w:rsidR="004731B1" w:rsidRPr="00802620" w:rsidRDefault="004731B1" w:rsidP="00657A77">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2 449</w:t>
            </w:r>
          </w:p>
        </w:tc>
        <w:tc>
          <w:tcPr>
            <w:tcW w:w="1757" w:type="dxa"/>
            <w:vAlign w:val="center"/>
          </w:tcPr>
          <w:p w14:paraId="5FBD874F" w14:textId="77777777" w:rsidR="004731B1" w:rsidRPr="00802620" w:rsidRDefault="004731B1" w:rsidP="00657A77">
            <w:pPr>
              <w:autoSpaceDE w:val="0"/>
              <w:autoSpaceDN w:val="0"/>
              <w:adjustRightInd w:val="0"/>
              <w:ind w:left="-100"/>
              <w:jc w:val="right"/>
              <w:rPr>
                <w:rFonts w:asciiTheme="minorHAnsi" w:hAnsiTheme="minorHAnsi" w:cstheme="minorHAnsi"/>
                <w:sz w:val="20"/>
                <w:szCs w:val="20"/>
              </w:rPr>
            </w:pPr>
            <w:r w:rsidRPr="00802620">
              <w:rPr>
                <w:rFonts w:asciiTheme="minorHAnsi" w:hAnsiTheme="minorHAnsi" w:cstheme="minorHAnsi"/>
                <w:sz w:val="20"/>
                <w:szCs w:val="20"/>
              </w:rPr>
              <w:t>111 833,5</w:t>
            </w:r>
          </w:p>
        </w:tc>
        <w:tc>
          <w:tcPr>
            <w:tcW w:w="1559" w:type="dxa"/>
            <w:vAlign w:val="center"/>
          </w:tcPr>
          <w:p w14:paraId="04FCC6B5" w14:textId="77777777" w:rsidR="004731B1" w:rsidRPr="00802620" w:rsidRDefault="004731B1" w:rsidP="00137703">
            <w:pPr>
              <w:autoSpaceDE w:val="0"/>
              <w:autoSpaceDN w:val="0"/>
              <w:adjustRightInd w:val="0"/>
              <w:jc w:val="right"/>
              <w:rPr>
                <w:rFonts w:asciiTheme="minorHAnsi" w:hAnsiTheme="minorHAnsi" w:cstheme="minorHAnsi"/>
                <w:sz w:val="20"/>
                <w:szCs w:val="20"/>
              </w:rPr>
            </w:pPr>
            <w:r w:rsidRPr="00802620">
              <w:rPr>
                <w:rFonts w:asciiTheme="minorHAnsi" w:hAnsiTheme="minorHAnsi" w:cstheme="minorHAnsi"/>
                <w:sz w:val="20"/>
                <w:szCs w:val="20"/>
              </w:rPr>
              <w:t>27 958,4</w:t>
            </w:r>
          </w:p>
        </w:tc>
        <w:tc>
          <w:tcPr>
            <w:tcW w:w="2098" w:type="dxa"/>
            <w:vAlign w:val="center"/>
          </w:tcPr>
          <w:p w14:paraId="705FBB88" w14:textId="77777777" w:rsidR="004731B1" w:rsidRPr="00802620" w:rsidRDefault="004731B1" w:rsidP="00AD5F94">
            <w:pPr>
              <w:autoSpaceDE w:val="0"/>
              <w:autoSpaceDN w:val="0"/>
              <w:adjustRightInd w:val="0"/>
              <w:jc w:val="center"/>
              <w:rPr>
                <w:rFonts w:asciiTheme="minorHAnsi" w:hAnsiTheme="minorHAnsi" w:cstheme="minorHAnsi"/>
                <w:sz w:val="20"/>
                <w:szCs w:val="20"/>
              </w:rPr>
            </w:pPr>
            <w:r w:rsidRPr="00802620">
              <w:rPr>
                <w:rFonts w:asciiTheme="minorHAnsi" w:hAnsiTheme="minorHAnsi" w:cstheme="minorHAnsi"/>
                <w:sz w:val="20"/>
                <w:szCs w:val="20"/>
              </w:rPr>
              <w:t>11,4</w:t>
            </w:r>
          </w:p>
        </w:tc>
      </w:tr>
    </w:tbl>
    <w:p w14:paraId="57C963A8" w14:textId="77777777" w:rsidR="00AA7CD4" w:rsidRDefault="004731B1" w:rsidP="00802620">
      <w:pPr>
        <w:rPr>
          <w:rFonts w:ascii="Calibri" w:hAnsi="Calibri" w:cs="Calibri"/>
          <w:sz w:val="20"/>
          <w:szCs w:val="20"/>
        </w:rPr>
      </w:pPr>
      <w:r w:rsidRPr="00243E67">
        <w:rPr>
          <w:rFonts w:ascii="Calibri" w:hAnsi="Calibri" w:cs="Calibri"/>
          <w:b/>
          <w:sz w:val="20"/>
          <w:szCs w:val="20"/>
        </w:rPr>
        <w:t xml:space="preserve">Zdroj: </w:t>
      </w:r>
      <w:r w:rsidR="00802620" w:rsidRPr="00802620">
        <w:rPr>
          <w:rFonts w:ascii="Calibri" w:hAnsi="Calibri" w:cs="Calibri"/>
          <w:sz w:val="20"/>
          <w:szCs w:val="20"/>
        </w:rPr>
        <w:t>vy</w:t>
      </w:r>
      <w:r w:rsidRPr="00802620">
        <w:rPr>
          <w:rFonts w:ascii="Calibri" w:hAnsi="Calibri" w:cs="Calibri"/>
          <w:sz w:val="20"/>
          <w:szCs w:val="20"/>
        </w:rPr>
        <w:t>pr</w:t>
      </w:r>
      <w:r w:rsidRPr="00B87E2B">
        <w:rPr>
          <w:rFonts w:ascii="Calibri" w:hAnsi="Calibri" w:cs="Calibri"/>
          <w:sz w:val="20"/>
          <w:szCs w:val="20"/>
        </w:rPr>
        <w:t>acov</w:t>
      </w:r>
      <w:r w:rsidR="00802620">
        <w:rPr>
          <w:rFonts w:ascii="Calibri" w:hAnsi="Calibri" w:cs="Calibri"/>
          <w:sz w:val="20"/>
          <w:szCs w:val="20"/>
        </w:rPr>
        <w:t>al</w:t>
      </w:r>
      <w:r w:rsidRPr="00B87E2B">
        <w:rPr>
          <w:rFonts w:ascii="Calibri" w:hAnsi="Calibri" w:cs="Calibri"/>
          <w:sz w:val="20"/>
          <w:szCs w:val="20"/>
        </w:rPr>
        <w:t xml:space="preserve"> NKÚ</w:t>
      </w:r>
      <w:r w:rsidR="00802620">
        <w:rPr>
          <w:rFonts w:ascii="Calibri" w:hAnsi="Calibri" w:cs="Calibri"/>
          <w:sz w:val="20"/>
          <w:szCs w:val="20"/>
        </w:rPr>
        <w:t xml:space="preserve"> </w:t>
      </w:r>
      <w:r w:rsidR="00802620" w:rsidRPr="00802620">
        <w:rPr>
          <w:rFonts w:ascii="Calibri" w:hAnsi="Calibri" w:cs="Calibri"/>
          <w:sz w:val="20"/>
          <w:szCs w:val="20"/>
        </w:rPr>
        <w:t>na základě předložených údajů z informačních systémů MO</w:t>
      </w:r>
      <w:r w:rsidRPr="00243E67">
        <w:rPr>
          <w:rFonts w:ascii="Calibri" w:hAnsi="Calibri" w:cs="Calibri"/>
          <w:sz w:val="20"/>
          <w:szCs w:val="20"/>
        </w:rPr>
        <w:t xml:space="preserve">. </w:t>
      </w:r>
    </w:p>
    <w:p w14:paraId="64010A15" w14:textId="77777777" w:rsidR="002672F0" w:rsidRPr="001B5B91" w:rsidRDefault="00F45C1D" w:rsidP="0028694E">
      <w:pPr>
        <w:pStyle w:val="Nadpis2"/>
        <w:numPr>
          <w:ilvl w:val="0"/>
          <w:numId w:val="29"/>
        </w:numPr>
        <w:pBdr>
          <w:bottom w:val="single" w:sz="12" w:space="1" w:color="BD2A33"/>
        </w:pBdr>
        <w:spacing w:after="0"/>
        <w:ind w:left="284" w:hanging="284"/>
        <w:rPr>
          <w:rFonts w:asciiTheme="minorHAnsi" w:hAnsiTheme="minorHAnsi" w:cstheme="minorHAnsi"/>
          <w:i w:val="0"/>
          <w:sz w:val="24"/>
          <w:szCs w:val="24"/>
        </w:rPr>
      </w:pPr>
      <w:bookmarkStart w:id="29" w:name="_Hlk127525484"/>
      <w:r>
        <w:rPr>
          <w:rFonts w:asciiTheme="minorHAnsi" w:hAnsiTheme="minorHAnsi" w:cstheme="minorHAnsi"/>
          <w:i w:val="0"/>
          <w:sz w:val="24"/>
          <w:szCs w:val="24"/>
        </w:rPr>
        <w:t>N</w:t>
      </w:r>
      <w:r w:rsidR="00FB1B5F">
        <w:rPr>
          <w:rFonts w:asciiTheme="minorHAnsi" w:hAnsiTheme="minorHAnsi" w:cstheme="minorHAnsi"/>
          <w:i w:val="0"/>
          <w:sz w:val="24"/>
          <w:szCs w:val="24"/>
        </w:rPr>
        <w:t xml:space="preserve">ízké využívání </w:t>
      </w:r>
      <w:r w:rsidR="001B5B91" w:rsidRPr="001B5B91">
        <w:rPr>
          <w:rFonts w:asciiTheme="minorHAnsi" w:hAnsiTheme="minorHAnsi" w:cstheme="minorHAnsi"/>
          <w:i w:val="0"/>
          <w:sz w:val="24"/>
          <w:szCs w:val="24"/>
        </w:rPr>
        <w:t xml:space="preserve">činnosti </w:t>
      </w:r>
      <w:r w:rsidR="00F46E33" w:rsidRPr="001B5B91">
        <w:rPr>
          <w:rFonts w:asciiTheme="minorHAnsi" w:hAnsiTheme="minorHAnsi" w:cstheme="minorHAnsi"/>
          <w:i w:val="0"/>
          <w:sz w:val="24"/>
          <w:szCs w:val="24"/>
        </w:rPr>
        <w:t xml:space="preserve">VOP CZ </w:t>
      </w:r>
      <w:r w:rsidR="00B979FF" w:rsidRPr="001B5B91">
        <w:rPr>
          <w:rFonts w:asciiTheme="minorHAnsi" w:hAnsiTheme="minorHAnsi" w:cstheme="minorHAnsi"/>
          <w:i w:val="0"/>
          <w:sz w:val="24"/>
          <w:szCs w:val="24"/>
        </w:rPr>
        <w:t>ve prospěch</w:t>
      </w:r>
      <w:r w:rsidR="00F46E33" w:rsidRPr="001B5B91">
        <w:rPr>
          <w:rFonts w:asciiTheme="minorHAnsi" w:hAnsiTheme="minorHAnsi" w:cstheme="minorHAnsi"/>
          <w:i w:val="0"/>
          <w:sz w:val="24"/>
          <w:szCs w:val="24"/>
        </w:rPr>
        <w:t xml:space="preserve"> MO</w:t>
      </w:r>
    </w:p>
    <w:p w14:paraId="16ECB09B" w14:textId="5EC35B04" w:rsidR="002672F0" w:rsidRPr="0088636A" w:rsidRDefault="002672F0" w:rsidP="002672F0">
      <w:pPr>
        <w:spacing w:before="120"/>
        <w:jc w:val="both"/>
        <w:rPr>
          <w:rFonts w:asciiTheme="minorHAnsi" w:hAnsiTheme="minorHAnsi" w:cstheme="minorHAnsi"/>
        </w:rPr>
      </w:pPr>
      <w:r w:rsidRPr="00FC6DBF">
        <w:rPr>
          <w:rFonts w:asciiTheme="minorHAnsi" w:hAnsiTheme="minorHAnsi" w:cstheme="minorHAnsi"/>
          <w:b/>
        </w:rPr>
        <w:t>4.</w:t>
      </w:r>
      <w:r w:rsidR="002C0BBA">
        <w:rPr>
          <w:rFonts w:asciiTheme="minorHAnsi" w:hAnsiTheme="minorHAnsi" w:cstheme="minorHAnsi"/>
          <w:b/>
        </w:rPr>
        <w:t>2</w:t>
      </w:r>
      <w:r w:rsidR="007274B9">
        <w:rPr>
          <w:rFonts w:asciiTheme="minorHAnsi" w:hAnsiTheme="minorHAnsi" w:cstheme="minorHAnsi"/>
          <w:b/>
        </w:rPr>
        <w:t>6</w:t>
      </w:r>
      <w:r>
        <w:rPr>
          <w:rFonts w:asciiTheme="minorHAnsi" w:hAnsiTheme="minorHAnsi" w:cstheme="minorHAnsi"/>
        </w:rPr>
        <w:t xml:space="preserve"> Účelem činnosti </w:t>
      </w:r>
      <w:r w:rsidR="00F52977">
        <w:rPr>
          <w:rFonts w:asciiTheme="minorHAnsi" w:hAnsiTheme="minorHAnsi" w:cstheme="minorHAnsi"/>
        </w:rPr>
        <w:t xml:space="preserve">VOP CZ </w:t>
      </w:r>
      <w:r>
        <w:rPr>
          <w:rFonts w:asciiTheme="minorHAnsi" w:hAnsiTheme="minorHAnsi" w:cstheme="minorHAnsi"/>
        </w:rPr>
        <w:t xml:space="preserve">je </w:t>
      </w:r>
      <w:r w:rsidRPr="0001574D">
        <w:rPr>
          <w:rFonts w:asciiTheme="minorHAnsi" w:hAnsiTheme="minorHAnsi" w:cstheme="minorHAnsi"/>
        </w:rPr>
        <w:t xml:space="preserve">uspokojování strategických a dalších podstatných zájmů státu </w:t>
      </w:r>
      <w:r w:rsidR="00097052">
        <w:rPr>
          <w:rFonts w:asciiTheme="minorHAnsi" w:hAnsiTheme="minorHAnsi" w:cstheme="minorHAnsi"/>
        </w:rPr>
        <w:t xml:space="preserve">mj. </w:t>
      </w:r>
      <w:r w:rsidRPr="0001574D">
        <w:rPr>
          <w:rFonts w:asciiTheme="minorHAnsi" w:hAnsiTheme="minorHAnsi" w:cstheme="minorHAnsi"/>
        </w:rPr>
        <w:t xml:space="preserve">v oblasti </w:t>
      </w:r>
      <w:r w:rsidR="00097052">
        <w:rPr>
          <w:rFonts w:asciiTheme="minorHAnsi" w:hAnsiTheme="minorHAnsi" w:cstheme="minorHAnsi"/>
        </w:rPr>
        <w:t>vývoje, modernizace, výroby, údržby a</w:t>
      </w:r>
      <w:r w:rsidR="00257C2F">
        <w:rPr>
          <w:rFonts w:asciiTheme="minorHAnsi" w:hAnsiTheme="minorHAnsi" w:cstheme="minorHAnsi"/>
        </w:rPr>
        <w:t xml:space="preserve"> </w:t>
      </w:r>
      <w:r w:rsidR="00097052">
        <w:rPr>
          <w:rFonts w:asciiTheme="minorHAnsi" w:hAnsiTheme="minorHAnsi" w:cstheme="minorHAnsi"/>
        </w:rPr>
        <w:t>oprav pozemní vojenské techniky Armády. Podnik v</w:t>
      </w:r>
      <w:r>
        <w:rPr>
          <w:rFonts w:asciiTheme="minorHAnsi" w:hAnsiTheme="minorHAnsi" w:cstheme="minorHAnsi"/>
        </w:rPr>
        <w:t xml:space="preserve">ykonává </w:t>
      </w:r>
      <w:r w:rsidRPr="0001574D">
        <w:rPr>
          <w:rFonts w:asciiTheme="minorHAnsi" w:hAnsiTheme="minorHAnsi" w:cstheme="minorHAnsi"/>
        </w:rPr>
        <w:t>činnost</w:t>
      </w:r>
      <w:r>
        <w:rPr>
          <w:rFonts w:asciiTheme="minorHAnsi" w:hAnsiTheme="minorHAnsi" w:cstheme="minorHAnsi"/>
        </w:rPr>
        <w:t>i</w:t>
      </w:r>
      <w:r w:rsidRPr="0001574D">
        <w:rPr>
          <w:rFonts w:asciiTheme="minorHAnsi" w:hAnsiTheme="minorHAnsi" w:cstheme="minorHAnsi"/>
        </w:rPr>
        <w:t xml:space="preserve"> průmyslové a</w:t>
      </w:r>
      <w:r w:rsidR="00257C2F">
        <w:rPr>
          <w:rFonts w:asciiTheme="minorHAnsi" w:hAnsiTheme="minorHAnsi" w:cstheme="minorHAnsi"/>
        </w:rPr>
        <w:t xml:space="preserve"> </w:t>
      </w:r>
      <w:r w:rsidRPr="0001574D">
        <w:rPr>
          <w:rFonts w:asciiTheme="minorHAnsi" w:hAnsiTheme="minorHAnsi" w:cstheme="minorHAnsi"/>
        </w:rPr>
        <w:t>obchodní povahy při zajiš</w:t>
      </w:r>
      <w:r>
        <w:rPr>
          <w:rFonts w:asciiTheme="minorHAnsi" w:hAnsiTheme="minorHAnsi" w:cstheme="minorHAnsi"/>
        </w:rPr>
        <w:t>ť</w:t>
      </w:r>
      <w:r w:rsidRPr="0001574D">
        <w:rPr>
          <w:rFonts w:asciiTheme="minorHAnsi" w:hAnsiTheme="minorHAnsi" w:cstheme="minorHAnsi"/>
        </w:rPr>
        <w:t>ován</w:t>
      </w:r>
      <w:r>
        <w:rPr>
          <w:rFonts w:asciiTheme="minorHAnsi" w:hAnsiTheme="minorHAnsi" w:cstheme="minorHAnsi"/>
        </w:rPr>
        <w:t>í</w:t>
      </w:r>
      <w:r w:rsidRPr="0001574D">
        <w:rPr>
          <w:rFonts w:asciiTheme="minorHAnsi" w:hAnsiTheme="minorHAnsi" w:cstheme="minorHAnsi"/>
        </w:rPr>
        <w:t xml:space="preserve"> dodávek a služeb potřebných pro zabezpečení </w:t>
      </w:r>
      <w:r w:rsidRPr="0088636A">
        <w:rPr>
          <w:rFonts w:asciiTheme="minorHAnsi" w:hAnsiTheme="minorHAnsi" w:cstheme="minorHAnsi"/>
        </w:rPr>
        <w:t>obrany a</w:t>
      </w:r>
      <w:r w:rsidR="00257C2F">
        <w:rPr>
          <w:rFonts w:asciiTheme="minorHAnsi" w:hAnsiTheme="minorHAnsi" w:cstheme="minorHAnsi"/>
        </w:rPr>
        <w:t xml:space="preserve"> </w:t>
      </w:r>
      <w:r w:rsidRPr="0088636A">
        <w:rPr>
          <w:rFonts w:asciiTheme="minorHAnsi" w:hAnsiTheme="minorHAnsi" w:cstheme="minorHAnsi"/>
        </w:rPr>
        <w:t>bezpečnosti ČR a plnění závazků vyplývajících z členství ČR v NATO a Evropské unii (viz odst. 2.5).</w:t>
      </w:r>
    </w:p>
    <w:p w14:paraId="113FF025" w14:textId="792AC584" w:rsidR="00F52977" w:rsidRDefault="002672F0" w:rsidP="002672F0">
      <w:pPr>
        <w:spacing w:before="120"/>
        <w:jc w:val="both"/>
        <w:rPr>
          <w:rFonts w:asciiTheme="minorHAnsi" w:hAnsiTheme="minorHAnsi" w:cstheme="minorHAnsi"/>
        </w:rPr>
      </w:pPr>
      <w:r w:rsidRPr="0088636A">
        <w:rPr>
          <w:rFonts w:asciiTheme="minorHAnsi" w:hAnsiTheme="minorHAnsi" w:cstheme="minorHAnsi"/>
          <w:b/>
        </w:rPr>
        <w:t>4.</w:t>
      </w:r>
      <w:r w:rsidR="002C0BBA" w:rsidRPr="0088636A">
        <w:rPr>
          <w:rFonts w:asciiTheme="minorHAnsi" w:hAnsiTheme="minorHAnsi" w:cstheme="minorHAnsi"/>
          <w:b/>
        </w:rPr>
        <w:t>2</w:t>
      </w:r>
      <w:r w:rsidR="007274B9">
        <w:rPr>
          <w:rFonts w:asciiTheme="minorHAnsi" w:hAnsiTheme="minorHAnsi" w:cstheme="minorHAnsi"/>
          <w:b/>
        </w:rPr>
        <w:t>7</w:t>
      </w:r>
      <w:r w:rsidRPr="0088636A">
        <w:rPr>
          <w:rFonts w:asciiTheme="minorHAnsi" w:hAnsiTheme="minorHAnsi" w:cstheme="minorHAnsi"/>
        </w:rPr>
        <w:t xml:space="preserve"> </w:t>
      </w:r>
      <w:r w:rsidR="00E33357" w:rsidRPr="0088636A">
        <w:rPr>
          <w:rFonts w:asciiTheme="minorHAnsi" w:hAnsiTheme="minorHAnsi" w:cstheme="minorHAnsi"/>
        </w:rPr>
        <w:t>MO v</w:t>
      </w:r>
      <w:r w:rsidR="00823B58">
        <w:rPr>
          <w:rFonts w:asciiTheme="minorHAnsi" w:hAnsiTheme="minorHAnsi" w:cstheme="minorHAnsi"/>
        </w:rPr>
        <w:t xml:space="preserve"> </w:t>
      </w:r>
      <w:r w:rsidR="00E33357" w:rsidRPr="0088636A">
        <w:rPr>
          <w:rFonts w:asciiTheme="minorHAnsi" w:hAnsiTheme="minorHAnsi" w:cstheme="minorHAnsi"/>
        </w:rPr>
        <w:t xml:space="preserve">kontrolovaném období plnilo </w:t>
      </w:r>
      <w:r w:rsidR="00D54ACE" w:rsidRPr="0088636A">
        <w:rPr>
          <w:rFonts w:asciiTheme="minorHAnsi" w:hAnsiTheme="minorHAnsi" w:cstheme="minorHAnsi"/>
        </w:rPr>
        <w:t xml:space="preserve">zakladatelské funkce </w:t>
      </w:r>
      <w:r w:rsidR="00E33357" w:rsidRPr="0088636A">
        <w:rPr>
          <w:rFonts w:asciiTheme="minorHAnsi" w:hAnsiTheme="minorHAnsi" w:cstheme="minorHAnsi"/>
        </w:rPr>
        <w:t>ve vztahu k</w:t>
      </w:r>
      <w:r w:rsidR="00823B58">
        <w:rPr>
          <w:rFonts w:asciiTheme="minorHAnsi" w:hAnsiTheme="minorHAnsi" w:cstheme="minorHAnsi"/>
        </w:rPr>
        <w:t xml:space="preserve"> </w:t>
      </w:r>
      <w:r w:rsidR="00E33357" w:rsidRPr="0088636A">
        <w:rPr>
          <w:rFonts w:asciiTheme="minorHAnsi" w:hAnsiTheme="minorHAnsi" w:cstheme="minorHAnsi"/>
        </w:rPr>
        <w:t xml:space="preserve">VOP CZ. </w:t>
      </w:r>
      <w:r w:rsidRPr="0088636A">
        <w:rPr>
          <w:rFonts w:asciiTheme="minorHAnsi" w:hAnsiTheme="minorHAnsi" w:cstheme="minorHAnsi"/>
        </w:rPr>
        <w:t xml:space="preserve">Podle </w:t>
      </w:r>
      <w:r w:rsidRPr="0088636A">
        <w:rPr>
          <w:rFonts w:asciiTheme="minorHAnsi" w:hAnsiTheme="minorHAnsi" w:cstheme="minorHAnsi"/>
          <w:i/>
        </w:rPr>
        <w:t>Strategie Ministerstva obrany ke zvýšení efektivnosti státních podniků</w:t>
      </w:r>
      <w:r w:rsidR="00130E4C" w:rsidRPr="00C760A0">
        <w:rPr>
          <w:rFonts w:asciiTheme="minorHAnsi" w:hAnsiTheme="minorHAnsi" w:cstheme="minorHAnsi"/>
          <w:vertAlign w:val="superscript"/>
        </w:rPr>
        <w:t>11</w:t>
      </w:r>
      <w:r w:rsidRPr="0088636A">
        <w:rPr>
          <w:rFonts w:asciiTheme="minorHAnsi" w:hAnsiTheme="minorHAnsi" w:cstheme="minorHAnsi"/>
        </w:rPr>
        <w:t xml:space="preserve"> </w:t>
      </w:r>
      <w:r w:rsidR="00F52977" w:rsidRPr="0088636A">
        <w:rPr>
          <w:rFonts w:asciiTheme="minorHAnsi" w:hAnsiTheme="minorHAnsi" w:cstheme="minorHAnsi"/>
        </w:rPr>
        <w:t xml:space="preserve">měl </w:t>
      </w:r>
      <w:r w:rsidR="00C701B1" w:rsidRPr="0088636A">
        <w:rPr>
          <w:rFonts w:asciiTheme="minorHAnsi" w:hAnsiTheme="minorHAnsi" w:cstheme="minorHAnsi"/>
        </w:rPr>
        <w:t>podnik</w:t>
      </w:r>
      <w:r w:rsidR="00F52977" w:rsidRPr="00F52977">
        <w:rPr>
          <w:rFonts w:asciiTheme="minorHAnsi" w:hAnsiTheme="minorHAnsi" w:cstheme="minorHAnsi"/>
        </w:rPr>
        <w:t xml:space="preserve"> rozsáhlé </w:t>
      </w:r>
      <w:r w:rsidR="00F52977" w:rsidRPr="00F52977">
        <w:rPr>
          <w:rFonts w:asciiTheme="minorHAnsi" w:hAnsiTheme="minorHAnsi" w:cstheme="minorHAnsi"/>
        </w:rPr>
        <w:lastRenderedPageBreak/>
        <w:t>schopnosti využitelné pro zajištění činnosti pozemních sil Armády</w:t>
      </w:r>
      <w:r w:rsidR="00905F3C">
        <w:rPr>
          <w:rStyle w:val="Znakapoznpodarou"/>
          <w:rFonts w:asciiTheme="minorHAnsi" w:hAnsiTheme="minorHAnsi" w:cstheme="minorHAnsi"/>
        </w:rPr>
        <w:footnoteReference w:id="45"/>
      </w:r>
      <w:r w:rsidR="00F52977" w:rsidRPr="00F52977">
        <w:rPr>
          <w:rFonts w:asciiTheme="minorHAnsi" w:hAnsiTheme="minorHAnsi" w:cstheme="minorHAnsi"/>
        </w:rPr>
        <w:t xml:space="preserve">. </w:t>
      </w:r>
      <w:r w:rsidR="00905F3C">
        <w:rPr>
          <w:rFonts w:asciiTheme="minorHAnsi" w:hAnsiTheme="minorHAnsi" w:cstheme="minorHAnsi"/>
        </w:rPr>
        <w:t>R</w:t>
      </w:r>
      <w:r w:rsidR="00F52977" w:rsidRPr="00F52977">
        <w:rPr>
          <w:rFonts w:asciiTheme="minorHAnsi" w:hAnsiTheme="minorHAnsi" w:cstheme="minorHAnsi"/>
        </w:rPr>
        <w:t xml:space="preserve">ozvoj státních podniků si </w:t>
      </w:r>
      <w:r w:rsidR="004E3694">
        <w:rPr>
          <w:rFonts w:asciiTheme="minorHAnsi" w:hAnsiTheme="minorHAnsi" w:cstheme="minorHAnsi"/>
        </w:rPr>
        <w:t xml:space="preserve">MO </w:t>
      </w:r>
      <w:r w:rsidR="00F52977" w:rsidRPr="00F52977">
        <w:rPr>
          <w:rFonts w:asciiTheme="minorHAnsi" w:hAnsiTheme="minorHAnsi" w:cstheme="minorHAnsi"/>
        </w:rPr>
        <w:t xml:space="preserve">stanovilo </w:t>
      </w:r>
      <w:r w:rsidR="00905F3C" w:rsidRPr="00F52977">
        <w:rPr>
          <w:rFonts w:asciiTheme="minorHAnsi" w:hAnsiTheme="minorHAnsi" w:cstheme="minorHAnsi"/>
        </w:rPr>
        <w:t xml:space="preserve">jako jeden z cílů </w:t>
      </w:r>
      <w:r w:rsidR="00B17F8C">
        <w:rPr>
          <w:rFonts w:asciiTheme="minorHAnsi" w:hAnsiTheme="minorHAnsi" w:cstheme="minorHAnsi"/>
        </w:rPr>
        <w:t xml:space="preserve">také </w:t>
      </w:r>
      <w:r w:rsidR="00F52977" w:rsidRPr="00F52977">
        <w:rPr>
          <w:rFonts w:asciiTheme="minorHAnsi" w:hAnsiTheme="minorHAnsi" w:cstheme="minorHAnsi"/>
        </w:rPr>
        <w:t xml:space="preserve">v </w:t>
      </w:r>
      <w:r w:rsidR="00F52977" w:rsidRPr="00905F3C">
        <w:rPr>
          <w:rFonts w:asciiTheme="minorHAnsi" w:hAnsiTheme="minorHAnsi" w:cstheme="minorHAnsi"/>
          <w:i/>
        </w:rPr>
        <w:t>Dlouhodobém výhledu pro obranu 2030</w:t>
      </w:r>
      <w:r w:rsidR="00F52977" w:rsidRPr="00F52977">
        <w:rPr>
          <w:rFonts w:asciiTheme="minorHAnsi" w:hAnsiTheme="minorHAnsi" w:cstheme="minorHAnsi"/>
        </w:rPr>
        <w:t xml:space="preserve">. Ve </w:t>
      </w:r>
      <w:r w:rsidR="00F52977" w:rsidRPr="00905F3C">
        <w:rPr>
          <w:rFonts w:asciiTheme="minorHAnsi" w:hAnsiTheme="minorHAnsi" w:cstheme="minorHAnsi"/>
          <w:i/>
        </w:rPr>
        <w:t>Střednědobé strategii VOP CZ na roky 2015–2020</w:t>
      </w:r>
      <w:r w:rsidR="00F52977" w:rsidRPr="00F52977">
        <w:rPr>
          <w:rFonts w:asciiTheme="minorHAnsi" w:hAnsiTheme="minorHAnsi" w:cstheme="minorHAnsi"/>
        </w:rPr>
        <w:t xml:space="preserve"> si </w:t>
      </w:r>
      <w:r w:rsidR="00905F3C">
        <w:rPr>
          <w:rFonts w:asciiTheme="minorHAnsi" w:hAnsiTheme="minorHAnsi" w:cstheme="minorHAnsi"/>
        </w:rPr>
        <w:t xml:space="preserve">VOP CZ </w:t>
      </w:r>
      <w:r w:rsidR="00F52977" w:rsidRPr="00F52977">
        <w:rPr>
          <w:rFonts w:asciiTheme="minorHAnsi" w:hAnsiTheme="minorHAnsi" w:cstheme="minorHAnsi"/>
        </w:rPr>
        <w:t xml:space="preserve">jako hlavní cíl </w:t>
      </w:r>
      <w:r w:rsidR="00905F3C" w:rsidRPr="00F52977">
        <w:rPr>
          <w:rFonts w:asciiTheme="minorHAnsi" w:hAnsiTheme="minorHAnsi" w:cstheme="minorHAnsi"/>
        </w:rPr>
        <w:t xml:space="preserve">stanovil </w:t>
      </w:r>
      <w:r w:rsidR="00F52977" w:rsidRPr="00F52977">
        <w:rPr>
          <w:rFonts w:asciiTheme="minorHAnsi" w:hAnsiTheme="minorHAnsi" w:cstheme="minorHAnsi"/>
        </w:rPr>
        <w:t xml:space="preserve">navýšení podílu tržeb v oblasti vojenské výroby na 30 až 50 % z celkových tržeb. V navazující </w:t>
      </w:r>
      <w:r w:rsidR="00F52977" w:rsidRPr="00905F3C">
        <w:rPr>
          <w:rFonts w:asciiTheme="minorHAnsi" w:hAnsiTheme="minorHAnsi" w:cstheme="minorHAnsi"/>
          <w:i/>
        </w:rPr>
        <w:t>Střednědobé strategii VOP CZ na roky 2019–2023</w:t>
      </w:r>
      <w:r w:rsidR="00F52977" w:rsidRPr="00F52977">
        <w:rPr>
          <w:rFonts w:asciiTheme="minorHAnsi" w:hAnsiTheme="minorHAnsi" w:cstheme="minorHAnsi"/>
        </w:rPr>
        <w:t xml:space="preserve"> si stanovil tento podíl dokonce ve výši 50 až 80</w:t>
      </w:r>
      <w:r w:rsidR="00823B58">
        <w:rPr>
          <w:rFonts w:asciiTheme="minorHAnsi" w:hAnsiTheme="minorHAnsi" w:cstheme="minorHAnsi"/>
        </w:rPr>
        <w:t> </w:t>
      </w:r>
      <w:r w:rsidR="00F52977" w:rsidRPr="00F52977">
        <w:rPr>
          <w:rFonts w:asciiTheme="minorHAnsi" w:hAnsiTheme="minorHAnsi" w:cstheme="minorHAnsi"/>
        </w:rPr>
        <w:t xml:space="preserve">% z celkových tržeb. Dosažení 80% podílu podmiňoval </w:t>
      </w:r>
      <w:r w:rsidR="00097052">
        <w:rPr>
          <w:rFonts w:asciiTheme="minorHAnsi" w:hAnsiTheme="minorHAnsi" w:cstheme="minorHAnsi"/>
        </w:rPr>
        <w:t xml:space="preserve">zapojením do </w:t>
      </w:r>
      <w:r w:rsidR="00B17F8C">
        <w:rPr>
          <w:rFonts w:asciiTheme="minorHAnsi" w:hAnsiTheme="minorHAnsi" w:cstheme="minorHAnsi"/>
        </w:rPr>
        <w:t>projekt</w:t>
      </w:r>
      <w:r w:rsidR="00097052">
        <w:rPr>
          <w:rFonts w:asciiTheme="minorHAnsi" w:hAnsiTheme="minorHAnsi" w:cstheme="minorHAnsi"/>
        </w:rPr>
        <w:t>u</w:t>
      </w:r>
      <w:r w:rsidR="00B17F8C">
        <w:rPr>
          <w:rFonts w:asciiTheme="minorHAnsi" w:hAnsiTheme="minorHAnsi" w:cstheme="minorHAnsi"/>
        </w:rPr>
        <w:t xml:space="preserve"> p</w:t>
      </w:r>
      <w:r w:rsidR="00F52977" w:rsidRPr="00F52977">
        <w:rPr>
          <w:rFonts w:asciiTheme="minorHAnsi" w:hAnsiTheme="minorHAnsi" w:cstheme="minorHAnsi"/>
        </w:rPr>
        <w:t>ořízení nových pásových bojových vozidel</w:t>
      </w:r>
      <w:r w:rsidR="00745D98">
        <w:rPr>
          <w:rFonts w:asciiTheme="minorHAnsi" w:hAnsiTheme="minorHAnsi" w:cstheme="minorHAnsi"/>
        </w:rPr>
        <w:t xml:space="preserve"> Armády.</w:t>
      </w:r>
    </w:p>
    <w:p w14:paraId="5CEC7A01" w14:textId="6B6CA12A" w:rsidR="002672F0" w:rsidRDefault="002672F0" w:rsidP="002672F0">
      <w:pPr>
        <w:spacing w:before="120"/>
        <w:jc w:val="both"/>
        <w:rPr>
          <w:rFonts w:asciiTheme="minorHAnsi" w:hAnsiTheme="minorHAnsi" w:cstheme="minorHAnsi"/>
        </w:rPr>
      </w:pPr>
      <w:r w:rsidRPr="003E04AC">
        <w:rPr>
          <w:rFonts w:asciiTheme="minorHAnsi" w:hAnsiTheme="minorHAnsi" w:cstheme="minorHAnsi"/>
          <w:b/>
        </w:rPr>
        <w:t>4.</w:t>
      </w:r>
      <w:r w:rsidR="002C0BBA">
        <w:rPr>
          <w:rFonts w:asciiTheme="minorHAnsi" w:hAnsiTheme="minorHAnsi" w:cstheme="minorHAnsi"/>
          <w:b/>
        </w:rPr>
        <w:t>2</w:t>
      </w:r>
      <w:r w:rsidR="007274B9">
        <w:rPr>
          <w:rFonts w:asciiTheme="minorHAnsi" w:hAnsiTheme="minorHAnsi" w:cstheme="minorHAnsi"/>
          <w:b/>
        </w:rPr>
        <w:t>8</w:t>
      </w:r>
      <w:r>
        <w:rPr>
          <w:rFonts w:asciiTheme="minorHAnsi" w:hAnsiTheme="minorHAnsi" w:cstheme="minorHAnsi"/>
        </w:rPr>
        <w:t xml:space="preserve"> </w:t>
      </w:r>
      <w:r w:rsidRPr="0001574D">
        <w:rPr>
          <w:rFonts w:asciiTheme="minorHAnsi" w:hAnsiTheme="minorHAnsi" w:cstheme="minorHAnsi"/>
        </w:rPr>
        <w:t xml:space="preserve">VOP CZ </w:t>
      </w:r>
      <w:r>
        <w:rPr>
          <w:rFonts w:asciiTheme="minorHAnsi" w:hAnsiTheme="minorHAnsi" w:cstheme="minorHAnsi"/>
        </w:rPr>
        <w:t xml:space="preserve">v </w:t>
      </w:r>
      <w:r w:rsidRPr="0001574D">
        <w:rPr>
          <w:rFonts w:asciiTheme="minorHAnsi" w:hAnsiTheme="minorHAnsi" w:cstheme="minorHAnsi"/>
        </w:rPr>
        <w:t xml:space="preserve">období </w:t>
      </w:r>
      <w:r>
        <w:rPr>
          <w:rFonts w:asciiTheme="minorHAnsi" w:hAnsiTheme="minorHAnsi" w:cstheme="minorHAnsi"/>
        </w:rPr>
        <w:t xml:space="preserve">2018–2021 </w:t>
      </w:r>
      <w:r w:rsidRPr="0001574D">
        <w:rPr>
          <w:rFonts w:asciiTheme="minorHAnsi" w:hAnsiTheme="minorHAnsi" w:cstheme="minorHAnsi"/>
        </w:rPr>
        <w:t xml:space="preserve">pro </w:t>
      </w:r>
      <w:r>
        <w:rPr>
          <w:rFonts w:asciiTheme="minorHAnsi" w:hAnsiTheme="minorHAnsi" w:cstheme="minorHAnsi"/>
        </w:rPr>
        <w:t>MO prováděl</w:t>
      </w:r>
      <w:r w:rsidRPr="0001574D">
        <w:rPr>
          <w:rFonts w:asciiTheme="minorHAnsi" w:hAnsiTheme="minorHAnsi" w:cstheme="minorHAnsi"/>
        </w:rPr>
        <w:t xml:space="preserve"> např</w:t>
      </w:r>
      <w:r w:rsidR="00F45C1D">
        <w:rPr>
          <w:rFonts w:asciiTheme="minorHAnsi" w:hAnsiTheme="minorHAnsi" w:cstheme="minorHAnsi"/>
        </w:rPr>
        <w:t>íklad</w:t>
      </w:r>
      <w:r w:rsidRPr="0001574D">
        <w:rPr>
          <w:rFonts w:asciiTheme="minorHAnsi" w:hAnsiTheme="minorHAnsi" w:cstheme="minorHAnsi"/>
        </w:rPr>
        <w:t xml:space="preserve"> dodávky </w:t>
      </w:r>
      <w:r w:rsidR="00110F31">
        <w:rPr>
          <w:rFonts w:asciiTheme="minorHAnsi" w:hAnsiTheme="minorHAnsi" w:cstheme="minorHAnsi"/>
        </w:rPr>
        <w:t xml:space="preserve">cisternových </w:t>
      </w:r>
      <w:r w:rsidRPr="0001574D">
        <w:rPr>
          <w:rFonts w:asciiTheme="minorHAnsi" w:hAnsiTheme="minorHAnsi" w:cstheme="minorHAnsi"/>
        </w:rPr>
        <w:t>plničů letecké a</w:t>
      </w:r>
      <w:r w:rsidR="00110F31">
        <w:rPr>
          <w:rFonts w:asciiTheme="minorHAnsi" w:hAnsiTheme="minorHAnsi" w:cstheme="minorHAnsi"/>
        </w:rPr>
        <w:t xml:space="preserve"> </w:t>
      </w:r>
      <w:r w:rsidRPr="0001574D">
        <w:rPr>
          <w:rFonts w:asciiTheme="minorHAnsi" w:hAnsiTheme="minorHAnsi" w:cstheme="minorHAnsi"/>
        </w:rPr>
        <w:t>pozemní techniky</w:t>
      </w:r>
      <w:r>
        <w:rPr>
          <w:rFonts w:asciiTheme="minorHAnsi" w:hAnsiTheme="minorHAnsi" w:cstheme="minorHAnsi"/>
        </w:rPr>
        <w:t>, opravy jeřábové techniky nebo</w:t>
      </w:r>
      <w:r w:rsidRPr="0001574D">
        <w:rPr>
          <w:rFonts w:asciiTheme="minorHAnsi" w:hAnsiTheme="minorHAnsi" w:cstheme="minorHAnsi"/>
        </w:rPr>
        <w:t xml:space="preserve"> tanků</w:t>
      </w:r>
      <w:r>
        <w:rPr>
          <w:rFonts w:asciiTheme="minorHAnsi" w:hAnsiTheme="minorHAnsi" w:cstheme="minorHAnsi"/>
        </w:rPr>
        <w:t xml:space="preserve">, což však </w:t>
      </w:r>
      <w:r w:rsidRPr="0001574D">
        <w:rPr>
          <w:rFonts w:asciiTheme="minorHAnsi" w:hAnsiTheme="minorHAnsi" w:cstheme="minorHAnsi"/>
        </w:rPr>
        <w:t>představ</w:t>
      </w:r>
      <w:r>
        <w:rPr>
          <w:rFonts w:asciiTheme="minorHAnsi" w:hAnsiTheme="minorHAnsi" w:cstheme="minorHAnsi"/>
        </w:rPr>
        <w:t>ovalo</w:t>
      </w:r>
      <w:r w:rsidRPr="0001574D">
        <w:rPr>
          <w:rFonts w:asciiTheme="minorHAnsi" w:hAnsiTheme="minorHAnsi" w:cstheme="minorHAnsi"/>
        </w:rPr>
        <w:t xml:space="preserve"> </w:t>
      </w:r>
      <w:r w:rsidR="00E90EED">
        <w:rPr>
          <w:rFonts w:asciiTheme="minorHAnsi" w:hAnsiTheme="minorHAnsi" w:cstheme="minorHAnsi"/>
        </w:rPr>
        <w:t xml:space="preserve">jen </w:t>
      </w:r>
      <w:r w:rsidRPr="0001574D">
        <w:rPr>
          <w:rFonts w:asciiTheme="minorHAnsi" w:hAnsiTheme="minorHAnsi" w:cstheme="minorHAnsi"/>
        </w:rPr>
        <w:t>malou část</w:t>
      </w:r>
      <w:r>
        <w:rPr>
          <w:rFonts w:asciiTheme="minorHAnsi" w:hAnsiTheme="minorHAnsi" w:cstheme="minorHAnsi"/>
        </w:rPr>
        <w:t xml:space="preserve"> podnikových aktivit. Tržby VOP</w:t>
      </w:r>
      <w:r w:rsidR="00516259">
        <w:rPr>
          <w:rFonts w:asciiTheme="minorHAnsi" w:hAnsiTheme="minorHAnsi" w:cstheme="minorHAnsi"/>
        </w:rPr>
        <w:t> </w:t>
      </w:r>
      <w:r>
        <w:rPr>
          <w:rFonts w:asciiTheme="minorHAnsi" w:hAnsiTheme="minorHAnsi" w:cstheme="minorHAnsi"/>
        </w:rPr>
        <w:t xml:space="preserve">CZ </w:t>
      </w:r>
      <w:r w:rsidR="00F46E33">
        <w:rPr>
          <w:rFonts w:asciiTheme="minorHAnsi" w:hAnsiTheme="minorHAnsi" w:cstheme="minorHAnsi"/>
        </w:rPr>
        <w:t>z</w:t>
      </w:r>
      <w:r w:rsidR="00516259">
        <w:rPr>
          <w:rFonts w:asciiTheme="minorHAnsi" w:hAnsiTheme="minorHAnsi" w:cstheme="minorHAnsi"/>
        </w:rPr>
        <w:t xml:space="preserve"> </w:t>
      </w:r>
      <w:r w:rsidR="00F46E33">
        <w:rPr>
          <w:rFonts w:asciiTheme="minorHAnsi" w:hAnsiTheme="minorHAnsi" w:cstheme="minorHAnsi"/>
        </w:rPr>
        <w:t xml:space="preserve">činnosti </w:t>
      </w:r>
      <w:r>
        <w:rPr>
          <w:rFonts w:asciiTheme="minorHAnsi" w:hAnsiTheme="minorHAnsi" w:cstheme="minorHAnsi"/>
        </w:rPr>
        <w:t xml:space="preserve">realizované ve prospěch MO činily průměrně </w:t>
      </w:r>
      <w:r w:rsidRPr="0001574D">
        <w:rPr>
          <w:rFonts w:asciiTheme="minorHAnsi" w:hAnsiTheme="minorHAnsi" w:cstheme="minorHAnsi"/>
        </w:rPr>
        <w:t>13</w:t>
      </w:r>
      <w:r>
        <w:rPr>
          <w:rFonts w:asciiTheme="minorHAnsi" w:hAnsiTheme="minorHAnsi" w:cstheme="minorHAnsi"/>
        </w:rPr>
        <w:t>,2</w:t>
      </w:r>
      <w:r w:rsidR="00E90EED">
        <w:rPr>
          <w:rFonts w:asciiTheme="minorHAnsi" w:hAnsiTheme="minorHAnsi" w:cstheme="minorHAnsi"/>
        </w:rPr>
        <w:t> </w:t>
      </w:r>
      <w:r w:rsidRPr="0001574D">
        <w:rPr>
          <w:rFonts w:asciiTheme="minorHAnsi" w:hAnsiTheme="minorHAnsi" w:cstheme="minorHAnsi"/>
        </w:rPr>
        <w:t>%</w:t>
      </w:r>
      <w:r>
        <w:rPr>
          <w:rFonts w:asciiTheme="minorHAnsi" w:hAnsiTheme="minorHAnsi" w:cstheme="minorHAnsi"/>
        </w:rPr>
        <w:t xml:space="preserve"> z</w:t>
      </w:r>
      <w:r w:rsidR="00516259">
        <w:rPr>
          <w:rFonts w:asciiTheme="minorHAnsi" w:hAnsiTheme="minorHAnsi" w:cstheme="minorHAnsi"/>
        </w:rPr>
        <w:t xml:space="preserve"> </w:t>
      </w:r>
      <w:r>
        <w:rPr>
          <w:rFonts w:asciiTheme="minorHAnsi" w:hAnsiTheme="minorHAnsi" w:cstheme="minorHAnsi"/>
        </w:rPr>
        <w:t>celkových tržeb,</w:t>
      </w:r>
      <w:r w:rsidRPr="0001574D">
        <w:rPr>
          <w:rFonts w:asciiTheme="minorHAnsi" w:hAnsiTheme="minorHAnsi" w:cstheme="minorHAnsi"/>
        </w:rPr>
        <w:t xml:space="preserve"> </w:t>
      </w:r>
      <w:r>
        <w:rPr>
          <w:rFonts w:asciiTheme="minorHAnsi" w:hAnsiTheme="minorHAnsi" w:cstheme="minorHAnsi"/>
        </w:rPr>
        <w:t>z</w:t>
      </w:r>
      <w:r w:rsidR="00516259">
        <w:rPr>
          <w:rFonts w:asciiTheme="minorHAnsi" w:hAnsiTheme="minorHAnsi" w:cstheme="minorHAnsi"/>
        </w:rPr>
        <w:t xml:space="preserve"> </w:t>
      </w:r>
      <w:r>
        <w:rPr>
          <w:rFonts w:asciiTheme="minorHAnsi" w:hAnsiTheme="minorHAnsi" w:cstheme="minorHAnsi"/>
        </w:rPr>
        <w:t xml:space="preserve">toho </w:t>
      </w:r>
      <w:r w:rsidRPr="0001574D">
        <w:rPr>
          <w:rFonts w:asciiTheme="minorHAnsi" w:hAnsiTheme="minorHAnsi" w:cstheme="minorHAnsi"/>
        </w:rPr>
        <w:t>7,4 %</w:t>
      </w:r>
      <w:r>
        <w:rPr>
          <w:rFonts w:asciiTheme="minorHAnsi" w:hAnsiTheme="minorHAnsi" w:cstheme="minorHAnsi"/>
        </w:rPr>
        <w:t xml:space="preserve"> </w:t>
      </w:r>
      <w:r w:rsidRPr="0001574D">
        <w:rPr>
          <w:rFonts w:asciiTheme="minorHAnsi" w:hAnsiTheme="minorHAnsi" w:cstheme="minorHAnsi"/>
        </w:rPr>
        <w:t xml:space="preserve">v oblasti automobilní </w:t>
      </w:r>
      <w:r w:rsidRPr="0088636A">
        <w:rPr>
          <w:rFonts w:asciiTheme="minorHAnsi" w:hAnsiTheme="minorHAnsi" w:cstheme="minorHAnsi"/>
        </w:rPr>
        <w:t xml:space="preserve">techniky (viz příloha č. 3). </w:t>
      </w:r>
      <w:r w:rsidR="00E90EED" w:rsidRPr="0088636A">
        <w:rPr>
          <w:rFonts w:asciiTheme="minorHAnsi" w:hAnsiTheme="minorHAnsi" w:cstheme="minorHAnsi"/>
        </w:rPr>
        <w:t>Podnik</w:t>
      </w:r>
      <w:r>
        <w:rPr>
          <w:rFonts w:asciiTheme="minorHAnsi" w:hAnsiTheme="minorHAnsi" w:cstheme="minorHAnsi"/>
        </w:rPr>
        <w:t xml:space="preserve"> </w:t>
      </w:r>
      <w:r w:rsidR="00E90EED">
        <w:rPr>
          <w:rFonts w:asciiTheme="minorHAnsi" w:hAnsiTheme="minorHAnsi" w:cstheme="minorHAnsi"/>
        </w:rPr>
        <w:t>v</w:t>
      </w:r>
      <w:r w:rsidR="00516259">
        <w:rPr>
          <w:rFonts w:asciiTheme="minorHAnsi" w:hAnsiTheme="minorHAnsi" w:cstheme="minorHAnsi"/>
        </w:rPr>
        <w:t xml:space="preserve"> </w:t>
      </w:r>
      <w:r w:rsidR="00E90EED">
        <w:rPr>
          <w:rFonts w:asciiTheme="minorHAnsi" w:hAnsiTheme="minorHAnsi" w:cstheme="minorHAnsi"/>
        </w:rPr>
        <w:t xml:space="preserve">tomto období </w:t>
      </w:r>
      <w:r w:rsidRPr="0001574D">
        <w:rPr>
          <w:rFonts w:asciiTheme="minorHAnsi" w:hAnsiTheme="minorHAnsi" w:cstheme="minorHAnsi"/>
        </w:rPr>
        <w:t>využ</w:t>
      </w:r>
      <w:r>
        <w:rPr>
          <w:rFonts w:asciiTheme="minorHAnsi" w:hAnsiTheme="minorHAnsi" w:cstheme="minorHAnsi"/>
        </w:rPr>
        <w:t xml:space="preserve">il pro potřeby Armády </w:t>
      </w:r>
      <w:r w:rsidR="00D54ACE">
        <w:rPr>
          <w:rFonts w:asciiTheme="minorHAnsi" w:hAnsiTheme="minorHAnsi" w:cstheme="minorHAnsi"/>
        </w:rPr>
        <w:t xml:space="preserve">průměrně </w:t>
      </w:r>
      <w:r>
        <w:rPr>
          <w:rFonts w:asciiTheme="minorHAnsi" w:hAnsiTheme="minorHAnsi" w:cstheme="minorHAnsi"/>
        </w:rPr>
        <w:t>pouze 3,9 %</w:t>
      </w:r>
      <w:r w:rsidRPr="0001574D">
        <w:rPr>
          <w:rFonts w:asciiTheme="minorHAnsi" w:hAnsiTheme="minorHAnsi" w:cstheme="minorHAnsi"/>
        </w:rPr>
        <w:t xml:space="preserve"> </w:t>
      </w:r>
      <w:r w:rsidR="00110F31">
        <w:rPr>
          <w:rFonts w:asciiTheme="minorHAnsi" w:hAnsiTheme="minorHAnsi" w:cstheme="minorHAnsi"/>
        </w:rPr>
        <w:t xml:space="preserve">své </w:t>
      </w:r>
      <w:r w:rsidRPr="0001574D">
        <w:rPr>
          <w:rFonts w:asciiTheme="minorHAnsi" w:hAnsiTheme="minorHAnsi" w:cstheme="minorHAnsi"/>
        </w:rPr>
        <w:t>servisní a</w:t>
      </w:r>
      <w:r w:rsidR="00110F31">
        <w:rPr>
          <w:rFonts w:asciiTheme="minorHAnsi" w:hAnsiTheme="minorHAnsi" w:cstheme="minorHAnsi"/>
        </w:rPr>
        <w:t> </w:t>
      </w:r>
      <w:r w:rsidRPr="0001574D">
        <w:rPr>
          <w:rFonts w:asciiTheme="minorHAnsi" w:hAnsiTheme="minorHAnsi" w:cstheme="minorHAnsi"/>
        </w:rPr>
        <w:t>výrobní kapacit</w:t>
      </w:r>
      <w:r w:rsidR="0083610A">
        <w:rPr>
          <w:rFonts w:asciiTheme="minorHAnsi" w:hAnsiTheme="minorHAnsi" w:cstheme="minorHAnsi"/>
        </w:rPr>
        <w:t>y</w:t>
      </w:r>
      <w:r w:rsidRPr="0001574D">
        <w:rPr>
          <w:rFonts w:asciiTheme="minorHAnsi" w:hAnsiTheme="minorHAnsi" w:cstheme="minorHAnsi"/>
        </w:rPr>
        <w:t xml:space="preserve">, </w:t>
      </w:r>
      <w:r w:rsidRPr="00745D98">
        <w:rPr>
          <w:rFonts w:asciiTheme="minorHAnsi" w:hAnsiTheme="minorHAnsi" w:cstheme="minorHAnsi"/>
        </w:rPr>
        <w:t xml:space="preserve">viz graf č. </w:t>
      </w:r>
      <w:r w:rsidR="00DA25CD">
        <w:rPr>
          <w:rFonts w:asciiTheme="minorHAnsi" w:hAnsiTheme="minorHAnsi" w:cstheme="minorHAnsi"/>
        </w:rPr>
        <w:t>1</w:t>
      </w:r>
      <w:r w:rsidRPr="00E90EED">
        <w:rPr>
          <w:rFonts w:asciiTheme="minorHAnsi" w:hAnsiTheme="minorHAnsi" w:cstheme="minorHAnsi"/>
        </w:rPr>
        <w:t>.</w:t>
      </w:r>
      <w:r w:rsidR="00F46E33" w:rsidRPr="00E90EED">
        <w:rPr>
          <w:rFonts w:asciiTheme="minorHAnsi" w:hAnsiTheme="minorHAnsi" w:cstheme="minorHAnsi"/>
        </w:rPr>
        <w:t xml:space="preserve"> </w:t>
      </w:r>
      <w:r w:rsidR="00E90EED">
        <w:rPr>
          <w:rFonts w:asciiTheme="minorHAnsi" w:hAnsiTheme="minorHAnsi" w:cstheme="minorHAnsi"/>
        </w:rPr>
        <w:t>VOP CZ nesplnil c</w:t>
      </w:r>
      <w:r w:rsidR="00E90EED" w:rsidRPr="00E90EED">
        <w:rPr>
          <w:rFonts w:asciiTheme="minorHAnsi" w:hAnsiTheme="minorHAnsi" w:cstheme="minorHAnsi"/>
        </w:rPr>
        <w:t>íle s</w:t>
      </w:r>
      <w:r w:rsidR="00F46E33" w:rsidRPr="00E90EED">
        <w:rPr>
          <w:rFonts w:asciiTheme="minorHAnsi" w:hAnsiTheme="minorHAnsi" w:cstheme="minorHAnsi"/>
        </w:rPr>
        <w:t>tanovené</w:t>
      </w:r>
      <w:r w:rsidR="00F46E33" w:rsidRPr="00310A64">
        <w:rPr>
          <w:rFonts w:asciiTheme="minorHAnsi" w:hAnsiTheme="minorHAnsi" w:cstheme="minorHAnsi"/>
        </w:rPr>
        <w:t xml:space="preserve"> ve vztahu k navýšení podílu činnosti v oblasti </w:t>
      </w:r>
      <w:r w:rsidR="00097052" w:rsidRPr="00310A64">
        <w:rPr>
          <w:rFonts w:asciiTheme="minorHAnsi" w:hAnsiTheme="minorHAnsi" w:cstheme="minorHAnsi"/>
        </w:rPr>
        <w:t xml:space="preserve">vojenské </w:t>
      </w:r>
      <w:r w:rsidR="00F46E33" w:rsidRPr="00310A64">
        <w:rPr>
          <w:rFonts w:asciiTheme="minorHAnsi" w:hAnsiTheme="minorHAnsi" w:cstheme="minorHAnsi"/>
        </w:rPr>
        <w:t>výroby</w:t>
      </w:r>
      <w:r w:rsidR="009650A8" w:rsidRPr="00310A64">
        <w:rPr>
          <w:rStyle w:val="Znakapoznpodarou"/>
          <w:rFonts w:asciiTheme="minorHAnsi" w:hAnsiTheme="minorHAnsi" w:cstheme="minorHAnsi"/>
        </w:rPr>
        <w:footnoteReference w:id="46"/>
      </w:r>
      <w:r w:rsidR="00B17F8C" w:rsidRPr="00310A64">
        <w:rPr>
          <w:rFonts w:asciiTheme="minorHAnsi" w:hAnsiTheme="minorHAnsi" w:cstheme="minorHAnsi"/>
        </w:rPr>
        <w:t xml:space="preserve">, viz graf č. </w:t>
      </w:r>
      <w:r w:rsidR="00DA25CD" w:rsidRPr="00310A64">
        <w:rPr>
          <w:rFonts w:asciiTheme="minorHAnsi" w:hAnsiTheme="minorHAnsi" w:cstheme="minorHAnsi"/>
        </w:rPr>
        <w:t>2</w:t>
      </w:r>
      <w:r w:rsidR="00B17F8C" w:rsidRPr="00310A64">
        <w:rPr>
          <w:rFonts w:asciiTheme="minorHAnsi" w:hAnsiTheme="minorHAnsi" w:cstheme="minorHAnsi"/>
        </w:rPr>
        <w:t>.</w:t>
      </w:r>
      <w:r w:rsidR="0083610A" w:rsidRPr="00310A64">
        <w:rPr>
          <w:rFonts w:asciiTheme="minorHAnsi" w:hAnsiTheme="minorHAnsi" w:cstheme="minorHAnsi"/>
        </w:rPr>
        <w:t xml:space="preserve"> </w:t>
      </w:r>
      <w:r w:rsidR="00272DEC" w:rsidRPr="00310A64">
        <w:rPr>
          <w:rFonts w:asciiTheme="minorHAnsi" w:hAnsiTheme="minorHAnsi" w:cstheme="minorHAnsi"/>
        </w:rPr>
        <w:t>Průměrný podíl tržeb podniku v</w:t>
      </w:r>
      <w:r w:rsidR="00E90EED">
        <w:rPr>
          <w:rFonts w:asciiTheme="minorHAnsi" w:hAnsiTheme="minorHAnsi" w:cstheme="minorHAnsi"/>
        </w:rPr>
        <w:t xml:space="preserve"> této </w:t>
      </w:r>
      <w:r w:rsidR="00272DEC" w:rsidRPr="00310A64">
        <w:rPr>
          <w:rFonts w:asciiTheme="minorHAnsi" w:hAnsiTheme="minorHAnsi" w:cstheme="minorHAnsi"/>
        </w:rPr>
        <w:t xml:space="preserve">oblasti </w:t>
      </w:r>
      <w:r w:rsidR="00E90EED">
        <w:rPr>
          <w:rFonts w:asciiTheme="minorHAnsi" w:hAnsiTheme="minorHAnsi" w:cstheme="minorHAnsi"/>
        </w:rPr>
        <w:t xml:space="preserve">činil </w:t>
      </w:r>
      <w:r w:rsidR="00272DEC" w:rsidRPr="00310A64">
        <w:rPr>
          <w:rFonts w:asciiTheme="minorHAnsi" w:hAnsiTheme="minorHAnsi" w:cstheme="minorHAnsi"/>
        </w:rPr>
        <w:t xml:space="preserve">v letech 2018–2021 </w:t>
      </w:r>
      <w:r w:rsidR="00E90EED">
        <w:rPr>
          <w:rFonts w:asciiTheme="minorHAnsi" w:hAnsiTheme="minorHAnsi" w:cstheme="minorHAnsi"/>
        </w:rPr>
        <w:t>pouze</w:t>
      </w:r>
      <w:r w:rsidR="00272DEC" w:rsidRPr="00310A64">
        <w:rPr>
          <w:rFonts w:asciiTheme="minorHAnsi" w:hAnsiTheme="minorHAnsi" w:cstheme="minorHAnsi"/>
        </w:rPr>
        <w:t xml:space="preserve"> 16,2 %</w:t>
      </w:r>
      <w:r w:rsidR="00E90EED">
        <w:rPr>
          <w:rFonts w:asciiTheme="minorHAnsi" w:hAnsiTheme="minorHAnsi" w:cstheme="minorHAnsi"/>
        </w:rPr>
        <w:t>.</w:t>
      </w:r>
      <w:r w:rsidR="0083610A" w:rsidRPr="00745D98">
        <w:rPr>
          <w:rFonts w:asciiTheme="minorHAnsi" w:hAnsiTheme="minorHAnsi" w:cstheme="minorHAnsi"/>
        </w:rPr>
        <w:t xml:space="preserve"> </w:t>
      </w:r>
    </w:p>
    <w:p w14:paraId="77116BE6" w14:textId="77777777" w:rsidR="002672F0" w:rsidRPr="00C760A0" w:rsidRDefault="002672F0" w:rsidP="002672F0">
      <w:pPr>
        <w:spacing w:before="120"/>
        <w:jc w:val="both"/>
        <w:rPr>
          <w:rFonts w:asciiTheme="minorHAnsi" w:hAnsiTheme="minorHAnsi" w:cstheme="minorHAnsi"/>
          <w:b/>
        </w:rPr>
      </w:pPr>
      <w:r w:rsidRPr="001D3A91">
        <w:rPr>
          <w:rFonts w:asciiTheme="minorHAnsi" w:hAnsiTheme="minorHAnsi" w:cstheme="minorHAnsi"/>
          <w:b/>
        </w:rPr>
        <w:t xml:space="preserve">Graf č. </w:t>
      </w:r>
      <w:r w:rsidR="00DA25CD">
        <w:rPr>
          <w:rFonts w:asciiTheme="minorHAnsi" w:hAnsiTheme="minorHAnsi" w:cstheme="minorHAnsi"/>
          <w:b/>
        </w:rPr>
        <w:t>1</w:t>
      </w:r>
      <w:r w:rsidRPr="001D3A91">
        <w:rPr>
          <w:rFonts w:asciiTheme="minorHAnsi" w:hAnsiTheme="minorHAnsi" w:cstheme="minorHAnsi"/>
          <w:b/>
        </w:rPr>
        <w:t xml:space="preserve">: </w:t>
      </w:r>
      <w:r w:rsidR="00E90EED">
        <w:rPr>
          <w:rFonts w:asciiTheme="minorHAnsi" w:hAnsiTheme="minorHAnsi" w:cstheme="minorHAnsi"/>
          <w:b/>
        </w:rPr>
        <w:t>Nízké</w:t>
      </w:r>
      <w:r w:rsidR="00D24FDD">
        <w:rPr>
          <w:rFonts w:asciiTheme="minorHAnsi" w:hAnsiTheme="minorHAnsi" w:cstheme="minorHAnsi"/>
          <w:b/>
        </w:rPr>
        <w:t xml:space="preserve"> v</w:t>
      </w:r>
      <w:r w:rsidRPr="001D3A91">
        <w:rPr>
          <w:rFonts w:asciiTheme="minorHAnsi" w:hAnsiTheme="minorHAnsi" w:cstheme="minorHAnsi"/>
          <w:b/>
        </w:rPr>
        <w:t>yužití výrobní a servisní kapacit</w:t>
      </w:r>
      <w:r w:rsidR="0083610A">
        <w:rPr>
          <w:rFonts w:asciiTheme="minorHAnsi" w:hAnsiTheme="minorHAnsi" w:cstheme="minorHAnsi"/>
          <w:b/>
        </w:rPr>
        <w:t>y</w:t>
      </w:r>
      <w:r w:rsidRPr="001D3A91">
        <w:rPr>
          <w:rFonts w:asciiTheme="minorHAnsi" w:hAnsiTheme="minorHAnsi" w:cstheme="minorHAnsi"/>
          <w:b/>
        </w:rPr>
        <w:t xml:space="preserve"> VOP CZ</w:t>
      </w:r>
      <w:r>
        <w:rPr>
          <w:rFonts w:asciiTheme="minorHAnsi" w:hAnsiTheme="minorHAnsi" w:cstheme="minorHAnsi"/>
          <w:b/>
        </w:rPr>
        <w:t xml:space="preserve"> </w:t>
      </w:r>
      <w:r w:rsidR="00E90EED">
        <w:rPr>
          <w:rFonts w:asciiTheme="minorHAnsi" w:hAnsiTheme="minorHAnsi" w:cstheme="minorHAnsi"/>
          <w:b/>
        </w:rPr>
        <w:t xml:space="preserve">pro Armádu </w:t>
      </w:r>
      <w:r>
        <w:rPr>
          <w:rFonts w:asciiTheme="minorHAnsi" w:hAnsiTheme="minorHAnsi" w:cstheme="minorHAnsi"/>
          <w:b/>
        </w:rPr>
        <w:t xml:space="preserve">v letech 2018–2021 </w:t>
      </w:r>
    </w:p>
    <w:p w14:paraId="72655A33" w14:textId="77777777" w:rsidR="002672F0" w:rsidRDefault="0063005C" w:rsidP="002672F0">
      <w:pPr>
        <w:jc w:val="center"/>
        <w:rPr>
          <w:rFonts w:asciiTheme="minorHAnsi" w:hAnsiTheme="minorHAnsi" w:cstheme="minorHAnsi"/>
        </w:rPr>
      </w:pPr>
      <w:r>
        <w:rPr>
          <w:noProof/>
        </w:rPr>
        <w:drawing>
          <wp:inline distT="0" distB="0" distL="0" distR="0" wp14:anchorId="3BD03CE0" wp14:editId="400095CA">
            <wp:extent cx="5724000" cy="3276235"/>
            <wp:effectExtent l="0" t="0" r="0" b="635"/>
            <wp:docPr id="4" name="Graf 4">
              <a:extLst xmlns:a="http://schemas.openxmlformats.org/drawingml/2006/main">
                <a:ext uri="{FF2B5EF4-FFF2-40B4-BE49-F238E27FC236}">
                  <a16:creationId xmlns:a16="http://schemas.microsoft.com/office/drawing/2014/main" id="{579C27DB-370E-43C7-A1D0-440F65837B9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25C46" w14:textId="3EF8539B" w:rsidR="002672F0" w:rsidRDefault="002672F0" w:rsidP="002672F0">
      <w:pPr>
        <w:jc w:val="both"/>
        <w:rPr>
          <w:rFonts w:asciiTheme="minorHAnsi" w:hAnsiTheme="minorHAnsi" w:cstheme="minorHAnsi"/>
          <w:sz w:val="20"/>
        </w:rPr>
      </w:pPr>
      <w:r w:rsidRPr="001D3A91">
        <w:rPr>
          <w:rFonts w:asciiTheme="minorHAnsi" w:hAnsiTheme="minorHAnsi" w:cstheme="minorHAnsi"/>
          <w:b/>
          <w:sz w:val="20"/>
        </w:rPr>
        <w:t>Zdroj:</w:t>
      </w:r>
      <w:r w:rsidRPr="001D3A91">
        <w:rPr>
          <w:rFonts w:asciiTheme="minorHAnsi" w:hAnsiTheme="minorHAnsi" w:cstheme="minorHAnsi"/>
          <w:sz w:val="20"/>
        </w:rPr>
        <w:t xml:space="preserve"> </w:t>
      </w:r>
      <w:r w:rsidR="00257C2F">
        <w:rPr>
          <w:rFonts w:asciiTheme="minorHAnsi" w:hAnsiTheme="minorHAnsi" w:cstheme="minorHAnsi"/>
          <w:sz w:val="20"/>
        </w:rPr>
        <w:t xml:space="preserve">data získaná kontrolou; </w:t>
      </w:r>
      <w:r w:rsidR="0037420A">
        <w:rPr>
          <w:rFonts w:asciiTheme="minorHAnsi" w:hAnsiTheme="minorHAnsi" w:cstheme="minorHAnsi"/>
          <w:sz w:val="20"/>
        </w:rPr>
        <w:t xml:space="preserve">graf </w:t>
      </w:r>
      <w:r>
        <w:rPr>
          <w:rFonts w:asciiTheme="minorHAnsi" w:hAnsiTheme="minorHAnsi" w:cstheme="minorHAnsi"/>
          <w:sz w:val="20"/>
        </w:rPr>
        <w:t>vypracoval NKÚ.</w:t>
      </w:r>
    </w:p>
    <w:p w14:paraId="4DDACC1C" w14:textId="6659E1EE" w:rsidR="002672F0" w:rsidRPr="003F0DAB" w:rsidRDefault="002672F0" w:rsidP="00C20476">
      <w:pPr>
        <w:keepNext/>
        <w:spacing w:before="240"/>
        <w:jc w:val="both"/>
        <w:rPr>
          <w:rFonts w:asciiTheme="minorHAnsi" w:eastAsia="Calibri" w:hAnsiTheme="minorHAnsi" w:cstheme="minorHAnsi"/>
          <w:b/>
          <w:lang w:eastAsia="en-US"/>
        </w:rPr>
      </w:pPr>
      <w:r w:rsidRPr="003F0DAB">
        <w:rPr>
          <w:rFonts w:asciiTheme="minorHAnsi" w:eastAsia="Calibri" w:hAnsiTheme="minorHAnsi" w:cstheme="minorHAnsi"/>
          <w:b/>
          <w:lang w:eastAsia="en-US"/>
        </w:rPr>
        <w:lastRenderedPageBreak/>
        <w:t xml:space="preserve">Graf č. </w:t>
      </w:r>
      <w:r w:rsidR="00DA25CD">
        <w:rPr>
          <w:rFonts w:asciiTheme="minorHAnsi" w:eastAsia="Calibri" w:hAnsiTheme="minorHAnsi" w:cstheme="minorHAnsi"/>
          <w:b/>
          <w:lang w:eastAsia="en-US"/>
        </w:rPr>
        <w:t>2</w:t>
      </w:r>
      <w:r w:rsidRPr="003F0DAB">
        <w:rPr>
          <w:rFonts w:asciiTheme="minorHAnsi" w:eastAsia="Calibri" w:hAnsiTheme="minorHAnsi" w:cstheme="minorHAnsi"/>
          <w:b/>
          <w:lang w:eastAsia="en-US"/>
        </w:rPr>
        <w:t xml:space="preserve">: </w:t>
      </w:r>
      <w:r>
        <w:rPr>
          <w:rFonts w:asciiTheme="minorHAnsi" w:eastAsia="Calibri" w:hAnsiTheme="minorHAnsi" w:cstheme="minorHAnsi"/>
          <w:b/>
          <w:lang w:eastAsia="en-US"/>
        </w:rPr>
        <w:t>Nep</w:t>
      </w:r>
      <w:r w:rsidRPr="003F0DAB">
        <w:rPr>
          <w:rFonts w:asciiTheme="minorHAnsi" w:eastAsia="Calibri" w:hAnsiTheme="minorHAnsi" w:cstheme="minorHAnsi"/>
          <w:b/>
          <w:lang w:eastAsia="en-US"/>
        </w:rPr>
        <w:t xml:space="preserve">lnění plánovaného podílu tržeb VOP CZ </w:t>
      </w:r>
      <w:r>
        <w:rPr>
          <w:rFonts w:asciiTheme="minorHAnsi" w:eastAsia="Calibri" w:hAnsiTheme="minorHAnsi" w:cstheme="minorHAnsi"/>
          <w:b/>
          <w:lang w:eastAsia="en-US"/>
        </w:rPr>
        <w:t>v</w:t>
      </w:r>
      <w:r w:rsidR="00C8160D">
        <w:rPr>
          <w:rFonts w:asciiTheme="minorHAnsi" w:eastAsia="Calibri" w:hAnsiTheme="minorHAnsi" w:cstheme="minorHAnsi"/>
          <w:b/>
          <w:lang w:eastAsia="en-US"/>
        </w:rPr>
        <w:t>e</w:t>
      </w:r>
      <w:r w:rsidR="007E4167">
        <w:rPr>
          <w:rFonts w:asciiTheme="minorHAnsi" w:eastAsia="Calibri" w:hAnsiTheme="minorHAnsi" w:cstheme="minorHAnsi"/>
          <w:b/>
          <w:lang w:eastAsia="en-US"/>
        </w:rPr>
        <w:t xml:space="preserve"> </w:t>
      </w:r>
      <w:r w:rsidR="005D05B6">
        <w:rPr>
          <w:rFonts w:asciiTheme="minorHAnsi" w:eastAsia="Calibri" w:hAnsiTheme="minorHAnsi" w:cstheme="minorHAnsi"/>
          <w:b/>
          <w:lang w:eastAsia="en-US"/>
        </w:rPr>
        <w:t>vojenské</w:t>
      </w:r>
      <w:r>
        <w:rPr>
          <w:rFonts w:asciiTheme="minorHAnsi" w:eastAsia="Calibri" w:hAnsiTheme="minorHAnsi" w:cstheme="minorHAnsi"/>
          <w:b/>
          <w:lang w:eastAsia="en-US"/>
        </w:rPr>
        <w:t xml:space="preserve"> </w:t>
      </w:r>
      <w:r w:rsidR="00C8160D">
        <w:rPr>
          <w:rFonts w:asciiTheme="minorHAnsi" w:eastAsia="Calibri" w:hAnsiTheme="minorHAnsi" w:cstheme="minorHAnsi"/>
          <w:b/>
          <w:lang w:eastAsia="en-US"/>
        </w:rPr>
        <w:t xml:space="preserve">oblasti </w:t>
      </w:r>
      <w:r w:rsidRPr="003F0DAB">
        <w:rPr>
          <w:rFonts w:asciiTheme="minorHAnsi" w:eastAsia="Calibri" w:hAnsiTheme="minorHAnsi" w:cstheme="minorHAnsi"/>
          <w:b/>
          <w:lang w:eastAsia="en-US"/>
        </w:rPr>
        <w:t>v letech 2018–2021</w:t>
      </w:r>
    </w:p>
    <w:p w14:paraId="5DD5307A" w14:textId="4BA85790" w:rsidR="002672F0" w:rsidRPr="00596DD9" w:rsidRDefault="004B2839" w:rsidP="002672F0">
      <w:pPr>
        <w:spacing w:line="259" w:lineRule="auto"/>
        <w:jc w:val="both"/>
        <w:rPr>
          <w:rFonts w:ascii="Calibri" w:eastAsia="Calibri" w:hAnsi="Calibri" w:cs="Calibri"/>
          <w:b/>
          <w:sz w:val="22"/>
          <w:szCs w:val="22"/>
          <w:lang w:eastAsia="en-US"/>
        </w:rPr>
      </w:pPr>
      <w:r>
        <w:rPr>
          <w:noProof/>
        </w:rPr>
        <w:drawing>
          <wp:inline distT="0" distB="0" distL="0" distR="0" wp14:anchorId="109AC29D" wp14:editId="1C28C1DA">
            <wp:extent cx="5600700" cy="2531660"/>
            <wp:effectExtent l="0" t="0" r="0" b="2540"/>
            <wp:docPr id="9" name="Graf 9">
              <a:extLst xmlns:a="http://schemas.openxmlformats.org/drawingml/2006/main">
                <a:ext uri="{FF2B5EF4-FFF2-40B4-BE49-F238E27FC236}">
                  <a16:creationId xmlns:a16="http://schemas.microsoft.com/office/drawing/2014/main" id="{0102EC1B-52AF-468F-ADDE-393D0277F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B19E26" w14:textId="7FA3D7C1" w:rsidR="002672F0" w:rsidRPr="00596DD9" w:rsidRDefault="002672F0" w:rsidP="002672F0">
      <w:pPr>
        <w:spacing w:after="120"/>
        <w:jc w:val="both"/>
        <w:rPr>
          <w:rFonts w:ascii="Calibri" w:eastAsia="Calibri" w:hAnsi="Calibri" w:cs="Calibri"/>
          <w:sz w:val="20"/>
          <w:szCs w:val="22"/>
          <w:lang w:eastAsia="en-US"/>
        </w:rPr>
      </w:pPr>
      <w:r w:rsidRPr="00596DD9">
        <w:rPr>
          <w:rFonts w:ascii="Calibri" w:eastAsia="Calibri" w:hAnsi="Calibri" w:cs="Calibri"/>
          <w:b/>
          <w:sz w:val="20"/>
          <w:szCs w:val="22"/>
          <w:lang w:eastAsia="en-US"/>
        </w:rPr>
        <w:t>Zdroj:</w:t>
      </w:r>
      <w:r w:rsidRPr="00596DD9">
        <w:rPr>
          <w:rFonts w:ascii="Calibri" w:eastAsia="Calibri" w:hAnsi="Calibri" w:cs="Calibri"/>
          <w:sz w:val="20"/>
          <w:szCs w:val="22"/>
          <w:lang w:eastAsia="en-US"/>
        </w:rPr>
        <w:t xml:space="preserve"> </w:t>
      </w:r>
      <w:r w:rsidR="007E4167">
        <w:rPr>
          <w:rFonts w:asciiTheme="minorHAnsi" w:hAnsiTheme="minorHAnsi" w:cstheme="minorHAnsi"/>
          <w:sz w:val="20"/>
        </w:rPr>
        <w:t xml:space="preserve">data získaná kontrolou; </w:t>
      </w:r>
      <w:r w:rsidR="00643939">
        <w:rPr>
          <w:rFonts w:asciiTheme="minorHAnsi" w:hAnsiTheme="minorHAnsi" w:cstheme="minorHAnsi"/>
          <w:sz w:val="20"/>
        </w:rPr>
        <w:t xml:space="preserve">graf </w:t>
      </w:r>
      <w:r w:rsidRPr="00596DD9">
        <w:rPr>
          <w:rFonts w:ascii="Calibri" w:eastAsia="Calibri" w:hAnsi="Calibri" w:cs="Calibri"/>
          <w:sz w:val="20"/>
          <w:szCs w:val="22"/>
          <w:lang w:eastAsia="en-US"/>
        </w:rPr>
        <w:t>vypracoval NKÚ.</w:t>
      </w:r>
    </w:p>
    <w:p w14:paraId="770CEBDF" w14:textId="32231A61" w:rsidR="002672F0" w:rsidRDefault="00310AC6" w:rsidP="00BE69E4">
      <w:pPr>
        <w:spacing w:before="240"/>
        <w:jc w:val="both"/>
        <w:rPr>
          <w:rFonts w:asciiTheme="minorHAnsi" w:hAnsiTheme="minorHAnsi" w:cstheme="minorHAnsi"/>
        </w:rPr>
      </w:pPr>
      <w:r w:rsidRPr="00310AC6">
        <w:rPr>
          <w:rFonts w:asciiTheme="minorHAnsi" w:hAnsiTheme="minorHAnsi" w:cstheme="minorHAnsi"/>
          <w:b/>
        </w:rPr>
        <w:t>4.</w:t>
      </w:r>
      <w:r w:rsidR="007274B9">
        <w:rPr>
          <w:rFonts w:asciiTheme="minorHAnsi" w:hAnsiTheme="minorHAnsi" w:cstheme="minorHAnsi"/>
          <w:b/>
        </w:rPr>
        <w:t>29</w:t>
      </w:r>
      <w:r>
        <w:rPr>
          <w:rFonts w:asciiTheme="minorHAnsi" w:hAnsiTheme="minorHAnsi" w:cstheme="minorHAnsi"/>
        </w:rPr>
        <w:t xml:space="preserve"> </w:t>
      </w:r>
      <w:r w:rsidR="007F0BC5">
        <w:rPr>
          <w:rFonts w:asciiTheme="minorHAnsi" w:hAnsiTheme="minorHAnsi" w:cstheme="minorHAnsi"/>
        </w:rPr>
        <w:t>Ministerstvo obrany v</w:t>
      </w:r>
      <w:r w:rsidR="00A844A0">
        <w:rPr>
          <w:rFonts w:asciiTheme="minorHAnsi" w:hAnsiTheme="minorHAnsi" w:cstheme="minorHAnsi"/>
        </w:rPr>
        <w:t xml:space="preserve"> kontrolovaném období zadávalo VOP CZ </w:t>
      </w:r>
      <w:r w:rsidR="0089148E">
        <w:rPr>
          <w:rFonts w:asciiTheme="minorHAnsi" w:hAnsiTheme="minorHAnsi" w:cstheme="minorHAnsi"/>
        </w:rPr>
        <w:t xml:space="preserve">veřejné </w:t>
      </w:r>
      <w:r w:rsidR="00A844A0">
        <w:rPr>
          <w:rFonts w:asciiTheme="minorHAnsi" w:hAnsiTheme="minorHAnsi" w:cstheme="minorHAnsi"/>
        </w:rPr>
        <w:t xml:space="preserve">zakázky </w:t>
      </w:r>
      <w:r w:rsidR="00B91191">
        <w:rPr>
          <w:rFonts w:asciiTheme="minorHAnsi" w:hAnsiTheme="minorHAnsi" w:cstheme="minorHAnsi"/>
        </w:rPr>
        <w:t>v</w:t>
      </w:r>
      <w:r w:rsidR="007F0BC5">
        <w:rPr>
          <w:rFonts w:asciiTheme="minorHAnsi" w:hAnsiTheme="minorHAnsi" w:cstheme="minorHAnsi"/>
        </w:rPr>
        <w:t xml:space="preserve"> </w:t>
      </w:r>
      <w:r w:rsidR="00B91191">
        <w:rPr>
          <w:rFonts w:asciiTheme="minorHAnsi" w:hAnsiTheme="minorHAnsi" w:cstheme="minorHAnsi"/>
        </w:rPr>
        <w:t xml:space="preserve">oblasti automobilní techniky </w:t>
      </w:r>
      <w:r w:rsidR="00740BEA">
        <w:rPr>
          <w:rFonts w:asciiTheme="minorHAnsi" w:hAnsiTheme="minorHAnsi" w:cstheme="minorHAnsi"/>
        </w:rPr>
        <w:t>v</w:t>
      </w:r>
      <w:r>
        <w:rPr>
          <w:rFonts w:asciiTheme="minorHAnsi" w:hAnsiTheme="minorHAnsi" w:cstheme="minorHAnsi"/>
        </w:rPr>
        <w:t xml:space="preserve"> jednací</w:t>
      </w:r>
      <w:r w:rsidR="00740BEA">
        <w:rPr>
          <w:rFonts w:asciiTheme="minorHAnsi" w:hAnsiTheme="minorHAnsi" w:cstheme="minorHAnsi"/>
        </w:rPr>
        <w:t>m</w:t>
      </w:r>
      <w:r>
        <w:rPr>
          <w:rFonts w:asciiTheme="minorHAnsi" w:hAnsiTheme="minorHAnsi" w:cstheme="minorHAnsi"/>
        </w:rPr>
        <w:t xml:space="preserve"> řízení bez uveřejnění</w:t>
      </w:r>
      <w:r w:rsidR="00740BEA">
        <w:rPr>
          <w:rFonts w:asciiTheme="minorHAnsi" w:hAnsiTheme="minorHAnsi" w:cstheme="minorHAnsi"/>
        </w:rPr>
        <w:t xml:space="preserve">, </w:t>
      </w:r>
      <w:r w:rsidR="007F0BC5">
        <w:rPr>
          <w:rFonts w:asciiTheme="minorHAnsi" w:hAnsiTheme="minorHAnsi" w:cstheme="minorHAnsi"/>
        </w:rPr>
        <w:t xml:space="preserve">a to </w:t>
      </w:r>
      <w:r>
        <w:rPr>
          <w:rFonts w:asciiTheme="minorHAnsi" w:hAnsiTheme="minorHAnsi" w:cstheme="minorHAnsi"/>
        </w:rPr>
        <w:t>s</w:t>
      </w:r>
      <w:r w:rsidR="007F0BC5">
        <w:rPr>
          <w:rFonts w:asciiTheme="minorHAnsi" w:hAnsiTheme="minorHAnsi" w:cstheme="minorHAnsi"/>
        </w:rPr>
        <w:t xml:space="preserve"> </w:t>
      </w:r>
      <w:r>
        <w:rPr>
          <w:rFonts w:asciiTheme="minorHAnsi" w:hAnsiTheme="minorHAnsi" w:cstheme="minorHAnsi"/>
        </w:rPr>
        <w:t xml:space="preserve">využitím výjimky podle </w:t>
      </w:r>
      <w:r w:rsidRPr="0089148E">
        <w:rPr>
          <w:rFonts w:asciiTheme="minorHAnsi" w:hAnsiTheme="minorHAnsi" w:cstheme="minorHAnsi"/>
        </w:rPr>
        <w:t xml:space="preserve">ustanovení § 29 písm. s) zákona č. 134/2016 Sb. </w:t>
      </w:r>
      <w:r w:rsidR="00740BEA">
        <w:rPr>
          <w:rFonts w:asciiTheme="minorHAnsi" w:hAnsiTheme="minorHAnsi" w:cstheme="minorHAnsi"/>
        </w:rPr>
        <w:t>a v</w:t>
      </w:r>
      <w:r w:rsidR="007E4167">
        <w:rPr>
          <w:rFonts w:asciiTheme="minorHAnsi" w:hAnsiTheme="minorHAnsi" w:cstheme="minorHAnsi"/>
        </w:rPr>
        <w:t xml:space="preserve"> </w:t>
      </w:r>
      <w:r w:rsidR="00740BEA">
        <w:rPr>
          <w:rFonts w:asciiTheme="minorHAnsi" w:hAnsiTheme="minorHAnsi" w:cstheme="minorHAnsi"/>
        </w:rPr>
        <w:t xml:space="preserve">jednom případě formou užšího řízení. </w:t>
      </w:r>
      <w:r w:rsidR="0089148E" w:rsidRPr="0089148E">
        <w:rPr>
          <w:rFonts w:asciiTheme="minorHAnsi" w:hAnsiTheme="minorHAnsi" w:cstheme="minorHAnsi"/>
        </w:rPr>
        <w:t>Dále zadávalo</w:t>
      </w:r>
      <w:r w:rsidR="0089148E">
        <w:rPr>
          <w:rFonts w:asciiTheme="minorHAnsi" w:hAnsiTheme="minorHAnsi" w:cstheme="minorHAnsi"/>
        </w:rPr>
        <w:t xml:space="preserve"> </w:t>
      </w:r>
      <w:r w:rsidR="005D05B6">
        <w:rPr>
          <w:rFonts w:asciiTheme="minorHAnsi" w:hAnsiTheme="minorHAnsi" w:cstheme="minorHAnsi"/>
        </w:rPr>
        <w:t xml:space="preserve">podniku </w:t>
      </w:r>
      <w:r w:rsidR="0089148E" w:rsidRPr="0089148E">
        <w:rPr>
          <w:rFonts w:asciiTheme="minorHAnsi" w:hAnsiTheme="minorHAnsi" w:cstheme="minorHAnsi"/>
        </w:rPr>
        <w:t xml:space="preserve">veřejné zakázky malého rozsahu. </w:t>
      </w:r>
      <w:r w:rsidR="005D05B6">
        <w:rPr>
          <w:rFonts w:asciiTheme="minorHAnsi" w:hAnsiTheme="minorHAnsi" w:cstheme="minorHAnsi"/>
        </w:rPr>
        <w:t>NKÚ zjistil, že v</w:t>
      </w:r>
      <w:r w:rsidR="007E4167">
        <w:rPr>
          <w:rFonts w:asciiTheme="minorHAnsi" w:hAnsiTheme="minorHAnsi" w:cstheme="minorHAnsi"/>
        </w:rPr>
        <w:t xml:space="preserve"> </w:t>
      </w:r>
      <w:r w:rsidR="005D05B6">
        <w:rPr>
          <w:rFonts w:asciiTheme="minorHAnsi" w:hAnsiTheme="minorHAnsi" w:cstheme="minorHAnsi"/>
        </w:rPr>
        <w:t>řadě případů nebyl VOP CZ</w:t>
      </w:r>
      <w:r w:rsidR="00740BEA">
        <w:rPr>
          <w:rFonts w:asciiTheme="minorHAnsi" w:hAnsiTheme="minorHAnsi" w:cstheme="minorHAnsi"/>
        </w:rPr>
        <w:t xml:space="preserve"> jako uchazeč o</w:t>
      </w:r>
      <w:r w:rsidR="00846C69">
        <w:rPr>
          <w:rFonts w:asciiTheme="minorHAnsi" w:hAnsiTheme="minorHAnsi" w:cstheme="minorHAnsi"/>
        </w:rPr>
        <w:t xml:space="preserve"> </w:t>
      </w:r>
      <w:r w:rsidR="00740BEA">
        <w:rPr>
          <w:rFonts w:asciiTheme="minorHAnsi" w:hAnsiTheme="minorHAnsi" w:cstheme="minorHAnsi"/>
        </w:rPr>
        <w:t xml:space="preserve">veřejnou zakázku zadávanou </w:t>
      </w:r>
      <w:r w:rsidR="00846C69">
        <w:rPr>
          <w:rFonts w:asciiTheme="minorHAnsi" w:hAnsiTheme="minorHAnsi" w:cstheme="minorHAnsi"/>
        </w:rPr>
        <w:t xml:space="preserve">Ministerstvem obrany </w:t>
      </w:r>
      <w:r w:rsidR="00740BEA">
        <w:rPr>
          <w:rFonts w:asciiTheme="minorHAnsi" w:hAnsiTheme="minorHAnsi" w:cstheme="minorHAnsi"/>
        </w:rPr>
        <w:t>ú</w:t>
      </w:r>
      <w:r w:rsidR="005D05B6">
        <w:rPr>
          <w:rFonts w:asciiTheme="minorHAnsi" w:hAnsiTheme="minorHAnsi" w:cstheme="minorHAnsi"/>
        </w:rPr>
        <w:t xml:space="preserve">spěšný. </w:t>
      </w:r>
      <w:r w:rsidR="00FB3029">
        <w:rPr>
          <w:rFonts w:asciiTheme="minorHAnsi" w:hAnsiTheme="minorHAnsi" w:cstheme="minorHAnsi"/>
        </w:rPr>
        <w:t>Č</w:t>
      </w:r>
      <w:r w:rsidR="00740BEA">
        <w:rPr>
          <w:rFonts w:asciiTheme="minorHAnsi" w:hAnsiTheme="minorHAnsi" w:cstheme="minorHAnsi"/>
        </w:rPr>
        <w:t>tyři z</w:t>
      </w:r>
      <w:r w:rsidR="00846C69">
        <w:rPr>
          <w:rFonts w:asciiTheme="minorHAnsi" w:hAnsiTheme="minorHAnsi" w:cstheme="minorHAnsi"/>
        </w:rPr>
        <w:t xml:space="preserve"> </w:t>
      </w:r>
      <w:r w:rsidR="00740BEA">
        <w:rPr>
          <w:rFonts w:asciiTheme="minorHAnsi" w:hAnsiTheme="minorHAnsi" w:cstheme="minorHAnsi"/>
        </w:rPr>
        <w:t>celkem 21</w:t>
      </w:r>
      <w:r w:rsidR="00846C69">
        <w:rPr>
          <w:rFonts w:asciiTheme="minorHAnsi" w:hAnsiTheme="minorHAnsi" w:cstheme="minorHAnsi"/>
        </w:rPr>
        <w:t> </w:t>
      </w:r>
      <w:r w:rsidR="00740BEA">
        <w:rPr>
          <w:rFonts w:asciiTheme="minorHAnsi" w:hAnsiTheme="minorHAnsi" w:cstheme="minorHAnsi"/>
        </w:rPr>
        <w:t xml:space="preserve">zadávacích řízení </w:t>
      </w:r>
      <w:r w:rsidR="00FB3029">
        <w:rPr>
          <w:rFonts w:asciiTheme="minorHAnsi" w:hAnsiTheme="minorHAnsi" w:cstheme="minorHAnsi"/>
        </w:rPr>
        <w:t xml:space="preserve">MO </w:t>
      </w:r>
      <w:r w:rsidR="00740BEA">
        <w:rPr>
          <w:rFonts w:asciiTheme="minorHAnsi" w:hAnsiTheme="minorHAnsi" w:cstheme="minorHAnsi"/>
        </w:rPr>
        <w:t>zrušilo</w:t>
      </w:r>
      <w:r w:rsidR="005D05B6" w:rsidRPr="005D05B6">
        <w:rPr>
          <w:rFonts w:asciiTheme="minorHAnsi" w:hAnsiTheme="minorHAnsi" w:cstheme="minorHAnsi"/>
        </w:rPr>
        <w:t xml:space="preserve">. Ve zbylých 17 </w:t>
      </w:r>
      <w:r w:rsidR="005D05B6">
        <w:rPr>
          <w:rFonts w:asciiTheme="minorHAnsi" w:hAnsiTheme="minorHAnsi" w:cstheme="minorHAnsi"/>
        </w:rPr>
        <w:t xml:space="preserve">zadávacích řízeních </w:t>
      </w:r>
      <w:r w:rsidR="00846C69">
        <w:rPr>
          <w:rFonts w:asciiTheme="minorHAnsi" w:hAnsiTheme="minorHAnsi" w:cstheme="minorHAnsi"/>
        </w:rPr>
        <w:t xml:space="preserve">předložil </w:t>
      </w:r>
      <w:r w:rsidR="005D05B6" w:rsidRPr="005D05B6">
        <w:rPr>
          <w:rFonts w:asciiTheme="minorHAnsi" w:hAnsiTheme="minorHAnsi" w:cstheme="minorHAnsi"/>
        </w:rPr>
        <w:t xml:space="preserve">VOP CZ </w:t>
      </w:r>
      <w:r w:rsidR="00740BEA">
        <w:rPr>
          <w:rFonts w:asciiTheme="minorHAnsi" w:hAnsiTheme="minorHAnsi" w:cstheme="minorHAnsi"/>
        </w:rPr>
        <w:t xml:space="preserve">nabídku, která nebyla pro MO </w:t>
      </w:r>
      <w:r w:rsidR="00B91191">
        <w:rPr>
          <w:rFonts w:asciiTheme="minorHAnsi" w:hAnsiTheme="minorHAnsi" w:cstheme="minorHAnsi"/>
        </w:rPr>
        <w:t>ekonomick</w:t>
      </w:r>
      <w:r w:rsidR="00740BEA">
        <w:rPr>
          <w:rFonts w:asciiTheme="minorHAnsi" w:hAnsiTheme="minorHAnsi" w:cstheme="minorHAnsi"/>
        </w:rPr>
        <w:t>y</w:t>
      </w:r>
      <w:r w:rsidR="00B91191">
        <w:rPr>
          <w:rFonts w:asciiTheme="minorHAnsi" w:hAnsiTheme="minorHAnsi" w:cstheme="minorHAnsi"/>
        </w:rPr>
        <w:t xml:space="preserve"> </w:t>
      </w:r>
      <w:r w:rsidR="00740BEA">
        <w:rPr>
          <w:rFonts w:asciiTheme="minorHAnsi" w:hAnsiTheme="minorHAnsi" w:cstheme="minorHAnsi"/>
        </w:rPr>
        <w:t xml:space="preserve">nejvýhodnější nebo s </w:t>
      </w:r>
      <w:r w:rsidR="00B91191">
        <w:rPr>
          <w:rFonts w:asciiTheme="minorHAnsi" w:hAnsiTheme="minorHAnsi" w:cstheme="minorHAnsi"/>
        </w:rPr>
        <w:t xml:space="preserve">nejnižší cenou. </w:t>
      </w:r>
      <w:r w:rsidR="00BE69E4">
        <w:rPr>
          <w:rFonts w:asciiTheme="minorHAnsi" w:hAnsiTheme="minorHAnsi" w:cstheme="minorHAnsi"/>
        </w:rPr>
        <w:t>Nabídková cena</w:t>
      </w:r>
      <w:r w:rsidR="003066C3">
        <w:rPr>
          <w:rFonts w:asciiTheme="minorHAnsi" w:hAnsiTheme="minorHAnsi" w:cstheme="minorHAnsi"/>
        </w:rPr>
        <w:t xml:space="preserve"> od</w:t>
      </w:r>
      <w:r w:rsidR="00BE69E4">
        <w:rPr>
          <w:rFonts w:asciiTheme="minorHAnsi" w:hAnsiTheme="minorHAnsi" w:cstheme="minorHAnsi"/>
        </w:rPr>
        <w:t xml:space="preserve"> VOP</w:t>
      </w:r>
      <w:r w:rsidR="00846C69">
        <w:rPr>
          <w:rFonts w:asciiTheme="minorHAnsi" w:hAnsiTheme="minorHAnsi" w:cstheme="minorHAnsi"/>
        </w:rPr>
        <w:t> </w:t>
      </w:r>
      <w:r w:rsidR="00BE69E4">
        <w:rPr>
          <w:rFonts w:asciiTheme="minorHAnsi" w:hAnsiTheme="minorHAnsi" w:cstheme="minorHAnsi"/>
        </w:rPr>
        <w:t xml:space="preserve">CZ tak nebyla konkurenceschopná. </w:t>
      </w:r>
      <w:r w:rsidR="00B91191">
        <w:rPr>
          <w:rFonts w:asciiTheme="minorHAnsi" w:hAnsiTheme="minorHAnsi" w:cstheme="minorHAnsi"/>
        </w:rPr>
        <w:t xml:space="preserve">MO také </w:t>
      </w:r>
      <w:r w:rsidR="002672F0" w:rsidRPr="0089148E">
        <w:rPr>
          <w:rFonts w:asciiTheme="minorHAnsi" w:hAnsiTheme="minorHAnsi" w:cstheme="minorHAnsi"/>
        </w:rPr>
        <w:t xml:space="preserve">často </w:t>
      </w:r>
      <w:r w:rsidR="00FB3029">
        <w:rPr>
          <w:rFonts w:asciiTheme="minorHAnsi" w:hAnsiTheme="minorHAnsi" w:cstheme="minorHAnsi"/>
        </w:rPr>
        <w:t>k</w:t>
      </w:r>
      <w:r w:rsidR="007E4167">
        <w:rPr>
          <w:rFonts w:asciiTheme="minorHAnsi" w:hAnsiTheme="minorHAnsi" w:cstheme="minorHAnsi"/>
        </w:rPr>
        <w:t xml:space="preserve"> </w:t>
      </w:r>
      <w:r w:rsidR="00FB3029">
        <w:rPr>
          <w:rFonts w:asciiTheme="minorHAnsi" w:hAnsiTheme="minorHAnsi" w:cstheme="minorHAnsi"/>
        </w:rPr>
        <w:t xml:space="preserve">opravám automobilní techniky </w:t>
      </w:r>
      <w:r w:rsidR="00B91191" w:rsidRPr="0089148E">
        <w:rPr>
          <w:rFonts w:asciiTheme="minorHAnsi" w:hAnsiTheme="minorHAnsi" w:cstheme="minorHAnsi"/>
        </w:rPr>
        <w:t>využíval</w:t>
      </w:r>
      <w:r w:rsidR="00B91191">
        <w:rPr>
          <w:rFonts w:asciiTheme="minorHAnsi" w:hAnsiTheme="minorHAnsi" w:cstheme="minorHAnsi"/>
        </w:rPr>
        <w:t>o</w:t>
      </w:r>
      <w:r w:rsidR="00B91191" w:rsidRPr="0089148E">
        <w:rPr>
          <w:rFonts w:asciiTheme="minorHAnsi" w:hAnsiTheme="minorHAnsi" w:cstheme="minorHAnsi"/>
        </w:rPr>
        <w:t xml:space="preserve"> </w:t>
      </w:r>
      <w:r w:rsidR="0089148E">
        <w:rPr>
          <w:rFonts w:asciiTheme="minorHAnsi" w:hAnsiTheme="minorHAnsi" w:cstheme="minorHAnsi"/>
        </w:rPr>
        <w:t>dodavatel</w:t>
      </w:r>
      <w:r w:rsidR="00B91191">
        <w:rPr>
          <w:rFonts w:asciiTheme="minorHAnsi" w:hAnsiTheme="minorHAnsi" w:cstheme="minorHAnsi"/>
        </w:rPr>
        <w:t xml:space="preserve">e </w:t>
      </w:r>
      <w:r w:rsidR="002672F0" w:rsidRPr="0089148E">
        <w:rPr>
          <w:rFonts w:asciiTheme="minorHAnsi" w:hAnsiTheme="minorHAnsi" w:cstheme="minorHAnsi"/>
        </w:rPr>
        <w:t>poskytující služb</w:t>
      </w:r>
      <w:r w:rsidR="004E2CF3">
        <w:rPr>
          <w:rFonts w:asciiTheme="minorHAnsi" w:hAnsiTheme="minorHAnsi" w:cstheme="minorHAnsi"/>
        </w:rPr>
        <w:t>y</w:t>
      </w:r>
      <w:r w:rsidR="002672F0" w:rsidRPr="0089148E">
        <w:rPr>
          <w:rFonts w:asciiTheme="minorHAnsi" w:hAnsiTheme="minorHAnsi" w:cstheme="minorHAnsi"/>
        </w:rPr>
        <w:t xml:space="preserve"> </w:t>
      </w:r>
      <w:r w:rsidR="0089148E" w:rsidRPr="0089148E">
        <w:rPr>
          <w:rFonts w:asciiTheme="minorHAnsi" w:hAnsiTheme="minorHAnsi" w:cstheme="minorHAnsi"/>
        </w:rPr>
        <w:t>v</w:t>
      </w:r>
      <w:r w:rsidR="00846C69">
        <w:rPr>
          <w:rFonts w:asciiTheme="minorHAnsi" w:hAnsiTheme="minorHAnsi" w:cstheme="minorHAnsi"/>
        </w:rPr>
        <w:t xml:space="preserve"> </w:t>
      </w:r>
      <w:r w:rsidR="002672F0" w:rsidRPr="0089148E">
        <w:rPr>
          <w:rFonts w:asciiTheme="minorHAnsi" w:hAnsiTheme="minorHAnsi" w:cstheme="minorHAnsi"/>
        </w:rPr>
        <w:t>regionu</w:t>
      </w:r>
      <w:r w:rsidR="0089148E" w:rsidRPr="0089148E">
        <w:rPr>
          <w:rFonts w:asciiTheme="minorHAnsi" w:hAnsiTheme="minorHAnsi" w:cstheme="minorHAnsi"/>
        </w:rPr>
        <w:t>, kde se technika nacházela.</w:t>
      </w:r>
      <w:r w:rsidR="00B17F8C">
        <w:rPr>
          <w:rFonts w:asciiTheme="minorHAnsi" w:hAnsiTheme="minorHAnsi" w:cstheme="minorHAnsi"/>
        </w:rPr>
        <w:t xml:space="preserve"> </w:t>
      </w:r>
      <w:r w:rsidR="00BE69E4">
        <w:rPr>
          <w:rFonts w:asciiTheme="minorHAnsi" w:hAnsiTheme="minorHAnsi" w:cstheme="minorHAnsi"/>
        </w:rPr>
        <w:t>Možnost</w:t>
      </w:r>
      <w:r w:rsidR="00E10F0E">
        <w:rPr>
          <w:rFonts w:asciiTheme="minorHAnsi" w:hAnsiTheme="minorHAnsi" w:cstheme="minorHAnsi"/>
        </w:rPr>
        <w:t xml:space="preserve"> </w:t>
      </w:r>
      <w:r w:rsidR="00B17F8C" w:rsidRPr="00B17F8C">
        <w:rPr>
          <w:rFonts w:asciiTheme="minorHAnsi" w:hAnsiTheme="minorHAnsi" w:cstheme="minorHAnsi"/>
        </w:rPr>
        <w:t>využ</w:t>
      </w:r>
      <w:r w:rsidR="00E10F0E">
        <w:rPr>
          <w:rFonts w:asciiTheme="minorHAnsi" w:hAnsiTheme="minorHAnsi" w:cstheme="minorHAnsi"/>
        </w:rPr>
        <w:t xml:space="preserve">ití </w:t>
      </w:r>
      <w:r w:rsidR="00B17F8C" w:rsidRPr="00B17F8C">
        <w:rPr>
          <w:rFonts w:asciiTheme="minorHAnsi" w:hAnsiTheme="minorHAnsi" w:cstheme="minorHAnsi"/>
        </w:rPr>
        <w:t xml:space="preserve">VOP CZ </w:t>
      </w:r>
      <w:r w:rsidR="00E10F0E">
        <w:rPr>
          <w:rFonts w:asciiTheme="minorHAnsi" w:hAnsiTheme="minorHAnsi" w:cstheme="minorHAnsi"/>
        </w:rPr>
        <w:t xml:space="preserve">ve prospěch </w:t>
      </w:r>
      <w:r w:rsidR="00FB3029">
        <w:rPr>
          <w:rFonts w:asciiTheme="minorHAnsi" w:hAnsiTheme="minorHAnsi" w:cstheme="minorHAnsi"/>
        </w:rPr>
        <w:t xml:space="preserve">MO </w:t>
      </w:r>
      <w:r w:rsidR="00BE69E4">
        <w:rPr>
          <w:rFonts w:asciiTheme="minorHAnsi" w:hAnsiTheme="minorHAnsi" w:cstheme="minorHAnsi"/>
        </w:rPr>
        <w:t>omez</w:t>
      </w:r>
      <w:r w:rsidR="004E2CF3">
        <w:rPr>
          <w:rFonts w:asciiTheme="minorHAnsi" w:hAnsiTheme="minorHAnsi" w:cstheme="minorHAnsi"/>
        </w:rPr>
        <w:t>uje</w:t>
      </w:r>
      <w:r w:rsidR="00BE69E4">
        <w:rPr>
          <w:rFonts w:asciiTheme="minorHAnsi" w:hAnsiTheme="minorHAnsi" w:cstheme="minorHAnsi"/>
        </w:rPr>
        <w:t xml:space="preserve"> </w:t>
      </w:r>
      <w:r w:rsidR="00E10F0E">
        <w:rPr>
          <w:rFonts w:asciiTheme="minorHAnsi" w:hAnsiTheme="minorHAnsi" w:cstheme="minorHAnsi"/>
        </w:rPr>
        <w:t>nízký</w:t>
      </w:r>
      <w:r w:rsidR="00B17F8C" w:rsidRPr="00B17F8C">
        <w:rPr>
          <w:rFonts w:asciiTheme="minorHAnsi" w:hAnsiTheme="minorHAnsi" w:cstheme="minorHAnsi"/>
        </w:rPr>
        <w:t xml:space="preserve"> podíl činnosti</w:t>
      </w:r>
      <w:r w:rsidR="00BE69E4">
        <w:rPr>
          <w:rFonts w:asciiTheme="minorHAnsi" w:hAnsiTheme="minorHAnsi" w:cstheme="minorHAnsi"/>
        </w:rPr>
        <w:t xml:space="preserve"> podniku</w:t>
      </w:r>
      <w:r w:rsidR="00B17F8C" w:rsidRPr="00B17F8C">
        <w:rPr>
          <w:rFonts w:asciiTheme="minorHAnsi" w:hAnsiTheme="minorHAnsi" w:cstheme="minorHAnsi"/>
        </w:rPr>
        <w:t xml:space="preserve"> pro </w:t>
      </w:r>
      <w:r w:rsidR="00B17F8C" w:rsidRPr="0088636A">
        <w:rPr>
          <w:rFonts w:asciiTheme="minorHAnsi" w:hAnsiTheme="minorHAnsi" w:cstheme="minorHAnsi"/>
        </w:rPr>
        <w:t>MO</w:t>
      </w:r>
      <w:r w:rsidR="0073037F" w:rsidRPr="0088636A">
        <w:rPr>
          <w:rFonts w:asciiTheme="minorHAnsi" w:hAnsiTheme="minorHAnsi" w:cstheme="minorHAnsi"/>
        </w:rPr>
        <w:t xml:space="preserve"> (viz</w:t>
      </w:r>
      <w:r w:rsidR="003066C3">
        <w:rPr>
          <w:rFonts w:asciiTheme="minorHAnsi" w:hAnsiTheme="minorHAnsi" w:cstheme="minorHAnsi"/>
        </w:rPr>
        <w:t xml:space="preserve"> </w:t>
      </w:r>
      <w:r w:rsidR="0073037F" w:rsidRPr="0088636A">
        <w:rPr>
          <w:rFonts w:asciiTheme="minorHAnsi" w:hAnsiTheme="minorHAnsi" w:cstheme="minorHAnsi"/>
        </w:rPr>
        <w:t>odst. 4.</w:t>
      </w:r>
      <w:r w:rsidR="00130E4C" w:rsidRPr="0088636A">
        <w:rPr>
          <w:rFonts w:asciiTheme="minorHAnsi" w:hAnsiTheme="minorHAnsi" w:cstheme="minorHAnsi"/>
        </w:rPr>
        <w:t>2</w:t>
      </w:r>
      <w:r w:rsidR="00C8160D">
        <w:rPr>
          <w:rFonts w:asciiTheme="minorHAnsi" w:hAnsiTheme="minorHAnsi" w:cstheme="minorHAnsi"/>
        </w:rPr>
        <w:t>8</w:t>
      </w:r>
      <w:r w:rsidR="0073037F" w:rsidRPr="0088636A">
        <w:rPr>
          <w:rFonts w:asciiTheme="minorHAnsi" w:hAnsiTheme="minorHAnsi" w:cstheme="minorHAnsi"/>
        </w:rPr>
        <w:t>)</w:t>
      </w:r>
      <w:r w:rsidR="00B17F8C" w:rsidRPr="0088636A">
        <w:rPr>
          <w:rFonts w:asciiTheme="minorHAnsi" w:hAnsiTheme="minorHAnsi" w:cstheme="minorHAnsi"/>
        </w:rPr>
        <w:t xml:space="preserve">, </w:t>
      </w:r>
      <w:r w:rsidR="00F55C65">
        <w:rPr>
          <w:rFonts w:asciiTheme="minorHAnsi" w:hAnsiTheme="minorHAnsi" w:cstheme="minorHAnsi"/>
        </w:rPr>
        <w:br/>
      </w:r>
      <w:r w:rsidR="00B17F8C" w:rsidRPr="0088636A">
        <w:rPr>
          <w:rFonts w:asciiTheme="minorHAnsi" w:hAnsiTheme="minorHAnsi" w:cstheme="minorHAnsi"/>
        </w:rPr>
        <w:t>v</w:t>
      </w:r>
      <w:r w:rsidR="00F55C65">
        <w:rPr>
          <w:rFonts w:asciiTheme="minorHAnsi" w:hAnsiTheme="minorHAnsi" w:cstheme="minorHAnsi"/>
        </w:rPr>
        <w:t xml:space="preserve"> </w:t>
      </w:r>
      <w:r w:rsidR="00B17F8C" w:rsidRPr="00B17F8C">
        <w:rPr>
          <w:rFonts w:asciiTheme="minorHAnsi" w:hAnsiTheme="minorHAnsi" w:cstheme="minorHAnsi"/>
        </w:rPr>
        <w:t>důsledku</w:t>
      </w:r>
      <w:r w:rsidR="003066C3">
        <w:rPr>
          <w:rFonts w:asciiTheme="minorHAnsi" w:hAnsiTheme="minorHAnsi" w:cstheme="minorHAnsi"/>
        </w:rPr>
        <w:t xml:space="preserve"> toho</w:t>
      </w:r>
      <w:r w:rsidR="00B17F8C" w:rsidRPr="00B17F8C">
        <w:rPr>
          <w:rFonts w:asciiTheme="minorHAnsi" w:hAnsiTheme="minorHAnsi" w:cstheme="minorHAnsi"/>
        </w:rPr>
        <w:t xml:space="preserve"> nemůže MO </w:t>
      </w:r>
      <w:r w:rsidR="0073037F">
        <w:rPr>
          <w:rFonts w:asciiTheme="minorHAnsi" w:hAnsiTheme="minorHAnsi" w:cstheme="minorHAnsi"/>
        </w:rPr>
        <w:t xml:space="preserve">pro zadání veřejné zakázky </w:t>
      </w:r>
      <w:r w:rsidR="00E10F0E">
        <w:rPr>
          <w:rFonts w:asciiTheme="minorHAnsi" w:hAnsiTheme="minorHAnsi" w:cstheme="minorHAnsi"/>
        </w:rPr>
        <w:t>podniku</w:t>
      </w:r>
      <w:r w:rsidR="0073037F">
        <w:rPr>
          <w:rFonts w:asciiTheme="minorHAnsi" w:hAnsiTheme="minorHAnsi" w:cstheme="minorHAnsi"/>
        </w:rPr>
        <w:t xml:space="preserve"> </w:t>
      </w:r>
      <w:r w:rsidR="004E2CF3">
        <w:rPr>
          <w:rFonts w:asciiTheme="minorHAnsi" w:hAnsiTheme="minorHAnsi" w:cstheme="minorHAnsi"/>
        </w:rPr>
        <w:t xml:space="preserve">postupovat podle </w:t>
      </w:r>
      <w:r w:rsidR="00B17F8C" w:rsidRPr="00B17F8C">
        <w:rPr>
          <w:rFonts w:asciiTheme="minorHAnsi" w:hAnsiTheme="minorHAnsi" w:cstheme="minorHAnsi"/>
        </w:rPr>
        <w:t>ustanovení o</w:t>
      </w:r>
      <w:r w:rsidR="003066C3">
        <w:rPr>
          <w:rFonts w:asciiTheme="minorHAnsi" w:hAnsiTheme="minorHAnsi" w:cstheme="minorHAnsi"/>
        </w:rPr>
        <w:t xml:space="preserve"> </w:t>
      </w:r>
      <w:r w:rsidR="00B17F8C" w:rsidRPr="00B17F8C">
        <w:rPr>
          <w:rFonts w:asciiTheme="minorHAnsi" w:hAnsiTheme="minorHAnsi" w:cstheme="minorHAnsi"/>
        </w:rPr>
        <w:t xml:space="preserve">vertikální spolupráci </w:t>
      </w:r>
      <w:r w:rsidR="004E2CF3">
        <w:rPr>
          <w:rFonts w:asciiTheme="minorHAnsi" w:hAnsiTheme="minorHAnsi" w:cstheme="minorHAnsi"/>
        </w:rPr>
        <w:t>ve smyslu</w:t>
      </w:r>
      <w:r w:rsidR="00185071">
        <w:rPr>
          <w:rFonts w:asciiTheme="minorHAnsi" w:hAnsiTheme="minorHAnsi" w:cstheme="minorHAnsi"/>
        </w:rPr>
        <w:t xml:space="preserve"> </w:t>
      </w:r>
      <w:r w:rsidR="00B17F8C" w:rsidRPr="00B17F8C">
        <w:rPr>
          <w:rFonts w:asciiTheme="minorHAnsi" w:hAnsiTheme="minorHAnsi" w:cstheme="minorHAnsi"/>
        </w:rPr>
        <w:t>§ 189 zákona č.</w:t>
      </w:r>
      <w:r w:rsidR="0058517D">
        <w:rPr>
          <w:rFonts w:asciiTheme="minorHAnsi" w:hAnsiTheme="minorHAnsi" w:cstheme="minorHAnsi"/>
        </w:rPr>
        <w:t> </w:t>
      </w:r>
      <w:r w:rsidR="00B17F8C" w:rsidRPr="00B17F8C">
        <w:rPr>
          <w:rFonts w:asciiTheme="minorHAnsi" w:hAnsiTheme="minorHAnsi" w:cstheme="minorHAnsi"/>
        </w:rPr>
        <w:t>134/2016 Sb.</w:t>
      </w:r>
      <w:r w:rsidR="00FB3029">
        <w:rPr>
          <w:rStyle w:val="Znakapoznpodarou"/>
          <w:rFonts w:asciiTheme="minorHAnsi" w:hAnsiTheme="minorHAnsi" w:cstheme="minorHAnsi"/>
        </w:rPr>
        <w:footnoteReference w:id="47"/>
      </w:r>
    </w:p>
    <w:bookmarkEnd w:id="29"/>
    <w:p w14:paraId="45C1C292" w14:textId="77777777" w:rsidR="005876B6" w:rsidRPr="005876B6" w:rsidRDefault="004A6327" w:rsidP="0028694E">
      <w:pPr>
        <w:pStyle w:val="Nadpis2"/>
        <w:numPr>
          <w:ilvl w:val="0"/>
          <w:numId w:val="29"/>
        </w:numPr>
        <w:pBdr>
          <w:bottom w:val="single" w:sz="12" w:space="1" w:color="BD2A33"/>
        </w:pBdr>
        <w:spacing w:after="120"/>
        <w:ind w:left="284" w:hanging="284"/>
        <w:rPr>
          <w:rFonts w:asciiTheme="minorHAnsi" w:hAnsiTheme="minorHAnsi" w:cstheme="minorHAnsi"/>
          <w:i w:val="0"/>
          <w:sz w:val="24"/>
          <w:szCs w:val="24"/>
        </w:rPr>
      </w:pPr>
      <w:r>
        <w:rPr>
          <w:rFonts w:asciiTheme="minorHAnsi" w:hAnsiTheme="minorHAnsi" w:cstheme="minorHAnsi"/>
          <w:i w:val="0"/>
          <w:sz w:val="24"/>
          <w:szCs w:val="24"/>
        </w:rPr>
        <w:t>Ztrátové hospodaření VOP CZ</w:t>
      </w:r>
      <w:r w:rsidR="00CE1C55">
        <w:rPr>
          <w:rFonts w:asciiTheme="minorHAnsi" w:hAnsiTheme="minorHAnsi" w:cstheme="minorHAnsi"/>
          <w:i w:val="0"/>
          <w:sz w:val="24"/>
          <w:szCs w:val="24"/>
        </w:rPr>
        <w:t xml:space="preserve"> a ztrátová zakázka</w:t>
      </w:r>
      <w:r w:rsidR="00BD77C6">
        <w:rPr>
          <w:rFonts w:asciiTheme="minorHAnsi" w:hAnsiTheme="minorHAnsi" w:cstheme="minorHAnsi"/>
          <w:i w:val="0"/>
          <w:sz w:val="24"/>
          <w:szCs w:val="24"/>
        </w:rPr>
        <w:t xml:space="preserve"> realizovaná pro MO</w:t>
      </w:r>
    </w:p>
    <w:p w14:paraId="35523EEB" w14:textId="559764AC" w:rsidR="00672426" w:rsidRPr="00A46FB8" w:rsidRDefault="00EE4A5B" w:rsidP="00672426">
      <w:pPr>
        <w:jc w:val="both"/>
        <w:rPr>
          <w:rFonts w:asciiTheme="minorHAnsi" w:hAnsiTheme="minorHAnsi" w:cstheme="minorHAnsi"/>
          <w:noProof/>
        </w:rPr>
      </w:pPr>
      <w:r w:rsidRPr="00EE4A5B">
        <w:rPr>
          <w:rFonts w:asciiTheme="minorHAnsi" w:hAnsiTheme="minorHAnsi" w:cstheme="minorHAnsi"/>
          <w:b/>
          <w:noProof/>
        </w:rPr>
        <w:t>4.</w:t>
      </w:r>
      <w:r w:rsidR="002C0BBA">
        <w:rPr>
          <w:rFonts w:asciiTheme="minorHAnsi" w:hAnsiTheme="minorHAnsi" w:cstheme="minorHAnsi"/>
          <w:b/>
          <w:noProof/>
        </w:rPr>
        <w:t>3</w:t>
      </w:r>
      <w:r w:rsidR="007274B9">
        <w:rPr>
          <w:rFonts w:asciiTheme="minorHAnsi" w:hAnsiTheme="minorHAnsi" w:cstheme="minorHAnsi"/>
          <w:b/>
          <w:noProof/>
        </w:rPr>
        <w:t>0</w:t>
      </w:r>
      <w:r>
        <w:rPr>
          <w:rFonts w:asciiTheme="minorHAnsi" w:hAnsiTheme="minorHAnsi" w:cstheme="minorHAnsi"/>
          <w:noProof/>
        </w:rPr>
        <w:t xml:space="preserve"> </w:t>
      </w:r>
      <w:r w:rsidR="00C72068" w:rsidRPr="000154FD">
        <w:rPr>
          <w:rFonts w:asciiTheme="minorHAnsi" w:hAnsiTheme="minorHAnsi" w:cstheme="minorHAnsi"/>
          <w:noProof/>
        </w:rPr>
        <w:t xml:space="preserve">Hlavním </w:t>
      </w:r>
      <w:r w:rsidR="00672426" w:rsidRPr="000154FD">
        <w:rPr>
          <w:rFonts w:asciiTheme="minorHAnsi" w:hAnsiTheme="minorHAnsi" w:cstheme="minorHAnsi"/>
          <w:noProof/>
        </w:rPr>
        <w:t>účelem činnosti VOP CZ</w:t>
      </w:r>
      <w:r w:rsidR="00672426" w:rsidRPr="0001574D">
        <w:rPr>
          <w:rFonts w:asciiTheme="minorHAnsi" w:hAnsiTheme="minorHAnsi" w:cstheme="minorHAnsi"/>
          <w:noProof/>
        </w:rPr>
        <w:t xml:space="preserve"> </w:t>
      </w:r>
      <w:r w:rsidR="00C72068">
        <w:rPr>
          <w:rFonts w:asciiTheme="minorHAnsi" w:hAnsiTheme="minorHAnsi" w:cstheme="minorHAnsi"/>
          <w:noProof/>
        </w:rPr>
        <w:t>je</w:t>
      </w:r>
      <w:r w:rsidR="00672426">
        <w:rPr>
          <w:rFonts w:asciiTheme="minorHAnsi" w:hAnsiTheme="minorHAnsi" w:cstheme="minorHAnsi"/>
          <w:noProof/>
        </w:rPr>
        <w:t xml:space="preserve"> uspokojování </w:t>
      </w:r>
      <w:r w:rsidR="00672426" w:rsidRPr="0001574D">
        <w:rPr>
          <w:rFonts w:asciiTheme="minorHAnsi" w:hAnsiTheme="minorHAnsi" w:cstheme="minorHAnsi"/>
          <w:noProof/>
        </w:rPr>
        <w:t>strategick</w:t>
      </w:r>
      <w:r w:rsidR="00672426">
        <w:rPr>
          <w:rFonts w:asciiTheme="minorHAnsi" w:hAnsiTheme="minorHAnsi" w:cstheme="minorHAnsi"/>
          <w:noProof/>
        </w:rPr>
        <w:t xml:space="preserve">ých a dalších </w:t>
      </w:r>
      <w:r w:rsidR="0073037F">
        <w:rPr>
          <w:rFonts w:asciiTheme="minorHAnsi" w:hAnsiTheme="minorHAnsi" w:cstheme="minorHAnsi"/>
          <w:noProof/>
        </w:rPr>
        <w:t xml:space="preserve">podstatných </w:t>
      </w:r>
      <w:r w:rsidR="00672426">
        <w:rPr>
          <w:rFonts w:asciiTheme="minorHAnsi" w:hAnsiTheme="minorHAnsi" w:cstheme="minorHAnsi"/>
          <w:noProof/>
        </w:rPr>
        <w:t xml:space="preserve">zájmů </w:t>
      </w:r>
      <w:r w:rsidR="00672426" w:rsidRPr="0001574D">
        <w:rPr>
          <w:rFonts w:asciiTheme="minorHAnsi" w:hAnsiTheme="minorHAnsi" w:cstheme="minorHAnsi"/>
          <w:noProof/>
        </w:rPr>
        <w:t>stát</w:t>
      </w:r>
      <w:r w:rsidR="00672426">
        <w:rPr>
          <w:rFonts w:asciiTheme="minorHAnsi" w:hAnsiTheme="minorHAnsi" w:cstheme="minorHAnsi"/>
          <w:noProof/>
        </w:rPr>
        <w:t>u</w:t>
      </w:r>
      <w:r w:rsidR="00DA6F91">
        <w:rPr>
          <w:rFonts w:asciiTheme="minorHAnsi" w:hAnsiTheme="minorHAnsi" w:cstheme="minorHAnsi"/>
          <w:noProof/>
        </w:rPr>
        <w:t>. C</w:t>
      </w:r>
      <w:r w:rsidR="00672426" w:rsidRPr="0001574D">
        <w:rPr>
          <w:rFonts w:asciiTheme="minorHAnsi" w:hAnsiTheme="minorHAnsi" w:cstheme="minorHAnsi"/>
          <w:noProof/>
        </w:rPr>
        <w:t xml:space="preserve">ílem </w:t>
      </w:r>
      <w:r w:rsidR="00672426">
        <w:rPr>
          <w:rFonts w:asciiTheme="minorHAnsi" w:hAnsiTheme="minorHAnsi" w:cstheme="minorHAnsi"/>
          <w:noProof/>
        </w:rPr>
        <w:t xml:space="preserve">je </w:t>
      </w:r>
      <w:r w:rsidR="00C72068">
        <w:rPr>
          <w:rFonts w:asciiTheme="minorHAnsi" w:hAnsiTheme="minorHAnsi" w:cstheme="minorHAnsi"/>
          <w:noProof/>
        </w:rPr>
        <w:t xml:space="preserve">však </w:t>
      </w:r>
      <w:r w:rsidR="00672426">
        <w:rPr>
          <w:rFonts w:asciiTheme="minorHAnsi" w:hAnsiTheme="minorHAnsi" w:cstheme="minorHAnsi"/>
          <w:noProof/>
        </w:rPr>
        <w:t>také tvorba zisku</w:t>
      </w:r>
      <w:r w:rsidR="00DA6F91">
        <w:rPr>
          <w:rFonts w:asciiTheme="minorHAnsi" w:hAnsiTheme="minorHAnsi" w:cstheme="minorHAnsi"/>
          <w:noProof/>
        </w:rPr>
        <w:t xml:space="preserve">, </w:t>
      </w:r>
      <w:r w:rsidR="00E81D5D">
        <w:rPr>
          <w:rFonts w:asciiTheme="minorHAnsi" w:hAnsiTheme="minorHAnsi" w:cstheme="minorHAnsi"/>
          <w:noProof/>
        </w:rPr>
        <w:t xml:space="preserve">jak uvádí </w:t>
      </w:r>
      <w:r w:rsidR="00C701B1">
        <w:rPr>
          <w:rFonts w:asciiTheme="minorHAnsi" w:hAnsiTheme="minorHAnsi" w:cstheme="minorHAnsi"/>
          <w:noProof/>
        </w:rPr>
        <w:t>např</w:t>
      </w:r>
      <w:r w:rsidR="00F45C1D">
        <w:rPr>
          <w:rFonts w:asciiTheme="minorHAnsi" w:hAnsiTheme="minorHAnsi" w:cstheme="minorHAnsi"/>
          <w:noProof/>
        </w:rPr>
        <w:t>íklad</w:t>
      </w:r>
      <w:r w:rsidR="00C701B1">
        <w:rPr>
          <w:rFonts w:asciiTheme="minorHAnsi" w:hAnsiTheme="minorHAnsi" w:cstheme="minorHAnsi"/>
          <w:noProof/>
        </w:rPr>
        <w:t xml:space="preserve"> </w:t>
      </w:r>
      <w:r w:rsidR="00672426" w:rsidRPr="00672426">
        <w:rPr>
          <w:rFonts w:asciiTheme="minorHAnsi" w:hAnsiTheme="minorHAnsi" w:cstheme="minorHAnsi"/>
          <w:i/>
          <w:noProof/>
        </w:rPr>
        <w:t>Strategi</w:t>
      </w:r>
      <w:r w:rsidR="00E81D5D">
        <w:rPr>
          <w:rFonts w:asciiTheme="minorHAnsi" w:hAnsiTheme="minorHAnsi" w:cstheme="minorHAnsi"/>
          <w:i/>
          <w:noProof/>
        </w:rPr>
        <w:t>e</w:t>
      </w:r>
      <w:r w:rsidR="00672426" w:rsidRPr="00672426">
        <w:rPr>
          <w:rFonts w:asciiTheme="minorHAnsi" w:hAnsiTheme="minorHAnsi" w:cstheme="minorHAnsi"/>
          <w:i/>
          <w:noProof/>
        </w:rPr>
        <w:t xml:space="preserve"> vlastnické politiky stát</w:t>
      </w:r>
      <w:r w:rsidR="00672426" w:rsidRPr="0088636A">
        <w:rPr>
          <w:rFonts w:asciiTheme="minorHAnsi" w:hAnsiTheme="minorHAnsi" w:cstheme="minorHAnsi"/>
          <w:i/>
          <w:noProof/>
        </w:rPr>
        <w:t>u</w:t>
      </w:r>
      <w:r w:rsidR="00130E4C" w:rsidRPr="00A46FB8">
        <w:rPr>
          <w:rFonts w:asciiTheme="minorHAnsi" w:hAnsiTheme="minorHAnsi" w:cstheme="minorHAnsi"/>
          <w:noProof/>
          <w:vertAlign w:val="superscript"/>
        </w:rPr>
        <w:t>1</w:t>
      </w:r>
      <w:r w:rsidR="00A03AF2" w:rsidRPr="00A46FB8">
        <w:rPr>
          <w:rFonts w:asciiTheme="minorHAnsi" w:hAnsiTheme="minorHAnsi" w:cstheme="minorHAnsi"/>
          <w:noProof/>
          <w:vertAlign w:val="superscript"/>
        </w:rPr>
        <w:t>3</w:t>
      </w:r>
      <w:r w:rsidR="00130E4C" w:rsidRPr="003066C3">
        <w:rPr>
          <w:rFonts w:ascii="Calibri" w:hAnsi="Calibri" w:cs="Calibri"/>
        </w:rPr>
        <w:t>.</w:t>
      </w:r>
      <w:r w:rsidR="00DF3461">
        <w:rPr>
          <w:rFonts w:ascii="Calibri" w:hAnsi="Calibri" w:cs="Calibri"/>
        </w:rPr>
        <w:t xml:space="preserve"> </w:t>
      </w:r>
      <w:r w:rsidR="00E81D5D">
        <w:rPr>
          <w:rFonts w:ascii="Calibri" w:hAnsi="Calibri" w:cs="Calibri"/>
        </w:rPr>
        <w:t xml:space="preserve">Podle ní </w:t>
      </w:r>
      <w:r w:rsidR="00C701B1">
        <w:rPr>
          <w:rFonts w:ascii="Calibri" w:hAnsi="Calibri" w:cs="Calibri"/>
        </w:rPr>
        <w:t xml:space="preserve">je </w:t>
      </w:r>
      <w:r w:rsidR="00BC1BE8">
        <w:rPr>
          <w:rFonts w:ascii="Calibri" w:hAnsi="Calibri" w:cs="Calibri"/>
        </w:rPr>
        <w:t xml:space="preserve">cílem činnosti státního podniku </w:t>
      </w:r>
      <w:r w:rsidR="00C701B1">
        <w:rPr>
          <w:rFonts w:ascii="Calibri" w:hAnsi="Calibri" w:cs="Calibri"/>
        </w:rPr>
        <w:t>z</w:t>
      </w:r>
      <w:r w:rsidR="00BC1BE8">
        <w:rPr>
          <w:rFonts w:ascii="Calibri" w:hAnsi="Calibri" w:cs="Calibri"/>
        </w:rPr>
        <w:t>ajištění strategických oblastí státu, společensk</w:t>
      </w:r>
      <w:r w:rsidR="00C701B1">
        <w:rPr>
          <w:rFonts w:ascii="Calibri" w:hAnsi="Calibri" w:cs="Calibri"/>
        </w:rPr>
        <w:t xml:space="preserve">ý </w:t>
      </w:r>
      <w:r w:rsidR="00BC1BE8">
        <w:rPr>
          <w:rFonts w:ascii="Calibri" w:hAnsi="Calibri" w:cs="Calibri"/>
        </w:rPr>
        <w:t>užit</w:t>
      </w:r>
      <w:r w:rsidR="00C701B1">
        <w:rPr>
          <w:rFonts w:ascii="Calibri" w:hAnsi="Calibri" w:cs="Calibri"/>
        </w:rPr>
        <w:t>ek, ale i zvyšování hodnoty majetku státu</w:t>
      </w:r>
      <w:r w:rsidR="00BC1BE8">
        <w:rPr>
          <w:rFonts w:ascii="Calibri" w:hAnsi="Calibri" w:cs="Calibri"/>
        </w:rPr>
        <w:t>.</w:t>
      </w:r>
      <w:r w:rsidR="00C701B1">
        <w:rPr>
          <w:rFonts w:ascii="Calibri" w:hAnsi="Calibri" w:cs="Calibri"/>
        </w:rPr>
        <w:t xml:space="preserve"> Strategický význam VOP CZ pro MO spočívá ve </w:t>
      </w:r>
      <w:r w:rsidR="00C701B1" w:rsidRPr="00A46FB8">
        <w:rPr>
          <w:rFonts w:ascii="Calibri" w:hAnsi="Calibri" w:cs="Calibri"/>
        </w:rPr>
        <w:t>„</w:t>
      </w:r>
      <w:r w:rsidR="00C701B1" w:rsidRPr="00C701B1">
        <w:rPr>
          <w:rFonts w:ascii="Calibri" w:hAnsi="Calibri" w:cs="Calibri"/>
          <w:i/>
        </w:rPr>
        <w:t>vývoji, výrobě, modernizaci a opravách pozemní vojenské techniky – servisní podpoře pro Armádu</w:t>
      </w:r>
      <w:r w:rsidR="00C701B1" w:rsidRPr="00A46FB8">
        <w:rPr>
          <w:rFonts w:ascii="Calibri" w:hAnsi="Calibri" w:cs="Calibri"/>
        </w:rPr>
        <w:t>“</w:t>
      </w:r>
      <w:r w:rsidR="00990B66">
        <w:rPr>
          <w:rStyle w:val="Znakapoznpodarou"/>
          <w:rFonts w:ascii="Calibri" w:hAnsi="Calibri" w:cs="Calibri"/>
        </w:rPr>
        <w:footnoteReference w:id="48"/>
      </w:r>
      <w:r w:rsidR="00C701B1" w:rsidRPr="00A46FB8">
        <w:rPr>
          <w:rFonts w:ascii="Calibri" w:hAnsi="Calibri" w:cs="Calibri"/>
        </w:rPr>
        <w:t>.</w:t>
      </w:r>
    </w:p>
    <w:p w14:paraId="2F449C15" w14:textId="162FF86C" w:rsidR="00F52F46" w:rsidRDefault="00DF3461" w:rsidP="00DA6F91">
      <w:pPr>
        <w:spacing w:before="120"/>
        <w:jc w:val="both"/>
        <w:rPr>
          <w:rFonts w:asciiTheme="minorHAnsi" w:hAnsiTheme="minorHAnsi" w:cstheme="minorHAnsi"/>
          <w:noProof/>
        </w:rPr>
      </w:pPr>
      <w:r w:rsidRPr="00BE1A59">
        <w:rPr>
          <w:rFonts w:asciiTheme="minorHAnsi" w:hAnsiTheme="minorHAnsi" w:cstheme="minorHAnsi"/>
          <w:b/>
          <w:noProof/>
        </w:rPr>
        <w:t>4</w:t>
      </w:r>
      <w:r w:rsidR="00672426" w:rsidRPr="00BE1A59">
        <w:rPr>
          <w:rFonts w:asciiTheme="minorHAnsi" w:hAnsiTheme="minorHAnsi" w:cstheme="minorHAnsi"/>
          <w:b/>
          <w:noProof/>
        </w:rPr>
        <w:t>.</w:t>
      </w:r>
      <w:r w:rsidR="002C0BBA">
        <w:rPr>
          <w:rFonts w:asciiTheme="minorHAnsi" w:hAnsiTheme="minorHAnsi" w:cstheme="minorHAnsi"/>
          <w:b/>
          <w:noProof/>
        </w:rPr>
        <w:t>3</w:t>
      </w:r>
      <w:r w:rsidR="007274B9">
        <w:rPr>
          <w:rFonts w:asciiTheme="minorHAnsi" w:hAnsiTheme="minorHAnsi" w:cstheme="minorHAnsi"/>
          <w:b/>
          <w:noProof/>
        </w:rPr>
        <w:t>1</w:t>
      </w:r>
      <w:r w:rsidR="00672426" w:rsidRPr="00BE1A59">
        <w:rPr>
          <w:rFonts w:asciiTheme="minorHAnsi" w:hAnsiTheme="minorHAnsi" w:cstheme="minorHAnsi"/>
          <w:noProof/>
        </w:rPr>
        <w:t xml:space="preserve"> </w:t>
      </w:r>
      <w:r w:rsidR="00F52F46" w:rsidRPr="004F261F">
        <w:rPr>
          <w:rFonts w:asciiTheme="minorHAnsi" w:hAnsiTheme="minorHAnsi" w:cstheme="minorHAnsi"/>
          <w:noProof/>
        </w:rPr>
        <w:t xml:space="preserve">VOP CZ </w:t>
      </w:r>
      <w:r w:rsidR="00BE1A59" w:rsidRPr="004F261F">
        <w:rPr>
          <w:rFonts w:asciiTheme="minorHAnsi" w:hAnsiTheme="minorHAnsi" w:cstheme="minorHAnsi"/>
          <w:noProof/>
        </w:rPr>
        <w:t xml:space="preserve">hospodařil </w:t>
      </w:r>
      <w:r w:rsidR="00FA7FB5" w:rsidRPr="004F261F">
        <w:rPr>
          <w:rFonts w:asciiTheme="minorHAnsi" w:hAnsiTheme="minorHAnsi" w:cstheme="minorHAnsi"/>
          <w:noProof/>
        </w:rPr>
        <w:t>od roku 2017</w:t>
      </w:r>
      <w:r w:rsidR="00BE1A59" w:rsidRPr="004F261F">
        <w:rPr>
          <w:rFonts w:asciiTheme="minorHAnsi" w:hAnsiTheme="minorHAnsi" w:cstheme="minorHAnsi"/>
          <w:noProof/>
        </w:rPr>
        <w:t xml:space="preserve"> každ</w:t>
      </w:r>
      <w:r w:rsidR="00FD4B17" w:rsidRPr="004F261F">
        <w:rPr>
          <w:rFonts w:asciiTheme="minorHAnsi" w:hAnsiTheme="minorHAnsi" w:cstheme="minorHAnsi"/>
          <w:noProof/>
        </w:rPr>
        <w:t xml:space="preserve">oročně </w:t>
      </w:r>
      <w:r w:rsidR="00F52F46" w:rsidRPr="004F261F">
        <w:rPr>
          <w:rFonts w:asciiTheme="minorHAnsi" w:hAnsiTheme="minorHAnsi" w:cstheme="minorHAnsi"/>
          <w:noProof/>
        </w:rPr>
        <w:t xml:space="preserve">se </w:t>
      </w:r>
      <w:r w:rsidR="00BE1A59" w:rsidRPr="004F261F">
        <w:rPr>
          <w:rFonts w:asciiTheme="minorHAnsi" w:hAnsiTheme="minorHAnsi" w:cstheme="minorHAnsi"/>
          <w:noProof/>
        </w:rPr>
        <w:t>ztrátou</w:t>
      </w:r>
      <w:r w:rsidR="00BE1A59">
        <w:rPr>
          <w:rFonts w:asciiTheme="minorHAnsi" w:hAnsiTheme="minorHAnsi" w:cstheme="minorHAnsi"/>
          <w:noProof/>
        </w:rPr>
        <w:t xml:space="preserve">, která se pohybovala </w:t>
      </w:r>
      <w:r w:rsidR="00F52F46" w:rsidRPr="00BE1A59">
        <w:rPr>
          <w:rFonts w:asciiTheme="minorHAnsi" w:hAnsiTheme="minorHAnsi" w:cstheme="minorHAnsi"/>
          <w:noProof/>
        </w:rPr>
        <w:t xml:space="preserve">v rozmezí od </w:t>
      </w:r>
      <w:r w:rsidR="00C94FF6">
        <w:rPr>
          <w:rFonts w:asciiTheme="minorHAnsi" w:hAnsiTheme="minorHAnsi" w:cstheme="minorHAnsi"/>
          <w:noProof/>
        </w:rPr>
        <w:t>59,3</w:t>
      </w:r>
      <w:r w:rsidR="00BE1A59">
        <w:rPr>
          <w:rFonts w:asciiTheme="minorHAnsi" w:hAnsiTheme="minorHAnsi" w:cstheme="minorHAnsi"/>
          <w:noProof/>
        </w:rPr>
        <w:t xml:space="preserve"> </w:t>
      </w:r>
      <w:r w:rsidR="004F261F" w:rsidRPr="00BE1A59">
        <w:rPr>
          <w:rFonts w:asciiTheme="minorHAnsi" w:hAnsiTheme="minorHAnsi" w:cstheme="minorHAnsi"/>
          <w:noProof/>
        </w:rPr>
        <w:t xml:space="preserve">mil. Kč </w:t>
      </w:r>
      <w:r w:rsidR="00F52F46" w:rsidRPr="00BE1A59">
        <w:rPr>
          <w:rFonts w:asciiTheme="minorHAnsi" w:hAnsiTheme="minorHAnsi" w:cstheme="minorHAnsi"/>
          <w:noProof/>
        </w:rPr>
        <w:t>do</w:t>
      </w:r>
      <w:r w:rsidR="00C94FF6">
        <w:rPr>
          <w:rFonts w:asciiTheme="minorHAnsi" w:hAnsiTheme="minorHAnsi" w:cstheme="minorHAnsi"/>
          <w:noProof/>
        </w:rPr>
        <w:t xml:space="preserve"> 148,0</w:t>
      </w:r>
      <w:r w:rsidR="00F52F46" w:rsidRPr="00BE1A59">
        <w:rPr>
          <w:rFonts w:asciiTheme="minorHAnsi" w:hAnsiTheme="minorHAnsi" w:cstheme="minorHAnsi"/>
          <w:noProof/>
        </w:rPr>
        <w:t xml:space="preserve"> mil. Kč</w:t>
      </w:r>
      <w:r w:rsidR="00C921C3" w:rsidRPr="00BE1A59">
        <w:rPr>
          <w:rFonts w:asciiTheme="minorHAnsi" w:hAnsiTheme="minorHAnsi" w:cstheme="minorHAnsi"/>
          <w:noProof/>
        </w:rPr>
        <w:t xml:space="preserve"> </w:t>
      </w:r>
      <w:r w:rsidR="00BE1A59" w:rsidRPr="00BE1A59">
        <w:rPr>
          <w:rFonts w:asciiTheme="minorHAnsi" w:hAnsiTheme="minorHAnsi" w:cstheme="minorHAnsi"/>
          <w:noProof/>
        </w:rPr>
        <w:t xml:space="preserve">(viz </w:t>
      </w:r>
      <w:r w:rsidR="00FA7FB5">
        <w:rPr>
          <w:rFonts w:asciiTheme="minorHAnsi" w:hAnsiTheme="minorHAnsi" w:cstheme="minorHAnsi"/>
          <w:noProof/>
        </w:rPr>
        <w:t>graf č. 3</w:t>
      </w:r>
      <w:r w:rsidR="00BE1A59" w:rsidRPr="00BE1A59">
        <w:rPr>
          <w:rFonts w:asciiTheme="minorHAnsi" w:hAnsiTheme="minorHAnsi" w:cstheme="minorHAnsi"/>
          <w:noProof/>
        </w:rPr>
        <w:t>)</w:t>
      </w:r>
      <w:r w:rsidR="00BE1A59">
        <w:rPr>
          <w:rFonts w:asciiTheme="minorHAnsi" w:hAnsiTheme="minorHAnsi" w:cstheme="minorHAnsi"/>
          <w:noProof/>
        </w:rPr>
        <w:t>.</w:t>
      </w:r>
      <w:r w:rsidR="00BE1A59" w:rsidRPr="00BE1A59">
        <w:rPr>
          <w:rFonts w:asciiTheme="minorHAnsi" w:hAnsiTheme="minorHAnsi" w:cstheme="minorHAnsi"/>
          <w:noProof/>
        </w:rPr>
        <w:t xml:space="preserve"> </w:t>
      </w:r>
      <w:r w:rsidR="00FA7FB5">
        <w:rPr>
          <w:rFonts w:asciiTheme="minorHAnsi" w:hAnsiTheme="minorHAnsi" w:cstheme="minorHAnsi"/>
          <w:noProof/>
        </w:rPr>
        <w:t>Za roky 2018–2021 č</w:t>
      </w:r>
      <w:r w:rsidR="00FA7FB5" w:rsidRPr="00BE1A59">
        <w:rPr>
          <w:rFonts w:asciiTheme="minorHAnsi" w:hAnsiTheme="minorHAnsi" w:cstheme="minorHAnsi"/>
          <w:noProof/>
        </w:rPr>
        <w:t>inila</w:t>
      </w:r>
      <w:r w:rsidR="00FA7FB5">
        <w:rPr>
          <w:rFonts w:asciiTheme="minorHAnsi" w:hAnsiTheme="minorHAnsi" w:cstheme="minorHAnsi"/>
          <w:noProof/>
        </w:rPr>
        <w:t xml:space="preserve"> ztráta celkem</w:t>
      </w:r>
      <w:r w:rsidR="00FA7FB5" w:rsidRPr="00BE1A59">
        <w:rPr>
          <w:rFonts w:asciiTheme="minorHAnsi" w:hAnsiTheme="minorHAnsi" w:cstheme="minorHAnsi"/>
          <w:noProof/>
        </w:rPr>
        <w:t xml:space="preserve"> 391,8</w:t>
      </w:r>
      <w:r w:rsidR="004F261F">
        <w:rPr>
          <w:rFonts w:asciiTheme="minorHAnsi" w:hAnsiTheme="minorHAnsi" w:cstheme="minorHAnsi"/>
          <w:noProof/>
        </w:rPr>
        <w:t> </w:t>
      </w:r>
      <w:r w:rsidR="00FA7FB5" w:rsidRPr="00BE1A59">
        <w:rPr>
          <w:rFonts w:asciiTheme="minorHAnsi" w:hAnsiTheme="minorHAnsi" w:cstheme="minorHAnsi"/>
          <w:noProof/>
        </w:rPr>
        <w:t>mil.</w:t>
      </w:r>
      <w:r w:rsidR="004F261F">
        <w:rPr>
          <w:rFonts w:asciiTheme="minorHAnsi" w:hAnsiTheme="minorHAnsi" w:cstheme="minorHAnsi"/>
          <w:noProof/>
        </w:rPr>
        <w:t> </w:t>
      </w:r>
      <w:r w:rsidR="00FA7FB5" w:rsidRPr="00BE1A59">
        <w:rPr>
          <w:rFonts w:asciiTheme="minorHAnsi" w:hAnsiTheme="minorHAnsi" w:cstheme="minorHAnsi"/>
          <w:noProof/>
        </w:rPr>
        <w:t>Kč</w:t>
      </w:r>
      <w:r w:rsidR="00FA7FB5">
        <w:rPr>
          <w:rFonts w:asciiTheme="minorHAnsi" w:hAnsiTheme="minorHAnsi" w:cstheme="minorHAnsi"/>
          <w:noProof/>
        </w:rPr>
        <w:t>.</w:t>
      </w:r>
      <w:r w:rsidR="00FA7FB5" w:rsidRPr="00BE1A59">
        <w:rPr>
          <w:rFonts w:asciiTheme="minorHAnsi" w:hAnsiTheme="minorHAnsi" w:cstheme="minorHAnsi"/>
          <w:noProof/>
        </w:rPr>
        <w:t xml:space="preserve"> </w:t>
      </w:r>
      <w:r w:rsidR="006C5B3F">
        <w:rPr>
          <w:rFonts w:asciiTheme="minorHAnsi" w:hAnsiTheme="minorHAnsi" w:cstheme="minorHAnsi"/>
          <w:noProof/>
        </w:rPr>
        <w:t xml:space="preserve">VOP CZ </w:t>
      </w:r>
      <w:r w:rsidR="00FA7FB5">
        <w:rPr>
          <w:rFonts w:asciiTheme="minorHAnsi" w:hAnsiTheme="minorHAnsi" w:cstheme="minorHAnsi"/>
          <w:noProof/>
        </w:rPr>
        <w:t>ji</w:t>
      </w:r>
      <w:r w:rsidR="006C5B3F">
        <w:rPr>
          <w:rFonts w:asciiTheme="minorHAnsi" w:hAnsiTheme="minorHAnsi" w:cstheme="minorHAnsi"/>
          <w:noProof/>
        </w:rPr>
        <w:t xml:space="preserve"> zdůvodnil </w:t>
      </w:r>
      <w:r w:rsidR="00F52F46" w:rsidRPr="00FD4B17">
        <w:rPr>
          <w:rFonts w:asciiTheme="minorHAnsi" w:hAnsiTheme="minorHAnsi" w:cstheme="minorHAnsi"/>
          <w:noProof/>
        </w:rPr>
        <w:t>výpad</w:t>
      </w:r>
      <w:r w:rsidR="00FD4B17" w:rsidRPr="00FD4B17">
        <w:rPr>
          <w:rFonts w:asciiTheme="minorHAnsi" w:hAnsiTheme="minorHAnsi" w:cstheme="minorHAnsi"/>
          <w:noProof/>
        </w:rPr>
        <w:t>k</w:t>
      </w:r>
      <w:r w:rsidR="006C5B3F">
        <w:rPr>
          <w:rFonts w:asciiTheme="minorHAnsi" w:hAnsiTheme="minorHAnsi" w:cstheme="minorHAnsi"/>
          <w:noProof/>
        </w:rPr>
        <w:t>em</w:t>
      </w:r>
      <w:r w:rsidR="00FD4B17" w:rsidRPr="00FD4B17">
        <w:rPr>
          <w:rFonts w:asciiTheme="minorHAnsi" w:hAnsiTheme="minorHAnsi" w:cstheme="minorHAnsi"/>
          <w:noProof/>
        </w:rPr>
        <w:t xml:space="preserve"> </w:t>
      </w:r>
      <w:r w:rsidR="00F52F46" w:rsidRPr="00FD4B17">
        <w:rPr>
          <w:rFonts w:asciiTheme="minorHAnsi" w:hAnsiTheme="minorHAnsi" w:cstheme="minorHAnsi"/>
          <w:noProof/>
        </w:rPr>
        <w:t xml:space="preserve">plánovaných výkonů </w:t>
      </w:r>
      <w:r w:rsidR="00FD4B17" w:rsidRPr="00FD4B17">
        <w:rPr>
          <w:rFonts w:asciiTheme="minorHAnsi" w:hAnsiTheme="minorHAnsi" w:cstheme="minorHAnsi"/>
          <w:noProof/>
        </w:rPr>
        <w:t xml:space="preserve">podniku </w:t>
      </w:r>
      <w:r w:rsidR="00F52F46" w:rsidRPr="00FD4B17">
        <w:rPr>
          <w:rFonts w:asciiTheme="minorHAnsi" w:hAnsiTheme="minorHAnsi" w:cstheme="minorHAnsi"/>
          <w:noProof/>
        </w:rPr>
        <w:t>a nárůst</w:t>
      </w:r>
      <w:r w:rsidR="006C5B3F">
        <w:rPr>
          <w:rFonts w:asciiTheme="minorHAnsi" w:hAnsiTheme="minorHAnsi" w:cstheme="minorHAnsi"/>
          <w:noProof/>
        </w:rPr>
        <w:t>em</w:t>
      </w:r>
      <w:r w:rsidR="00F52F46" w:rsidRPr="00FD4B17">
        <w:rPr>
          <w:rFonts w:asciiTheme="minorHAnsi" w:hAnsiTheme="minorHAnsi" w:cstheme="minorHAnsi"/>
          <w:noProof/>
        </w:rPr>
        <w:t xml:space="preserve"> cen vstupních komodit. V </w:t>
      </w:r>
      <w:r w:rsidR="00FD4B17" w:rsidRPr="00FD4B17">
        <w:rPr>
          <w:rFonts w:asciiTheme="minorHAnsi" w:hAnsiTheme="minorHAnsi" w:cstheme="minorHAnsi"/>
          <w:noProof/>
        </w:rPr>
        <w:t xml:space="preserve">období </w:t>
      </w:r>
      <w:r w:rsidR="005C66F7">
        <w:rPr>
          <w:rFonts w:asciiTheme="minorHAnsi" w:hAnsiTheme="minorHAnsi" w:cstheme="minorHAnsi"/>
          <w:noProof/>
        </w:rPr>
        <w:t xml:space="preserve">let </w:t>
      </w:r>
      <w:r w:rsidR="00F52F46" w:rsidRPr="00FD4B17">
        <w:rPr>
          <w:rFonts w:asciiTheme="minorHAnsi" w:hAnsiTheme="minorHAnsi" w:cstheme="minorHAnsi"/>
          <w:noProof/>
        </w:rPr>
        <w:t xml:space="preserve">2020 a 2021 </w:t>
      </w:r>
      <w:r w:rsidR="00FD4B17" w:rsidRPr="00FD4B17">
        <w:rPr>
          <w:rFonts w:asciiTheme="minorHAnsi" w:hAnsiTheme="minorHAnsi" w:cstheme="minorHAnsi"/>
          <w:noProof/>
        </w:rPr>
        <w:t xml:space="preserve">měl na </w:t>
      </w:r>
      <w:r w:rsidR="00FD4B17" w:rsidRPr="006C5B3F">
        <w:rPr>
          <w:rFonts w:asciiTheme="minorHAnsi" w:hAnsiTheme="minorHAnsi" w:cstheme="minorHAnsi"/>
          <w:noProof/>
        </w:rPr>
        <w:t xml:space="preserve">činnost VOP </w:t>
      </w:r>
      <w:r w:rsidR="00F52F46" w:rsidRPr="006C5B3F">
        <w:rPr>
          <w:rFonts w:asciiTheme="minorHAnsi" w:hAnsiTheme="minorHAnsi" w:cstheme="minorHAnsi"/>
          <w:noProof/>
        </w:rPr>
        <w:t xml:space="preserve">CZ </w:t>
      </w:r>
      <w:r w:rsidR="00FD4B17" w:rsidRPr="006C5B3F">
        <w:rPr>
          <w:rFonts w:asciiTheme="minorHAnsi" w:hAnsiTheme="minorHAnsi" w:cstheme="minorHAnsi"/>
          <w:noProof/>
        </w:rPr>
        <w:t xml:space="preserve">negativní vliv </w:t>
      </w:r>
      <w:r w:rsidR="005C66F7" w:rsidRPr="006C5B3F">
        <w:rPr>
          <w:rFonts w:asciiTheme="minorHAnsi" w:hAnsiTheme="minorHAnsi" w:cstheme="minorHAnsi"/>
          <w:noProof/>
        </w:rPr>
        <w:t xml:space="preserve">i </w:t>
      </w:r>
      <w:r w:rsidR="00F52F46" w:rsidRPr="006C5B3F">
        <w:rPr>
          <w:rFonts w:asciiTheme="minorHAnsi" w:hAnsiTheme="minorHAnsi" w:cstheme="minorHAnsi"/>
          <w:noProof/>
        </w:rPr>
        <w:t xml:space="preserve">dopad </w:t>
      </w:r>
      <w:r w:rsidR="00F52F46" w:rsidRPr="006C5B3F">
        <w:rPr>
          <w:rFonts w:asciiTheme="minorHAnsi" w:hAnsiTheme="minorHAnsi" w:cstheme="minorHAnsi"/>
          <w:noProof/>
        </w:rPr>
        <w:lastRenderedPageBreak/>
        <w:t xml:space="preserve">pandemické krize. Podnik </w:t>
      </w:r>
      <w:r w:rsidR="00FD4B17" w:rsidRPr="006C5B3F">
        <w:rPr>
          <w:rFonts w:asciiTheme="minorHAnsi" w:hAnsiTheme="minorHAnsi" w:cstheme="minorHAnsi"/>
          <w:noProof/>
        </w:rPr>
        <w:t xml:space="preserve">proto přistoupil k </w:t>
      </w:r>
      <w:r w:rsidR="005C66F7" w:rsidRPr="006C5B3F">
        <w:rPr>
          <w:rFonts w:asciiTheme="minorHAnsi" w:hAnsiTheme="minorHAnsi" w:cstheme="minorHAnsi"/>
          <w:noProof/>
        </w:rPr>
        <w:t>úsporným</w:t>
      </w:r>
      <w:r w:rsidR="00F52F46" w:rsidRPr="006C5B3F">
        <w:rPr>
          <w:rFonts w:asciiTheme="minorHAnsi" w:hAnsiTheme="minorHAnsi" w:cstheme="minorHAnsi"/>
          <w:noProof/>
        </w:rPr>
        <w:t xml:space="preserve"> opatření</w:t>
      </w:r>
      <w:r w:rsidR="00FD4B17" w:rsidRPr="006C5B3F">
        <w:rPr>
          <w:rFonts w:asciiTheme="minorHAnsi" w:hAnsiTheme="minorHAnsi" w:cstheme="minorHAnsi"/>
          <w:noProof/>
        </w:rPr>
        <w:t>m</w:t>
      </w:r>
      <w:r w:rsidR="005C66F7" w:rsidRPr="006C5B3F">
        <w:rPr>
          <w:rFonts w:asciiTheme="minorHAnsi" w:hAnsiTheme="minorHAnsi" w:cstheme="minorHAnsi"/>
          <w:noProof/>
        </w:rPr>
        <w:t>, v</w:t>
      </w:r>
      <w:r w:rsidR="00527840">
        <w:rPr>
          <w:rFonts w:asciiTheme="minorHAnsi" w:hAnsiTheme="minorHAnsi" w:cstheme="minorHAnsi"/>
          <w:noProof/>
        </w:rPr>
        <w:t xml:space="preserve"> </w:t>
      </w:r>
      <w:r w:rsidR="006C5B3F" w:rsidRPr="006C5B3F">
        <w:rPr>
          <w:rFonts w:asciiTheme="minorHAnsi" w:hAnsiTheme="minorHAnsi" w:cstheme="minorHAnsi"/>
          <w:noProof/>
        </w:rPr>
        <w:t xml:space="preserve">jejichž </w:t>
      </w:r>
      <w:r w:rsidR="00F52F46" w:rsidRPr="006C5B3F">
        <w:rPr>
          <w:rFonts w:asciiTheme="minorHAnsi" w:hAnsiTheme="minorHAnsi" w:cstheme="minorHAnsi"/>
          <w:noProof/>
        </w:rPr>
        <w:t>rámci byl</w:t>
      </w:r>
      <w:r w:rsidR="005C66F7" w:rsidRPr="006C5B3F">
        <w:rPr>
          <w:rFonts w:asciiTheme="minorHAnsi" w:hAnsiTheme="minorHAnsi" w:cstheme="minorHAnsi"/>
          <w:noProof/>
        </w:rPr>
        <w:t>a</w:t>
      </w:r>
      <w:r w:rsidR="00F52F46" w:rsidRPr="006C5B3F">
        <w:rPr>
          <w:rFonts w:asciiTheme="minorHAnsi" w:hAnsiTheme="minorHAnsi" w:cstheme="minorHAnsi"/>
          <w:noProof/>
        </w:rPr>
        <w:t xml:space="preserve"> </w:t>
      </w:r>
      <w:r w:rsidR="00F9074B">
        <w:rPr>
          <w:rFonts w:asciiTheme="minorHAnsi" w:hAnsiTheme="minorHAnsi" w:cstheme="minorHAnsi"/>
          <w:noProof/>
        </w:rPr>
        <w:br/>
      </w:r>
      <w:r w:rsidR="005C66F7" w:rsidRPr="006C5B3F">
        <w:rPr>
          <w:rFonts w:asciiTheme="minorHAnsi" w:hAnsiTheme="minorHAnsi" w:cstheme="minorHAnsi"/>
          <w:noProof/>
        </w:rPr>
        <w:t>mj.</w:t>
      </w:r>
      <w:r w:rsidR="00F9074B">
        <w:rPr>
          <w:rFonts w:asciiTheme="minorHAnsi" w:hAnsiTheme="minorHAnsi" w:cstheme="minorHAnsi"/>
          <w:noProof/>
        </w:rPr>
        <w:t xml:space="preserve"> </w:t>
      </w:r>
      <w:r w:rsidR="005C66F7" w:rsidRPr="006C5B3F">
        <w:rPr>
          <w:rFonts w:asciiTheme="minorHAnsi" w:hAnsiTheme="minorHAnsi" w:cstheme="minorHAnsi"/>
          <w:noProof/>
        </w:rPr>
        <w:t>propuštěna</w:t>
      </w:r>
      <w:r w:rsidR="005C66F7" w:rsidRPr="005C66F7">
        <w:rPr>
          <w:rFonts w:asciiTheme="minorHAnsi" w:hAnsiTheme="minorHAnsi" w:cstheme="minorHAnsi"/>
          <w:noProof/>
        </w:rPr>
        <w:t xml:space="preserve"> část </w:t>
      </w:r>
      <w:r w:rsidR="00527840">
        <w:rPr>
          <w:rFonts w:asciiTheme="minorHAnsi" w:hAnsiTheme="minorHAnsi" w:cstheme="minorHAnsi"/>
          <w:noProof/>
        </w:rPr>
        <w:t>personálu</w:t>
      </w:r>
      <w:r w:rsidR="005C66F7">
        <w:rPr>
          <w:rFonts w:asciiTheme="minorHAnsi" w:hAnsiTheme="minorHAnsi" w:cstheme="minorHAnsi"/>
          <w:noProof/>
        </w:rPr>
        <w:t xml:space="preserve">. </w:t>
      </w:r>
      <w:r w:rsidR="005C66F7" w:rsidRPr="005C66F7">
        <w:rPr>
          <w:rFonts w:asciiTheme="minorHAnsi" w:hAnsiTheme="minorHAnsi" w:cstheme="minorHAnsi"/>
          <w:noProof/>
        </w:rPr>
        <w:t>V d</w:t>
      </w:r>
      <w:r w:rsidR="00F52F46" w:rsidRPr="005C66F7">
        <w:rPr>
          <w:rFonts w:asciiTheme="minorHAnsi" w:hAnsiTheme="minorHAnsi" w:cstheme="minorHAnsi"/>
          <w:noProof/>
        </w:rPr>
        <w:t xml:space="preserve">ůsledku zmrazení mezd </w:t>
      </w:r>
      <w:r w:rsidR="005C66F7" w:rsidRPr="005C66F7">
        <w:rPr>
          <w:rFonts w:asciiTheme="minorHAnsi" w:hAnsiTheme="minorHAnsi" w:cstheme="minorHAnsi"/>
          <w:noProof/>
        </w:rPr>
        <w:t xml:space="preserve">také </w:t>
      </w:r>
      <w:r w:rsidR="00F52F46" w:rsidRPr="005C66F7">
        <w:rPr>
          <w:rFonts w:asciiTheme="minorHAnsi" w:hAnsiTheme="minorHAnsi" w:cstheme="minorHAnsi"/>
          <w:noProof/>
        </w:rPr>
        <w:t>docházelo k</w:t>
      </w:r>
      <w:r w:rsidR="00516259">
        <w:rPr>
          <w:rFonts w:asciiTheme="minorHAnsi" w:hAnsiTheme="minorHAnsi" w:cstheme="minorHAnsi"/>
          <w:noProof/>
        </w:rPr>
        <w:t xml:space="preserve"> </w:t>
      </w:r>
      <w:r w:rsidR="00F52F46" w:rsidRPr="005C66F7">
        <w:rPr>
          <w:rFonts w:asciiTheme="minorHAnsi" w:hAnsiTheme="minorHAnsi" w:cstheme="minorHAnsi"/>
          <w:noProof/>
        </w:rPr>
        <w:t>vyšší fluktuaci</w:t>
      </w:r>
      <w:r w:rsidR="00527840" w:rsidRPr="00527840">
        <w:rPr>
          <w:rFonts w:asciiTheme="minorHAnsi" w:hAnsiTheme="minorHAnsi" w:cstheme="minorHAnsi"/>
          <w:noProof/>
        </w:rPr>
        <w:t xml:space="preserve"> </w:t>
      </w:r>
      <w:r w:rsidR="00527840" w:rsidRPr="005C66F7">
        <w:rPr>
          <w:rFonts w:asciiTheme="minorHAnsi" w:hAnsiTheme="minorHAnsi" w:cstheme="minorHAnsi"/>
          <w:noProof/>
        </w:rPr>
        <w:t>zaměstnanců</w:t>
      </w:r>
      <w:r w:rsidR="00F52F46" w:rsidRPr="005C66F7">
        <w:rPr>
          <w:rFonts w:asciiTheme="minorHAnsi" w:hAnsiTheme="minorHAnsi" w:cstheme="minorHAnsi"/>
          <w:noProof/>
        </w:rPr>
        <w:t xml:space="preserve">. Počet </w:t>
      </w:r>
      <w:r w:rsidR="00527840">
        <w:rPr>
          <w:rFonts w:asciiTheme="minorHAnsi" w:hAnsiTheme="minorHAnsi" w:cstheme="minorHAnsi"/>
          <w:noProof/>
        </w:rPr>
        <w:t>pracovníků</w:t>
      </w:r>
      <w:r w:rsidR="00F52F46" w:rsidRPr="005C66F7">
        <w:rPr>
          <w:rFonts w:asciiTheme="minorHAnsi" w:hAnsiTheme="minorHAnsi" w:cstheme="minorHAnsi"/>
          <w:noProof/>
        </w:rPr>
        <w:t xml:space="preserve"> </w:t>
      </w:r>
      <w:r w:rsidR="005C66F7">
        <w:rPr>
          <w:rFonts w:asciiTheme="minorHAnsi" w:hAnsiTheme="minorHAnsi" w:cstheme="minorHAnsi"/>
          <w:noProof/>
        </w:rPr>
        <w:t xml:space="preserve">VOP CZ </w:t>
      </w:r>
      <w:r w:rsidR="00F52F46" w:rsidRPr="005C66F7">
        <w:rPr>
          <w:rFonts w:asciiTheme="minorHAnsi" w:hAnsiTheme="minorHAnsi" w:cstheme="minorHAnsi"/>
          <w:noProof/>
        </w:rPr>
        <w:t>se snížil z</w:t>
      </w:r>
      <w:r w:rsidR="00527840">
        <w:rPr>
          <w:rFonts w:asciiTheme="minorHAnsi" w:hAnsiTheme="minorHAnsi" w:cstheme="minorHAnsi"/>
          <w:noProof/>
        </w:rPr>
        <w:t xml:space="preserve"> </w:t>
      </w:r>
      <w:r w:rsidR="00F52F46" w:rsidRPr="005C66F7">
        <w:rPr>
          <w:rFonts w:asciiTheme="minorHAnsi" w:hAnsiTheme="minorHAnsi" w:cstheme="minorHAnsi"/>
          <w:noProof/>
        </w:rPr>
        <w:t>884 v</w:t>
      </w:r>
      <w:r w:rsidR="00527840">
        <w:rPr>
          <w:rFonts w:asciiTheme="minorHAnsi" w:hAnsiTheme="minorHAnsi" w:cstheme="minorHAnsi"/>
          <w:noProof/>
        </w:rPr>
        <w:t xml:space="preserve"> </w:t>
      </w:r>
      <w:r w:rsidR="00F52F46" w:rsidRPr="005C66F7">
        <w:rPr>
          <w:rFonts w:asciiTheme="minorHAnsi" w:hAnsiTheme="minorHAnsi" w:cstheme="minorHAnsi"/>
          <w:noProof/>
        </w:rPr>
        <w:t>roce 2018 na 620 v</w:t>
      </w:r>
      <w:r w:rsidR="00527840">
        <w:rPr>
          <w:rFonts w:asciiTheme="minorHAnsi" w:hAnsiTheme="minorHAnsi" w:cstheme="minorHAnsi"/>
          <w:noProof/>
        </w:rPr>
        <w:t xml:space="preserve"> </w:t>
      </w:r>
      <w:r w:rsidR="00F52F46" w:rsidRPr="005C66F7">
        <w:rPr>
          <w:rFonts w:asciiTheme="minorHAnsi" w:hAnsiTheme="minorHAnsi" w:cstheme="minorHAnsi"/>
          <w:noProof/>
        </w:rPr>
        <w:t xml:space="preserve">roce 2021, </w:t>
      </w:r>
      <w:r w:rsidR="005C66F7">
        <w:rPr>
          <w:rFonts w:asciiTheme="minorHAnsi" w:hAnsiTheme="minorHAnsi" w:cstheme="minorHAnsi"/>
          <w:noProof/>
        </w:rPr>
        <w:t>tedy celkem o</w:t>
      </w:r>
      <w:r w:rsidR="00F52F46" w:rsidRPr="005C66F7">
        <w:rPr>
          <w:rFonts w:asciiTheme="minorHAnsi" w:hAnsiTheme="minorHAnsi" w:cstheme="minorHAnsi"/>
          <w:noProof/>
        </w:rPr>
        <w:t xml:space="preserve"> 30 %</w:t>
      </w:r>
      <w:r w:rsidR="00E545C4">
        <w:rPr>
          <w:rFonts w:asciiTheme="minorHAnsi" w:hAnsiTheme="minorHAnsi" w:cstheme="minorHAnsi"/>
          <w:noProof/>
        </w:rPr>
        <w:t xml:space="preserve"> (viz graf č. 3)</w:t>
      </w:r>
      <w:r w:rsidR="00F52F46" w:rsidRPr="005C66F7">
        <w:rPr>
          <w:rFonts w:asciiTheme="minorHAnsi" w:hAnsiTheme="minorHAnsi" w:cstheme="minorHAnsi"/>
          <w:noProof/>
        </w:rPr>
        <w:t>.</w:t>
      </w:r>
      <w:r w:rsidR="006C5B3F">
        <w:rPr>
          <w:rFonts w:asciiTheme="minorHAnsi" w:hAnsiTheme="minorHAnsi" w:cstheme="minorHAnsi"/>
          <w:noProof/>
        </w:rPr>
        <w:t xml:space="preserve"> P</w:t>
      </w:r>
      <w:r w:rsidR="00D33A55">
        <w:rPr>
          <w:rFonts w:asciiTheme="minorHAnsi" w:hAnsiTheme="minorHAnsi" w:cstheme="minorHAnsi"/>
          <w:noProof/>
        </w:rPr>
        <w:t xml:space="preserve">očet manažerů </w:t>
      </w:r>
      <w:r w:rsidR="0073037F">
        <w:rPr>
          <w:rFonts w:asciiTheme="minorHAnsi" w:hAnsiTheme="minorHAnsi" w:cstheme="minorHAnsi"/>
          <w:noProof/>
        </w:rPr>
        <w:t>se</w:t>
      </w:r>
      <w:r w:rsidR="00D33A55">
        <w:rPr>
          <w:rFonts w:asciiTheme="minorHAnsi" w:hAnsiTheme="minorHAnsi" w:cstheme="minorHAnsi"/>
          <w:noProof/>
        </w:rPr>
        <w:t xml:space="preserve"> naopak</w:t>
      </w:r>
      <w:r w:rsidR="0073037F">
        <w:rPr>
          <w:rFonts w:asciiTheme="minorHAnsi" w:hAnsiTheme="minorHAnsi" w:cstheme="minorHAnsi"/>
          <w:noProof/>
        </w:rPr>
        <w:t xml:space="preserve"> </w:t>
      </w:r>
      <w:r w:rsidR="004F261F">
        <w:rPr>
          <w:rFonts w:asciiTheme="minorHAnsi" w:hAnsiTheme="minorHAnsi" w:cstheme="minorHAnsi"/>
          <w:noProof/>
        </w:rPr>
        <w:t>z</w:t>
      </w:r>
      <w:r w:rsidR="006C5B3F">
        <w:rPr>
          <w:rFonts w:asciiTheme="minorHAnsi" w:hAnsiTheme="minorHAnsi" w:cstheme="minorHAnsi"/>
          <w:noProof/>
        </w:rPr>
        <w:t>výšil</w:t>
      </w:r>
      <w:r w:rsidR="00D33A55">
        <w:rPr>
          <w:rFonts w:asciiTheme="minorHAnsi" w:hAnsiTheme="minorHAnsi" w:cstheme="minorHAnsi"/>
          <w:noProof/>
        </w:rPr>
        <w:t>, a to z</w:t>
      </w:r>
      <w:r w:rsidR="006C5B3F">
        <w:rPr>
          <w:rFonts w:asciiTheme="minorHAnsi" w:hAnsiTheme="minorHAnsi" w:cstheme="minorHAnsi"/>
          <w:noProof/>
        </w:rPr>
        <w:t xml:space="preserve"> 48 na 50.</w:t>
      </w:r>
      <w:r w:rsidR="00F52F46" w:rsidRPr="005C66F7">
        <w:rPr>
          <w:rFonts w:asciiTheme="minorHAnsi" w:hAnsiTheme="minorHAnsi" w:cstheme="minorHAnsi"/>
          <w:noProof/>
        </w:rPr>
        <w:t xml:space="preserve"> </w:t>
      </w:r>
    </w:p>
    <w:p w14:paraId="7C02D912" w14:textId="604731EC" w:rsidR="00C12F4E" w:rsidRDefault="00C12F4E">
      <w:pPr>
        <w:rPr>
          <w:rFonts w:asciiTheme="minorHAnsi" w:hAnsiTheme="minorHAnsi" w:cs="Calibri"/>
          <w:b/>
          <w:color w:val="000000"/>
        </w:rPr>
      </w:pPr>
    </w:p>
    <w:p w14:paraId="76249BE1" w14:textId="7BB5797E" w:rsidR="00FA7FB5" w:rsidRDefault="00FA7FB5" w:rsidP="00FA7FB5">
      <w:pPr>
        <w:tabs>
          <w:tab w:val="left" w:pos="2415"/>
        </w:tabs>
        <w:spacing w:before="120"/>
        <w:rPr>
          <w:rFonts w:asciiTheme="minorHAnsi" w:hAnsiTheme="minorHAnsi" w:cs="Calibri"/>
          <w:b/>
          <w:color w:val="000000"/>
        </w:rPr>
      </w:pPr>
      <w:r>
        <w:rPr>
          <w:rFonts w:asciiTheme="minorHAnsi" w:hAnsiTheme="minorHAnsi" w:cs="Calibri"/>
          <w:b/>
          <w:color w:val="000000"/>
        </w:rPr>
        <w:t xml:space="preserve">Graf č. 3: </w:t>
      </w:r>
      <w:r w:rsidRPr="00D07EBF">
        <w:rPr>
          <w:rFonts w:asciiTheme="minorHAnsi" w:hAnsiTheme="minorHAnsi" w:cs="Calibri"/>
          <w:b/>
          <w:color w:val="000000"/>
        </w:rPr>
        <w:t xml:space="preserve">Vývoj výsledku hospodaření </w:t>
      </w:r>
      <w:r>
        <w:rPr>
          <w:rFonts w:asciiTheme="minorHAnsi" w:hAnsiTheme="minorHAnsi" w:cs="Calibri"/>
          <w:b/>
          <w:color w:val="000000"/>
        </w:rPr>
        <w:t xml:space="preserve">a počtu zaměstnanců </w:t>
      </w:r>
      <w:r w:rsidRPr="00D07EBF">
        <w:rPr>
          <w:rFonts w:asciiTheme="minorHAnsi" w:hAnsiTheme="minorHAnsi" w:cs="Calibri"/>
          <w:b/>
          <w:color w:val="000000"/>
        </w:rPr>
        <w:t xml:space="preserve">VOP </w:t>
      </w:r>
      <w:r>
        <w:rPr>
          <w:rFonts w:asciiTheme="minorHAnsi" w:hAnsiTheme="minorHAnsi" w:cs="Calibri"/>
          <w:b/>
          <w:color w:val="000000"/>
        </w:rPr>
        <w:t xml:space="preserve">CZ </w:t>
      </w:r>
      <w:r w:rsidRPr="00D07EBF">
        <w:rPr>
          <w:rFonts w:asciiTheme="minorHAnsi" w:hAnsiTheme="minorHAnsi" w:cs="Calibri"/>
          <w:b/>
          <w:color w:val="000000"/>
        </w:rPr>
        <w:t>v letech 201</w:t>
      </w:r>
      <w:r>
        <w:rPr>
          <w:rFonts w:asciiTheme="minorHAnsi" w:hAnsiTheme="minorHAnsi" w:cs="Calibri"/>
          <w:b/>
          <w:color w:val="000000"/>
        </w:rPr>
        <w:t>6</w:t>
      </w:r>
      <w:r w:rsidRPr="00D07EBF">
        <w:rPr>
          <w:rFonts w:asciiTheme="minorHAnsi" w:hAnsiTheme="minorHAnsi" w:cs="Calibri"/>
          <w:b/>
          <w:color w:val="000000"/>
        </w:rPr>
        <w:t>–2021</w:t>
      </w:r>
    </w:p>
    <w:p w14:paraId="757D072A" w14:textId="0723171D" w:rsidR="00FA7FB5" w:rsidRDefault="004B2839" w:rsidP="00FA7FB5">
      <w:pPr>
        <w:tabs>
          <w:tab w:val="left" w:pos="2415"/>
        </w:tabs>
        <w:spacing w:before="120"/>
        <w:rPr>
          <w:rFonts w:asciiTheme="minorHAnsi" w:hAnsiTheme="minorHAnsi" w:cs="Calibri"/>
          <w:b/>
          <w:color w:val="000000"/>
        </w:rPr>
      </w:pPr>
      <w:r>
        <w:rPr>
          <w:noProof/>
        </w:rPr>
        <w:drawing>
          <wp:inline distT="0" distB="0" distL="0" distR="0" wp14:anchorId="6C2F6300" wp14:editId="661B9D98">
            <wp:extent cx="5760720" cy="3305175"/>
            <wp:effectExtent l="0" t="0" r="0" b="0"/>
            <wp:docPr id="10" name="Graf 10">
              <a:extLst xmlns:a="http://schemas.openxmlformats.org/drawingml/2006/main">
                <a:ext uri="{FF2B5EF4-FFF2-40B4-BE49-F238E27FC236}">
                  <a16:creationId xmlns:a16="http://schemas.microsoft.com/office/drawing/2014/main" id="{FD803110-9817-4DCF-815C-7E2AB1306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88BCFC" w14:textId="44442749" w:rsidR="00FA7FB5" w:rsidRDefault="00FA7FB5" w:rsidP="00FA7FB5">
      <w:pPr>
        <w:rPr>
          <w:rFonts w:asciiTheme="minorHAnsi" w:hAnsiTheme="minorHAnsi" w:cstheme="minorHAnsi"/>
          <w:sz w:val="20"/>
          <w:szCs w:val="20"/>
        </w:rPr>
      </w:pPr>
      <w:r w:rsidRPr="001D54FB">
        <w:rPr>
          <w:rFonts w:asciiTheme="minorHAnsi" w:hAnsiTheme="minorHAnsi" w:cstheme="minorHAnsi"/>
          <w:b/>
          <w:sz w:val="20"/>
          <w:szCs w:val="20"/>
        </w:rPr>
        <w:t>Zdroj:</w:t>
      </w:r>
      <w:r w:rsidRPr="001D54FB">
        <w:rPr>
          <w:rFonts w:asciiTheme="minorHAnsi" w:hAnsiTheme="minorHAnsi" w:cstheme="minorHAnsi"/>
          <w:i/>
          <w:sz w:val="20"/>
          <w:szCs w:val="20"/>
        </w:rPr>
        <w:t xml:space="preserve"> </w:t>
      </w:r>
      <w:r w:rsidR="00990B66">
        <w:rPr>
          <w:rFonts w:asciiTheme="minorHAnsi" w:hAnsiTheme="minorHAnsi" w:cstheme="minorHAnsi"/>
          <w:sz w:val="20"/>
        </w:rPr>
        <w:t xml:space="preserve">data získaná kontrolou; </w:t>
      </w:r>
      <w:r w:rsidR="00643939">
        <w:rPr>
          <w:rFonts w:asciiTheme="minorHAnsi" w:hAnsiTheme="minorHAnsi" w:cstheme="minorHAnsi"/>
          <w:sz w:val="20"/>
        </w:rPr>
        <w:t xml:space="preserve">graf </w:t>
      </w:r>
      <w:r>
        <w:rPr>
          <w:rFonts w:asciiTheme="minorHAnsi" w:hAnsiTheme="minorHAnsi" w:cstheme="minorHAnsi"/>
          <w:sz w:val="20"/>
          <w:szCs w:val="20"/>
        </w:rPr>
        <w:t>vypracoval NKÚ.</w:t>
      </w:r>
    </w:p>
    <w:p w14:paraId="10C6EA97" w14:textId="64023DCA" w:rsidR="00FA7FB5" w:rsidRPr="00FA7FB5" w:rsidRDefault="00FA7FB5" w:rsidP="00FA7FB5">
      <w:pPr>
        <w:rPr>
          <w:rFonts w:asciiTheme="minorHAnsi" w:hAnsiTheme="minorHAnsi" w:cstheme="minorHAnsi"/>
          <w:sz w:val="20"/>
          <w:szCs w:val="20"/>
        </w:rPr>
      </w:pPr>
      <w:r w:rsidRPr="00FA7FB5">
        <w:rPr>
          <w:rFonts w:asciiTheme="minorHAnsi" w:hAnsiTheme="minorHAnsi" w:cstheme="minorHAnsi"/>
          <w:b/>
          <w:sz w:val="20"/>
          <w:szCs w:val="20"/>
        </w:rPr>
        <w:t>Pozn.:</w:t>
      </w:r>
      <w:r w:rsidRPr="00FA7FB5">
        <w:rPr>
          <w:rFonts w:asciiTheme="minorHAnsi" w:hAnsiTheme="minorHAnsi" w:cstheme="minorHAnsi"/>
          <w:sz w:val="20"/>
          <w:szCs w:val="20"/>
        </w:rPr>
        <w:t xml:space="preserve"> </w:t>
      </w:r>
      <w:r w:rsidR="00643939">
        <w:rPr>
          <w:rFonts w:asciiTheme="minorHAnsi" w:hAnsiTheme="minorHAnsi" w:cstheme="minorHAnsi"/>
          <w:sz w:val="20"/>
          <w:szCs w:val="20"/>
        </w:rPr>
        <w:t>P</w:t>
      </w:r>
      <w:r w:rsidRPr="00FA7FB5">
        <w:rPr>
          <w:rFonts w:asciiTheme="minorHAnsi" w:hAnsiTheme="minorHAnsi" w:cstheme="minorHAnsi"/>
          <w:sz w:val="20"/>
          <w:szCs w:val="20"/>
        </w:rPr>
        <w:t xml:space="preserve">ro porovnání je </w:t>
      </w:r>
      <w:r>
        <w:rPr>
          <w:rFonts w:asciiTheme="minorHAnsi" w:hAnsiTheme="minorHAnsi" w:cstheme="minorHAnsi"/>
          <w:sz w:val="20"/>
          <w:szCs w:val="20"/>
        </w:rPr>
        <w:t xml:space="preserve">vývoj výsledku hospodaření </w:t>
      </w:r>
      <w:r w:rsidR="00643939" w:rsidRPr="00FA7FB5">
        <w:rPr>
          <w:rFonts w:asciiTheme="minorHAnsi" w:hAnsiTheme="minorHAnsi" w:cstheme="minorHAnsi"/>
          <w:sz w:val="20"/>
          <w:szCs w:val="20"/>
        </w:rPr>
        <w:t xml:space="preserve">uveden </w:t>
      </w:r>
      <w:r>
        <w:rPr>
          <w:rFonts w:asciiTheme="minorHAnsi" w:hAnsiTheme="minorHAnsi" w:cstheme="minorHAnsi"/>
          <w:sz w:val="20"/>
          <w:szCs w:val="20"/>
        </w:rPr>
        <w:t xml:space="preserve">od </w:t>
      </w:r>
      <w:r w:rsidRPr="00FA7FB5">
        <w:rPr>
          <w:rFonts w:asciiTheme="minorHAnsi" w:hAnsiTheme="minorHAnsi" w:cstheme="minorHAnsi"/>
          <w:sz w:val="20"/>
          <w:szCs w:val="20"/>
        </w:rPr>
        <w:t>rok</w:t>
      </w:r>
      <w:r>
        <w:rPr>
          <w:rFonts w:asciiTheme="minorHAnsi" w:hAnsiTheme="minorHAnsi" w:cstheme="minorHAnsi"/>
          <w:sz w:val="20"/>
          <w:szCs w:val="20"/>
        </w:rPr>
        <w:t>u</w:t>
      </w:r>
      <w:r w:rsidRPr="00FA7FB5">
        <w:rPr>
          <w:rFonts w:asciiTheme="minorHAnsi" w:hAnsiTheme="minorHAnsi" w:cstheme="minorHAnsi"/>
          <w:sz w:val="20"/>
          <w:szCs w:val="20"/>
        </w:rPr>
        <w:t xml:space="preserve"> 2016, kdy VOP CZ </w:t>
      </w:r>
      <w:r w:rsidR="00DA25CD">
        <w:rPr>
          <w:rFonts w:asciiTheme="minorHAnsi" w:hAnsiTheme="minorHAnsi" w:cstheme="minorHAnsi"/>
          <w:sz w:val="20"/>
          <w:szCs w:val="20"/>
        </w:rPr>
        <w:t>dosáhl</w:t>
      </w:r>
      <w:r w:rsidRPr="00FA7FB5">
        <w:rPr>
          <w:rFonts w:asciiTheme="minorHAnsi" w:hAnsiTheme="minorHAnsi" w:cstheme="minorHAnsi"/>
          <w:sz w:val="20"/>
          <w:szCs w:val="20"/>
        </w:rPr>
        <w:t xml:space="preserve"> </w:t>
      </w:r>
      <w:r>
        <w:rPr>
          <w:rFonts w:asciiTheme="minorHAnsi" w:hAnsiTheme="minorHAnsi" w:cstheme="minorHAnsi"/>
          <w:sz w:val="20"/>
          <w:szCs w:val="20"/>
        </w:rPr>
        <w:t>zisk</w:t>
      </w:r>
      <w:r w:rsidR="00DA25CD">
        <w:rPr>
          <w:rFonts w:asciiTheme="minorHAnsi" w:hAnsiTheme="minorHAnsi" w:cstheme="minorHAnsi"/>
          <w:sz w:val="20"/>
          <w:szCs w:val="20"/>
        </w:rPr>
        <w:t>u</w:t>
      </w:r>
      <w:r>
        <w:rPr>
          <w:rFonts w:asciiTheme="minorHAnsi" w:hAnsiTheme="minorHAnsi" w:cstheme="minorHAnsi"/>
          <w:sz w:val="20"/>
          <w:szCs w:val="20"/>
        </w:rPr>
        <w:t>.</w:t>
      </w:r>
    </w:p>
    <w:p w14:paraId="3A224A91" w14:textId="16EE91D5" w:rsidR="00F52F46" w:rsidRDefault="00DF3461" w:rsidP="00FA7FB5">
      <w:pPr>
        <w:spacing w:before="240" w:after="120"/>
        <w:jc w:val="both"/>
        <w:rPr>
          <w:rFonts w:asciiTheme="minorHAnsi" w:hAnsiTheme="minorHAnsi" w:cstheme="minorHAnsi"/>
        </w:rPr>
      </w:pPr>
      <w:r w:rsidRPr="005C66F7">
        <w:rPr>
          <w:rFonts w:asciiTheme="minorHAnsi" w:hAnsiTheme="minorHAnsi" w:cstheme="minorHAnsi"/>
          <w:b/>
        </w:rPr>
        <w:t>4.</w:t>
      </w:r>
      <w:r w:rsidR="002C0BBA">
        <w:rPr>
          <w:rFonts w:asciiTheme="minorHAnsi" w:hAnsiTheme="minorHAnsi" w:cstheme="minorHAnsi"/>
          <w:b/>
        </w:rPr>
        <w:t>3</w:t>
      </w:r>
      <w:r w:rsidR="007274B9">
        <w:rPr>
          <w:rFonts w:asciiTheme="minorHAnsi" w:hAnsiTheme="minorHAnsi" w:cstheme="minorHAnsi"/>
          <w:b/>
        </w:rPr>
        <w:t>2</w:t>
      </w:r>
      <w:r w:rsidRPr="005C66F7">
        <w:rPr>
          <w:rFonts w:asciiTheme="minorHAnsi" w:hAnsiTheme="minorHAnsi" w:cstheme="minorHAnsi"/>
        </w:rPr>
        <w:t xml:space="preserve"> </w:t>
      </w:r>
      <w:r w:rsidR="005C66F7" w:rsidRPr="005C66F7">
        <w:rPr>
          <w:rFonts w:asciiTheme="minorHAnsi" w:hAnsiTheme="minorHAnsi" w:cstheme="minorHAnsi"/>
        </w:rPr>
        <w:t>N</w:t>
      </w:r>
      <w:r w:rsidR="00F52F46" w:rsidRPr="005C66F7">
        <w:rPr>
          <w:rFonts w:asciiTheme="minorHAnsi" w:hAnsiTheme="minorHAnsi" w:cstheme="minorHAnsi"/>
        </w:rPr>
        <w:t>egativním důsledkem</w:t>
      </w:r>
      <w:r w:rsidR="005C66F7" w:rsidRPr="005C66F7">
        <w:rPr>
          <w:rFonts w:asciiTheme="minorHAnsi" w:hAnsiTheme="minorHAnsi" w:cstheme="minorHAnsi"/>
        </w:rPr>
        <w:t xml:space="preserve"> rostoucí kumulované ztráty z hospodaření VOP CZ byl</w:t>
      </w:r>
      <w:r w:rsidR="00AF574D">
        <w:rPr>
          <w:rFonts w:asciiTheme="minorHAnsi" w:hAnsiTheme="minorHAnsi" w:cstheme="minorHAnsi"/>
        </w:rPr>
        <w:t xml:space="preserve">o navýšení </w:t>
      </w:r>
      <w:r w:rsidR="00F52F46" w:rsidRPr="005C66F7">
        <w:rPr>
          <w:rFonts w:asciiTheme="minorHAnsi" w:hAnsiTheme="minorHAnsi" w:cstheme="minorHAnsi"/>
        </w:rPr>
        <w:t>úvěrů</w:t>
      </w:r>
      <w:r w:rsidR="005C66F7">
        <w:rPr>
          <w:rFonts w:asciiTheme="minorHAnsi" w:hAnsiTheme="minorHAnsi" w:cstheme="minorHAnsi"/>
        </w:rPr>
        <w:t xml:space="preserve">, z nichž </w:t>
      </w:r>
      <w:r w:rsidR="009F629D">
        <w:rPr>
          <w:rFonts w:asciiTheme="minorHAnsi" w:hAnsiTheme="minorHAnsi" w:cstheme="minorHAnsi"/>
        </w:rPr>
        <w:t>byl</w:t>
      </w:r>
      <w:r w:rsidR="005C66F7">
        <w:rPr>
          <w:rFonts w:asciiTheme="minorHAnsi" w:hAnsiTheme="minorHAnsi" w:cstheme="minorHAnsi"/>
        </w:rPr>
        <w:t xml:space="preserve"> p</w:t>
      </w:r>
      <w:r w:rsidR="00F52F46" w:rsidRPr="005C66F7">
        <w:rPr>
          <w:rFonts w:asciiTheme="minorHAnsi" w:hAnsiTheme="minorHAnsi" w:cstheme="minorHAnsi"/>
        </w:rPr>
        <w:t>odnik</w:t>
      </w:r>
      <w:r w:rsidR="009F629D">
        <w:rPr>
          <w:rFonts w:asciiTheme="minorHAnsi" w:hAnsiTheme="minorHAnsi" w:cstheme="minorHAnsi"/>
        </w:rPr>
        <w:t xml:space="preserve"> nucen</w:t>
      </w:r>
      <w:r w:rsidR="00F52F46" w:rsidRPr="005C66F7">
        <w:rPr>
          <w:rFonts w:asciiTheme="minorHAnsi" w:hAnsiTheme="minorHAnsi" w:cstheme="minorHAnsi"/>
        </w:rPr>
        <w:t xml:space="preserve"> financov</w:t>
      </w:r>
      <w:r w:rsidR="005C66F7" w:rsidRPr="005C66F7">
        <w:rPr>
          <w:rFonts w:asciiTheme="minorHAnsi" w:hAnsiTheme="minorHAnsi" w:cstheme="minorHAnsi"/>
        </w:rPr>
        <w:t xml:space="preserve">at </w:t>
      </w:r>
      <w:r w:rsidR="00F52F46" w:rsidRPr="005C66F7">
        <w:rPr>
          <w:rFonts w:asciiTheme="minorHAnsi" w:hAnsiTheme="minorHAnsi" w:cstheme="minorHAnsi"/>
        </w:rPr>
        <w:t>sv</w:t>
      </w:r>
      <w:r w:rsidR="005C66F7" w:rsidRPr="005C66F7">
        <w:rPr>
          <w:rFonts w:asciiTheme="minorHAnsi" w:hAnsiTheme="minorHAnsi" w:cstheme="minorHAnsi"/>
        </w:rPr>
        <w:t>ůj</w:t>
      </w:r>
      <w:r w:rsidR="00F52F46" w:rsidRPr="005C66F7">
        <w:rPr>
          <w:rFonts w:asciiTheme="minorHAnsi" w:hAnsiTheme="minorHAnsi" w:cstheme="minorHAnsi"/>
        </w:rPr>
        <w:t xml:space="preserve"> provoz. </w:t>
      </w:r>
      <w:r w:rsidR="005C66F7" w:rsidRPr="005C66F7">
        <w:rPr>
          <w:rFonts w:asciiTheme="minorHAnsi" w:hAnsiTheme="minorHAnsi" w:cstheme="minorHAnsi"/>
        </w:rPr>
        <w:t>Jejich objem se zvýšil z</w:t>
      </w:r>
      <w:r w:rsidR="00C94FF6">
        <w:rPr>
          <w:rFonts w:asciiTheme="minorHAnsi" w:hAnsiTheme="minorHAnsi" w:cstheme="minorHAnsi"/>
        </w:rPr>
        <w:t> </w:t>
      </w:r>
      <w:r w:rsidR="00F52F46" w:rsidRPr="005C66F7">
        <w:rPr>
          <w:rFonts w:asciiTheme="minorHAnsi" w:hAnsiTheme="minorHAnsi" w:cstheme="minorHAnsi"/>
        </w:rPr>
        <w:t>38</w:t>
      </w:r>
      <w:r w:rsidR="00C94FF6">
        <w:rPr>
          <w:rFonts w:asciiTheme="minorHAnsi" w:hAnsiTheme="minorHAnsi" w:cstheme="minorHAnsi"/>
        </w:rPr>
        <w:t>3,0</w:t>
      </w:r>
      <w:r w:rsidR="00F52F46" w:rsidRPr="005C66F7">
        <w:rPr>
          <w:rFonts w:asciiTheme="minorHAnsi" w:hAnsiTheme="minorHAnsi" w:cstheme="minorHAnsi"/>
        </w:rPr>
        <w:t xml:space="preserve"> </w:t>
      </w:r>
      <w:r w:rsidR="00C94FF6">
        <w:rPr>
          <w:rFonts w:asciiTheme="minorHAnsi" w:hAnsiTheme="minorHAnsi" w:cstheme="minorHAnsi"/>
        </w:rPr>
        <w:t>mil.</w:t>
      </w:r>
      <w:r w:rsidR="00F52F46" w:rsidRPr="005C66F7">
        <w:rPr>
          <w:rFonts w:asciiTheme="minorHAnsi" w:hAnsiTheme="minorHAnsi" w:cstheme="minorHAnsi"/>
        </w:rPr>
        <w:t xml:space="preserve"> Kč v roce 2018 na 492</w:t>
      </w:r>
      <w:r w:rsidR="00C94FF6">
        <w:rPr>
          <w:rFonts w:asciiTheme="minorHAnsi" w:hAnsiTheme="minorHAnsi" w:cstheme="minorHAnsi"/>
        </w:rPr>
        <w:t>,</w:t>
      </w:r>
      <w:r w:rsidR="00F52F46" w:rsidRPr="005C66F7">
        <w:rPr>
          <w:rFonts w:asciiTheme="minorHAnsi" w:hAnsiTheme="minorHAnsi" w:cstheme="minorHAnsi"/>
        </w:rPr>
        <w:t xml:space="preserve">2 </w:t>
      </w:r>
      <w:r w:rsidR="00C94FF6">
        <w:rPr>
          <w:rFonts w:asciiTheme="minorHAnsi" w:hAnsiTheme="minorHAnsi" w:cstheme="minorHAnsi"/>
        </w:rPr>
        <w:t>mil</w:t>
      </w:r>
      <w:r w:rsidR="00F52F46" w:rsidRPr="005C66F7">
        <w:rPr>
          <w:rFonts w:asciiTheme="minorHAnsi" w:hAnsiTheme="minorHAnsi" w:cstheme="minorHAnsi"/>
        </w:rPr>
        <w:t>. Kč v</w:t>
      </w:r>
      <w:r w:rsidR="0004051E">
        <w:rPr>
          <w:rFonts w:asciiTheme="minorHAnsi" w:hAnsiTheme="minorHAnsi" w:cstheme="minorHAnsi"/>
        </w:rPr>
        <w:t xml:space="preserve"> </w:t>
      </w:r>
      <w:r w:rsidR="00F52F46" w:rsidRPr="005C66F7">
        <w:rPr>
          <w:rFonts w:asciiTheme="minorHAnsi" w:hAnsiTheme="minorHAnsi" w:cstheme="minorHAnsi"/>
        </w:rPr>
        <w:t xml:space="preserve">roce 2021. </w:t>
      </w:r>
      <w:r w:rsidR="00AF574D">
        <w:rPr>
          <w:rFonts w:asciiTheme="minorHAnsi" w:hAnsiTheme="minorHAnsi" w:cstheme="minorHAnsi"/>
        </w:rPr>
        <w:t xml:space="preserve">Tím </w:t>
      </w:r>
      <w:r w:rsidR="00F52F46" w:rsidRPr="005C66F7">
        <w:rPr>
          <w:rFonts w:asciiTheme="minorHAnsi" w:hAnsiTheme="minorHAnsi" w:cstheme="minorHAnsi"/>
        </w:rPr>
        <w:t>docház</w:t>
      </w:r>
      <w:r w:rsidR="00AF574D">
        <w:rPr>
          <w:rFonts w:asciiTheme="minorHAnsi" w:hAnsiTheme="minorHAnsi" w:cstheme="minorHAnsi"/>
        </w:rPr>
        <w:t xml:space="preserve">elo </w:t>
      </w:r>
      <w:r w:rsidR="00F52F46" w:rsidRPr="005C66F7">
        <w:rPr>
          <w:rFonts w:asciiTheme="minorHAnsi" w:hAnsiTheme="minorHAnsi" w:cstheme="minorHAnsi"/>
        </w:rPr>
        <w:t xml:space="preserve">k navyšování nákladových úroků, které </w:t>
      </w:r>
      <w:r w:rsidR="00AF574D">
        <w:rPr>
          <w:rFonts w:asciiTheme="minorHAnsi" w:hAnsiTheme="minorHAnsi" w:cstheme="minorHAnsi"/>
        </w:rPr>
        <w:t xml:space="preserve">musel </w:t>
      </w:r>
      <w:r w:rsidR="00F52F46" w:rsidRPr="005C66F7">
        <w:rPr>
          <w:rFonts w:asciiTheme="minorHAnsi" w:hAnsiTheme="minorHAnsi" w:cstheme="minorHAnsi"/>
        </w:rPr>
        <w:t>VOP</w:t>
      </w:r>
      <w:r w:rsidR="00AF574D">
        <w:rPr>
          <w:rFonts w:asciiTheme="minorHAnsi" w:hAnsiTheme="minorHAnsi" w:cstheme="minorHAnsi"/>
        </w:rPr>
        <w:t xml:space="preserve"> CZ </w:t>
      </w:r>
      <w:r w:rsidR="00F52F46" w:rsidRPr="005C66F7">
        <w:rPr>
          <w:rFonts w:asciiTheme="minorHAnsi" w:hAnsiTheme="minorHAnsi" w:cstheme="minorHAnsi"/>
        </w:rPr>
        <w:t>za čerpání úvěrů</w:t>
      </w:r>
      <w:r w:rsidR="00AF574D">
        <w:rPr>
          <w:rFonts w:asciiTheme="minorHAnsi" w:hAnsiTheme="minorHAnsi" w:cstheme="minorHAnsi"/>
        </w:rPr>
        <w:t xml:space="preserve"> platit</w:t>
      </w:r>
      <w:r w:rsidR="00F52F46" w:rsidRPr="005C66F7">
        <w:rPr>
          <w:rFonts w:asciiTheme="minorHAnsi" w:hAnsiTheme="minorHAnsi" w:cstheme="minorHAnsi"/>
        </w:rPr>
        <w:t xml:space="preserve">. </w:t>
      </w:r>
      <w:r w:rsidR="00AF574D">
        <w:rPr>
          <w:rFonts w:asciiTheme="minorHAnsi" w:hAnsiTheme="minorHAnsi" w:cstheme="minorHAnsi"/>
        </w:rPr>
        <w:t xml:space="preserve">Jejich výše vzrostla </w:t>
      </w:r>
      <w:r w:rsidR="00F52F46" w:rsidRPr="005C66F7">
        <w:rPr>
          <w:rFonts w:asciiTheme="minorHAnsi" w:hAnsiTheme="minorHAnsi" w:cstheme="minorHAnsi"/>
        </w:rPr>
        <w:t>z</w:t>
      </w:r>
      <w:r w:rsidR="0004051E">
        <w:rPr>
          <w:rFonts w:asciiTheme="minorHAnsi" w:hAnsiTheme="minorHAnsi" w:cstheme="minorHAnsi"/>
        </w:rPr>
        <w:t xml:space="preserve"> </w:t>
      </w:r>
      <w:r w:rsidR="00F52F46" w:rsidRPr="005C66F7">
        <w:rPr>
          <w:rFonts w:asciiTheme="minorHAnsi" w:hAnsiTheme="minorHAnsi" w:cstheme="minorHAnsi"/>
        </w:rPr>
        <w:t>6</w:t>
      </w:r>
      <w:r w:rsidR="00C94FF6">
        <w:rPr>
          <w:rFonts w:asciiTheme="minorHAnsi" w:hAnsiTheme="minorHAnsi" w:cstheme="minorHAnsi"/>
        </w:rPr>
        <w:t>,2</w:t>
      </w:r>
      <w:r w:rsidR="00F52F46" w:rsidRPr="005C66F7">
        <w:rPr>
          <w:rFonts w:asciiTheme="minorHAnsi" w:hAnsiTheme="minorHAnsi" w:cstheme="minorHAnsi"/>
        </w:rPr>
        <w:t xml:space="preserve"> </w:t>
      </w:r>
      <w:r w:rsidR="00C94FF6">
        <w:rPr>
          <w:rFonts w:asciiTheme="minorHAnsi" w:hAnsiTheme="minorHAnsi" w:cstheme="minorHAnsi"/>
        </w:rPr>
        <w:t>mil</w:t>
      </w:r>
      <w:r w:rsidR="00F52F46" w:rsidRPr="005C66F7">
        <w:rPr>
          <w:rFonts w:asciiTheme="minorHAnsi" w:hAnsiTheme="minorHAnsi" w:cstheme="minorHAnsi"/>
        </w:rPr>
        <w:t xml:space="preserve">. Kč </w:t>
      </w:r>
      <w:r w:rsidR="00AF574D">
        <w:rPr>
          <w:rFonts w:asciiTheme="minorHAnsi" w:hAnsiTheme="minorHAnsi" w:cstheme="minorHAnsi"/>
        </w:rPr>
        <w:t xml:space="preserve">za rok 2018 </w:t>
      </w:r>
      <w:r w:rsidR="00F52F46" w:rsidRPr="005C66F7">
        <w:rPr>
          <w:rFonts w:asciiTheme="minorHAnsi" w:hAnsiTheme="minorHAnsi" w:cstheme="minorHAnsi"/>
        </w:rPr>
        <w:t>na 7</w:t>
      </w:r>
      <w:r w:rsidR="00C94FF6">
        <w:rPr>
          <w:rFonts w:asciiTheme="minorHAnsi" w:hAnsiTheme="minorHAnsi" w:cstheme="minorHAnsi"/>
        </w:rPr>
        <w:t>,</w:t>
      </w:r>
      <w:r w:rsidR="00F52F46" w:rsidRPr="005C66F7">
        <w:rPr>
          <w:rFonts w:asciiTheme="minorHAnsi" w:hAnsiTheme="minorHAnsi" w:cstheme="minorHAnsi"/>
        </w:rPr>
        <w:t>8</w:t>
      </w:r>
      <w:r w:rsidR="00C94FF6">
        <w:rPr>
          <w:rFonts w:asciiTheme="minorHAnsi" w:hAnsiTheme="minorHAnsi" w:cstheme="minorHAnsi"/>
        </w:rPr>
        <w:t> mil</w:t>
      </w:r>
      <w:r w:rsidR="00F52F46" w:rsidRPr="005C66F7">
        <w:rPr>
          <w:rFonts w:asciiTheme="minorHAnsi" w:hAnsiTheme="minorHAnsi" w:cstheme="minorHAnsi"/>
        </w:rPr>
        <w:t>. Kč za rok</w:t>
      </w:r>
      <w:r w:rsidR="00AF574D">
        <w:rPr>
          <w:rFonts w:asciiTheme="minorHAnsi" w:hAnsiTheme="minorHAnsi" w:cstheme="minorHAnsi"/>
        </w:rPr>
        <w:t xml:space="preserve"> 2021</w:t>
      </w:r>
      <w:r w:rsidR="00F52F46" w:rsidRPr="005C66F7">
        <w:rPr>
          <w:rFonts w:asciiTheme="minorHAnsi" w:hAnsiTheme="minorHAnsi" w:cstheme="minorHAnsi"/>
        </w:rPr>
        <w:t>.</w:t>
      </w:r>
      <w:r w:rsidR="007F7D20">
        <w:rPr>
          <w:rFonts w:asciiTheme="minorHAnsi" w:hAnsiTheme="minorHAnsi" w:cstheme="minorHAnsi"/>
        </w:rPr>
        <w:t xml:space="preserve"> </w:t>
      </w:r>
      <w:r w:rsidR="007F7D20" w:rsidRPr="007F7D20">
        <w:rPr>
          <w:rFonts w:asciiTheme="minorHAnsi" w:hAnsiTheme="minorHAnsi" w:cstheme="minorHAnsi"/>
        </w:rPr>
        <w:t xml:space="preserve">Se zvyšujícím se podílem čerpaných </w:t>
      </w:r>
      <w:r w:rsidR="007F7D20">
        <w:rPr>
          <w:rFonts w:asciiTheme="minorHAnsi" w:hAnsiTheme="minorHAnsi" w:cstheme="minorHAnsi"/>
        </w:rPr>
        <w:t xml:space="preserve">úvěrů </w:t>
      </w:r>
      <w:r w:rsidR="007F7D20" w:rsidRPr="007F7D20">
        <w:rPr>
          <w:rFonts w:asciiTheme="minorHAnsi" w:hAnsiTheme="minorHAnsi" w:cstheme="minorHAnsi"/>
        </w:rPr>
        <w:t>rostla míra zadluženosti podniku</w:t>
      </w:r>
      <w:r w:rsidR="00912489">
        <w:rPr>
          <w:rStyle w:val="Znakapoznpodarou"/>
          <w:rFonts w:asciiTheme="minorHAnsi" w:hAnsiTheme="minorHAnsi" w:cstheme="minorHAnsi"/>
        </w:rPr>
        <w:footnoteReference w:id="49"/>
      </w:r>
      <w:r w:rsidR="007F7D20" w:rsidRPr="007F7D20">
        <w:rPr>
          <w:rFonts w:asciiTheme="minorHAnsi" w:hAnsiTheme="minorHAnsi" w:cstheme="minorHAnsi"/>
        </w:rPr>
        <w:t xml:space="preserve">, viz graf č. </w:t>
      </w:r>
      <w:r w:rsidR="00DA25CD">
        <w:rPr>
          <w:rFonts w:asciiTheme="minorHAnsi" w:hAnsiTheme="minorHAnsi" w:cstheme="minorHAnsi"/>
        </w:rPr>
        <w:t>4</w:t>
      </w:r>
      <w:r w:rsidR="007F7D20" w:rsidRPr="007F7D20">
        <w:rPr>
          <w:rFonts w:asciiTheme="minorHAnsi" w:hAnsiTheme="minorHAnsi" w:cstheme="minorHAnsi"/>
        </w:rPr>
        <w:t xml:space="preserve">. </w:t>
      </w:r>
      <w:r w:rsidR="00526BB4">
        <w:rPr>
          <w:rFonts w:asciiTheme="minorHAnsi" w:hAnsiTheme="minorHAnsi" w:cstheme="minorHAnsi"/>
        </w:rPr>
        <w:t>Výchozí</w:t>
      </w:r>
      <w:r w:rsidR="00E22FB6">
        <w:rPr>
          <w:rFonts w:asciiTheme="minorHAnsi" w:hAnsiTheme="minorHAnsi" w:cstheme="minorHAnsi"/>
        </w:rPr>
        <w:t xml:space="preserve"> hodnotou </w:t>
      </w:r>
      <w:r w:rsidR="00526BB4">
        <w:rPr>
          <w:rFonts w:asciiTheme="minorHAnsi" w:hAnsiTheme="minorHAnsi" w:cstheme="minorHAnsi"/>
        </w:rPr>
        <w:t xml:space="preserve">je rok </w:t>
      </w:r>
      <w:r w:rsidR="007F7D20" w:rsidRPr="007F7D20">
        <w:rPr>
          <w:rFonts w:asciiTheme="minorHAnsi" w:hAnsiTheme="minorHAnsi" w:cstheme="minorHAnsi"/>
        </w:rPr>
        <w:t xml:space="preserve">2016, neboť je posledním rokem, kdy VOP CZ </w:t>
      </w:r>
      <w:r w:rsidR="00526BB4">
        <w:rPr>
          <w:rFonts w:asciiTheme="minorHAnsi" w:hAnsiTheme="minorHAnsi" w:cstheme="minorHAnsi"/>
        </w:rPr>
        <w:t>dosáhl zisku</w:t>
      </w:r>
      <w:r w:rsidR="007F7D20" w:rsidRPr="005D2902">
        <w:rPr>
          <w:rFonts w:asciiTheme="minorHAnsi" w:hAnsiTheme="minorHAnsi" w:cstheme="minorHAnsi"/>
        </w:rPr>
        <w:t xml:space="preserve">. </w:t>
      </w:r>
      <w:r w:rsidR="00526BB4" w:rsidRPr="005D2902">
        <w:rPr>
          <w:rFonts w:asciiTheme="minorHAnsi" w:hAnsiTheme="minorHAnsi" w:cstheme="minorHAnsi"/>
        </w:rPr>
        <w:t xml:space="preserve">Rostoucí míra </w:t>
      </w:r>
      <w:r w:rsidR="007F7D20" w:rsidRPr="005D2902">
        <w:rPr>
          <w:rFonts w:asciiTheme="minorHAnsi" w:hAnsiTheme="minorHAnsi" w:cstheme="minorHAnsi"/>
        </w:rPr>
        <w:t xml:space="preserve">zadluženosti </w:t>
      </w:r>
      <w:r w:rsidR="00E22FB6" w:rsidRPr="005D2902">
        <w:rPr>
          <w:rFonts w:asciiTheme="minorHAnsi" w:hAnsiTheme="minorHAnsi" w:cstheme="minorHAnsi"/>
        </w:rPr>
        <w:t xml:space="preserve">podniku </w:t>
      </w:r>
      <w:r w:rsidR="007F7D20" w:rsidRPr="005D2902">
        <w:rPr>
          <w:rFonts w:asciiTheme="minorHAnsi" w:hAnsiTheme="minorHAnsi" w:cstheme="minorHAnsi"/>
        </w:rPr>
        <w:t>se promít</w:t>
      </w:r>
      <w:r w:rsidR="00912489" w:rsidRPr="005D2902">
        <w:rPr>
          <w:rFonts w:asciiTheme="minorHAnsi" w:hAnsiTheme="minorHAnsi" w:cstheme="minorHAnsi"/>
        </w:rPr>
        <w:t>ala</w:t>
      </w:r>
      <w:r w:rsidR="007F7D20" w:rsidRPr="005D2902">
        <w:rPr>
          <w:rFonts w:asciiTheme="minorHAnsi" w:hAnsiTheme="minorHAnsi" w:cstheme="minorHAnsi"/>
        </w:rPr>
        <w:t xml:space="preserve"> do</w:t>
      </w:r>
      <w:r w:rsidR="00363165" w:rsidRPr="005D2902">
        <w:rPr>
          <w:rFonts w:asciiTheme="minorHAnsi" w:hAnsiTheme="minorHAnsi" w:cstheme="minorHAnsi"/>
        </w:rPr>
        <w:t xml:space="preserve"> </w:t>
      </w:r>
      <w:r w:rsidR="00526BB4" w:rsidRPr="005D2902">
        <w:rPr>
          <w:rFonts w:asciiTheme="minorHAnsi" w:hAnsiTheme="minorHAnsi" w:cstheme="minorHAnsi"/>
        </w:rPr>
        <w:t xml:space="preserve">cen </w:t>
      </w:r>
      <w:r w:rsidR="007F7D20" w:rsidRPr="005D2902">
        <w:rPr>
          <w:rFonts w:asciiTheme="minorHAnsi" w:hAnsiTheme="minorHAnsi" w:cstheme="minorHAnsi"/>
        </w:rPr>
        <w:t>výrobků a</w:t>
      </w:r>
      <w:r w:rsidR="00862479">
        <w:rPr>
          <w:rFonts w:asciiTheme="minorHAnsi" w:hAnsiTheme="minorHAnsi" w:cstheme="minorHAnsi"/>
        </w:rPr>
        <w:t xml:space="preserve"> </w:t>
      </w:r>
      <w:r w:rsidR="007F7D20" w:rsidRPr="005D2902">
        <w:rPr>
          <w:rFonts w:asciiTheme="minorHAnsi" w:hAnsiTheme="minorHAnsi" w:cstheme="minorHAnsi"/>
        </w:rPr>
        <w:t xml:space="preserve">služeb, které VOP CZ </w:t>
      </w:r>
      <w:r w:rsidR="00363165" w:rsidRPr="005D2902">
        <w:rPr>
          <w:rFonts w:asciiTheme="minorHAnsi" w:hAnsiTheme="minorHAnsi" w:cstheme="minorHAnsi"/>
        </w:rPr>
        <w:t>poskytoval</w:t>
      </w:r>
      <w:r w:rsidR="00E22FB6" w:rsidRPr="005D2902">
        <w:rPr>
          <w:rFonts w:asciiTheme="minorHAnsi" w:hAnsiTheme="minorHAnsi" w:cstheme="minorHAnsi"/>
        </w:rPr>
        <w:t xml:space="preserve"> (viz příklad č. 5)</w:t>
      </w:r>
      <w:r w:rsidR="007F7D20" w:rsidRPr="005D2902">
        <w:rPr>
          <w:rFonts w:asciiTheme="minorHAnsi" w:hAnsiTheme="minorHAnsi" w:cstheme="minorHAnsi"/>
        </w:rPr>
        <w:t xml:space="preserve">. </w:t>
      </w:r>
      <w:r w:rsidR="00E22FB6" w:rsidRPr="005D2902">
        <w:rPr>
          <w:rFonts w:asciiTheme="minorHAnsi" w:hAnsiTheme="minorHAnsi" w:cstheme="minorHAnsi"/>
        </w:rPr>
        <w:t>Důsledkem</w:t>
      </w:r>
      <w:r w:rsidR="005D2902" w:rsidRPr="005D2902">
        <w:rPr>
          <w:rFonts w:asciiTheme="minorHAnsi" w:hAnsiTheme="minorHAnsi" w:cstheme="minorHAnsi"/>
        </w:rPr>
        <w:t xml:space="preserve"> toho</w:t>
      </w:r>
      <w:r w:rsidR="00E22FB6" w:rsidRPr="005D2902">
        <w:rPr>
          <w:rFonts w:asciiTheme="minorHAnsi" w:hAnsiTheme="minorHAnsi" w:cstheme="minorHAnsi"/>
        </w:rPr>
        <w:t xml:space="preserve"> </w:t>
      </w:r>
      <w:r w:rsidR="007D645C">
        <w:rPr>
          <w:rFonts w:asciiTheme="minorHAnsi" w:hAnsiTheme="minorHAnsi" w:cstheme="minorHAnsi"/>
        </w:rPr>
        <w:t>bylo</w:t>
      </w:r>
      <w:r w:rsidR="00E22FB6" w:rsidRPr="005D2902">
        <w:rPr>
          <w:rFonts w:asciiTheme="minorHAnsi" w:hAnsiTheme="minorHAnsi" w:cstheme="minorHAnsi"/>
        </w:rPr>
        <w:t xml:space="preserve"> buď snížení obchodní marže </w:t>
      </w:r>
      <w:r w:rsidR="0064349F">
        <w:rPr>
          <w:rFonts w:asciiTheme="minorHAnsi" w:hAnsiTheme="minorHAnsi" w:cstheme="minorHAnsi"/>
        </w:rPr>
        <w:br/>
      </w:r>
      <w:r w:rsidR="00862479">
        <w:rPr>
          <w:rFonts w:asciiTheme="minorHAnsi" w:hAnsiTheme="minorHAnsi" w:cstheme="minorHAnsi"/>
        </w:rPr>
        <w:t>u</w:t>
      </w:r>
      <w:r w:rsidR="0064349F">
        <w:rPr>
          <w:rFonts w:asciiTheme="minorHAnsi" w:hAnsiTheme="minorHAnsi" w:cstheme="minorHAnsi"/>
        </w:rPr>
        <w:t xml:space="preserve"> </w:t>
      </w:r>
      <w:r w:rsidR="005D2902">
        <w:rPr>
          <w:rFonts w:asciiTheme="minorHAnsi" w:hAnsiTheme="minorHAnsi" w:cstheme="minorHAnsi"/>
        </w:rPr>
        <w:t xml:space="preserve">výrobku či služby </w:t>
      </w:r>
      <w:r w:rsidR="005D2902" w:rsidRPr="005D2902">
        <w:rPr>
          <w:rFonts w:asciiTheme="minorHAnsi" w:hAnsiTheme="minorHAnsi" w:cstheme="minorHAnsi"/>
        </w:rPr>
        <w:t>s</w:t>
      </w:r>
      <w:r w:rsidR="00862479">
        <w:rPr>
          <w:rFonts w:asciiTheme="minorHAnsi" w:hAnsiTheme="minorHAnsi" w:cstheme="minorHAnsi"/>
        </w:rPr>
        <w:t xml:space="preserve"> </w:t>
      </w:r>
      <w:r w:rsidR="005D2902" w:rsidRPr="005D2902">
        <w:rPr>
          <w:rFonts w:asciiTheme="minorHAnsi" w:hAnsiTheme="minorHAnsi" w:cstheme="minorHAnsi"/>
        </w:rPr>
        <w:t>negativním dopadem na výši hospodářského výsledku</w:t>
      </w:r>
      <w:r w:rsidR="005D2902">
        <w:rPr>
          <w:rFonts w:asciiTheme="minorHAnsi" w:hAnsiTheme="minorHAnsi" w:cstheme="minorHAnsi"/>
        </w:rPr>
        <w:t xml:space="preserve"> podniku</w:t>
      </w:r>
      <w:r w:rsidR="005D2902" w:rsidRPr="005D2902">
        <w:rPr>
          <w:rFonts w:asciiTheme="minorHAnsi" w:hAnsiTheme="minorHAnsi" w:cstheme="minorHAnsi"/>
        </w:rPr>
        <w:t>, a</w:t>
      </w:r>
      <w:r w:rsidR="00E22FB6" w:rsidRPr="005D2902">
        <w:rPr>
          <w:rFonts w:asciiTheme="minorHAnsi" w:hAnsiTheme="minorHAnsi" w:cstheme="minorHAnsi"/>
        </w:rPr>
        <w:t xml:space="preserve">nebo zvýšení ceny </w:t>
      </w:r>
      <w:r w:rsidR="005D2902">
        <w:rPr>
          <w:rFonts w:asciiTheme="minorHAnsi" w:hAnsiTheme="minorHAnsi" w:cstheme="minorHAnsi"/>
        </w:rPr>
        <w:t xml:space="preserve">výrobku či služby </w:t>
      </w:r>
      <w:r w:rsidR="00E22FB6" w:rsidRPr="005D2902">
        <w:rPr>
          <w:rFonts w:asciiTheme="minorHAnsi" w:hAnsiTheme="minorHAnsi" w:cstheme="minorHAnsi"/>
        </w:rPr>
        <w:t xml:space="preserve">a tím snížení </w:t>
      </w:r>
      <w:r w:rsidR="007F7D20" w:rsidRPr="005D2902">
        <w:rPr>
          <w:rFonts w:asciiTheme="minorHAnsi" w:hAnsiTheme="minorHAnsi" w:cstheme="minorHAnsi"/>
        </w:rPr>
        <w:t>konkurenceschopnosti podniku.</w:t>
      </w:r>
    </w:p>
    <w:p w14:paraId="5F713B6F" w14:textId="77777777" w:rsidR="00B00D0D" w:rsidRDefault="00B00D0D">
      <w:pPr>
        <w:rPr>
          <w:rFonts w:asciiTheme="minorHAnsi" w:hAnsiTheme="minorHAnsi" w:cstheme="minorHAnsi"/>
          <w:b/>
        </w:rPr>
      </w:pPr>
      <w:r>
        <w:rPr>
          <w:rFonts w:asciiTheme="minorHAnsi" w:hAnsiTheme="minorHAnsi" w:cstheme="minorHAnsi"/>
          <w:b/>
        </w:rPr>
        <w:br w:type="page"/>
      </w:r>
    </w:p>
    <w:p w14:paraId="509380DB" w14:textId="595D56F1" w:rsidR="007F7D20" w:rsidRDefault="007F7D20" w:rsidP="00F9074B">
      <w:pPr>
        <w:spacing w:before="120"/>
        <w:ind w:left="993" w:right="709" w:hanging="993"/>
        <w:jc w:val="both"/>
        <w:rPr>
          <w:rFonts w:asciiTheme="minorHAnsi" w:hAnsiTheme="minorHAnsi" w:cstheme="minorHAnsi"/>
          <w:b/>
        </w:rPr>
      </w:pPr>
      <w:r w:rsidRPr="004B7988">
        <w:rPr>
          <w:rFonts w:asciiTheme="minorHAnsi" w:hAnsiTheme="minorHAnsi" w:cstheme="minorHAnsi"/>
          <w:b/>
        </w:rPr>
        <w:lastRenderedPageBreak/>
        <w:t xml:space="preserve">Graf č. </w:t>
      </w:r>
      <w:r w:rsidR="00DA25CD">
        <w:rPr>
          <w:rFonts w:asciiTheme="minorHAnsi" w:hAnsiTheme="minorHAnsi" w:cstheme="minorHAnsi"/>
          <w:b/>
        </w:rPr>
        <w:t>4</w:t>
      </w:r>
      <w:r>
        <w:rPr>
          <w:rFonts w:asciiTheme="minorHAnsi" w:hAnsiTheme="minorHAnsi" w:cstheme="minorHAnsi"/>
          <w:b/>
        </w:rPr>
        <w:t>:</w:t>
      </w:r>
      <w:r w:rsidRPr="004B7988">
        <w:rPr>
          <w:rFonts w:asciiTheme="minorHAnsi" w:hAnsiTheme="minorHAnsi" w:cstheme="minorHAnsi"/>
          <w:b/>
        </w:rPr>
        <w:t xml:space="preserve"> </w:t>
      </w:r>
      <w:r w:rsidR="00BA0E65">
        <w:rPr>
          <w:rFonts w:asciiTheme="minorHAnsi" w:hAnsiTheme="minorHAnsi" w:cstheme="minorHAnsi"/>
          <w:b/>
        </w:rPr>
        <w:tab/>
      </w:r>
      <w:r>
        <w:rPr>
          <w:rFonts w:asciiTheme="minorHAnsi" w:hAnsiTheme="minorHAnsi" w:cstheme="minorHAnsi"/>
          <w:b/>
        </w:rPr>
        <w:t>V</w:t>
      </w:r>
      <w:r w:rsidRPr="004B7988">
        <w:rPr>
          <w:rFonts w:asciiTheme="minorHAnsi" w:hAnsiTheme="minorHAnsi" w:cstheme="minorHAnsi"/>
          <w:b/>
        </w:rPr>
        <w:t xml:space="preserve">ývoj cizích zdrojů, vlastního kapitálu a </w:t>
      </w:r>
      <w:r w:rsidR="00BA0E65">
        <w:rPr>
          <w:rFonts w:asciiTheme="minorHAnsi" w:hAnsiTheme="minorHAnsi" w:cstheme="minorHAnsi"/>
          <w:b/>
        </w:rPr>
        <w:t xml:space="preserve">nákladových </w:t>
      </w:r>
      <w:r w:rsidRPr="004B7988">
        <w:rPr>
          <w:rFonts w:asciiTheme="minorHAnsi" w:hAnsiTheme="minorHAnsi" w:cstheme="minorHAnsi"/>
          <w:b/>
        </w:rPr>
        <w:t>úroků VOP</w:t>
      </w:r>
      <w:r>
        <w:rPr>
          <w:rFonts w:asciiTheme="minorHAnsi" w:hAnsiTheme="minorHAnsi" w:cstheme="minorHAnsi"/>
          <w:b/>
        </w:rPr>
        <w:t xml:space="preserve"> CZ</w:t>
      </w:r>
      <w:r w:rsidRPr="004B7988">
        <w:rPr>
          <w:rFonts w:asciiTheme="minorHAnsi" w:hAnsiTheme="minorHAnsi" w:cstheme="minorHAnsi"/>
          <w:b/>
        </w:rPr>
        <w:t xml:space="preserve"> </w:t>
      </w:r>
      <w:r w:rsidR="0064349F">
        <w:rPr>
          <w:rFonts w:asciiTheme="minorHAnsi" w:hAnsiTheme="minorHAnsi" w:cstheme="minorHAnsi"/>
          <w:b/>
        </w:rPr>
        <w:br/>
      </w:r>
      <w:r w:rsidRPr="004B7988">
        <w:rPr>
          <w:rFonts w:asciiTheme="minorHAnsi" w:hAnsiTheme="minorHAnsi" w:cstheme="minorHAnsi"/>
          <w:b/>
        </w:rPr>
        <w:t>v letech 201</w:t>
      </w:r>
      <w:r>
        <w:rPr>
          <w:rFonts w:asciiTheme="minorHAnsi" w:hAnsiTheme="minorHAnsi" w:cstheme="minorHAnsi"/>
          <w:b/>
        </w:rPr>
        <w:t>6–</w:t>
      </w:r>
      <w:r w:rsidRPr="004B7988">
        <w:rPr>
          <w:rFonts w:asciiTheme="minorHAnsi" w:hAnsiTheme="minorHAnsi" w:cstheme="minorHAnsi"/>
          <w:b/>
        </w:rPr>
        <w:t>2021</w:t>
      </w:r>
    </w:p>
    <w:p w14:paraId="45C325C7" w14:textId="2DBED6C4" w:rsidR="007F7D20" w:rsidRDefault="00B85CAA" w:rsidP="007F7D20">
      <w:pPr>
        <w:jc w:val="both"/>
        <w:rPr>
          <w:rFonts w:asciiTheme="minorHAnsi" w:hAnsiTheme="minorHAnsi" w:cstheme="minorHAnsi"/>
          <w:b/>
          <w:sz w:val="20"/>
        </w:rPr>
      </w:pPr>
      <w:r>
        <w:rPr>
          <w:noProof/>
        </w:rPr>
        <w:drawing>
          <wp:inline distT="0" distB="0" distL="0" distR="0" wp14:anchorId="4278DB8E" wp14:editId="318BBB37">
            <wp:extent cx="5760720" cy="3124200"/>
            <wp:effectExtent l="0" t="0" r="0" b="0"/>
            <wp:docPr id="11" name="Graf 11">
              <a:extLst xmlns:a="http://schemas.openxmlformats.org/drawingml/2006/main">
                <a:ext uri="{FF2B5EF4-FFF2-40B4-BE49-F238E27FC236}">
                  <a16:creationId xmlns:a16="http://schemas.microsoft.com/office/drawing/2014/main" id="{43FE0203-E2C1-491D-928A-A89D03266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8D236C" w14:textId="66283E05" w:rsidR="007F7D20" w:rsidRPr="004B7988" w:rsidRDefault="007F7D20" w:rsidP="007F7D20">
      <w:pPr>
        <w:spacing w:after="360"/>
        <w:jc w:val="both"/>
        <w:rPr>
          <w:rFonts w:asciiTheme="minorHAnsi" w:hAnsiTheme="minorHAnsi" w:cstheme="minorHAnsi"/>
          <w:sz w:val="20"/>
        </w:rPr>
      </w:pPr>
      <w:r w:rsidRPr="004B7988">
        <w:rPr>
          <w:rFonts w:asciiTheme="minorHAnsi" w:hAnsiTheme="minorHAnsi" w:cstheme="minorHAnsi"/>
          <w:b/>
          <w:sz w:val="20"/>
        </w:rPr>
        <w:t>Zdroj:</w:t>
      </w:r>
      <w:r w:rsidRPr="004B7988">
        <w:rPr>
          <w:rFonts w:asciiTheme="minorHAnsi" w:hAnsiTheme="minorHAnsi" w:cstheme="minorHAnsi"/>
          <w:sz w:val="20"/>
        </w:rPr>
        <w:t xml:space="preserve"> účetní závěrk</w:t>
      </w:r>
      <w:r>
        <w:rPr>
          <w:rFonts w:asciiTheme="minorHAnsi" w:hAnsiTheme="minorHAnsi" w:cstheme="minorHAnsi"/>
          <w:sz w:val="20"/>
        </w:rPr>
        <w:t>y</w:t>
      </w:r>
      <w:r w:rsidRPr="004B7988">
        <w:rPr>
          <w:rFonts w:asciiTheme="minorHAnsi" w:hAnsiTheme="minorHAnsi" w:cstheme="minorHAnsi"/>
          <w:sz w:val="20"/>
        </w:rPr>
        <w:t xml:space="preserve"> VOP CZ</w:t>
      </w:r>
      <w:r w:rsidR="00BA0E65">
        <w:rPr>
          <w:rFonts w:asciiTheme="minorHAnsi" w:hAnsiTheme="minorHAnsi" w:cstheme="minorHAnsi"/>
          <w:sz w:val="20"/>
        </w:rPr>
        <w:t xml:space="preserve"> za roky 2016–2021</w:t>
      </w:r>
      <w:r>
        <w:rPr>
          <w:rFonts w:asciiTheme="minorHAnsi" w:hAnsiTheme="minorHAnsi" w:cstheme="minorHAnsi"/>
          <w:sz w:val="20"/>
        </w:rPr>
        <w:t>.</w:t>
      </w:r>
    </w:p>
    <w:p w14:paraId="4394E829" w14:textId="77777777" w:rsidR="00770CFA" w:rsidRPr="001C56EA" w:rsidRDefault="00770CFA" w:rsidP="00770CFA">
      <w:pPr>
        <w:pBdr>
          <w:top w:val="single" w:sz="12" w:space="1" w:color="004595"/>
          <w:left w:val="single" w:sz="12" w:space="1" w:color="004595"/>
          <w:bottom w:val="single" w:sz="12" w:space="1" w:color="004595"/>
          <w:right w:val="single" w:sz="12" w:space="4" w:color="004595"/>
        </w:pBdr>
        <w:rPr>
          <w:rFonts w:asciiTheme="minorHAnsi" w:hAnsiTheme="minorHAnsi" w:cstheme="minorHAnsi"/>
          <w:b/>
          <w:i/>
        </w:rPr>
      </w:pPr>
      <w:r w:rsidRPr="001C56EA">
        <w:rPr>
          <w:rFonts w:asciiTheme="minorHAnsi" w:hAnsiTheme="minorHAnsi" w:cstheme="minorHAnsi"/>
          <w:b/>
          <w:i/>
        </w:rPr>
        <w:t xml:space="preserve">Příklad č. </w:t>
      </w:r>
      <w:r w:rsidR="0073037F">
        <w:rPr>
          <w:rFonts w:asciiTheme="minorHAnsi" w:hAnsiTheme="minorHAnsi" w:cstheme="minorHAnsi"/>
          <w:b/>
          <w:i/>
        </w:rPr>
        <w:t>5</w:t>
      </w:r>
    </w:p>
    <w:p w14:paraId="429B4563" w14:textId="70955BF0" w:rsidR="00F52F46" w:rsidRPr="007F7D20" w:rsidRDefault="00770CFA" w:rsidP="007F7D20">
      <w:pPr>
        <w:pBdr>
          <w:top w:val="single" w:sz="12" w:space="1" w:color="004595"/>
          <w:left w:val="single" w:sz="12" w:space="1" w:color="004595"/>
          <w:bottom w:val="single" w:sz="12" w:space="1" w:color="004595"/>
          <w:right w:val="single" w:sz="12" w:space="4" w:color="004595"/>
        </w:pBdr>
        <w:jc w:val="both"/>
        <w:rPr>
          <w:rFonts w:asciiTheme="minorHAnsi" w:hAnsiTheme="minorHAnsi" w:cstheme="minorHAnsi"/>
          <w:i/>
        </w:rPr>
      </w:pPr>
      <w:r w:rsidRPr="001C56EA">
        <w:rPr>
          <w:rFonts w:asciiTheme="minorHAnsi" w:hAnsiTheme="minorHAnsi" w:cstheme="minorHAnsi"/>
          <w:i/>
        </w:rPr>
        <w:t xml:space="preserve">VOP CZ v kontrolovaném období realizoval pro MO dodávky cisternových automobilů </w:t>
      </w:r>
      <w:r w:rsidR="00E27F49">
        <w:rPr>
          <w:rFonts w:asciiTheme="minorHAnsi" w:hAnsiTheme="minorHAnsi" w:cstheme="minorHAnsi"/>
          <w:i/>
        </w:rPr>
        <w:t>– pl</w:t>
      </w:r>
      <w:r w:rsidRPr="001C56EA">
        <w:rPr>
          <w:rFonts w:asciiTheme="minorHAnsi" w:hAnsiTheme="minorHAnsi" w:cstheme="minorHAnsi"/>
          <w:i/>
        </w:rPr>
        <w:t>n</w:t>
      </w:r>
      <w:r w:rsidR="00E27F49">
        <w:rPr>
          <w:rFonts w:asciiTheme="minorHAnsi" w:hAnsiTheme="minorHAnsi" w:cstheme="minorHAnsi"/>
          <w:i/>
        </w:rPr>
        <w:t>ičů</w:t>
      </w:r>
      <w:r>
        <w:rPr>
          <w:rFonts w:asciiTheme="minorHAnsi" w:hAnsiTheme="minorHAnsi" w:cstheme="minorHAnsi"/>
          <w:i/>
        </w:rPr>
        <w:t xml:space="preserve"> </w:t>
      </w:r>
      <w:r w:rsidRPr="001C56EA">
        <w:rPr>
          <w:rFonts w:asciiTheme="minorHAnsi" w:hAnsiTheme="minorHAnsi" w:cstheme="minorHAnsi"/>
          <w:i/>
        </w:rPr>
        <w:t>letecké techniky</w:t>
      </w:r>
      <w:r>
        <w:rPr>
          <w:rFonts w:asciiTheme="minorHAnsi" w:hAnsiTheme="minorHAnsi" w:cstheme="minorHAnsi"/>
          <w:i/>
        </w:rPr>
        <w:t xml:space="preserve"> Armády. Podle podnikové kalkulace celkem 8</w:t>
      </w:r>
      <w:r w:rsidR="00E27F49">
        <w:rPr>
          <w:rFonts w:asciiTheme="minorHAnsi" w:hAnsiTheme="minorHAnsi" w:cstheme="minorHAnsi"/>
          <w:i/>
        </w:rPr>
        <w:t>1</w:t>
      </w:r>
      <w:r>
        <w:rPr>
          <w:rFonts w:asciiTheme="minorHAnsi" w:hAnsiTheme="minorHAnsi" w:cstheme="minorHAnsi"/>
          <w:i/>
        </w:rPr>
        <w:t xml:space="preserve"> % ceny jedné cisterny tvořil materiál. </w:t>
      </w:r>
      <w:r w:rsidR="002D3536">
        <w:rPr>
          <w:rFonts w:asciiTheme="minorHAnsi" w:hAnsiTheme="minorHAnsi" w:cstheme="minorHAnsi"/>
          <w:i/>
        </w:rPr>
        <w:t>Další</w:t>
      </w:r>
      <w:r>
        <w:rPr>
          <w:rFonts w:asciiTheme="minorHAnsi" w:hAnsiTheme="minorHAnsi" w:cstheme="minorHAnsi"/>
          <w:i/>
        </w:rPr>
        <w:t xml:space="preserve"> </w:t>
      </w:r>
      <w:r w:rsidR="00920BF3">
        <w:rPr>
          <w:rFonts w:asciiTheme="minorHAnsi" w:hAnsiTheme="minorHAnsi" w:cstheme="minorHAnsi"/>
          <w:i/>
        </w:rPr>
        <w:t>složka ceny byla tvořena</w:t>
      </w:r>
      <w:r>
        <w:rPr>
          <w:rFonts w:asciiTheme="minorHAnsi" w:hAnsiTheme="minorHAnsi" w:cstheme="minorHAnsi"/>
          <w:i/>
        </w:rPr>
        <w:t xml:space="preserve"> výrob</w:t>
      </w:r>
      <w:r w:rsidR="00920BF3">
        <w:rPr>
          <w:rFonts w:asciiTheme="minorHAnsi" w:hAnsiTheme="minorHAnsi" w:cstheme="minorHAnsi"/>
          <w:i/>
        </w:rPr>
        <w:t>ou</w:t>
      </w:r>
      <w:r>
        <w:rPr>
          <w:rFonts w:asciiTheme="minorHAnsi" w:hAnsiTheme="minorHAnsi" w:cstheme="minorHAnsi"/>
          <w:i/>
        </w:rPr>
        <w:t>, doprav</w:t>
      </w:r>
      <w:r w:rsidR="00920BF3">
        <w:rPr>
          <w:rFonts w:asciiTheme="minorHAnsi" w:hAnsiTheme="minorHAnsi" w:cstheme="minorHAnsi"/>
          <w:i/>
        </w:rPr>
        <w:t>ou</w:t>
      </w:r>
      <w:r w:rsidR="00E27F49">
        <w:rPr>
          <w:rFonts w:asciiTheme="minorHAnsi" w:hAnsiTheme="minorHAnsi" w:cstheme="minorHAnsi"/>
          <w:i/>
        </w:rPr>
        <w:t>,</w:t>
      </w:r>
      <w:r>
        <w:rPr>
          <w:rFonts w:asciiTheme="minorHAnsi" w:hAnsiTheme="minorHAnsi" w:cstheme="minorHAnsi"/>
          <w:i/>
        </w:rPr>
        <w:t xml:space="preserve"> kooperac</w:t>
      </w:r>
      <w:r w:rsidR="00920BF3">
        <w:rPr>
          <w:rFonts w:asciiTheme="minorHAnsi" w:hAnsiTheme="minorHAnsi" w:cstheme="minorHAnsi"/>
          <w:i/>
        </w:rPr>
        <w:t>í</w:t>
      </w:r>
      <w:r w:rsidR="00E27F49">
        <w:rPr>
          <w:rFonts w:asciiTheme="minorHAnsi" w:hAnsiTheme="minorHAnsi" w:cstheme="minorHAnsi"/>
          <w:i/>
        </w:rPr>
        <w:t xml:space="preserve"> a režijní</w:t>
      </w:r>
      <w:r w:rsidR="00920BF3">
        <w:rPr>
          <w:rFonts w:asciiTheme="minorHAnsi" w:hAnsiTheme="minorHAnsi" w:cstheme="minorHAnsi"/>
          <w:i/>
        </w:rPr>
        <w:t>mi</w:t>
      </w:r>
      <w:r w:rsidR="00E27F49">
        <w:rPr>
          <w:rFonts w:asciiTheme="minorHAnsi" w:hAnsiTheme="minorHAnsi" w:cstheme="minorHAnsi"/>
          <w:i/>
        </w:rPr>
        <w:t xml:space="preserve"> náklady (celkem 10</w:t>
      </w:r>
      <w:r w:rsidR="000D0A0C">
        <w:rPr>
          <w:rFonts w:asciiTheme="minorHAnsi" w:hAnsiTheme="minorHAnsi" w:cstheme="minorHAnsi"/>
          <w:i/>
        </w:rPr>
        <w:t> </w:t>
      </w:r>
      <w:r w:rsidR="00E27F49">
        <w:rPr>
          <w:rFonts w:asciiTheme="minorHAnsi" w:hAnsiTheme="minorHAnsi" w:cstheme="minorHAnsi"/>
          <w:i/>
        </w:rPr>
        <w:t>%)</w:t>
      </w:r>
      <w:r>
        <w:rPr>
          <w:rFonts w:asciiTheme="minorHAnsi" w:hAnsiTheme="minorHAnsi" w:cstheme="minorHAnsi"/>
          <w:i/>
        </w:rPr>
        <w:t xml:space="preserve"> </w:t>
      </w:r>
      <w:r w:rsidR="00CF5347">
        <w:rPr>
          <w:rFonts w:asciiTheme="minorHAnsi" w:hAnsiTheme="minorHAnsi" w:cstheme="minorHAnsi"/>
          <w:i/>
        </w:rPr>
        <w:t xml:space="preserve">a </w:t>
      </w:r>
      <w:r w:rsidR="00920BF3">
        <w:rPr>
          <w:rFonts w:asciiTheme="minorHAnsi" w:hAnsiTheme="minorHAnsi" w:cstheme="minorHAnsi"/>
          <w:i/>
        </w:rPr>
        <w:t>dále</w:t>
      </w:r>
      <w:r w:rsidR="00CF5347">
        <w:rPr>
          <w:rFonts w:asciiTheme="minorHAnsi" w:hAnsiTheme="minorHAnsi" w:cstheme="minorHAnsi"/>
          <w:i/>
        </w:rPr>
        <w:t xml:space="preserve"> </w:t>
      </w:r>
      <w:r>
        <w:rPr>
          <w:rFonts w:asciiTheme="minorHAnsi" w:hAnsiTheme="minorHAnsi" w:cstheme="minorHAnsi"/>
          <w:i/>
        </w:rPr>
        <w:t>nákladov</w:t>
      </w:r>
      <w:r w:rsidR="00920BF3">
        <w:rPr>
          <w:rFonts w:asciiTheme="minorHAnsi" w:hAnsiTheme="minorHAnsi" w:cstheme="minorHAnsi"/>
          <w:i/>
        </w:rPr>
        <w:t>ými</w:t>
      </w:r>
      <w:r>
        <w:rPr>
          <w:rFonts w:asciiTheme="minorHAnsi" w:hAnsiTheme="minorHAnsi" w:cstheme="minorHAnsi"/>
          <w:i/>
        </w:rPr>
        <w:t xml:space="preserve"> úroky</w:t>
      </w:r>
      <w:r w:rsidRPr="00016D70">
        <w:rPr>
          <w:rFonts w:asciiTheme="minorHAnsi" w:hAnsiTheme="minorHAnsi" w:cstheme="minorHAnsi"/>
          <w:i/>
        </w:rPr>
        <w:t xml:space="preserve"> </w:t>
      </w:r>
      <w:r>
        <w:rPr>
          <w:rFonts w:asciiTheme="minorHAnsi" w:hAnsiTheme="minorHAnsi" w:cstheme="minorHAnsi"/>
          <w:i/>
        </w:rPr>
        <w:t xml:space="preserve">z čerpaných úvěrů, které VOP CZ promítl do ceny </w:t>
      </w:r>
      <w:r w:rsidR="00920BF3">
        <w:rPr>
          <w:rFonts w:asciiTheme="minorHAnsi" w:hAnsiTheme="minorHAnsi" w:cstheme="minorHAnsi"/>
          <w:i/>
        </w:rPr>
        <w:t>každé</w:t>
      </w:r>
      <w:r>
        <w:rPr>
          <w:rFonts w:asciiTheme="minorHAnsi" w:hAnsiTheme="minorHAnsi" w:cstheme="minorHAnsi"/>
          <w:i/>
        </w:rPr>
        <w:t xml:space="preserve"> cisterny ve výši 132 86</w:t>
      </w:r>
      <w:r w:rsidR="00615DBB">
        <w:rPr>
          <w:rFonts w:asciiTheme="minorHAnsi" w:hAnsiTheme="minorHAnsi" w:cstheme="minorHAnsi"/>
          <w:i/>
        </w:rPr>
        <w:t>4</w:t>
      </w:r>
      <w:r>
        <w:rPr>
          <w:rFonts w:asciiTheme="minorHAnsi" w:hAnsiTheme="minorHAnsi" w:cstheme="minorHAnsi"/>
          <w:i/>
        </w:rPr>
        <w:t xml:space="preserve"> Kč</w:t>
      </w:r>
      <w:r w:rsidR="00E27F49">
        <w:rPr>
          <w:rFonts w:asciiTheme="minorHAnsi" w:hAnsiTheme="minorHAnsi" w:cstheme="minorHAnsi"/>
          <w:i/>
        </w:rPr>
        <w:t xml:space="preserve"> (cca 1 %).</w:t>
      </w:r>
      <w:r w:rsidR="005D2902">
        <w:rPr>
          <w:rFonts w:asciiTheme="minorHAnsi" w:hAnsiTheme="minorHAnsi" w:cstheme="minorHAnsi"/>
          <w:i/>
        </w:rPr>
        <w:t xml:space="preserve"> Zbylých 8 % </w:t>
      </w:r>
      <w:r w:rsidR="00CF5347">
        <w:rPr>
          <w:rFonts w:asciiTheme="minorHAnsi" w:hAnsiTheme="minorHAnsi" w:cstheme="minorHAnsi"/>
          <w:i/>
        </w:rPr>
        <w:t xml:space="preserve">ceny </w:t>
      </w:r>
      <w:r w:rsidR="005D2902">
        <w:rPr>
          <w:rFonts w:asciiTheme="minorHAnsi" w:hAnsiTheme="minorHAnsi" w:cstheme="minorHAnsi"/>
          <w:i/>
        </w:rPr>
        <w:t>tvořil</w:t>
      </w:r>
      <w:r w:rsidR="007D645C">
        <w:rPr>
          <w:rFonts w:asciiTheme="minorHAnsi" w:hAnsiTheme="minorHAnsi" w:cstheme="minorHAnsi"/>
          <w:i/>
        </w:rPr>
        <w:t>a obchodní marže (zisk)</w:t>
      </w:r>
      <w:r w:rsidR="005D2902">
        <w:rPr>
          <w:rFonts w:asciiTheme="minorHAnsi" w:hAnsiTheme="minorHAnsi" w:cstheme="minorHAnsi"/>
          <w:i/>
        </w:rPr>
        <w:t>.</w:t>
      </w:r>
    </w:p>
    <w:p w14:paraId="59C1AE4C" w14:textId="0EC31344" w:rsidR="007E643C" w:rsidRPr="005C57A0" w:rsidRDefault="005C57A0" w:rsidP="00BD77C6">
      <w:pPr>
        <w:spacing w:before="240"/>
        <w:jc w:val="both"/>
        <w:rPr>
          <w:rFonts w:asciiTheme="minorHAnsi" w:hAnsiTheme="minorHAnsi" w:cstheme="minorHAnsi"/>
        </w:rPr>
      </w:pPr>
      <w:r w:rsidRPr="005C57A0">
        <w:rPr>
          <w:rFonts w:asciiTheme="minorHAnsi" w:hAnsiTheme="minorHAnsi" w:cstheme="minorHAnsi"/>
          <w:b/>
        </w:rPr>
        <w:t>4.</w:t>
      </w:r>
      <w:r w:rsidR="002C0BBA">
        <w:rPr>
          <w:rFonts w:asciiTheme="minorHAnsi" w:hAnsiTheme="minorHAnsi" w:cstheme="minorHAnsi"/>
          <w:b/>
        </w:rPr>
        <w:t>3</w:t>
      </w:r>
      <w:r w:rsidR="007274B9">
        <w:rPr>
          <w:rFonts w:asciiTheme="minorHAnsi" w:hAnsiTheme="minorHAnsi" w:cstheme="minorHAnsi"/>
          <w:b/>
        </w:rPr>
        <w:t>3</w:t>
      </w:r>
      <w:r>
        <w:rPr>
          <w:rFonts w:asciiTheme="minorHAnsi" w:hAnsiTheme="minorHAnsi" w:cstheme="minorHAnsi"/>
        </w:rPr>
        <w:t xml:space="preserve"> </w:t>
      </w:r>
      <w:r w:rsidR="007E643C" w:rsidRPr="005C57A0">
        <w:rPr>
          <w:rFonts w:asciiTheme="minorHAnsi" w:hAnsiTheme="minorHAnsi" w:cstheme="minorHAnsi"/>
        </w:rPr>
        <w:t xml:space="preserve">MO </w:t>
      </w:r>
      <w:r w:rsidR="00BD77C6">
        <w:rPr>
          <w:rFonts w:asciiTheme="minorHAnsi" w:hAnsiTheme="minorHAnsi" w:cstheme="minorHAnsi"/>
        </w:rPr>
        <w:t xml:space="preserve">a </w:t>
      </w:r>
      <w:r w:rsidR="007E643C" w:rsidRPr="005C57A0">
        <w:rPr>
          <w:rFonts w:asciiTheme="minorHAnsi" w:hAnsiTheme="minorHAnsi" w:cstheme="minorHAnsi"/>
        </w:rPr>
        <w:t xml:space="preserve">VOP CZ </w:t>
      </w:r>
      <w:r w:rsidR="00BD77C6">
        <w:rPr>
          <w:rFonts w:asciiTheme="minorHAnsi" w:hAnsiTheme="minorHAnsi" w:cstheme="minorHAnsi"/>
        </w:rPr>
        <w:t xml:space="preserve">uzavřely </w:t>
      </w:r>
      <w:r w:rsidR="007E643C" w:rsidRPr="005C57A0">
        <w:rPr>
          <w:rFonts w:asciiTheme="minorHAnsi" w:hAnsiTheme="minorHAnsi" w:cstheme="minorHAnsi"/>
        </w:rPr>
        <w:t xml:space="preserve">rámcovou smlouvu </w:t>
      </w:r>
      <w:r w:rsidR="00885CFB">
        <w:rPr>
          <w:rFonts w:asciiTheme="minorHAnsi" w:hAnsiTheme="minorHAnsi" w:cstheme="minorHAnsi"/>
        </w:rPr>
        <w:t xml:space="preserve">o dílo </w:t>
      </w:r>
      <w:r w:rsidR="007E643C" w:rsidRPr="005C57A0">
        <w:rPr>
          <w:rFonts w:asciiTheme="minorHAnsi" w:hAnsiTheme="minorHAnsi" w:cstheme="minorHAnsi"/>
        </w:rPr>
        <w:t>na opravy a</w:t>
      </w:r>
      <w:r w:rsidR="000D0A0C">
        <w:rPr>
          <w:rFonts w:asciiTheme="minorHAnsi" w:hAnsiTheme="minorHAnsi" w:cstheme="minorHAnsi"/>
        </w:rPr>
        <w:t xml:space="preserve"> </w:t>
      </w:r>
      <w:r w:rsidR="007E643C" w:rsidRPr="005C57A0">
        <w:rPr>
          <w:rFonts w:asciiTheme="minorHAnsi" w:hAnsiTheme="minorHAnsi" w:cstheme="minorHAnsi"/>
        </w:rPr>
        <w:t xml:space="preserve">udržování automobilních jeřábů a </w:t>
      </w:r>
      <w:r w:rsidR="007D645C">
        <w:rPr>
          <w:rFonts w:asciiTheme="minorHAnsi" w:hAnsiTheme="minorHAnsi" w:cstheme="minorHAnsi"/>
        </w:rPr>
        <w:t>lopatkových rypadel</w:t>
      </w:r>
      <w:r w:rsidR="007D645C">
        <w:rPr>
          <w:rStyle w:val="Znakapoznpodarou"/>
          <w:rFonts w:asciiTheme="minorHAnsi" w:hAnsiTheme="minorHAnsi" w:cstheme="minorHAnsi"/>
        </w:rPr>
        <w:footnoteReference w:id="50"/>
      </w:r>
      <w:r w:rsidR="008A791A">
        <w:rPr>
          <w:rFonts w:asciiTheme="minorHAnsi" w:hAnsiTheme="minorHAnsi" w:cstheme="minorHAnsi"/>
        </w:rPr>
        <w:t xml:space="preserve"> </w:t>
      </w:r>
      <w:r w:rsidR="00DA70C5">
        <w:rPr>
          <w:rFonts w:asciiTheme="minorHAnsi" w:hAnsiTheme="minorHAnsi" w:cstheme="minorHAnsi"/>
        </w:rPr>
        <w:t xml:space="preserve">Armády </w:t>
      </w:r>
      <w:r w:rsidR="008A791A">
        <w:rPr>
          <w:rFonts w:asciiTheme="minorHAnsi" w:hAnsiTheme="minorHAnsi" w:cstheme="minorHAnsi"/>
        </w:rPr>
        <w:t>s</w:t>
      </w:r>
      <w:r w:rsidR="00920BF3">
        <w:rPr>
          <w:rFonts w:asciiTheme="minorHAnsi" w:hAnsiTheme="minorHAnsi" w:cstheme="minorHAnsi"/>
        </w:rPr>
        <w:t xml:space="preserve"> </w:t>
      </w:r>
      <w:r w:rsidR="008A791A">
        <w:rPr>
          <w:rFonts w:asciiTheme="minorHAnsi" w:hAnsiTheme="minorHAnsi" w:cstheme="minorHAnsi"/>
        </w:rPr>
        <w:t xml:space="preserve">finančním rámcem </w:t>
      </w:r>
      <w:r w:rsidR="000F2064">
        <w:rPr>
          <w:rFonts w:asciiTheme="minorHAnsi" w:hAnsiTheme="minorHAnsi" w:cstheme="minorHAnsi"/>
        </w:rPr>
        <w:t xml:space="preserve">do </w:t>
      </w:r>
      <w:r w:rsidR="007E643C" w:rsidRPr="005C57A0">
        <w:rPr>
          <w:rFonts w:asciiTheme="minorHAnsi" w:hAnsiTheme="minorHAnsi" w:cstheme="minorHAnsi"/>
        </w:rPr>
        <w:t>12 165 </w:t>
      </w:r>
      <w:r w:rsidR="007D645C">
        <w:rPr>
          <w:rFonts w:asciiTheme="minorHAnsi" w:hAnsiTheme="minorHAnsi" w:cstheme="minorHAnsi"/>
        </w:rPr>
        <w:t>000</w:t>
      </w:r>
      <w:r w:rsidR="007E643C" w:rsidRPr="005C57A0">
        <w:rPr>
          <w:rFonts w:asciiTheme="minorHAnsi" w:hAnsiTheme="minorHAnsi" w:cstheme="minorHAnsi"/>
        </w:rPr>
        <w:t xml:space="preserve"> Kč </w:t>
      </w:r>
      <w:r>
        <w:rPr>
          <w:rFonts w:asciiTheme="minorHAnsi" w:hAnsiTheme="minorHAnsi" w:cstheme="minorHAnsi"/>
        </w:rPr>
        <w:t>a</w:t>
      </w:r>
      <w:r w:rsidR="00920BF3">
        <w:rPr>
          <w:rFonts w:asciiTheme="minorHAnsi" w:hAnsiTheme="minorHAnsi" w:cstheme="minorHAnsi"/>
        </w:rPr>
        <w:t xml:space="preserve"> </w:t>
      </w:r>
      <w:r w:rsidR="007E643C" w:rsidRPr="005C57A0">
        <w:rPr>
          <w:rFonts w:asciiTheme="minorHAnsi" w:hAnsiTheme="minorHAnsi" w:cstheme="minorHAnsi"/>
        </w:rPr>
        <w:t>plnění</w:t>
      </w:r>
      <w:r w:rsidR="00BD77C6">
        <w:rPr>
          <w:rFonts w:asciiTheme="minorHAnsi" w:hAnsiTheme="minorHAnsi" w:cstheme="minorHAnsi"/>
        </w:rPr>
        <w:t xml:space="preserve">m v letech </w:t>
      </w:r>
      <w:r w:rsidR="007E643C" w:rsidRPr="005C57A0">
        <w:rPr>
          <w:rFonts w:asciiTheme="minorHAnsi" w:hAnsiTheme="minorHAnsi" w:cstheme="minorHAnsi"/>
        </w:rPr>
        <w:t>2017–2019.</w:t>
      </w:r>
      <w:r w:rsidR="003216F2" w:rsidRPr="005C57A0">
        <w:rPr>
          <w:rFonts w:asciiTheme="minorHAnsi" w:hAnsiTheme="minorHAnsi" w:cstheme="minorHAnsi"/>
        </w:rPr>
        <w:t xml:space="preserve"> </w:t>
      </w:r>
      <w:r w:rsidR="007E643C" w:rsidRPr="005C57A0">
        <w:rPr>
          <w:rFonts w:asciiTheme="minorHAnsi" w:hAnsiTheme="minorHAnsi" w:cstheme="minorHAnsi"/>
        </w:rPr>
        <w:t xml:space="preserve">Účelem </w:t>
      </w:r>
      <w:r w:rsidR="007B1BA1">
        <w:rPr>
          <w:rFonts w:asciiTheme="minorHAnsi" w:hAnsiTheme="minorHAnsi" w:cstheme="minorHAnsi"/>
        </w:rPr>
        <w:t>s</w:t>
      </w:r>
      <w:r w:rsidR="007E643C" w:rsidRPr="005C57A0">
        <w:rPr>
          <w:rFonts w:asciiTheme="minorHAnsi" w:hAnsiTheme="minorHAnsi" w:cstheme="minorHAnsi"/>
        </w:rPr>
        <w:t>mlouvy bylo zabezpečení plné funkčnosti</w:t>
      </w:r>
      <w:r w:rsidR="00FC20BD">
        <w:rPr>
          <w:rFonts w:asciiTheme="minorHAnsi" w:hAnsiTheme="minorHAnsi" w:cstheme="minorHAnsi"/>
        </w:rPr>
        <w:t>,</w:t>
      </w:r>
      <w:r w:rsidR="00920BF3">
        <w:rPr>
          <w:rFonts w:asciiTheme="minorHAnsi" w:hAnsiTheme="minorHAnsi" w:cstheme="minorHAnsi"/>
        </w:rPr>
        <w:t xml:space="preserve"> </w:t>
      </w:r>
      <w:r w:rsidR="007E643C" w:rsidRPr="005C57A0">
        <w:rPr>
          <w:rFonts w:asciiTheme="minorHAnsi" w:hAnsiTheme="minorHAnsi" w:cstheme="minorHAnsi"/>
        </w:rPr>
        <w:t xml:space="preserve">provozuschopnosti </w:t>
      </w:r>
      <w:r w:rsidR="00FC20BD">
        <w:rPr>
          <w:rFonts w:asciiTheme="minorHAnsi" w:hAnsiTheme="minorHAnsi" w:cstheme="minorHAnsi"/>
        </w:rPr>
        <w:t>a </w:t>
      </w:r>
      <w:r w:rsidR="007E643C" w:rsidRPr="005C57A0">
        <w:rPr>
          <w:rFonts w:asciiTheme="minorHAnsi" w:hAnsiTheme="minorHAnsi" w:cstheme="minorHAnsi"/>
        </w:rPr>
        <w:t>provozní spolehlivosti a</w:t>
      </w:r>
      <w:r w:rsidR="00920BF3">
        <w:rPr>
          <w:rFonts w:asciiTheme="minorHAnsi" w:hAnsiTheme="minorHAnsi" w:cstheme="minorHAnsi"/>
        </w:rPr>
        <w:t xml:space="preserve"> </w:t>
      </w:r>
      <w:r w:rsidR="007E643C" w:rsidRPr="005C57A0">
        <w:rPr>
          <w:rFonts w:asciiTheme="minorHAnsi" w:hAnsiTheme="minorHAnsi" w:cstheme="minorHAnsi"/>
        </w:rPr>
        <w:t xml:space="preserve">obnovení technických parametrů </w:t>
      </w:r>
      <w:r w:rsidR="000F2064">
        <w:rPr>
          <w:rFonts w:asciiTheme="minorHAnsi" w:hAnsiTheme="minorHAnsi" w:cstheme="minorHAnsi"/>
        </w:rPr>
        <w:t xml:space="preserve">u vybraných typů </w:t>
      </w:r>
      <w:r w:rsidR="007D645C">
        <w:rPr>
          <w:rFonts w:asciiTheme="minorHAnsi" w:hAnsiTheme="minorHAnsi" w:cstheme="minorHAnsi"/>
        </w:rPr>
        <w:t>této techniky</w:t>
      </w:r>
      <w:r w:rsidR="007E643C" w:rsidRPr="005C57A0">
        <w:rPr>
          <w:rFonts w:asciiTheme="minorHAnsi" w:hAnsiTheme="minorHAnsi" w:cstheme="minorHAnsi"/>
        </w:rPr>
        <w:t xml:space="preserve">. </w:t>
      </w:r>
      <w:r w:rsidR="003216F2" w:rsidRPr="005C57A0">
        <w:rPr>
          <w:rFonts w:asciiTheme="minorHAnsi" w:hAnsiTheme="minorHAnsi" w:cstheme="minorHAnsi"/>
        </w:rPr>
        <w:t>Realizace dílčích plnění spočívala v p</w:t>
      </w:r>
      <w:r w:rsidR="007E643C" w:rsidRPr="005C57A0">
        <w:rPr>
          <w:rFonts w:asciiTheme="minorHAnsi" w:hAnsiTheme="minorHAnsi" w:cstheme="minorHAnsi"/>
        </w:rPr>
        <w:t>rov</w:t>
      </w:r>
      <w:r w:rsidR="003216F2" w:rsidRPr="005C57A0">
        <w:rPr>
          <w:rFonts w:asciiTheme="minorHAnsi" w:hAnsiTheme="minorHAnsi" w:cstheme="minorHAnsi"/>
        </w:rPr>
        <w:t>ádění</w:t>
      </w:r>
      <w:r w:rsidR="007E643C" w:rsidRPr="005C57A0">
        <w:rPr>
          <w:rFonts w:asciiTheme="minorHAnsi" w:hAnsiTheme="minorHAnsi" w:cstheme="minorHAnsi"/>
        </w:rPr>
        <w:t xml:space="preserve"> kontrolních prohlídek a běžných oprav </w:t>
      </w:r>
      <w:r w:rsidR="007B1BA1">
        <w:rPr>
          <w:rFonts w:asciiTheme="minorHAnsi" w:hAnsiTheme="minorHAnsi" w:cstheme="minorHAnsi"/>
        </w:rPr>
        <w:t xml:space="preserve">techniky </w:t>
      </w:r>
      <w:r w:rsidR="007E643C" w:rsidRPr="005C57A0">
        <w:rPr>
          <w:rFonts w:asciiTheme="minorHAnsi" w:hAnsiTheme="minorHAnsi" w:cstheme="minorHAnsi"/>
        </w:rPr>
        <w:t xml:space="preserve">ve smluveném rozsahu. </w:t>
      </w:r>
    </w:p>
    <w:p w14:paraId="76487073" w14:textId="69EC3A6B" w:rsidR="007E643C" w:rsidRPr="005C57A0" w:rsidRDefault="008A791A" w:rsidP="004E3694">
      <w:pPr>
        <w:spacing w:before="120"/>
        <w:jc w:val="both"/>
        <w:rPr>
          <w:rFonts w:asciiTheme="minorHAnsi" w:hAnsiTheme="minorHAnsi" w:cstheme="minorHAnsi"/>
        </w:rPr>
      </w:pPr>
      <w:r w:rsidRPr="005C57A0">
        <w:rPr>
          <w:rFonts w:asciiTheme="minorHAnsi" w:hAnsiTheme="minorHAnsi" w:cstheme="minorHAnsi"/>
          <w:b/>
        </w:rPr>
        <w:t>4.</w:t>
      </w:r>
      <w:r w:rsidR="002C0BBA">
        <w:rPr>
          <w:rFonts w:asciiTheme="minorHAnsi" w:hAnsiTheme="minorHAnsi" w:cstheme="minorHAnsi"/>
          <w:b/>
        </w:rPr>
        <w:t>3</w:t>
      </w:r>
      <w:r w:rsidR="007274B9">
        <w:rPr>
          <w:rFonts w:asciiTheme="minorHAnsi" w:hAnsiTheme="minorHAnsi" w:cstheme="minorHAnsi"/>
          <w:b/>
        </w:rPr>
        <w:t>4</w:t>
      </w:r>
      <w:r>
        <w:rPr>
          <w:rFonts w:asciiTheme="minorHAnsi" w:hAnsiTheme="minorHAnsi" w:cstheme="minorHAnsi"/>
        </w:rPr>
        <w:t xml:space="preserve"> </w:t>
      </w:r>
      <w:r w:rsidR="007E643C" w:rsidRPr="005C57A0">
        <w:rPr>
          <w:rFonts w:asciiTheme="minorHAnsi" w:hAnsiTheme="minorHAnsi" w:cstheme="minorHAnsi"/>
        </w:rPr>
        <w:t xml:space="preserve">NKÚ </w:t>
      </w:r>
      <w:r w:rsidR="007B1BA1">
        <w:rPr>
          <w:rFonts w:asciiTheme="minorHAnsi" w:hAnsiTheme="minorHAnsi" w:cstheme="minorHAnsi"/>
        </w:rPr>
        <w:t xml:space="preserve">u VOP CZ </w:t>
      </w:r>
      <w:r w:rsidR="005543D7" w:rsidRPr="005C57A0">
        <w:rPr>
          <w:rFonts w:asciiTheme="minorHAnsi" w:hAnsiTheme="minorHAnsi" w:cstheme="minorHAnsi"/>
        </w:rPr>
        <w:t>prověř</w:t>
      </w:r>
      <w:r w:rsidR="005543D7">
        <w:rPr>
          <w:rFonts w:asciiTheme="minorHAnsi" w:hAnsiTheme="minorHAnsi" w:cstheme="minorHAnsi"/>
        </w:rPr>
        <w:t>il</w:t>
      </w:r>
      <w:r w:rsidR="005543D7" w:rsidRPr="005C57A0">
        <w:rPr>
          <w:rFonts w:asciiTheme="minorHAnsi" w:hAnsiTheme="minorHAnsi" w:cstheme="minorHAnsi"/>
        </w:rPr>
        <w:t xml:space="preserve"> </w:t>
      </w:r>
      <w:r w:rsidR="007E643C" w:rsidRPr="005C57A0">
        <w:rPr>
          <w:rFonts w:asciiTheme="minorHAnsi" w:hAnsiTheme="minorHAnsi" w:cstheme="minorHAnsi"/>
        </w:rPr>
        <w:t xml:space="preserve">plnění </w:t>
      </w:r>
      <w:r>
        <w:rPr>
          <w:rFonts w:asciiTheme="minorHAnsi" w:hAnsiTheme="minorHAnsi" w:cstheme="minorHAnsi"/>
        </w:rPr>
        <w:t xml:space="preserve">rámcové smlouvy na </w:t>
      </w:r>
      <w:r w:rsidR="0064305B">
        <w:rPr>
          <w:rFonts w:asciiTheme="minorHAnsi" w:hAnsiTheme="minorHAnsi" w:cstheme="minorHAnsi"/>
        </w:rPr>
        <w:t xml:space="preserve">kontrolním </w:t>
      </w:r>
      <w:r>
        <w:rPr>
          <w:rFonts w:asciiTheme="minorHAnsi" w:hAnsiTheme="minorHAnsi" w:cstheme="minorHAnsi"/>
        </w:rPr>
        <w:t xml:space="preserve">vzorku 10 </w:t>
      </w:r>
      <w:r w:rsidR="007D645C">
        <w:rPr>
          <w:rFonts w:asciiTheme="minorHAnsi" w:hAnsiTheme="minorHAnsi" w:cstheme="minorHAnsi"/>
        </w:rPr>
        <w:t xml:space="preserve">z 34 </w:t>
      </w:r>
      <w:r>
        <w:rPr>
          <w:rFonts w:asciiTheme="minorHAnsi" w:hAnsiTheme="minorHAnsi" w:cstheme="minorHAnsi"/>
        </w:rPr>
        <w:t xml:space="preserve">oprav </w:t>
      </w:r>
      <w:r w:rsidR="007D645C">
        <w:rPr>
          <w:rFonts w:asciiTheme="minorHAnsi" w:hAnsiTheme="minorHAnsi" w:cstheme="minorHAnsi"/>
        </w:rPr>
        <w:t>provedených VOP CZ</w:t>
      </w:r>
      <w:r w:rsidR="00470460">
        <w:rPr>
          <w:rStyle w:val="Znakapoznpodarou"/>
          <w:rFonts w:asciiTheme="minorHAnsi" w:hAnsiTheme="minorHAnsi" w:cstheme="minorHAnsi"/>
        </w:rPr>
        <w:footnoteReference w:id="51"/>
      </w:r>
      <w:r w:rsidR="007B1BA1">
        <w:rPr>
          <w:rFonts w:asciiTheme="minorHAnsi" w:hAnsiTheme="minorHAnsi" w:cstheme="minorHAnsi"/>
        </w:rPr>
        <w:t>. V</w:t>
      </w:r>
      <w:r w:rsidR="00DA70C5" w:rsidRPr="00DA70C5">
        <w:rPr>
          <w:rFonts w:asciiTheme="minorHAnsi" w:hAnsiTheme="minorHAnsi" w:cstheme="minorHAnsi"/>
        </w:rPr>
        <w:t xml:space="preserve"> </w:t>
      </w:r>
      <w:r w:rsidR="00DA70C5">
        <w:rPr>
          <w:rFonts w:asciiTheme="minorHAnsi" w:hAnsiTheme="minorHAnsi" w:cstheme="minorHAnsi"/>
        </w:rPr>
        <w:t xml:space="preserve">oblasti </w:t>
      </w:r>
      <w:r w:rsidR="005543D7">
        <w:rPr>
          <w:rFonts w:asciiTheme="minorHAnsi" w:hAnsiTheme="minorHAnsi" w:cstheme="minorHAnsi"/>
        </w:rPr>
        <w:t>dodržení</w:t>
      </w:r>
      <w:r w:rsidR="00DA70C5">
        <w:rPr>
          <w:rFonts w:asciiTheme="minorHAnsi" w:hAnsiTheme="minorHAnsi" w:cstheme="minorHAnsi"/>
        </w:rPr>
        <w:t xml:space="preserve"> smluvních podmínek</w:t>
      </w:r>
      <w:r w:rsidR="00DA70C5" w:rsidRPr="0064305B">
        <w:rPr>
          <w:rFonts w:asciiTheme="minorHAnsi" w:hAnsiTheme="minorHAnsi" w:cstheme="minorHAnsi"/>
        </w:rPr>
        <w:t xml:space="preserve"> </w:t>
      </w:r>
      <w:r w:rsidR="00DA70C5">
        <w:rPr>
          <w:rFonts w:asciiTheme="minorHAnsi" w:hAnsiTheme="minorHAnsi" w:cstheme="minorHAnsi"/>
        </w:rPr>
        <w:t>ne</w:t>
      </w:r>
      <w:r w:rsidR="007B1BA1">
        <w:rPr>
          <w:rFonts w:asciiTheme="minorHAnsi" w:hAnsiTheme="minorHAnsi" w:cstheme="minorHAnsi"/>
        </w:rPr>
        <w:t xml:space="preserve">byly zjištěny </w:t>
      </w:r>
      <w:r w:rsidR="00DA70C5" w:rsidRPr="005C57A0">
        <w:rPr>
          <w:rFonts w:asciiTheme="minorHAnsi" w:hAnsiTheme="minorHAnsi" w:cstheme="minorHAnsi"/>
        </w:rPr>
        <w:t>nedostatky</w:t>
      </w:r>
      <w:r w:rsidR="007E643C" w:rsidRPr="005C57A0">
        <w:rPr>
          <w:rFonts w:asciiTheme="minorHAnsi" w:hAnsiTheme="minorHAnsi" w:cstheme="minorHAnsi"/>
        </w:rPr>
        <w:t xml:space="preserve">. </w:t>
      </w:r>
      <w:r w:rsidR="007B1BA1">
        <w:rPr>
          <w:rFonts w:asciiTheme="minorHAnsi" w:hAnsiTheme="minorHAnsi" w:cstheme="minorHAnsi"/>
        </w:rPr>
        <w:t>C</w:t>
      </w:r>
      <w:r w:rsidR="004011AF">
        <w:rPr>
          <w:rFonts w:asciiTheme="minorHAnsi" w:hAnsiTheme="minorHAnsi" w:cstheme="minorHAnsi"/>
        </w:rPr>
        <w:t>ena</w:t>
      </w:r>
      <w:r w:rsidR="007E643C" w:rsidRPr="005C57A0">
        <w:rPr>
          <w:rFonts w:asciiTheme="minorHAnsi" w:hAnsiTheme="minorHAnsi" w:cstheme="minorHAnsi"/>
        </w:rPr>
        <w:t xml:space="preserve"> </w:t>
      </w:r>
      <w:r w:rsidR="005543D7">
        <w:rPr>
          <w:rFonts w:asciiTheme="minorHAnsi" w:hAnsiTheme="minorHAnsi" w:cstheme="minorHAnsi"/>
        </w:rPr>
        <w:t xml:space="preserve">kontrolovaných </w:t>
      </w:r>
      <w:r>
        <w:rPr>
          <w:rFonts w:asciiTheme="minorHAnsi" w:hAnsiTheme="minorHAnsi" w:cstheme="minorHAnsi"/>
        </w:rPr>
        <w:t>oprav</w:t>
      </w:r>
      <w:r w:rsidR="007E643C" w:rsidRPr="005C57A0">
        <w:rPr>
          <w:rFonts w:asciiTheme="minorHAnsi" w:hAnsiTheme="minorHAnsi" w:cstheme="minorHAnsi"/>
        </w:rPr>
        <w:t xml:space="preserve"> se pohybovala v</w:t>
      </w:r>
      <w:r w:rsidR="00001DA1">
        <w:rPr>
          <w:rFonts w:asciiTheme="minorHAnsi" w:hAnsiTheme="minorHAnsi" w:cstheme="minorHAnsi"/>
        </w:rPr>
        <w:t xml:space="preserve"> </w:t>
      </w:r>
      <w:r w:rsidR="007E643C" w:rsidRPr="005C57A0">
        <w:rPr>
          <w:rFonts w:asciiTheme="minorHAnsi" w:hAnsiTheme="minorHAnsi" w:cstheme="minorHAnsi"/>
        </w:rPr>
        <w:t>roz</w:t>
      </w:r>
      <w:r w:rsidR="007B1BA1">
        <w:rPr>
          <w:rFonts w:asciiTheme="minorHAnsi" w:hAnsiTheme="minorHAnsi" w:cstheme="minorHAnsi"/>
        </w:rPr>
        <w:t>mezí</w:t>
      </w:r>
      <w:r w:rsidR="007E643C" w:rsidRPr="005C57A0">
        <w:rPr>
          <w:rFonts w:asciiTheme="minorHAnsi" w:hAnsiTheme="minorHAnsi" w:cstheme="minorHAnsi"/>
        </w:rPr>
        <w:t xml:space="preserve"> </w:t>
      </w:r>
      <w:r w:rsidR="007E643C" w:rsidRPr="004011AF">
        <w:rPr>
          <w:rFonts w:asciiTheme="minorHAnsi" w:hAnsiTheme="minorHAnsi" w:cstheme="minorHAnsi"/>
        </w:rPr>
        <w:t xml:space="preserve">od </w:t>
      </w:r>
      <w:r w:rsidR="004011AF" w:rsidRPr="004011AF">
        <w:rPr>
          <w:rFonts w:asciiTheme="minorHAnsi" w:hAnsiTheme="minorHAnsi" w:cstheme="minorHAnsi"/>
        </w:rPr>
        <w:t>0,</w:t>
      </w:r>
      <w:r w:rsidR="007E643C" w:rsidRPr="004011AF">
        <w:rPr>
          <w:rFonts w:asciiTheme="minorHAnsi" w:hAnsiTheme="minorHAnsi" w:cstheme="minorHAnsi"/>
        </w:rPr>
        <w:t xml:space="preserve">2 </w:t>
      </w:r>
      <w:r w:rsidR="00001DA1" w:rsidRPr="004011AF">
        <w:rPr>
          <w:rFonts w:asciiTheme="minorHAnsi" w:hAnsiTheme="minorHAnsi" w:cstheme="minorHAnsi"/>
        </w:rPr>
        <w:t xml:space="preserve">mil. Kč </w:t>
      </w:r>
      <w:r w:rsidR="007E643C" w:rsidRPr="004011AF">
        <w:rPr>
          <w:rFonts w:asciiTheme="minorHAnsi" w:hAnsiTheme="minorHAnsi" w:cstheme="minorHAnsi"/>
        </w:rPr>
        <w:t>do 2</w:t>
      </w:r>
      <w:r w:rsidR="004011AF" w:rsidRPr="004011AF">
        <w:rPr>
          <w:rFonts w:asciiTheme="minorHAnsi" w:hAnsiTheme="minorHAnsi" w:cstheme="minorHAnsi"/>
        </w:rPr>
        <w:t>,</w:t>
      </w:r>
      <w:r w:rsidR="007E643C" w:rsidRPr="004011AF">
        <w:rPr>
          <w:rFonts w:asciiTheme="minorHAnsi" w:hAnsiTheme="minorHAnsi" w:cstheme="minorHAnsi"/>
        </w:rPr>
        <w:t xml:space="preserve">8 </w:t>
      </w:r>
      <w:r w:rsidR="004011AF" w:rsidRPr="004011AF">
        <w:rPr>
          <w:rFonts w:asciiTheme="minorHAnsi" w:hAnsiTheme="minorHAnsi" w:cstheme="minorHAnsi"/>
        </w:rPr>
        <w:t xml:space="preserve">mil. </w:t>
      </w:r>
      <w:r w:rsidR="007E643C" w:rsidRPr="004011AF">
        <w:rPr>
          <w:rFonts w:asciiTheme="minorHAnsi" w:hAnsiTheme="minorHAnsi" w:cstheme="minorHAnsi"/>
        </w:rPr>
        <w:t>Kč</w:t>
      </w:r>
      <w:r w:rsidR="0064305B" w:rsidRPr="004011AF">
        <w:rPr>
          <w:rFonts w:asciiTheme="minorHAnsi" w:hAnsiTheme="minorHAnsi" w:cstheme="minorHAnsi"/>
        </w:rPr>
        <w:t>.</w:t>
      </w:r>
      <w:r w:rsidR="00885CFB" w:rsidRPr="004011AF">
        <w:rPr>
          <w:rFonts w:asciiTheme="minorHAnsi" w:hAnsiTheme="minorHAnsi" w:cstheme="minorHAnsi"/>
        </w:rPr>
        <w:t xml:space="preserve"> </w:t>
      </w:r>
      <w:r w:rsidR="007E643C" w:rsidRPr="0064305B">
        <w:rPr>
          <w:rFonts w:asciiTheme="minorHAnsi" w:hAnsiTheme="minorHAnsi" w:cstheme="minorHAnsi"/>
        </w:rPr>
        <w:t>Z</w:t>
      </w:r>
      <w:r w:rsidR="00001DA1">
        <w:rPr>
          <w:rFonts w:asciiTheme="minorHAnsi" w:hAnsiTheme="minorHAnsi" w:cstheme="minorHAnsi"/>
        </w:rPr>
        <w:t xml:space="preserve"> </w:t>
      </w:r>
      <w:r w:rsidR="007E643C" w:rsidRPr="0064305B">
        <w:rPr>
          <w:rFonts w:asciiTheme="minorHAnsi" w:hAnsiTheme="minorHAnsi" w:cstheme="minorHAnsi"/>
        </w:rPr>
        <w:t>předložené dokumentace</w:t>
      </w:r>
      <w:r w:rsidR="005543D7">
        <w:rPr>
          <w:rFonts w:asciiTheme="minorHAnsi" w:hAnsiTheme="minorHAnsi" w:cstheme="minorHAnsi"/>
        </w:rPr>
        <w:t xml:space="preserve"> NKÚ</w:t>
      </w:r>
      <w:r w:rsidR="007E643C" w:rsidRPr="0064305B">
        <w:rPr>
          <w:rFonts w:asciiTheme="minorHAnsi" w:hAnsiTheme="minorHAnsi" w:cstheme="minorHAnsi"/>
        </w:rPr>
        <w:t xml:space="preserve"> zjistil, že </w:t>
      </w:r>
      <w:r w:rsidR="005543D7" w:rsidRPr="005543D7">
        <w:rPr>
          <w:rFonts w:asciiTheme="minorHAnsi" w:hAnsiTheme="minorHAnsi" w:cstheme="minorHAnsi"/>
        </w:rPr>
        <w:t xml:space="preserve">pouze dvě </w:t>
      </w:r>
      <w:r w:rsidR="008E0D27">
        <w:rPr>
          <w:rFonts w:asciiTheme="minorHAnsi" w:hAnsiTheme="minorHAnsi" w:cstheme="minorHAnsi"/>
        </w:rPr>
        <w:t>z</w:t>
      </w:r>
      <w:r w:rsidR="008E0D27" w:rsidRPr="005543D7">
        <w:rPr>
          <w:rFonts w:asciiTheme="minorHAnsi" w:hAnsiTheme="minorHAnsi" w:cstheme="minorHAnsi"/>
        </w:rPr>
        <w:t xml:space="preserve"> 34 </w:t>
      </w:r>
      <w:r w:rsidR="008E5FCF">
        <w:rPr>
          <w:rFonts w:asciiTheme="minorHAnsi" w:hAnsiTheme="minorHAnsi" w:cstheme="minorHAnsi"/>
        </w:rPr>
        <w:t>oprav</w:t>
      </w:r>
      <w:r w:rsidR="008E0D27" w:rsidRPr="005543D7">
        <w:rPr>
          <w:rFonts w:asciiTheme="minorHAnsi" w:hAnsiTheme="minorHAnsi" w:cstheme="minorHAnsi"/>
        </w:rPr>
        <w:t xml:space="preserve"> </w:t>
      </w:r>
      <w:r w:rsidR="005543D7">
        <w:rPr>
          <w:rFonts w:asciiTheme="minorHAnsi" w:hAnsiTheme="minorHAnsi" w:cstheme="minorHAnsi"/>
        </w:rPr>
        <w:t>přinesl</w:t>
      </w:r>
      <w:r w:rsidR="008E5FCF">
        <w:rPr>
          <w:rFonts w:asciiTheme="minorHAnsi" w:hAnsiTheme="minorHAnsi" w:cstheme="minorHAnsi"/>
        </w:rPr>
        <w:t>y</w:t>
      </w:r>
      <w:r w:rsidR="005543D7">
        <w:rPr>
          <w:rFonts w:asciiTheme="minorHAnsi" w:hAnsiTheme="minorHAnsi" w:cstheme="minorHAnsi"/>
        </w:rPr>
        <w:t xml:space="preserve"> VOP CZ zisk</w:t>
      </w:r>
      <w:r w:rsidR="005543D7" w:rsidRPr="005543D7">
        <w:rPr>
          <w:rFonts w:asciiTheme="minorHAnsi" w:hAnsiTheme="minorHAnsi" w:cstheme="minorHAnsi"/>
        </w:rPr>
        <w:t>, a</w:t>
      </w:r>
      <w:r w:rsidR="003A3179">
        <w:rPr>
          <w:rFonts w:asciiTheme="minorHAnsi" w:hAnsiTheme="minorHAnsi" w:cstheme="minorHAnsi"/>
        </w:rPr>
        <w:t xml:space="preserve"> </w:t>
      </w:r>
      <w:r w:rsidR="005543D7">
        <w:rPr>
          <w:rFonts w:asciiTheme="minorHAnsi" w:hAnsiTheme="minorHAnsi" w:cstheme="minorHAnsi"/>
        </w:rPr>
        <w:t>to</w:t>
      </w:r>
      <w:r w:rsidR="005543D7" w:rsidRPr="005543D7">
        <w:rPr>
          <w:rFonts w:asciiTheme="minorHAnsi" w:hAnsiTheme="minorHAnsi" w:cstheme="minorHAnsi"/>
        </w:rPr>
        <w:t xml:space="preserve"> ve výši 3 tis. Kč a</w:t>
      </w:r>
      <w:r w:rsidR="004E3694">
        <w:rPr>
          <w:rFonts w:asciiTheme="minorHAnsi" w:hAnsiTheme="minorHAnsi" w:cstheme="minorHAnsi"/>
        </w:rPr>
        <w:t> </w:t>
      </w:r>
      <w:r w:rsidR="005543D7" w:rsidRPr="005543D7">
        <w:rPr>
          <w:rFonts w:asciiTheme="minorHAnsi" w:hAnsiTheme="minorHAnsi" w:cstheme="minorHAnsi"/>
        </w:rPr>
        <w:t>8</w:t>
      </w:r>
      <w:r w:rsidR="00001DA1">
        <w:rPr>
          <w:rFonts w:asciiTheme="minorHAnsi" w:hAnsiTheme="minorHAnsi" w:cstheme="minorHAnsi"/>
        </w:rPr>
        <w:t> </w:t>
      </w:r>
      <w:r w:rsidR="005543D7" w:rsidRPr="005543D7">
        <w:rPr>
          <w:rFonts w:asciiTheme="minorHAnsi" w:hAnsiTheme="minorHAnsi" w:cstheme="minorHAnsi"/>
        </w:rPr>
        <w:t>tis. Kč</w:t>
      </w:r>
      <w:r w:rsidR="004E3694">
        <w:rPr>
          <w:rFonts w:asciiTheme="minorHAnsi" w:hAnsiTheme="minorHAnsi" w:cstheme="minorHAnsi"/>
        </w:rPr>
        <w:t>. O</w:t>
      </w:r>
      <w:r w:rsidR="005543D7" w:rsidRPr="005543D7">
        <w:rPr>
          <w:rFonts w:asciiTheme="minorHAnsi" w:hAnsiTheme="minorHAnsi" w:cstheme="minorHAnsi"/>
        </w:rPr>
        <w:t xml:space="preserve">statní </w:t>
      </w:r>
      <w:r w:rsidR="008E5FCF">
        <w:rPr>
          <w:rFonts w:asciiTheme="minorHAnsi" w:hAnsiTheme="minorHAnsi" w:cstheme="minorHAnsi"/>
        </w:rPr>
        <w:t>opravy</w:t>
      </w:r>
      <w:r w:rsidR="005543D7" w:rsidRPr="005543D7">
        <w:rPr>
          <w:rFonts w:asciiTheme="minorHAnsi" w:hAnsiTheme="minorHAnsi" w:cstheme="minorHAnsi"/>
        </w:rPr>
        <w:t xml:space="preserve"> </w:t>
      </w:r>
      <w:r w:rsidR="005543D7">
        <w:rPr>
          <w:rFonts w:asciiTheme="minorHAnsi" w:hAnsiTheme="minorHAnsi" w:cstheme="minorHAnsi"/>
        </w:rPr>
        <w:t xml:space="preserve">podnik </w:t>
      </w:r>
      <w:r w:rsidR="005543D7" w:rsidRPr="005543D7">
        <w:rPr>
          <w:rFonts w:asciiTheme="minorHAnsi" w:hAnsiTheme="minorHAnsi" w:cstheme="minorHAnsi"/>
        </w:rPr>
        <w:t xml:space="preserve">realizoval se ztrátou. </w:t>
      </w:r>
      <w:r w:rsidR="004E3694">
        <w:rPr>
          <w:rFonts w:asciiTheme="minorHAnsi" w:hAnsiTheme="minorHAnsi" w:cstheme="minorHAnsi"/>
        </w:rPr>
        <w:t>N</w:t>
      </w:r>
      <w:r w:rsidR="005543D7" w:rsidRPr="005543D7">
        <w:rPr>
          <w:rFonts w:asciiTheme="minorHAnsi" w:hAnsiTheme="minorHAnsi" w:cstheme="minorHAnsi"/>
        </w:rPr>
        <w:t>a zakázce v</w:t>
      </w:r>
      <w:r w:rsidR="00001DA1">
        <w:rPr>
          <w:rFonts w:asciiTheme="minorHAnsi" w:hAnsiTheme="minorHAnsi" w:cstheme="minorHAnsi"/>
        </w:rPr>
        <w:t xml:space="preserve"> </w:t>
      </w:r>
      <w:r w:rsidR="005543D7" w:rsidRPr="005543D7">
        <w:rPr>
          <w:rFonts w:asciiTheme="minorHAnsi" w:hAnsiTheme="minorHAnsi" w:cstheme="minorHAnsi"/>
        </w:rPr>
        <w:t xml:space="preserve">hodnotě 9,4 mil. Kč bez DPH </w:t>
      </w:r>
      <w:r w:rsidR="008E0D27">
        <w:rPr>
          <w:rFonts w:asciiTheme="minorHAnsi" w:hAnsiTheme="minorHAnsi" w:cstheme="minorHAnsi"/>
        </w:rPr>
        <w:t xml:space="preserve">(11,4 </w:t>
      </w:r>
      <w:r w:rsidR="008E0D27" w:rsidRPr="0064305B">
        <w:rPr>
          <w:rFonts w:asciiTheme="minorHAnsi" w:hAnsiTheme="minorHAnsi" w:cstheme="minorHAnsi"/>
        </w:rPr>
        <w:t>mil. Kč</w:t>
      </w:r>
      <w:r w:rsidR="008E0D27" w:rsidRPr="005543D7">
        <w:rPr>
          <w:rFonts w:asciiTheme="minorHAnsi" w:hAnsiTheme="minorHAnsi" w:cstheme="minorHAnsi"/>
        </w:rPr>
        <w:t xml:space="preserve"> </w:t>
      </w:r>
      <w:r w:rsidR="008E0D27">
        <w:rPr>
          <w:rFonts w:asciiTheme="minorHAnsi" w:hAnsiTheme="minorHAnsi" w:cstheme="minorHAnsi"/>
        </w:rPr>
        <w:t xml:space="preserve">včetně DPH) </w:t>
      </w:r>
      <w:r w:rsidR="00001DA1" w:rsidRPr="005543D7">
        <w:rPr>
          <w:rFonts w:asciiTheme="minorHAnsi" w:hAnsiTheme="minorHAnsi" w:cstheme="minorHAnsi"/>
        </w:rPr>
        <w:t xml:space="preserve">vykázal </w:t>
      </w:r>
      <w:r w:rsidR="004E3694">
        <w:rPr>
          <w:rFonts w:asciiTheme="minorHAnsi" w:hAnsiTheme="minorHAnsi" w:cstheme="minorHAnsi"/>
        </w:rPr>
        <w:t xml:space="preserve">podnik </w:t>
      </w:r>
      <w:r w:rsidR="005543D7" w:rsidRPr="005543D7">
        <w:rPr>
          <w:rFonts w:asciiTheme="minorHAnsi" w:hAnsiTheme="minorHAnsi" w:cstheme="minorHAnsi"/>
        </w:rPr>
        <w:t>celkovou ztrátu ve výši 4,6 mil. Kč bez DPH</w:t>
      </w:r>
      <w:r w:rsidR="008E0D27">
        <w:rPr>
          <w:rStyle w:val="Znakapoznpodarou"/>
          <w:rFonts w:asciiTheme="minorHAnsi" w:hAnsiTheme="minorHAnsi" w:cstheme="minorHAnsi"/>
        </w:rPr>
        <w:footnoteReference w:id="52"/>
      </w:r>
      <w:r w:rsidR="005543D7" w:rsidRPr="005543D7">
        <w:rPr>
          <w:rFonts w:asciiTheme="minorHAnsi" w:hAnsiTheme="minorHAnsi" w:cstheme="minorHAnsi"/>
        </w:rPr>
        <w:t>, což činilo 49 % hodnoty zakázky.</w:t>
      </w:r>
      <w:r w:rsidR="008E0D27">
        <w:rPr>
          <w:rFonts w:asciiTheme="minorHAnsi" w:hAnsiTheme="minorHAnsi" w:cstheme="minorHAnsi"/>
        </w:rPr>
        <w:t xml:space="preserve"> Č</w:t>
      </w:r>
      <w:r w:rsidR="00DE4646">
        <w:rPr>
          <w:rFonts w:asciiTheme="minorHAnsi" w:hAnsiTheme="minorHAnsi" w:cstheme="minorHAnsi"/>
        </w:rPr>
        <w:t xml:space="preserve">innost ve prospěch MO </w:t>
      </w:r>
      <w:r w:rsidR="004E3694">
        <w:rPr>
          <w:rFonts w:asciiTheme="minorHAnsi" w:hAnsiTheme="minorHAnsi" w:cstheme="minorHAnsi"/>
        </w:rPr>
        <w:t xml:space="preserve">tak </w:t>
      </w:r>
      <w:r w:rsidR="000F2064" w:rsidRPr="005C57A0">
        <w:rPr>
          <w:rFonts w:asciiTheme="minorHAnsi" w:hAnsiTheme="minorHAnsi" w:cstheme="minorHAnsi"/>
        </w:rPr>
        <w:t xml:space="preserve">pro VOP </w:t>
      </w:r>
      <w:r w:rsidR="000F2064">
        <w:rPr>
          <w:rFonts w:asciiTheme="minorHAnsi" w:hAnsiTheme="minorHAnsi" w:cstheme="minorHAnsi"/>
        </w:rPr>
        <w:t xml:space="preserve">CZ </w:t>
      </w:r>
      <w:r w:rsidR="004E3694">
        <w:rPr>
          <w:rFonts w:asciiTheme="minorHAnsi" w:hAnsiTheme="minorHAnsi" w:cstheme="minorHAnsi"/>
        </w:rPr>
        <w:t xml:space="preserve">byla </w:t>
      </w:r>
      <w:r w:rsidR="000F2064" w:rsidRPr="005C57A0">
        <w:rPr>
          <w:rFonts w:asciiTheme="minorHAnsi" w:hAnsiTheme="minorHAnsi" w:cstheme="minorHAnsi"/>
        </w:rPr>
        <w:t xml:space="preserve">ekonomicky </w:t>
      </w:r>
      <w:r w:rsidR="00470460">
        <w:rPr>
          <w:rFonts w:asciiTheme="minorHAnsi" w:hAnsiTheme="minorHAnsi" w:cstheme="minorHAnsi"/>
        </w:rPr>
        <w:t>ztrátová</w:t>
      </w:r>
      <w:r w:rsidR="000F2064" w:rsidRPr="005C57A0">
        <w:rPr>
          <w:rFonts w:asciiTheme="minorHAnsi" w:hAnsiTheme="minorHAnsi" w:cstheme="minorHAnsi"/>
        </w:rPr>
        <w:t>.</w:t>
      </w:r>
    </w:p>
    <w:p w14:paraId="540ED99F" w14:textId="77777777" w:rsidR="007F7D20" w:rsidRDefault="007F7D20" w:rsidP="00D9332D">
      <w:pPr>
        <w:spacing w:before="120"/>
        <w:jc w:val="both"/>
        <w:rPr>
          <w:rFonts w:asciiTheme="minorHAnsi" w:hAnsiTheme="minorHAnsi" w:cstheme="minorHAnsi"/>
        </w:rPr>
      </w:pPr>
    </w:p>
    <w:p w14:paraId="58BF8DB0" w14:textId="77777777" w:rsidR="00D9332D" w:rsidRPr="00CA3F9C" w:rsidRDefault="00D9332D" w:rsidP="00D9332D">
      <w:pPr>
        <w:pStyle w:val="Nadpis1"/>
        <w:spacing w:before="240"/>
        <w:rPr>
          <w:rFonts w:asciiTheme="minorHAnsi" w:hAnsiTheme="minorHAnsi" w:cstheme="minorHAnsi"/>
          <w:sz w:val="24"/>
          <w:szCs w:val="24"/>
        </w:rPr>
      </w:pPr>
      <w:r w:rsidRPr="00CA3F9C">
        <w:rPr>
          <w:rFonts w:asciiTheme="minorHAnsi" w:hAnsiTheme="minorHAnsi" w:cstheme="minorHAnsi"/>
          <w:sz w:val="24"/>
          <w:szCs w:val="24"/>
        </w:rPr>
        <w:lastRenderedPageBreak/>
        <w:t>Seznam použitých zkratek</w:t>
      </w:r>
    </w:p>
    <w:p w14:paraId="1B39019C"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Armáda</w:t>
      </w:r>
      <w:r w:rsidRPr="00D677B3">
        <w:rPr>
          <w:rFonts w:ascii="Calibri" w:hAnsi="Calibri" w:cs="Calibri"/>
        </w:rPr>
        <w:tab/>
        <w:t>Armáda České republiky</w:t>
      </w:r>
    </w:p>
    <w:p w14:paraId="74FF769D"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ČR</w:t>
      </w:r>
      <w:r w:rsidRPr="00D677B3">
        <w:rPr>
          <w:rFonts w:ascii="Calibri" w:hAnsi="Calibri" w:cs="Calibri"/>
        </w:rPr>
        <w:tab/>
        <w:t>Česká republika</w:t>
      </w:r>
    </w:p>
    <w:p w14:paraId="0776670A"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DPH</w:t>
      </w:r>
      <w:r w:rsidRPr="00D677B3">
        <w:rPr>
          <w:rFonts w:ascii="Calibri" w:hAnsi="Calibri" w:cs="Calibri"/>
        </w:rPr>
        <w:tab/>
        <w:t>daň z přidané hodnoty</w:t>
      </w:r>
    </w:p>
    <w:p w14:paraId="645BA3CD"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HDP</w:t>
      </w:r>
      <w:r w:rsidRPr="00D677B3">
        <w:rPr>
          <w:rFonts w:ascii="Calibri" w:hAnsi="Calibri" w:cs="Calibri"/>
        </w:rPr>
        <w:tab/>
        <w:t>hrubý domácí produkt</w:t>
      </w:r>
    </w:p>
    <w:p w14:paraId="2AA7E004"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MO</w:t>
      </w:r>
      <w:r w:rsidRPr="00D677B3">
        <w:rPr>
          <w:rFonts w:ascii="Calibri" w:hAnsi="Calibri" w:cs="Calibri"/>
        </w:rPr>
        <w:tab/>
        <w:t>Ministerstvo obrany</w:t>
      </w:r>
    </w:p>
    <w:p w14:paraId="0549CC8D" w14:textId="77777777" w:rsidR="003272F2" w:rsidRPr="00D677B3" w:rsidRDefault="003272F2" w:rsidP="00D677B3">
      <w:pPr>
        <w:spacing w:after="120"/>
        <w:ind w:left="2552" w:hanging="2552"/>
        <w:rPr>
          <w:rFonts w:ascii="Calibri" w:hAnsi="Calibri" w:cs="Calibri"/>
        </w:rPr>
      </w:pPr>
      <w:r w:rsidRPr="00D677B3">
        <w:rPr>
          <w:rFonts w:ascii="Calibri" w:hAnsi="Calibri" w:cs="Calibri"/>
        </w:rPr>
        <w:t>NATO</w:t>
      </w:r>
      <w:r w:rsidRPr="00D677B3">
        <w:rPr>
          <w:rFonts w:ascii="Calibri" w:hAnsi="Calibri" w:cs="Calibri"/>
        </w:rPr>
        <w:tab/>
        <w:t>Severoatlantická aliance</w:t>
      </w:r>
    </w:p>
    <w:p w14:paraId="7B39018E"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NKÚ</w:t>
      </w:r>
      <w:r w:rsidRPr="00D677B3">
        <w:rPr>
          <w:rFonts w:ascii="Calibri" w:hAnsi="Calibri" w:cs="Calibri"/>
        </w:rPr>
        <w:tab/>
        <w:t>Nejvyšší kontrolní úřad</w:t>
      </w:r>
    </w:p>
    <w:p w14:paraId="54FD979A" w14:textId="77777777" w:rsidR="00DA25CD" w:rsidRPr="00D677B3" w:rsidRDefault="00DA25CD" w:rsidP="00D677B3">
      <w:pPr>
        <w:spacing w:after="120"/>
        <w:ind w:left="2552" w:hanging="2552"/>
        <w:rPr>
          <w:rFonts w:ascii="Calibri" w:hAnsi="Calibri" w:cs="Calibri"/>
        </w:rPr>
      </w:pPr>
      <w:r w:rsidRPr="00D677B3">
        <w:rPr>
          <w:rFonts w:ascii="Calibri" w:hAnsi="Calibri" w:cs="Calibri"/>
        </w:rPr>
        <w:t>podnik</w:t>
      </w:r>
      <w:r w:rsidRPr="00D677B3">
        <w:rPr>
          <w:rFonts w:ascii="Calibri" w:hAnsi="Calibri" w:cs="Calibri"/>
        </w:rPr>
        <w:tab/>
        <w:t>VOP CZ, s.p., Šenov u Nového Jičína</w:t>
      </w:r>
    </w:p>
    <w:p w14:paraId="1FADC1E5"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podprogram 107 691</w:t>
      </w:r>
      <w:r w:rsidRPr="00D677B3">
        <w:rPr>
          <w:rFonts w:ascii="Calibri" w:hAnsi="Calibri" w:cs="Calibri"/>
        </w:rPr>
        <w:tab/>
        <w:t xml:space="preserve">podprogram č. 107 691 – </w:t>
      </w:r>
      <w:r w:rsidRPr="00AC1329">
        <w:rPr>
          <w:rFonts w:ascii="Calibri" w:hAnsi="Calibri" w:cs="Calibri"/>
          <w:i/>
        </w:rPr>
        <w:t>Udržení a rozvoj schopností logistiky Armády</w:t>
      </w:r>
    </w:p>
    <w:p w14:paraId="67F42496"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program 107 690</w:t>
      </w:r>
      <w:r w:rsidRPr="00D677B3">
        <w:rPr>
          <w:rFonts w:ascii="Calibri" w:hAnsi="Calibri" w:cs="Calibri"/>
        </w:rPr>
        <w:tab/>
        <w:t xml:space="preserve">program č. 107 690 – </w:t>
      </w:r>
      <w:r w:rsidRPr="00AC1329">
        <w:rPr>
          <w:rFonts w:ascii="Calibri" w:hAnsi="Calibri" w:cs="Calibri"/>
          <w:i/>
        </w:rPr>
        <w:t>Udržení a rozvoj schopností logistické podpory</w:t>
      </w:r>
    </w:p>
    <w:p w14:paraId="1C2C89C0" w14:textId="77777777" w:rsidR="009078F5" w:rsidRPr="00D677B3" w:rsidRDefault="009078F5" w:rsidP="00D677B3">
      <w:pPr>
        <w:spacing w:after="120"/>
        <w:ind w:left="2552" w:hanging="2552"/>
        <w:rPr>
          <w:rFonts w:ascii="Calibri" w:hAnsi="Calibri" w:cs="Calibri"/>
        </w:rPr>
      </w:pPr>
      <w:r w:rsidRPr="00D677B3">
        <w:rPr>
          <w:rFonts w:ascii="Calibri" w:hAnsi="Calibri" w:cs="Calibri"/>
        </w:rPr>
        <w:t>RD</w:t>
      </w:r>
      <w:r w:rsidRPr="00D677B3">
        <w:rPr>
          <w:rFonts w:ascii="Calibri" w:hAnsi="Calibri" w:cs="Calibri"/>
        </w:rPr>
        <w:tab/>
        <w:t>rámcová dohoda</w:t>
      </w:r>
    </w:p>
    <w:p w14:paraId="73AD5CDE" w14:textId="77777777" w:rsidR="009078F5" w:rsidRPr="00D677B3" w:rsidRDefault="009078F5" w:rsidP="00D677B3">
      <w:pPr>
        <w:spacing w:after="120"/>
        <w:ind w:left="2552" w:hanging="2552"/>
        <w:rPr>
          <w:rFonts w:ascii="Calibri" w:hAnsi="Calibri" w:cs="Calibri"/>
        </w:rPr>
      </w:pPr>
      <w:r w:rsidRPr="00D677B3">
        <w:rPr>
          <w:rFonts w:ascii="Calibri" w:hAnsi="Calibri" w:cs="Calibri"/>
        </w:rPr>
        <w:t>RS</w:t>
      </w:r>
      <w:r w:rsidRPr="00D677B3">
        <w:rPr>
          <w:rFonts w:ascii="Calibri" w:hAnsi="Calibri" w:cs="Calibri"/>
        </w:rPr>
        <w:tab/>
        <w:t>rámcová smlouva</w:t>
      </w:r>
    </w:p>
    <w:p w14:paraId="5CD0B3D9" w14:textId="268A147B" w:rsidR="00D9332D" w:rsidRPr="00D677B3" w:rsidRDefault="00D9332D" w:rsidP="00D677B3">
      <w:pPr>
        <w:spacing w:after="120"/>
        <w:ind w:left="2552" w:hanging="2552"/>
        <w:rPr>
          <w:rFonts w:ascii="Calibri" w:hAnsi="Calibri" w:cs="Calibri"/>
        </w:rPr>
      </w:pPr>
      <w:r w:rsidRPr="00D677B3">
        <w:rPr>
          <w:rFonts w:ascii="Calibri" w:hAnsi="Calibri" w:cs="Calibri"/>
        </w:rPr>
        <w:t>střednědobé plány</w:t>
      </w:r>
      <w:r w:rsidRPr="00D677B3">
        <w:rPr>
          <w:rFonts w:ascii="Calibri" w:hAnsi="Calibri" w:cs="Calibri"/>
        </w:rPr>
        <w:tab/>
        <w:t>střednědobé plány činnosti a rozvoje rezortu M</w:t>
      </w:r>
      <w:r w:rsidR="00D677B3" w:rsidRPr="00D677B3">
        <w:rPr>
          <w:rFonts w:ascii="Calibri" w:hAnsi="Calibri" w:cs="Calibri"/>
        </w:rPr>
        <w:t>inisterstva obrany</w:t>
      </w:r>
    </w:p>
    <w:p w14:paraId="4D9067C5"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UDS</w:t>
      </w:r>
      <w:r w:rsidRPr="00D677B3">
        <w:rPr>
          <w:rFonts w:ascii="Calibri" w:hAnsi="Calibri" w:cs="Calibri"/>
        </w:rPr>
        <w:tab/>
        <w:t>univerzální dokončovací stroje (automobilní lopatková rypadla)</w:t>
      </w:r>
    </w:p>
    <w:p w14:paraId="37E9C589" w14:textId="77777777" w:rsidR="00D9332D" w:rsidRPr="00D677B3" w:rsidRDefault="00D9332D" w:rsidP="00D677B3">
      <w:pPr>
        <w:spacing w:after="120"/>
        <w:ind w:left="2552" w:hanging="2552"/>
        <w:rPr>
          <w:rFonts w:ascii="Calibri" w:hAnsi="Calibri" w:cs="Calibri"/>
        </w:rPr>
      </w:pPr>
      <w:r w:rsidRPr="00D677B3">
        <w:rPr>
          <w:rFonts w:ascii="Calibri" w:hAnsi="Calibri" w:cs="Calibri"/>
        </w:rPr>
        <w:t>VOP CZ</w:t>
      </w:r>
      <w:r w:rsidRPr="00D677B3">
        <w:rPr>
          <w:rFonts w:ascii="Calibri" w:hAnsi="Calibri" w:cs="Calibri"/>
        </w:rPr>
        <w:tab/>
        <w:t>VOP CZ, s.p., Šenov u Nového Jičína</w:t>
      </w:r>
    </w:p>
    <w:p w14:paraId="1E4BF1DD" w14:textId="77777777" w:rsidR="004A6327" w:rsidRDefault="004A6327">
      <w:pPr>
        <w:rPr>
          <w:rFonts w:asciiTheme="minorHAnsi" w:hAnsiTheme="minorHAnsi" w:cstheme="minorHAnsi"/>
          <w:b/>
          <w:kern w:val="36"/>
        </w:rPr>
      </w:pPr>
    </w:p>
    <w:p w14:paraId="628A5DA3" w14:textId="77777777" w:rsidR="00D9332D" w:rsidRDefault="00D9332D">
      <w:pPr>
        <w:rPr>
          <w:rFonts w:asciiTheme="minorHAnsi" w:hAnsiTheme="minorHAnsi" w:cstheme="minorHAnsi"/>
          <w:b/>
          <w:kern w:val="36"/>
        </w:rPr>
      </w:pPr>
      <w:r>
        <w:rPr>
          <w:rFonts w:asciiTheme="minorHAnsi" w:hAnsiTheme="minorHAnsi" w:cstheme="minorHAnsi"/>
        </w:rPr>
        <w:br w:type="page"/>
      </w:r>
    </w:p>
    <w:p w14:paraId="71371273" w14:textId="77777777" w:rsidR="001A05E4" w:rsidRPr="00250573" w:rsidRDefault="001A05E4" w:rsidP="00250573">
      <w:pPr>
        <w:pStyle w:val="Nadpis1"/>
        <w:jc w:val="right"/>
        <w:rPr>
          <w:rFonts w:asciiTheme="minorHAnsi" w:hAnsiTheme="minorHAnsi" w:cstheme="minorHAnsi"/>
          <w:sz w:val="24"/>
          <w:szCs w:val="24"/>
        </w:rPr>
      </w:pPr>
      <w:r w:rsidRPr="00250573">
        <w:rPr>
          <w:rFonts w:asciiTheme="minorHAnsi" w:hAnsiTheme="minorHAnsi" w:cstheme="minorHAnsi"/>
          <w:sz w:val="24"/>
          <w:szCs w:val="24"/>
        </w:rPr>
        <w:lastRenderedPageBreak/>
        <w:t>Příloha č. 1</w:t>
      </w:r>
    </w:p>
    <w:p w14:paraId="68CBB69E" w14:textId="77777777" w:rsidR="001A05E4" w:rsidRPr="00610C95" w:rsidRDefault="001A05E4" w:rsidP="00AC1329">
      <w:pPr>
        <w:spacing w:after="40"/>
        <w:jc w:val="center"/>
        <w:rPr>
          <w:rFonts w:asciiTheme="minorHAnsi" w:hAnsiTheme="minorHAnsi" w:cstheme="minorHAnsi"/>
          <w:b/>
        </w:rPr>
      </w:pPr>
      <w:r w:rsidRPr="00610C95">
        <w:rPr>
          <w:rFonts w:asciiTheme="minorHAnsi" w:hAnsiTheme="minorHAnsi" w:cstheme="minorHAnsi"/>
          <w:b/>
        </w:rPr>
        <w:t>Přehled</w:t>
      </w:r>
      <w:r w:rsidRPr="00610C95">
        <w:rPr>
          <w:rFonts w:asciiTheme="minorHAnsi" w:hAnsiTheme="minorHAnsi" w:cstheme="minorHAnsi"/>
          <w:b/>
          <w:lang w:eastAsia="en-US"/>
        </w:rPr>
        <w:t xml:space="preserve"> kontrolovaných </w:t>
      </w:r>
      <w:r w:rsidR="00FF0491">
        <w:rPr>
          <w:rFonts w:asciiTheme="minorHAnsi" w:hAnsiTheme="minorHAnsi" w:cstheme="minorHAnsi"/>
          <w:b/>
          <w:lang w:eastAsia="en-US"/>
        </w:rPr>
        <w:t xml:space="preserve">akcí </w:t>
      </w:r>
      <w:r>
        <w:rPr>
          <w:rFonts w:asciiTheme="minorHAnsi" w:hAnsiTheme="minorHAnsi" w:cstheme="minorHAnsi"/>
          <w:b/>
          <w:lang w:eastAsia="en-US"/>
        </w:rPr>
        <w:t xml:space="preserve">na </w:t>
      </w:r>
      <w:r w:rsidR="00F67BB5">
        <w:rPr>
          <w:rFonts w:asciiTheme="minorHAnsi" w:hAnsiTheme="minorHAnsi" w:cstheme="minorHAnsi"/>
          <w:b/>
          <w:lang w:eastAsia="en-US"/>
        </w:rPr>
        <w:t>nákupy</w:t>
      </w:r>
      <w:r>
        <w:rPr>
          <w:rFonts w:asciiTheme="minorHAnsi" w:hAnsiTheme="minorHAnsi" w:cstheme="minorHAnsi"/>
          <w:b/>
          <w:lang w:eastAsia="en-US"/>
        </w:rPr>
        <w:t xml:space="preserve"> </w:t>
      </w:r>
      <w:r w:rsidR="00FF0491">
        <w:rPr>
          <w:rFonts w:asciiTheme="minorHAnsi" w:hAnsiTheme="minorHAnsi" w:cstheme="minorHAnsi"/>
          <w:b/>
          <w:lang w:eastAsia="en-US"/>
        </w:rPr>
        <w:t xml:space="preserve">automobilní techniky a rámcových smluv / rámcové dohody </w:t>
      </w:r>
      <w:r w:rsidR="00464CCB">
        <w:rPr>
          <w:rFonts w:asciiTheme="minorHAnsi" w:hAnsiTheme="minorHAnsi" w:cstheme="minorHAnsi"/>
          <w:b/>
          <w:lang w:eastAsia="en-US"/>
        </w:rPr>
        <w:t xml:space="preserve">na </w:t>
      </w:r>
      <w:r>
        <w:rPr>
          <w:rFonts w:asciiTheme="minorHAnsi" w:hAnsiTheme="minorHAnsi" w:cstheme="minorHAnsi"/>
          <w:b/>
          <w:lang w:eastAsia="en-US"/>
        </w:rPr>
        <w:t>oprav</w:t>
      </w:r>
      <w:r w:rsidR="00FF0491">
        <w:rPr>
          <w:rFonts w:asciiTheme="minorHAnsi" w:hAnsiTheme="minorHAnsi" w:cstheme="minorHAnsi"/>
          <w:b/>
          <w:lang w:eastAsia="en-US"/>
        </w:rPr>
        <w:t>y</w:t>
      </w:r>
      <w:r>
        <w:rPr>
          <w:rFonts w:asciiTheme="minorHAnsi" w:hAnsiTheme="minorHAnsi" w:cstheme="minorHAnsi"/>
          <w:b/>
          <w:lang w:eastAsia="en-US"/>
        </w:rPr>
        <w:t xml:space="preserve"> </w:t>
      </w:r>
      <w:r w:rsidR="00FF0491">
        <w:rPr>
          <w:rFonts w:asciiTheme="minorHAnsi" w:hAnsiTheme="minorHAnsi" w:cstheme="minorHAnsi"/>
          <w:b/>
          <w:lang w:eastAsia="en-US"/>
        </w:rPr>
        <w:t>automobilní techniky a nákup</w:t>
      </w:r>
      <w:r w:rsidR="00F67BB5">
        <w:rPr>
          <w:rFonts w:asciiTheme="minorHAnsi" w:hAnsiTheme="minorHAnsi" w:cstheme="minorHAnsi"/>
          <w:b/>
          <w:lang w:eastAsia="en-US"/>
        </w:rPr>
        <w:t>y</w:t>
      </w:r>
      <w:r w:rsidR="00FF0491">
        <w:rPr>
          <w:rFonts w:asciiTheme="minorHAnsi" w:hAnsiTheme="minorHAnsi" w:cstheme="minorHAnsi"/>
          <w:b/>
          <w:lang w:eastAsia="en-US"/>
        </w:rPr>
        <w:t xml:space="preserve"> náhradních dílů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3259"/>
        <w:gridCol w:w="1282"/>
        <w:gridCol w:w="1417"/>
        <w:gridCol w:w="1550"/>
      </w:tblGrid>
      <w:tr w:rsidR="001A05E4" w:rsidRPr="0087361C" w14:paraId="123C6493" w14:textId="77777777" w:rsidTr="001C203F">
        <w:trPr>
          <w:trHeight w:val="283"/>
          <w:jc w:val="center"/>
        </w:trPr>
        <w:tc>
          <w:tcPr>
            <w:tcW w:w="858" w:type="pct"/>
            <w:shd w:val="clear" w:color="auto" w:fill="E5F1FF"/>
            <w:noWrap/>
            <w:vAlign w:val="center"/>
            <w:hideMark/>
          </w:tcPr>
          <w:p w14:paraId="6A29BA84" w14:textId="77777777" w:rsidR="001A05E4" w:rsidRPr="0087361C" w:rsidRDefault="001A05E4" w:rsidP="00C26E2B">
            <w:pPr>
              <w:jc w:val="center"/>
              <w:rPr>
                <w:rFonts w:ascii="Calibri" w:hAnsi="Calibri" w:cs="Calibri"/>
                <w:b/>
                <w:spacing w:val="-2"/>
                <w:sz w:val="20"/>
                <w:szCs w:val="20"/>
              </w:rPr>
            </w:pPr>
            <w:r w:rsidRPr="0087361C">
              <w:rPr>
                <w:rFonts w:ascii="Calibri" w:hAnsi="Calibri" w:cs="Calibri"/>
                <w:b/>
                <w:spacing w:val="-2"/>
                <w:sz w:val="20"/>
                <w:szCs w:val="20"/>
              </w:rPr>
              <w:t xml:space="preserve">Číslo </w:t>
            </w:r>
            <w:r w:rsidR="00FF0491">
              <w:rPr>
                <w:rFonts w:ascii="Calibri" w:hAnsi="Calibri" w:cs="Calibri"/>
                <w:b/>
                <w:spacing w:val="-2"/>
                <w:sz w:val="20"/>
                <w:szCs w:val="20"/>
              </w:rPr>
              <w:t xml:space="preserve">akce/ </w:t>
            </w:r>
            <w:r w:rsidR="00DD30BC">
              <w:rPr>
                <w:rFonts w:ascii="Calibri" w:hAnsi="Calibri" w:cs="Calibri"/>
                <w:b/>
                <w:spacing w:val="-2"/>
                <w:sz w:val="20"/>
                <w:szCs w:val="20"/>
              </w:rPr>
              <w:t>RS/RD</w:t>
            </w:r>
          </w:p>
        </w:tc>
        <w:tc>
          <w:tcPr>
            <w:tcW w:w="1798" w:type="pct"/>
            <w:shd w:val="clear" w:color="auto" w:fill="E5F1FF"/>
            <w:vAlign w:val="center"/>
            <w:hideMark/>
          </w:tcPr>
          <w:p w14:paraId="5DE5421A" w14:textId="77777777" w:rsidR="001A05E4" w:rsidRPr="0087361C" w:rsidRDefault="001A05E4" w:rsidP="00C26E2B">
            <w:pPr>
              <w:jc w:val="center"/>
              <w:rPr>
                <w:rFonts w:ascii="Calibri" w:hAnsi="Calibri" w:cs="Calibri"/>
                <w:b/>
                <w:spacing w:val="-2"/>
                <w:sz w:val="20"/>
                <w:szCs w:val="20"/>
              </w:rPr>
            </w:pPr>
            <w:r w:rsidRPr="0087361C">
              <w:rPr>
                <w:rFonts w:ascii="Calibri" w:hAnsi="Calibri" w:cs="Calibri"/>
                <w:b/>
                <w:spacing w:val="-2"/>
                <w:sz w:val="20"/>
                <w:szCs w:val="20"/>
              </w:rPr>
              <w:t xml:space="preserve">Název </w:t>
            </w:r>
            <w:r w:rsidR="00FF0491">
              <w:rPr>
                <w:rFonts w:ascii="Calibri" w:hAnsi="Calibri" w:cs="Calibri"/>
                <w:b/>
                <w:spacing w:val="-2"/>
                <w:sz w:val="20"/>
                <w:szCs w:val="20"/>
              </w:rPr>
              <w:t>akce</w:t>
            </w:r>
            <w:r w:rsidR="00464CCB">
              <w:rPr>
                <w:rFonts w:ascii="Calibri" w:hAnsi="Calibri" w:cs="Calibri"/>
                <w:b/>
                <w:spacing w:val="-2"/>
                <w:sz w:val="20"/>
                <w:szCs w:val="20"/>
              </w:rPr>
              <w:t>/</w:t>
            </w:r>
            <w:r w:rsidR="00DD30BC">
              <w:rPr>
                <w:rFonts w:ascii="Calibri" w:hAnsi="Calibri" w:cs="Calibri"/>
                <w:b/>
                <w:spacing w:val="-2"/>
                <w:sz w:val="20"/>
                <w:szCs w:val="20"/>
              </w:rPr>
              <w:t>RS/RD</w:t>
            </w:r>
            <w:r w:rsidR="00BE03F2">
              <w:rPr>
                <w:rFonts w:ascii="Calibri" w:hAnsi="Calibri" w:cs="Calibri"/>
                <w:b/>
                <w:spacing w:val="-2"/>
                <w:sz w:val="20"/>
                <w:szCs w:val="20"/>
              </w:rPr>
              <w:t xml:space="preserve"> </w:t>
            </w:r>
            <w:r w:rsidR="00DD30BC">
              <w:rPr>
                <w:rFonts w:ascii="Calibri" w:hAnsi="Calibri" w:cs="Calibri"/>
                <w:b/>
                <w:spacing w:val="-2"/>
                <w:sz w:val="20"/>
                <w:szCs w:val="20"/>
              </w:rPr>
              <w:t>(počet vozidel)</w:t>
            </w:r>
          </w:p>
        </w:tc>
        <w:tc>
          <w:tcPr>
            <w:tcW w:w="707" w:type="pct"/>
            <w:shd w:val="clear" w:color="auto" w:fill="E5F1FF"/>
            <w:vAlign w:val="center"/>
          </w:tcPr>
          <w:p w14:paraId="3F25CBB8" w14:textId="77777777" w:rsidR="00F73726" w:rsidRDefault="001A05E4" w:rsidP="00C26E2B">
            <w:pPr>
              <w:jc w:val="center"/>
              <w:rPr>
                <w:rFonts w:ascii="Calibri" w:hAnsi="Calibri" w:cs="Calibri"/>
                <w:b/>
                <w:spacing w:val="-2"/>
                <w:sz w:val="20"/>
                <w:szCs w:val="20"/>
              </w:rPr>
            </w:pPr>
            <w:r w:rsidRPr="0087361C">
              <w:rPr>
                <w:rFonts w:ascii="Calibri" w:hAnsi="Calibri" w:cs="Calibri"/>
                <w:b/>
                <w:spacing w:val="-2"/>
                <w:sz w:val="20"/>
                <w:szCs w:val="20"/>
              </w:rPr>
              <w:t>Realizace</w:t>
            </w:r>
          </w:p>
          <w:p w14:paraId="28051761" w14:textId="1BCB5D5D" w:rsidR="001A05E4" w:rsidRPr="0087361C" w:rsidRDefault="00F73726" w:rsidP="00C26E2B">
            <w:pPr>
              <w:jc w:val="center"/>
              <w:rPr>
                <w:rFonts w:ascii="Calibri" w:hAnsi="Calibri" w:cs="Calibri"/>
                <w:b/>
                <w:spacing w:val="-2"/>
                <w:sz w:val="20"/>
                <w:szCs w:val="20"/>
              </w:rPr>
            </w:pPr>
            <w:r>
              <w:rPr>
                <w:rFonts w:ascii="Calibri" w:hAnsi="Calibri" w:cs="Calibri"/>
                <w:b/>
                <w:spacing w:val="-2"/>
                <w:sz w:val="20"/>
                <w:szCs w:val="20"/>
              </w:rPr>
              <w:t>akce/</w:t>
            </w:r>
            <w:r w:rsidR="00DD30BC">
              <w:rPr>
                <w:rFonts w:ascii="Calibri" w:hAnsi="Calibri" w:cs="Calibri"/>
                <w:b/>
                <w:spacing w:val="-2"/>
                <w:sz w:val="20"/>
                <w:szCs w:val="20"/>
              </w:rPr>
              <w:t>RS/RD</w:t>
            </w:r>
            <w:r w:rsidR="001A05E4" w:rsidRPr="0087361C">
              <w:rPr>
                <w:rFonts w:ascii="Calibri" w:hAnsi="Calibri" w:cs="Calibri"/>
                <w:b/>
                <w:spacing w:val="-2"/>
                <w:sz w:val="20"/>
                <w:szCs w:val="20"/>
              </w:rPr>
              <w:t xml:space="preserve"> </w:t>
            </w:r>
            <w:r w:rsidR="001A05E4" w:rsidRPr="0087361C">
              <w:rPr>
                <w:rFonts w:ascii="Calibri" w:hAnsi="Calibri" w:cs="Calibri"/>
                <w:b/>
                <w:spacing w:val="-2"/>
                <w:sz w:val="20"/>
                <w:szCs w:val="20"/>
              </w:rPr>
              <w:br/>
            </w:r>
            <w:r w:rsidR="007E55CF">
              <w:rPr>
                <w:rFonts w:ascii="Calibri" w:hAnsi="Calibri" w:cs="Calibri"/>
                <w:b/>
                <w:spacing w:val="-2"/>
                <w:sz w:val="20"/>
                <w:szCs w:val="20"/>
              </w:rPr>
              <w:t>(</w:t>
            </w:r>
            <w:r w:rsidR="001A05E4" w:rsidRPr="0087361C">
              <w:rPr>
                <w:rFonts w:ascii="Calibri" w:hAnsi="Calibri" w:cs="Calibri"/>
                <w:b/>
                <w:spacing w:val="-2"/>
                <w:sz w:val="20"/>
                <w:szCs w:val="20"/>
              </w:rPr>
              <w:t>od</w:t>
            </w:r>
            <w:r w:rsidR="001A05E4" w:rsidRPr="0087361C">
              <w:rPr>
                <w:rFonts w:ascii="Calibri" w:hAnsi="Calibri" w:cs="Calibri"/>
                <w:color w:val="000000"/>
                <w:sz w:val="20"/>
                <w:szCs w:val="20"/>
              </w:rPr>
              <w:t>–</w:t>
            </w:r>
            <w:r w:rsidR="001A05E4" w:rsidRPr="0087361C">
              <w:rPr>
                <w:rFonts w:ascii="Calibri" w:hAnsi="Calibri" w:cs="Calibri"/>
                <w:b/>
                <w:spacing w:val="-2"/>
                <w:sz w:val="20"/>
                <w:szCs w:val="20"/>
              </w:rPr>
              <w:t>do</w:t>
            </w:r>
            <w:r w:rsidR="007E55CF">
              <w:rPr>
                <w:rFonts w:ascii="Calibri" w:hAnsi="Calibri" w:cs="Calibri"/>
                <w:b/>
                <w:spacing w:val="-2"/>
                <w:sz w:val="20"/>
                <w:szCs w:val="20"/>
              </w:rPr>
              <w:t>)</w:t>
            </w:r>
          </w:p>
        </w:tc>
        <w:tc>
          <w:tcPr>
            <w:tcW w:w="782" w:type="pct"/>
            <w:shd w:val="clear" w:color="auto" w:fill="E5F1FF"/>
            <w:vAlign w:val="center"/>
          </w:tcPr>
          <w:p w14:paraId="665EAD4B" w14:textId="77777777" w:rsidR="00F73726" w:rsidRDefault="001A05E4" w:rsidP="00C26E2B">
            <w:pPr>
              <w:jc w:val="center"/>
              <w:rPr>
                <w:rFonts w:ascii="Calibri" w:hAnsi="Calibri" w:cs="Calibri"/>
                <w:b/>
                <w:spacing w:val="-2"/>
                <w:sz w:val="20"/>
                <w:szCs w:val="20"/>
              </w:rPr>
            </w:pPr>
            <w:r w:rsidRPr="0087361C">
              <w:rPr>
                <w:rFonts w:ascii="Calibri" w:hAnsi="Calibri" w:cs="Calibri"/>
                <w:b/>
                <w:spacing w:val="-2"/>
                <w:sz w:val="20"/>
                <w:szCs w:val="20"/>
              </w:rPr>
              <w:t>Finanční objem</w:t>
            </w:r>
          </w:p>
          <w:p w14:paraId="592AF3E8" w14:textId="408A80AD" w:rsidR="001A05E4" w:rsidRPr="0087361C" w:rsidRDefault="00F73726" w:rsidP="00C26E2B">
            <w:pPr>
              <w:jc w:val="center"/>
              <w:rPr>
                <w:rFonts w:ascii="Calibri" w:hAnsi="Calibri" w:cs="Calibri"/>
                <w:b/>
                <w:spacing w:val="-2"/>
                <w:sz w:val="20"/>
                <w:szCs w:val="20"/>
              </w:rPr>
            </w:pPr>
            <w:r>
              <w:rPr>
                <w:rFonts w:ascii="Calibri" w:hAnsi="Calibri" w:cs="Calibri"/>
                <w:b/>
                <w:spacing w:val="-2"/>
                <w:sz w:val="20"/>
                <w:szCs w:val="20"/>
              </w:rPr>
              <w:t>akce/</w:t>
            </w:r>
            <w:r w:rsidR="00DD30BC">
              <w:rPr>
                <w:rFonts w:ascii="Calibri" w:hAnsi="Calibri" w:cs="Calibri"/>
                <w:b/>
                <w:spacing w:val="-2"/>
                <w:sz w:val="20"/>
                <w:szCs w:val="20"/>
              </w:rPr>
              <w:t>RS/RD</w:t>
            </w:r>
            <w:r w:rsidR="001A05E4" w:rsidRPr="0087361C">
              <w:rPr>
                <w:rFonts w:ascii="Calibri" w:hAnsi="Calibri" w:cs="Calibri"/>
                <w:b/>
                <w:spacing w:val="-2"/>
                <w:sz w:val="20"/>
                <w:szCs w:val="20"/>
              </w:rPr>
              <w:t xml:space="preserve"> </w:t>
            </w:r>
            <w:r w:rsidR="007E55CF">
              <w:rPr>
                <w:rFonts w:ascii="Calibri" w:hAnsi="Calibri" w:cs="Calibri"/>
                <w:b/>
                <w:spacing w:val="-2"/>
                <w:sz w:val="20"/>
                <w:szCs w:val="20"/>
              </w:rPr>
              <w:t>(</w:t>
            </w:r>
            <w:r w:rsidR="001A05E4" w:rsidRPr="0087361C">
              <w:rPr>
                <w:rFonts w:ascii="Calibri" w:hAnsi="Calibri" w:cs="Calibri"/>
                <w:b/>
                <w:spacing w:val="-2"/>
                <w:sz w:val="20"/>
                <w:szCs w:val="20"/>
              </w:rPr>
              <w:t>v Kč</w:t>
            </w:r>
            <w:r w:rsidR="007E55CF">
              <w:rPr>
                <w:rFonts w:ascii="Calibri" w:hAnsi="Calibri" w:cs="Calibri"/>
                <w:b/>
                <w:spacing w:val="-2"/>
                <w:sz w:val="20"/>
                <w:szCs w:val="20"/>
              </w:rPr>
              <w:t>)</w:t>
            </w:r>
          </w:p>
        </w:tc>
        <w:tc>
          <w:tcPr>
            <w:tcW w:w="855" w:type="pct"/>
            <w:shd w:val="clear" w:color="auto" w:fill="E5F1FF"/>
            <w:vAlign w:val="center"/>
            <w:hideMark/>
          </w:tcPr>
          <w:p w14:paraId="5FDBE711" w14:textId="27F0B353" w:rsidR="001A05E4" w:rsidRPr="0087361C" w:rsidRDefault="001A05E4" w:rsidP="00C26E2B">
            <w:pPr>
              <w:jc w:val="center"/>
              <w:rPr>
                <w:rFonts w:ascii="Calibri" w:hAnsi="Calibri" w:cs="Calibri"/>
                <w:b/>
                <w:spacing w:val="-2"/>
                <w:sz w:val="20"/>
                <w:szCs w:val="20"/>
              </w:rPr>
            </w:pPr>
            <w:r w:rsidRPr="0087361C">
              <w:rPr>
                <w:rFonts w:ascii="Calibri" w:hAnsi="Calibri" w:cs="Calibri"/>
                <w:b/>
                <w:spacing w:val="-2"/>
                <w:sz w:val="20"/>
                <w:szCs w:val="20"/>
              </w:rPr>
              <w:t xml:space="preserve">Objem kontrolovaných výdajů </w:t>
            </w:r>
            <w:r w:rsidR="007E55CF">
              <w:rPr>
                <w:rFonts w:ascii="Calibri" w:hAnsi="Calibri" w:cs="Calibri"/>
                <w:b/>
                <w:spacing w:val="-2"/>
                <w:sz w:val="20"/>
                <w:szCs w:val="20"/>
              </w:rPr>
              <w:t>(</w:t>
            </w:r>
            <w:r w:rsidRPr="0087361C">
              <w:rPr>
                <w:rFonts w:ascii="Calibri" w:hAnsi="Calibri" w:cs="Calibri"/>
                <w:b/>
                <w:spacing w:val="-2"/>
                <w:sz w:val="20"/>
                <w:szCs w:val="20"/>
              </w:rPr>
              <w:t>v Kč</w:t>
            </w:r>
            <w:r w:rsidR="007E55CF">
              <w:rPr>
                <w:rFonts w:ascii="Calibri" w:hAnsi="Calibri" w:cs="Calibri"/>
                <w:b/>
                <w:spacing w:val="-2"/>
                <w:sz w:val="20"/>
                <w:szCs w:val="20"/>
              </w:rPr>
              <w:t>)</w:t>
            </w:r>
          </w:p>
        </w:tc>
      </w:tr>
      <w:tr w:rsidR="001A05E4" w:rsidRPr="0087361C" w14:paraId="22C6127B" w14:textId="77777777" w:rsidTr="001C203F">
        <w:trPr>
          <w:trHeight w:val="283"/>
          <w:jc w:val="center"/>
        </w:trPr>
        <w:tc>
          <w:tcPr>
            <w:tcW w:w="5000" w:type="pct"/>
            <w:gridSpan w:val="5"/>
            <w:vAlign w:val="center"/>
          </w:tcPr>
          <w:p w14:paraId="31EB165F" w14:textId="77777777" w:rsidR="001A05E4" w:rsidRPr="00680549" w:rsidRDefault="00FF0491" w:rsidP="00C26E2B">
            <w:pPr>
              <w:rPr>
                <w:rFonts w:ascii="Calibri" w:hAnsi="Calibri" w:cs="Calibri"/>
                <w:b/>
                <w:color w:val="000000"/>
                <w:sz w:val="20"/>
                <w:szCs w:val="20"/>
              </w:rPr>
            </w:pPr>
            <w:r>
              <w:rPr>
                <w:rFonts w:ascii="Calibri" w:hAnsi="Calibri" w:cs="Calibri"/>
                <w:b/>
                <w:color w:val="000000"/>
                <w:sz w:val="20"/>
                <w:szCs w:val="20"/>
              </w:rPr>
              <w:t>Akce</w:t>
            </w:r>
            <w:r w:rsidR="001A05E4">
              <w:rPr>
                <w:rFonts w:ascii="Calibri" w:hAnsi="Calibri" w:cs="Calibri"/>
                <w:b/>
                <w:color w:val="000000"/>
                <w:sz w:val="20"/>
                <w:szCs w:val="20"/>
              </w:rPr>
              <w:t xml:space="preserve"> na </w:t>
            </w:r>
            <w:r w:rsidR="00F67BB5">
              <w:rPr>
                <w:rFonts w:ascii="Calibri" w:hAnsi="Calibri" w:cs="Calibri"/>
                <w:b/>
                <w:color w:val="000000"/>
                <w:sz w:val="20"/>
                <w:szCs w:val="20"/>
              </w:rPr>
              <w:t>nákupy</w:t>
            </w:r>
            <w:r w:rsidR="001A05E4">
              <w:rPr>
                <w:rFonts w:ascii="Calibri" w:hAnsi="Calibri" w:cs="Calibri"/>
                <w:b/>
                <w:color w:val="000000"/>
                <w:sz w:val="20"/>
                <w:szCs w:val="20"/>
              </w:rPr>
              <w:t xml:space="preserve"> </w:t>
            </w:r>
            <w:r>
              <w:rPr>
                <w:rFonts w:ascii="Calibri" w:hAnsi="Calibri" w:cs="Calibri"/>
                <w:b/>
                <w:color w:val="000000"/>
                <w:sz w:val="20"/>
                <w:szCs w:val="20"/>
              </w:rPr>
              <w:t>automobilní techniky</w:t>
            </w:r>
          </w:p>
        </w:tc>
      </w:tr>
      <w:tr w:rsidR="00BD7452" w:rsidRPr="0087361C" w14:paraId="477520EA" w14:textId="77777777" w:rsidTr="00D677B3">
        <w:trPr>
          <w:trHeight w:val="283"/>
          <w:jc w:val="center"/>
        </w:trPr>
        <w:tc>
          <w:tcPr>
            <w:tcW w:w="858" w:type="pct"/>
            <w:shd w:val="clear" w:color="auto" w:fill="auto"/>
            <w:vAlign w:val="center"/>
          </w:tcPr>
          <w:p w14:paraId="23BFB59A" w14:textId="77777777" w:rsidR="00BD7452" w:rsidRPr="0087361C" w:rsidRDefault="00BD7452" w:rsidP="00D677B3">
            <w:pPr>
              <w:rPr>
                <w:rFonts w:ascii="Calibri" w:hAnsi="Calibri" w:cs="Calibri"/>
                <w:color w:val="000000"/>
                <w:sz w:val="20"/>
                <w:szCs w:val="20"/>
              </w:rPr>
            </w:pPr>
            <w:r>
              <w:rPr>
                <w:rFonts w:ascii="Calibri" w:hAnsi="Calibri" w:cs="Calibri"/>
                <w:color w:val="000000"/>
                <w:sz w:val="20"/>
                <w:szCs w:val="20"/>
              </w:rPr>
              <w:t>107V691001902</w:t>
            </w:r>
          </w:p>
        </w:tc>
        <w:tc>
          <w:tcPr>
            <w:tcW w:w="1798" w:type="pct"/>
            <w:shd w:val="clear" w:color="auto" w:fill="auto"/>
          </w:tcPr>
          <w:p w14:paraId="0CA6A246" w14:textId="77777777" w:rsidR="00BD7452" w:rsidRPr="00BD7452" w:rsidRDefault="00BD7452" w:rsidP="00BD7452">
            <w:pPr>
              <w:rPr>
                <w:rFonts w:asciiTheme="minorHAnsi" w:hAnsiTheme="minorHAnsi" w:cstheme="minorHAnsi"/>
                <w:color w:val="000000"/>
                <w:sz w:val="20"/>
                <w:szCs w:val="20"/>
              </w:rPr>
            </w:pPr>
            <w:r w:rsidRPr="00BD7452">
              <w:rPr>
                <w:rFonts w:asciiTheme="minorHAnsi" w:hAnsiTheme="minorHAnsi" w:cstheme="minorHAnsi"/>
                <w:sz w:val="20"/>
                <w:szCs w:val="20"/>
              </w:rPr>
              <w:t>Kontejnerový nakladač – nákup (30</w:t>
            </w:r>
            <w:r>
              <w:rPr>
                <w:rFonts w:asciiTheme="minorHAnsi" w:hAnsiTheme="minorHAnsi" w:cstheme="minorHAnsi"/>
                <w:sz w:val="20"/>
                <w:szCs w:val="20"/>
              </w:rPr>
              <w:t> vozidel</w:t>
            </w:r>
            <w:r w:rsidRPr="00BD7452">
              <w:rPr>
                <w:rFonts w:asciiTheme="minorHAnsi" w:hAnsiTheme="minorHAnsi" w:cstheme="minorHAnsi"/>
                <w:sz w:val="20"/>
                <w:szCs w:val="20"/>
              </w:rPr>
              <w:t>)</w:t>
            </w:r>
          </w:p>
        </w:tc>
        <w:tc>
          <w:tcPr>
            <w:tcW w:w="707" w:type="pct"/>
            <w:vAlign w:val="center"/>
          </w:tcPr>
          <w:p w14:paraId="6FAC1C49" w14:textId="77777777" w:rsidR="00BD7452" w:rsidRPr="0087361C" w:rsidRDefault="00BD7452" w:rsidP="00BD7452">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8</w:t>
            </w:r>
            <w:r w:rsidRPr="0087361C">
              <w:rPr>
                <w:rFonts w:ascii="Calibri" w:hAnsi="Calibri" w:cs="Calibri"/>
                <w:color w:val="000000"/>
                <w:sz w:val="20"/>
                <w:szCs w:val="20"/>
              </w:rPr>
              <w:t>–</w:t>
            </w:r>
            <w:r>
              <w:rPr>
                <w:rFonts w:ascii="Calibri" w:hAnsi="Calibri" w:cs="Calibri"/>
                <w:color w:val="000000"/>
                <w:sz w:val="20"/>
                <w:szCs w:val="20"/>
              </w:rPr>
              <w:t>2021</w:t>
            </w:r>
          </w:p>
        </w:tc>
        <w:tc>
          <w:tcPr>
            <w:tcW w:w="782" w:type="pct"/>
            <w:vAlign w:val="center"/>
          </w:tcPr>
          <w:p w14:paraId="38C619F3"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486 262 881</w:t>
            </w:r>
          </w:p>
        </w:tc>
        <w:tc>
          <w:tcPr>
            <w:tcW w:w="855" w:type="pct"/>
            <w:shd w:val="clear" w:color="auto" w:fill="auto"/>
            <w:vAlign w:val="center"/>
          </w:tcPr>
          <w:p w14:paraId="22DE5BD1"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486 262 881</w:t>
            </w:r>
          </w:p>
        </w:tc>
      </w:tr>
      <w:tr w:rsidR="00BD7452" w:rsidRPr="0087361C" w14:paraId="3EE7CFD7" w14:textId="77777777" w:rsidTr="00D677B3">
        <w:trPr>
          <w:trHeight w:val="283"/>
          <w:jc w:val="center"/>
        </w:trPr>
        <w:tc>
          <w:tcPr>
            <w:tcW w:w="858" w:type="pct"/>
            <w:shd w:val="clear" w:color="000000" w:fill="FFFFFF"/>
            <w:vAlign w:val="center"/>
          </w:tcPr>
          <w:p w14:paraId="737C8F7D" w14:textId="77777777" w:rsidR="00BD7452" w:rsidRPr="0087361C" w:rsidRDefault="00BD7452" w:rsidP="00D677B3">
            <w:pPr>
              <w:rPr>
                <w:rFonts w:ascii="Calibri" w:hAnsi="Calibri" w:cs="Calibri"/>
                <w:sz w:val="20"/>
                <w:szCs w:val="20"/>
              </w:rPr>
            </w:pPr>
            <w:r>
              <w:rPr>
                <w:rFonts w:ascii="Calibri" w:hAnsi="Calibri" w:cs="Calibri"/>
                <w:color w:val="000000"/>
                <w:sz w:val="20"/>
                <w:szCs w:val="20"/>
              </w:rPr>
              <w:t>107V691001906</w:t>
            </w:r>
          </w:p>
        </w:tc>
        <w:tc>
          <w:tcPr>
            <w:tcW w:w="1798" w:type="pct"/>
            <w:shd w:val="clear" w:color="auto" w:fill="auto"/>
          </w:tcPr>
          <w:p w14:paraId="0C99B07D" w14:textId="77777777" w:rsidR="00BD7452" w:rsidRPr="00BD7452" w:rsidRDefault="00BD7452" w:rsidP="00BD7452">
            <w:pPr>
              <w:rPr>
                <w:rFonts w:asciiTheme="minorHAnsi" w:hAnsiTheme="minorHAnsi" w:cstheme="minorHAnsi"/>
                <w:sz w:val="20"/>
                <w:szCs w:val="20"/>
              </w:rPr>
            </w:pPr>
            <w:r w:rsidRPr="00BD7452">
              <w:rPr>
                <w:rFonts w:asciiTheme="minorHAnsi" w:hAnsiTheme="minorHAnsi" w:cstheme="minorHAnsi"/>
                <w:sz w:val="20"/>
                <w:szCs w:val="20"/>
              </w:rPr>
              <w:t xml:space="preserve">Cisternový automobil plnič letecké techniky – nákup (7 </w:t>
            </w:r>
            <w:r>
              <w:rPr>
                <w:rFonts w:asciiTheme="minorHAnsi" w:hAnsiTheme="minorHAnsi" w:cstheme="minorHAnsi"/>
                <w:sz w:val="20"/>
                <w:szCs w:val="20"/>
              </w:rPr>
              <w:t xml:space="preserve">vozidel </w:t>
            </w:r>
            <w:r w:rsidRPr="00BD7452">
              <w:rPr>
                <w:rFonts w:asciiTheme="minorHAnsi" w:hAnsiTheme="minorHAnsi" w:cstheme="minorHAnsi"/>
                <w:sz w:val="20"/>
                <w:szCs w:val="20"/>
              </w:rPr>
              <w:t>+ 2</w:t>
            </w:r>
            <w:r>
              <w:rPr>
                <w:rFonts w:asciiTheme="minorHAnsi" w:hAnsiTheme="minorHAnsi" w:cstheme="minorHAnsi"/>
                <w:sz w:val="20"/>
                <w:szCs w:val="20"/>
              </w:rPr>
              <w:t> </w:t>
            </w:r>
            <w:r w:rsidRPr="00BD7452">
              <w:rPr>
                <w:rFonts w:asciiTheme="minorHAnsi" w:hAnsiTheme="minorHAnsi" w:cstheme="minorHAnsi"/>
                <w:sz w:val="20"/>
                <w:szCs w:val="20"/>
              </w:rPr>
              <w:t>soupravy)</w:t>
            </w:r>
          </w:p>
        </w:tc>
        <w:tc>
          <w:tcPr>
            <w:tcW w:w="707" w:type="pct"/>
            <w:vAlign w:val="center"/>
          </w:tcPr>
          <w:p w14:paraId="7F146B78" w14:textId="77777777" w:rsidR="00BD7452" w:rsidRPr="0087361C" w:rsidRDefault="00BD7452" w:rsidP="00BD7452">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8</w:t>
            </w:r>
            <w:r w:rsidRPr="0087361C">
              <w:rPr>
                <w:rFonts w:ascii="Calibri" w:hAnsi="Calibri" w:cs="Calibri"/>
                <w:color w:val="000000"/>
                <w:sz w:val="20"/>
                <w:szCs w:val="20"/>
              </w:rPr>
              <w:t>–</w:t>
            </w:r>
            <w:r>
              <w:rPr>
                <w:rFonts w:ascii="Calibri" w:hAnsi="Calibri" w:cs="Calibri"/>
                <w:color w:val="000000"/>
                <w:sz w:val="20"/>
                <w:szCs w:val="20"/>
              </w:rPr>
              <w:t>2021</w:t>
            </w:r>
          </w:p>
        </w:tc>
        <w:tc>
          <w:tcPr>
            <w:tcW w:w="782" w:type="pct"/>
            <w:shd w:val="clear" w:color="auto" w:fill="auto"/>
            <w:vAlign w:val="center"/>
          </w:tcPr>
          <w:p w14:paraId="4D6BE669"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249 676 897</w:t>
            </w:r>
          </w:p>
        </w:tc>
        <w:tc>
          <w:tcPr>
            <w:tcW w:w="855" w:type="pct"/>
            <w:shd w:val="clear" w:color="auto" w:fill="auto"/>
            <w:vAlign w:val="center"/>
          </w:tcPr>
          <w:p w14:paraId="3F7321E3"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249 676 897</w:t>
            </w:r>
          </w:p>
        </w:tc>
      </w:tr>
      <w:tr w:rsidR="00BD7452" w:rsidRPr="0087361C" w14:paraId="3AC5FB3B" w14:textId="77777777" w:rsidTr="00D677B3">
        <w:trPr>
          <w:trHeight w:val="283"/>
          <w:jc w:val="center"/>
        </w:trPr>
        <w:tc>
          <w:tcPr>
            <w:tcW w:w="858" w:type="pct"/>
            <w:shd w:val="clear" w:color="auto" w:fill="auto"/>
            <w:vAlign w:val="center"/>
          </w:tcPr>
          <w:p w14:paraId="5E1D44CB" w14:textId="77777777" w:rsidR="00BD7452" w:rsidRPr="0087361C" w:rsidRDefault="00BD7452" w:rsidP="00D677B3">
            <w:pPr>
              <w:rPr>
                <w:rFonts w:ascii="Calibri" w:hAnsi="Calibri" w:cs="Calibri"/>
                <w:sz w:val="20"/>
                <w:szCs w:val="20"/>
              </w:rPr>
            </w:pPr>
            <w:r>
              <w:rPr>
                <w:rFonts w:ascii="Calibri" w:hAnsi="Calibri" w:cs="Calibri"/>
                <w:color w:val="000000"/>
                <w:sz w:val="20"/>
                <w:szCs w:val="20"/>
              </w:rPr>
              <w:t>107V691002002</w:t>
            </w:r>
          </w:p>
        </w:tc>
        <w:tc>
          <w:tcPr>
            <w:tcW w:w="1798" w:type="pct"/>
            <w:shd w:val="clear" w:color="auto" w:fill="auto"/>
          </w:tcPr>
          <w:p w14:paraId="23E509D9" w14:textId="77777777" w:rsidR="00BD7452" w:rsidRPr="00BD7452" w:rsidRDefault="00BD7452" w:rsidP="00BD7452">
            <w:pPr>
              <w:rPr>
                <w:rFonts w:asciiTheme="minorHAnsi" w:hAnsiTheme="minorHAnsi" w:cstheme="minorHAnsi"/>
                <w:sz w:val="20"/>
                <w:szCs w:val="20"/>
              </w:rPr>
            </w:pPr>
            <w:r w:rsidRPr="00BD7452">
              <w:rPr>
                <w:rFonts w:asciiTheme="minorHAnsi" w:hAnsiTheme="minorHAnsi" w:cstheme="minorHAnsi"/>
                <w:sz w:val="20"/>
                <w:szCs w:val="20"/>
              </w:rPr>
              <w:t xml:space="preserve">Automobil nákladní terénní střední – nákup (25 </w:t>
            </w:r>
            <w:r>
              <w:rPr>
                <w:rFonts w:asciiTheme="minorHAnsi" w:hAnsiTheme="minorHAnsi" w:cstheme="minorHAnsi"/>
                <w:sz w:val="20"/>
                <w:szCs w:val="20"/>
              </w:rPr>
              <w:t>vozidel</w:t>
            </w:r>
            <w:r w:rsidRPr="00BD7452">
              <w:rPr>
                <w:rFonts w:asciiTheme="minorHAnsi" w:hAnsiTheme="minorHAnsi" w:cstheme="minorHAnsi"/>
                <w:sz w:val="20"/>
                <w:szCs w:val="20"/>
              </w:rPr>
              <w:t>)</w:t>
            </w:r>
          </w:p>
        </w:tc>
        <w:tc>
          <w:tcPr>
            <w:tcW w:w="707" w:type="pct"/>
            <w:vAlign w:val="center"/>
          </w:tcPr>
          <w:p w14:paraId="24B7851A" w14:textId="77777777" w:rsidR="00BD7452" w:rsidRPr="0087361C" w:rsidRDefault="00BD7452" w:rsidP="00BD7452">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8</w:t>
            </w:r>
            <w:r w:rsidRPr="0087361C">
              <w:rPr>
                <w:rFonts w:ascii="Calibri" w:hAnsi="Calibri" w:cs="Calibri"/>
                <w:color w:val="000000"/>
                <w:sz w:val="20"/>
                <w:szCs w:val="20"/>
              </w:rPr>
              <w:t>–</w:t>
            </w:r>
            <w:r>
              <w:rPr>
                <w:rFonts w:ascii="Calibri" w:hAnsi="Calibri" w:cs="Calibri"/>
                <w:color w:val="000000"/>
                <w:sz w:val="20"/>
                <w:szCs w:val="20"/>
              </w:rPr>
              <w:t>2021</w:t>
            </w:r>
          </w:p>
        </w:tc>
        <w:tc>
          <w:tcPr>
            <w:tcW w:w="782" w:type="pct"/>
            <w:shd w:val="clear" w:color="auto" w:fill="auto"/>
            <w:vAlign w:val="center"/>
          </w:tcPr>
          <w:p w14:paraId="2F7A03EC"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147 836 690</w:t>
            </w:r>
          </w:p>
        </w:tc>
        <w:tc>
          <w:tcPr>
            <w:tcW w:w="855" w:type="pct"/>
            <w:shd w:val="clear" w:color="auto" w:fill="auto"/>
            <w:vAlign w:val="center"/>
          </w:tcPr>
          <w:p w14:paraId="76F54787"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147 836 690</w:t>
            </w:r>
          </w:p>
        </w:tc>
      </w:tr>
      <w:tr w:rsidR="00BD7452" w:rsidRPr="0087361C" w14:paraId="140D7DB2" w14:textId="77777777" w:rsidTr="00D677B3">
        <w:trPr>
          <w:trHeight w:val="283"/>
          <w:jc w:val="center"/>
        </w:trPr>
        <w:tc>
          <w:tcPr>
            <w:tcW w:w="858" w:type="pct"/>
            <w:shd w:val="clear" w:color="auto" w:fill="auto"/>
            <w:vAlign w:val="center"/>
          </w:tcPr>
          <w:p w14:paraId="5843E391" w14:textId="77777777" w:rsidR="00BD7452" w:rsidRPr="0087361C" w:rsidRDefault="00BD7452" w:rsidP="00D677B3">
            <w:pPr>
              <w:rPr>
                <w:rFonts w:ascii="Calibri" w:hAnsi="Calibri" w:cs="Calibri"/>
                <w:sz w:val="20"/>
                <w:szCs w:val="20"/>
              </w:rPr>
            </w:pPr>
            <w:r>
              <w:rPr>
                <w:rFonts w:ascii="Calibri" w:hAnsi="Calibri" w:cs="Calibri"/>
                <w:color w:val="000000"/>
                <w:sz w:val="20"/>
                <w:szCs w:val="20"/>
              </w:rPr>
              <w:t>107V691002003</w:t>
            </w:r>
          </w:p>
        </w:tc>
        <w:tc>
          <w:tcPr>
            <w:tcW w:w="1798" w:type="pct"/>
            <w:shd w:val="clear" w:color="auto" w:fill="auto"/>
          </w:tcPr>
          <w:p w14:paraId="3F7E2969" w14:textId="77777777" w:rsidR="00BD7452" w:rsidRPr="00BD7452" w:rsidRDefault="00BD7452" w:rsidP="00BD7452">
            <w:pPr>
              <w:rPr>
                <w:rFonts w:asciiTheme="minorHAnsi" w:hAnsiTheme="minorHAnsi" w:cstheme="minorHAnsi"/>
                <w:sz w:val="20"/>
                <w:szCs w:val="20"/>
              </w:rPr>
            </w:pPr>
            <w:r w:rsidRPr="00BD7452">
              <w:rPr>
                <w:rFonts w:asciiTheme="minorHAnsi" w:hAnsiTheme="minorHAnsi" w:cstheme="minorHAnsi"/>
                <w:sz w:val="20"/>
                <w:szCs w:val="20"/>
              </w:rPr>
              <w:t xml:space="preserve">Automobil nákladní terénní těžký – nákup (30 </w:t>
            </w:r>
            <w:r>
              <w:rPr>
                <w:rFonts w:asciiTheme="minorHAnsi" w:hAnsiTheme="minorHAnsi" w:cstheme="minorHAnsi"/>
                <w:sz w:val="20"/>
                <w:szCs w:val="20"/>
              </w:rPr>
              <w:t>vozidel</w:t>
            </w:r>
            <w:r w:rsidRPr="00BD7452">
              <w:rPr>
                <w:rFonts w:asciiTheme="minorHAnsi" w:hAnsiTheme="minorHAnsi" w:cstheme="minorHAnsi"/>
                <w:sz w:val="20"/>
                <w:szCs w:val="20"/>
              </w:rPr>
              <w:t>)</w:t>
            </w:r>
          </w:p>
        </w:tc>
        <w:tc>
          <w:tcPr>
            <w:tcW w:w="707" w:type="pct"/>
            <w:vAlign w:val="center"/>
          </w:tcPr>
          <w:p w14:paraId="66078506" w14:textId="77777777" w:rsidR="00BD7452" w:rsidRPr="0087361C" w:rsidRDefault="00BD7452" w:rsidP="00BD7452">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8</w:t>
            </w:r>
            <w:r w:rsidRPr="0087361C">
              <w:rPr>
                <w:rFonts w:ascii="Calibri" w:hAnsi="Calibri" w:cs="Calibri"/>
                <w:color w:val="000000"/>
                <w:sz w:val="20"/>
                <w:szCs w:val="20"/>
              </w:rPr>
              <w:t>–</w:t>
            </w:r>
            <w:r>
              <w:rPr>
                <w:rFonts w:ascii="Calibri" w:hAnsi="Calibri" w:cs="Calibri"/>
                <w:color w:val="000000"/>
                <w:sz w:val="20"/>
                <w:szCs w:val="20"/>
              </w:rPr>
              <w:t>2020</w:t>
            </w:r>
          </w:p>
        </w:tc>
        <w:tc>
          <w:tcPr>
            <w:tcW w:w="782" w:type="pct"/>
            <w:shd w:val="clear" w:color="auto" w:fill="auto"/>
            <w:vAlign w:val="center"/>
          </w:tcPr>
          <w:p w14:paraId="498715E4"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286 903 130</w:t>
            </w:r>
          </w:p>
        </w:tc>
        <w:tc>
          <w:tcPr>
            <w:tcW w:w="855" w:type="pct"/>
            <w:shd w:val="clear" w:color="auto" w:fill="auto"/>
            <w:vAlign w:val="center"/>
          </w:tcPr>
          <w:p w14:paraId="5E5F9615"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286 903 130</w:t>
            </w:r>
          </w:p>
        </w:tc>
      </w:tr>
      <w:tr w:rsidR="00BD7452" w:rsidRPr="0087361C" w14:paraId="57AC096D" w14:textId="77777777" w:rsidTr="00D677B3">
        <w:trPr>
          <w:trHeight w:val="283"/>
          <w:jc w:val="center"/>
        </w:trPr>
        <w:tc>
          <w:tcPr>
            <w:tcW w:w="858" w:type="pct"/>
            <w:shd w:val="clear" w:color="auto" w:fill="auto"/>
            <w:vAlign w:val="center"/>
          </w:tcPr>
          <w:p w14:paraId="649BD5E0" w14:textId="77777777" w:rsidR="00BD7452" w:rsidRPr="0087361C" w:rsidRDefault="00BD7452" w:rsidP="00D677B3">
            <w:pPr>
              <w:rPr>
                <w:rFonts w:ascii="Calibri" w:hAnsi="Calibri" w:cs="Calibri"/>
                <w:sz w:val="20"/>
                <w:szCs w:val="20"/>
              </w:rPr>
            </w:pPr>
            <w:r>
              <w:rPr>
                <w:rFonts w:ascii="Calibri" w:hAnsi="Calibri" w:cs="Calibri"/>
                <w:color w:val="000000"/>
                <w:sz w:val="20"/>
                <w:szCs w:val="20"/>
              </w:rPr>
              <w:t>107V691002072</w:t>
            </w:r>
          </w:p>
        </w:tc>
        <w:tc>
          <w:tcPr>
            <w:tcW w:w="1798" w:type="pct"/>
            <w:shd w:val="clear" w:color="auto" w:fill="auto"/>
          </w:tcPr>
          <w:p w14:paraId="4968E5C4" w14:textId="77777777" w:rsidR="00BD7452" w:rsidRPr="00BD7452" w:rsidRDefault="00BD7452" w:rsidP="00BD7452">
            <w:pPr>
              <w:rPr>
                <w:rFonts w:asciiTheme="minorHAnsi" w:hAnsiTheme="minorHAnsi" w:cstheme="minorHAnsi"/>
                <w:sz w:val="20"/>
                <w:szCs w:val="20"/>
              </w:rPr>
            </w:pPr>
            <w:r w:rsidRPr="00BD7452">
              <w:rPr>
                <w:rFonts w:asciiTheme="minorHAnsi" w:hAnsiTheme="minorHAnsi" w:cstheme="minorHAnsi"/>
                <w:sz w:val="20"/>
                <w:szCs w:val="20"/>
              </w:rPr>
              <w:t>Automobil osobní terénní – nákup (1</w:t>
            </w:r>
            <w:r>
              <w:rPr>
                <w:rFonts w:asciiTheme="minorHAnsi" w:hAnsiTheme="minorHAnsi" w:cstheme="minorHAnsi"/>
                <w:sz w:val="20"/>
                <w:szCs w:val="20"/>
              </w:rPr>
              <w:t> </w:t>
            </w:r>
            <w:r w:rsidRPr="00BD7452">
              <w:rPr>
                <w:rFonts w:asciiTheme="minorHAnsi" w:hAnsiTheme="minorHAnsi" w:cstheme="minorHAnsi"/>
                <w:sz w:val="20"/>
                <w:szCs w:val="20"/>
              </w:rPr>
              <w:t xml:space="preserve">430 </w:t>
            </w:r>
            <w:r>
              <w:rPr>
                <w:rFonts w:asciiTheme="minorHAnsi" w:hAnsiTheme="minorHAnsi" w:cstheme="minorHAnsi"/>
                <w:sz w:val="20"/>
                <w:szCs w:val="20"/>
              </w:rPr>
              <w:t>vozidel</w:t>
            </w:r>
            <w:r w:rsidRPr="00BD7452">
              <w:rPr>
                <w:rFonts w:asciiTheme="minorHAnsi" w:hAnsiTheme="minorHAnsi" w:cstheme="minorHAnsi"/>
                <w:sz w:val="20"/>
                <w:szCs w:val="20"/>
              </w:rPr>
              <w:t>)</w:t>
            </w:r>
          </w:p>
        </w:tc>
        <w:tc>
          <w:tcPr>
            <w:tcW w:w="707" w:type="pct"/>
            <w:vAlign w:val="center"/>
          </w:tcPr>
          <w:p w14:paraId="58435F8D" w14:textId="77777777" w:rsidR="00BD7452" w:rsidRPr="0087361C" w:rsidRDefault="00BD7452" w:rsidP="00BD7452">
            <w:pPr>
              <w:jc w:val="center"/>
              <w:rPr>
                <w:rFonts w:ascii="Calibri" w:hAnsi="Calibri" w:cs="Calibri"/>
                <w:color w:val="000000"/>
                <w:sz w:val="20"/>
                <w:szCs w:val="20"/>
              </w:rPr>
            </w:pPr>
            <w:r w:rsidRPr="0087361C">
              <w:rPr>
                <w:rFonts w:ascii="Calibri" w:hAnsi="Calibri" w:cs="Calibri"/>
                <w:color w:val="000000"/>
                <w:sz w:val="20"/>
                <w:szCs w:val="20"/>
              </w:rPr>
              <w:t>20</w:t>
            </w:r>
            <w:r>
              <w:rPr>
                <w:rFonts w:ascii="Calibri" w:hAnsi="Calibri" w:cs="Calibri"/>
                <w:color w:val="000000"/>
                <w:sz w:val="20"/>
                <w:szCs w:val="20"/>
              </w:rPr>
              <w:t>20</w:t>
            </w:r>
            <w:r w:rsidRPr="0087361C">
              <w:rPr>
                <w:rFonts w:ascii="Calibri" w:hAnsi="Calibri" w:cs="Calibri"/>
                <w:color w:val="000000"/>
                <w:sz w:val="20"/>
                <w:szCs w:val="20"/>
              </w:rPr>
              <w:t>–</w:t>
            </w:r>
            <w:r>
              <w:rPr>
                <w:rFonts w:ascii="Calibri" w:hAnsi="Calibri" w:cs="Calibri"/>
                <w:color w:val="000000"/>
                <w:sz w:val="20"/>
                <w:szCs w:val="20"/>
              </w:rPr>
              <w:t>2024</w:t>
            </w:r>
          </w:p>
        </w:tc>
        <w:tc>
          <w:tcPr>
            <w:tcW w:w="782" w:type="pct"/>
            <w:shd w:val="clear" w:color="auto" w:fill="auto"/>
            <w:vAlign w:val="center"/>
          </w:tcPr>
          <w:p w14:paraId="2BB58BC6"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1 249 361 759</w:t>
            </w:r>
          </w:p>
        </w:tc>
        <w:tc>
          <w:tcPr>
            <w:tcW w:w="855" w:type="pct"/>
            <w:shd w:val="clear" w:color="auto" w:fill="auto"/>
            <w:vAlign w:val="center"/>
          </w:tcPr>
          <w:p w14:paraId="6EC005D1" w14:textId="77777777" w:rsidR="00BD7452" w:rsidRPr="00BD7452" w:rsidRDefault="00BD7452" w:rsidP="00BD7452">
            <w:pPr>
              <w:jc w:val="right"/>
              <w:rPr>
                <w:rFonts w:asciiTheme="minorHAnsi" w:hAnsiTheme="minorHAnsi" w:cstheme="minorHAnsi"/>
                <w:color w:val="000000"/>
                <w:sz w:val="20"/>
                <w:szCs w:val="20"/>
              </w:rPr>
            </w:pPr>
            <w:r w:rsidRPr="00BD7452">
              <w:rPr>
                <w:rFonts w:asciiTheme="minorHAnsi" w:hAnsiTheme="minorHAnsi" w:cstheme="minorHAnsi"/>
                <w:sz w:val="20"/>
                <w:szCs w:val="20"/>
              </w:rPr>
              <w:t>419 097 149</w:t>
            </w:r>
          </w:p>
        </w:tc>
      </w:tr>
      <w:tr w:rsidR="001A05E4" w:rsidRPr="0087361C" w14:paraId="5C329E49" w14:textId="77777777" w:rsidTr="001C203F">
        <w:trPr>
          <w:trHeight w:val="283"/>
          <w:jc w:val="center"/>
        </w:trPr>
        <w:tc>
          <w:tcPr>
            <w:tcW w:w="5000" w:type="pct"/>
            <w:gridSpan w:val="5"/>
            <w:vAlign w:val="center"/>
          </w:tcPr>
          <w:p w14:paraId="7DF28704" w14:textId="77777777" w:rsidR="001A05E4" w:rsidRPr="00680549" w:rsidRDefault="00FF0491" w:rsidP="00C26E2B">
            <w:pPr>
              <w:rPr>
                <w:rFonts w:ascii="Calibri" w:hAnsi="Calibri" w:cs="Calibri"/>
                <w:b/>
                <w:color w:val="000000"/>
                <w:sz w:val="20"/>
                <w:szCs w:val="20"/>
              </w:rPr>
            </w:pPr>
            <w:r>
              <w:rPr>
                <w:rFonts w:ascii="Calibri" w:hAnsi="Calibri" w:cs="Calibri"/>
                <w:b/>
                <w:color w:val="000000"/>
                <w:sz w:val="20"/>
                <w:szCs w:val="20"/>
              </w:rPr>
              <w:t>Rámcové smlouvy / rámcová dohoda na opravy a nákup</w:t>
            </w:r>
            <w:r w:rsidR="00F67BB5">
              <w:rPr>
                <w:rFonts w:ascii="Calibri" w:hAnsi="Calibri" w:cs="Calibri"/>
                <w:b/>
                <w:color w:val="000000"/>
                <w:sz w:val="20"/>
                <w:szCs w:val="20"/>
              </w:rPr>
              <w:t>y</w:t>
            </w:r>
            <w:r>
              <w:rPr>
                <w:rFonts w:ascii="Calibri" w:hAnsi="Calibri" w:cs="Calibri"/>
                <w:b/>
                <w:color w:val="000000"/>
                <w:sz w:val="20"/>
                <w:szCs w:val="20"/>
              </w:rPr>
              <w:t xml:space="preserve"> náhradních dílů automobilní technik</w:t>
            </w:r>
            <w:r w:rsidR="00AF64AA">
              <w:rPr>
                <w:rFonts w:ascii="Calibri" w:hAnsi="Calibri" w:cs="Calibri"/>
                <w:b/>
                <w:color w:val="000000"/>
                <w:sz w:val="20"/>
                <w:szCs w:val="20"/>
              </w:rPr>
              <w:t>y</w:t>
            </w:r>
          </w:p>
        </w:tc>
      </w:tr>
      <w:tr w:rsidR="001A05E4" w:rsidRPr="0087361C" w14:paraId="70BE5555" w14:textId="77777777" w:rsidTr="00D677B3">
        <w:trPr>
          <w:trHeight w:val="283"/>
          <w:jc w:val="center"/>
        </w:trPr>
        <w:tc>
          <w:tcPr>
            <w:tcW w:w="858" w:type="pct"/>
            <w:shd w:val="clear" w:color="auto" w:fill="auto"/>
            <w:vAlign w:val="center"/>
          </w:tcPr>
          <w:p w14:paraId="1CEF3DD9" w14:textId="77777777" w:rsidR="001A05E4" w:rsidRPr="0087361C" w:rsidRDefault="00DD30BC" w:rsidP="00D677B3">
            <w:pPr>
              <w:rPr>
                <w:rFonts w:ascii="Calibri" w:hAnsi="Calibri" w:cs="Calibri"/>
                <w:color w:val="000000"/>
                <w:sz w:val="20"/>
                <w:szCs w:val="20"/>
              </w:rPr>
            </w:pPr>
            <w:r>
              <w:rPr>
                <w:rFonts w:ascii="Calibri" w:hAnsi="Calibri" w:cs="Calibri"/>
                <w:color w:val="000000"/>
                <w:sz w:val="20"/>
                <w:szCs w:val="20"/>
              </w:rPr>
              <w:t>RS 165110215</w:t>
            </w:r>
          </w:p>
        </w:tc>
        <w:tc>
          <w:tcPr>
            <w:tcW w:w="1798" w:type="pct"/>
            <w:shd w:val="clear" w:color="auto" w:fill="auto"/>
            <w:vAlign w:val="center"/>
          </w:tcPr>
          <w:p w14:paraId="212473D1" w14:textId="77777777" w:rsidR="001A05E4" w:rsidRPr="0087361C" w:rsidRDefault="00DD30BC" w:rsidP="00C26E2B">
            <w:pPr>
              <w:rPr>
                <w:rFonts w:ascii="Calibri" w:hAnsi="Calibri" w:cs="Calibri"/>
                <w:color w:val="000000"/>
                <w:sz w:val="20"/>
                <w:szCs w:val="20"/>
              </w:rPr>
            </w:pPr>
            <w:r>
              <w:rPr>
                <w:rFonts w:ascii="Calibri" w:hAnsi="Calibri" w:cs="Calibri"/>
                <w:color w:val="000000"/>
                <w:sz w:val="20"/>
                <w:szCs w:val="20"/>
              </w:rPr>
              <w:t>Náhradní díly na T 810</w:t>
            </w:r>
          </w:p>
        </w:tc>
        <w:tc>
          <w:tcPr>
            <w:tcW w:w="707" w:type="pct"/>
            <w:vAlign w:val="center"/>
          </w:tcPr>
          <w:p w14:paraId="0E7BE56E" w14:textId="77777777" w:rsidR="001A05E4" w:rsidRPr="0087361C" w:rsidRDefault="00DD30BC" w:rsidP="00C26E2B">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7</w:t>
            </w:r>
            <w:r w:rsidRPr="0087361C">
              <w:rPr>
                <w:rFonts w:ascii="Calibri" w:hAnsi="Calibri" w:cs="Calibri"/>
                <w:color w:val="000000"/>
                <w:sz w:val="20"/>
                <w:szCs w:val="20"/>
              </w:rPr>
              <w:t>–</w:t>
            </w:r>
            <w:r>
              <w:rPr>
                <w:rFonts w:ascii="Calibri" w:hAnsi="Calibri" w:cs="Calibri"/>
                <w:color w:val="000000"/>
                <w:sz w:val="20"/>
                <w:szCs w:val="20"/>
              </w:rPr>
              <w:t>2021</w:t>
            </w:r>
          </w:p>
        </w:tc>
        <w:tc>
          <w:tcPr>
            <w:tcW w:w="782" w:type="pct"/>
            <w:vAlign w:val="center"/>
          </w:tcPr>
          <w:p w14:paraId="421D71E5" w14:textId="77777777" w:rsidR="001A05E4" w:rsidRPr="0087361C" w:rsidRDefault="0073362D" w:rsidP="00C26E2B">
            <w:pPr>
              <w:jc w:val="right"/>
              <w:rPr>
                <w:rFonts w:ascii="Calibri" w:hAnsi="Calibri" w:cs="Calibri"/>
                <w:color w:val="000000"/>
                <w:sz w:val="20"/>
                <w:szCs w:val="20"/>
              </w:rPr>
            </w:pPr>
            <w:r>
              <w:rPr>
                <w:rFonts w:ascii="Calibri" w:hAnsi="Calibri" w:cs="Calibri"/>
                <w:color w:val="000000"/>
                <w:sz w:val="20"/>
                <w:szCs w:val="20"/>
              </w:rPr>
              <w:t>180 000 000</w:t>
            </w:r>
          </w:p>
        </w:tc>
        <w:tc>
          <w:tcPr>
            <w:tcW w:w="855" w:type="pct"/>
            <w:shd w:val="clear" w:color="auto" w:fill="auto"/>
            <w:vAlign w:val="center"/>
          </w:tcPr>
          <w:p w14:paraId="7EA73C39" w14:textId="1A4084F5" w:rsidR="001A05E4" w:rsidRPr="0087361C" w:rsidRDefault="007E55CF" w:rsidP="00F67BB5">
            <w:pPr>
              <w:jc w:val="right"/>
              <w:rPr>
                <w:rFonts w:ascii="Calibri" w:hAnsi="Calibri" w:cs="Calibri"/>
                <w:color w:val="000000"/>
                <w:sz w:val="20"/>
                <w:szCs w:val="20"/>
              </w:rPr>
            </w:pPr>
            <w:r>
              <w:rPr>
                <w:rFonts w:asciiTheme="minorHAnsi" w:hAnsiTheme="minorHAnsi" w:cs="Calibri"/>
                <w:b/>
                <w:color w:val="000000"/>
                <w:sz w:val="18"/>
                <w:szCs w:val="18"/>
              </w:rPr>
              <w:t>–</w:t>
            </w:r>
          </w:p>
        </w:tc>
      </w:tr>
      <w:tr w:rsidR="00FF0491" w:rsidRPr="0087361C" w14:paraId="26CD6EF1" w14:textId="77777777" w:rsidTr="00D677B3">
        <w:trPr>
          <w:trHeight w:val="283"/>
          <w:jc w:val="center"/>
        </w:trPr>
        <w:tc>
          <w:tcPr>
            <w:tcW w:w="858" w:type="pct"/>
            <w:shd w:val="clear" w:color="auto" w:fill="auto"/>
            <w:vAlign w:val="center"/>
          </w:tcPr>
          <w:p w14:paraId="50DC9D2E" w14:textId="77777777" w:rsidR="00FF0491" w:rsidRPr="0087361C" w:rsidRDefault="00DD30BC" w:rsidP="00D677B3">
            <w:pPr>
              <w:rPr>
                <w:rFonts w:ascii="Calibri" w:hAnsi="Calibri" w:cs="Calibri"/>
                <w:color w:val="000000"/>
                <w:sz w:val="20"/>
                <w:szCs w:val="20"/>
              </w:rPr>
            </w:pPr>
            <w:r>
              <w:rPr>
                <w:rFonts w:ascii="Calibri" w:hAnsi="Calibri" w:cs="Calibri"/>
                <w:color w:val="000000"/>
                <w:sz w:val="20"/>
                <w:szCs w:val="20"/>
              </w:rPr>
              <w:t>RS 165110270</w:t>
            </w:r>
          </w:p>
        </w:tc>
        <w:tc>
          <w:tcPr>
            <w:tcW w:w="1798" w:type="pct"/>
            <w:shd w:val="clear" w:color="auto" w:fill="auto"/>
            <w:vAlign w:val="center"/>
          </w:tcPr>
          <w:p w14:paraId="3A86DEEE" w14:textId="77777777" w:rsidR="00FF0491" w:rsidRPr="0087361C" w:rsidRDefault="00DD30BC" w:rsidP="00C26E2B">
            <w:pPr>
              <w:rPr>
                <w:rFonts w:ascii="Calibri" w:hAnsi="Calibri" w:cs="Calibri"/>
                <w:color w:val="000000"/>
                <w:sz w:val="20"/>
                <w:szCs w:val="20"/>
              </w:rPr>
            </w:pPr>
            <w:r>
              <w:rPr>
                <w:rFonts w:ascii="Calibri" w:hAnsi="Calibri" w:cs="Calibri"/>
                <w:color w:val="000000"/>
                <w:sz w:val="20"/>
                <w:szCs w:val="20"/>
              </w:rPr>
              <w:t>Land Rover Defender – opravy a udržování (614 vozidel)</w:t>
            </w:r>
          </w:p>
        </w:tc>
        <w:tc>
          <w:tcPr>
            <w:tcW w:w="707" w:type="pct"/>
            <w:vAlign w:val="center"/>
          </w:tcPr>
          <w:p w14:paraId="6323158B" w14:textId="77777777" w:rsidR="00FF0491" w:rsidRPr="00071EFE" w:rsidRDefault="00DD30BC" w:rsidP="00C26E2B">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7</w:t>
            </w:r>
            <w:r w:rsidRPr="0087361C">
              <w:rPr>
                <w:rFonts w:ascii="Calibri" w:hAnsi="Calibri" w:cs="Calibri"/>
                <w:color w:val="000000"/>
                <w:sz w:val="20"/>
                <w:szCs w:val="20"/>
              </w:rPr>
              <w:t>–</w:t>
            </w:r>
            <w:r>
              <w:rPr>
                <w:rFonts w:ascii="Calibri" w:hAnsi="Calibri" w:cs="Calibri"/>
                <w:color w:val="000000"/>
                <w:sz w:val="20"/>
                <w:szCs w:val="20"/>
              </w:rPr>
              <w:t>2020</w:t>
            </w:r>
          </w:p>
        </w:tc>
        <w:tc>
          <w:tcPr>
            <w:tcW w:w="782" w:type="pct"/>
            <w:vAlign w:val="center"/>
          </w:tcPr>
          <w:p w14:paraId="53FE6178" w14:textId="77777777" w:rsidR="00FF0491" w:rsidRDefault="0073362D" w:rsidP="00C26E2B">
            <w:pPr>
              <w:jc w:val="right"/>
              <w:rPr>
                <w:rFonts w:ascii="Calibri" w:hAnsi="Calibri" w:cs="Calibri"/>
                <w:color w:val="000000"/>
                <w:sz w:val="20"/>
                <w:szCs w:val="20"/>
              </w:rPr>
            </w:pPr>
            <w:r>
              <w:rPr>
                <w:rFonts w:ascii="Calibri" w:hAnsi="Calibri" w:cs="Calibri"/>
                <w:color w:val="000000"/>
                <w:sz w:val="20"/>
                <w:szCs w:val="20"/>
              </w:rPr>
              <w:t>115 000 000</w:t>
            </w:r>
          </w:p>
        </w:tc>
        <w:tc>
          <w:tcPr>
            <w:tcW w:w="855" w:type="pct"/>
            <w:shd w:val="clear" w:color="auto" w:fill="auto"/>
            <w:vAlign w:val="center"/>
          </w:tcPr>
          <w:p w14:paraId="60EE089E" w14:textId="77777777" w:rsidR="00FF0491" w:rsidRDefault="0073362D" w:rsidP="00F67BB5">
            <w:pPr>
              <w:jc w:val="right"/>
              <w:rPr>
                <w:rFonts w:ascii="Calibri" w:hAnsi="Calibri" w:cs="Calibri"/>
                <w:color w:val="000000"/>
                <w:sz w:val="20"/>
                <w:szCs w:val="20"/>
              </w:rPr>
            </w:pPr>
            <w:r>
              <w:rPr>
                <w:rFonts w:ascii="Calibri" w:hAnsi="Calibri" w:cs="Calibri"/>
                <w:color w:val="000000"/>
                <w:sz w:val="20"/>
                <w:szCs w:val="20"/>
              </w:rPr>
              <w:t>12 540 350</w:t>
            </w:r>
          </w:p>
        </w:tc>
      </w:tr>
      <w:tr w:rsidR="001A05E4" w:rsidRPr="0087361C" w14:paraId="5AA27495" w14:textId="77777777" w:rsidTr="00D677B3">
        <w:trPr>
          <w:trHeight w:val="283"/>
          <w:jc w:val="center"/>
        </w:trPr>
        <w:tc>
          <w:tcPr>
            <w:tcW w:w="858" w:type="pct"/>
            <w:shd w:val="clear" w:color="auto" w:fill="auto"/>
            <w:vAlign w:val="center"/>
          </w:tcPr>
          <w:p w14:paraId="3225C95A" w14:textId="77777777" w:rsidR="001A05E4" w:rsidRPr="0087361C" w:rsidRDefault="00DD30BC" w:rsidP="00D677B3">
            <w:pPr>
              <w:rPr>
                <w:rFonts w:ascii="Calibri" w:hAnsi="Calibri" w:cs="Calibri"/>
                <w:color w:val="000000"/>
                <w:sz w:val="20"/>
                <w:szCs w:val="20"/>
              </w:rPr>
            </w:pPr>
            <w:r>
              <w:rPr>
                <w:rFonts w:ascii="Calibri" w:hAnsi="Calibri" w:cs="Calibri"/>
                <w:color w:val="000000"/>
                <w:sz w:val="20"/>
                <w:szCs w:val="20"/>
              </w:rPr>
              <w:t>RS 171050253</w:t>
            </w:r>
          </w:p>
        </w:tc>
        <w:tc>
          <w:tcPr>
            <w:tcW w:w="1798" w:type="pct"/>
            <w:shd w:val="clear" w:color="auto" w:fill="auto"/>
            <w:vAlign w:val="center"/>
          </w:tcPr>
          <w:p w14:paraId="6EAA4534" w14:textId="77777777" w:rsidR="001A05E4" w:rsidRPr="0087361C" w:rsidRDefault="0073362D" w:rsidP="00C26E2B">
            <w:pPr>
              <w:rPr>
                <w:rFonts w:ascii="Calibri" w:hAnsi="Calibri" w:cs="Calibri"/>
                <w:color w:val="000000"/>
                <w:sz w:val="20"/>
                <w:szCs w:val="20"/>
              </w:rPr>
            </w:pPr>
            <w:r>
              <w:rPr>
                <w:rFonts w:ascii="Calibri" w:hAnsi="Calibri" w:cs="Calibri"/>
                <w:color w:val="000000"/>
                <w:sz w:val="20"/>
                <w:szCs w:val="20"/>
              </w:rPr>
              <w:t>Opravy a udržování automobilních jeřábů a UDS na podvozku TATRA (42 vozidel)</w:t>
            </w:r>
          </w:p>
        </w:tc>
        <w:tc>
          <w:tcPr>
            <w:tcW w:w="707" w:type="pct"/>
            <w:vAlign w:val="center"/>
          </w:tcPr>
          <w:p w14:paraId="152DCEFC" w14:textId="77777777" w:rsidR="001A05E4" w:rsidRPr="0087361C" w:rsidRDefault="00DD30BC" w:rsidP="00C26E2B">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7</w:t>
            </w:r>
            <w:r w:rsidRPr="0087361C">
              <w:rPr>
                <w:rFonts w:ascii="Calibri" w:hAnsi="Calibri" w:cs="Calibri"/>
                <w:color w:val="000000"/>
                <w:sz w:val="20"/>
                <w:szCs w:val="20"/>
              </w:rPr>
              <w:t>–</w:t>
            </w:r>
            <w:r>
              <w:rPr>
                <w:rFonts w:ascii="Calibri" w:hAnsi="Calibri" w:cs="Calibri"/>
                <w:color w:val="000000"/>
                <w:sz w:val="20"/>
                <w:szCs w:val="20"/>
              </w:rPr>
              <w:t>2019</w:t>
            </w:r>
          </w:p>
        </w:tc>
        <w:tc>
          <w:tcPr>
            <w:tcW w:w="782" w:type="pct"/>
            <w:vAlign w:val="center"/>
          </w:tcPr>
          <w:p w14:paraId="196A4D06" w14:textId="77777777" w:rsidR="001A05E4" w:rsidRPr="0087361C" w:rsidRDefault="0073362D" w:rsidP="00C26E2B">
            <w:pPr>
              <w:jc w:val="right"/>
              <w:rPr>
                <w:rFonts w:ascii="Calibri" w:hAnsi="Calibri" w:cs="Calibri"/>
                <w:color w:val="000000"/>
                <w:sz w:val="20"/>
                <w:szCs w:val="20"/>
              </w:rPr>
            </w:pPr>
            <w:r>
              <w:rPr>
                <w:rFonts w:ascii="Calibri" w:hAnsi="Calibri" w:cs="Calibri"/>
                <w:color w:val="000000"/>
                <w:sz w:val="20"/>
                <w:szCs w:val="20"/>
              </w:rPr>
              <w:t>12 165 000</w:t>
            </w:r>
          </w:p>
        </w:tc>
        <w:tc>
          <w:tcPr>
            <w:tcW w:w="855" w:type="pct"/>
            <w:shd w:val="clear" w:color="auto" w:fill="auto"/>
            <w:vAlign w:val="center"/>
          </w:tcPr>
          <w:p w14:paraId="1E19B0DB" w14:textId="77777777" w:rsidR="001A05E4" w:rsidRPr="0087361C" w:rsidRDefault="0073362D" w:rsidP="00F67BB5">
            <w:pPr>
              <w:jc w:val="right"/>
              <w:rPr>
                <w:rFonts w:ascii="Calibri" w:hAnsi="Calibri" w:cs="Calibri"/>
                <w:color w:val="000000"/>
                <w:sz w:val="20"/>
                <w:szCs w:val="20"/>
              </w:rPr>
            </w:pPr>
            <w:r>
              <w:rPr>
                <w:rFonts w:ascii="Calibri" w:hAnsi="Calibri" w:cs="Calibri"/>
                <w:color w:val="000000"/>
                <w:sz w:val="20"/>
                <w:szCs w:val="20"/>
              </w:rPr>
              <w:t>8 375 581</w:t>
            </w:r>
          </w:p>
        </w:tc>
      </w:tr>
      <w:tr w:rsidR="001A05E4" w:rsidRPr="0087361C" w14:paraId="1BF84533" w14:textId="77777777" w:rsidTr="00D677B3">
        <w:trPr>
          <w:trHeight w:val="283"/>
          <w:jc w:val="center"/>
        </w:trPr>
        <w:tc>
          <w:tcPr>
            <w:tcW w:w="858" w:type="pct"/>
            <w:shd w:val="clear" w:color="auto" w:fill="auto"/>
            <w:vAlign w:val="center"/>
          </w:tcPr>
          <w:p w14:paraId="255F6CB8" w14:textId="77777777" w:rsidR="001A05E4" w:rsidRPr="0087361C" w:rsidRDefault="00DD30BC" w:rsidP="00D677B3">
            <w:pPr>
              <w:rPr>
                <w:rFonts w:ascii="Calibri" w:hAnsi="Calibri" w:cs="Calibri"/>
                <w:color w:val="000000"/>
                <w:sz w:val="20"/>
                <w:szCs w:val="20"/>
              </w:rPr>
            </w:pPr>
            <w:r>
              <w:rPr>
                <w:rFonts w:ascii="Calibri" w:hAnsi="Calibri" w:cs="Calibri"/>
                <w:color w:val="000000"/>
                <w:sz w:val="20"/>
                <w:szCs w:val="20"/>
              </w:rPr>
              <w:t>RD 175110189</w:t>
            </w:r>
          </w:p>
        </w:tc>
        <w:tc>
          <w:tcPr>
            <w:tcW w:w="1798" w:type="pct"/>
            <w:shd w:val="clear" w:color="auto" w:fill="auto"/>
            <w:vAlign w:val="center"/>
          </w:tcPr>
          <w:p w14:paraId="58DA9A98" w14:textId="77777777" w:rsidR="001A05E4" w:rsidRPr="0087361C" w:rsidRDefault="0073362D" w:rsidP="00C26E2B">
            <w:pPr>
              <w:rPr>
                <w:rFonts w:ascii="Calibri" w:hAnsi="Calibri" w:cs="Calibri"/>
                <w:color w:val="000000"/>
                <w:sz w:val="20"/>
                <w:szCs w:val="20"/>
              </w:rPr>
            </w:pPr>
            <w:r>
              <w:rPr>
                <w:rFonts w:ascii="Calibri" w:hAnsi="Calibri" w:cs="Calibri"/>
                <w:color w:val="000000"/>
                <w:sz w:val="20"/>
                <w:szCs w:val="20"/>
              </w:rPr>
              <w:t>T 810 – opravy a udržování (613 vozidel)</w:t>
            </w:r>
          </w:p>
        </w:tc>
        <w:tc>
          <w:tcPr>
            <w:tcW w:w="707" w:type="pct"/>
            <w:vAlign w:val="center"/>
          </w:tcPr>
          <w:p w14:paraId="5569AB8F" w14:textId="77777777" w:rsidR="001A05E4" w:rsidRPr="0087361C" w:rsidRDefault="00DD30BC" w:rsidP="00C26E2B">
            <w:pPr>
              <w:jc w:val="center"/>
              <w:rPr>
                <w:rFonts w:ascii="Calibri" w:hAnsi="Calibri" w:cs="Calibri"/>
                <w:color w:val="000000"/>
                <w:sz w:val="20"/>
                <w:szCs w:val="20"/>
              </w:rPr>
            </w:pPr>
            <w:r w:rsidRPr="0087361C">
              <w:rPr>
                <w:rFonts w:ascii="Calibri" w:hAnsi="Calibri" w:cs="Calibri"/>
                <w:color w:val="000000"/>
                <w:sz w:val="20"/>
                <w:szCs w:val="20"/>
              </w:rPr>
              <w:t>201</w:t>
            </w:r>
            <w:r>
              <w:rPr>
                <w:rFonts w:ascii="Calibri" w:hAnsi="Calibri" w:cs="Calibri"/>
                <w:color w:val="000000"/>
                <w:sz w:val="20"/>
                <w:szCs w:val="20"/>
              </w:rPr>
              <w:t>8</w:t>
            </w:r>
            <w:r w:rsidRPr="0087361C">
              <w:rPr>
                <w:rFonts w:ascii="Calibri" w:hAnsi="Calibri" w:cs="Calibri"/>
                <w:color w:val="000000"/>
                <w:sz w:val="20"/>
                <w:szCs w:val="20"/>
              </w:rPr>
              <w:t>–</w:t>
            </w:r>
            <w:r>
              <w:rPr>
                <w:rFonts w:ascii="Calibri" w:hAnsi="Calibri" w:cs="Calibri"/>
                <w:color w:val="000000"/>
                <w:sz w:val="20"/>
                <w:szCs w:val="20"/>
              </w:rPr>
              <w:t>2021</w:t>
            </w:r>
          </w:p>
        </w:tc>
        <w:tc>
          <w:tcPr>
            <w:tcW w:w="782" w:type="pct"/>
            <w:vAlign w:val="center"/>
          </w:tcPr>
          <w:p w14:paraId="51E76DD5" w14:textId="77777777" w:rsidR="001A05E4" w:rsidRPr="0087361C" w:rsidRDefault="0073362D" w:rsidP="00C26E2B">
            <w:pPr>
              <w:jc w:val="right"/>
              <w:rPr>
                <w:rFonts w:ascii="Calibri" w:hAnsi="Calibri" w:cs="Calibri"/>
                <w:color w:val="000000"/>
                <w:sz w:val="20"/>
                <w:szCs w:val="20"/>
              </w:rPr>
            </w:pPr>
            <w:r>
              <w:rPr>
                <w:rFonts w:ascii="Calibri" w:hAnsi="Calibri" w:cs="Calibri"/>
                <w:color w:val="000000"/>
                <w:sz w:val="20"/>
                <w:szCs w:val="20"/>
              </w:rPr>
              <w:t>30 000 000</w:t>
            </w:r>
          </w:p>
        </w:tc>
        <w:tc>
          <w:tcPr>
            <w:tcW w:w="855" w:type="pct"/>
            <w:shd w:val="clear" w:color="auto" w:fill="auto"/>
            <w:vAlign w:val="center"/>
          </w:tcPr>
          <w:p w14:paraId="366D58E6" w14:textId="77777777" w:rsidR="001A05E4" w:rsidRPr="0087361C" w:rsidRDefault="0073362D" w:rsidP="00F67BB5">
            <w:pPr>
              <w:jc w:val="right"/>
              <w:rPr>
                <w:rFonts w:ascii="Calibri" w:hAnsi="Calibri" w:cs="Calibri"/>
                <w:color w:val="000000"/>
                <w:sz w:val="20"/>
                <w:szCs w:val="20"/>
              </w:rPr>
            </w:pPr>
            <w:r>
              <w:rPr>
                <w:rFonts w:ascii="Calibri" w:hAnsi="Calibri" w:cs="Calibri"/>
                <w:color w:val="000000"/>
                <w:sz w:val="20"/>
                <w:szCs w:val="20"/>
              </w:rPr>
              <w:t>7 590 214</w:t>
            </w:r>
          </w:p>
        </w:tc>
      </w:tr>
      <w:tr w:rsidR="001A05E4" w:rsidRPr="0087361C" w14:paraId="496570BF" w14:textId="77777777" w:rsidTr="00113003">
        <w:trPr>
          <w:trHeight w:val="283"/>
          <w:jc w:val="center"/>
        </w:trPr>
        <w:tc>
          <w:tcPr>
            <w:tcW w:w="2656" w:type="pct"/>
            <w:gridSpan w:val="2"/>
            <w:shd w:val="clear" w:color="auto" w:fill="F2C6C9"/>
            <w:noWrap/>
            <w:vAlign w:val="center"/>
            <w:hideMark/>
          </w:tcPr>
          <w:p w14:paraId="1E83809C" w14:textId="77777777" w:rsidR="001A05E4" w:rsidRPr="0052578B" w:rsidRDefault="005C57A0" w:rsidP="00AC1329">
            <w:pPr>
              <w:rPr>
                <w:rFonts w:ascii="Calibri" w:hAnsi="Calibri" w:cs="Calibri"/>
                <w:b/>
                <w:sz w:val="20"/>
                <w:szCs w:val="20"/>
              </w:rPr>
            </w:pPr>
            <w:r>
              <w:rPr>
                <w:rFonts w:ascii="Calibri" w:hAnsi="Calibri" w:cs="Calibri"/>
                <w:b/>
                <w:sz w:val="20"/>
                <w:szCs w:val="20"/>
              </w:rPr>
              <w:t>Celkem</w:t>
            </w:r>
          </w:p>
        </w:tc>
        <w:tc>
          <w:tcPr>
            <w:tcW w:w="707" w:type="pct"/>
            <w:shd w:val="clear" w:color="auto" w:fill="F2C6C9"/>
            <w:vAlign w:val="center"/>
          </w:tcPr>
          <w:p w14:paraId="35E9944C" w14:textId="38396F6A" w:rsidR="001A05E4" w:rsidRPr="0052578B" w:rsidRDefault="00221759" w:rsidP="00C26E2B">
            <w:pPr>
              <w:jc w:val="center"/>
              <w:rPr>
                <w:rFonts w:ascii="Calibri" w:hAnsi="Calibri" w:cs="Calibri"/>
                <w:b/>
                <w:color w:val="000000"/>
                <w:sz w:val="20"/>
                <w:szCs w:val="20"/>
              </w:rPr>
            </w:pPr>
            <w:r>
              <w:rPr>
                <w:rFonts w:asciiTheme="minorHAnsi" w:hAnsiTheme="minorHAnsi" w:cs="Calibri"/>
                <w:b/>
                <w:color w:val="000000"/>
                <w:sz w:val="18"/>
                <w:szCs w:val="18"/>
              </w:rPr>
              <w:t>–</w:t>
            </w:r>
          </w:p>
        </w:tc>
        <w:tc>
          <w:tcPr>
            <w:tcW w:w="782" w:type="pct"/>
            <w:shd w:val="clear" w:color="auto" w:fill="F2C6C9"/>
            <w:vAlign w:val="center"/>
          </w:tcPr>
          <w:p w14:paraId="5CEB0737" w14:textId="77777777" w:rsidR="001A05E4" w:rsidRPr="0052578B" w:rsidRDefault="00DD30BC" w:rsidP="00C26E2B">
            <w:pPr>
              <w:jc w:val="right"/>
              <w:rPr>
                <w:rFonts w:ascii="Calibri" w:hAnsi="Calibri" w:cs="Calibri"/>
                <w:b/>
                <w:color w:val="000000"/>
                <w:sz w:val="20"/>
                <w:szCs w:val="20"/>
              </w:rPr>
            </w:pPr>
            <w:r w:rsidRPr="0052578B">
              <w:rPr>
                <w:rFonts w:ascii="Calibri" w:hAnsi="Calibri" w:cs="Calibri"/>
                <w:b/>
                <w:color w:val="000000"/>
                <w:sz w:val="20"/>
                <w:szCs w:val="20"/>
              </w:rPr>
              <w:t>2 757 206 357</w:t>
            </w:r>
          </w:p>
        </w:tc>
        <w:tc>
          <w:tcPr>
            <w:tcW w:w="855" w:type="pct"/>
            <w:shd w:val="clear" w:color="auto" w:fill="F2C6C9"/>
            <w:noWrap/>
            <w:vAlign w:val="center"/>
          </w:tcPr>
          <w:p w14:paraId="3F80C07E" w14:textId="77777777" w:rsidR="001A05E4" w:rsidRPr="0052578B" w:rsidRDefault="00F73726" w:rsidP="00F67BB5">
            <w:pPr>
              <w:jc w:val="right"/>
              <w:rPr>
                <w:rFonts w:ascii="Calibri" w:hAnsi="Calibri" w:cs="Calibri"/>
                <w:b/>
                <w:color w:val="000000"/>
                <w:sz w:val="20"/>
                <w:szCs w:val="20"/>
              </w:rPr>
            </w:pPr>
            <w:r w:rsidRPr="0052578B">
              <w:rPr>
                <w:rFonts w:ascii="Calibri" w:hAnsi="Calibri" w:cs="Calibri"/>
                <w:b/>
                <w:color w:val="000000"/>
                <w:sz w:val="20"/>
                <w:szCs w:val="20"/>
              </w:rPr>
              <w:t>1 618 282 892</w:t>
            </w:r>
          </w:p>
        </w:tc>
      </w:tr>
      <w:tr w:rsidR="0052578B" w:rsidRPr="0087361C" w14:paraId="36E0CC12" w14:textId="77777777" w:rsidTr="0052578B">
        <w:trPr>
          <w:trHeight w:val="283"/>
          <w:jc w:val="center"/>
        </w:trPr>
        <w:tc>
          <w:tcPr>
            <w:tcW w:w="2656" w:type="pct"/>
            <w:gridSpan w:val="2"/>
            <w:shd w:val="clear" w:color="auto" w:fill="auto"/>
            <w:noWrap/>
            <w:vAlign w:val="center"/>
          </w:tcPr>
          <w:p w14:paraId="53A33A75" w14:textId="77777777" w:rsidR="0052578B" w:rsidRPr="0052578B" w:rsidRDefault="0052578B" w:rsidP="0052578B">
            <w:pPr>
              <w:rPr>
                <w:rFonts w:ascii="Calibri" w:hAnsi="Calibri" w:cs="Calibri"/>
                <w:sz w:val="20"/>
                <w:szCs w:val="20"/>
              </w:rPr>
            </w:pPr>
            <w:r w:rsidRPr="0052578B">
              <w:rPr>
                <w:rFonts w:ascii="Calibri" w:hAnsi="Calibri" w:cs="Calibri"/>
                <w:sz w:val="20"/>
                <w:szCs w:val="20"/>
              </w:rPr>
              <w:t>- v tom nákupy automobilní techniky</w:t>
            </w:r>
          </w:p>
        </w:tc>
        <w:tc>
          <w:tcPr>
            <w:tcW w:w="707" w:type="pct"/>
            <w:shd w:val="clear" w:color="auto" w:fill="auto"/>
            <w:vAlign w:val="center"/>
          </w:tcPr>
          <w:p w14:paraId="380689FF" w14:textId="0E740922" w:rsidR="0052578B" w:rsidRPr="0052578B" w:rsidRDefault="00221759" w:rsidP="0052578B">
            <w:pPr>
              <w:jc w:val="center"/>
              <w:rPr>
                <w:rFonts w:ascii="Calibri" w:hAnsi="Calibri" w:cs="Calibri"/>
                <w:color w:val="000000"/>
                <w:sz w:val="20"/>
                <w:szCs w:val="20"/>
              </w:rPr>
            </w:pPr>
            <w:r>
              <w:rPr>
                <w:rFonts w:asciiTheme="minorHAnsi" w:hAnsiTheme="minorHAnsi" w:cs="Calibri"/>
                <w:b/>
                <w:color w:val="000000"/>
                <w:sz w:val="18"/>
                <w:szCs w:val="18"/>
              </w:rPr>
              <w:t>–</w:t>
            </w:r>
          </w:p>
        </w:tc>
        <w:tc>
          <w:tcPr>
            <w:tcW w:w="782" w:type="pct"/>
            <w:shd w:val="clear" w:color="auto" w:fill="auto"/>
            <w:vAlign w:val="center"/>
          </w:tcPr>
          <w:p w14:paraId="6DE8E043" w14:textId="77777777" w:rsidR="0052578B" w:rsidRPr="0052578B" w:rsidRDefault="0052578B" w:rsidP="0052578B">
            <w:pPr>
              <w:jc w:val="right"/>
              <w:rPr>
                <w:rFonts w:ascii="Calibri" w:hAnsi="Calibri" w:cs="Calibri"/>
                <w:color w:val="000000"/>
                <w:sz w:val="20"/>
                <w:szCs w:val="20"/>
              </w:rPr>
            </w:pPr>
            <w:r w:rsidRPr="0052578B">
              <w:rPr>
                <w:rFonts w:ascii="Calibri" w:hAnsi="Calibri" w:cs="Calibri"/>
                <w:color w:val="000000"/>
                <w:sz w:val="20"/>
                <w:szCs w:val="20"/>
              </w:rPr>
              <w:t>2 420 041 357</w:t>
            </w:r>
          </w:p>
        </w:tc>
        <w:tc>
          <w:tcPr>
            <w:tcW w:w="855" w:type="pct"/>
            <w:shd w:val="clear" w:color="auto" w:fill="auto"/>
            <w:noWrap/>
            <w:vAlign w:val="center"/>
          </w:tcPr>
          <w:p w14:paraId="19F0685F" w14:textId="77777777" w:rsidR="0052578B" w:rsidRPr="0052578B" w:rsidRDefault="0052578B" w:rsidP="0052578B">
            <w:pPr>
              <w:jc w:val="right"/>
              <w:rPr>
                <w:rFonts w:ascii="Calibri" w:hAnsi="Calibri" w:cs="Calibri"/>
                <w:color w:val="000000"/>
                <w:sz w:val="20"/>
                <w:szCs w:val="20"/>
              </w:rPr>
            </w:pPr>
            <w:r w:rsidRPr="0052578B">
              <w:rPr>
                <w:rFonts w:ascii="Calibri" w:hAnsi="Calibri" w:cs="Calibri"/>
                <w:color w:val="000000"/>
                <w:sz w:val="20"/>
                <w:szCs w:val="20"/>
              </w:rPr>
              <w:t>1 589 776 747</w:t>
            </w:r>
          </w:p>
        </w:tc>
      </w:tr>
      <w:tr w:rsidR="0052578B" w:rsidRPr="0087361C" w14:paraId="4888213A" w14:textId="77777777" w:rsidTr="0052578B">
        <w:trPr>
          <w:trHeight w:val="283"/>
          <w:jc w:val="center"/>
        </w:trPr>
        <w:tc>
          <w:tcPr>
            <w:tcW w:w="2656" w:type="pct"/>
            <w:gridSpan w:val="2"/>
            <w:shd w:val="clear" w:color="auto" w:fill="auto"/>
            <w:noWrap/>
            <w:vAlign w:val="center"/>
          </w:tcPr>
          <w:p w14:paraId="690193EC" w14:textId="77777777" w:rsidR="0052578B" w:rsidRPr="0052578B" w:rsidRDefault="0052578B" w:rsidP="0052578B">
            <w:pPr>
              <w:rPr>
                <w:rFonts w:ascii="Calibri" w:hAnsi="Calibri" w:cs="Calibri"/>
                <w:sz w:val="20"/>
                <w:szCs w:val="20"/>
              </w:rPr>
            </w:pPr>
            <w:r w:rsidRPr="0052578B">
              <w:rPr>
                <w:rFonts w:ascii="Calibri" w:hAnsi="Calibri" w:cs="Calibri"/>
                <w:sz w:val="20"/>
                <w:szCs w:val="20"/>
              </w:rPr>
              <w:t>- v tom opravy automobilní techniky včetně nákupů náhradních dílů</w:t>
            </w:r>
          </w:p>
        </w:tc>
        <w:tc>
          <w:tcPr>
            <w:tcW w:w="707" w:type="pct"/>
            <w:shd w:val="clear" w:color="auto" w:fill="auto"/>
            <w:vAlign w:val="center"/>
          </w:tcPr>
          <w:p w14:paraId="7C94A636" w14:textId="148F05BE" w:rsidR="0052578B" w:rsidRPr="0052578B" w:rsidRDefault="00221759" w:rsidP="0052578B">
            <w:pPr>
              <w:jc w:val="center"/>
              <w:rPr>
                <w:rFonts w:ascii="Calibri" w:hAnsi="Calibri" w:cs="Calibri"/>
                <w:color w:val="000000"/>
                <w:sz w:val="20"/>
                <w:szCs w:val="20"/>
              </w:rPr>
            </w:pPr>
            <w:r>
              <w:rPr>
                <w:rFonts w:asciiTheme="minorHAnsi" w:hAnsiTheme="minorHAnsi" w:cs="Calibri"/>
                <w:b/>
                <w:color w:val="000000"/>
                <w:sz w:val="18"/>
                <w:szCs w:val="18"/>
              </w:rPr>
              <w:t>–</w:t>
            </w:r>
          </w:p>
        </w:tc>
        <w:tc>
          <w:tcPr>
            <w:tcW w:w="782" w:type="pct"/>
            <w:shd w:val="clear" w:color="auto" w:fill="auto"/>
            <w:vAlign w:val="center"/>
          </w:tcPr>
          <w:p w14:paraId="6DB971E1" w14:textId="77777777" w:rsidR="0052578B" w:rsidRPr="0052578B" w:rsidRDefault="0052578B" w:rsidP="0052578B">
            <w:pPr>
              <w:jc w:val="right"/>
              <w:rPr>
                <w:rFonts w:ascii="Calibri" w:hAnsi="Calibri" w:cs="Calibri"/>
                <w:color w:val="000000"/>
                <w:sz w:val="20"/>
                <w:szCs w:val="20"/>
              </w:rPr>
            </w:pPr>
            <w:r w:rsidRPr="0052578B">
              <w:rPr>
                <w:rFonts w:ascii="Calibri" w:hAnsi="Calibri" w:cs="Calibri"/>
                <w:color w:val="000000"/>
                <w:sz w:val="20"/>
                <w:szCs w:val="20"/>
              </w:rPr>
              <w:t>337 165 000</w:t>
            </w:r>
          </w:p>
        </w:tc>
        <w:tc>
          <w:tcPr>
            <w:tcW w:w="855" w:type="pct"/>
            <w:shd w:val="clear" w:color="auto" w:fill="auto"/>
            <w:noWrap/>
            <w:vAlign w:val="center"/>
          </w:tcPr>
          <w:p w14:paraId="7E52C623" w14:textId="77777777" w:rsidR="0052578B" w:rsidRPr="0052578B" w:rsidRDefault="0052578B" w:rsidP="0052578B">
            <w:pPr>
              <w:jc w:val="right"/>
              <w:rPr>
                <w:rFonts w:ascii="Calibri" w:hAnsi="Calibri" w:cs="Calibri"/>
                <w:color w:val="000000"/>
                <w:sz w:val="20"/>
                <w:szCs w:val="20"/>
              </w:rPr>
            </w:pPr>
            <w:r w:rsidRPr="0052578B">
              <w:rPr>
                <w:rFonts w:ascii="Calibri" w:hAnsi="Calibri" w:cs="Calibri"/>
                <w:color w:val="000000"/>
                <w:sz w:val="20"/>
                <w:szCs w:val="20"/>
              </w:rPr>
              <w:t>28 506 145</w:t>
            </w:r>
          </w:p>
        </w:tc>
      </w:tr>
    </w:tbl>
    <w:p w14:paraId="296F994B" w14:textId="0A331E5C" w:rsidR="001A05E4" w:rsidRDefault="001A05E4" w:rsidP="00AC1329">
      <w:pPr>
        <w:autoSpaceDE w:val="0"/>
        <w:autoSpaceDN w:val="0"/>
        <w:adjustRightInd w:val="0"/>
        <w:spacing w:before="40"/>
        <w:ind w:left="567" w:hanging="567"/>
        <w:jc w:val="both"/>
        <w:rPr>
          <w:rFonts w:asciiTheme="minorHAnsi" w:hAnsiTheme="minorHAnsi" w:cstheme="minorHAnsi"/>
          <w:sz w:val="20"/>
          <w:szCs w:val="20"/>
        </w:rPr>
      </w:pPr>
      <w:r w:rsidRPr="00FA51C9">
        <w:rPr>
          <w:rFonts w:asciiTheme="minorHAnsi" w:hAnsiTheme="minorHAnsi" w:cstheme="minorHAnsi"/>
          <w:b/>
          <w:sz w:val="20"/>
          <w:szCs w:val="20"/>
        </w:rPr>
        <w:t>Zdroj:</w:t>
      </w:r>
      <w:r w:rsidRPr="0094689E">
        <w:rPr>
          <w:rFonts w:asciiTheme="minorHAnsi" w:hAnsiTheme="minorHAnsi" w:cstheme="minorHAnsi"/>
          <w:sz w:val="20"/>
          <w:szCs w:val="20"/>
        </w:rPr>
        <w:t xml:space="preserve"> </w:t>
      </w:r>
      <w:r w:rsidR="00D677B3">
        <w:rPr>
          <w:rFonts w:asciiTheme="minorHAnsi" w:hAnsiTheme="minorHAnsi" w:cstheme="minorHAnsi"/>
          <w:sz w:val="20"/>
          <w:szCs w:val="20"/>
        </w:rPr>
        <w:tab/>
      </w:r>
      <w:r w:rsidR="00550042">
        <w:rPr>
          <w:rFonts w:asciiTheme="minorHAnsi" w:hAnsiTheme="minorHAnsi" w:cstheme="minorHAnsi"/>
          <w:sz w:val="20"/>
          <w:szCs w:val="20"/>
        </w:rPr>
        <w:t xml:space="preserve">informační systém </w:t>
      </w:r>
      <w:r w:rsidR="00550042" w:rsidRPr="00550042">
        <w:rPr>
          <w:rFonts w:asciiTheme="minorHAnsi" w:hAnsiTheme="minorHAnsi" w:cstheme="minorHAnsi"/>
          <w:i/>
          <w:sz w:val="20"/>
          <w:szCs w:val="20"/>
        </w:rPr>
        <w:t>Správa majetku ve vlastnictví státu</w:t>
      </w:r>
      <w:r w:rsidR="00550042">
        <w:rPr>
          <w:rFonts w:asciiTheme="minorHAnsi" w:hAnsiTheme="minorHAnsi" w:cstheme="minorHAnsi"/>
          <w:i/>
          <w:sz w:val="20"/>
          <w:szCs w:val="20"/>
        </w:rPr>
        <w:t xml:space="preserve"> </w:t>
      </w:r>
      <w:r w:rsidR="00550042">
        <w:rPr>
          <w:rFonts w:asciiTheme="minorHAnsi" w:hAnsiTheme="minorHAnsi" w:cstheme="minorHAnsi"/>
          <w:sz w:val="20"/>
          <w:szCs w:val="20"/>
        </w:rPr>
        <w:t xml:space="preserve">ke </w:t>
      </w:r>
      <w:r w:rsidR="00550042" w:rsidRPr="0045590F">
        <w:rPr>
          <w:rFonts w:asciiTheme="minorHAnsi" w:hAnsiTheme="minorHAnsi" w:cstheme="minorHAnsi"/>
          <w:sz w:val="20"/>
          <w:szCs w:val="20"/>
        </w:rPr>
        <w:t>dni 7. listopadu 2022, předložené</w:t>
      </w:r>
      <w:r w:rsidR="00550042">
        <w:rPr>
          <w:rFonts w:asciiTheme="minorHAnsi" w:hAnsiTheme="minorHAnsi" w:cstheme="minorHAnsi"/>
          <w:sz w:val="20"/>
          <w:szCs w:val="20"/>
        </w:rPr>
        <w:t xml:space="preserve"> rámcové smlouvy a rámcová dohoda.</w:t>
      </w:r>
    </w:p>
    <w:p w14:paraId="3958A950" w14:textId="46C6CD58" w:rsidR="00C67212" w:rsidRDefault="00C67212" w:rsidP="00221759">
      <w:pPr>
        <w:tabs>
          <w:tab w:val="right" w:pos="9072"/>
        </w:tabs>
        <w:jc w:val="center"/>
        <w:rPr>
          <w:rFonts w:asciiTheme="minorHAnsi" w:hAnsiTheme="minorHAnsi" w:cs="Calibri"/>
          <w:b/>
          <w:color w:val="000000"/>
        </w:rPr>
      </w:pPr>
    </w:p>
    <w:p w14:paraId="53C08C06" w14:textId="1CC8A0F7" w:rsidR="00221759" w:rsidRDefault="00221759" w:rsidP="00221759">
      <w:pPr>
        <w:tabs>
          <w:tab w:val="right" w:pos="9072"/>
        </w:tabs>
        <w:jc w:val="center"/>
        <w:rPr>
          <w:rFonts w:asciiTheme="minorHAnsi" w:hAnsiTheme="minorHAnsi" w:cs="Calibri"/>
          <w:b/>
          <w:color w:val="000000"/>
        </w:rPr>
      </w:pPr>
    </w:p>
    <w:p w14:paraId="57D3F4F4" w14:textId="77777777" w:rsidR="00221759" w:rsidRDefault="00221759" w:rsidP="00221759">
      <w:pPr>
        <w:tabs>
          <w:tab w:val="right" w:pos="9072"/>
        </w:tabs>
        <w:jc w:val="center"/>
        <w:rPr>
          <w:rFonts w:asciiTheme="minorHAnsi" w:hAnsiTheme="minorHAnsi" w:cs="Calibri"/>
          <w:b/>
          <w:color w:val="000000"/>
        </w:rPr>
      </w:pPr>
    </w:p>
    <w:p w14:paraId="35BC9A32" w14:textId="72DA2BBA" w:rsidR="00C67212" w:rsidRPr="00221759" w:rsidRDefault="00221759" w:rsidP="00AC1329">
      <w:pPr>
        <w:tabs>
          <w:tab w:val="center" w:pos="4536"/>
          <w:tab w:val="right" w:pos="9072"/>
        </w:tabs>
        <w:spacing w:after="40"/>
        <w:jc w:val="center"/>
        <w:rPr>
          <w:rFonts w:asciiTheme="minorHAnsi" w:hAnsiTheme="minorHAnsi" w:cs="Calibri"/>
          <w:b/>
          <w:color w:val="000000"/>
        </w:rPr>
      </w:pPr>
      <w:r>
        <w:rPr>
          <w:rFonts w:asciiTheme="minorHAnsi" w:hAnsiTheme="minorHAnsi" w:cs="Calibri"/>
          <w:b/>
          <w:color w:val="000000"/>
        </w:rPr>
        <w:tab/>
      </w:r>
      <w:r w:rsidR="00C67212" w:rsidRPr="00B22051">
        <w:rPr>
          <w:rFonts w:asciiTheme="minorHAnsi" w:hAnsiTheme="minorHAnsi" w:cs="Calibri"/>
          <w:b/>
          <w:color w:val="000000"/>
        </w:rPr>
        <w:t>Rozpočet výdajů MO a jeho čerpání</w:t>
      </w:r>
      <w:r w:rsidR="00C67212">
        <w:rPr>
          <w:rFonts w:asciiTheme="minorHAnsi" w:hAnsiTheme="minorHAnsi" w:cs="Calibri"/>
          <w:b/>
          <w:color w:val="000000"/>
        </w:rPr>
        <w:t xml:space="preserve"> v letech 2018–</w:t>
      </w:r>
      <w:r w:rsidR="00C67212" w:rsidRPr="00221759">
        <w:rPr>
          <w:rFonts w:asciiTheme="minorHAnsi" w:hAnsiTheme="minorHAnsi" w:cs="Calibri"/>
          <w:b/>
          <w:color w:val="000000"/>
        </w:rPr>
        <w:t>2023</w:t>
      </w:r>
      <w:r w:rsidRPr="00221759">
        <w:rPr>
          <w:rFonts w:asciiTheme="minorHAnsi" w:hAnsiTheme="minorHAnsi" w:cs="Calibri"/>
          <w:b/>
          <w:color w:val="000000"/>
        </w:rPr>
        <w:t xml:space="preserve"> </w:t>
      </w:r>
      <w:r>
        <w:rPr>
          <w:rFonts w:asciiTheme="minorHAnsi" w:hAnsiTheme="minorHAnsi" w:cs="Calibri"/>
          <w:b/>
          <w:color w:val="000000"/>
        </w:rPr>
        <w:tab/>
      </w:r>
      <w:r w:rsidR="00C67212" w:rsidRPr="00221759">
        <w:rPr>
          <w:rFonts w:asciiTheme="minorHAnsi" w:hAnsiTheme="minorHAnsi" w:cs="Calibri"/>
          <w:b/>
          <w:color w:val="000000"/>
        </w:rPr>
        <w:t>(v tis. Kč)</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
        <w:gridCol w:w="1133"/>
        <w:gridCol w:w="1135"/>
        <w:gridCol w:w="1078"/>
        <w:gridCol w:w="1020"/>
        <w:gridCol w:w="1577"/>
        <w:gridCol w:w="1650"/>
        <w:gridCol w:w="939"/>
      </w:tblGrid>
      <w:tr w:rsidR="007E55CF" w:rsidRPr="00B22051" w14:paraId="0147BDB4" w14:textId="77777777" w:rsidTr="007E55CF">
        <w:trPr>
          <w:trHeight w:val="130"/>
          <w:jc w:val="center"/>
        </w:trPr>
        <w:tc>
          <w:tcPr>
            <w:tcW w:w="368" w:type="pct"/>
            <w:vMerge w:val="restart"/>
            <w:shd w:val="clear" w:color="auto" w:fill="E5F1FF"/>
            <w:vAlign w:val="center"/>
            <w:hideMark/>
          </w:tcPr>
          <w:p w14:paraId="1F743088" w14:textId="77777777"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Rok</w:t>
            </w:r>
          </w:p>
        </w:tc>
        <w:tc>
          <w:tcPr>
            <w:tcW w:w="615" w:type="pct"/>
            <w:vMerge w:val="restart"/>
            <w:shd w:val="clear" w:color="auto" w:fill="E5F1FF"/>
            <w:vAlign w:val="center"/>
            <w:hideMark/>
          </w:tcPr>
          <w:p w14:paraId="47768601" w14:textId="77777777"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Schválený rozpočet</w:t>
            </w:r>
          </w:p>
        </w:tc>
        <w:tc>
          <w:tcPr>
            <w:tcW w:w="616" w:type="pct"/>
            <w:vMerge w:val="restart"/>
            <w:shd w:val="clear" w:color="auto" w:fill="E5F1FF"/>
            <w:vAlign w:val="center"/>
            <w:hideMark/>
          </w:tcPr>
          <w:p w14:paraId="28FFC1D6" w14:textId="77777777"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 xml:space="preserve">Rozpočet po změnách </w:t>
            </w:r>
          </w:p>
        </w:tc>
        <w:tc>
          <w:tcPr>
            <w:tcW w:w="585" w:type="pct"/>
            <w:vMerge w:val="restart"/>
            <w:shd w:val="clear" w:color="auto" w:fill="E5F1FF"/>
            <w:vAlign w:val="center"/>
            <w:hideMark/>
          </w:tcPr>
          <w:p w14:paraId="76BBF0AD" w14:textId="77777777" w:rsidR="00C67212" w:rsidRPr="00803157" w:rsidRDefault="00C67212" w:rsidP="0080029D">
            <w:pPr>
              <w:jc w:val="center"/>
              <w:rPr>
                <w:rFonts w:asciiTheme="minorHAnsi" w:hAnsiTheme="minorHAnsi" w:cs="Calibri"/>
                <w:b/>
                <w:bCs/>
                <w:color w:val="000000"/>
                <w:sz w:val="18"/>
                <w:szCs w:val="18"/>
              </w:rPr>
            </w:pPr>
            <w:r w:rsidRPr="00803157">
              <w:rPr>
                <w:rFonts w:asciiTheme="minorHAnsi" w:hAnsiTheme="minorHAnsi" w:cs="Calibri"/>
                <w:b/>
                <w:bCs/>
                <w:color w:val="000000"/>
                <w:sz w:val="18"/>
                <w:szCs w:val="18"/>
              </w:rPr>
              <w:t>Čerpání výdajů</w:t>
            </w:r>
          </w:p>
        </w:tc>
        <w:tc>
          <w:tcPr>
            <w:tcW w:w="2306" w:type="pct"/>
            <w:gridSpan w:val="3"/>
            <w:shd w:val="clear" w:color="auto" w:fill="E5F1FF"/>
            <w:vAlign w:val="center"/>
            <w:hideMark/>
          </w:tcPr>
          <w:p w14:paraId="230D170F" w14:textId="4DDBF9D4" w:rsidR="00C67212" w:rsidRPr="00803157" w:rsidRDefault="00221759" w:rsidP="0080029D">
            <w:pPr>
              <w:jc w:val="center"/>
              <w:rPr>
                <w:rFonts w:asciiTheme="minorHAnsi" w:hAnsiTheme="minorHAnsi" w:cs="Calibri"/>
                <w:b/>
                <w:color w:val="000000"/>
                <w:sz w:val="18"/>
                <w:szCs w:val="18"/>
              </w:rPr>
            </w:pPr>
            <w:r>
              <w:rPr>
                <w:rFonts w:asciiTheme="minorHAnsi" w:hAnsiTheme="minorHAnsi" w:cs="Calibri"/>
                <w:b/>
                <w:color w:val="000000"/>
                <w:sz w:val="18"/>
                <w:szCs w:val="18"/>
              </w:rPr>
              <w:t>– v</w:t>
            </w:r>
            <w:r w:rsidR="00C67212" w:rsidRPr="00803157">
              <w:rPr>
                <w:rFonts w:asciiTheme="minorHAnsi" w:hAnsiTheme="minorHAnsi" w:cs="Calibri"/>
                <w:b/>
                <w:color w:val="000000"/>
                <w:sz w:val="18"/>
                <w:szCs w:val="18"/>
              </w:rPr>
              <w:t xml:space="preserve"> tom čerpání</w:t>
            </w:r>
            <w:r>
              <w:rPr>
                <w:rFonts w:asciiTheme="minorHAnsi" w:hAnsiTheme="minorHAnsi" w:cs="Calibri"/>
                <w:b/>
                <w:color w:val="000000"/>
                <w:sz w:val="18"/>
                <w:szCs w:val="18"/>
              </w:rPr>
              <w:t>:</w:t>
            </w:r>
          </w:p>
        </w:tc>
        <w:tc>
          <w:tcPr>
            <w:tcW w:w="510" w:type="pct"/>
            <w:shd w:val="clear" w:color="auto" w:fill="E5F1FF"/>
            <w:vAlign w:val="center"/>
          </w:tcPr>
          <w:p w14:paraId="483A57D1" w14:textId="0B0C0F83"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 xml:space="preserve">Výdaje </w:t>
            </w:r>
            <w:r w:rsidR="007E55CF">
              <w:rPr>
                <w:rFonts w:asciiTheme="minorHAnsi" w:hAnsiTheme="minorHAnsi" w:cs="Calibri"/>
                <w:b/>
                <w:color w:val="000000"/>
                <w:sz w:val="18"/>
                <w:szCs w:val="18"/>
              </w:rPr>
              <w:t>ve vztahu k </w:t>
            </w:r>
            <w:r w:rsidRPr="00803157">
              <w:rPr>
                <w:rFonts w:asciiTheme="minorHAnsi" w:hAnsiTheme="minorHAnsi" w:cs="Calibri"/>
                <w:b/>
                <w:color w:val="000000"/>
                <w:sz w:val="18"/>
                <w:szCs w:val="18"/>
              </w:rPr>
              <w:t xml:space="preserve">HDP </w:t>
            </w:r>
            <w:r w:rsidR="007E55CF">
              <w:rPr>
                <w:rFonts w:asciiTheme="minorHAnsi" w:hAnsiTheme="minorHAnsi" w:cs="Calibri"/>
                <w:b/>
                <w:color w:val="000000"/>
                <w:sz w:val="18"/>
                <w:szCs w:val="18"/>
              </w:rPr>
              <w:t>(</w:t>
            </w:r>
            <w:r w:rsidRPr="00803157">
              <w:rPr>
                <w:rFonts w:asciiTheme="minorHAnsi" w:hAnsiTheme="minorHAnsi" w:cs="Calibri"/>
                <w:b/>
                <w:color w:val="000000"/>
                <w:sz w:val="18"/>
                <w:szCs w:val="18"/>
              </w:rPr>
              <w:t>v %</w:t>
            </w:r>
            <w:r w:rsidR="007E55CF">
              <w:rPr>
                <w:rFonts w:asciiTheme="minorHAnsi" w:hAnsiTheme="minorHAnsi" w:cs="Calibri"/>
                <w:b/>
                <w:color w:val="000000"/>
                <w:sz w:val="18"/>
                <w:szCs w:val="18"/>
              </w:rPr>
              <w:t>)</w:t>
            </w:r>
          </w:p>
        </w:tc>
      </w:tr>
      <w:tr w:rsidR="007E55CF" w:rsidRPr="00B22051" w14:paraId="4A1DF47C" w14:textId="77777777" w:rsidTr="007E55CF">
        <w:trPr>
          <w:trHeight w:val="315"/>
          <w:jc w:val="center"/>
        </w:trPr>
        <w:tc>
          <w:tcPr>
            <w:tcW w:w="368" w:type="pct"/>
            <w:vMerge/>
            <w:shd w:val="clear" w:color="auto" w:fill="E5F1FF"/>
            <w:vAlign w:val="center"/>
            <w:hideMark/>
          </w:tcPr>
          <w:p w14:paraId="38454E86" w14:textId="77777777" w:rsidR="00C67212" w:rsidRPr="00803157" w:rsidRDefault="00C67212" w:rsidP="0080029D">
            <w:pPr>
              <w:rPr>
                <w:rFonts w:asciiTheme="minorHAnsi" w:hAnsiTheme="minorHAnsi" w:cstheme="minorHAnsi"/>
                <w:b/>
                <w:color w:val="000000"/>
                <w:sz w:val="18"/>
                <w:szCs w:val="18"/>
              </w:rPr>
            </w:pPr>
          </w:p>
        </w:tc>
        <w:tc>
          <w:tcPr>
            <w:tcW w:w="615" w:type="pct"/>
            <w:vMerge/>
            <w:shd w:val="clear" w:color="auto" w:fill="E5F1FF"/>
            <w:vAlign w:val="center"/>
            <w:hideMark/>
          </w:tcPr>
          <w:p w14:paraId="55E243FF" w14:textId="77777777" w:rsidR="00C67212" w:rsidRPr="00803157" w:rsidRDefault="00C67212" w:rsidP="0080029D">
            <w:pPr>
              <w:rPr>
                <w:rFonts w:asciiTheme="minorHAnsi" w:hAnsiTheme="minorHAnsi" w:cstheme="minorHAnsi"/>
                <w:b/>
                <w:color w:val="000000"/>
                <w:sz w:val="18"/>
                <w:szCs w:val="18"/>
              </w:rPr>
            </w:pPr>
          </w:p>
        </w:tc>
        <w:tc>
          <w:tcPr>
            <w:tcW w:w="616" w:type="pct"/>
            <w:vMerge/>
            <w:shd w:val="clear" w:color="auto" w:fill="E5F1FF"/>
            <w:vAlign w:val="center"/>
            <w:hideMark/>
          </w:tcPr>
          <w:p w14:paraId="6457605B" w14:textId="77777777" w:rsidR="00C67212" w:rsidRPr="00803157" w:rsidRDefault="00C67212" w:rsidP="0080029D">
            <w:pPr>
              <w:rPr>
                <w:rFonts w:asciiTheme="minorHAnsi" w:hAnsiTheme="minorHAnsi" w:cstheme="minorHAnsi"/>
                <w:b/>
                <w:color w:val="000000"/>
                <w:sz w:val="18"/>
                <w:szCs w:val="18"/>
              </w:rPr>
            </w:pPr>
          </w:p>
        </w:tc>
        <w:tc>
          <w:tcPr>
            <w:tcW w:w="585" w:type="pct"/>
            <w:vMerge/>
            <w:shd w:val="clear" w:color="auto" w:fill="E5F1FF"/>
            <w:vAlign w:val="center"/>
            <w:hideMark/>
          </w:tcPr>
          <w:p w14:paraId="07187148" w14:textId="77777777" w:rsidR="00C67212" w:rsidRPr="00803157" w:rsidRDefault="00C67212" w:rsidP="0080029D">
            <w:pPr>
              <w:rPr>
                <w:rFonts w:asciiTheme="minorHAnsi" w:hAnsiTheme="minorHAnsi" w:cstheme="minorHAnsi"/>
                <w:b/>
                <w:bCs/>
                <w:color w:val="000000"/>
                <w:sz w:val="18"/>
                <w:szCs w:val="18"/>
              </w:rPr>
            </w:pPr>
          </w:p>
        </w:tc>
        <w:tc>
          <w:tcPr>
            <w:tcW w:w="554" w:type="pct"/>
            <w:shd w:val="clear" w:color="auto" w:fill="E5F1FF"/>
            <w:vAlign w:val="center"/>
            <w:hideMark/>
          </w:tcPr>
          <w:p w14:paraId="4FBE920D" w14:textId="77777777"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rozpoč</w:t>
            </w:r>
            <w:r>
              <w:rPr>
                <w:rFonts w:asciiTheme="minorHAnsi" w:hAnsiTheme="minorHAnsi" w:cs="Calibri"/>
                <w:b/>
                <w:color w:val="000000"/>
                <w:sz w:val="18"/>
                <w:szCs w:val="18"/>
              </w:rPr>
              <w:t>tu</w:t>
            </w:r>
          </w:p>
        </w:tc>
        <w:tc>
          <w:tcPr>
            <w:tcW w:w="856" w:type="pct"/>
            <w:shd w:val="clear" w:color="auto" w:fill="E5F1FF"/>
            <w:vAlign w:val="center"/>
            <w:hideMark/>
          </w:tcPr>
          <w:p w14:paraId="5CF5CDB8" w14:textId="77777777"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mimorozpočtov</w:t>
            </w:r>
            <w:r>
              <w:rPr>
                <w:rFonts w:asciiTheme="minorHAnsi" w:hAnsiTheme="minorHAnsi" w:cs="Calibri"/>
                <w:b/>
                <w:color w:val="000000"/>
                <w:sz w:val="18"/>
                <w:szCs w:val="18"/>
              </w:rPr>
              <w:t>ých</w:t>
            </w:r>
            <w:r w:rsidRPr="00803157">
              <w:rPr>
                <w:rFonts w:asciiTheme="minorHAnsi" w:hAnsiTheme="minorHAnsi" w:cs="Calibri"/>
                <w:b/>
                <w:color w:val="000000"/>
                <w:sz w:val="18"/>
                <w:szCs w:val="18"/>
              </w:rPr>
              <w:t xml:space="preserve"> zdroj</w:t>
            </w:r>
            <w:r>
              <w:rPr>
                <w:rFonts w:asciiTheme="minorHAnsi" w:hAnsiTheme="minorHAnsi" w:cs="Calibri"/>
                <w:b/>
                <w:color w:val="000000"/>
                <w:sz w:val="18"/>
                <w:szCs w:val="18"/>
              </w:rPr>
              <w:t>ů</w:t>
            </w:r>
          </w:p>
        </w:tc>
        <w:tc>
          <w:tcPr>
            <w:tcW w:w="896" w:type="pct"/>
            <w:shd w:val="clear" w:color="auto" w:fill="E5F1FF"/>
            <w:vAlign w:val="center"/>
            <w:hideMark/>
          </w:tcPr>
          <w:p w14:paraId="5CE1F33E" w14:textId="77777777" w:rsidR="00C67212" w:rsidRPr="00803157" w:rsidRDefault="00C67212" w:rsidP="0080029D">
            <w:pPr>
              <w:jc w:val="center"/>
              <w:rPr>
                <w:rFonts w:asciiTheme="minorHAnsi" w:hAnsiTheme="minorHAnsi" w:cs="Calibri"/>
                <w:b/>
                <w:color w:val="000000"/>
                <w:sz w:val="18"/>
                <w:szCs w:val="18"/>
              </w:rPr>
            </w:pPr>
            <w:r w:rsidRPr="00803157">
              <w:rPr>
                <w:rFonts w:asciiTheme="minorHAnsi" w:hAnsiTheme="minorHAnsi" w:cs="Calibri"/>
                <w:b/>
                <w:color w:val="000000"/>
                <w:sz w:val="18"/>
                <w:szCs w:val="18"/>
              </w:rPr>
              <w:t>nárok</w:t>
            </w:r>
            <w:r>
              <w:rPr>
                <w:rFonts w:asciiTheme="minorHAnsi" w:hAnsiTheme="minorHAnsi" w:cs="Calibri"/>
                <w:b/>
                <w:color w:val="000000"/>
                <w:sz w:val="18"/>
                <w:szCs w:val="18"/>
              </w:rPr>
              <w:t>ů</w:t>
            </w:r>
            <w:r w:rsidRPr="00803157">
              <w:rPr>
                <w:rFonts w:asciiTheme="minorHAnsi" w:hAnsiTheme="minorHAnsi" w:cs="Calibri"/>
                <w:b/>
                <w:color w:val="000000"/>
                <w:sz w:val="18"/>
                <w:szCs w:val="18"/>
              </w:rPr>
              <w:t xml:space="preserve"> z nespotřebovaných výdajů</w:t>
            </w:r>
          </w:p>
        </w:tc>
        <w:tc>
          <w:tcPr>
            <w:tcW w:w="510" w:type="pct"/>
            <w:shd w:val="clear" w:color="auto" w:fill="E5F1FF"/>
          </w:tcPr>
          <w:p w14:paraId="633D84D6" w14:textId="77777777" w:rsidR="00C67212" w:rsidRPr="00803157" w:rsidRDefault="00C67212" w:rsidP="0080029D">
            <w:pPr>
              <w:jc w:val="center"/>
              <w:rPr>
                <w:rFonts w:asciiTheme="minorHAnsi" w:hAnsiTheme="minorHAnsi" w:cstheme="minorHAnsi"/>
                <w:b/>
                <w:color w:val="000000"/>
                <w:sz w:val="18"/>
                <w:szCs w:val="18"/>
              </w:rPr>
            </w:pPr>
          </w:p>
        </w:tc>
      </w:tr>
      <w:tr w:rsidR="007E55CF" w:rsidRPr="00B22051" w14:paraId="772EEB57" w14:textId="77777777" w:rsidTr="007E55CF">
        <w:trPr>
          <w:trHeight w:val="227"/>
          <w:jc w:val="center"/>
        </w:trPr>
        <w:tc>
          <w:tcPr>
            <w:tcW w:w="368" w:type="pct"/>
            <w:tcBorders>
              <w:bottom w:val="single" w:sz="4" w:space="0" w:color="auto"/>
            </w:tcBorders>
            <w:vAlign w:val="center"/>
          </w:tcPr>
          <w:p w14:paraId="7A3924B7" w14:textId="77777777" w:rsidR="00C67212" w:rsidRPr="00803157" w:rsidRDefault="00C67212" w:rsidP="0080029D">
            <w:pPr>
              <w:jc w:val="center"/>
              <w:rPr>
                <w:rFonts w:asciiTheme="minorHAnsi" w:hAnsiTheme="minorHAnsi" w:cs="Calibri"/>
                <w:color w:val="000000"/>
                <w:sz w:val="18"/>
                <w:szCs w:val="18"/>
                <w:lang w:val="en-US"/>
              </w:rPr>
            </w:pPr>
            <w:r w:rsidRPr="00803157">
              <w:rPr>
                <w:rFonts w:asciiTheme="minorHAnsi" w:hAnsiTheme="minorHAnsi" w:cs="Calibri"/>
                <w:color w:val="000000"/>
                <w:sz w:val="18"/>
                <w:szCs w:val="18"/>
                <w:lang w:val="en-US"/>
              </w:rPr>
              <w:t>2018</w:t>
            </w:r>
          </w:p>
        </w:tc>
        <w:tc>
          <w:tcPr>
            <w:tcW w:w="615" w:type="pct"/>
            <w:tcBorders>
              <w:bottom w:val="single" w:sz="4" w:space="0" w:color="auto"/>
            </w:tcBorders>
            <w:vAlign w:val="center"/>
          </w:tcPr>
          <w:p w14:paraId="7D42815B"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58 893 351</w:t>
            </w:r>
          </w:p>
        </w:tc>
        <w:tc>
          <w:tcPr>
            <w:tcW w:w="616" w:type="pct"/>
            <w:tcBorders>
              <w:bottom w:val="single" w:sz="4" w:space="0" w:color="auto"/>
            </w:tcBorders>
            <w:vAlign w:val="center"/>
          </w:tcPr>
          <w:p w14:paraId="7B696A14"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sz w:val="18"/>
                <w:szCs w:val="18"/>
              </w:rPr>
              <w:t>59 011 930</w:t>
            </w:r>
          </w:p>
        </w:tc>
        <w:tc>
          <w:tcPr>
            <w:tcW w:w="585" w:type="pct"/>
            <w:tcBorders>
              <w:bottom w:val="single" w:sz="4" w:space="0" w:color="auto"/>
            </w:tcBorders>
            <w:vAlign w:val="center"/>
          </w:tcPr>
          <w:p w14:paraId="1617825F"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59 799 438</w:t>
            </w:r>
          </w:p>
        </w:tc>
        <w:tc>
          <w:tcPr>
            <w:tcW w:w="554" w:type="pct"/>
            <w:tcBorders>
              <w:bottom w:val="single" w:sz="4" w:space="0" w:color="auto"/>
            </w:tcBorders>
          </w:tcPr>
          <w:p w14:paraId="1EF128CA"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sz w:val="18"/>
                <w:szCs w:val="18"/>
              </w:rPr>
              <w:t xml:space="preserve">56 622 976 </w:t>
            </w:r>
          </w:p>
        </w:tc>
        <w:tc>
          <w:tcPr>
            <w:tcW w:w="856" w:type="pct"/>
            <w:tcBorders>
              <w:bottom w:val="single" w:sz="4" w:space="0" w:color="auto"/>
            </w:tcBorders>
          </w:tcPr>
          <w:p w14:paraId="24B6A2A7"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sz w:val="18"/>
                <w:szCs w:val="18"/>
              </w:rPr>
              <w:t>25 742</w:t>
            </w:r>
          </w:p>
        </w:tc>
        <w:tc>
          <w:tcPr>
            <w:tcW w:w="896" w:type="pct"/>
            <w:tcBorders>
              <w:bottom w:val="single" w:sz="4" w:space="0" w:color="auto"/>
            </w:tcBorders>
          </w:tcPr>
          <w:p w14:paraId="0D8AAF45"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3 150 720</w:t>
            </w:r>
          </w:p>
        </w:tc>
        <w:tc>
          <w:tcPr>
            <w:tcW w:w="510" w:type="pct"/>
            <w:tcBorders>
              <w:bottom w:val="single" w:sz="4" w:space="0" w:color="auto"/>
            </w:tcBorders>
            <w:vAlign w:val="center"/>
          </w:tcPr>
          <w:p w14:paraId="1C72B24D"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1,13 %</w:t>
            </w:r>
          </w:p>
        </w:tc>
      </w:tr>
      <w:tr w:rsidR="007E55CF" w:rsidRPr="00B22051" w14:paraId="3B678265" w14:textId="77777777" w:rsidTr="007E55CF">
        <w:trPr>
          <w:trHeight w:val="227"/>
          <w:jc w:val="center"/>
        </w:trPr>
        <w:tc>
          <w:tcPr>
            <w:tcW w:w="368" w:type="pct"/>
            <w:vAlign w:val="center"/>
          </w:tcPr>
          <w:p w14:paraId="5E0771B9" w14:textId="77777777" w:rsidR="00C67212" w:rsidRPr="00803157" w:rsidRDefault="00C67212" w:rsidP="0080029D">
            <w:pPr>
              <w:jc w:val="center"/>
              <w:rPr>
                <w:rFonts w:asciiTheme="minorHAnsi" w:hAnsiTheme="minorHAnsi" w:cs="Calibri"/>
                <w:color w:val="000000"/>
                <w:sz w:val="18"/>
                <w:szCs w:val="18"/>
                <w:lang w:val="en-US"/>
              </w:rPr>
            </w:pPr>
            <w:r w:rsidRPr="00803157">
              <w:rPr>
                <w:rFonts w:asciiTheme="minorHAnsi" w:hAnsiTheme="minorHAnsi" w:cs="Calibri"/>
                <w:color w:val="000000"/>
                <w:sz w:val="18"/>
                <w:szCs w:val="18"/>
                <w:lang w:val="en-US"/>
              </w:rPr>
              <w:t>2019</w:t>
            </w:r>
          </w:p>
        </w:tc>
        <w:tc>
          <w:tcPr>
            <w:tcW w:w="615" w:type="pct"/>
            <w:vAlign w:val="center"/>
          </w:tcPr>
          <w:p w14:paraId="5EA2AFA1"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66</w:t>
            </w:r>
            <w:r>
              <w:rPr>
                <w:rFonts w:asciiTheme="minorHAnsi" w:hAnsiTheme="minorHAnsi" w:cs="Calibri"/>
                <w:color w:val="000000"/>
                <w:sz w:val="18"/>
                <w:szCs w:val="18"/>
              </w:rPr>
              <w:t> </w:t>
            </w:r>
            <w:r w:rsidRPr="00803157">
              <w:rPr>
                <w:rFonts w:asciiTheme="minorHAnsi" w:hAnsiTheme="minorHAnsi" w:cs="Calibri"/>
                <w:color w:val="000000"/>
                <w:sz w:val="18"/>
                <w:szCs w:val="18"/>
              </w:rPr>
              <w:t>734</w:t>
            </w:r>
            <w:r>
              <w:rPr>
                <w:rFonts w:asciiTheme="minorHAnsi" w:hAnsiTheme="minorHAnsi" w:cs="Calibri"/>
                <w:color w:val="000000"/>
                <w:sz w:val="18"/>
                <w:szCs w:val="18"/>
              </w:rPr>
              <w:t xml:space="preserve"> </w:t>
            </w:r>
            <w:r w:rsidRPr="00803157">
              <w:rPr>
                <w:rFonts w:asciiTheme="minorHAnsi" w:hAnsiTheme="minorHAnsi" w:cs="Calibri"/>
                <w:color w:val="000000"/>
                <w:sz w:val="18"/>
                <w:szCs w:val="18"/>
              </w:rPr>
              <w:t>8</w:t>
            </w:r>
            <w:r>
              <w:rPr>
                <w:rFonts w:asciiTheme="minorHAnsi" w:hAnsiTheme="minorHAnsi" w:cs="Calibri"/>
                <w:color w:val="000000"/>
                <w:sz w:val="18"/>
                <w:szCs w:val="18"/>
              </w:rPr>
              <w:t>01</w:t>
            </w:r>
          </w:p>
        </w:tc>
        <w:tc>
          <w:tcPr>
            <w:tcW w:w="616" w:type="pct"/>
            <w:vAlign w:val="center"/>
          </w:tcPr>
          <w:p w14:paraId="2238A322"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67</w:t>
            </w:r>
            <w:r>
              <w:rPr>
                <w:rFonts w:asciiTheme="minorHAnsi" w:hAnsiTheme="minorHAnsi" w:cs="Calibri"/>
                <w:color w:val="000000"/>
                <w:sz w:val="18"/>
                <w:szCs w:val="18"/>
              </w:rPr>
              <w:t> </w:t>
            </w:r>
            <w:r w:rsidRPr="00803157">
              <w:rPr>
                <w:rFonts w:asciiTheme="minorHAnsi" w:hAnsiTheme="minorHAnsi" w:cs="Calibri"/>
                <w:color w:val="000000"/>
                <w:sz w:val="18"/>
                <w:szCs w:val="18"/>
              </w:rPr>
              <w:t>270</w:t>
            </w:r>
            <w:r>
              <w:rPr>
                <w:rFonts w:asciiTheme="minorHAnsi" w:hAnsiTheme="minorHAnsi" w:cs="Calibri"/>
                <w:color w:val="000000"/>
                <w:sz w:val="18"/>
                <w:szCs w:val="18"/>
              </w:rPr>
              <w:t xml:space="preserve"> 097</w:t>
            </w:r>
          </w:p>
        </w:tc>
        <w:tc>
          <w:tcPr>
            <w:tcW w:w="585" w:type="pct"/>
            <w:vAlign w:val="center"/>
          </w:tcPr>
          <w:p w14:paraId="71D71B8D"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68</w:t>
            </w:r>
            <w:r>
              <w:rPr>
                <w:rFonts w:asciiTheme="minorHAnsi" w:hAnsiTheme="minorHAnsi" w:cs="Calibri"/>
                <w:color w:val="000000"/>
                <w:sz w:val="18"/>
                <w:szCs w:val="18"/>
              </w:rPr>
              <w:t> </w:t>
            </w:r>
            <w:r w:rsidRPr="00803157">
              <w:rPr>
                <w:rFonts w:asciiTheme="minorHAnsi" w:hAnsiTheme="minorHAnsi" w:cs="Calibri"/>
                <w:color w:val="000000"/>
                <w:sz w:val="18"/>
                <w:szCs w:val="18"/>
              </w:rPr>
              <w:t>321</w:t>
            </w:r>
            <w:r>
              <w:rPr>
                <w:rFonts w:asciiTheme="minorHAnsi" w:hAnsiTheme="minorHAnsi" w:cs="Calibri"/>
                <w:color w:val="000000"/>
                <w:sz w:val="18"/>
                <w:szCs w:val="18"/>
              </w:rPr>
              <w:t xml:space="preserve"> 076</w:t>
            </w:r>
          </w:p>
        </w:tc>
        <w:tc>
          <w:tcPr>
            <w:tcW w:w="554" w:type="pct"/>
            <w:vAlign w:val="center"/>
          </w:tcPr>
          <w:p w14:paraId="6448E602"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lang w:eastAsia="en-US"/>
              </w:rPr>
              <w:t>64</w:t>
            </w:r>
            <w:r>
              <w:rPr>
                <w:rFonts w:asciiTheme="minorHAnsi" w:hAnsiTheme="minorHAnsi" w:cs="Calibri"/>
                <w:color w:val="000000"/>
                <w:sz w:val="18"/>
                <w:szCs w:val="18"/>
                <w:lang w:eastAsia="en-US"/>
              </w:rPr>
              <w:t> </w:t>
            </w:r>
            <w:r w:rsidRPr="00803157">
              <w:rPr>
                <w:rFonts w:asciiTheme="minorHAnsi" w:hAnsiTheme="minorHAnsi" w:cs="Calibri"/>
                <w:color w:val="000000"/>
                <w:sz w:val="18"/>
                <w:szCs w:val="18"/>
                <w:lang w:eastAsia="en-US"/>
              </w:rPr>
              <w:t>794</w:t>
            </w:r>
            <w:r>
              <w:rPr>
                <w:rFonts w:asciiTheme="minorHAnsi" w:hAnsiTheme="minorHAnsi" w:cs="Calibri"/>
                <w:color w:val="000000"/>
                <w:sz w:val="18"/>
                <w:szCs w:val="18"/>
                <w:lang w:eastAsia="en-US"/>
              </w:rPr>
              <w:t xml:space="preserve"> </w:t>
            </w:r>
            <w:r w:rsidRPr="00803157">
              <w:rPr>
                <w:rFonts w:asciiTheme="minorHAnsi" w:hAnsiTheme="minorHAnsi" w:cs="Calibri"/>
                <w:color w:val="000000"/>
                <w:sz w:val="18"/>
                <w:szCs w:val="18"/>
                <w:lang w:eastAsia="en-US"/>
              </w:rPr>
              <w:t>3</w:t>
            </w:r>
            <w:r>
              <w:rPr>
                <w:rFonts w:asciiTheme="minorHAnsi" w:hAnsiTheme="minorHAnsi" w:cs="Calibri"/>
                <w:color w:val="000000"/>
                <w:sz w:val="18"/>
                <w:szCs w:val="18"/>
                <w:lang w:eastAsia="en-US"/>
              </w:rPr>
              <w:t>38</w:t>
            </w:r>
          </w:p>
        </w:tc>
        <w:tc>
          <w:tcPr>
            <w:tcW w:w="856" w:type="pct"/>
            <w:vAlign w:val="center"/>
          </w:tcPr>
          <w:p w14:paraId="5BACC93F"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lang w:eastAsia="en-US"/>
              </w:rPr>
              <w:t>324</w:t>
            </w:r>
            <w:r>
              <w:rPr>
                <w:rFonts w:asciiTheme="minorHAnsi" w:hAnsiTheme="minorHAnsi" w:cs="Calibri"/>
                <w:color w:val="000000"/>
                <w:sz w:val="18"/>
                <w:szCs w:val="18"/>
                <w:lang w:eastAsia="en-US"/>
              </w:rPr>
              <w:t xml:space="preserve"> </w:t>
            </w:r>
            <w:r w:rsidRPr="00803157">
              <w:rPr>
                <w:rFonts w:asciiTheme="minorHAnsi" w:hAnsiTheme="minorHAnsi" w:cs="Calibri"/>
                <w:color w:val="000000"/>
                <w:sz w:val="18"/>
                <w:szCs w:val="18"/>
                <w:lang w:eastAsia="en-US"/>
              </w:rPr>
              <w:t>4</w:t>
            </w:r>
            <w:r>
              <w:rPr>
                <w:rFonts w:asciiTheme="minorHAnsi" w:hAnsiTheme="minorHAnsi" w:cs="Calibri"/>
                <w:color w:val="000000"/>
                <w:sz w:val="18"/>
                <w:szCs w:val="18"/>
                <w:lang w:eastAsia="en-US"/>
              </w:rPr>
              <w:t>19</w:t>
            </w:r>
          </w:p>
        </w:tc>
        <w:tc>
          <w:tcPr>
            <w:tcW w:w="896" w:type="pct"/>
            <w:vAlign w:val="center"/>
          </w:tcPr>
          <w:p w14:paraId="0EB14CA8"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lang w:eastAsia="en-US"/>
              </w:rPr>
              <w:t>3</w:t>
            </w:r>
            <w:r>
              <w:rPr>
                <w:rFonts w:asciiTheme="minorHAnsi" w:hAnsiTheme="minorHAnsi" w:cs="Calibri"/>
                <w:color w:val="000000"/>
                <w:sz w:val="18"/>
                <w:szCs w:val="18"/>
                <w:lang w:eastAsia="en-US"/>
              </w:rPr>
              <w:t> </w:t>
            </w:r>
            <w:r w:rsidRPr="00803157">
              <w:rPr>
                <w:rFonts w:asciiTheme="minorHAnsi" w:hAnsiTheme="minorHAnsi" w:cs="Calibri"/>
                <w:color w:val="000000"/>
                <w:sz w:val="18"/>
                <w:szCs w:val="18"/>
                <w:lang w:eastAsia="en-US"/>
              </w:rPr>
              <w:t>202</w:t>
            </w:r>
            <w:r>
              <w:rPr>
                <w:rFonts w:asciiTheme="minorHAnsi" w:hAnsiTheme="minorHAnsi" w:cs="Calibri"/>
                <w:color w:val="000000"/>
                <w:sz w:val="18"/>
                <w:szCs w:val="18"/>
                <w:lang w:eastAsia="en-US"/>
              </w:rPr>
              <w:t xml:space="preserve"> 319</w:t>
            </w:r>
          </w:p>
        </w:tc>
        <w:tc>
          <w:tcPr>
            <w:tcW w:w="510" w:type="pct"/>
            <w:vAlign w:val="center"/>
          </w:tcPr>
          <w:p w14:paraId="42D6898B"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1,21 %</w:t>
            </w:r>
          </w:p>
        </w:tc>
      </w:tr>
      <w:tr w:rsidR="007E55CF" w:rsidRPr="00217459" w14:paraId="52DCEE94" w14:textId="77777777" w:rsidTr="007E55CF">
        <w:trPr>
          <w:trHeight w:val="227"/>
          <w:jc w:val="center"/>
        </w:trPr>
        <w:tc>
          <w:tcPr>
            <w:tcW w:w="368" w:type="pct"/>
            <w:vAlign w:val="center"/>
          </w:tcPr>
          <w:p w14:paraId="0D0241EC" w14:textId="77777777" w:rsidR="00C67212" w:rsidRPr="00803157" w:rsidRDefault="00C67212" w:rsidP="0080029D">
            <w:pPr>
              <w:jc w:val="center"/>
              <w:rPr>
                <w:rFonts w:asciiTheme="minorHAnsi" w:hAnsiTheme="minorHAnsi" w:cs="Calibri"/>
                <w:color w:val="000000"/>
                <w:sz w:val="18"/>
                <w:szCs w:val="18"/>
                <w:lang w:val="en-US"/>
              </w:rPr>
            </w:pPr>
            <w:r w:rsidRPr="00803157">
              <w:rPr>
                <w:rFonts w:asciiTheme="minorHAnsi" w:hAnsiTheme="minorHAnsi" w:cs="Calibri"/>
                <w:color w:val="000000"/>
                <w:sz w:val="18"/>
                <w:szCs w:val="18"/>
                <w:lang w:val="en-US"/>
              </w:rPr>
              <w:t>2020</w:t>
            </w:r>
          </w:p>
        </w:tc>
        <w:tc>
          <w:tcPr>
            <w:tcW w:w="615" w:type="pct"/>
            <w:vAlign w:val="center"/>
          </w:tcPr>
          <w:p w14:paraId="2AA7BD6C"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72</w:t>
            </w:r>
            <w:r>
              <w:rPr>
                <w:rFonts w:asciiTheme="minorHAnsi" w:hAnsiTheme="minorHAnsi" w:cs="Calibri"/>
                <w:color w:val="000000"/>
                <w:sz w:val="18"/>
                <w:szCs w:val="18"/>
              </w:rPr>
              <w:t> 6</w:t>
            </w:r>
            <w:r w:rsidRPr="00803157">
              <w:rPr>
                <w:rFonts w:asciiTheme="minorHAnsi" w:hAnsiTheme="minorHAnsi" w:cs="Calibri"/>
                <w:color w:val="000000"/>
                <w:sz w:val="18"/>
                <w:szCs w:val="18"/>
              </w:rPr>
              <w:t>00</w:t>
            </w:r>
            <w:r>
              <w:rPr>
                <w:rFonts w:asciiTheme="minorHAnsi" w:hAnsiTheme="minorHAnsi" w:cs="Calibri"/>
                <w:color w:val="000000"/>
                <w:sz w:val="18"/>
                <w:szCs w:val="18"/>
              </w:rPr>
              <w:t xml:space="preserve"> 366</w:t>
            </w:r>
          </w:p>
        </w:tc>
        <w:tc>
          <w:tcPr>
            <w:tcW w:w="616" w:type="pct"/>
            <w:vAlign w:val="center"/>
          </w:tcPr>
          <w:p w14:paraId="001AA50A"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lang w:eastAsia="en-US"/>
              </w:rPr>
              <w:t>73</w:t>
            </w:r>
            <w:r>
              <w:rPr>
                <w:rFonts w:asciiTheme="minorHAnsi" w:hAnsiTheme="minorHAnsi" w:cs="Calibri"/>
                <w:color w:val="000000"/>
                <w:sz w:val="18"/>
                <w:szCs w:val="18"/>
                <w:lang w:eastAsia="en-US"/>
              </w:rPr>
              <w:t> </w:t>
            </w:r>
            <w:r w:rsidRPr="00803157">
              <w:rPr>
                <w:rFonts w:asciiTheme="minorHAnsi" w:hAnsiTheme="minorHAnsi" w:cs="Calibri"/>
                <w:color w:val="000000"/>
                <w:sz w:val="18"/>
                <w:szCs w:val="18"/>
                <w:lang w:eastAsia="en-US"/>
              </w:rPr>
              <w:t>21</w:t>
            </w:r>
            <w:r>
              <w:rPr>
                <w:rFonts w:asciiTheme="minorHAnsi" w:hAnsiTheme="minorHAnsi" w:cs="Calibri"/>
                <w:color w:val="000000"/>
                <w:sz w:val="18"/>
                <w:szCs w:val="18"/>
                <w:lang w:eastAsia="en-US"/>
              </w:rPr>
              <w:t>3 995</w:t>
            </w:r>
          </w:p>
        </w:tc>
        <w:tc>
          <w:tcPr>
            <w:tcW w:w="585" w:type="pct"/>
            <w:vAlign w:val="center"/>
          </w:tcPr>
          <w:p w14:paraId="193A2B14"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74</w:t>
            </w:r>
            <w:r>
              <w:rPr>
                <w:rFonts w:asciiTheme="minorHAnsi" w:hAnsiTheme="minorHAnsi" w:cs="Calibri"/>
                <w:color w:val="000000"/>
                <w:sz w:val="18"/>
                <w:szCs w:val="18"/>
              </w:rPr>
              <w:t> </w:t>
            </w:r>
            <w:r w:rsidRPr="00803157">
              <w:rPr>
                <w:rFonts w:asciiTheme="minorHAnsi" w:hAnsiTheme="minorHAnsi" w:cs="Calibri"/>
                <w:color w:val="000000"/>
                <w:sz w:val="18"/>
                <w:szCs w:val="18"/>
              </w:rPr>
              <w:t>310</w:t>
            </w:r>
            <w:r>
              <w:rPr>
                <w:rFonts w:asciiTheme="minorHAnsi" w:hAnsiTheme="minorHAnsi" w:cs="Calibri"/>
                <w:color w:val="000000"/>
                <w:sz w:val="18"/>
                <w:szCs w:val="18"/>
              </w:rPr>
              <w:t xml:space="preserve"> 589</w:t>
            </w:r>
          </w:p>
        </w:tc>
        <w:tc>
          <w:tcPr>
            <w:tcW w:w="554" w:type="pct"/>
            <w:vAlign w:val="center"/>
          </w:tcPr>
          <w:p w14:paraId="67936BD1" w14:textId="77777777" w:rsidR="00C67212" w:rsidRPr="009B5DD9" w:rsidRDefault="00C67212" w:rsidP="0080029D">
            <w:pPr>
              <w:jc w:val="right"/>
              <w:rPr>
                <w:rFonts w:asciiTheme="minorHAnsi" w:hAnsiTheme="minorHAnsi" w:cs="Calibri"/>
                <w:color w:val="000000"/>
                <w:sz w:val="18"/>
                <w:szCs w:val="18"/>
              </w:rPr>
            </w:pPr>
            <w:r w:rsidRPr="009B5DD9">
              <w:rPr>
                <w:rFonts w:asciiTheme="minorHAnsi" w:hAnsiTheme="minorHAnsi" w:cs="Calibri"/>
                <w:color w:val="000000"/>
                <w:sz w:val="18"/>
                <w:szCs w:val="18"/>
                <w:lang w:eastAsia="en-US"/>
              </w:rPr>
              <w:t>71</w:t>
            </w:r>
            <w:r>
              <w:rPr>
                <w:rFonts w:asciiTheme="minorHAnsi" w:hAnsiTheme="minorHAnsi" w:cs="Calibri"/>
                <w:color w:val="000000"/>
                <w:sz w:val="18"/>
                <w:szCs w:val="18"/>
                <w:lang w:eastAsia="en-US"/>
              </w:rPr>
              <w:t> </w:t>
            </w:r>
            <w:r w:rsidRPr="009B5DD9">
              <w:rPr>
                <w:rFonts w:asciiTheme="minorHAnsi" w:hAnsiTheme="minorHAnsi" w:cs="Calibri"/>
                <w:color w:val="000000"/>
                <w:sz w:val="18"/>
                <w:szCs w:val="18"/>
                <w:lang w:eastAsia="en-US"/>
              </w:rPr>
              <w:t>733</w:t>
            </w:r>
            <w:r>
              <w:rPr>
                <w:rFonts w:asciiTheme="minorHAnsi" w:hAnsiTheme="minorHAnsi" w:cs="Calibri"/>
                <w:color w:val="000000"/>
                <w:sz w:val="18"/>
                <w:szCs w:val="18"/>
                <w:lang w:eastAsia="en-US"/>
              </w:rPr>
              <w:t xml:space="preserve"> 180</w:t>
            </w:r>
          </w:p>
        </w:tc>
        <w:tc>
          <w:tcPr>
            <w:tcW w:w="856" w:type="pct"/>
            <w:vAlign w:val="center"/>
          </w:tcPr>
          <w:p w14:paraId="1D9C190F"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lang w:eastAsia="en-US"/>
              </w:rPr>
              <w:t>385</w:t>
            </w:r>
            <w:r>
              <w:rPr>
                <w:rFonts w:asciiTheme="minorHAnsi" w:hAnsiTheme="minorHAnsi" w:cs="Calibri"/>
                <w:color w:val="000000"/>
                <w:sz w:val="18"/>
                <w:szCs w:val="18"/>
                <w:lang w:eastAsia="en-US"/>
              </w:rPr>
              <w:t xml:space="preserve"> 366</w:t>
            </w:r>
          </w:p>
        </w:tc>
        <w:tc>
          <w:tcPr>
            <w:tcW w:w="896" w:type="pct"/>
            <w:vAlign w:val="center"/>
          </w:tcPr>
          <w:p w14:paraId="087A223A"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lang w:eastAsia="en-US"/>
              </w:rPr>
              <w:t>2</w:t>
            </w:r>
            <w:r>
              <w:rPr>
                <w:rFonts w:asciiTheme="minorHAnsi" w:hAnsiTheme="minorHAnsi" w:cs="Calibri"/>
                <w:color w:val="000000"/>
                <w:sz w:val="18"/>
                <w:szCs w:val="18"/>
                <w:lang w:eastAsia="en-US"/>
              </w:rPr>
              <w:t> </w:t>
            </w:r>
            <w:r w:rsidRPr="00803157">
              <w:rPr>
                <w:rFonts w:asciiTheme="minorHAnsi" w:hAnsiTheme="minorHAnsi" w:cs="Calibri"/>
                <w:color w:val="000000"/>
                <w:sz w:val="18"/>
                <w:szCs w:val="18"/>
                <w:lang w:eastAsia="en-US"/>
              </w:rPr>
              <w:t>192</w:t>
            </w:r>
            <w:r>
              <w:rPr>
                <w:rFonts w:asciiTheme="minorHAnsi" w:hAnsiTheme="minorHAnsi" w:cs="Calibri"/>
                <w:color w:val="000000"/>
                <w:sz w:val="18"/>
                <w:szCs w:val="18"/>
                <w:lang w:eastAsia="en-US"/>
              </w:rPr>
              <w:t xml:space="preserve"> </w:t>
            </w:r>
            <w:r w:rsidRPr="00803157">
              <w:rPr>
                <w:rFonts w:asciiTheme="minorHAnsi" w:hAnsiTheme="minorHAnsi" w:cs="Calibri"/>
                <w:color w:val="000000"/>
                <w:sz w:val="18"/>
                <w:szCs w:val="18"/>
                <w:lang w:eastAsia="en-US"/>
              </w:rPr>
              <w:t>0</w:t>
            </w:r>
            <w:r>
              <w:rPr>
                <w:rFonts w:asciiTheme="minorHAnsi" w:hAnsiTheme="minorHAnsi" w:cs="Calibri"/>
                <w:color w:val="000000"/>
                <w:sz w:val="18"/>
                <w:szCs w:val="18"/>
                <w:lang w:eastAsia="en-US"/>
              </w:rPr>
              <w:t>43</w:t>
            </w:r>
          </w:p>
        </w:tc>
        <w:tc>
          <w:tcPr>
            <w:tcW w:w="510" w:type="pct"/>
            <w:vAlign w:val="center"/>
          </w:tcPr>
          <w:p w14:paraId="507FD360"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1,32 %</w:t>
            </w:r>
          </w:p>
        </w:tc>
      </w:tr>
      <w:tr w:rsidR="007E55CF" w:rsidRPr="00217459" w14:paraId="30EDBA78" w14:textId="77777777" w:rsidTr="007E55CF">
        <w:trPr>
          <w:trHeight w:val="227"/>
          <w:jc w:val="center"/>
        </w:trPr>
        <w:tc>
          <w:tcPr>
            <w:tcW w:w="368" w:type="pct"/>
            <w:vAlign w:val="center"/>
          </w:tcPr>
          <w:p w14:paraId="00B98267" w14:textId="77777777" w:rsidR="00C67212" w:rsidRPr="00803157" w:rsidRDefault="00C67212" w:rsidP="0080029D">
            <w:pPr>
              <w:jc w:val="center"/>
              <w:rPr>
                <w:rFonts w:asciiTheme="minorHAnsi" w:hAnsiTheme="minorHAnsi" w:cs="Calibri"/>
                <w:color w:val="000000"/>
                <w:sz w:val="18"/>
                <w:szCs w:val="18"/>
                <w:lang w:val="en-US"/>
              </w:rPr>
            </w:pPr>
            <w:r w:rsidRPr="00803157">
              <w:rPr>
                <w:rFonts w:asciiTheme="minorHAnsi" w:hAnsiTheme="minorHAnsi" w:cs="Calibri"/>
                <w:color w:val="000000"/>
                <w:sz w:val="18"/>
                <w:szCs w:val="18"/>
                <w:lang w:val="en-US"/>
              </w:rPr>
              <w:t>2021</w:t>
            </w:r>
          </w:p>
        </w:tc>
        <w:tc>
          <w:tcPr>
            <w:tcW w:w="615" w:type="pct"/>
            <w:vAlign w:val="center"/>
          </w:tcPr>
          <w:p w14:paraId="67CC6CB4"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75</w:t>
            </w:r>
            <w:r>
              <w:rPr>
                <w:rFonts w:asciiTheme="minorHAnsi" w:hAnsiTheme="minorHAnsi" w:cs="Calibri"/>
                <w:color w:val="000000"/>
                <w:sz w:val="18"/>
                <w:szCs w:val="18"/>
              </w:rPr>
              <w:t> </w:t>
            </w:r>
            <w:r w:rsidRPr="00803157">
              <w:rPr>
                <w:rFonts w:asciiTheme="minorHAnsi" w:hAnsiTheme="minorHAnsi" w:cs="Calibri"/>
                <w:color w:val="000000"/>
                <w:sz w:val="18"/>
                <w:szCs w:val="18"/>
              </w:rPr>
              <w:t>359</w:t>
            </w:r>
            <w:r>
              <w:rPr>
                <w:rFonts w:asciiTheme="minorHAnsi" w:hAnsiTheme="minorHAnsi" w:cs="Calibri"/>
                <w:color w:val="000000"/>
                <w:sz w:val="18"/>
                <w:szCs w:val="18"/>
              </w:rPr>
              <w:t xml:space="preserve"> 897</w:t>
            </w:r>
          </w:p>
        </w:tc>
        <w:tc>
          <w:tcPr>
            <w:tcW w:w="616" w:type="pct"/>
            <w:vAlign w:val="center"/>
          </w:tcPr>
          <w:p w14:paraId="28731394"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85</w:t>
            </w:r>
            <w:r>
              <w:rPr>
                <w:rFonts w:asciiTheme="minorHAnsi" w:hAnsiTheme="minorHAnsi" w:cs="Calibri"/>
                <w:color w:val="000000"/>
                <w:sz w:val="18"/>
                <w:szCs w:val="18"/>
              </w:rPr>
              <w:t> </w:t>
            </w:r>
            <w:r w:rsidRPr="00803157">
              <w:rPr>
                <w:rFonts w:asciiTheme="minorHAnsi" w:hAnsiTheme="minorHAnsi" w:cs="Calibri"/>
                <w:color w:val="000000"/>
                <w:sz w:val="18"/>
                <w:szCs w:val="18"/>
              </w:rPr>
              <w:t>898</w:t>
            </w:r>
            <w:r>
              <w:rPr>
                <w:rFonts w:asciiTheme="minorHAnsi" w:hAnsiTheme="minorHAnsi" w:cs="Calibri"/>
                <w:color w:val="000000"/>
                <w:sz w:val="18"/>
                <w:szCs w:val="18"/>
              </w:rPr>
              <w:t xml:space="preserve"> </w:t>
            </w:r>
            <w:r w:rsidRPr="00803157">
              <w:rPr>
                <w:rFonts w:asciiTheme="minorHAnsi" w:hAnsiTheme="minorHAnsi" w:cs="Calibri"/>
                <w:color w:val="000000"/>
                <w:sz w:val="18"/>
                <w:szCs w:val="18"/>
              </w:rPr>
              <w:t>7</w:t>
            </w:r>
            <w:r>
              <w:rPr>
                <w:rFonts w:asciiTheme="minorHAnsi" w:hAnsiTheme="minorHAnsi" w:cs="Calibri"/>
                <w:color w:val="000000"/>
                <w:sz w:val="18"/>
                <w:szCs w:val="18"/>
              </w:rPr>
              <w:t>06</w:t>
            </w:r>
          </w:p>
        </w:tc>
        <w:tc>
          <w:tcPr>
            <w:tcW w:w="585" w:type="pct"/>
            <w:vAlign w:val="center"/>
          </w:tcPr>
          <w:p w14:paraId="61C2E011"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84</w:t>
            </w:r>
            <w:r>
              <w:rPr>
                <w:rFonts w:asciiTheme="minorHAnsi" w:hAnsiTheme="minorHAnsi" w:cs="Calibri"/>
                <w:color w:val="000000"/>
                <w:sz w:val="18"/>
                <w:szCs w:val="18"/>
              </w:rPr>
              <w:t> </w:t>
            </w:r>
            <w:r w:rsidRPr="00803157">
              <w:rPr>
                <w:rFonts w:asciiTheme="minorHAnsi" w:hAnsiTheme="minorHAnsi" w:cs="Calibri"/>
                <w:color w:val="000000"/>
                <w:sz w:val="18"/>
                <w:szCs w:val="18"/>
              </w:rPr>
              <w:t>944</w:t>
            </w:r>
            <w:r>
              <w:rPr>
                <w:rFonts w:asciiTheme="minorHAnsi" w:hAnsiTheme="minorHAnsi" w:cs="Calibri"/>
                <w:color w:val="000000"/>
                <w:sz w:val="18"/>
                <w:szCs w:val="18"/>
              </w:rPr>
              <w:t xml:space="preserve"> 466</w:t>
            </w:r>
          </w:p>
        </w:tc>
        <w:tc>
          <w:tcPr>
            <w:tcW w:w="554" w:type="pct"/>
            <w:vAlign w:val="center"/>
          </w:tcPr>
          <w:p w14:paraId="0C1ADB13" w14:textId="77777777" w:rsidR="00C67212" w:rsidRPr="004206EA" w:rsidRDefault="00C67212" w:rsidP="0080029D">
            <w:pPr>
              <w:jc w:val="right"/>
              <w:rPr>
                <w:rFonts w:asciiTheme="minorHAnsi" w:hAnsiTheme="minorHAnsi" w:cs="Calibri"/>
                <w:color w:val="000000"/>
                <w:sz w:val="18"/>
                <w:szCs w:val="18"/>
              </w:rPr>
            </w:pPr>
            <w:r w:rsidRPr="004206EA">
              <w:rPr>
                <w:rFonts w:asciiTheme="minorHAnsi" w:hAnsiTheme="minorHAnsi" w:cs="Calibri"/>
                <w:color w:val="000000"/>
                <w:sz w:val="18"/>
                <w:szCs w:val="18"/>
              </w:rPr>
              <w:t>83</w:t>
            </w:r>
            <w:r>
              <w:rPr>
                <w:rFonts w:asciiTheme="minorHAnsi" w:hAnsiTheme="minorHAnsi" w:cs="Calibri"/>
                <w:color w:val="000000"/>
                <w:sz w:val="18"/>
                <w:szCs w:val="18"/>
              </w:rPr>
              <w:t> </w:t>
            </w:r>
            <w:r w:rsidRPr="004206EA">
              <w:rPr>
                <w:rFonts w:asciiTheme="minorHAnsi" w:hAnsiTheme="minorHAnsi" w:cs="Calibri"/>
                <w:color w:val="000000"/>
                <w:sz w:val="18"/>
                <w:szCs w:val="18"/>
              </w:rPr>
              <w:t>357</w:t>
            </w:r>
            <w:r>
              <w:rPr>
                <w:rFonts w:asciiTheme="minorHAnsi" w:hAnsiTheme="minorHAnsi" w:cs="Calibri"/>
                <w:color w:val="000000"/>
                <w:sz w:val="18"/>
                <w:szCs w:val="18"/>
              </w:rPr>
              <w:t xml:space="preserve"> 6</w:t>
            </w:r>
            <w:r w:rsidRPr="004206EA">
              <w:rPr>
                <w:rFonts w:asciiTheme="minorHAnsi" w:hAnsiTheme="minorHAnsi" w:cs="Calibri"/>
                <w:color w:val="000000"/>
                <w:sz w:val="18"/>
                <w:szCs w:val="18"/>
              </w:rPr>
              <w:t>7</w:t>
            </w:r>
            <w:r>
              <w:rPr>
                <w:rFonts w:asciiTheme="minorHAnsi" w:hAnsiTheme="minorHAnsi" w:cs="Calibri"/>
                <w:color w:val="000000"/>
                <w:sz w:val="18"/>
                <w:szCs w:val="18"/>
              </w:rPr>
              <w:t>6</w:t>
            </w:r>
          </w:p>
        </w:tc>
        <w:tc>
          <w:tcPr>
            <w:tcW w:w="856" w:type="pct"/>
            <w:vAlign w:val="center"/>
          </w:tcPr>
          <w:p w14:paraId="7D5314C8"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22</w:t>
            </w:r>
            <w:r>
              <w:rPr>
                <w:rFonts w:asciiTheme="minorHAnsi" w:hAnsiTheme="minorHAnsi" w:cs="Calibri"/>
                <w:color w:val="000000"/>
                <w:sz w:val="18"/>
                <w:szCs w:val="18"/>
              </w:rPr>
              <w:t xml:space="preserve"> 491</w:t>
            </w:r>
          </w:p>
        </w:tc>
        <w:tc>
          <w:tcPr>
            <w:tcW w:w="896" w:type="pct"/>
            <w:vAlign w:val="center"/>
          </w:tcPr>
          <w:p w14:paraId="7751354A"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1</w:t>
            </w:r>
            <w:r>
              <w:rPr>
                <w:rFonts w:asciiTheme="minorHAnsi" w:hAnsiTheme="minorHAnsi" w:cs="Calibri"/>
                <w:color w:val="000000"/>
                <w:sz w:val="18"/>
                <w:szCs w:val="18"/>
              </w:rPr>
              <w:t> </w:t>
            </w:r>
            <w:r w:rsidRPr="00803157">
              <w:rPr>
                <w:rFonts w:asciiTheme="minorHAnsi" w:hAnsiTheme="minorHAnsi" w:cs="Calibri"/>
                <w:color w:val="000000"/>
                <w:sz w:val="18"/>
                <w:szCs w:val="18"/>
              </w:rPr>
              <w:t>564</w:t>
            </w:r>
            <w:r>
              <w:rPr>
                <w:rFonts w:asciiTheme="minorHAnsi" w:hAnsiTheme="minorHAnsi" w:cs="Calibri"/>
                <w:color w:val="000000"/>
                <w:sz w:val="18"/>
                <w:szCs w:val="18"/>
              </w:rPr>
              <w:t xml:space="preserve"> 299</w:t>
            </w:r>
          </w:p>
        </w:tc>
        <w:tc>
          <w:tcPr>
            <w:tcW w:w="510" w:type="pct"/>
            <w:vAlign w:val="center"/>
          </w:tcPr>
          <w:p w14:paraId="017642CF"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1,39 %</w:t>
            </w:r>
          </w:p>
        </w:tc>
      </w:tr>
      <w:tr w:rsidR="007E55CF" w:rsidRPr="00217459" w14:paraId="17726AD6" w14:textId="77777777" w:rsidTr="007E55CF">
        <w:trPr>
          <w:trHeight w:val="227"/>
          <w:jc w:val="center"/>
        </w:trPr>
        <w:tc>
          <w:tcPr>
            <w:tcW w:w="368" w:type="pct"/>
            <w:vAlign w:val="center"/>
          </w:tcPr>
          <w:p w14:paraId="2B175B13" w14:textId="77777777" w:rsidR="00C67212" w:rsidRPr="00803157" w:rsidRDefault="00C67212" w:rsidP="0080029D">
            <w:pPr>
              <w:jc w:val="center"/>
              <w:rPr>
                <w:rFonts w:asciiTheme="minorHAnsi" w:hAnsiTheme="minorHAnsi" w:cs="Calibri"/>
                <w:color w:val="000000"/>
                <w:sz w:val="18"/>
                <w:szCs w:val="18"/>
                <w:lang w:val="en-US"/>
              </w:rPr>
            </w:pPr>
            <w:r w:rsidRPr="00803157">
              <w:rPr>
                <w:rFonts w:asciiTheme="minorHAnsi" w:hAnsiTheme="minorHAnsi" w:cs="Calibri"/>
                <w:color w:val="000000"/>
                <w:sz w:val="18"/>
                <w:szCs w:val="18"/>
                <w:lang w:val="en-US"/>
              </w:rPr>
              <w:t>2022</w:t>
            </w:r>
          </w:p>
        </w:tc>
        <w:tc>
          <w:tcPr>
            <w:tcW w:w="615" w:type="pct"/>
            <w:vAlign w:val="center"/>
          </w:tcPr>
          <w:p w14:paraId="3A0D9FD6" w14:textId="77777777" w:rsidR="00C67212" w:rsidRPr="00803157" w:rsidRDefault="00C67212" w:rsidP="0080029D">
            <w:pPr>
              <w:jc w:val="right"/>
              <w:rPr>
                <w:rFonts w:asciiTheme="minorHAnsi" w:hAnsiTheme="minorHAnsi" w:cs="Calibri"/>
                <w:color w:val="000000"/>
                <w:sz w:val="18"/>
                <w:szCs w:val="18"/>
              </w:rPr>
            </w:pPr>
            <w:r w:rsidRPr="00803157">
              <w:rPr>
                <w:rFonts w:asciiTheme="minorHAnsi" w:hAnsiTheme="minorHAnsi" w:cs="Calibri"/>
                <w:color w:val="000000"/>
                <w:sz w:val="18"/>
                <w:szCs w:val="18"/>
              </w:rPr>
              <w:t>89</w:t>
            </w:r>
            <w:r>
              <w:rPr>
                <w:rFonts w:asciiTheme="minorHAnsi" w:hAnsiTheme="minorHAnsi" w:cs="Calibri"/>
                <w:color w:val="000000"/>
                <w:sz w:val="18"/>
                <w:szCs w:val="18"/>
              </w:rPr>
              <w:t> </w:t>
            </w:r>
            <w:r w:rsidRPr="00803157">
              <w:rPr>
                <w:rFonts w:asciiTheme="minorHAnsi" w:hAnsiTheme="minorHAnsi" w:cs="Calibri"/>
                <w:color w:val="000000"/>
                <w:sz w:val="18"/>
                <w:szCs w:val="18"/>
              </w:rPr>
              <w:t>144</w:t>
            </w:r>
            <w:r>
              <w:rPr>
                <w:rFonts w:asciiTheme="minorHAnsi" w:hAnsiTheme="minorHAnsi" w:cs="Calibri"/>
                <w:color w:val="000000"/>
                <w:sz w:val="18"/>
                <w:szCs w:val="18"/>
              </w:rPr>
              <w:t xml:space="preserve"> </w:t>
            </w:r>
            <w:r w:rsidRPr="00803157">
              <w:rPr>
                <w:rFonts w:asciiTheme="minorHAnsi" w:hAnsiTheme="minorHAnsi" w:cs="Calibri"/>
                <w:color w:val="000000"/>
                <w:sz w:val="18"/>
                <w:szCs w:val="18"/>
              </w:rPr>
              <w:t>9</w:t>
            </w:r>
            <w:r>
              <w:rPr>
                <w:rFonts w:asciiTheme="minorHAnsi" w:hAnsiTheme="minorHAnsi" w:cs="Calibri"/>
                <w:color w:val="000000"/>
                <w:sz w:val="18"/>
                <w:szCs w:val="18"/>
              </w:rPr>
              <w:t>45</w:t>
            </w:r>
          </w:p>
        </w:tc>
        <w:tc>
          <w:tcPr>
            <w:tcW w:w="616" w:type="pct"/>
            <w:vAlign w:val="center"/>
          </w:tcPr>
          <w:p w14:paraId="37B9B237" w14:textId="77777777" w:rsidR="00C67212" w:rsidRPr="0019793C" w:rsidRDefault="00C67212" w:rsidP="0080029D">
            <w:pPr>
              <w:jc w:val="right"/>
              <w:rPr>
                <w:rFonts w:asciiTheme="minorHAnsi" w:hAnsiTheme="minorHAnsi" w:cs="Calibri"/>
                <w:color w:val="000000"/>
                <w:sz w:val="18"/>
                <w:szCs w:val="18"/>
                <w:lang w:eastAsia="en-US"/>
              </w:rPr>
            </w:pPr>
            <w:r w:rsidRPr="0019793C">
              <w:rPr>
                <w:rFonts w:asciiTheme="minorHAnsi" w:hAnsiTheme="minorHAnsi" w:cs="Calibri"/>
                <w:color w:val="000000"/>
                <w:sz w:val="18"/>
                <w:szCs w:val="18"/>
                <w:lang w:eastAsia="en-US"/>
              </w:rPr>
              <w:t>90 </w:t>
            </w:r>
            <w:r w:rsidR="0019793C" w:rsidRPr="0019793C">
              <w:rPr>
                <w:rFonts w:asciiTheme="minorHAnsi" w:hAnsiTheme="minorHAnsi" w:cs="Calibri"/>
                <w:color w:val="000000"/>
                <w:sz w:val="18"/>
                <w:szCs w:val="18"/>
                <w:lang w:eastAsia="en-US"/>
              </w:rPr>
              <w:t>676</w:t>
            </w:r>
            <w:r w:rsidRPr="0019793C">
              <w:rPr>
                <w:rFonts w:asciiTheme="minorHAnsi" w:hAnsiTheme="minorHAnsi" w:cs="Calibri"/>
                <w:color w:val="000000"/>
                <w:sz w:val="18"/>
                <w:szCs w:val="18"/>
                <w:lang w:eastAsia="en-US"/>
              </w:rPr>
              <w:t xml:space="preserve"> </w:t>
            </w:r>
            <w:r w:rsidR="0019793C" w:rsidRPr="0019793C">
              <w:rPr>
                <w:rFonts w:asciiTheme="minorHAnsi" w:hAnsiTheme="minorHAnsi" w:cs="Calibri"/>
                <w:color w:val="000000"/>
                <w:sz w:val="18"/>
                <w:szCs w:val="18"/>
                <w:lang w:eastAsia="en-US"/>
              </w:rPr>
              <w:t>936</w:t>
            </w:r>
          </w:p>
        </w:tc>
        <w:tc>
          <w:tcPr>
            <w:tcW w:w="585" w:type="pct"/>
            <w:vAlign w:val="center"/>
          </w:tcPr>
          <w:p w14:paraId="69F6C57D" w14:textId="77777777" w:rsidR="00C67212" w:rsidRPr="0019793C" w:rsidRDefault="0019793C" w:rsidP="0080029D">
            <w:pPr>
              <w:jc w:val="right"/>
              <w:rPr>
                <w:rFonts w:asciiTheme="minorHAnsi" w:hAnsiTheme="minorHAnsi" w:cs="Calibri"/>
                <w:color w:val="000000"/>
                <w:sz w:val="18"/>
                <w:szCs w:val="18"/>
                <w:lang w:eastAsia="en-US"/>
              </w:rPr>
            </w:pPr>
            <w:r w:rsidRPr="0019793C">
              <w:rPr>
                <w:rFonts w:asciiTheme="minorHAnsi" w:hAnsiTheme="minorHAnsi" w:cs="Calibri"/>
                <w:color w:val="000000"/>
                <w:sz w:val="18"/>
                <w:szCs w:val="18"/>
                <w:lang w:eastAsia="en-US"/>
              </w:rPr>
              <w:t>90</w:t>
            </w:r>
            <w:r w:rsidR="00C67212" w:rsidRPr="0019793C">
              <w:rPr>
                <w:rFonts w:asciiTheme="minorHAnsi" w:hAnsiTheme="minorHAnsi" w:cs="Calibri"/>
                <w:color w:val="000000"/>
                <w:sz w:val="18"/>
                <w:szCs w:val="18"/>
                <w:lang w:eastAsia="en-US"/>
              </w:rPr>
              <w:t xml:space="preserve"> </w:t>
            </w:r>
            <w:r w:rsidRPr="0019793C">
              <w:rPr>
                <w:rFonts w:asciiTheme="minorHAnsi" w:hAnsiTheme="minorHAnsi" w:cs="Calibri"/>
                <w:color w:val="000000"/>
                <w:sz w:val="18"/>
                <w:szCs w:val="18"/>
                <w:lang w:eastAsia="en-US"/>
              </w:rPr>
              <w:t>806</w:t>
            </w:r>
            <w:r w:rsidR="00C67212" w:rsidRPr="0019793C">
              <w:rPr>
                <w:rFonts w:asciiTheme="minorHAnsi" w:hAnsiTheme="minorHAnsi" w:cs="Calibri"/>
                <w:color w:val="000000"/>
                <w:sz w:val="18"/>
                <w:szCs w:val="18"/>
                <w:lang w:eastAsia="en-US"/>
              </w:rPr>
              <w:t xml:space="preserve"> </w:t>
            </w:r>
            <w:r w:rsidRPr="0019793C">
              <w:rPr>
                <w:rFonts w:asciiTheme="minorHAnsi" w:hAnsiTheme="minorHAnsi" w:cs="Calibri"/>
                <w:color w:val="000000"/>
                <w:sz w:val="18"/>
                <w:szCs w:val="18"/>
                <w:lang w:eastAsia="en-US"/>
              </w:rPr>
              <w:t>749</w:t>
            </w:r>
          </w:p>
        </w:tc>
        <w:tc>
          <w:tcPr>
            <w:tcW w:w="554" w:type="pct"/>
            <w:vAlign w:val="center"/>
          </w:tcPr>
          <w:p w14:paraId="3B0340A0" w14:textId="68BBD1BB" w:rsidR="00C67212" w:rsidRPr="0019793C"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856" w:type="pct"/>
            <w:vAlign w:val="center"/>
          </w:tcPr>
          <w:p w14:paraId="06D30967" w14:textId="0869D52B" w:rsidR="00C67212" w:rsidRPr="0019793C"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896" w:type="pct"/>
            <w:vAlign w:val="center"/>
          </w:tcPr>
          <w:p w14:paraId="691C6EA3" w14:textId="5F238B1E" w:rsidR="00C67212" w:rsidRPr="0019793C"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510" w:type="pct"/>
            <w:vAlign w:val="center"/>
          </w:tcPr>
          <w:p w14:paraId="02CD423A" w14:textId="77777777" w:rsidR="00C67212" w:rsidRPr="0019793C" w:rsidRDefault="00C67212" w:rsidP="0080029D">
            <w:pPr>
              <w:jc w:val="right"/>
              <w:rPr>
                <w:rFonts w:asciiTheme="minorHAnsi" w:hAnsiTheme="minorHAnsi" w:cs="Calibri"/>
                <w:color w:val="000000"/>
                <w:sz w:val="18"/>
                <w:szCs w:val="18"/>
                <w:lang w:eastAsia="en-US"/>
              </w:rPr>
            </w:pPr>
            <w:r w:rsidRPr="0019793C">
              <w:rPr>
                <w:rFonts w:asciiTheme="minorHAnsi" w:hAnsiTheme="minorHAnsi" w:cs="Calibri"/>
                <w:color w:val="000000"/>
                <w:sz w:val="18"/>
                <w:szCs w:val="18"/>
                <w:lang w:eastAsia="en-US"/>
              </w:rPr>
              <w:t>1,35 %</w:t>
            </w:r>
          </w:p>
        </w:tc>
      </w:tr>
      <w:tr w:rsidR="007E55CF" w:rsidRPr="00217459" w14:paraId="2E054C99" w14:textId="77777777" w:rsidTr="007E55CF">
        <w:trPr>
          <w:trHeight w:val="227"/>
          <w:jc w:val="center"/>
        </w:trPr>
        <w:tc>
          <w:tcPr>
            <w:tcW w:w="368" w:type="pct"/>
            <w:vAlign w:val="center"/>
          </w:tcPr>
          <w:p w14:paraId="1B795D54" w14:textId="77777777" w:rsidR="00C67212" w:rsidRPr="00803157" w:rsidRDefault="00C67212" w:rsidP="0080029D">
            <w:pPr>
              <w:jc w:val="center"/>
              <w:rPr>
                <w:rFonts w:asciiTheme="minorHAnsi" w:hAnsiTheme="minorHAnsi" w:cs="Calibri"/>
                <w:color w:val="000000"/>
                <w:sz w:val="18"/>
                <w:szCs w:val="18"/>
                <w:lang w:val="en-US"/>
              </w:rPr>
            </w:pPr>
            <w:r w:rsidRPr="00803157">
              <w:rPr>
                <w:rFonts w:asciiTheme="minorHAnsi" w:hAnsiTheme="minorHAnsi" w:cs="Calibri"/>
                <w:color w:val="000000"/>
                <w:sz w:val="18"/>
                <w:szCs w:val="18"/>
                <w:lang w:val="en-US"/>
              </w:rPr>
              <w:t>2023</w:t>
            </w:r>
          </w:p>
        </w:tc>
        <w:tc>
          <w:tcPr>
            <w:tcW w:w="615" w:type="pct"/>
            <w:vAlign w:val="center"/>
          </w:tcPr>
          <w:p w14:paraId="19FE11DF" w14:textId="77777777" w:rsidR="00C67212" w:rsidRPr="00803157" w:rsidRDefault="00C67212" w:rsidP="0080029D">
            <w:pPr>
              <w:jc w:val="right"/>
              <w:rPr>
                <w:rFonts w:asciiTheme="minorHAnsi" w:hAnsiTheme="minorHAnsi" w:cs="Calibri"/>
                <w:color w:val="000000"/>
                <w:sz w:val="18"/>
                <w:szCs w:val="18"/>
              </w:rPr>
            </w:pPr>
            <w:r w:rsidRPr="00E53A34">
              <w:rPr>
                <w:rFonts w:asciiTheme="minorHAnsi" w:hAnsiTheme="minorHAnsi" w:cs="Calibri"/>
                <w:color w:val="000000"/>
                <w:sz w:val="18"/>
                <w:szCs w:val="18"/>
              </w:rPr>
              <w:t>111 808 741</w:t>
            </w:r>
          </w:p>
        </w:tc>
        <w:tc>
          <w:tcPr>
            <w:tcW w:w="616" w:type="pct"/>
            <w:vAlign w:val="center"/>
          </w:tcPr>
          <w:p w14:paraId="43004DE3" w14:textId="77777777" w:rsidR="00C67212" w:rsidRPr="00C5295F" w:rsidRDefault="009D5801" w:rsidP="0080029D">
            <w:pPr>
              <w:jc w:val="right"/>
              <w:rPr>
                <w:rFonts w:asciiTheme="minorHAnsi" w:hAnsiTheme="minorHAnsi" w:cs="Calibri"/>
                <w:color w:val="000000"/>
                <w:sz w:val="18"/>
                <w:szCs w:val="18"/>
                <w:lang w:eastAsia="en-US"/>
              </w:rPr>
            </w:pPr>
            <w:r>
              <w:rPr>
                <w:rFonts w:asciiTheme="minorHAnsi" w:hAnsiTheme="minorHAnsi" w:cs="Calibri"/>
                <w:color w:val="000000"/>
                <w:sz w:val="18"/>
                <w:szCs w:val="18"/>
                <w:lang w:eastAsia="en-US"/>
              </w:rPr>
              <w:t>111 808 819</w:t>
            </w:r>
          </w:p>
        </w:tc>
        <w:tc>
          <w:tcPr>
            <w:tcW w:w="585" w:type="pct"/>
            <w:vAlign w:val="center"/>
          </w:tcPr>
          <w:p w14:paraId="7DB8C7F1" w14:textId="719CD616" w:rsidR="00C67212" w:rsidRPr="00C5295F"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554" w:type="pct"/>
            <w:vAlign w:val="center"/>
          </w:tcPr>
          <w:p w14:paraId="34DB5785" w14:textId="28CE022E" w:rsidR="00C67212" w:rsidRPr="00C5295F"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856" w:type="pct"/>
            <w:vAlign w:val="center"/>
          </w:tcPr>
          <w:p w14:paraId="5DB9639A" w14:textId="02365FAE" w:rsidR="00C67212" w:rsidRPr="00C5295F"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896" w:type="pct"/>
            <w:vAlign w:val="center"/>
          </w:tcPr>
          <w:p w14:paraId="2C2F066E" w14:textId="7B0135D4" w:rsidR="00C67212" w:rsidRPr="00C5295F" w:rsidRDefault="00221759" w:rsidP="0080029D">
            <w:pPr>
              <w:jc w:val="right"/>
              <w:rPr>
                <w:rFonts w:asciiTheme="minorHAnsi" w:hAnsiTheme="minorHAnsi" w:cs="Calibri"/>
                <w:color w:val="000000"/>
                <w:sz w:val="18"/>
                <w:szCs w:val="18"/>
                <w:lang w:eastAsia="en-US"/>
              </w:rPr>
            </w:pPr>
            <w:r>
              <w:rPr>
                <w:rFonts w:asciiTheme="minorHAnsi" w:hAnsiTheme="minorHAnsi" w:cs="Calibri"/>
                <w:b/>
                <w:color w:val="000000"/>
                <w:sz w:val="18"/>
                <w:szCs w:val="18"/>
              </w:rPr>
              <w:t>–</w:t>
            </w:r>
          </w:p>
        </w:tc>
        <w:tc>
          <w:tcPr>
            <w:tcW w:w="510" w:type="pct"/>
            <w:vAlign w:val="center"/>
          </w:tcPr>
          <w:p w14:paraId="23166AA0" w14:textId="77777777" w:rsidR="00C67212" w:rsidRPr="00803157" w:rsidRDefault="00531666" w:rsidP="0080029D">
            <w:pPr>
              <w:jc w:val="right"/>
              <w:rPr>
                <w:rFonts w:asciiTheme="minorHAnsi" w:hAnsiTheme="minorHAnsi" w:cs="Calibri"/>
                <w:color w:val="000000"/>
                <w:sz w:val="18"/>
                <w:szCs w:val="18"/>
                <w:highlight w:val="yellow"/>
                <w:lang w:eastAsia="en-US"/>
              </w:rPr>
            </w:pPr>
            <w:r>
              <w:rPr>
                <w:rFonts w:asciiTheme="minorHAnsi" w:hAnsiTheme="minorHAnsi" w:cstheme="minorHAnsi"/>
                <w:color w:val="000000"/>
                <w:sz w:val="18"/>
                <w:szCs w:val="18"/>
                <w:lang w:eastAsia="en-US"/>
              </w:rPr>
              <w:t>*</w:t>
            </w:r>
            <w:r w:rsidR="00C67212" w:rsidRPr="00E53A34">
              <w:rPr>
                <w:rFonts w:asciiTheme="minorHAnsi" w:hAnsiTheme="minorHAnsi" w:cs="Calibri"/>
                <w:color w:val="000000"/>
                <w:sz w:val="18"/>
                <w:szCs w:val="18"/>
                <w:lang w:eastAsia="en-US"/>
              </w:rPr>
              <w:t>1,</w:t>
            </w:r>
            <w:r w:rsidR="00E53A34" w:rsidRPr="00E53A34">
              <w:rPr>
                <w:rFonts w:asciiTheme="minorHAnsi" w:hAnsiTheme="minorHAnsi" w:cs="Calibri"/>
                <w:color w:val="000000"/>
                <w:sz w:val="18"/>
                <w:szCs w:val="18"/>
                <w:lang w:eastAsia="en-US"/>
              </w:rPr>
              <w:t>5</w:t>
            </w:r>
            <w:r w:rsidR="009D5801">
              <w:rPr>
                <w:rFonts w:asciiTheme="minorHAnsi" w:hAnsiTheme="minorHAnsi" w:cs="Calibri"/>
                <w:color w:val="000000"/>
                <w:sz w:val="18"/>
                <w:szCs w:val="18"/>
                <w:lang w:eastAsia="en-US"/>
              </w:rPr>
              <w:t>3</w:t>
            </w:r>
            <w:r w:rsidR="00C67212" w:rsidRPr="00E53A34">
              <w:rPr>
                <w:rFonts w:asciiTheme="minorHAnsi" w:hAnsiTheme="minorHAnsi" w:cs="Calibri"/>
                <w:color w:val="000000"/>
                <w:sz w:val="18"/>
                <w:szCs w:val="18"/>
                <w:lang w:eastAsia="en-US"/>
              </w:rPr>
              <w:t xml:space="preserve"> %</w:t>
            </w:r>
          </w:p>
        </w:tc>
      </w:tr>
    </w:tbl>
    <w:p w14:paraId="1C586692" w14:textId="7BE7C6BC" w:rsidR="00C67212" w:rsidRPr="00AC1329" w:rsidRDefault="00C67212" w:rsidP="00C67212">
      <w:pPr>
        <w:shd w:val="clear" w:color="auto" w:fill="FFFFFF"/>
        <w:spacing w:before="40"/>
        <w:jc w:val="both"/>
        <w:rPr>
          <w:rFonts w:asciiTheme="minorHAnsi" w:hAnsiTheme="minorHAnsi" w:cs="Calibri"/>
          <w:sz w:val="20"/>
          <w:szCs w:val="20"/>
        </w:rPr>
      </w:pPr>
      <w:r w:rsidRPr="001F0510">
        <w:rPr>
          <w:rFonts w:asciiTheme="minorHAnsi" w:hAnsiTheme="minorHAnsi" w:cs="Calibri"/>
          <w:b/>
          <w:color w:val="000000"/>
          <w:sz w:val="20"/>
          <w:szCs w:val="20"/>
        </w:rPr>
        <w:t>Zdroj:</w:t>
      </w:r>
      <w:r w:rsidRPr="001F0510">
        <w:rPr>
          <w:rFonts w:asciiTheme="minorHAnsi" w:hAnsiTheme="minorHAnsi" w:cs="Calibri"/>
          <w:color w:val="000000"/>
          <w:sz w:val="20"/>
          <w:szCs w:val="20"/>
        </w:rPr>
        <w:t xml:space="preserve"> </w:t>
      </w:r>
      <w:r>
        <w:rPr>
          <w:rFonts w:asciiTheme="minorHAnsi" w:hAnsiTheme="minorHAnsi" w:cs="Calibri"/>
          <w:color w:val="000000"/>
          <w:sz w:val="20"/>
          <w:szCs w:val="20"/>
        </w:rPr>
        <w:t xml:space="preserve">závěrečné účty </w:t>
      </w:r>
      <w:r w:rsidRPr="001F0510">
        <w:rPr>
          <w:rFonts w:asciiTheme="minorHAnsi" w:hAnsiTheme="minorHAnsi" w:cs="Calibri"/>
          <w:color w:val="000000"/>
          <w:sz w:val="20"/>
          <w:szCs w:val="20"/>
        </w:rPr>
        <w:t>MO</w:t>
      </w:r>
      <w:r w:rsidR="00001DA1">
        <w:rPr>
          <w:rFonts w:asciiTheme="minorHAnsi" w:hAnsiTheme="minorHAnsi" w:cs="Calibri"/>
          <w:color w:val="000000"/>
          <w:sz w:val="20"/>
          <w:szCs w:val="20"/>
        </w:rPr>
        <w:t xml:space="preserve"> </w:t>
      </w:r>
      <w:r w:rsidR="00001DA1">
        <w:rPr>
          <w:rFonts w:asciiTheme="minorHAnsi" w:hAnsiTheme="minorHAnsi" w:cstheme="minorHAnsi"/>
          <w:sz w:val="20"/>
        </w:rPr>
        <w:t>za roky 201</w:t>
      </w:r>
      <w:r w:rsidR="006C559A">
        <w:rPr>
          <w:rFonts w:asciiTheme="minorHAnsi" w:hAnsiTheme="minorHAnsi" w:cstheme="minorHAnsi"/>
          <w:sz w:val="20"/>
        </w:rPr>
        <w:t>8</w:t>
      </w:r>
      <w:r w:rsidR="00001DA1">
        <w:rPr>
          <w:rFonts w:asciiTheme="minorHAnsi" w:hAnsiTheme="minorHAnsi" w:cstheme="minorHAnsi"/>
          <w:sz w:val="20"/>
        </w:rPr>
        <w:t>–2021</w:t>
      </w:r>
      <w:r w:rsidR="009D5801">
        <w:rPr>
          <w:rFonts w:asciiTheme="minorHAnsi" w:hAnsiTheme="minorHAnsi" w:cs="Calibri"/>
          <w:color w:val="000000"/>
          <w:sz w:val="20"/>
          <w:szCs w:val="20"/>
        </w:rPr>
        <w:t xml:space="preserve">, </w:t>
      </w:r>
      <w:hyperlink r:id="rId17" w:history="1">
        <w:r w:rsidR="009D5801" w:rsidRPr="009D5801">
          <w:rPr>
            <w:rStyle w:val="Hypertextovodkaz"/>
            <w:rFonts w:asciiTheme="minorHAnsi" w:hAnsiTheme="minorHAnsi" w:cstheme="minorHAnsi"/>
            <w:sz w:val="20"/>
            <w:szCs w:val="20"/>
          </w:rPr>
          <w:t>www.army.cz</w:t>
        </w:r>
      </w:hyperlink>
      <w:r w:rsidR="009D5801" w:rsidRPr="009D5801">
        <w:rPr>
          <w:rFonts w:asciiTheme="minorHAnsi" w:hAnsiTheme="minorHAnsi" w:cstheme="minorHAnsi"/>
          <w:color w:val="000000" w:themeColor="text1"/>
          <w:sz w:val="20"/>
          <w:szCs w:val="20"/>
        </w:rPr>
        <w:t xml:space="preserve"> – stav </w:t>
      </w:r>
      <w:r w:rsidR="009D5801" w:rsidRPr="009D5801">
        <w:rPr>
          <w:rFonts w:ascii="Calibri" w:hAnsi="Calibri" w:cs="Calibri"/>
          <w:sz w:val="20"/>
          <w:szCs w:val="20"/>
          <w:lang w:eastAsia="en-US"/>
        </w:rPr>
        <w:t>ke dni 8. března 2023</w:t>
      </w:r>
      <w:r w:rsidR="0019793C">
        <w:rPr>
          <w:rFonts w:asciiTheme="minorHAnsi" w:hAnsiTheme="minorHAnsi" w:cs="Calibri"/>
          <w:color w:val="000000"/>
          <w:sz w:val="20"/>
          <w:szCs w:val="20"/>
        </w:rPr>
        <w:t>.</w:t>
      </w:r>
    </w:p>
    <w:p w14:paraId="0663B27A" w14:textId="54489EAD" w:rsidR="00221759" w:rsidRDefault="00C67212" w:rsidP="00C67212">
      <w:pPr>
        <w:shd w:val="clear" w:color="auto" w:fill="FFFFFF"/>
        <w:ind w:right="6"/>
        <w:jc w:val="both"/>
        <w:rPr>
          <w:rFonts w:ascii="Calibri" w:hAnsi="Calibri" w:cs="Calibri"/>
          <w:sz w:val="20"/>
          <w:szCs w:val="20"/>
          <w:lang w:eastAsia="en-US"/>
        </w:rPr>
      </w:pPr>
      <w:r w:rsidRPr="004559DD">
        <w:rPr>
          <w:rFonts w:asciiTheme="minorHAnsi" w:hAnsiTheme="minorHAnsi" w:cstheme="minorHAnsi"/>
          <w:color w:val="000000" w:themeColor="text1"/>
          <w:sz w:val="20"/>
          <w:szCs w:val="20"/>
        </w:rPr>
        <w:t>*</w:t>
      </w:r>
      <w:r w:rsidR="004559DD" w:rsidRPr="004559DD">
        <w:rPr>
          <w:rFonts w:asciiTheme="minorHAnsi" w:hAnsiTheme="minorHAnsi" w:cstheme="minorHAnsi"/>
          <w:color w:val="000000" w:themeColor="text1"/>
          <w:sz w:val="20"/>
          <w:szCs w:val="20"/>
        </w:rPr>
        <w:t xml:space="preserve"> </w:t>
      </w:r>
      <w:r w:rsidR="006C559A">
        <w:rPr>
          <w:rFonts w:asciiTheme="minorHAnsi" w:hAnsiTheme="minorHAnsi" w:cstheme="minorHAnsi"/>
          <w:color w:val="000000" w:themeColor="text1"/>
          <w:sz w:val="20"/>
          <w:szCs w:val="20"/>
        </w:rPr>
        <w:t>P</w:t>
      </w:r>
      <w:r w:rsidR="004559DD" w:rsidRPr="004559DD">
        <w:rPr>
          <w:rFonts w:asciiTheme="minorHAnsi" w:hAnsiTheme="minorHAnsi" w:cstheme="minorHAnsi"/>
          <w:color w:val="000000" w:themeColor="text1"/>
          <w:sz w:val="20"/>
          <w:szCs w:val="20"/>
        </w:rPr>
        <w:t>lánovan</w:t>
      </w:r>
      <w:r w:rsidR="004559DD">
        <w:rPr>
          <w:rFonts w:asciiTheme="minorHAnsi" w:hAnsiTheme="minorHAnsi" w:cstheme="minorHAnsi"/>
          <w:color w:val="000000" w:themeColor="text1"/>
          <w:sz w:val="20"/>
          <w:szCs w:val="20"/>
        </w:rPr>
        <w:t>ý podíl</w:t>
      </w:r>
      <w:r w:rsidRPr="009D5801">
        <w:rPr>
          <w:rFonts w:ascii="Calibri" w:hAnsi="Calibri" w:cs="Calibri"/>
          <w:sz w:val="20"/>
          <w:szCs w:val="20"/>
          <w:lang w:eastAsia="en-US"/>
        </w:rPr>
        <w:t>.</w:t>
      </w:r>
    </w:p>
    <w:p w14:paraId="50711133" w14:textId="77777777" w:rsidR="00221759" w:rsidRDefault="00221759">
      <w:pPr>
        <w:rPr>
          <w:rFonts w:ascii="Calibri" w:hAnsi="Calibri" w:cs="Calibri"/>
          <w:sz w:val="20"/>
          <w:szCs w:val="20"/>
          <w:lang w:eastAsia="en-US"/>
        </w:rPr>
      </w:pPr>
      <w:r>
        <w:rPr>
          <w:rFonts w:ascii="Calibri" w:hAnsi="Calibri" w:cs="Calibri"/>
          <w:sz w:val="20"/>
          <w:szCs w:val="20"/>
          <w:lang w:eastAsia="en-US"/>
        </w:rPr>
        <w:br w:type="page"/>
      </w:r>
    </w:p>
    <w:p w14:paraId="39C2B814" w14:textId="77777777" w:rsidR="001A05E4" w:rsidRPr="00250573" w:rsidRDefault="001A05E4" w:rsidP="00250573">
      <w:pPr>
        <w:pStyle w:val="Nadpis1"/>
        <w:jc w:val="right"/>
        <w:rPr>
          <w:rFonts w:asciiTheme="minorHAnsi" w:hAnsiTheme="minorHAnsi" w:cstheme="minorHAnsi"/>
          <w:sz w:val="24"/>
          <w:szCs w:val="24"/>
        </w:rPr>
      </w:pPr>
      <w:r w:rsidRPr="00250573">
        <w:rPr>
          <w:rFonts w:asciiTheme="minorHAnsi" w:hAnsiTheme="minorHAnsi" w:cstheme="minorHAnsi"/>
          <w:sz w:val="24"/>
          <w:szCs w:val="24"/>
        </w:rPr>
        <w:lastRenderedPageBreak/>
        <w:t>Příloha č. 2</w:t>
      </w:r>
    </w:p>
    <w:p w14:paraId="7E1CB539" w14:textId="77777777" w:rsidR="00C67212" w:rsidRPr="00B97418" w:rsidRDefault="00C67212" w:rsidP="00AC1329">
      <w:pPr>
        <w:autoSpaceDE w:val="0"/>
        <w:autoSpaceDN w:val="0"/>
        <w:adjustRightInd w:val="0"/>
        <w:spacing w:after="40"/>
        <w:jc w:val="center"/>
        <w:rPr>
          <w:rFonts w:asciiTheme="minorHAnsi" w:hAnsiTheme="minorHAnsi" w:cstheme="minorHAnsi"/>
          <w:b/>
        </w:rPr>
      </w:pPr>
      <w:r>
        <w:rPr>
          <w:rFonts w:asciiTheme="minorHAnsi" w:hAnsiTheme="minorHAnsi" w:cstheme="minorHAnsi"/>
          <w:b/>
        </w:rPr>
        <w:t>Údaje o a</w:t>
      </w:r>
      <w:r w:rsidRPr="001C203F">
        <w:rPr>
          <w:rFonts w:asciiTheme="minorHAnsi" w:hAnsiTheme="minorHAnsi" w:cstheme="minorHAnsi"/>
          <w:b/>
        </w:rPr>
        <w:t>utomobilní techni</w:t>
      </w:r>
      <w:r>
        <w:rPr>
          <w:rFonts w:asciiTheme="minorHAnsi" w:hAnsiTheme="minorHAnsi" w:cstheme="minorHAnsi"/>
          <w:b/>
        </w:rPr>
        <w:t>ce</w:t>
      </w:r>
      <w:r w:rsidRPr="001C203F">
        <w:rPr>
          <w:rFonts w:asciiTheme="minorHAnsi" w:hAnsiTheme="minorHAnsi" w:cstheme="minorHAnsi"/>
          <w:b/>
        </w:rPr>
        <w:t xml:space="preserve"> Armády</w:t>
      </w:r>
      <w:r>
        <w:rPr>
          <w:rFonts w:asciiTheme="minorHAnsi" w:hAnsiTheme="minorHAnsi" w:cstheme="minorHAnsi"/>
          <w:b/>
        </w:rPr>
        <w:t xml:space="preserve"> </w:t>
      </w:r>
      <w:r w:rsidRPr="001C203F">
        <w:rPr>
          <w:rFonts w:asciiTheme="minorHAnsi" w:hAnsiTheme="minorHAnsi" w:cstheme="minorHAnsi"/>
          <w:b/>
        </w:rPr>
        <w:t>ke konci roku 2021</w:t>
      </w:r>
    </w:p>
    <w:tbl>
      <w:tblPr>
        <w:tblStyle w:val="Mkatabulky"/>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993"/>
        <w:gridCol w:w="1701"/>
        <w:gridCol w:w="1275"/>
        <w:gridCol w:w="1135"/>
        <w:gridCol w:w="1135"/>
      </w:tblGrid>
      <w:tr w:rsidR="00C67212" w:rsidRPr="00243E67" w14:paraId="5636735F" w14:textId="77777777" w:rsidTr="007E55CF">
        <w:trPr>
          <w:trHeight w:val="397"/>
        </w:trPr>
        <w:tc>
          <w:tcPr>
            <w:tcW w:w="2975" w:type="dxa"/>
            <w:shd w:val="clear" w:color="auto" w:fill="E5F1FF"/>
            <w:vAlign w:val="center"/>
          </w:tcPr>
          <w:p w14:paraId="2E61435E" w14:textId="77777777" w:rsidR="00C67212" w:rsidRPr="00B97418" w:rsidRDefault="00C67212" w:rsidP="0080029D">
            <w:pPr>
              <w:autoSpaceDE w:val="0"/>
              <w:autoSpaceDN w:val="0"/>
              <w:adjustRightInd w:val="0"/>
              <w:jc w:val="center"/>
              <w:rPr>
                <w:rFonts w:ascii="Calibri" w:hAnsi="Calibri" w:cs="Calibri"/>
                <w:b/>
                <w:sz w:val="20"/>
                <w:szCs w:val="20"/>
              </w:rPr>
            </w:pPr>
            <w:r w:rsidRPr="00B97418">
              <w:rPr>
                <w:rFonts w:ascii="Calibri" w:hAnsi="Calibri" w:cs="Calibri"/>
                <w:b/>
                <w:sz w:val="20"/>
                <w:szCs w:val="20"/>
              </w:rPr>
              <w:t>Druh techniky</w:t>
            </w:r>
          </w:p>
        </w:tc>
        <w:tc>
          <w:tcPr>
            <w:tcW w:w="993" w:type="dxa"/>
            <w:shd w:val="clear" w:color="auto" w:fill="E5F1FF"/>
            <w:vAlign w:val="center"/>
          </w:tcPr>
          <w:p w14:paraId="64624A22" w14:textId="77777777" w:rsidR="00C67212" w:rsidRPr="00B97418" w:rsidRDefault="00C67212" w:rsidP="0080029D">
            <w:pPr>
              <w:autoSpaceDE w:val="0"/>
              <w:autoSpaceDN w:val="0"/>
              <w:adjustRightInd w:val="0"/>
              <w:jc w:val="center"/>
              <w:rPr>
                <w:rFonts w:ascii="Calibri" w:hAnsi="Calibri" w:cs="Calibri"/>
                <w:b/>
                <w:sz w:val="20"/>
                <w:szCs w:val="20"/>
              </w:rPr>
            </w:pPr>
            <w:r w:rsidRPr="00B97418">
              <w:rPr>
                <w:rFonts w:ascii="Calibri" w:hAnsi="Calibri" w:cs="Calibri"/>
                <w:b/>
                <w:sz w:val="20"/>
                <w:szCs w:val="20"/>
              </w:rPr>
              <w:t>Počet kusů</w:t>
            </w:r>
          </w:p>
        </w:tc>
        <w:tc>
          <w:tcPr>
            <w:tcW w:w="1701" w:type="dxa"/>
            <w:shd w:val="clear" w:color="auto" w:fill="E5F1FF"/>
            <w:vAlign w:val="center"/>
          </w:tcPr>
          <w:p w14:paraId="29C2E427" w14:textId="77777777" w:rsidR="00C67212" w:rsidRPr="00B97418" w:rsidRDefault="00C67212" w:rsidP="0080029D">
            <w:pPr>
              <w:autoSpaceDE w:val="0"/>
              <w:autoSpaceDN w:val="0"/>
              <w:adjustRightInd w:val="0"/>
              <w:jc w:val="center"/>
              <w:rPr>
                <w:rFonts w:ascii="Calibri" w:hAnsi="Calibri" w:cs="Calibri"/>
                <w:b/>
                <w:sz w:val="20"/>
                <w:szCs w:val="20"/>
              </w:rPr>
            </w:pPr>
            <w:r w:rsidRPr="00B97418">
              <w:rPr>
                <w:rFonts w:ascii="Calibri" w:hAnsi="Calibri" w:cs="Calibri"/>
                <w:b/>
                <w:sz w:val="20"/>
                <w:szCs w:val="20"/>
              </w:rPr>
              <w:t>Zůstatková účetní hodnota v Kč</w:t>
            </w:r>
          </w:p>
        </w:tc>
        <w:tc>
          <w:tcPr>
            <w:tcW w:w="1275" w:type="dxa"/>
            <w:shd w:val="clear" w:color="auto" w:fill="E5F1FF"/>
            <w:vAlign w:val="center"/>
          </w:tcPr>
          <w:p w14:paraId="34B771ED" w14:textId="77777777" w:rsidR="00C67212" w:rsidRPr="00B97418" w:rsidRDefault="00C67212" w:rsidP="0080029D">
            <w:pPr>
              <w:autoSpaceDE w:val="0"/>
              <w:autoSpaceDN w:val="0"/>
              <w:adjustRightInd w:val="0"/>
              <w:jc w:val="center"/>
              <w:rPr>
                <w:rFonts w:ascii="Calibri" w:hAnsi="Calibri" w:cs="Calibri"/>
                <w:b/>
                <w:sz w:val="20"/>
                <w:szCs w:val="20"/>
              </w:rPr>
            </w:pPr>
            <w:r w:rsidRPr="00B97418">
              <w:rPr>
                <w:rFonts w:ascii="Calibri" w:hAnsi="Calibri" w:cs="Calibri"/>
                <w:b/>
                <w:sz w:val="20"/>
                <w:szCs w:val="20"/>
              </w:rPr>
              <w:t xml:space="preserve">Rok výroby </w:t>
            </w:r>
            <w:r w:rsidRPr="00B97418">
              <w:rPr>
                <w:rFonts w:ascii="Calibri" w:hAnsi="Calibri" w:cs="Calibri"/>
                <w:b/>
                <w:sz w:val="20"/>
                <w:szCs w:val="20"/>
              </w:rPr>
              <w:br/>
              <w:t xml:space="preserve">od–do </w:t>
            </w:r>
          </w:p>
        </w:tc>
        <w:tc>
          <w:tcPr>
            <w:tcW w:w="1135" w:type="dxa"/>
            <w:shd w:val="clear" w:color="auto" w:fill="E5F1FF"/>
            <w:vAlign w:val="center"/>
          </w:tcPr>
          <w:p w14:paraId="7C9A6F0E" w14:textId="77777777" w:rsidR="00C67212" w:rsidRPr="00B97418" w:rsidRDefault="00C67212" w:rsidP="0080029D">
            <w:pPr>
              <w:autoSpaceDE w:val="0"/>
              <w:autoSpaceDN w:val="0"/>
              <w:adjustRightInd w:val="0"/>
              <w:jc w:val="center"/>
              <w:rPr>
                <w:rFonts w:ascii="Calibri" w:hAnsi="Calibri" w:cs="Calibri"/>
                <w:b/>
                <w:sz w:val="20"/>
                <w:szCs w:val="20"/>
              </w:rPr>
            </w:pPr>
            <w:r w:rsidRPr="00B97418">
              <w:rPr>
                <w:rFonts w:ascii="Calibri" w:hAnsi="Calibri" w:cs="Calibri"/>
                <w:b/>
                <w:sz w:val="20"/>
                <w:szCs w:val="20"/>
              </w:rPr>
              <w:t>Průměrné stáří</w:t>
            </w:r>
          </w:p>
        </w:tc>
        <w:tc>
          <w:tcPr>
            <w:tcW w:w="1135" w:type="dxa"/>
            <w:shd w:val="clear" w:color="auto" w:fill="E5F1FF"/>
            <w:vAlign w:val="center"/>
          </w:tcPr>
          <w:p w14:paraId="4BA363BF" w14:textId="77777777" w:rsidR="00C67212" w:rsidRPr="00B97418" w:rsidRDefault="00C67212" w:rsidP="0080029D">
            <w:pPr>
              <w:autoSpaceDE w:val="0"/>
              <w:autoSpaceDN w:val="0"/>
              <w:adjustRightInd w:val="0"/>
              <w:jc w:val="center"/>
              <w:rPr>
                <w:rFonts w:ascii="Calibri" w:hAnsi="Calibri" w:cs="Calibri"/>
                <w:b/>
                <w:sz w:val="20"/>
                <w:szCs w:val="20"/>
              </w:rPr>
            </w:pPr>
            <w:r w:rsidRPr="00B97418">
              <w:rPr>
                <w:rFonts w:ascii="Calibri" w:hAnsi="Calibri" w:cs="Calibri"/>
                <w:b/>
                <w:sz w:val="20"/>
                <w:szCs w:val="20"/>
              </w:rPr>
              <w:t>Průměrná životnost*</w:t>
            </w:r>
          </w:p>
        </w:tc>
      </w:tr>
      <w:tr w:rsidR="00C67212" w:rsidRPr="00243E67" w14:paraId="651FD52E" w14:textId="77777777" w:rsidTr="007D3BDB">
        <w:trPr>
          <w:trHeight w:val="20"/>
        </w:trPr>
        <w:tc>
          <w:tcPr>
            <w:tcW w:w="2975" w:type="dxa"/>
            <w:vAlign w:val="center"/>
          </w:tcPr>
          <w:p w14:paraId="01F4ED51"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Automobily osobní silniční</w:t>
            </w:r>
          </w:p>
        </w:tc>
        <w:tc>
          <w:tcPr>
            <w:tcW w:w="993" w:type="dxa"/>
            <w:vAlign w:val="center"/>
          </w:tcPr>
          <w:p w14:paraId="2C40DBD3"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1 210</w:t>
            </w:r>
          </w:p>
        </w:tc>
        <w:tc>
          <w:tcPr>
            <w:tcW w:w="1701" w:type="dxa"/>
            <w:vAlign w:val="center"/>
          </w:tcPr>
          <w:p w14:paraId="4F3DE540" w14:textId="77777777" w:rsidR="00C67212" w:rsidRPr="001C203F" w:rsidRDefault="00C67212" w:rsidP="0080029D">
            <w:pPr>
              <w:jc w:val="right"/>
              <w:rPr>
                <w:rFonts w:asciiTheme="minorHAnsi" w:hAnsiTheme="minorHAnsi" w:cstheme="minorHAnsi"/>
                <w:sz w:val="20"/>
                <w:szCs w:val="20"/>
              </w:rPr>
            </w:pPr>
            <w:r w:rsidRPr="001C203F">
              <w:rPr>
                <w:rFonts w:asciiTheme="minorHAnsi" w:hAnsiTheme="minorHAnsi" w:cstheme="minorHAnsi"/>
                <w:sz w:val="20"/>
                <w:szCs w:val="20"/>
              </w:rPr>
              <w:t>174</w:t>
            </w:r>
            <w:r>
              <w:rPr>
                <w:rFonts w:asciiTheme="minorHAnsi" w:hAnsiTheme="minorHAnsi" w:cstheme="minorHAnsi"/>
                <w:sz w:val="20"/>
                <w:szCs w:val="20"/>
              </w:rPr>
              <w:t> </w:t>
            </w:r>
            <w:r w:rsidRPr="001C203F">
              <w:rPr>
                <w:rFonts w:asciiTheme="minorHAnsi" w:hAnsiTheme="minorHAnsi" w:cstheme="minorHAnsi"/>
                <w:sz w:val="20"/>
                <w:szCs w:val="20"/>
              </w:rPr>
              <w:t>251</w:t>
            </w:r>
            <w:r>
              <w:rPr>
                <w:rFonts w:asciiTheme="minorHAnsi" w:hAnsiTheme="minorHAnsi" w:cstheme="minorHAnsi"/>
                <w:sz w:val="20"/>
                <w:szCs w:val="20"/>
              </w:rPr>
              <w:t xml:space="preserve"> </w:t>
            </w:r>
            <w:r w:rsidRPr="001C203F">
              <w:rPr>
                <w:rFonts w:asciiTheme="minorHAnsi" w:hAnsiTheme="minorHAnsi" w:cstheme="minorHAnsi"/>
                <w:sz w:val="20"/>
                <w:szCs w:val="20"/>
              </w:rPr>
              <w:t>6</w:t>
            </w:r>
            <w:r>
              <w:rPr>
                <w:rFonts w:asciiTheme="minorHAnsi" w:hAnsiTheme="minorHAnsi" w:cstheme="minorHAnsi"/>
                <w:sz w:val="20"/>
                <w:szCs w:val="20"/>
              </w:rPr>
              <w:t>30</w:t>
            </w:r>
          </w:p>
        </w:tc>
        <w:tc>
          <w:tcPr>
            <w:tcW w:w="1275" w:type="dxa"/>
            <w:vAlign w:val="center"/>
          </w:tcPr>
          <w:p w14:paraId="1490B08E"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1999–2021</w:t>
            </w:r>
          </w:p>
        </w:tc>
        <w:tc>
          <w:tcPr>
            <w:tcW w:w="1135" w:type="dxa"/>
            <w:vAlign w:val="center"/>
          </w:tcPr>
          <w:p w14:paraId="0DD1E512"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13</w:t>
            </w:r>
          </w:p>
        </w:tc>
        <w:tc>
          <w:tcPr>
            <w:tcW w:w="1135" w:type="dxa"/>
            <w:vAlign w:val="center"/>
          </w:tcPr>
          <w:p w14:paraId="484DA0D5"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11</w:t>
            </w:r>
          </w:p>
        </w:tc>
      </w:tr>
      <w:tr w:rsidR="00C67212" w:rsidRPr="00243E67" w14:paraId="522FB574" w14:textId="77777777" w:rsidTr="007D3BDB">
        <w:trPr>
          <w:trHeight w:val="20"/>
        </w:trPr>
        <w:tc>
          <w:tcPr>
            <w:tcW w:w="2975" w:type="dxa"/>
            <w:vAlign w:val="center"/>
          </w:tcPr>
          <w:p w14:paraId="114242B2"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Automobily osobní terénní</w:t>
            </w:r>
          </w:p>
        </w:tc>
        <w:tc>
          <w:tcPr>
            <w:tcW w:w="993" w:type="dxa"/>
            <w:vAlign w:val="center"/>
          </w:tcPr>
          <w:p w14:paraId="3605593E"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1 296</w:t>
            </w:r>
          </w:p>
        </w:tc>
        <w:tc>
          <w:tcPr>
            <w:tcW w:w="1701" w:type="dxa"/>
            <w:vAlign w:val="center"/>
          </w:tcPr>
          <w:p w14:paraId="063D6A4E"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630</w:t>
            </w:r>
            <w:r>
              <w:rPr>
                <w:rFonts w:asciiTheme="minorHAnsi" w:hAnsiTheme="minorHAnsi" w:cstheme="minorHAnsi"/>
                <w:sz w:val="20"/>
                <w:szCs w:val="20"/>
              </w:rPr>
              <w:t> </w:t>
            </w:r>
            <w:r w:rsidRPr="001C203F">
              <w:rPr>
                <w:rFonts w:asciiTheme="minorHAnsi" w:hAnsiTheme="minorHAnsi" w:cstheme="minorHAnsi"/>
                <w:sz w:val="20"/>
                <w:szCs w:val="20"/>
              </w:rPr>
              <w:t>701</w:t>
            </w:r>
            <w:r>
              <w:rPr>
                <w:rFonts w:asciiTheme="minorHAnsi" w:hAnsiTheme="minorHAnsi" w:cstheme="minorHAnsi"/>
                <w:sz w:val="20"/>
                <w:szCs w:val="20"/>
              </w:rPr>
              <w:t xml:space="preserve"> </w:t>
            </w:r>
            <w:r w:rsidRPr="001C203F">
              <w:rPr>
                <w:rFonts w:asciiTheme="minorHAnsi" w:hAnsiTheme="minorHAnsi" w:cstheme="minorHAnsi"/>
                <w:sz w:val="20"/>
                <w:szCs w:val="20"/>
              </w:rPr>
              <w:t>1</w:t>
            </w:r>
            <w:r>
              <w:rPr>
                <w:rFonts w:asciiTheme="minorHAnsi" w:hAnsiTheme="minorHAnsi" w:cstheme="minorHAnsi"/>
                <w:sz w:val="20"/>
                <w:szCs w:val="20"/>
              </w:rPr>
              <w:t>39</w:t>
            </w:r>
          </w:p>
        </w:tc>
        <w:tc>
          <w:tcPr>
            <w:tcW w:w="1275" w:type="dxa"/>
            <w:vAlign w:val="center"/>
          </w:tcPr>
          <w:p w14:paraId="7D23F073"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1974–2021</w:t>
            </w:r>
          </w:p>
        </w:tc>
        <w:tc>
          <w:tcPr>
            <w:tcW w:w="1135" w:type="dxa"/>
            <w:vAlign w:val="center"/>
          </w:tcPr>
          <w:p w14:paraId="66CC5BDE"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w:t>
            </w:r>
          </w:p>
        </w:tc>
        <w:tc>
          <w:tcPr>
            <w:tcW w:w="1135" w:type="dxa"/>
            <w:vAlign w:val="center"/>
          </w:tcPr>
          <w:p w14:paraId="48ED49A9"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15</w:t>
            </w:r>
          </w:p>
        </w:tc>
      </w:tr>
      <w:tr w:rsidR="00C67212" w:rsidRPr="00243E67" w14:paraId="02092FCE" w14:textId="77777777" w:rsidTr="007D3BDB">
        <w:trPr>
          <w:trHeight w:val="20"/>
        </w:trPr>
        <w:tc>
          <w:tcPr>
            <w:tcW w:w="2975" w:type="dxa"/>
            <w:vAlign w:val="center"/>
          </w:tcPr>
          <w:p w14:paraId="0B5113E9"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Autobusy a mikrobusy</w:t>
            </w:r>
          </w:p>
        </w:tc>
        <w:tc>
          <w:tcPr>
            <w:tcW w:w="993" w:type="dxa"/>
            <w:vAlign w:val="center"/>
          </w:tcPr>
          <w:p w14:paraId="40759348"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345</w:t>
            </w:r>
          </w:p>
        </w:tc>
        <w:tc>
          <w:tcPr>
            <w:tcW w:w="1701" w:type="dxa"/>
            <w:vAlign w:val="center"/>
          </w:tcPr>
          <w:p w14:paraId="79A00F7D"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216</w:t>
            </w:r>
            <w:r>
              <w:rPr>
                <w:rFonts w:asciiTheme="minorHAnsi" w:hAnsiTheme="minorHAnsi" w:cstheme="minorHAnsi"/>
                <w:sz w:val="20"/>
                <w:szCs w:val="20"/>
              </w:rPr>
              <w:t> </w:t>
            </w:r>
            <w:r w:rsidRPr="001C203F">
              <w:rPr>
                <w:rFonts w:asciiTheme="minorHAnsi" w:hAnsiTheme="minorHAnsi" w:cstheme="minorHAnsi"/>
                <w:sz w:val="20"/>
                <w:szCs w:val="20"/>
              </w:rPr>
              <w:t>623</w:t>
            </w:r>
            <w:r>
              <w:rPr>
                <w:rFonts w:asciiTheme="minorHAnsi" w:hAnsiTheme="minorHAnsi" w:cstheme="minorHAnsi"/>
                <w:sz w:val="20"/>
                <w:szCs w:val="20"/>
              </w:rPr>
              <w:t xml:space="preserve"> 379</w:t>
            </w:r>
          </w:p>
        </w:tc>
        <w:tc>
          <w:tcPr>
            <w:tcW w:w="1275" w:type="dxa"/>
            <w:vAlign w:val="center"/>
          </w:tcPr>
          <w:p w14:paraId="0C7F228D"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1981–2021</w:t>
            </w:r>
          </w:p>
        </w:tc>
        <w:tc>
          <w:tcPr>
            <w:tcW w:w="1135" w:type="dxa"/>
            <w:vAlign w:val="center"/>
          </w:tcPr>
          <w:p w14:paraId="045D43AF"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15</w:t>
            </w:r>
          </w:p>
        </w:tc>
        <w:tc>
          <w:tcPr>
            <w:tcW w:w="1135" w:type="dxa"/>
            <w:vAlign w:val="center"/>
          </w:tcPr>
          <w:p w14:paraId="08FA367E"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15</w:t>
            </w:r>
          </w:p>
        </w:tc>
      </w:tr>
      <w:tr w:rsidR="00C67212" w:rsidRPr="00243E67" w14:paraId="3193557A" w14:textId="77777777" w:rsidTr="007D3BDB">
        <w:trPr>
          <w:trHeight w:val="20"/>
        </w:trPr>
        <w:tc>
          <w:tcPr>
            <w:tcW w:w="2975" w:type="dxa"/>
            <w:vAlign w:val="center"/>
          </w:tcPr>
          <w:p w14:paraId="357BB5DF"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Automobily nákladní a speciální</w:t>
            </w:r>
          </w:p>
        </w:tc>
        <w:tc>
          <w:tcPr>
            <w:tcW w:w="993" w:type="dxa"/>
            <w:vAlign w:val="center"/>
          </w:tcPr>
          <w:p w14:paraId="65FD0327"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4 529</w:t>
            </w:r>
          </w:p>
        </w:tc>
        <w:tc>
          <w:tcPr>
            <w:tcW w:w="1701" w:type="dxa"/>
            <w:vAlign w:val="center"/>
          </w:tcPr>
          <w:p w14:paraId="366EE987"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7 705</w:t>
            </w:r>
            <w:r>
              <w:rPr>
                <w:rFonts w:asciiTheme="minorHAnsi" w:hAnsiTheme="minorHAnsi" w:cstheme="minorHAnsi"/>
                <w:sz w:val="20"/>
                <w:szCs w:val="20"/>
              </w:rPr>
              <w:t> </w:t>
            </w:r>
            <w:r w:rsidRPr="001C203F">
              <w:rPr>
                <w:rFonts w:asciiTheme="minorHAnsi" w:hAnsiTheme="minorHAnsi" w:cstheme="minorHAnsi"/>
                <w:sz w:val="20"/>
                <w:szCs w:val="20"/>
              </w:rPr>
              <w:t>621</w:t>
            </w:r>
            <w:r>
              <w:rPr>
                <w:rFonts w:asciiTheme="minorHAnsi" w:hAnsiTheme="minorHAnsi" w:cstheme="minorHAnsi"/>
                <w:sz w:val="20"/>
                <w:szCs w:val="20"/>
              </w:rPr>
              <w:t xml:space="preserve"> 684</w:t>
            </w:r>
          </w:p>
        </w:tc>
        <w:tc>
          <w:tcPr>
            <w:tcW w:w="1275" w:type="dxa"/>
            <w:vAlign w:val="center"/>
          </w:tcPr>
          <w:p w14:paraId="5801AB45"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1952–2021</w:t>
            </w:r>
          </w:p>
        </w:tc>
        <w:tc>
          <w:tcPr>
            <w:tcW w:w="1135" w:type="dxa"/>
            <w:vAlign w:val="center"/>
          </w:tcPr>
          <w:p w14:paraId="53145DFE"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w:t>
            </w:r>
          </w:p>
        </w:tc>
        <w:tc>
          <w:tcPr>
            <w:tcW w:w="1135" w:type="dxa"/>
            <w:vAlign w:val="center"/>
          </w:tcPr>
          <w:p w14:paraId="4F66B0A4"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w:t>
            </w:r>
          </w:p>
        </w:tc>
      </w:tr>
      <w:tr w:rsidR="00C67212" w:rsidRPr="00243E67" w14:paraId="2F7E19B4" w14:textId="77777777" w:rsidTr="007D3BDB">
        <w:trPr>
          <w:trHeight w:val="20"/>
        </w:trPr>
        <w:tc>
          <w:tcPr>
            <w:tcW w:w="2975" w:type="dxa"/>
            <w:vAlign w:val="center"/>
          </w:tcPr>
          <w:p w14:paraId="7C42F140"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 xml:space="preserve">Přívěsy </w:t>
            </w:r>
          </w:p>
        </w:tc>
        <w:tc>
          <w:tcPr>
            <w:tcW w:w="993" w:type="dxa"/>
            <w:vAlign w:val="center"/>
          </w:tcPr>
          <w:p w14:paraId="2F2E0C7A"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1 881</w:t>
            </w:r>
          </w:p>
        </w:tc>
        <w:tc>
          <w:tcPr>
            <w:tcW w:w="1701" w:type="dxa"/>
            <w:vAlign w:val="center"/>
          </w:tcPr>
          <w:p w14:paraId="14A17146"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270</w:t>
            </w:r>
            <w:r>
              <w:rPr>
                <w:rFonts w:asciiTheme="minorHAnsi" w:hAnsiTheme="minorHAnsi" w:cstheme="minorHAnsi"/>
                <w:sz w:val="20"/>
                <w:szCs w:val="20"/>
              </w:rPr>
              <w:t> </w:t>
            </w:r>
            <w:r w:rsidRPr="001C203F">
              <w:rPr>
                <w:rFonts w:asciiTheme="minorHAnsi" w:hAnsiTheme="minorHAnsi" w:cstheme="minorHAnsi"/>
                <w:sz w:val="20"/>
                <w:szCs w:val="20"/>
              </w:rPr>
              <w:t>47</w:t>
            </w:r>
            <w:r>
              <w:rPr>
                <w:rFonts w:asciiTheme="minorHAnsi" w:hAnsiTheme="minorHAnsi" w:cstheme="minorHAnsi"/>
                <w:sz w:val="20"/>
                <w:szCs w:val="20"/>
              </w:rPr>
              <w:t>2 963</w:t>
            </w:r>
          </w:p>
        </w:tc>
        <w:tc>
          <w:tcPr>
            <w:tcW w:w="1275" w:type="dxa"/>
            <w:vAlign w:val="center"/>
          </w:tcPr>
          <w:p w14:paraId="108352D0"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1950–2020</w:t>
            </w:r>
          </w:p>
        </w:tc>
        <w:tc>
          <w:tcPr>
            <w:tcW w:w="1135" w:type="dxa"/>
            <w:vAlign w:val="center"/>
          </w:tcPr>
          <w:p w14:paraId="190CBAE0"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31</w:t>
            </w:r>
          </w:p>
        </w:tc>
        <w:tc>
          <w:tcPr>
            <w:tcW w:w="1135" w:type="dxa"/>
            <w:vAlign w:val="center"/>
          </w:tcPr>
          <w:p w14:paraId="1869D787"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w:t>
            </w:r>
          </w:p>
        </w:tc>
      </w:tr>
      <w:tr w:rsidR="00C67212" w:rsidRPr="00243E67" w14:paraId="08F0E7B6" w14:textId="77777777" w:rsidTr="007D3BDB">
        <w:trPr>
          <w:trHeight w:val="20"/>
        </w:trPr>
        <w:tc>
          <w:tcPr>
            <w:tcW w:w="2975" w:type="dxa"/>
            <w:vAlign w:val="center"/>
          </w:tcPr>
          <w:p w14:paraId="13ACE90F"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Podvalníky</w:t>
            </w:r>
          </w:p>
        </w:tc>
        <w:tc>
          <w:tcPr>
            <w:tcW w:w="993" w:type="dxa"/>
            <w:vAlign w:val="center"/>
          </w:tcPr>
          <w:p w14:paraId="6B758FAE"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69</w:t>
            </w:r>
          </w:p>
        </w:tc>
        <w:tc>
          <w:tcPr>
            <w:tcW w:w="1701" w:type="dxa"/>
            <w:vAlign w:val="center"/>
          </w:tcPr>
          <w:p w14:paraId="1815FF00"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3</w:t>
            </w:r>
            <w:r>
              <w:rPr>
                <w:rFonts w:asciiTheme="minorHAnsi" w:hAnsiTheme="minorHAnsi" w:cstheme="minorHAnsi"/>
                <w:sz w:val="20"/>
                <w:szCs w:val="20"/>
              </w:rPr>
              <w:t> </w:t>
            </w:r>
            <w:r w:rsidRPr="001C203F">
              <w:rPr>
                <w:rFonts w:asciiTheme="minorHAnsi" w:hAnsiTheme="minorHAnsi" w:cstheme="minorHAnsi"/>
                <w:sz w:val="20"/>
                <w:szCs w:val="20"/>
              </w:rPr>
              <w:t>980</w:t>
            </w:r>
            <w:r>
              <w:rPr>
                <w:rFonts w:asciiTheme="minorHAnsi" w:hAnsiTheme="minorHAnsi" w:cstheme="minorHAnsi"/>
                <w:sz w:val="20"/>
                <w:szCs w:val="20"/>
              </w:rPr>
              <w:t xml:space="preserve"> 517</w:t>
            </w:r>
          </w:p>
        </w:tc>
        <w:tc>
          <w:tcPr>
            <w:tcW w:w="1275" w:type="dxa"/>
            <w:vAlign w:val="center"/>
          </w:tcPr>
          <w:p w14:paraId="1EE44EFC"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1963–2018</w:t>
            </w:r>
          </w:p>
        </w:tc>
        <w:tc>
          <w:tcPr>
            <w:tcW w:w="1135" w:type="dxa"/>
            <w:vAlign w:val="center"/>
          </w:tcPr>
          <w:p w14:paraId="37B6E4ED"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39</w:t>
            </w:r>
          </w:p>
        </w:tc>
        <w:tc>
          <w:tcPr>
            <w:tcW w:w="1135" w:type="dxa"/>
            <w:vAlign w:val="center"/>
          </w:tcPr>
          <w:p w14:paraId="7E792798"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20</w:t>
            </w:r>
          </w:p>
        </w:tc>
      </w:tr>
      <w:tr w:rsidR="00C67212" w:rsidRPr="00243E67" w14:paraId="04C1CC44" w14:textId="77777777" w:rsidTr="007D3BDB">
        <w:trPr>
          <w:trHeight w:val="20"/>
        </w:trPr>
        <w:tc>
          <w:tcPr>
            <w:tcW w:w="2975" w:type="dxa"/>
            <w:vAlign w:val="center"/>
          </w:tcPr>
          <w:p w14:paraId="1CF5DD67"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Návěsy nákladní a skříňové</w:t>
            </w:r>
          </w:p>
        </w:tc>
        <w:tc>
          <w:tcPr>
            <w:tcW w:w="993" w:type="dxa"/>
            <w:vAlign w:val="center"/>
          </w:tcPr>
          <w:p w14:paraId="1F3B794F"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13</w:t>
            </w:r>
          </w:p>
        </w:tc>
        <w:tc>
          <w:tcPr>
            <w:tcW w:w="1701" w:type="dxa"/>
            <w:vAlign w:val="center"/>
          </w:tcPr>
          <w:p w14:paraId="47A98AB7"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57</w:t>
            </w:r>
            <w:r>
              <w:rPr>
                <w:rFonts w:asciiTheme="minorHAnsi" w:hAnsiTheme="minorHAnsi" w:cstheme="minorHAnsi"/>
                <w:sz w:val="20"/>
                <w:szCs w:val="20"/>
              </w:rPr>
              <w:t> </w:t>
            </w:r>
            <w:r w:rsidRPr="001C203F">
              <w:rPr>
                <w:rFonts w:asciiTheme="minorHAnsi" w:hAnsiTheme="minorHAnsi" w:cstheme="minorHAnsi"/>
                <w:sz w:val="20"/>
                <w:szCs w:val="20"/>
              </w:rPr>
              <w:t>779</w:t>
            </w:r>
            <w:r>
              <w:rPr>
                <w:rFonts w:asciiTheme="minorHAnsi" w:hAnsiTheme="minorHAnsi" w:cstheme="minorHAnsi"/>
                <w:sz w:val="20"/>
                <w:szCs w:val="20"/>
              </w:rPr>
              <w:t xml:space="preserve"> 276</w:t>
            </w:r>
          </w:p>
        </w:tc>
        <w:tc>
          <w:tcPr>
            <w:tcW w:w="1275" w:type="dxa"/>
            <w:vAlign w:val="center"/>
          </w:tcPr>
          <w:p w14:paraId="4E3B5F1A"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1984–2021</w:t>
            </w:r>
          </w:p>
        </w:tc>
        <w:tc>
          <w:tcPr>
            <w:tcW w:w="1135" w:type="dxa"/>
            <w:vAlign w:val="center"/>
          </w:tcPr>
          <w:p w14:paraId="56BC535E"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16</w:t>
            </w:r>
          </w:p>
        </w:tc>
        <w:tc>
          <w:tcPr>
            <w:tcW w:w="1135" w:type="dxa"/>
            <w:vAlign w:val="center"/>
          </w:tcPr>
          <w:p w14:paraId="11D71EB5"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21</w:t>
            </w:r>
          </w:p>
        </w:tc>
      </w:tr>
      <w:tr w:rsidR="00C67212" w:rsidRPr="00243E67" w14:paraId="7E51909A" w14:textId="77777777" w:rsidTr="007D3BDB">
        <w:trPr>
          <w:trHeight w:val="20"/>
        </w:trPr>
        <w:tc>
          <w:tcPr>
            <w:tcW w:w="2975" w:type="dxa"/>
            <w:vAlign w:val="center"/>
          </w:tcPr>
          <w:p w14:paraId="19C5FD42"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Jeřáby a vyprošťovací aut</w:t>
            </w:r>
            <w:r w:rsidR="009D5801">
              <w:rPr>
                <w:rFonts w:asciiTheme="minorHAnsi" w:hAnsiTheme="minorHAnsi" w:cstheme="minorHAnsi"/>
                <w:sz w:val="20"/>
                <w:szCs w:val="20"/>
              </w:rPr>
              <w:t>omobily</w:t>
            </w:r>
          </w:p>
        </w:tc>
        <w:tc>
          <w:tcPr>
            <w:tcW w:w="993" w:type="dxa"/>
            <w:vAlign w:val="center"/>
          </w:tcPr>
          <w:p w14:paraId="5B919B6D"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121</w:t>
            </w:r>
          </w:p>
        </w:tc>
        <w:tc>
          <w:tcPr>
            <w:tcW w:w="1701" w:type="dxa"/>
            <w:vAlign w:val="center"/>
          </w:tcPr>
          <w:p w14:paraId="7C048540"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297</w:t>
            </w:r>
            <w:r>
              <w:rPr>
                <w:rFonts w:asciiTheme="minorHAnsi" w:hAnsiTheme="minorHAnsi" w:cstheme="minorHAnsi"/>
                <w:sz w:val="20"/>
                <w:szCs w:val="20"/>
              </w:rPr>
              <w:t> </w:t>
            </w:r>
            <w:r w:rsidRPr="001C203F">
              <w:rPr>
                <w:rFonts w:asciiTheme="minorHAnsi" w:hAnsiTheme="minorHAnsi" w:cstheme="minorHAnsi"/>
                <w:sz w:val="20"/>
                <w:szCs w:val="20"/>
              </w:rPr>
              <w:t>770</w:t>
            </w:r>
            <w:r>
              <w:rPr>
                <w:rFonts w:asciiTheme="minorHAnsi" w:hAnsiTheme="minorHAnsi" w:cstheme="minorHAnsi"/>
                <w:sz w:val="20"/>
                <w:szCs w:val="20"/>
              </w:rPr>
              <w:t xml:space="preserve"> 511</w:t>
            </w:r>
          </w:p>
        </w:tc>
        <w:tc>
          <w:tcPr>
            <w:tcW w:w="1275" w:type="dxa"/>
            <w:vAlign w:val="center"/>
          </w:tcPr>
          <w:p w14:paraId="5478F497"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1974–2021</w:t>
            </w:r>
          </w:p>
        </w:tc>
        <w:tc>
          <w:tcPr>
            <w:tcW w:w="1135" w:type="dxa"/>
            <w:vAlign w:val="center"/>
          </w:tcPr>
          <w:p w14:paraId="3F4C26F0"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30</w:t>
            </w:r>
          </w:p>
        </w:tc>
        <w:tc>
          <w:tcPr>
            <w:tcW w:w="1135" w:type="dxa"/>
            <w:vAlign w:val="center"/>
          </w:tcPr>
          <w:p w14:paraId="677E961C"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25</w:t>
            </w:r>
          </w:p>
        </w:tc>
      </w:tr>
      <w:tr w:rsidR="00C67212" w:rsidRPr="00243E67" w14:paraId="3AE763B3" w14:textId="77777777" w:rsidTr="007D3BDB">
        <w:trPr>
          <w:trHeight w:val="20"/>
        </w:trPr>
        <w:tc>
          <w:tcPr>
            <w:tcW w:w="2975" w:type="dxa"/>
            <w:vAlign w:val="center"/>
          </w:tcPr>
          <w:p w14:paraId="1A255B62" w14:textId="77777777" w:rsidR="00C67212" w:rsidRPr="001C203F" w:rsidRDefault="00C67212" w:rsidP="0080029D">
            <w:pPr>
              <w:autoSpaceDE w:val="0"/>
              <w:autoSpaceDN w:val="0"/>
              <w:adjustRightInd w:val="0"/>
              <w:rPr>
                <w:rFonts w:asciiTheme="minorHAnsi" w:hAnsiTheme="minorHAnsi" w:cstheme="minorHAnsi"/>
                <w:sz w:val="20"/>
                <w:szCs w:val="20"/>
              </w:rPr>
            </w:pPr>
            <w:r w:rsidRPr="001C203F">
              <w:rPr>
                <w:rFonts w:asciiTheme="minorHAnsi" w:hAnsiTheme="minorHAnsi" w:cstheme="minorHAnsi"/>
                <w:sz w:val="20"/>
                <w:szCs w:val="20"/>
              </w:rPr>
              <w:t>Tahače</w:t>
            </w:r>
          </w:p>
        </w:tc>
        <w:tc>
          <w:tcPr>
            <w:tcW w:w="993" w:type="dxa"/>
            <w:vAlign w:val="center"/>
          </w:tcPr>
          <w:p w14:paraId="262F86C2" w14:textId="77777777" w:rsidR="00C67212" w:rsidRPr="001C203F" w:rsidRDefault="00C67212" w:rsidP="00016E73">
            <w:pPr>
              <w:autoSpaceDE w:val="0"/>
              <w:autoSpaceDN w:val="0"/>
              <w:adjustRightInd w:val="0"/>
              <w:ind w:right="113"/>
              <w:jc w:val="right"/>
              <w:rPr>
                <w:rFonts w:asciiTheme="minorHAnsi" w:hAnsiTheme="minorHAnsi" w:cstheme="minorHAnsi"/>
                <w:sz w:val="20"/>
                <w:szCs w:val="20"/>
              </w:rPr>
            </w:pPr>
            <w:r w:rsidRPr="001C203F">
              <w:rPr>
                <w:rFonts w:asciiTheme="minorHAnsi" w:hAnsiTheme="minorHAnsi" w:cstheme="minorHAnsi"/>
                <w:sz w:val="20"/>
                <w:szCs w:val="20"/>
              </w:rPr>
              <w:t>141</w:t>
            </w:r>
          </w:p>
        </w:tc>
        <w:tc>
          <w:tcPr>
            <w:tcW w:w="1701" w:type="dxa"/>
            <w:vAlign w:val="center"/>
          </w:tcPr>
          <w:p w14:paraId="0851973F" w14:textId="77777777" w:rsidR="00C67212" w:rsidRPr="001C203F" w:rsidRDefault="00C67212" w:rsidP="0080029D">
            <w:pPr>
              <w:autoSpaceDE w:val="0"/>
              <w:autoSpaceDN w:val="0"/>
              <w:adjustRightInd w:val="0"/>
              <w:jc w:val="right"/>
              <w:rPr>
                <w:rFonts w:asciiTheme="minorHAnsi" w:hAnsiTheme="minorHAnsi" w:cstheme="minorHAnsi"/>
                <w:sz w:val="20"/>
                <w:szCs w:val="20"/>
              </w:rPr>
            </w:pPr>
            <w:r w:rsidRPr="001C203F">
              <w:rPr>
                <w:rFonts w:asciiTheme="minorHAnsi" w:hAnsiTheme="minorHAnsi" w:cstheme="minorHAnsi"/>
                <w:sz w:val="20"/>
                <w:szCs w:val="20"/>
              </w:rPr>
              <w:t>71</w:t>
            </w:r>
            <w:r>
              <w:rPr>
                <w:rFonts w:asciiTheme="minorHAnsi" w:hAnsiTheme="minorHAnsi" w:cstheme="minorHAnsi"/>
                <w:sz w:val="20"/>
                <w:szCs w:val="20"/>
              </w:rPr>
              <w:t> </w:t>
            </w:r>
            <w:r w:rsidRPr="001C203F">
              <w:rPr>
                <w:rFonts w:asciiTheme="minorHAnsi" w:hAnsiTheme="minorHAnsi" w:cstheme="minorHAnsi"/>
                <w:sz w:val="20"/>
                <w:szCs w:val="20"/>
              </w:rPr>
              <w:t>647</w:t>
            </w:r>
            <w:r>
              <w:rPr>
                <w:rFonts w:asciiTheme="minorHAnsi" w:hAnsiTheme="minorHAnsi" w:cstheme="minorHAnsi"/>
                <w:sz w:val="20"/>
                <w:szCs w:val="20"/>
              </w:rPr>
              <w:t xml:space="preserve"> 581</w:t>
            </w:r>
          </w:p>
        </w:tc>
        <w:tc>
          <w:tcPr>
            <w:tcW w:w="1275" w:type="dxa"/>
            <w:vAlign w:val="center"/>
          </w:tcPr>
          <w:p w14:paraId="3D240C67"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1977–2021</w:t>
            </w:r>
          </w:p>
        </w:tc>
        <w:tc>
          <w:tcPr>
            <w:tcW w:w="1135" w:type="dxa"/>
            <w:vAlign w:val="center"/>
          </w:tcPr>
          <w:p w14:paraId="2AFC8DF5" w14:textId="77777777" w:rsidR="00C67212" w:rsidRPr="001C203F" w:rsidRDefault="00C67212" w:rsidP="00016E73">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25</w:t>
            </w:r>
          </w:p>
        </w:tc>
        <w:tc>
          <w:tcPr>
            <w:tcW w:w="1135" w:type="dxa"/>
            <w:vAlign w:val="center"/>
          </w:tcPr>
          <w:p w14:paraId="35DEAEDF" w14:textId="77777777" w:rsidR="00C67212" w:rsidRPr="001C203F" w:rsidRDefault="00C67212" w:rsidP="0080029D">
            <w:pPr>
              <w:autoSpaceDE w:val="0"/>
              <w:autoSpaceDN w:val="0"/>
              <w:adjustRightInd w:val="0"/>
              <w:jc w:val="center"/>
              <w:rPr>
                <w:rFonts w:asciiTheme="minorHAnsi" w:hAnsiTheme="minorHAnsi" w:cstheme="minorHAnsi"/>
                <w:sz w:val="20"/>
                <w:szCs w:val="20"/>
              </w:rPr>
            </w:pPr>
            <w:r w:rsidRPr="001C203F">
              <w:rPr>
                <w:rFonts w:asciiTheme="minorHAnsi" w:hAnsiTheme="minorHAnsi" w:cstheme="minorHAnsi"/>
                <w:sz w:val="20"/>
                <w:szCs w:val="20"/>
              </w:rPr>
              <w:t>24</w:t>
            </w:r>
          </w:p>
        </w:tc>
      </w:tr>
      <w:tr w:rsidR="00C67212" w:rsidRPr="00243E67" w14:paraId="5AEACE0C" w14:textId="77777777" w:rsidTr="007D3BDB">
        <w:trPr>
          <w:trHeight w:val="283"/>
        </w:trPr>
        <w:tc>
          <w:tcPr>
            <w:tcW w:w="2975" w:type="dxa"/>
            <w:shd w:val="clear" w:color="auto" w:fill="F2C6C9"/>
            <w:vAlign w:val="center"/>
          </w:tcPr>
          <w:p w14:paraId="59E896D4" w14:textId="77777777" w:rsidR="00C67212" w:rsidRPr="001C203F" w:rsidRDefault="00C67212" w:rsidP="00016E73">
            <w:pPr>
              <w:autoSpaceDE w:val="0"/>
              <w:autoSpaceDN w:val="0"/>
              <w:adjustRightInd w:val="0"/>
              <w:rPr>
                <w:rFonts w:asciiTheme="minorHAnsi" w:hAnsiTheme="minorHAnsi" w:cstheme="minorHAnsi"/>
                <w:b/>
                <w:sz w:val="20"/>
                <w:szCs w:val="20"/>
              </w:rPr>
            </w:pPr>
            <w:r w:rsidRPr="001C203F">
              <w:rPr>
                <w:rFonts w:asciiTheme="minorHAnsi" w:hAnsiTheme="minorHAnsi" w:cstheme="minorHAnsi"/>
                <w:b/>
                <w:sz w:val="20"/>
                <w:szCs w:val="20"/>
              </w:rPr>
              <w:t>Celkem</w:t>
            </w:r>
          </w:p>
        </w:tc>
        <w:tc>
          <w:tcPr>
            <w:tcW w:w="993" w:type="dxa"/>
            <w:shd w:val="clear" w:color="auto" w:fill="F2C6C9"/>
            <w:vAlign w:val="center"/>
          </w:tcPr>
          <w:p w14:paraId="4AEF23D3" w14:textId="77777777" w:rsidR="00C67212" w:rsidRPr="001C203F" w:rsidRDefault="00C67212" w:rsidP="00016E73">
            <w:pPr>
              <w:autoSpaceDE w:val="0"/>
              <w:autoSpaceDN w:val="0"/>
              <w:adjustRightInd w:val="0"/>
              <w:ind w:right="113"/>
              <w:jc w:val="right"/>
              <w:rPr>
                <w:rFonts w:asciiTheme="minorHAnsi" w:hAnsiTheme="minorHAnsi" w:cstheme="minorHAnsi"/>
                <w:b/>
                <w:sz w:val="20"/>
                <w:szCs w:val="20"/>
                <w:highlight w:val="red"/>
              </w:rPr>
            </w:pPr>
            <w:r w:rsidRPr="001C203F">
              <w:rPr>
                <w:rFonts w:asciiTheme="minorHAnsi" w:hAnsiTheme="minorHAnsi" w:cstheme="minorHAnsi"/>
                <w:b/>
                <w:sz w:val="20"/>
                <w:szCs w:val="20"/>
              </w:rPr>
              <w:t>9 605</w:t>
            </w:r>
          </w:p>
        </w:tc>
        <w:tc>
          <w:tcPr>
            <w:tcW w:w="1701" w:type="dxa"/>
            <w:shd w:val="clear" w:color="auto" w:fill="F2C6C9"/>
            <w:vAlign w:val="center"/>
          </w:tcPr>
          <w:p w14:paraId="533E2334" w14:textId="77777777" w:rsidR="00C67212" w:rsidRPr="001C203F" w:rsidRDefault="00C67212" w:rsidP="0080029D">
            <w:pPr>
              <w:autoSpaceDE w:val="0"/>
              <w:autoSpaceDN w:val="0"/>
              <w:adjustRightInd w:val="0"/>
              <w:jc w:val="right"/>
              <w:rPr>
                <w:rFonts w:asciiTheme="minorHAnsi" w:hAnsiTheme="minorHAnsi" w:cstheme="minorHAnsi"/>
                <w:b/>
                <w:sz w:val="20"/>
                <w:szCs w:val="20"/>
              </w:rPr>
            </w:pPr>
            <w:r w:rsidRPr="001C203F">
              <w:rPr>
                <w:rFonts w:asciiTheme="minorHAnsi" w:hAnsiTheme="minorHAnsi" w:cstheme="minorHAnsi"/>
                <w:b/>
                <w:sz w:val="20"/>
                <w:szCs w:val="20"/>
              </w:rPr>
              <w:t>9 428</w:t>
            </w:r>
            <w:r>
              <w:rPr>
                <w:rFonts w:asciiTheme="minorHAnsi" w:hAnsiTheme="minorHAnsi" w:cstheme="minorHAnsi"/>
                <w:b/>
                <w:sz w:val="20"/>
                <w:szCs w:val="20"/>
              </w:rPr>
              <w:t> </w:t>
            </w:r>
            <w:r w:rsidRPr="001C203F">
              <w:rPr>
                <w:rFonts w:asciiTheme="minorHAnsi" w:hAnsiTheme="minorHAnsi" w:cstheme="minorHAnsi"/>
                <w:b/>
                <w:sz w:val="20"/>
                <w:szCs w:val="20"/>
              </w:rPr>
              <w:t>848</w:t>
            </w:r>
            <w:r>
              <w:rPr>
                <w:rFonts w:asciiTheme="minorHAnsi" w:hAnsiTheme="minorHAnsi" w:cstheme="minorHAnsi"/>
                <w:b/>
                <w:sz w:val="20"/>
                <w:szCs w:val="20"/>
              </w:rPr>
              <w:t xml:space="preserve"> 680</w:t>
            </w:r>
          </w:p>
        </w:tc>
        <w:tc>
          <w:tcPr>
            <w:tcW w:w="1275" w:type="dxa"/>
            <w:shd w:val="clear" w:color="auto" w:fill="F2C6C9"/>
            <w:vAlign w:val="center"/>
          </w:tcPr>
          <w:p w14:paraId="11D95BA8" w14:textId="26C67AB7" w:rsidR="00C67212" w:rsidRPr="00016E73" w:rsidRDefault="00016E73" w:rsidP="0080029D">
            <w:pPr>
              <w:autoSpaceDE w:val="0"/>
              <w:autoSpaceDN w:val="0"/>
              <w:adjustRightInd w:val="0"/>
              <w:jc w:val="center"/>
              <w:rPr>
                <w:rFonts w:asciiTheme="minorHAnsi" w:hAnsiTheme="minorHAnsi" w:cstheme="minorHAnsi"/>
                <w:b/>
                <w:sz w:val="20"/>
                <w:szCs w:val="20"/>
              </w:rPr>
            </w:pPr>
            <w:r w:rsidRPr="00016E73">
              <w:rPr>
                <w:rFonts w:asciiTheme="minorHAnsi" w:hAnsiTheme="minorHAnsi" w:cs="Calibri"/>
                <w:b/>
                <w:color w:val="000000"/>
                <w:sz w:val="20"/>
                <w:szCs w:val="20"/>
              </w:rPr>
              <w:t>–</w:t>
            </w:r>
          </w:p>
        </w:tc>
        <w:tc>
          <w:tcPr>
            <w:tcW w:w="1135" w:type="dxa"/>
            <w:shd w:val="clear" w:color="auto" w:fill="F2C6C9"/>
            <w:vAlign w:val="center"/>
          </w:tcPr>
          <w:p w14:paraId="5A9E06BC" w14:textId="77777777" w:rsidR="00C67212" w:rsidRPr="001C203F" w:rsidRDefault="00345A5D" w:rsidP="00016E73">
            <w:pPr>
              <w:autoSpaceDE w:val="0"/>
              <w:autoSpaceDN w:val="0"/>
              <w:adjustRightInd w:val="0"/>
              <w:ind w:right="-159"/>
              <w:jc w:val="center"/>
              <w:rPr>
                <w:rFonts w:asciiTheme="minorHAnsi" w:hAnsiTheme="minorHAnsi" w:cstheme="minorHAnsi"/>
                <w:b/>
                <w:sz w:val="20"/>
                <w:szCs w:val="20"/>
              </w:rPr>
            </w:pPr>
            <w:r>
              <w:rPr>
                <w:rFonts w:asciiTheme="minorHAnsi" w:hAnsiTheme="minorHAnsi" w:cstheme="minorHAnsi"/>
                <w:b/>
                <w:sz w:val="20"/>
                <w:szCs w:val="20"/>
              </w:rPr>
              <w:t>20,8</w:t>
            </w:r>
          </w:p>
        </w:tc>
        <w:tc>
          <w:tcPr>
            <w:tcW w:w="1135" w:type="dxa"/>
            <w:shd w:val="clear" w:color="auto" w:fill="F2C6C9"/>
            <w:vAlign w:val="center"/>
          </w:tcPr>
          <w:p w14:paraId="7B7537CE" w14:textId="77777777" w:rsidR="00C67212" w:rsidRPr="001C203F" w:rsidRDefault="00345A5D" w:rsidP="00016E73">
            <w:pPr>
              <w:autoSpaceDE w:val="0"/>
              <w:autoSpaceDN w:val="0"/>
              <w:adjustRightInd w:val="0"/>
              <w:ind w:right="-159"/>
              <w:jc w:val="center"/>
              <w:rPr>
                <w:rFonts w:asciiTheme="minorHAnsi" w:hAnsiTheme="minorHAnsi" w:cstheme="minorHAnsi"/>
                <w:b/>
                <w:sz w:val="20"/>
                <w:szCs w:val="20"/>
              </w:rPr>
            </w:pPr>
            <w:r>
              <w:rPr>
                <w:rFonts w:asciiTheme="minorHAnsi" w:hAnsiTheme="minorHAnsi" w:cstheme="minorHAnsi"/>
                <w:b/>
                <w:sz w:val="20"/>
                <w:szCs w:val="20"/>
              </w:rPr>
              <w:t>17,5</w:t>
            </w:r>
          </w:p>
        </w:tc>
      </w:tr>
    </w:tbl>
    <w:p w14:paraId="7CEF9811" w14:textId="77777777" w:rsidR="00C67212" w:rsidRPr="00243E67" w:rsidRDefault="00C67212" w:rsidP="00C67212">
      <w:pPr>
        <w:rPr>
          <w:rFonts w:ascii="Calibri" w:hAnsi="Calibri" w:cs="Calibri"/>
          <w:sz w:val="20"/>
          <w:szCs w:val="20"/>
        </w:rPr>
      </w:pPr>
      <w:r w:rsidRPr="00243E67">
        <w:rPr>
          <w:rFonts w:ascii="Calibri" w:hAnsi="Calibri" w:cs="Calibri"/>
          <w:b/>
          <w:sz w:val="20"/>
          <w:szCs w:val="20"/>
        </w:rPr>
        <w:t xml:space="preserve">Zdroj: </w:t>
      </w:r>
      <w:r w:rsidR="00620222" w:rsidRPr="00620222">
        <w:rPr>
          <w:rFonts w:ascii="Calibri" w:hAnsi="Calibri" w:cs="Calibri"/>
          <w:sz w:val="20"/>
          <w:szCs w:val="20"/>
        </w:rPr>
        <w:t>vypracoval NKÚ</w:t>
      </w:r>
      <w:r w:rsidR="00620222">
        <w:rPr>
          <w:rFonts w:ascii="Calibri" w:hAnsi="Calibri" w:cs="Calibri"/>
          <w:sz w:val="20"/>
          <w:szCs w:val="20"/>
        </w:rPr>
        <w:t xml:space="preserve"> na základě předložených údajů z informační</w:t>
      </w:r>
      <w:r w:rsidR="0052578B">
        <w:rPr>
          <w:rFonts w:ascii="Calibri" w:hAnsi="Calibri" w:cs="Calibri"/>
          <w:sz w:val="20"/>
          <w:szCs w:val="20"/>
        </w:rPr>
        <w:t>ch</w:t>
      </w:r>
      <w:r w:rsidR="00620222">
        <w:rPr>
          <w:rFonts w:ascii="Calibri" w:hAnsi="Calibri" w:cs="Calibri"/>
          <w:sz w:val="20"/>
          <w:szCs w:val="20"/>
        </w:rPr>
        <w:t xml:space="preserve"> systémů MO.</w:t>
      </w:r>
      <w:r w:rsidRPr="00243E67">
        <w:rPr>
          <w:rFonts w:ascii="Calibri" w:hAnsi="Calibri" w:cs="Calibri"/>
          <w:sz w:val="20"/>
          <w:szCs w:val="20"/>
        </w:rPr>
        <w:t xml:space="preserve"> </w:t>
      </w:r>
    </w:p>
    <w:p w14:paraId="0EA9D218" w14:textId="50F5E7FD" w:rsidR="00C67212" w:rsidRPr="00243E67" w:rsidRDefault="00C67212" w:rsidP="00C67212">
      <w:pPr>
        <w:jc w:val="both"/>
        <w:rPr>
          <w:rFonts w:ascii="Calibri" w:hAnsi="Calibri" w:cs="Calibri"/>
          <w:sz w:val="20"/>
          <w:szCs w:val="20"/>
        </w:rPr>
      </w:pPr>
      <w:r w:rsidRPr="00243E67">
        <w:rPr>
          <w:rFonts w:ascii="Calibri" w:hAnsi="Calibri" w:cs="Calibri"/>
          <w:sz w:val="20"/>
          <w:szCs w:val="20"/>
        </w:rPr>
        <w:t xml:space="preserve">* </w:t>
      </w:r>
      <w:r w:rsidR="00016E73">
        <w:rPr>
          <w:rFonts w:ascii="Calibri" w:hAnsi="Calibri" w:cs="Calibri"/>
          <w:sz w:val="20"/>
          <w:szCs w:val="20"/>
        </w:rPr>
        <w:t>S</w:t>
      </w:r>
      <w:r w:rsidRPr="00243E67">
        <w:rPr>
          <w:rFonts w:ascii="Calibri" w:hAnsi="Calibri" w:cs="Calibri"/>
          <w:sz w:val="20"/>
          <w:szCs w:val="20"/>
        </w:rPr>
        <w:t xml:space="preserve">tanovená životnost techniky </w:t>
      </w:r>
      <w:r>
        <w:rPr>
          <w:rFonts w:ascii="Calibri" w:hAnsi="Calibri" w:cs="Calibri"/>
          <w:sz w:val="20"/>
          <w:szCs w:val="20"/>
        </w:rPr>
        <w:t xml:space="preserve">vychází </w:t>
      </w:r>
      <w:r w:rsidRPr="00243E67">
        <w:rPr>
          <w:rFonts w:ascii="Calibri" w:hAnsi="Calibri" w:cs="Calibri"/>
          <w:sz w:val="20"/>
          <w:szCs w:val="20"/>
        </w:rPr>
        <w:t>zpravidla z výrobní dokumentace</w:t>
      </w:r>
      <w:r>
        <w:rPr>
          <w:rFonts w:ascii="Calibri" w:hAnsi="Calibri" w:cs="Calibri"/>
          <w:sz w:val="20"/>
          <w:szCs w:val="20"/>
        </w:rPr>
        <w:t>.</w:t>
      </w:r>
    </w:p>
    <w:p w14:paraId="23ED9765" w14:textId="3C02E2F5" w:rsidR="001A05E4" w:rsidRPr="007E55CF" w:rsidRDefault="001A05E4" w:rsidP="00000ECF">
      <w:pPr>
        <w:rPr>
          <w:rFonts w:asciiTheme="minorHAnsi" w:hAnsiTheme="minorHAnsi" w:cstheme="minorHAnsi"/>
        </w:rPr>
      </w:pPr>
    </w:p>
    <w:p w14:paraId="55C9A26A" w14:textId="77777777" w:rsidR="007E55CF" w:rsidRPr="007E55CF" w:rsidRDefault="007E55CF" w:rsidP="00000ECF">
      <w:pPr>
        <w:rPr>
          <w:rFonts w:asciiTheme="minorHAnsi" w:hAnsiTheme="minorHAnsi" w:cstheme="minorHAnsi"/>
        </w:rPr>
      </w:pPr>
    </w:p>
    <w:p w14:paraId="60F70261" w14:textId="2049B047" w:rsidR="009A5D49" w:rsidRPr="007E55CF" w:rsidRDefault="007E55CF" w:rsidP="00777506">
      <w:pPr>
        <w:tabs>
          <w:tab w:val="center" w:pos="4536"/>
          <w:tab w:val="right" w:pos="9072"/>
        </w:tabs>
        <w:spacing w:before="240" w:after="40"/>
        <w:jc w:val="center"/>
        <w:rPr>
          <w:rFonts w:ascii="Calibri" w:hAnsi="Calibri" w:cs="Calibri"/>
          <w:b/>
        </w:rPr>
      </w:pPr>
      <w:r>
        <w:rPr>
          <w:rFonts w:ascii="Calibri" w:hAnsi="Calibri" w:cs="Calibri"/>
          <w:b/>
        </w:rPr>
        <w:tab/>
      </w:r>
      <w:r w:rsidR="009A5D49">
        <w:rPr>
          <w:rFonts w:ascii="Calibri" w:hAnsi="Calibri" w:cs="Calibri"/>
          <w:b/>
        </w:rPr>
        <w:t>Výdaje</w:t>
      </w:r>
      <w:r w:rsidR="009A5D49" w:rsidRPr="009A5D49">
        <w:rPr>
          <w:rFonts w:ascii="Calibri" w:hAnsi="Calibri" w:cs="Calibri"/>
          <w:b/>
        </w:rPr>
        <w:t xml:space="preserve"> státního rozpočtu </w:t>
      </w:r>
      <w:r w:rsidR="00F74B44">
        <w:rPr>
          <w:rFonts w:ascii="Calibri" w:hAnsi="Calibri" w:cs="Calibri"/>
          <w:b/>
        </w:rPr>
        <w:t xml:space="preserve">vynaložené </w:t>
      </w:r>
      <w:r w:rsidR="009A5D49" w:rsidRPr="009A5D49">
        <w:rPr>
          <w:rFonts w:ascii="Calibri" w:hAnsi="Calibri" w:cs="Calibri"/>
          <w:b/>
        </w:rPr>
        <w:t>na program 107</w:t>
      </w:r>
      <w:r>
        <w:rPr>
          <w:rFonts w:ascii="Calibri" w:hAnsi="Calibri" w:cs="Calibri"/>
          <w:b/>
        </w:rPr>
        <w:t> </w:t>
      </w:r>
      <w:r w:rsidR="009A5D49" w:rsidRPr="009A5D49">
        <w:rPr>
          <w:rFonts w:ascii="Calibri" w:hAnsi="Calibri" w:cs="Calibri"/>
          <w:b/>
        </w:rPr>
        <w:t>690</w:t>
      </w:r>
      <w:r>
        <w:rPr>
          <w:rFonts w:ascii="Calibri" w:hAnsi="Calibri" w:cs="Calibri"/>
          <w:b/>
        </w:rPr>
        <w:tab/>
      </w:r>
      <w:r w:rsidR="009A5D49" w:rsidRPr="007E55CF">
        <w:rPr>
          <w:rFonts w:ascii="Calibri" w:hAnsi="Calibri"/>
          <w:b/>
        </w:rPr>
        <w:t>(v tis. Kč)</w:t>
      </w:r>
    </w:p>
    <w:tbl>
      <w:tblPr>
        <w:tblStyle w:val="Mkatabulky"/>
        <w:tblW w:w="9072" w:type="dxa"/>
        <w:tblInd w:w="-5" w:type="dxa"/>
        <w:tblLayout w:type="fixed"/>
        <w:tblLook w:val="04A0" w:firstRow="1" w:lastRow="0" w:firstColumn="1" w:lastColumn="0" w:noHBand="0" w:noVBand="1"/>
      </w:tblPr>
      <w:tblGrid>
        <w:gridCol w:w="2268"/>
        <w:gridCol w:w="1134"/>
        <w:gridCol w:w="1134"/>
        <w:gridCol w:w="1134"/>
        <w:gridCol w:w="1134"/>
        <w:gridCol w:w="1134"/>
        <w:gridCol w:w="1134"/>
      </w:tblGrid>
      <w:tr w:rsidR="009A5D49" w:rsidRPr="009A5D49" w14:paraId="489C985E" w14:textId="77777777" w:rsidTr="007E55CF">
        <w:trPr>
          <w:trHeight w:val="397"/>
        </w:trPr>
        <w:tc>
          <w:tcPr>
            <w:tcW w:w="2268" w:type="dxa"/>
            <w:tcBorders>
              <w:bottom w:val="single" w:sz="4" w:space="0" w:color="auto"/>
            </w:tcBorders>
            <w:shd w:val="clear" w:color="auto" w:fill="E5F1FF"/>
            <w:vAlign w:val="center"/>
          </w:tcPr>
          <w:p w14:paraId="7F233DE4" w14:textId="04D1A756" w:rsidR="009A5D49" w:rsidRPr="009A5D49" w:rsidRDefault="009A5D49" w:rsidP="00560B19">
            <w:pPr>
              <w:jc w:val="center"/>
              <w:rPr>
                <w:rFonts w:asciiTheme="minorHAnsi" w:hAnsiTheme="minorHAnsi" w:cstheme="minorHAnsi"/>
                <w:b/>
                <w:sz w:val="18"/>
                <w:szCs w:val="18"/>
              </w:rPr>
            </w:pPr>
            <w:bookmarkStart w:id="30" w:name="_Hlk104537369"/>
          </w:p>
        </w:tc>
        <w:tc>
          <w:tcPr>
            <w:tcW w:w="1134" w:type="dxa"/>
            <w:tcBorders>
              <w:bottom w:val="single" w:sz="4" w:space="0" w:color="auto"/>
            </w:tcBorders>
            <w:shd w:val="clear" w:color="auto" w:fill="E5F1FF"/>
            <w:vAlign w:val="center"/>
          </w:tcPr>
          <w:p w14:paraId="060A614C" w14:textId="77777777" w:rsidR="009A5D49" w:rsidRPr="009A5D49" w:rsidRDefault="009A5D49" w:rsidP="00560B19">
            <w:pPr>
              <w:jc w:val="center"/>
              <w:rPr>
                <w:rFonts w:asciiTheme="minorHAnsi" w:hAnsiTheme="minorHAnsi" w:cstheme="minorHAnsi"/>
                <w:b/>
                <w:sz w:val="18"/>
                <w:szCs w:val="18"/>
              </w:rPr>
            </w:pPr>
            <w:r w:rsidRPr="009A5D49">
              <w:rPr>
                <w:rFonts w:asciiTheme="minorHAnsi" w:hAnsiTheme="minorHAnsi" w:cstheme="minorHAnsi"/>
                <w:b/>
                <w:sz w:val="18"/>
                <w:szCs w:val="18"/>
              </w:rPr>
              <w:t>2018</w:t>
            </w:r>
          </w:p>
        </w:tc>
        <w:tc>
          <w:tcPr>
            <w:tcW w:w="1134" w:type="dxa"/>
            <w:tcBorders>
              <w:bottom w:val="single" w:sz="4" w:space="0" w:color="auto"/>
            </w:tcBorders>
            <w:shd w:val="clear" w:color="auto" w:fill="E5F1FF"/>
            <w:vAlign w:val="center"/>
          </w:tcPr>
          <w:p w14:paraId="574351B0" w14:textId="77777777" w:rsidR="009A5D49" w:rsidRPr="009A5D49" w:rsidRDefault="009A5D49" w:rsidP="00560B19">
            <w:pPr>
              <w:jc w:val="center"/>
              <w:rPr>
                <w:rFonts w:asciiTheme="minorHAnsi" w:hAnsiTheme="minorHAnsi" w:cstheme="minorHAnsi"/>
                <w:b/>
                <w:sz w:val="18"/>
                <w:szCs w:val="18"/>
              </w:rPr>
            </w:pPr>
            <w:r w:rsidRPr="009A5D49">
              <w:rPr>
                <w:rFonts w:asciiTheme="minorHAnsi" w:hAnsiTheme="minorHAnsi" w:cstheme="minorHAnsi"/>
                <w:b/>
                <w:sz w:val="18"/>
                <w:szCs w:val="18"/>
              </w:rPr>
              <w:t>2019</w:t>
            </w:r>
          </w:p>
        </w:tc>
        <w:tc>
          <w:tcPr>
            <w:tcW w:w="1134" w:type="dxa"/>
            <w:tcBorders>
              <w:bottom w:val="single" w:sz="4" w:space="0" w:color="auto"/>
            </w:tcBorders>
            <w:shd w:val="clear" w:color="auto" w:fill="E5F1FF"/>
            <w:vAlign w:val="center"/>
          </w:tcPr>
          <w:p w14:paraId="4CA1A5CD" w14:textId="77777777" w:rsidR="009A5D49" w:rsidRPr="009A5D49" w:rsidRDefault="009A5D49" w:rsidP="00560B19">
            <w:pPr>
              <w:jc w:val="center"/>
              <w:rPr>
                <w:rFonts w:asciiTheme="minorHAnsi" w:hAnsiTheme="minorHAnsi" w:cstheme="minorHAnsi"/>
                <w:b/>
                <w:sz w:val="18"/>
                <w:szCs w:val="18"/>
              </w:rPr>
            </w:pPr>
            <w:r w:rsidRPr="009A5D49">
              <w:rPr>
                <w:rFonts w:asciiTheme="minorHAnsi" w:hAnsiTheme="minorHAnsi" w:cstheme="minorHAnsi"/>
                <w:b/>
                <w:sz w:val="18"/>
                <w:szCs w:val="18"/>
              </w:rPr>
              <w:t>2020</w:t>
            </w:r>
          </w:p>
        </w:tc>
        <w:tc>
          <w:tcPr>
            <w:tcW w:w="1134" w:type="dxa"/>
            <w:tcBorders>
              <w:bottom w:val="single" w:sz="4" w:space="0" w:color="auto"/>
            </w:tcBorders>
            <w:shd w:val="clear" w:color="auto" w:fill="E5F1FF"/>
            <w:vAlign w:val="center"/>
          </w:tcPr>
          <w:p w14:paraId="706293A5" w14:textId="77777777" w:rsidR="009A5D49" w:rsidRPr="009A5D49" w:rsidRDefault="009A5D49" w:rsidP="00560B19">
            <w:pPr>
              <w:jc w:val="center"/>
              <w:rPr>
                <w:rFonts w:asciiTheme="minorHAnsi" w:hAnsiTheme="minorHAnsi" w:cstheme="minorHAnsi"/>
                <w:b/>
                <w:sz w:val="18"/>
                <w:szCs w:val="18"/>
              </w:rPr>
            </w:pPr>
            <w:r w:rsidRPr="009A5D49">
              <w:rPr>
                <w:rFonts w:asciiTheme="minorHAnsi" w:hAnsiTheme="minorHAnsi" w:cstheme="minorHAnsi"/>
                <w:b/>
                <w:sz w:val="18"/>
                <w:szCs w:val="18"/>
              </w:rPr>
              <w:t>2021</w:t>
            </w:r>
          </w:p>
        </w:tc>
        <w:tc>
          <w:tcPr>
            <w:tcW w:w="1134" w:type="dxa"/>
            <w:tcBorders>
              <w:bottom w:val="single" w:sz="4" w:space="0" w:color="auto"/>
            </w:tcBorders>
            <w:shd w:val="clear" w:color="auto" w:fill="E5F1FF"/>
            <w:vAlign w:val="center"/>
          </w:tcPr>
          <w:p w14:paraId="10C7098B" w14:textId="77777777" w:rsidR="009A5D49" w:rsidRPr="009A5D49" w:rsidRDefault="009A5D49" w:rsidP="00560B19">
            <w:pPr>
              <w:jc w:val="center"/>
              <w:rPr>
                <w:rFonts w:asciiTheme="minorHAnsi" w:hAnsiTheme="minorHAnsi" w:cstheme="minorHAnsi"/>
                <w:b/>
                <w:sz w:val="18"/>
                <w:szCs w:val="18"/>
              </w:rPr>
            </w:pPr>
            <w:r w:rsidRPr="009A5D49">
              <w:rPr>
                <w:rFonts w:asciiTheme="minorHAnsi" w:hAnsiTheme="minorHAnsi" w:cstheme="minorHAnsi"/>
                <w:b/>
                <w:sz w:val="18"/>
                <w:szCs w:val="18"/>
              </w:rPr>
              <w:t>2018–2021</w:t>
            </w:r>
          </w:p>
        </w:tc>
        <w:tc>
          <w:tcPr>
            <w:tcW w:w="1134" w:type="dxa"/>
            <w:tcBorders>
              <w:bottom w:val="single" w:sz="4" w:space="0" w:color="auto"/>
            </w:tcBorders>
            <w:shd w:val="clear" w:color="auto" w:fill="E5F1FF"/>
            <w:vAlign w:val="center"/>
          </w:tcPr>
          <w:p w14:paraId="3EC5E2DA" w14:textId="77777777" w:rsidR="009A5D49" w:rsidRPr="009A5D49" w:rsidRDefault="009A5D49" w:rsidP="00560B19">
            <w:pPr>
              <w:jc w:val="center"/>
              <w:rPr>
                <w:rFonts w:asciiTheme="minorHAnsi" w:hAnsiTheme="minorHAnsi" w:cstheme="minorHAnsi"/>
                <w:b/>
                <w:sz w:val="18"/>
                <w:szCs w:val="18"/>
              </w:rPr>
            </w:pPr>
            <w:r w:rsidRPr="009A5D49">
              <w:rPr>
                <w:rFonts w:asciiTheme="minorHAnsi" w:hAnsiTheme="minorHAnsi" w:cstheme="minorHAnsi"/>
                <w:b/>
                <w:sz w:val="18"/>
                <w:szCs w:val="18"/>
              </w:rPr>
              <w:t>2022</w:t>
            </w:r>
          </w:p>
        </w:tc>
      </w:tr>
      <w:tr w:rsidR="009A5D49" w:rsidRPr="009A5D49" w14:paraId="317CA4BA" w14:textId="77777777" w:rsidTr="00560B19">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8E1974" w14:textId="77777777" w:rsidR="009A5D49" w:rsidRPr="009A5D49" w:rsidRDefault="009A5D49" w:rsidP="009A5D49">
            <w:pPr>
              <w:rPr>
                <w:rFonts w:asciiTheme="minorHAnsi" w:hAnsiTheme="minorHAnsi" w:cstheme="minorHAnsi"/>
                <w:sz w:val="18"/>
                <w:szCs w:val="18"/>
              </w:rPr>
            </w:pPr>
            <w:r w:rsidRPr="009A5D49">
              <w:rPr>
                <w:rFonts w:asciiTheme="minorHAnsi" w:hAnsiTheme="minorHAnsi" w:cstheme="minorHAnsi"/>
                <w:sz w:val="18"/>
                <w:szCs w:val="18"/>
              </w:rPr>
              <w:t>Plánovaný rozpočet dle dokumentace programu z roku 2017</w:t>
            </w:r>
          </w:p>
        </w:tc>
        <w:tc>
          <w:tcPr>
            <w:tcW w:w="1134" w:type="dxa"/>
            <w:tcBorders>
              <w:top w:val="single" w:sz="4" w:space="0" w:color="auto"/>
              <w:left w:val="single" w:sz="4" w:space="0" w:color="auto"/>
              <w:bottom w:val="single" w:sz="4" w:space="0" w:color="auto"/>
              <w:right w:val="single" w:sz="4" w:space="0" w:color="auto"/>
            </w:tcBorders>
            <w:vAlign w:val="center"/>
          </w:tcPr>
          <w:p w14:paraId="78733FAB"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514 530</w:t>
            </w:r>
          </w:p>
        </w:tc>
        <w:tc>
          <w:tcPr>
            <w:tcW w:w="1134" w:type="dxa"/>
            <w:tcBorders>
              <w:top w:val="single" w:sz="4" w:space="0" w:color="auto"/>
              <w:left w:val="single" w:sz="4" w:space="0" w:color="auto"/>
              <w:bottom w:val="single" w:sz="4" w:space="0" w:color="auto"/>
              <w:right w:val="single" w:sz="4" w:space="0" w:color="auto"/>
            </w:tcBorders>
            <w:vAlign w:val="center"/>
          </w:tcPr>
          <w:p w14:paraId="785E7CBA"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1 477 975</w:t>
            </w:r>
          </w:p>
        </w:tc>
        <w:tc>
          <w:tcPr>
            <w:tcW w:w="1134" w:type="dxa"/>
            <w:tcBorders>
              <w:top w:val="single" w:sz="4" w:space="0" w:color="auto"/>
              <w:left w:val="single" w:sz="4" w:space="0" w:color="auto"/>
              <w:bottom w:val="single" w:sz="4" w:space="0" w:color="auto"/>
              <w:right w:val="single" w:sz="4" w:space="0" w:color="auto"/>
            </w:tcBorders>
            <w:vAlign w:val="center"/>
          </w:tcPr>
          <w:p w14:paraId="5BE3E447"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1 566 290</w:t>
            </w:r>
          </w:p>
        </w:tc>
        <w:tc>
          <w:tcPr>
            <w:tcW w:w="1134" w:type="dxa"/>
            <w:tcBorders>
              <w:top w:val="single" w:sz="4" w:space="0" w:color="auto"/>
              <w:left w:val="single" w:sz="4" w:space="0" w:color="auto"/>
              <w:bottom w:val="single" w:sz="4" w:space="0" w:color="auto"/>
              <w:right w:val="single" w:sz="4" w:space="0" w:color="auto"/>
            </w:tcBorders>
            <w:vAlign w:val="center"/>
          </w:tcPr>
          <w:p w14:paraId="50B9699C"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1 216 020</w:t>
            </w:r>
          </w:p>
        </w:tc>
        <w:tc>
          <w:tcPr>
            <w:tcW w:w="1134" w:type="dxa"/>
            <w:tcBorders>
              <w:top w:val="single" w:sz="4" w:space="0" w:color="auto"/>
              <w:left w:val="single" w:sz="4" w:space="0" w:color="auto"/>
              <w:bottom w:val="single" w:sz="4" w:space="0" w:color="auto"/>
              <w:right w:val="single" w:sz="4" w:space="0" w:color="auto"/>
            </w:tcBorders>
            <w:vAlign w:val="center"/>
          </w:tcPr>
          <w:p w14:paraId="74155C23"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4 774 815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C9C14"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0</w:t>
            </w:r>
          </w:p>
        </w:tc>
      </w:tr>
      <w:tr w:rsidR="009A5D49" w:rsidRPr="009A5D49" w14:paraId="23D75E6B" w14:textId="77777777" w:rsidTr="00560B19">
        <w:trPr>
          <w:trHeight w:val="283"/>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5C837FC" w14:textId="77777777" w:rsidR="009A5D49" w:rsidRPr="009A5D49" w:rsidRDefault="009A5D49" w:rsidP="009A5D49">
            <w:pPr>
              <w:rPr>
                <w:rFonts w:asciiTheme="minorHAnsi" w:hAnsiTheme="minorHAnsi" w:cstheme="minorHAnsi"/>
                <w:sz w:val="18"/>
                <w:szCs w:val="18"/>
              </w:rPr>
            </w:pPr>
            <w:r w:rsidRPr="009A5D49">
              <w:rPr>
                <w:rFonts w:asciiTheme="minorHAnsi" w:hAnsiTheme="minorHAnsi" w:cstheme="minorHAnsi"/>
                <w:sz w:val="18"/>
                <w:szCs w:val="18"/>
              </w:rPr>
              <w:t>Schválený rozpočet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D186BCE"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543 919</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CEC8C95"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1 334 831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9DA2CA9"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1 290 063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1F02509"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1 455 329</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4C9BBB7"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4 624 142</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A330F1B"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1 837 461</w:t>
            </w:r>
          </w:p>
        </w:tc>
      </w:tr>
      <w:tr w:rsidR="009A5D49" w:rsidRPr="009A5D49" w14:paraId="59331D4B" w14:textId="77777777" w:rsidTr="00560B19">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4E0005" w14:textId="77777777" w:rsidR="009A5D49" w:rsidRPr="009A5D49" w:rsidRDefault="009A5D49" w:rsidP="009A5D49">
            <w:pPr>
              <w:rPr>
                <w:rFonts w:asciiTheme="minorHAnsi" w:hAnsiTheme="minorHAnsi" w:cstheme="minorHAnsi"/>
                <w:sz w:val="18"/>
                <w:szCs w:val="18"/>
              </w:rPr>
            </w:pPr>
            <w:r w:rsidRPr="009A5D49">
              <w:rPr>
                <w:rFonts w:asciiTheme="minorHAnsi" w:hAnsiTheme="minorHAnsi" w:cstheme="minorHAnsi"/>
                <w:sz w:val="18"/>
                <w:szCs w:val="18"/>
              </w:rPr>
              <w:t>Plánovaný rozpočet dle doplňku č. 1 dokumentace programu z roku 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38ECB"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294 668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9C675"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1 122 090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F3FA1"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1 354 667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90E7B"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1 474 871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D5C6C"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4 246 296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F8FF9" w14:textId="77777777" w:rsidR="009A5D49" w:rsidRPr="009A5D49" w:rsidRDefault="009A5D49" w:rsidP="00560B19">
            <w:pPr>
              <w:jc w:val="right"/>
              <w:rPr>
                <w:rFonts w:asciiTheme="minorHAnsi" w:hAnsiTheme="minorHAnsi" w:cstheme="minorHAnsi"/>
                <w:sz w:val="18"/>
                <w:szCs w:val="18"/>
              </w:rPr>
            </w:pPr>
            <w:r w:rsidRPr="009A5D49">
              <w:rPr>
                <w:rFonts w:asciiTheme="minorHAnsi" w:hAnsiTheme="minorHAnsi" w:cstheme="minorHAnsi"/>
                <w:sz w:val="18"/>
                <w:szCs w:val="18"/>
              </w:rPr>
              <w:t>1 665 866</w:t>
            </w:r>
          </w:p>
        </w:tc>
      </w:tr>
      <w:tr w:rsidR="009A5D49" w:rsidRPr="009A5D49" w14:paraId="67E12500" w14:textId="77777777" w:rsidTr="009A5D49">
        <w:trPr>
          <w:trHeight w:val="283"/>
        </w:trPr>
        <w:tc>
          <w:tcPr>
            <w:tcW w:w="2268" w:type="dxa"/>
            <w:tcBorders>
              <w:top w:val="single" w:sz="4" w:space="0" w:color="auto"/>
              <w:left w:val="single" w:sz="4" w:space="0" w:color="auto"/>
              <w:bottom w:val="single" w:sz="4" w:space="0" w:color="auto"/>
              <w:right w:val="single" w:sz="4" w:space="0" w:color="auto"/>
            </w:tcBorders>
            <w:shd w:val="clear" w:color="auto" w:fill="F2C6C9"/>
            <w:vAlign w:val="center"/>
          </w:tcPr>
          <w:p w14:paraId="18F7BE49" w14:textId="77777777" w:rsidR="009A5D49" w:rsidRPr="009A5D49" w:rsidRDefault="009A5D49" w:rsidP="00016E73">
            <w:pPr>
              <w:rPr>
                <w:rFonts w:asciiTheme="minorHAnsi" w:hAnsiTheme="minorHAnsi" w:cstheme="minorHAnsi"/>
                <w:b/>
                <w:sz w:val="18"/>
                <w:szCs w:val="18"/>
              </w:rPr>
            </w:pPr>
            <w:r w:rsidRPr="009A5D49">
              <w:rPr>
                <w:rFonts w:asciiTheme="minorHAnsi" w:hAnsiTheme="minorHAnsi" w:cstheme="minorHAnsi"/>
                <w:b/>
                <w:sz w:val="18"/>
                <w:szCs w:val="18"/>
              </w:rPr>
              <w:t>V</w:t>
            </w:r>
            <w:r w:rsidR="00F74B44">
              <w:rPr>
                <w:rFonts w:asciiTheme="minorHAnsi" w:hAnsiTheme="minorHAnsi" w:cstheme="minorHAnsi"/>
                <w:b/>
                <w:sz w:val="18"/>
                <w:szCs w:val="18"/>
              </w:rPr>
              <w:t>ynaložené v</w:t>
            </w:r>
            <w:r w:rsidRPr="009A5D49">
              <w:rPr>
                <w:rFonts w:asciiTheme="minorHAnsi" w:hAnsiTheme="minorHAnsi" w:cstheme="minorHAnsi"/>
                <w:b/>
                <w:sz w:val="18"/>
                <w:szCs w:val="18"/>
              </w:rPr>
              <w:t>ýdaje</w:t>
            </w:r>
          </w:p>
        </w:tc>
        <w:tc>
          <w:tcPr>
            <w:tcW w:w="1134" w:type="dxa"/>
            <w:tcBorders>
              <w:top w:val="single" w:sz="4" w:space="0" w:color="auto"/>
              <w:left w:val="single" w:sz="4" w:space="0" w:color="auto"/>
              <w:bottom w:val="single" w:sz="4" w:space="0" w:color="auto"/>
              <w:right w:val="single" w:sz="4" w:space="0" w:color="auto"/>
            </w:tcBorders>
            <w:shd w:val="clear" w:color="auto" w:fill="F2C6C9"/>
            <w:vAlign w:val="center"/>
          </w:tcPr>
          <w:p w14:paraId="734BA98B"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294 668</w:t>
            </w:r>
          </w:p>
        </w:tc>
        <w:tc>
          <w:tcPr>
            <w:tcW w:w="1134" w:type="dxa"/>
            <w:tcBorders>
              <w:top w:val="single" w:sz="4" w:space="0" w:color="auto"/>
              <w:left w:val="single" w:sz="4" w:space="0" w:color="auto"/>
              <w:bottom w:val="single" w:sz="4" w:space="0" w:color="auto"/>
              <w:right w:val="single" w:sz="4" w:space="0" w:color="auto"/>
            </w:tcBorders>
            <w:shd w:val="clear" w:color="auto" w:fill="F2C6C9"/>
            <w:vAlign w:val="center"/>
          </w:tcPr>
          <w:p w14:paraId="38B42E16"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1 122 090</w:t>
            </w:r>
          </w:p>
        </w:tc>
        <w:tc>
          <w:tcPr>
            <w:tcW w:w="1134" w:type="dxa"/>
            <w:tcBorders>
              <w:top w:val="single" w:sz="4" w:space="0" w:color="auto"/>
              <w:left w:val="single" w:sz="4" w:space="0" w:color="auto"/>
              <w:bottom w:val="single" w:sz="4" w:space="0" w:color="auto"/>
              <w:right w:val="single" w:sz="4" w:space="0" w:color="auto"/>
            </w:tcBorders>
            <w:shd w:val="clear" w:color="auto" w:fill="F2C6C9"/>
            <w:vAlign w:val="center"/>
          </w:tcPr>
          <w:p w14:paraId="7358CDBE"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1 310 047</w:t>
            </w:r>
          </w:p>
        </w:tc>
        <w:tc>
          <w:tcPr>
            <w:tcW w:w="1134" w:type="dxa"/>
            <w:tcBorders>
              <w:top w:val="single" w:sz="4" w:space="0" w:color="auto"/>
              <w:left w:val="single" w:sz="4" w:space="0" w:color="auto"/>
              <w:bottom w:val="single" w:sz="4" w:space="0" w:color="auto"/>
              <w:right w:val="single" w:sz="4" w:space="0" w:color="auto"/>
            </w:tcBorders>
            <w:shd w:val="clear" w:color="auto" w:fill="F2C6C9"/>
            <w:vAlign w:val="center"/>
          </w:tcPr>
          <w:p w14:paraId="30D9E45E"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1 576 809</w:t>
            </w:r>
          </w:p>
        </w:tc>
        <w:tc>
          <w:tcPr>
            <w:tcW w:w="1134" w:type="dxa"/>
            <w:tcBorders>
              <w:top w:val="single" w:sz="4" w:space="0" w:color="auto"/>
              <w:left w:val="single" w:sz="4" w:space="0" w:color="auto"/>
              <w:bottom w:val="single" w:sz="4" w:space="0" w:color="auto"/>
              <w:right w:val="single" w:sz="4" w:space="0" w:color="auto"/>
            </w:tcBorders>
            <w:shd w:val="clear" w:color="auto" w:fill="F2C6C9"/>
            <w:vAlign w:val="center"/>
          </w:tcPr>
          <w:p w14:paraId="321AA4D2"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4 303 614</w:t>
            </w:r>
          </w:p>
        </w:tc>
        <w:tc>
          <w:tcPr>
            <w:tcW w:w="1134" w:type="dxa"/>
            <w:tcBorders>
              <w:top w:val="single" w:sz="4" w:space="0" w:color="auto"/>
              <w:left w:val="single" w:sz="4" w:space="0" w:color="auto"/>
              <w:bottom w:val="single" w:sz="4" w:space="0" w:color="auto"/>
              <w:right w:val="single" w:sz="4" w:space="0" w:color="auto"/>
            </w:tcBorders>
            <w:shd w:val="clear" w:color="auto" w:fill="F2C6C9"/>
            <w:vAlign w:val="center"/>
          </w:tcPr>
          <w:p w14:paraId="4331C862" w14:textId="77777777" w:rsidR="009A5D49" w:rsidRPr="009A5D49" w:rsidRDefault="009A5D49" w:rsidP="00560B19">
            <w:pPr>
              <w:jc w:val="right"/>
              <w:rPr>
                <w:rFonts w:asciiTheme="minorHAnsi" w:hAnsiTheme="minorHAnsi" w:cstheme="minorHAnsi"/>
                <w:b/>
                <w:sz w:val="18"/>
                <w:szCs w:val="18"/>
              </w:rPr>
            </w:pPr>
            <w:r w:rsidRPr="009A5D49">
              <w:rPr>
                <w:rFonts w:asciiTheme="minorHAnsi" w:hAnsiTheme="minorHAnsi" w:cstheme="minorHAnsi"/>
                <w:b/>
                <w:sz w:val="18"/>
                <w:szCs w:val="18"/>
              </w:rPr>
              <w:t>*4 052 514</w:t>
            </w:r>
          </w:p>
        </w:tc>
      </w:tr>
    </w:tbl>
    <w:bookmarkEnd w:id="30"/>
    <w:p w14:paraId="43556331" w14:textId="77777777" w:rsidR="009A5D49" w:rsidRPr="009A5D49" w:rsidRDefault="009A5D49" w:rsidP="009A5D49">
      <w:pPr>
        <w:jc w:val="both"/>
        <w:rPr>
          <w:rFonts w:ascii="Calibri" w:hAnsi="Calibri" w:cs="Calibri"/>
          <w:sz w:val="20"/>
          <w:szCs w:val="20"/>
        </w:rPr>
      </w:pPr>
      <w:r w:rsidRPr="009A5D49">
        <w:rPr>
          <w:rFonts w:ascii="Calibri" w:hAnsi="Calibri" w:cs="Calibri"/>
          <w:b/>
          <w:sz w:val="20"/>
          <w:szCs w:val="20"/>
        </w:rPr>
        <w:t>Zdroj:</w:t>
      </w:r>
      <w:r w:rsidRPr="009A5D49">
        <w:rPr>
          <w:rFonts w:ascii="Calibri" w:hAnsi="Calibri" w:cs="Calibri"/>
          <w:sz w:val="20"/>
          <w:szCs w:val="20"/>
        </w:rPr>
        <w:t xml:space="preserve"> dokumentace programu, doplněk č. 1 dokumentace programu, závěrečné účty MO.</w:t>
      </w:r>
    </w:p>
    <w:p w14:paraId="3DCB21BF" w14:textId="687F8E72" w:rsidR="009A5D49" w:rsidRPr="009B4122" w:rsidRDefault="009A5D49" w:rsidP="009A5D49">
      <w:pPr>
        <w:jc w:val="both"/>
        <w:rPr>
          <w:rFonts w:ascii="Calibri" w:hAnsi="Calibri" w:cs="Calibri"/>
          <w:sz w:val="20"/>
          <w:szCs w:val="20"/>
        </w:rPr>
      </w:pPr>
      <w:r w:rsidRPr="009A5D49">
        <w:rPr>
          <w:rFonts w:ascii="Calibri" w:hAnsi="Calibri" w:cs="Calibri"/>
          <w:sz w:val="20"/>
          <w:szCs w:val="20"/>
        </w:rPr>
        <w:t xml:space="preserve">* </w:t>
      </w:r>
      <w:r w:rsidR="00016E73">
        <w:rPr>
          <w:rFonts w:ascii="Calibri" w:hAnsi="Calibri" w:cs="Calibri"/>
          <w:sz w:val="20"/>
          <w:szCs w:val="20"/>
        </w:rPr>
        <w:t>V</w:t>
      </w:r>
      <w:r w:rsidRPr="009A5D49">
        <w:rPr>
          <w:rFonts w:ascii="Calibri" w:hAnsi="Calibri" w:cs="Calibri"/>
          <w:sz w:val="20"/>
          <w:szCs w:val="20"/>
        </w:rPr>
        <w:t>ýdaje podle upraveného rozpočtu ke dni 14. října 2022.</w:t>
      </w:r>
    </w:p>
    <w:p w14:paraId="34DA7926" w14:textId="0139B5AA" w:rsidR="0060426E" w:rsidRPr="007E55CF" w:rsidRDefault="0060426E" w:rsidP="0060426E">
      <w:pPr>
        <w:tabs>
          <w:tab w:val="left" w:pos="2415"/>
        </w:tabs>
        <w:rPr>
          <w:rFonts w:asciiTheme="minorHAnsi" w:hAnsiTheme="minorHAnsi" w:cs="Calibri"/>
          <w:color w:val="000000"/>
        </w:rPr>
      </w:pPr>
    </w:p>
    <w:p w14:paraId="1DFADD27" w14:textId="77777777" w:rsidR="007E55CF" w:rsidRPr="007E55CF" w:rsidRDefault="007E55CF" w:rsidP="0060426E">
      <w:pPr>
        <w:tabs>
          <w:tab w:val="left" w:pos="2415"/>
        </w:tabs>
        <w:rPr>
          <w:rFonts w:asciiTheme="minorHAnsi" w:hAnsiTheme="minorHAnsi" w:cs="Calibri"/>
          <w:color w:val="000000"/>
        </w:rPr>
      </w:pPr>
    </w:p>
    <w:p w14:paraId="42A45426" w14:textId="73C5AAE3" w:rsidR="00C67212" w:rsidRPr="007E55CF" w:rsidRDefault="007E55CF" w:rsidP="00777506">
      <w:pPr>
        <w:tabs>
          <w:tab w:val="center" w:pos="4536"/>
          <w:tab w:val="right" w:pos="9072"/>
        </w:tabs>
        <w:spacing w:before="240" w:after="40"/>
        <w:jc w:val="center"/>
        <w:rPr>
          <w:rFonts w:ascii="Calibri" w:hAnsi="Calibri" w:cs="Calibri"/>
          <w:b/>
        </w:rPr>
      </w:pPr>
      <w:r>
        <w:rPr>
          <w:rFonts w:ascii="Calibri" w:hAnsi="Calibri" w:cs="Calibri"/>
          <w:b/>
        </w:rPr>
        <w:tab/>
      </w:r>
      <w:r w:rsidR="00C67212" w:rsidRPr="00A80247">
        <w:rPr>
          <w:rFonts w:ascii="Calibri" w:hAnsi="Calibri" w:cs="Calibri"/>
          <w:b/>
        </w:rPr>
        <w:t xml:space="preserve">Výdaje na </w:t>
      </w:r>
      <w:r w:rsidR="00C67212">
        <w:rPr>
          <w:rFonts w:ascii="Calibri" w:hAnsi="Calibri" w:cs="Calibri"/>
          <w:b/>
        </w:rPr>
        <w:t>pořizování</w:t>
      </w:r>
      <w:r w:rsidR="00C67212" w:rsidRPr="00A80247">
        <w:rPr>
          <w:rFonts w:ascii="Calibri" w:hAnsi="Calibri" w:cs="Calibri"/>
          <w:b/>
        </w:rPr>
        <w:t xml:space="preserve"> automobilní techniky A</w:t>
      </w:r>
      <w:r w:rsidR="00C67212">
        <w:rPr>
          <w:rFonts w:ascii="Calibri" w:hAnsi="Calibri" w:cs="Calibri"/>
          <w:b/>
        </w:rPr>
        <w:t>rmády</w:t>
      </w:r>
      <w:r>
        <w:rPr>
          <w:rFonts w:ascii="Calibri" w:hAnsi="Calibri" w:cs="Calibri"/>
          <w:b/>
        </w:rPr>
        <w:t xml:space="preserve"> </w:t>
      </w:r>
      <w:r>
        <w:rPr>
          <w:rFonts w:ascii="Calibri" w:hAnsi="Calibri" w:cs="Calibri"/>
          <w:b/>
        </w:rPr>
        <w:tab/>
      </w:r>
      <w:r w:rsidR="00C67212" w:rsidRPr="007E55CF">
        <w:rPr>
          <w:rFonts w:ascii="Calibri" w:hAnsi="Calibri"/>
          <w:b/>
        </w:rPr>
        <w:t>(v tis. Kč)</w:t>
      </w:r>
    </w:p>
    <w:tbl>
      <w:tblPr>
        <w:tblStyle w:val="Mkatabulky"/>
        <w:tblW w:w="9242" w:type="dxa"/>
        <w:tblInd w:w="-147" w:type="dxa"/>
        <w:tblLayout w:type="fixed"/>
        <w:tblLook w:val="04A0" w:firstRow="1" w:lastRow="0" w:firstColumn="1" w:lastColumn="0" w:noHBand="0" w:noVBand="1"/>
      </w:tblPr>
      <w:tblGrid>
        <w:gridCol w:w="2694"/>
        <w:gridCol w:w="1020"/>
        <w:gridCol w:w="1134"/>
        <w:gridCol w:w="992"/>
        <w:gridCol w:w="1134"/>
        <w:gridCol w:w="1172"/>
        <w:gridCol w:w="1096"/>
      </w:tblGrid>
      <w:tr w:rsidR="00C67212" w:rsidRPr="00A80247" w14:paraId="7E4073FB" w14:textId="77777777" w:rsidTr="007E55CF">
        <w:trPr>
          <w:trHeight w:val="397"/>
        </w:trPr>
        <w:tc>
          <w:tcPr>
            <w:tcW w:w="2694" w:type="dxa"/>
            <w:shd w:val="clear" w:color="auto" w:fill="E5F1FF"/>
            <w:vAlign w:val="center"/>
          </w:tcPr>
          <w:p w14:paraId="353D12A4"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Číslo a název programu</w:t>
            </w:r>
          </w:p>
        </w:tc>
        <w:tc>
          <w:tcPr>
            <w:tcW w:w="1020" w:type="dxa"/>
            <w:shd w:val="clear" w:color="auto" w:fill="E5F1FF"/>
            <w:vAlign w:val="center"/>
          </w:tcPr>
          <w:p w14:paraId="0300F972"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2018</w:t>
            </w:r>
          </w:p>
        </w:tc>
        <w:tc>
          <w:tcPr>
            <w:tcW w:w="1134" w:type="dxa"/>
            <w:shd w:val="clear" w:color="auto" w:fill="E5F1FF"/>
            <w:vAlign w:val="center"/>
          </w:tcPr>
          <w:p w14:paraId="576E320D"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2019</w:t>
            </w:r>
          </w:p>
        </w:tc>
        <w:tc>
          <w:tcPr>
            <w:tcW w:w="992" w:type="dxa"/>
            <w:shd w:val="clear" w:color="auto" w:fill="E5F1FF"/>
            <w:vAlign w:val="center"/>
          </w:tcPr>
          <w:p w14:paraId="3982F9F0"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2020</w:t>
            </w:r>
          </w:p>
        </w:tc>
        <w:tc>
          <w:tcPr>
            <w:tcW w:w="1134" w:type="dxa"/>
            <w:shd w:val="clear" w:color="auto" w:fill="E5F1FF"/>
            <w:vAlign w:val="center"/>
          </w:tcPr>
          <w:p w14:paraId="70BB352A"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2021</w:t>
            </w:r>
          </w:p>
        </w:tc>
        <w:tc>
          <w:tcPr>
            <w:tcW w:w="1172" w:type="dxa"/>
            <w:shd w:val="clear" w:color="auto" w:fill="E5F1FF"/>
            <w:vAlign w:val="center"/>
          </w:tcPr>
          <w:p w14:paraId="58F38950"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2018–2021</w:t>
            </w:r>
          </w:p>
        </w:tc>
        <w:tc>
          <w:tcPr>
            <w:tcW w:w="1096" w:type="dxa"/>
            <w:shd w:val="clear" w:color="auto" w:fill="E5F1FF"/>
            <w:vAlign w:val="center"/>
          </w:tcPr>
          <w:p w14:paraId="11E7A20C" w14:textId="77777777" w:rsidR="00C67212" w:rsidRPr="005C57A0" w:rsidRDefault="00C67212" w:rsidP="0080029D">
            <w:pPr>
              <w:jc w:val="center"/>
              <w:rPr>
                <w:rFonts w:asciiTheme="minorHAnsi" w:hAnsiTheme="minorHAnsi" w:cstheme="minorHAnsi"/>
                <w:b/>
                <w:sz w:val="18"/>
                <w:szCs w:val="18"/>
              </w:rPr>
            </w:pPr>
            <w:r w:rsidRPr="005C57A0">
              <w:rPr>
                <w:rFonts w:asciiTheme="minorHAnsi" w:hAnsiTheme="minorHAnsi" w:cstheme="minorHAnsi"/>
                <w:b/>
                <w:sz w:val="18"/>
                <w:szCs w:val="18"/>
              </w:rPr>
              <w:t>2022</w:t>
            </w:r>
            <w:r w:rsidRPr="005C57A0">
              <w:rPr>
                <w:rFonts w:asciiTheme="minorHAnsi" w:hAnsiTheme="minorHAnsi" w:cstheme="minorHAnsi"/>
                <w:b/>
                <w:color w:val="000000"/>
                <w:sz w:val="18"/>
                <w:szCs w:val="18"/>
              </w:rPr>
              <w:t>*</w:t>
            </w:r>
          </w:p>
        </w:tc>
      </w:tr>
      <w:tr w:rsidR="00C67212" w:rsidRPr="00A80247" w14:paraId="776FDB9B" w14:textId="77777777" w:rsidTr="007E55CF">
        <w:trPr>
          <w:trHeight w:val="340"/>
        </w:trPr>
        <w:tc>
          <w:tcPr>
            <w:tcW w:w="2694" w:type="dxa"/>
            <w:shd w:val="clear" w:color="auto" w:fill="auto"/>
            <w:vAlign w:val="center"/>
          </w:tcPr>
          <w:p w14:paraId="09AE6B48" w14:textId="0088A16E" w:rsidR="00C67212" w:rsidRPr="005C57A0" w:rsidRDefault="00C67212" w:rsidP="0080029D">
            <w:pPr>
              <w:rPr>
                <w:rFonts w:asciiTheme="minorHAnsi" w:hAnsiTheme="minorHAnsi" w:cstheme="minorHAnsi"/>
                <w:sz w:val="18"/>
                <w:szCs w:val="18"/>
              </w:rPr>
            </w:pPr>
            <w:r w:rsidRPr="005C57A0">
              <w:rPr>
                <w:rFonts w:asciiTheme="minorHAnsi" w:hAnsiTheme="minorHAnsi" w:cstheme="minorHAnsi"/>
                <w:sz w:val="18"/>
                <w:szCs w:val="18"/>
              </w:rPr>
              <w:t xml:space="preserve">107 420 </w:t>
            </w:r>
            <w:r w:rsidR="00016E73">
              <w:rPr>
                <w:rFonts w:asciiTheme="minorHAnsi" w:hAnsiTheme="minorHAnsi" w:cs="Calibri"/>
                <w:b/>
                <w:color w:val="000000"/>
                <w:sz w:val="18"/>
                <w:szCs w:val="18"/>
              </w:rPr>
              <w:t>–</w:t>
            </w:r>
            <w:r w:rsidRPr="005C57A0">
              <w:rPr>
                <w:rFonts w:asciiTheme="minorHAnsi" w:hAnsiTheme="minorHAnsi" w:cstheme="minorHAnsi"/>
                <w:sz w:val="18"/>
                <w:szCs w:val="18"/>
              </w:rPr>
              <w:t xml:space="preserve"> </w:t>
            </w:r>
            <w:r w:rsidRPr="005C57A0">
              <w:rPr>
                <w:rFonts w:asciiTheme="minorHAnsi" w:hAnsiTheme="minorHAnsi" w:cstheme="minorHAnsi"/>
                <w:i/>
                <w:sz w:val="18"/>
                <w:szCs w:val="18"/>
              </w:rPr>
              <w:t>Speciální síly AČR</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3566FD1"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49 926,3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0C636B"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73 370,4</w:t>
            </w:r>
          </w:p>
        </w:tc>
        <w:tc>
          <w:tcPr>
            <w:tcW w:w="992" w:type="dxa"/>
            <w:tcBorders>
              <w:top w:val="single" w:sz="4" w:space="0" w:color="auto"/>
              <w:left w:val="nil"/>
              <w:bottom w:val="single" w:sz="4" w:space="0" w:color="auto"/>
              <w:right w:val="single" w:sz="4" w:space="0" w:color="auto"/>
            </w:tcBorders>
            <w:shd w:val="clear" w:color="auto" w:fill="auto"/>
            <w:vAlign w:val="center"/>
          </w:tcPr>
          <w:p w14:paraId="444EC614"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42 084,6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11CEAD"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78 221,7</w:t>
            </w:r>
          </w:p>
        </w:tc>
        <w:tc>
          <w:tcPr>
            <w:tcW w:w="1172" w:type="dxa"/>
            <w:tcBorders>
              <w:top w:val="single" w:sz="4" w:space="0" w:color="auto"/>
              <w:left w:val="nil"/>
              <w:bottom w:val="single" w:sz="4" w:space="0" w:color="auto"/>
              <w:right w:val="single" w:sz="4" w:space="0" w:color="auto"/>
            </w:tcBorders>
            <w:shd w:val="clear" w:color="auto" w:fill="auto"/>
            <w:vAlign w:val="center"/>
          </w:tcPr>
          <w:p w14:paraId="4F327B6B"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b/>
                <w:bCs/>
                <w:sz w:val="18"/>
                <w:szCs w:val="18"/>
              </w:rPr>
              <w:t>243 603,0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EB59707"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32 615,5</w:t>
            </w:r>
          </w:p>
        </w:tc>
      </w:tr>
      <w:tr w:rsidR="00C67212" w:rsidRPr="00A80247" w14:paraId="41DE9093" w14:textId="77777777" w:rsidTr="007E55CF">
        <w:trPr>
          <w:trHeight w:val="340"/>
        </w:trPr>
        <w:tc>
          <w:tcPr>
            <w:tcW w:w="2694" w:type="dxa"/>
            <w:shd w:val="clear" w:color="auto" w:fill="auto"/>
            <w:vAlign w:val="center"/>
          </w:tcPr>
          <w:p w14:paraId="1948B103" w14:textId="14A5AFA9" w:rsidR="00C67212" w:rsidRPr="005C57A0" w:rsidRDefault="00C67212" w:rsidP="0080029D">
            <w:pPr>
              <w:rPr>
                <w:rFonts w:asciiTheme="minorHAnsi" w:hAnsiTheme="minorHAnsi" w:cstheme="minorHAnsi"/>
                <w:sz w:val="18"/>
                <w:szCs w:val="18"/>
              </w:rPr>
            </w:pPr>
            <w:r w:rsidRPr="005C57A0">
              <w:rPr>
                <w:rFonts w:asciiTheme="minorHAnsi" w:hAnsiTheme="minorHAnsi" w:cstheme="minorHAnsi"/>
                <w:sz w:val="18"/>
                <w:szCs w:val="18"/>
              </w:rPr>
              <w:t xml:space="preserve">107 450 </w:t>
            </w:r>
            <w:r w:rsidR="00016E73">
              <w:rPr>
                <w:rFonts w:asciiTheme="minorHAnsi" w:hAnsiTheme="minorHAnsi" w:cs="Calibri"/>
                <w:b/>
                <w:color w:val="000000"/>
                <w:sz w:val="18"/>
                <w:szCs w:val="18"/>
              </w:rPr>
              <w:t>–</w:t>
            </w:r>
            <w:r w:rsidRPr="005C57A0">
              <w:rPr>
                <w:rFonts w:asciiTheme="minorHAnsi" w:hAnsiTheme="minorHAnsi" w:cstheme="minorHAnsi"/>
                <w:sz w:val="18"/>
                <w:szCs w:val="18"/>
              </w:rPr>
              <w:t xml:space="preserve"> </w:t>
            </w:r>
            <w:r w:rsidRPr="005C57A0">
              <w:rPr>
                <w:rFonts w:asciiTheme="minorHAnsi" w:hAnsiTheme="minorHAnsi" w:cstheme="minorHAnsi"/>
                <w:i/>
                <w:sz w:val="18"/>
                <w:szCs w:val="18"/>
              </w:rPr>
              <w:t>Zapojení AČR do operací a pohotovostních sil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4BB828E" w14:textId="34F29CF9"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8C397B" w14:textId="02E56266"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368610DB" w14:textId="7AA8D93B"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c>
          <w:tcPr>
            <w:tcW w:w="1134" w:type="dxa"/>
            <w:tcBorders>
              <w:top w:val="single" w:sz="4" w:space="0" w:color="auto"/>
              <w:left w:val="nil"/>
              <w:bottom w:val="single" w:sz="4" w:space="0" w:color="auto"/>
              <w:right w:val="nil"/>
            </w:tcBorders>
            <w:shd w:val="clear" w:color="auto" w:fill="auto"/>
            <w:vAlign w:val="center"/>
          </w:tcPr>
          <w:p w14:paraId="50416E0F"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76 632,4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792820BE"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b/>
                <w:bCs/>
                <w:sz w:val="18"/>
                <w:szCs w:val="18"/>
              </w:rPr>
              <w:t>76 632,4</w:t>
            </w:r>
          </w:p>
        </w:tc>
        <w:tc>
          <w:tcPr>
            <w:tcW w:w="1096" w:type="dxa"/>
            <w:tcBorders>
              <w:top w:val="nil"/>
              <w:left w:val="single" w:sz="4" w:space="0" w:color="auto"/>
              <w:bottom w:val="single" w:sz="4" w:space="0" w:color="auto"/>
              <w:right w:val="single" w:sz="4" w:space="0" w:color="auto"/>
            </w:tcBorders>
            <w:shd w:val="clear" w:color="auto" w:fill="auto"/>
            <w:vAlign w:val="center"/>
          </w:tcPr>
          <w:p w14:paraId="137D1D6D" w14:textId="7A0C6CF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r>
      <w:tr w:rsidR="00C67212" w:rsidRPr="00A80247" w14:paraId="58102EB6" w14:textId="77777777" w:rsidTr="007E55CF">
        <w:trPr>
          <w:trHeight w:val="340"/>
        </w:trPr>
        <w:tc>
          <w:tcPr>
            <w:tcW w:w="2694" w:type="dxa"/>
            <w:tcBorders>
              <w:bottom w:val="single" w:sz="4" w:space="0" w:color="auto"/>
            </w:tcBorders>
            <w:shd w:val="clear" w:color="auto" w:fill="auto"/>
            <w:vAlign w:val="center"/>
          </w:tcPr>
          <w:p w14:paraId="125D372A" w14:textId="3350B0CD" w:rsidR="00C67212" w:rsidRPr="005C57A0" w:rsidRDefault="00C67212" w:rsidP="0080029D">
            <w:pPr>
              <w:rPr>
                <w:rFonts w:asciiTheme="minorHAnsi" w:hAnsiTheme="minorHAnsi" w:cstheme="minorHAnsi"/>
                <w:sz w:val="18"/>
                <w:szCs w:val="18"/>
              </w:rPr>
            </w:pPr>
            <w:r w:rsidRPr="005C57A0">
              <w:rPr>
                <w:rFonts w:asciiTheme="minorHAnsi" w:hAnsiTheme="minorHAnsi" w:cstheme="minorHAnsi"/>
                <w:sz w:val="18"/>
                <w:szCs w:val="18"/>
              </w:rPr>
              <w:t xml:space="preserve">107 490 </w:t>
            </w:r>
            <w:r w:rsidR="00016E73">
              <w:rPr>
                <w:rFonts w:asciiTheme="minorHAnsi" w:hAnsiTheme="minorHAnsi" w:cs="Calibri"/>
                <w:b/>
                <w:color w:val="000000"/>
                <w:sz w:val="18"/>
                <w:szCs w:val="18"/>
              </w:rPr>
              <w:t>–</w:t>
            </w:r>
            <w:r w:rsidRPr="005C57A0">
              <w:rPr>
                <w:rFonts w:asciiTheme="minorHAnsi" w:hAnsiTheme="minorHAnsi" w:cstheme="minorHAnsi"/>
                <w:sz w:val="18"/>
                <w:szCs w:val="18"/>
              </w:rPr>
              <w:t xml:space="preserve"> </w:t>
            </w:r>
            <w:r w:rsidRPr="005C57A0">
              <w:rPr>
                <w:rFonts w:asciiTheme="minorHAnsi" w:hAnsiTheme="minorHAnsi" w:cstheme="minorHAnsi"/>
                <w:i/>
                <w:sz w:val="18"/>
                <w:szCs w:val="18"/>
              </w:rPr>
              <w:t>Udržení a rozvoj schopností zdravotnické podpory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D19FEFB"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27 464,6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57A9EB" w14:textId="5A4CE3E3"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31E61D5"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246 785,0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9BEA77"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658,2</w:t>
            </w:r>
          </w:p>
        </w:tc>
        <w:tc>
          <w:tcPr>
            <w:tcW w:w="1172" w:type="dxa"/>
            <w:tcBorders>
              <w:top w:val="single" w:sz="4" w:space="0" w:color="auto"/>
              <w:left w:val="nil"/>
              <w:bottom w:val="single" w:sz="4" w:space="0" w:color="auto"/>
              <w:right w:val="single" w:sz="4" w:space="0" w:color="auto"/>
            </w:tcBorders>
            <w:shd w:val="clear" w:color="auto" w:fill="auto"/>
            <w:vAlign w:val="center"/>
          </w:tcPr>
          <w:p w14:paraId="5B7EB903"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b/>
                <w:bCs/>
                <w:sz w:val="18"/>
                <w:szCs w:val="18"/>
              </w:rPr>
              <w:t>274 907,8</w:t>
            </w:r>
          </w:p>
        </w:tc>
        <w:tc>
          <w:tcPr>
            <w:tcW w:w="1096" w:type="dxa"/>
            <w:tcBorders>
              <w:top w:val="nil"/>
              <w:left w:val="single" w:sz="4" w:space="0" w:color="auto"/>
              <w:bottom w:val="single" w:sz="4" w:space="0" w:color="auto"/>
              <w:right w:val="single" w:sz="4" w:space="0" w:color="auto"/>
            </w:tcBorders>
            <w:shd w:val="clear" w:color="auto" w:fill="auto"/>
            <w:vAlign w:val="center"/>
          </w:tcPr>
          <w:p w14:paraId="278C9A82" w14:textId="79312943"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r>
      <w:tr w:rsidR="00C67212" w:rsidRPr="00A80247" w14:paraId="68CFB23A" w14:textId="77777777" w:rsidTr="007E55CF">
        <w:trPr>
          <w:trHeight w:val="340"/>
        </w:trPr>
        <w:tc>
          <w:tcPr>
            <w:tcW w:w="2694" w:type="dxa"/>
            <w:tcBorders>
              <w:top w:val="single" w:sz="4" w:space="0" w:color="auto"/>
            </w:tcBorders>
            <w:shd w:val="clear" w:color="auto" w:fill="auto"/>
            <w:vAlign w:val="center"/>
          </w:tcPr>
          <w:p w14:paraId="7FDCF2E0" w14:textId="399B759D" w:rsidR="00C67212" w:rsidRPr="005C57A0" w:rsidRDefault="00C67212" w:rsidP="0080029D">
            <w:pPr>
              <w:rPr>
                <w:rFonts w:asciiTheme="minorHAnsi" w:hAnsiTheme="minorHAnsi" w:cstheme="minorHAnsi"/>
                <w:sz w:val="18"/>
                <w:szCs w:val="18"/>
              </w:rPr>
            </w:pPr>
            <w:r w:rsidRPr="005C57A0">
              <w:rPr>
                <w:rFonts w:asciiTheme="minorHAnsi" w:hAnsiTheme="minorHAnsi" w:cstheme="minorHAnsi"/>
                <w:sz w:val="18"/>
                <w:szCs w:val="18"/>
              </w:rPr>
              <w:t xml:space="preserve">107 630 </w:t>
            </w:r>
            <w:r w:rsidR="00016E73">
              <w:rPr>
                <w:rFonts w:asciiTheme="minorHAnsi" w:hAnsiTheme="minorHAnsi" w:cs="Calibri"/>
                <w:b/>
                <w:color w:val="000000"/>
                <w:sz w:val="18"/>
                <w:szCs w:val="18"/>
              </w:rPr>
              <w:t>–</w:t>
            </w:r>
            <w:r w:rsidRPr="005C57A0">
              <w:rPr>
                <w:rFonts w:asciiTheme="minorHAnsi" w:hAnsiTheme="minorHAnsi" w:cstheme="minorHAnsi"/>
                <w:sz w:val="18"/>
                <w:szCs w:val="18"/>
              </w:rPr>
              <w:t xml:space="preserve"> </w:t>
            </w:r>
            <w:bookmarkStart w:id="31" w:name="_Hlk106092595"/>
            <w:r w:rsidRPr="005C57A0">
              <w:rPr>
                <w:rFonts w:asciiTheme="minorHAnsi" w:hAnsiTheme="minorHAnsi" w:cstheme="minorHAnsi"/>
                <w:i/>
                <w:sz w:val="18"/>
                <w:szCs w:val="18"/>
              </w:rPr>
              <w:t>Udržení a rozvoj schopností logistiky AČR</w:t>
            </w:r>
            <w:bookmarkEnd w:id="31"/>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A5E77C1"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47 478,3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251508"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189 913,0</w:t>
            </w:r>
          </w:p>
        </w:tc>
        <w:tc>
          <w:tcPr>
            <w:tcW w:w="992" w:type="dxa"/>
            <w:tcBorders>
              <w:top w:val="single" w:sz="4" w:space="0" w:color="auto"/>
              <w:left w:val="nil"/>
              <w:bottom w:val="single" w:sz="4" w:space="0" w:color="auto"/>
              <w:right w:val="single" w:sz="4" w:space="0" w:color="auto"/>
            </w:tcBorders>
            <w:shd w:val="clear" w:color="auto" w:fill="auto"/>
            <w:vAlign w:val="center"/>
          </w:tcPr>
          <w:p w14:paraId="2AA4BFA8" w14:textId="0F72079F"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94B4E" w14:textId="6BFDA0FE"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c>
          <w:tcPr>
            <w:tcW w:w="1172" w:type="dxa"/>
            <w:tcBorders>
              <w:top w:val="single" w:sz="4" w:space="0" w:color="auto"/>
              <w:left w:val="nil"/>
              <w:bottom w:val="single" w:sz="4" w:space="0" w:color="auto"/>
              <w:right w:val="single" w:sz="4" w:space="0" w:color="auto"/>
            </w:tcBorders>
            <w:shd w:val="clear" w:color="auto" w:fill="auto"/>
            <w:vAlign w:val="center"/>
          </w:tcPr>
          <w:p w14:paraId="35AA9673"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b/>
                <w:bCs/>
                <w:sz w:val="18"/>
                <w:szCs w:val="18"/>
              </w:rPr>
              <w:t>237 391,3</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C5A8C92" w14:textId="66CF2558"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0</w:t>
            </w:r>
            <w:r w:rsidR="00016E73">
              <w:rPr>
                <w:rFonts w:asciiTheme="minorHAnsi" w:hAnsiTheme="minorHAnsi" w:cstheme="minorHAnsi"/>
                <w:color w:val="000000"/>
                <w:sz w:val="18"/>
                <w:szCs w:val="18"/>
              </w:rPr>
              <w:t>,0</w:t>
            </w:r>
          </w:p>
        </w:tc>
      </w:tr>
      <w:tr w:rsidR="00C67212" w:rsidRPr="00A80247" w14:paraId="62756A6A" w14:textId="77777777" w:rsidTr="007E55CF">
        <w:trPr>
          <w:trHeight w:val="340"/>
        </w:trPr>
        <w:tc>
          <w:tcPr>
            <w:tcW w:w="2694" w:type="dxa"/>
            <w:shd w:val="clear" w:color="auto" w:fill="auto"/>
            <w:vAlign w:val="center"/>
          </w:tcPr>
          <w:p w14:paraId="02F53836" w14:textId="1BFBCEA8" w:rsidR="00C67212" w:rsidRPr="005C57A0" w:rsidRDefault="00C67212" w:rsidP="0080029D">
            <w:pPr>
              <w:rPr>
                <w:rFonts w:asciiTheme="minorHAnsi" w:hAnsiTheme="minorHAnsi" w:cstheme="minorHAnsi"/>
                <w:sz w:val="18"/>
                <w:szCs w:val="18"/>
              </w:rPr>
            </w:pPr>
            <w:r w:rsidRPr="005C57A0">
              <w:rPr>
                <w:rFonts w:asciiTheme="minorHAnsi" w:hAnsiTheme="minorHAnsi" w:cstheme="minorHAnsi"/>
                <w:sz w:val="18"/>
                <w:szCs w:val="18"/>
              </w:rPr>
              <w:t xml:space="preserve">107 690 </w:t>
            </w:r>
            <w:r w:rsidR="00016E73">
              <w:rPr>
                <w:rFonts w:asciiTheme="minorHAnsi" w:hAnsiTheme="minorHAnsi" w:cs="Calibri"/>
                <w:b/>
                <w:color w:val="000000"/>
                <w:sz w:val="18"/>
                <w:szCs w:val="18"/>
              </w:rPr>
              <w:t>–</w:t>
            </w:r>
            <w:r w:rsidRPr="005C57A0">
              <w:rPr>
                <w:rFonts w:asciiTheme="minorHAnsi" w:hAnsiTheme="minorHAnsi" w:cstheme="minorHAnsi"/>
                <w:sz w:val="18"/>
                <w:szCs w:val="18"/>
              </w:rPr>
              <w:t xml:space="preserve"> </w:t>
            </w:r>
            <w:r w:rsidRPr="005C57A0">
              <w:rPr>
                <w:rFonts w:asciiTheme="minorHAnsi" w:hAnsiTheme="minorHAnsi" w:cstheme="minorHAnsi"/>
                <w:i/>
                <w:sz w:val="18"/>
                <w:szCs w:val="18"/>
              </w:rPr>
              <w:t>Udržení a rozvoj schopností logistické podpory</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47A1AA1"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101 308,5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5C5002"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784 507,1</w:t>
            </w:r>
          </w:p>
        </w:tc>
        <w:tc>
          <w:tcPr>
            <w:tcW w:w="992" w:type="dxa"/>
            <w:tcBorders>
              <w:top w:val="single" w:sz="4" w:space="0" w:color="auto"/>
              <w:left w:val="nil"/>
              <w:bottom w:val="single" w:sz="4" w:space="0" w:color="auto"/>
              <w:right w:val="single" w:sz="4" w:space="0" w:color="auto"/>
            </w:tcBorders>
            <w:shd w:val="clear" w:color="auto" w:fill="auto"/>
            <w:vAlign w:val="center"/>
          </w:tcPr>
          <w:p w14:paraId="0F762C14"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616 283,6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85BC74"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color w:val="000000"/>
                <w:sz w:val="18"/>
                <w:szCs w:val="18"/>
              </w:rPr>
              <w:t>1 227 367,6</w:t>
            </w:r>
          </w:p>
        </w:tc>
        <w:tc>
          <w:tcPr>
            <w:tcW w:w="1172" w:type="dxa"/>
            <w:tcBorders>
              <w:top w:val="single" w:sz="4" w:space="0" w:color="auto"/>
              <w:left w:val="nil"/>
              <w:bottom w:val="single" w:sz="4" w:space="0" w:color="auto"/>
              <w:right w:val="single" w:sz="4" w:space="0" w:color="auto"/>
            </w:tcBorders>
            <w:shd w:val="clear" w:color="auto" w:fill="auto"/>
            <w:vAlign w:val="center"/>
          </w:tcPr>
          <w:p w14:paraId="7C9B8906"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b/>
                <w:bCs/>
                <w:color w:val="000000"/>
                <w:sz w:val="18"/>
                <w:szCs w:val="18"/>
              </w:rPr>
              <w:t>2 729 466,8</w:t>
            </w:r>
          </w:p>
        </w:tc>
        <w:tc>
          <w:tcPr>
            <w:tcW w:w="1096" w:type="dxa"/>
            <w:tcBorders>
              <w:top w:val="single" w:sz="4" w:space="0" w:color="auto"/>
              <w:left w:val="nil"/>
              <w:bottom w:val="single" w:sz="4" w:space="0" w:color="auto"/>
              <w:right w:val="single" w:sz="4" w:space="0" w:color="auto"/>
            </w:tcBorders>
            <w:shd w:val="clear" w:color="auto" w:fill="auto"/>
            <w:vAlign w:val="center"/>
          </w:tcPr>
          <w:p w14:paraId="75E4B80B" w14:textId="77777777" w:rsidR="00C67212" w:rsidRPr="005C57A0" w:rsidRDefault="00C67212" w:rsidP="0080029D">
            <w:pPr>
              <w:jc w:val="right"/>
              <w:rPr>
                <w:rFonts w:asciiTheme="minorHAnsi" w:hAnsiTheme="minorHAnsi" w:cstheme="minorHAnsi"/>
                <w:sz w:val="18"/>
                <w:szCs w:val="18"/>
              </w:rPr>
            </w:pPr>
            <w:r w:rsidRPr="005C57A0">
              <w:rPr>
                <w:rFonts w:asciiTheme="minorHAnsi" w:hAnsiTheme="minorHAnsi" w:cstheme="minorHAnsi"/>
                <w:sz w:val="18"/>
                <w:szCs w:val="18"/>
              </w:rPr>
              <w:t>1 321 514,2</w:t>
            </w:r>
          </w:p>
        </w:tc>
      </w:tr>
      <w:tr w:rsidR="00C67212" w:rsidRPr="00A80247" w14:paraId="3467DCCC" w14:textId="77777777" w:rsidTr="007E55CF">
        <w:trPr>
          <w:trHeight w:val="340"/>
        </w:trPr>
        <w:tc>
          <w:tcPr>
            <w:tcW w:w="2694" w:type="dxa"/>
            <w:shd w:val="clear" w:color="auto" w:fill="F2C6C9"/>
            <w:vAlign w:val="center"/>
          </w:tcPr>
          <w:p w14:paraId="4D805E6A" w14:textId="77777777" w:rsidR="00C67212" w:rsidRPr="005C57A0" w:rsidRDefault="00F74B44" w:rsidP="00016E73">
            <w:pPr>
              <w:rPr>
                <w:rFonts w:asciiTheme="minorHAnsi" w:hAnsiTheme="minorHAnsi" w:cstheme="minorHAnsi"/>
                <w:b/>
                <w:sz w:val="18"/>
                <w:szCs w:val="18"/>
              </w:rPr>
            </w:pPr>
            <w:r>
              <w:rPr>
                <w:rFonts w:asciiTheme="minorHAnsi" w:hAnsiTheme="minorHAnsi" w:cstheme="minorHAnsi"/>
                <w:b/>
                <w:sz w:val="18"/>
                <w:szCs w:val="18"/>
              </w:rPr>
              <w:t>Výdaje c</w:t>
            </w:r>
            <w:r w:rsidR="00C67212" w:rsidRPr="005C57A0">
              <w:rPr>
                <w:rFonts w:asciiTheme="minorHAnsi" w:hAnsiTheme="minorHAnsi" w:cstheme="minorHAnsi"/>
                <w:b/>
                <w:sz w:val="18"/>
                <w:szCs w:val="18"/>
              </w:rPr>
              <w:t>elkem</w:t>
            </w:r>
          </w:p>
        </w:tc>
        <w:tc>
          <w:tcPr>
            <w:tcW w:w="1020" w:type="dxa"/>
            <w:shd w:val="clear" w:color="auto" w:fill="F2C6C9"/>
            <w:vAlign w:val="center"/>
          </w:tcPr>
          <w:p w14:paraId="50B2F6A7" w14:textId="77777777" w:rsidR="00C67212" w:rsidRPr="005C57A0" w:rsidRDefault="00C67212" w:rsidP="0080029D">
            <w:pPr>
              <w:jc w:val="right"/>
              <w:rPr>
                <w:rFonts w:asciiTheme="minorHAnsi" w:hAnsiTheme="minorHAnsi" w:cstheme="minorHAnsi"/>
                <w:b/>
                <w:sz w:val="18"/>
                <w:szCs w:val="18"/>
              </w:rPr>
            </w:pPr>
            <w:r w:rsidRPr="005C57A0">
              <w:rPr>
                <w:rFonts w:asciiTheme="minorHAnsi" w:hAnsiTheme="minorHAnsi" w:cstheme="minorHAnsi"/>
                <w:b/>
                <w:sz w:val="18"/>
                <w:szCs w:val="18"/>
              </w:rPr>
              <w:t>226 177,7</w:t>
            </w:r>
          </w:p>
        </w:tc>
        <w:tc>
          <w:tcPr>
            <w:tcW w:w="1134" w:type="dxa"/>
            <w:shd w:val="clear" w:color="auto" w:fill="F2C6C9"/>
            <w:vAlign w:val="center"/>
          </w:tcPr>
          <w:p w14:paraId="7CAD3EF4" w14:textId="77777777" w:rsidR="00C67212" w:rsidRPr="005C57A0" w:rsidRDefault="00C67212" w:rsidP="0080029D">
            <w:pPr>
              <w:jc w:val="right"/>
              <w:rPr>
                <w:rFonts w:asciiTheme="minorHAnsi" w:hAnsiTheme="minorHAnsi" w:cstheme="minorHAnsi"/>
                <w:b/>
                <w:sz w:val="18"/>
                <w:szCs w:val="18"/>
              </w:rPr>
            </w:pPr>
            <w:r w:rsidRPr="005C57A0">
              <w:rPr>
                <w:rFonts w:asciiTheme="minorHAnsi" w:hAnsiTheme="minorHAnsi" w:cstheme="minorHAnsi"/>
                <w:b/>
                <w:sz w:val="18"/>
                <w:szCs w:val="18"/>
              </w:rPr>
              <w:t>1 047 790,5</w:t>
            </w:r>
          </w:p>
        </w:tc>
        <w:tc>
          <w:tcPr>
            <w:tcW w:w="992" w:type="dxa"/>
            <w:shd w:val="clear" w:color="auto" w:fill="F2C6C9"/>
            <w:vAlign w:val="center"/>
          </w:tcPr>
          <w:p w14:paraId="1D551220" w14:textId="77777777" w:rsidR="00C67212" w:rsidRPr="005C57A0" w:rsidRDefault="00C67212" w:rsidP="0080029D">
            <w:pPr>
              <w:jc w:val="right"/>
              <w:rPr>
                <w:rFonts w:asciiTheme="minorHAnsi" w:hAnsiTheme="minorHAnsi" w:cstheme="minorHAnsi"/>
                <w:b/>
                <w:sz w:val="18"/>
                <w:szCs w:val="18"/>
              </w:rPr>
            </w:pPr>
            <w:r w:rsidRPr="005C57A0">
              <w:rPr>
                <w:rFonts w:asciiTheme="minorHAnsi" w:hAnsiTheme="minorHAnsi" w:cstheme="minorHAnsi"/>
                <w:b/>
                <w:sz w:val="18"/>
                <w:szCs w:val="18"/>
              </w:rPr>
              <w:t>905 153,2</w:t>
            </w:r>
          </w:p>
        </w:tc>
        <w:tc>
          <w:tcPr>
            <w:tcW w:w="1134" w:type="dxa"/>
            <w:shd w:val="clear" w:color="auto" w:fill="F2C6C9"/>
            <w:vAlign w:val="center"/>
          </w:tcPr>
          <w:p w14:paraId="63A51649" w14:textId="77777777" w:rsidR="00C67212" w:rsidRPr="005C57A0" w:rsidRDefault="00C67212" w:rsidP="0080029D">
            <w:pPr>
              <w:jc w:val="right"/>
              <w:rPr>
                <w:rFonts w:asciiTheme="minorHAnsi" w:hAnsiTheme="minorHAnsi" w:cstheme="minorHAnsi"/>
                <w:b/>
                <w:sz w:val="18"/>
                <w:szCs w:val="18"/>
              </w:rPr>
            </w:pPr>
            <w:r w:rsidRPr="005C57A0">
              <w:rPr>
                <w:rFonts w:asciiTheme="minorHAnsi" w:hAnsiTheme="minorHAnsi" w:cstheme="minorHAnsi"/>
                <w:b/>
                <w:sz w:val="18"/>
                <w:szCs w:val="18"/>
              </w:rPr>
              <w:t>1 382 879,9</w:t>
            </w:r>
          </w:p>
        </w:tc>
        <w:tc>
          <w:tcPr>
            <w:tcW w:w="1172" w:type="dxa"/>
            <w:shd w:val="clear" w:color="auto" w:fill="F2C6C9"/>
            <w:vAlign w:val="center"/>
          </w:tcPr>
          <w:p w14:paraId="4F54E55B" w14:textId="77777777" w:rsidR="00C67212" w:rsidRPr="005C57A0" w:rsidRDefault="00C67212" w:rsidP="0080029D">
            <w:pPr>
              <w:jc w:val="right"/>
              <w:rPr>
                <w:rFonts w:asciiTheme="minorHAnsi" w:hAnsiTheme="minorHAnsi" w:cstheme="minorHAnsi"/>
                <w:b/>
                <w:sz w:val="18"/>
                <w:szCs w:val="18"/>
              </w:rPr>
            </w:pPr>
            <w:r w:rsidRPr="005C57A0">
              <w:rPr>
                <w:rFonts w:asciiTheme="minorHAnsi" w:hAnsiTheme="minorHAnsi" w:cstheme="minorHAnsi"/>
                <w:b/>
                <w:sz w:val="18"/>
                <w:szCs w:val="18"/>
              </w:rPr>
              <w:t>3 562 001,3</w:t>
            </w:r>
          </w:p>
        </w:tc>
        <w:tc>
          <w:tcPr>
            <w:tcW w:w="1096" w:type="dxa"/>
            <w:shd w:val="clear" w:color="auto" w:fill="F2C6C9"/>
            <w:vAlign w:val="center"/>
          </w:tcPr>
          <w:p w14:paraId="06EFB10C" w14:textId="77777777" w:rsidR="00C67212" w:rsidRPr="005C57A0" w:rsidRDefault="00C67212" w:rsidP="0080029D">
            <w:pPr>
              <w:jc w:val="right"/>
              <w:rPr>
                <w:rFonts w:asciiTheme="minorHAnsi" w:hAnsiTheme="minorHAnsi" w:cstheme="minorHAnsi"/>
                <w:b/>
                <w:sz w:val="18"/>
                <w:szCs w:val="18"/>
              </w:rPr>
            </w:pPr>
            <w:r w:rsidRPr="005C57A0">
              <w:rPr>
                <w:rFonts w:asciiTheme="minorHAnsi" w:hAnsiTheme="minorHAnsi" w:cstheme="minorHAnsi"/>
                <w:b/>
                <w:sz w:val="18"/>
                <w:szCs w:val="18"/>
              </w:rPr>
              <w:t>1 354 129,7</w:t>
            </w:r>
          </w:p>
        </w:tc>
      </w:tr>
    </w:tbl>
    <w:p w14:paraId="0F8E43DF" w14:textId="77777777" w:rsidR="00C67212" w:rsidRPr="00A80247" w:rsidRDefault="00C67212" w:rsidP="00C67212">
      <w:pPr>
        <w:jc w:val="both"/>
        <w:rPr>
          <w:rFonts w:ascii="Calibri" w:hAnsi="Calibri" w:cs="Calibri"/>
          <w:sz w:val="20"/>
          <w:szCs w:val="20"/>
        </w:rPr>
      </w:pPr>
      <w:r w:rsidRPr="00A80247">
        <w:rPr>
          <w:rFonts w:ascii="Calibri" w:hAnsi="Calibri" w:cs="Calibri"/>
          <w:b/>
          <w:sz w:val="20"/>
          <w:szCs w:val="20"/>
        </w:rPr>
        <w:t>Zdroj:</w:t>
      </w:r>
      <w:r w:rsidRPr="00A80247">
        <w:rPr>
          <w:rFonts w:ascii="Calibri" w:hAnsi="Calibri" w:cs="Calibri"/>
          <w:sz w:val="20"/>
          <w:szCs w:val="20"/>
        </w:rPr>
        <w:t xml:space="preserve"> </w:t>
      </w:r>
      <w:r>
        <w:rPr>
          <w:rFonts w:asciiTheme="minorHAnsi" w:hAnsiTheme="minorHAnsi" w:cstheme="minorHAnsi"/>
          <w:sz w:val="20"/>
          <w:szCs w:val="20"/>
        </w:rPr>
        <w:t xml:space="preserve">informační systém </w:t>
      </w:r>
      <w:r w:rsidRPr="00550042">
        <w:rPr>
          <w:rFonts w:asciiTheme="minorHAnsi" w:hAnsiTheme="minorHAnsi" w:cstheme="minorHAnsi"/>
          <w:i/>
          <w:sz w:val="20"/>
          <w:szCs w:val="20"/>
        </w:rPr>
        <w:t>Správa majetku ve vlastnictví státu</w:t>
      </w:r>
      <w:r>
        <w:rPr>
          <w:rFonts w:asciiTheme="minorHAnsi" w:hAnsiTheme="minorHAnsi" w:cstheme="minorHAnsi"/>
          <w:i/>
          <w:sz w:val="20"/>
          <w:szCs w:val="20"/>
        </w:rPr>
        <w:t xml:space="preserve"> </w:t>
      </w:r>
      <w:r>
        <w:rPr>
          <w:rFonts w:asciiTheme="minorHAnsi" w:hAnsiTheme="minorHAnsi" w:cstheme="minorHAnsi"/>
          <w:sz w:val="20"/>
          <w:szCs w:val="20"/>
        </w:rPr>
        <w:t xml:space="preserve">ke dni </w:t>
      </w:r>
      <w:r w:rsidRPr="00A80247">
        <w:rPr>
          <w:rFonts w:ascii="Calibri" w:hAnsi="Calibri" w:cs="Calibri"/>
          <w:sz w:val="20"/>
          <w:szCs w:val="20"/>
        </w:rPr>
        <w:t xml:space="preserve">2. </w:t>
      </w:r>
      <w:r>
        <w:rPr>
          <w:rFonts w:ascii="Calibri" w:hAnsi="Calibri" w:cs="Calibri"/>
          <w:sz w:val="20"/>
          <w:szCs w:val="20"/>
        </w:rPr>
        <w:t>června</w:t>
      </w:r>
      <w:r w:rsidRPr="00A80247">
        <w:rPr>
          <w:rFonts w:ascii="Calibri" w:hAnsi="Calibri" w:cs="Calibri"/>
          <w:sz w:val="20"/>
          <w:szCs w:val="20"/>
        </w:rPr>
        <w:t xml:space="preserve"> 2022</w:t>
      </w:r>
      <w:r>
        <w:rPr>
          <w:rFonts w:ascii="Calibri" w:hAnsi="Calibri" w:cs="Calibri"/>
          <w:sz w:val="20"/>
          <w:szCs w:val="20"/>
        </w:rPr>
        <w:t>.</w:t>
      </w:r>
    </w:p>
    <w:p w14:paraId="5FCE799B" w14:textId="2CEF9CBB" w:rsidR="00C67212" w:rsidRPr="00A80247" w:rsidRDefault="00C67212" w:rsidP="00AC1329">
      <w:pPr>
        <w:ind w:left="153" w:hanging="153"/>
        <w:jc w:val="both"/>
        <w:rPr>
          <w:rFonts w:ascii="Calibri" w:hAnsi="Calibri" w:cs="Calibri"/>
          <w:b/>
          <w:highlight w:val="yellow"/>
        </w:rPr>
      </w:pPr>
      <w:r w:rsidRPr="00A80247">
        <w:rPr>
          <w:rFonts w:ascii="Calibri" w:hAnsi="Calibri" w:cs="Calibri"/>
          <w:color w:val="000000"/>
          <w:sz w:val="20"/>
          <w:szCs w:val="20"/>
        </w:rPr>
        <w:t xml:space="preserve">* </w:t>
      </w:r>
      <w:r w:rsidR="00016E73">
        <w:rPr>
          <w:rFonts w:ascii="Calibri" w:hAnsi="Calibri" w:cs="Calibri"/>
          <w:color w:val="000000"/>
          <w:sz w:val="20"/>
          <w:szCs w:val="20"/>
        </w:rPr>
        <w:t>P</w:t>
      </w:r>
      <w:r>
        <w:rPr>
          <w:rFonts w:ascii="Calibri" w:hAnsi="Calibri" w:cs="Calibri"/>
          <w:color w:val="000000"/>
          <w:sz w:val="20"/>
          <w:szCs w:val="20"/>
        </w:rPr>
        <w:t>ředpokláda</w:t>
      </w:r>
      <w:r w:rsidRPr="00A80247">
        <w:rPr>
          <w:rFonts w:ascii="Calibri" w:hAnsi="Calibri" w:cs="Calibri"/>
          <w:color w:val="000000"/>
          <w:sz w:val="20"/>
          <w:szCs w:val="20"/>
        </w:rPr>
        <w:t>né výdaje na akce</w:t>
      </w:r>
      <w:r w:rsidR="005C57A0">
        <w:rPr>
          <w:rFonts w:ascii="Calibri" w:hAnsi="Calibri" w:cs="Calibri"/>
          <w:color w:val="000000"/>
          <w:sz w:val="20"/>
          <w:szCs w:val="20"/>
        </w:rPr>
        <w:t xml:space="preserve"> registrované </w:t>
      </w:r>
      <w:r>
        <w:rPr>
          <w:rFonts w:ascii="Calibri" w:hAnsi="Calibri" w:cs="Calibri"/>
          <w:color w:val="000000"/>
          <w:sz w:val="20"/>
          <w:szCs w:val="20"/>
        </w:rPr>
        <w:t xml:space="preserve">v informačním systému </w:t>
      </w:r>
      <w:r w:rsidR="005C57A0" w:rsidRPr="00550042">
        <w:rPr>
          <w:rFonts w:asciiTheme="minorHAnsi" w:hAnsiTheme="minorHAnsi" w:cstheme="minorHAnsi"/>
          <w:i/>
          <w:sz w:val="20"/>
          <w:szCs w:val="20"/>
        </w:rPr>
        <w:t>Správa majetku ve vlastnictví státu</w:t>
      </w:r>
      <w:r w:rsidR="005C57A0">
        <w:rPr>
          <w:rFonts w:asciiTheme="minorHAnsi" w:hAnsiTheme="minorHAnsi" w:cstheme="minorHAnsi"/>
          <w:i/>
          <w:sz w:val="20"/>
          <w:szCs w:val="20"/>
        </w:rPr>
        <w:t xml:space="preserve"> </w:t>
      </w:r>
      <w:r w:rsidRPr="00A80247">
        <w:rPr>
          <w:rFonts w:ascii="Calibri" w:hAnsi="Calibri" w:cs="Calibri"/>
          <w:color w:val="000000"/>
          <w:sz w:val="20"/>
          <w:szCs w:val="20"/>
        </w:rPr>
        <w:t>ke dni 2. června 2022.</w:t>
      </w:r>
    </w:p>
    <w:p w14:paraId="460FD501" w14:textId="77777777" w:rsidR="0060426E" w:rsidRDefault="0060426E" w:rsidP="0060426E">
      <w:pPr>
        <w:tabs>
          <w:tab w:val="left" w:pos="2415"/>
        </w:tabs>
        <w:rPr>
          <w:rFonts w:asciiTheme="minorHAnsi" w:hAnsiTheme="minorHAnsi" w:cs="Calibri"/>
          <w:b/>
          <w:color w:val="000000"/>
        </w:rPr>
      </w:pPr>
    </w:p>
    <w:p w14:paraId="686B6A31" w14:textId="77777777" w:rsidR="00000ECF" w:rsidRDefault="00000ECF" w:rsidP="00000ECF">
      <w:pPr>
        <w:pStyle w:val="Nadpis1"/>
        <w:jc w:val="right"/>
        <w:rPr>
          <w:rFonts w:asciiTheme="minorHAnsi" w:hAnsiTheme="minorHAnsi" w:cstheme="minorHAnsi"/>
          <w:sz w:val="24"/>
          <w:szCs w:val="24"/>
        </w:rPr>
      </w:pPr>
      <w:r w:rsidRPr="00000ECF">
        <w:rPr>
          <w:rFonts w:asciiTheme="minorHAnsi" w:hAnsiTheme="minorHAnsi" w:cstheme="minorHAnsi"/>
          <w:sz w:val="24"/>
          <w:szCs w:val="24"/>
        </w:rPr>
        <w:lastRenderedPageBreak/>
        <w:t>Příloha č. 3</w:t>
      </w:r>
    </w:p>
    <w:p w14:paraId="53B4E595" w14:textId="2615C76B" w:rsidR="00D44F40" w:rsidRPr="00712C23" w:rsidRDefault="00D44F40" w:rsidP="00777506">
      <w:pPr>
        <w:autoSpaceDE w:val="0"/>
        <w:autoSpaceDN w:val="0"/>
        <w:adjustRightInd w:val="0"/>
        <w:spacing w:after="40"/>
        <w:ind w:right="-141"/>
        <w:rPr>
          <w:rFonts w:ascii="Times New Roman" w:hAnsi="Times New Roman" w:cs="Calibri"/>
        </w:rPr>
      </w:pPr>
      <w:r w:rsidRPr="00243E67">
        <w:rPr>
          <w:rFonts w:ascii="Calibri" w:hAnsi="Calibri"/>
          <w:b/>
        </w:rPr>
        <w:t>V</w:t>
      </w:r>
      <w:r>
        <w:rPr>
          <w:rFonts w:ascii="Calibri" w:hAnsi="Calibri"/>
          <w:b/>
        </w:rPr>
        <w:t>ý</w:t>
      </w:r>
      <w:r w:rsidRPr="00243E67">
        <w:rPr>
          <w:rFonts w:ascii="Calibri" w:hAnsi="Calibri"/>
          <w:b/>
        </w:rPr>
        <w:t xml:space="preserve">daje </w:t>
      </w:r>
      <w:r>
        <w:rPr>
          <w:rFonts w:ascii="Calibri" w:hAnsi="Calibri"/>
          <w:b/>
        </w:rPr>
        <w:t>na údržbu, opravy a nákupy náhradních dílů</w:t>
      </w:r>
      <w:r>
        <w:rPr>
          <w:rFonts w:ascii="Calibri" w:hAnsi="Calibri"/>
          <w:b/>
        </w:rPr>
        <w:tab/>
        <w:t xml:space="preserve"> automobilní</w:t>
      </w:r>
      <w:r w:rsidR="00AF64AA">
        <w:rPr>
          <w:rFonts w:ascii="Calibri" w:hAnsi="Calibri"/>
          <w:b/>
        </w:rPr>
        <w:t xml:space="preserve"> </w:t>
      </w:r>
      <w:r>
        <w:rPr>
          <w:rFonts w:ascii="Calibri" w:hAnsi="Calibri"/>
          <w:b/>
        </w:rPr>
        <w:t>technik</w:t>
      </w:r>
      <w:r w:rsidR="00AF64AA">
        <w:rPr>
          <w:rFonts w:ascii="Calibri" w:hAnsi="Calibri"/>
          <w:b/>
        </w:rPr>
        <w:t>y</w:t>
      </w:r>
      <w:r>
        <w:rPr>
          <w:rFonts w:ascii="Calibri" w:hAnsi="Calibri"/>
          <w:b/>
        </w:rPr>
        <w:t xml:space="preserve"> Armády</w:t>
      </w:r>
      <w:r w:rsidR="007E55CF">
        <w:rPr>
          <w:rFonts w:ascii="Calibri" w:hAnsi="Calibri"/>
          <w:b/>
        </w:rPr>
        <w:t xml:space="preserve"> </w:t>
      </w:r>
      <w:r w:rsidRPr="00777506">
        <w:rPr>
          <w:rFonts w:ascii="Calibri" w:hAnsi="Calibri"/>
          <w:b/>
        </w:rPr>
        <w:t>(v tis. Kč)</w:t>
      </w:r>
    </w:p>
    <w:tbl>
      <w:tblPr>
        <w:tblStyle w:val="Mkatabulky"/>
        <w:tblW w:w="9214" w:type="dxa"/>
        <w:tblInd w:w="-5" w:type="dxa"/>
        <w:tblLook w:val="04A0" w:firstRow="1" w:lastRow="0" w:firstColumn="1" w:lastColumn="0" w:noHBand="0" w:noVBand="1"/>
      </w:tblPr>
      <w:tblGrid>
        <w:gridCol w:w="2835"/>
        <w:gridCol w:w="945"/>
        <w:gridCol w:w="1087"/>
        <w:gridCol w:w="1087"/>
        <w:gridCol w:w="1086"/>
        <w:gridCol w:w="1087"/>
        <w:gridCol w:w="1087"/>
      </w:tblGrid>
      <w:tr w:rsidR="00D44F40" w:rsidRPr="00243E67" w14:paraId="2BF3EAE7" w14:textId="77777777" w:rsidTr="00D677B3">
        <w:trPr>
          <w:trHeight w:val="340"/>
        </w:trPr>
        <w:tc>
          <w:tcPr>
            <w:tcW w:w="2835" w:type="dxa"/>
            <w:shd w:val="clear" w:color="auto" w:fill="E5F1FF"/>
            <w:vAlign w:val="center"/>
          </w:tcPr>
          <w:p w14:paraId="5DD85A05" w14:textId="77777777" w:rsidR="00D44F40" w:rsidRPr="00712C23" w:rsidRDefault="00D44F40" w:rsidP="00D677B3">
            <w:pPr>
              <w:autoSpaceDE w:val="0"/>
              <w:autoSpaceDN w:val="0"/>
              <w:adjustRightInd w:val="0"/>
              <w:jc w:val="center"/>
              <w:rPr>
                <w:rFonts w:asciiTheme="minorHAnsi" w:hAnsiTheme="minorHAnsi" w:cstheme="minorHAnsi"/>
                <w:b/>
                <w:sz w:val="18"/>
                <w:szCs w:val="18"/>
              </w:rPr>
            </w:pPr>
            <w:r w:rsidRPr="00712C23">
              <w:rPr>
                <w:rFonts w:asciiTheme="minorHAnsi" w:hAnsiTheme="minorHAnsi" w:cstheme="minorHAnsi"/>
                <w:b/>
                <w:sz w:val="18"/>
                <w:szCs w:val="18"/>
              </w:rPr>
              <w:t>Druh techniky</w:t>
            </w:r>
          </w:p>
        </w:tc>
        <w:tc>
          <w:tcPr>
            <w:tcW w:w="945" w:type="dxa"/>
            <w:shd w:val="clear" w:color="auto" w:fill="E5F1FF"/>
            <w:vAlign w:val="center"/>
          </w:tcPr>
          <w:p w14:paraId="50026A4D" w14:textId="77777777" w:rsidR="00D44F40" w:rsidRPr="00712C23" w:rsidRDefault="00D44F40" w:rsidP="00D677B3">
            <w:pPr>
              <w:autoSpaceDE w:val="0"/>
              <w:autoSpaceDN w:val="0"/>
              <w:adjustRightInd w:val="0"/>
              <w:jc w:val="center"/>
              <w:rPr>
                <w:rFonts w:asciiTheme="minorHAnsi" w:hAnsiTheme="minorHAnsi" w:cstheme="minorHAnsi"/>
                <w:b/>
                <w:sz w:val="18"/>
                <w:szCs w:val="18"/>
              </w:rPr>
            </w:pPr>
            <w:r w:rsidRPr="00712C23">
              <w:rPr>
                <w:rFonts w:asciiTheme="minorHAnsi" w:hAnsiTheme="minorHAnsi" w:cstheme="minorHAnsi"/>
                <w:b/>
                <w:sz w:val="18"/>
                <w:szCs w:val="18"/>
              </w:rPr>
              <w:t>2018</w:t>
            </w:r>
          </w:p>
        </w:tc>
        <w:tc>
          <w:tcPr>
            <w:tcW w:w="1087" w:type="dxa"/>
            <w:shd w:val="clear" w:color="auto" w:fill="E5F1FF"/>
            <w:vAlign w:val="center"/>
          </w:tcPr>
          <w:p w14:paraId="07B4E8D0" w14:textId="77777777" w:rsidR="00D44F40" w:rsidRPr="00712C23" w:rsidRDefault="00D44F40" w:rsidP="00D677B3">
            <w:pPr>
              <w:autoSpaceDE w:val="0"/>
              <w:autoSpaceDN w:val="0"/>
              <w:adjustRightInd w:val="0"/>
              <w:jc w:val="center"/>
              <w:rPr>
                <w:rFonts w:asciiTheme="minorHAnsi" w:hAnsiTheme="minorHAnsi" w:cstheme="minorHAnsi"/>
                <w:b/>
                <w:sz w:val="18"/>
                <w:szCs w:val="18"/>
              </w:rPr>
            </w:pPr>
            <w:r w:rsidRPr="00712C23">
              <w:rPr>
                <w:rFonts w:asciiTheme="minorHAnsi" w:hAnsiTheme="minorHAnsi" w:cstheme="minorHAnsi"/>
                <w:b/>
                <w:sz w:val="18"/>
                <w:szCs w:val="18"/>
              </w:rPr>
              <w:t>2019</w:t>
            </w:r>
          </w:p>
        </w:tc>
        <w:tc>
          <w:tcPr>
            <w:tcW w:w="1087" w:type="dxa"/>
            <w:shd w:val="clear" w:color="auto" w:fill="E5F1FF"/>
            <w:vAlign w:val="center"/>
          </w:tcPr>
          <w:p w14:paraId="42542910" w14:textId="77777777" w:rsidR="00D44F40" w:rsidRPr="00712C23" w:rsidRDefault="00D44F40" w:rsidP="00D677B3">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2020</w:t>
            </w:r>
          </w:p>
        </w:tc>
        <w:tc>
          <w:tcPr>
            <w:tcW w:w="1086" w:type="dxa"/>
            <w:shd w:val="clear" w:color="auto" w:fill="E5F1FF"/>
            <w:vAlign w:val="center"/>
          </w:tcPr>
          <w:p w14:paraId="31B818D0" w14:textId="77777777" w:rsidR="00D44F40" w:rsidRPr="00712C23" w:rsidRDefault="00D44F40" w:rsidP="00D677B3">
            <w:pPr>
              <w:autoSpaceDE w:val="0"/>
              <w:autoSpaceDN w:val="0"/>
              <w:adjustRightInd w:val="0"/>
              <w:jc w:val="center"/>
              <w:rPr>
                <w:rFonts w:asciiTheme="minorHAnsi" w:hAnsiTheme="minorHAnsi" w:cstheme="minorHAnsi"/>
                <w:b/>
                <w:sz w:val="18"/>
                <w:szCs w:val="18"/>
              </w:rPr>
            </w:pPr>
            <w:r w:rsidRPr="00712C23">
              <w:rPr>
                <w:rFonts w:asciiTheme="minorHAnsi" w:hAnsiTheme="minorHAnsi" w:cstheme="minorHAnsi"/>
                <w:b/>
                <w:sz w:val="18"/>
                <w:szCs w:val="18"/>
              </w:rPr>
              <w:t>202</w:t>
            </w:r>
            <w:r>
              <w:rPr>
                <w:rFonts w:asciiTheme="minorHAnsi" w:hAnsiTheme="minorHAnsi" w:cstheme="minorHAnsi"/>
                <w:b/>
                <w:sz w:val="18"/>
                <w:szCs w:val="18"/>
              </w:rPr>
              <w:t>1</w:t>
            </w:r>
          </w:p>
        </w:tc>
        <w:tc>
          <w:tcPr>
            <w:tcW w:w="1087" w:type="dxa"/>
            <w:shd w:val="clear" w:color="auto" w:fill="E5F1FF"/>
            <w:vAlign w:val="center"/>
          </w:tcPr>
          <w:p w14:paraId="7E9CC0C5" w14:textId="77777777" w:rsidR="00D44F40" w:rsidRPr="00712C23" w:rsidRDefault="00D44F40" w:rsidP="00D677B3">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2018–</w:t>
            </w:r>
            <w:r w:rsidRPr="00712C23">
              <w:rPr>
                <w:rFonts w:asciiTheme="minorHAnsi" w:hAnsiTheme="minorHAnsi" w:cstheme="minorHAnsi"/>
                <w:b/>
                <w:sz w:val="18"/>
                <w:szCs w:val="18"/>
              </w:rPr>
              <w:t>2021</w:t>
            </w:r>
          </w:p>
        </w:tc>
        <w:tc>
          <w:tcPr>
            <w:tcW w:w="1087" w:type="dxa"/>
            <w:shd w:val="clear" w:color="auto" w:fill="E5F1FF"/>
            <w:vAlign w:val="center"/>
          </w:tcPr>
          <w:p w14:paraId="5E9C4445" w14:textId="77777777" w:rsidR="00D44F40" w:rsidRPr="00712C23" w:rsidRDefault="00D44F40" w:rsidP="00D677B3">
            <w:pPr>
              <w:autoSpaceDE w:val="0"/>
              <w:autoSpaceDN w:val="0"/>
              <w:adjustRightInd w:val="0"/>
              <w:spacing w:after="40"/>
              <w:jc w:val="center"/>
              <w:rPr>
                <w:rFonts w:asciiTheme="minorHAnsi" w:hAnsiTheme="minorHAnsi" w:cstheme="minorHAnsi"/>
                <w:b/>
                <w:sz w:val="18"/>
                <w:szCs w:val="18"/>
              </w:rPr>
            </w:pPr>
            <w:r w:rsidRPr="00712C23">
              <w:rPr>
                <w:rFonts w:asciiTheme="minorHAnsi" w:hAnsiTheme="minorHAnsi" w:cstheme="minorHAnsi"/>
                <w:b/>
                <w:sz w:val="18"/>
                <w:szCs w:val="18"/>
              </w:rPr>
              <w:t>2022</w:t>
            </w:r>
            <w:r w:rsidRPr="00A80247">
              <w:rPr>
                <w:rFonts w:ascii="Calibri" w:hAnsi="Calibri" w:cs="Calibri"/>
                <w:color w:val="000000"/>
              </w:rPr>
              <w:t>*</w:t>
            </w:r>
          </w:p>
        </w:tc>
      </w:tr>
      <w:tr w:rsidR="00D44F40" w:rsidRPr="00243E67" w14:paraId="25414A29" w14:textId="77777777" w:rsidTr="00900E7F">
        <w:trPr>
          <w:trHeight w:val="340"/>
        </w:trPr>
        <w:tc>
          <w:tcPr>
            <w:tcW w:w="2835" w:type="dxa"/>
            <w:shd w:val="clear" w:color="auto" w:fill="auto"/>
            <w:vAlign w:val="center"/>
          </w:tcPr>
          <w:p w14:paraId="47875F9B" w14:textId="77777777" w:rsidR="00D44F40" w:rsidRPr="00480B55" w:rsidRDefault="00D44F40" w:rsidP="00D44F40">
            <w:pPr>
              <w:autoSpaceDE w:val="0"/>
              <w:autoSpaceDN w:val="0"/>
              <w:adjustRightInd w:val="0"/>
              <w:rPr>
                <w:rFonts w:asciiTheme="minorHAnsi" w:hAnsiTheme="minorHAnsi" w:cstheme="minorHAnsi"/>
                <w:sz w:val="18"/>
                <w:szCs w:val="18"/>
              </w:rPr>
            </w:pPr>
            <w:r w:rsidRPr="00480B55">
              <w:rPr>
                <w:rFonts w:asciiTheme="minorHAnsi" w:hAnsiTheme="minorHAnsi" w:cstheme="minorHAnsi"/>
                <w:sz w:val="18"/>
                <w:szCs w:val="18"/>
              </w:rPr>
              <w:t>Automobily osobní silniční</w:t>
            </w:r>
          </w:p>
        </w:tc>
        <w:tc>
          <w:tcPr>
            <w:tcW w:w="945" w:type="dxa"/>
            <w:shd w:val="clear" w:color="auto" w:fill="auto"/>
            <w:vAlign w:val="center"/>
          </w:tcPr>
          <w:p w14:paraId="2F6BA649" w14:textId="77777777" w:rsidR="00D44F40" w:rsidRPr="00480B55" w:rsidRDefault="00D44F40" w:rsidP="0057756E">
            <w:pPr>
              <w:autoSpaceDE w:val="0"/>
              <w:autoSpaceDN w:val="0"/>
              <w:adjustRightInd w:val="0"/>
              <w:jc w:val="right"/>
              <w:rPr>
                <w:rFonts w:asciiTheme="minorHAnsi" w:hAnsiTheme="minorHAnsi" w:cstheme="minorHAnsi"/>
                <w:sz w:val="18"/>
                <w:szCs w:val="18"/>
              </w:rPr>
            </w:pPr>
            <w:r w:rsidRPr="00480B55">
              <w:rPr>
                <w:rFonts w:asciiTheme="minorHAnsi" w:hAnsiTheme="minorHAnsi" w:cstheme="minorHAnsi"/>
                <w:sz w:val="18"/>
                <w:szCs w:val="18"/>
              </w:rPr>
              <w:t>19 659,5</w:t>
            </w:r>
          </w:p>
        </w:tc>
        <w:tc>
          <w:tcPr>
            <w:tcW w:w="1087" w:type="dxa"/>
            <w:shd w:val="clear" w:color="auto" w:fill="auto"/>
            <w:vAlign w:val="center"/>
          </w:tcPr>
          <w:p w14:paraId="4FD7045A" w14:textId="77777777" w:rsidR="00D44F40" w:rsidRPr="00480B55" w:rsidRDefault="00D44F40" w:rsidP="0057756E">
            <w:pPr>
              <w:jc w:val="right"/>
              <w:rPr>
                <w:rFonts w:asciiTheme="minorHAnsi" w:hAnsiTheme="minorHAnsi" w:cstheme="minorHAnsi"/>
                <w:sz w:val="18"/>
                <w:szCs w:val="18"/>
              </w:rPr>
            </w:pPr>
            <w:r w:rsidRPr="00480B55">
              <w:rPr>
                <w:rFonts w:asciiTheme="minorHAnsi" w:hAnsiTheme="minorHAnsi" w:cstheme="minorHAnsi"/>
                <w:sz w:val="18"/>
                <w:szCs w:val="18"/>
              </w:rPr>
              <w:t>14 916,0</w:t>
            </w:r>
          </w:p>
        </w:tc>
        <w:tc>
          <w:tcPr>
            <w:tcW w:w="1087" w:type="dxa"/>
            <w:shd w:val="clear" w:color="auto" w:fill="auto"/>
            <w:vAlign w:val="center"/>
          </w:tcPr>
          <w:p w14:paraId="06CED5A1" w14:textId="77777777" w:rsidR="00D44F40" w:rsidRPr="00480B55" w:rsidRDefault="00D44F40" w:rsidP="0057756E">
            <w:pPr>
              <w:jc w:val="right"/>
              <w:rPr>
                <w:rFonts w:asciiTheme="minorHAnsi" w:hAnsiTheme="minorHAnsi" w:cstheme="minorHAnsi"/>
                <w:sz w:val="18"/>
                <w:szCs w:val="18"/>
              </w:rPr>
            </w:pPr>
            <w:r w:rsidRPr="00480B55">
              <w:rPr>
                <w:rFonts w:asciiTheme="minorHAnsi" w:hAnsiTheme="minorHAnsi" w:cstheme="minorHAnsi"/>
                <w:sz w:val="18"/>
                <w:szCs w:val="18"/>
              </w:rPr>
              <w:t>14 565,7</w:t>
            </w:r>
          </w:p>
        </w:tc>
        <w:tc>
          <w:tcPr>
            <w:tcW w:w="1086" w:type="dxa"/>
            <w:shd w:val="clear" w:color="auto" w:fill="auto"/>
            <w:vAlign w:val="center"/>
          </w:tcPr>
          <w:p w14:paraId="47E6284D" w14:textId="7F5C7DE8" w:rsidR="00D44F40" w:rsidRPr="00480B55" w:rsidRDefault="00D44F40" w:rsidP="0057756E">
            <w:pPr>
              <w:autoSpaceDE w:val="0"/>
              <w:autoSpaceDN w:val="0"/>
              <w:adjustRightInd w:val="0"/>
              <w:jc w:val="right"/>
              <w:rPr>
                <w:rFonts w:asciiTheme="minorHAnsi" w:hAnsiTheme="minorHAnsi" w:cstheme="minorHAnsi"/>
                <w:sz w:val="18"/>
                <w:szCs w:val="18"/>
              </w:rPr>
            </w:pPr>
            <w:r w:rsidRPr="00480B55">
              <w:rPr>
                <w:rFonts w:asciiTheme="minorHAnsi" w:hAnsiTheme="minorHAnsi" w:cstheme="minorHAnsi"/>
                <w:sz w:val="18"/>
                <w:szCs w:val="18"/>
              </w:rPr>
              <w:t>22 575,2</w:t>
            </w:r>
          </w:p>
        </w:tc>
        <w:tc>
          <w:tcPr>
            <w:tcW w:w="1087" w:type="dxa"/>
            <w:shd w:val="clear" w:color="auto" w:fill="auto"/>
            <w:vAlign w:val="center"/>
          </w:tcPr>
          <w:p w14:paraId="63A4EF42" w14:textId="77777777" w:rsidR="00D44F40" w:rsidRPr="00133B59" w:rsidRDefault="00D44F40" w:rsidP="0057756E">
            <w:pPr>
              <w:autoSpaceDE w:val="0"/>
              <w:autoSpaceDN w:val="0"/>
              <w:adjustRightInd w:val="0"/>
              <w:jc w:val="right"/>
              <w:rPr>
                <w:rFonts w:asciiTheme="minorHAnsi" w:hAnsiTheme="minorHAnsi" w:cstheme="minorHAnsi"/>
                <w:b/>
                <w:sz w:val="18"/>
                <w:szCs w:val="18"/>
              </w:rPr>
            </w:pPr>
            <w:r w:rsidRPr="00133B59">
              <w:rPr>
                <w:rFonts w:asciiTheme="minorHAnsi" w:hAnsiTheme="minorHAnsi" w:cstheme="minorHAnsi"/>
                <w:b/>
                <w:sz w:val="18"/>
                <w:szCs w:val="18"/>
              </w:rPr>
              <w:t>71 716,4</w:t>
            </w:r>
          </w:p>
        </w:tc>
        <w:tc>
          <w:tcPr>
            <w:tcW w:w="1087" w:type="dxa"/>
            <w:shd w:val="clear" w:color="auto" w:fill="auto"/>
            <w:vAlign w:val="center"/>
          </w:tcPr>
          <w:p w14:paraId="497B9649" w14:textId="77777777" w:rsidR="00D44F40" w:rsidRPr="0045590F" w:rsidRDefault="00D44F40" w:rsidP="0057756E">
            <w:pPr>
              <w:autoSpaceDE w:val="0"/>
              <w:autoSpaceDN w:val="0"/>
              <w:adjustRightInd w:val="0"/>
              <w:jc w:val="right"/>
              <w:rPr>
                <w:rFonts w:asciiTheme="minorHAnsi" w:hAnsiTheme="minorHAnsi" w:cstheme="minorHAnsi"/>
                <w:sz w:val="18"/>
                <w:szCs w:val="18"/>
              </w:rPr>
            </w:pPr>
            <w:r w:rsidRPr="0045590F">
              <w:rPr>
                <w:rFonts w:asciiTheme="minorHAnsi" w:hAnsiTheme="minorHAnsi" w:cstheme="minorHAnsi"/>
                <w:sz w:val="18"/>
                <w:szCs w:val="18"/>
              </w:rPr>
              <w:t>24 976,3</w:t>
            </w:r>
          </w:p>
        </w:tc>
      </w:tr>
      <w:tr w:rsidR="00391D47" w:rsidRPr="00243E67" w14:paraId="05D8716F" w14:textId="77777777" w:rsidTr="00900E7F">
        <w:trPr>
          <w:trHeight w:val="20"/>
        </w:trPr>
        <w:tc>
          <w:tcPr>
            <w:tcW w:w="2835" w:type="dxa"/>
            <w:shd w:val="clear" w:color="auto" w:fill="auto"/>
            <w:vAlign w:val="center"/>
          </w:tcPr>
          <w:p w14:paraId="54C6BFFD" w14:textId="1A573488" w:rsidR="00391D47" w:rsidRPr="009232A4" w:rsidRDefault="00391D47" w:rsidP="00F53A6E">
            <w:pPr>
              <w:autoSpaceDE w:val="0"/>
              <w:autoSpaceDN w:val="0"/>
              <w:adjustRightInd w:val="0"/>
              <w:ind w:firstLine="177"/>
              <w:rPr>
                <w:rFonts w:asciiTheme="minorHAnsi" w:hAnsiTheme="minorHAnsi" w:cstheme="minorHAnsi"/>
                <w:sz w:val="18"/>
                <w:szCs w:val="18"/>
              </w:rPr>
            </w:pPr>
            <w:r w:rsidRPr="009232A4">
              <w:rPr>
                <w:rFonts w:asciiTheme="minorHAnsi" w:hAnsiTheme="minorHAnsi" w:cstheme="minorHAnsi"/>
                <w:i/>
                <w:sz w:val="16"/>
                <w:szCs w:val="16"/>
              </w:rPr>
              <w:t xml:space="preserve">v tom údržba a opravy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7C0367B" w14:textId="77777777" w:rsidR="00391D47" w:rsidRPr="009232A4" w:rsidRDefault="00391D47"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18 786,1</w:t>
            </w:r>
          </w:p>
        </w:tc>
        <w:tc>
          <w:tcPr>
            <w:tcW w:w="1087" w:type="dxa"/>
            <w:tcBorders>
              <w:top w:val="single" w:sz="4" w:space="0" w:color="auto"/>
              <w:left w:val="nil"/>
              <w:bottom w:val="single" w:sz="4" w:space="0" w:color="auto"/>
              <w:right w:val="single" w:sz="4" w:space="0" w:color="auto"/>
            </w:tcBorders>
            <w:shd w:val="clear" w:color="auto" w:fill="auto"/>
            <w:vAlign w:val="center"/>
          </w:tcPr>
          <w:p w14:paraId="53F70A43" w14:textId="77777777" w:rsidR="00391D47" w:rsidRPr="009232A4" w:rsidRDefault="00391D47" w:rsidP="0057756E">
            <w:pPr>
              <w:jc w:val="right"/>
              <w:rPr>
                <w:rFonts w:asciiTheme="minorHAnsi" w:hAnsiTheme="minorHAnsi" w:cstheme="minorHAnsi"/>
                <w:i/>
                <w:sz w:val="16"/>
                <w:szCs w:val="16"/>
              </w:rPr>
            </w:pPr>
            <w:r w:rsidRPr="009232A4">
              <w:rPr>
                <w:rFonts w:ascii="Calibri" w:hAnsi="Calibri" w:cs="Calibri"/>
                <w:i/>
                <w:color w:val="000000"/>
                <w:sz w:val="16"/>
                <w:szCs w:val="16"/>
              </w:rPr>
              <w:t>14 442,0</w:t>
            </w:r>
          </w:p>
        </w:tc>
        <w:tc>
          <w:tcPr>
            <w:tcW w:w="1087" w:type="dxa"/>
            <w:tcBorders>
              <w:top w:val="single" w:sz="4" w:space="0" w:color="auto"/>
              <w:left w:val="nil"/>
              <w:bottom w:val="single" w:sz="4" w:space="0" w:color="auto"/>
              <w:right w:val="single" w:sz="4" w:space="0" w:color="auto"/>
            </w:tcBorders>
            <w:shd w:val="clear" w:color="auto" w:fill="auto"/>
            <w:vAlign w:val="center"/>
          </w:tcPr>
          <w:p w14:paraId="475196AA" w14:textId="77777777" w:rsidR="00391D47" w:rsidRPr="009232A4" w:rsidRDefault="00391D47" w:rsidP="0057756E">
            <w:pPr>
              <w:jc w:val="right"/>
              <w:rPr>
                <w:rFonts w:asciiTheme="minorHAnsi" w:hAnsiTheme="minorHAnsi" w:cstheme="minorHAnsi"/>
                <w:i/>
                <w:sz w:val="16"/>
                <w:szCs w:val="16"/>
              </w:rPr>
            </w:pPr>
            <w:r w:rsidRPr="009232A4">
              <w:rPr>
                <w:rFonts w:ascii="Calibri" w:hAnsi="Calibri" w:cs="Calibri"/>
                <w:i/>
                <w:color w:val="000000"/>
                <w:sz w:val="16"/>
                <w:szCs w:val="16"/>
              </w:rPr>
              <w:t>14 109,3</w:t>
            </w:r>
          </w:p>
        </w:tc>
        <w:tc>
          <w:tcPr>
            <w:tcW w:w="1086" w:type="dxa"/>
            <w:tcBorders>
              <w:top w:val="single" w:sz="4" w:space="0" w:color="auto"/>
              <w:left w:val="nil"/>
              <w:bottom w:val="single" w:sz="4" w:space="0" w:color="auto"/>
              <w:right w:val="single" w:sz="4" w:space="0" w:color="auto"/>
            </w:tcBorders>
            <w:shd w:val="clear" w:color="auto" w:fill="auto"/>
            <w:vAlign w:val="center"/>
          </w:tcPr>
          <w:p w14:paraId="200DC7EF" w14:textId="77777777" w:rsidR="00391D47" w:rsidRPr="009232A4" w:rsidRDefault="00391D47"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21 866,1</w:t>
            </w:r>
          </w:p>
        </w:tc>
        <w:tc>
          <w:tcPr>
            <w:tcW w:w="1087" w:type="dxa"/>
            <w:tcBorders>
              <w:top w:val="single" w:sz="4" w:space="0" w:color="auto"/>
              <w:left w:val="nil"/>
              <w:bottom w:val="single" w:sz="4" w:space="0" w:color="auto"/>
              <w:right w:val="single" w:sz="4" w:space="0" w:color="auto"/>
            </w:tcBorders>
            <w:shd w:val="clear" w:color="auto" w:fill="auto"/>
            <w:vAlign w:val="center"/>
          </w:tcPr>
          <w:p w14:paraId="4BBBDCF0" w14:textId="77777777" w:rsidR="00391D47" w:rsidRPr="009232A4" w:rsidRDefault="00391D47" w:rsidP="0057756E">
            <w:pPr>
              <w:autoSpaceDE w:val="0"/>
              <w:autoSpaceDN w:val="0"/>
              <w:adjustRightInd w:val="0"/>
              <w:jc w:val="right"/>
              <w:rPr>
                <w:rFonts w:asciiTheme="minorHAnsi" w:hAnsiTheme="minorHAnsi" w:cstheme="minorHAnsi"/>
                <w:b/>
                <w:i/>
                <w:sz w:val="16"/>
                <w:szCs w:val="16"/>
              </w:rPr>
            </w:pPr>
            <w:r w:rsidRPr="009232A4">
              <w:rPr>
                <w:rFonts w:ascii="Calibri" w:hAnsi="Calibri" w:cs="Calibri"/>
                <w:b/>
                <w:i/>
                <w:color w:val="000000"/>
                <w:sz w:val="16"/>
                <w:szCs w:val="16"/>
              </w:rPr>
              <w:t>69 203,5</w:t>
            </w:r>
          </w:p>
        </w:tc>
        <w:tc>
          <w:tcPr>
            <w:tcW w:w="1087" w:type="dxa"/>
            <w:tcBorders>
              <w:top w:val="single" w:sz="4" w:space="0" w:color="auto"/>
              <w:left w:val="nil"/>
              <w:bottom w:val="single" w:sz="4" w:space="0" w:color="auto"/>
              <w:right w:val="single" w:sz="4" w:space="0" w:color="auto"/>
            </w:tcBorders>
            <w:shd w:val="clear" w:color="auto" w:fill="auto"/>
            <w:vAlign w:val="center"/>
          </w:tcPr>
          <w:p w14:paraId="0117B71D" w14:textId="77777777" w:rsidR="00391D47" w:rsidRPr="009232A4" w:rsidRDefault="00391D47"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23 452,9</w:t>
            </w:r>
          </w:p>
        </w:tc>
      </w:tr>
      <w:tr w:rsidR="00391D47" w:rsidRPr="00243E67" w14:paraId="7D8A9024" w14:textId="77777777" w:rsidTr="00900E7F">
        <w:trPr>
          <w:trHeight w:val="20"/>
        </w:trPr>
        <w:tc>
          <w:tcPr>
            <w:tcW w:w="2835" w:type="dxa"/>
            <w:shd w:val="clear" w:color="auto" w:fill="auto"/>
            <w:vAlign w:val="center"/>
          </w:tcPr>
          <w:p w14:paraId="5B847502" w14:textId="3A3D90D4" w:rsidR="00391D47" w:rsidRPr="009232A4" w:rsidRDefault="00391D47" w:rsidP="00F53A6E">
            <w:pPr>
              <w:autoSpaceDE w:val="0"/>
              <w:autoSpaceDN w:val="0"/>
              <w:adjustRightInd w:val="0"/>
              <w:ind w:firstLine="177"/>
              <w:rPr>
                <w:rFonts w:asciiTheme="minorHAnsi" w:hAnsiTheme="minorHAnsi" w:cstheme="minorHAnsi"/>
                <w:sz w:val="18"/>
                <w:szCs w:val="18"/>
              </w:rPr>
            </w:pPr>
            <w:r w:rsidRPr="009232A4">
              <w:rPr>
                <w:rFonts w:asciiTheme="minorHAnsi" w:hAnsiTheme="minorHAnsi" w:cstheme="minorHAnsi"/>
                <w:i/>
                <w:sz w:val="16"/>
                <w:szCs w:val="16"/>
              </w:rPr>
              <w:t>v tom nákupy náhradních dílů</w:t>
            </w:r>
          </w:p>
        </w:tc>
        <w:tc>
          <w:tcPr>
            <w:tcW w:w="945" w:type="dxa"/>
            <w:tcBorders>
              <w:top w:val="nil"/>
              <w:left w:val="single" w:sz="4" w:space="0" w:color="auto"/>
              <w:bottom w:val="single" w:sz="4" w:space="0" w:color="auto"/>
              <w:right w:val="single" w:sz="4" w:space="0" w:color="auto"/>
            </w:tcBorders>
            <w:shd w:val="clear" w:color="auto" w:fill="auto"/>
            <w:vAlign w:val="center"/>
          </w:tcPr>
          <w:p w14:paraId="0389B038" w14:textId="77777777" w:rsidR="00391D47" w:rsidRPr="009232A4" w:rsidRDefault="00391D47"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873,4</w:t>
            </w:r>
          </w:p>
        </w:tc>
        <w:tc>
          <w:tcPr>
            <w:tcW w:w="1087" w:type="dxa"/>
            <w:tcBorders>
              <w:top w:val="nil"/>
              <w:left w:val="nil"/>
              <w:bottom w:val="single" w:sz="4" w:space="0" w:color="auto"/>
              <w:right w:val="single" w:sz="4" w:space="0" w:color="auto"/>
            </w:tcBorders>
            <w:shd w:val="clear" w:color="auto" w:fill="auto"/>
            <w:vAlign w:val="center"/>
          </w:tcPr>
          <w:p w14:paraId="543A0A71" w14:textId="77777777" w:rsidR="00391D47" w:rsidRPr="009232A4" w:rsidRDefault="00391D47" w:rsidP="0057756E">
            <w:pPr>
              <w:jc w:val="right"/>
              <w:rPr>
                <w:rFonts w:asciiTheme="minorHAnsi" w:hAnsiTheme="minorHAnsi" w:cstheme="minorHAnsi"/>
                <w:i/>
                <w:sz w:val="16"/>
                <w:szCs w:val="16"/>
              </w:rPr>
            </w:pPr>
            <w:r w:rsidRPr="009232A4">
              <w:rPr>
                <w:rFonts w:ascii="Calibri" w:hAnsi="Calibri" w:cs="Calibri"/>
                <w:i/>
                <w:color w:val="000000"/>
                <w:sz w:val="16"/>
                <w:szCs w:val="16"/>
              </w:rPr>
              <w:t>47</w:t>
            </w:r>
            <w:r w:rsidR="009232A4">
              <w:rPr>
                <w:rFonts w:ascii="Calibri" w:hAnsi="Calibri" w:cs="Calibri"/>
                <w:i/>
                <w:color w:val="000000"/>
                <w:sz w:val="16"/>
                <w:szCs w:val="16"/>
              </w:rPr>
              <w:t>4</w:t>
            </w:r>
            <w:r w:rsidRPr="009232A4">
              <w:rPr>
                <w:rFonts w:ascii="Calibri" w:hAnsi="Calibri" w:cs="Calibri"/>
                <w:i/>
                <w:color w:val="000000"/>
                <w:sz w:val="16"/>
                <w:szCs w:val="16"/>
              </w:rPr>
              <w:t>,</w:t>
            </w:r>
            <w:r w:rsidR="009232A4">
              <w:rPr>
                <w:rFonts w:ascii="Calibri" w:hAnsi="Calibri" w:cs="Calibri"/>
                <w:i/>
                <w:color w:val="000000"/>
                <w:sz w:val="16"/>
                <w:szCs w:val="16"/>
              </w:rPr>
              <w:t>0</w:t>
            </w:r>
          </w:p>
        </w:tc>
        <w:tc>
          <w:tcPr>
            <w:tcW w:w="1087" w:type="dxa"/>
            <w:tcBorders>
              <w:top w:val="nil"/>
              <w:left w:val="nil"/>
              <w:bottom w:val="single" w:sz="4" w:space="0" w:color="auto"/>
              <w:right w:val="single" w:sz="4" w:space="0" w:color="auto"/>
            </w:tcBorders>
            <w:shd w:val="clear" w:color="auto" w:fill="auto"/>
            <w:vAlign w:val="center"/>
          </w:tcPr>
          <w:p w14:paraId="51AF706F" w14:textId="77777777" w:rsidR="00391D47" w:rsidRPr="009232A4" w:rsidRDefault="00391D47" w:rsidP="0057756E">
            <w:pPr>
              <w:jc w:val="right"/>
              <w:rPr>
                <w:rFonts w:asciiTheme="minorHAnsi" w:hAnsiTheme="minorHAnsi" w:cstheme="minorHAnsi"/>
                <w:i/>
                <w:sz w:val="16"/>
                <w:szCs w:val="16"/>
              </w:rPr>
            </w:pPr>
            <w:r w:rsidRPr="009232A4">
              <w:rPr>
                <w:rFonts w:ascii="Calibri" w:hAnsi="Calibri" w:cs="Calibri"/>
                <w:i/>
                <w:color w:val="000000"/>
                <w:sz w:val="16"/>
                <w:szCs w:val="16"/>
              </w:rPr>
              <w:t>456,4</w:t>
            </w:r>
          </w:p>
        </w:tc>
        <w:tc>
          <w:tcPr>
            <w:tcW w:w="1086" w:type="dxa"/>
            <w:tcBorders>
              <w:top w:val="nil"/>
              <w:left w:val="nil"/>
              <w:bottom w:val="single" w:sz="4" w:space="0" w:color="auto"/>
              <w:right w:val="single" w:sz="4" w:space="0" w:color="auto"/>
            </w:tcBorders>
            <w:shd w:val="clear" w:color="auto" w:fill="auto"/>
            <w:vAlign w:val="center"/>
          </w:tcPr>
          <w:p w14:paraId="527934EE" w14:textId="77777777" w:rsidR="00391D47" w:rsidRPr="009232A4" w:rsidRDefault="00391D47"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709,1</w:t>
            </w:r>
          </w:p>
        </w:tc>
        <w:tc>
          <w:tcPr>
            <w:tcW w:w="1087" w:type="dxa"/>
            <w:tcBorders>
              <w:top w:val="nil"/>
              <w:left w:val="nil"/>
              <w:bottom w:val="single" w:sz="4" w:space="0" w:color="auto"/>
              <w:right w:val="single" w:sz="4" w:space="0" w:color="auto"/>
            </w:tcBorders>
            <w:shd w:val="clear" w:color="auto" w:fill="auto"/>
            <w:vAlign w:val="center"/>
          </w:tcPr>
          <w:p w14:paraId="0EF069CD" w14:textId="77777777" w:rsidR="00391D47" w:rsidRPr="009232A4" w:rsidRDefault="00391D47" w:rsidP="0057756E">
            <w:pPr>
              <w:autoSpaceDE w:val="0"/>
              <w:autoSpaceDN w:val="0"/>
              <w:adjustRightInd w:val="0"/>
              <w:jc w:val="right"/>
              <w:rPr>
                <w:rFonts w:asciiTheme="minorHAnsi" w:hAnsiTheme="minorHAnsi" w:cstheme="minorHAnsi"/>
                <w:b/>
                <w:i/>
                <w:sz w:val="16"/>
                <w:szCs w:val="16"/>
              </w:rPr>
            </w:pPr>
            <w:r w:rsidRPr="009232A4">
              <w:rPr>
                <w:rFonts w:ascii="Calibri" w:hAnsi="Calibri" w:cs="Calibri"/>
                <w:b/>
                <w:i/>
                <w:color w:val="000000"/>
                <w:sz w:val="16"/>
                <w:szCs w:val="16"/>
              </w:rPr>
              <w:t>2 512,9</w:t>
            </w:r>
          </w:p>
        </w:tc>
        <w:tc>
          <w:tcPr>
            <w:tcW w:w="1087" w:type="dxa"/>
            <w:tcBorders>
              <w:top w:val="nil"/>
              <w:left w:val="nil"/>
              <w:bottom w:val="single" w:sz="4" w:space="0" w:color="auto"/>
              <w:right w:val="single" w:sz="4" w:space="0" w:color="auto"/>
            </w:tcBorders>
            <w:shd w:val="clear" w:color="auto" w:fill="auto"/>
            <w:vAlign w:val="center"/>
          </w:tcPr>
          <w:p w14:paraId="3817A10F" w14:textId="77777777" w:rsidR="00391D47" w:rsidRPr="009232A4" w:rsidRDefault="00391D47"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1 523,4</w:t>
            </w:r>
          </w:p>
        </w:tc>
      </w:tr>
      <w:tr w:rsidR="00D44F40" w:rsidRPr="00243E67" w14:paraId="463BCC48" w14:textId="77777777" w:rsidTr="00900E7F">
        <w:trPr>
          <w:trHeight w:val="340"/>
        </w:trPr>
        <w:tc>
          <w:tcPr>
            <w:tcW w:w="2835" w:type="dxa"/>
            <w:shd w:val="clear" w:color="auto" w:fill="auto"/>
            <w:vAlign w:val="center"/>
          </w:tcPr>
          <w:p w14:paraId="47C8B129" w14:textId="77777777" w:rsidR="00D44F40" w:rsidRPr="00480B55" w:rsidRDefault="00D44F40" w:rsidP="00D44F40">
            <w:pPr>
              <w:autoSpaceDE w:val="0"/>
              <w:autoSpaceDN w:val="0"/>
              <w:adjustRightInd w:val="0"/>
              <w:rPr>
                <w:rFonts w:asciiTheme="minorHAnsi" w:hAnsiTheme="minorHAnsi" w:cstheme="minorHAnsi"/>
                <w:sz w:val="18"/>
                <w:szCs w:val="18"/>
              </w:rPr>
            </w:pPr>
            <w:r w:rsidRPr="00480B55">
              <w:rPr>
                <w:rFonts w:asciiTheme="minorHAnsi" w:hAnsiTheme="minorHAnsi" w:cstheme="minorHAnsi"/>
                <w:sz w:val="18"/>
                <w:szCs w:val="18"/>
              </w:rPr>
              <w:t>Automobily osobní terénní</w:t>
            </w:r>
          </w:p>
        </w:tc>
        <w:tc>
          <w:tcPr>
            <w:tcW w:w="945" w:type="dxa"/>
            <w:shd w:val="clear" w:color="auto" w:fill="auto"/>
            <w:vAlign w:val="center"/>
          </w:tcPr>
          <w:p w14:paraId="794143F0" w14:textId="77777777" w:rsidR="00D44F40" w:rsidRPr="00480B55" w:rsidRDefault="00D44F40" w:rsidP="0057756E">
            <w:pPr>
              <w:autoSpaceDE w:val="0"/>
              <w:autoSpaceDN w:val="0"/>
              <w:adjustRightInd w:val="0"/>
              <w:jc w:val="right"/>
              <w:rPr>
                <w:rFonts w:asciiTheme="minorHAnsi" w:hAnsiTheme="minorHAnsi" w:cstheme="minorHAnsi"/>
                <w:sz w:val="18"/>
                <w:szCs w:val="18"/>
              </w:rPr>
            </w:pPr>
            <w:r w:rsidRPr="00480B55">
              <w:rPr>
                <w:rFonts w:asciiTheme="minorHAnsi" w:hAnsiTheme="minorHAnsi" w:cstheme="minorHAnsi"/>
                <w:sz w:val="18"/>
                <w:szCs w:val="18"/>
              </w:rPr>
              <w:t>121 890,3</w:t>
            </w:r>
          </w:p>
        </w:tc>
        <w:tc>
          <w:tcPr>
            <w:tcW w:w="1087" w:type="dxa"/>
            <w:shd w:val="clear" w:color="auto" w:fill="auto"/>
            <w:vAlign w:val="center"/>
          </w:tcPr>
          <w:p w14:paraId="57D84A6B" w14:textId="77777777" w:rsidR="00D44F40" w:rsidRPr="00480B55" w:rsidRDefault="00D44F40" w:rsidP="0057756E">
            <w:pPr>
              <w:autoSpaceDE w:val="0"/>
              <w:autoSpaceDN w:val="0"/>
              <w:adjustRightInd w:val="0"/>
              <w:jc w:val="right"/>
              <w:rPr>
                <w:rFonts w:asciiTheme="minorHAnsi" w:hAnsiTheme="minorHAnsi" w:cstheme="minorHAnsi"/>
                <w:sz w:val="18"/>
                <w:szCs w:val="18"/>
              </w:rPr>
            </w:pPr>
            <w:r w:rsidRPr="00480B55">
              <w:rPr>
                <w:rFonts w:asciiTheme="minorHAnsi" w:hAnsiTheme="minorHAnsi" w:cstheme="minorHAnsi"/>
                <w:sz w:val="18"/>
                <w:szCs w:val="18"/>
              </w:rPr>
              <w:t>59 639,2</w:t>
            </w:r>
          </w:p>
        </w:tc>
        <w:tc>
          <w:tcPr>
            <w:tcW w:w="1087" w:type="dxa"/>
            <w:shd w:val="clear" w:color="auto" w:fill="auto"/>
            <w:vAlign w:val="center"/>
          </w:tcPr>
          <w:p w14:paraId="1FABCB02" w14:textId="77777777" w:rsidR="00D44F40" w:rsidRPr="00480B55" w:rsidRDefault="00D44F40" w:rsidP="0057756E">
            <w:pPr>
              <w:autoSpaceDE w:val="0"/>
              <w:autoSpaceDN w:val="0"/>
              <w:adjustRightInd w:val="0"/>
              <w:jc w:val="right"/>
              <w:rPr>
                <w:rFonts w:asciiTheme="minorHAnsi" w:hAnsiTheme="minorHAnsi" w:cstheme="minorHAnsi"/>
                <w:sz w:val="18"/>
                <w:szCs w:val="18"/>
              </w:rPr>
            </w:pPr>
            <w:r w:rsidRPr="00480B55">
              <w:rPr>
                <w:rFonts w:asciiTheme="minorHAnsi" w:hAnsiTheme="minorHAnsi" w:cstheme="minorHAnsi"/>
                <w:sz w:val="18"/>
                <w:szCs w:val="18"/>
              </w:rPr>
              <w:t>78 102,4</w:t>
            </w:r>
          </w:p>
        </w:tc>
        <w:tc>
          <w:tcPr>
            <w:tcW w:w="1086" w:type="dxa"/>
            <w:shd w:val="clear" w:color="auto" w:fill="auto"/>
            <w:vAlign w:val="center"/>
          </w:tcPr>
          <w:p w14:paraId="1C97C0EE" w14:textId="77777777" w:rsidR="00D44F40" w:rsidRPr="00480B55" w:rsidRDefault="00D44F40" w:rsidP="0057756E">
            <w:pPr>
              <w:autoSpaceDE w:val="0"/>
              <w:autoSpaceDN w:val="0"/>
              <w:adjustRightInd w:val="0"/>
              <w:jc w:val="right"/>
              <w:rPr>
                <w:rFonts w:asciiTheme="minorHAnsi" w:hAnsiTheme="minorHAnsi" w:cstheme="minorHAnsi"/>
                <w:sz w:val="18"/>
                <w:szCs w:val="18"/>
              </w:rPr>
            </w:pPr>
            <w:r w:rsidRPr="00480B55">
              <w:rPr>
                <w:rFonts w:asciiTheme="minorHAnsi" w:hAnsiTheme="minorHAnsi" w:cstheme="minorHAnsi"/>
                <w:sz w:val="18"/>
                <w:szCs w:val="18"/>
              </w:rPr>
              <w:t>2 406,5</w:t>
            </w:r>
          </w:p>
        </w:tc>
        <w:tc>
          <w:tcPr>
            <w:tcW w:w="1087" w:type="dxa"/>
            <w:shd w:val="clear" w:color="auto" w:fill="auto"/>
            <w:vAlign w:val="center"/>
          </w:tcPr>
          <w:p w14:paraId="04D11C98" w14:textId="77777777" w:rsidR="00D44F40" w:rsidRPr="00066303" w:rsidRDefault="00D44F40" w:rsidP="0057756E">
            <w:pPr>
              <w:autoSpaceDE w:val="0"/>
              <w:autoSpaceDN w:val="0"/>
              <w:adjustRightInd w:val="0"/>
              <w:jc w:val="right"/>
              <w:rPr>
                <w:rFonts w:asciiTheme="minorHAnsi" w:hAnsiTheme="minorHAnsi" w:cstheme="minorHAnsi"/>
                <w:b/>
                <w:sz w:val="18"/>
                <w:szCs w:val="18"/>
              </w:rPr>
            </w:pPr>
            <w:r w:rsidRPr="00066303">
              <w:rPr>
                <w:rFonts w:asciiTheme="minorHAnsi" w:hAnsiTheme="minorHAnsi" w:cstheme="minorHAnsi"/>
                <w:b/>
                <w:sz w:val="18"/>
                <w:szCs w:val="18"/>
              </w:rPr>
              <w:t>262 038,4</w:t>
            </w:r>
          </w:p>
        </w:tc>
        <w:tc>
          <w:tcPr>
            <w:tcW w:w="1087" w:type="dxa"/>
            <w:shd w:val="clear" w:color="auto" w:fill="auto"/>
            <w:vAlign w:val="center"/>
          </w:tcPr>
          <w:p w14:paraId="6542942F" w14:textId="77777777" w:rsidR="00D44F40" w:rsidRPr="0045590F" w:rsidRDefault="00D44F40" w:rsidP="0057756E">
            <w:pPr>
              <w:autoSpaceDE w:val="0"/>
              <w:autoSpaceDN w:val="0"/>
              <w:adjustRightInd w:val="0"/>
              <w:jc w:val="right"/>
              <w:rPr>
                <w:rFonts w:asciiTheme="minorHAnsi" w:hAnsiTheme="minorHAnsi" w:cstheme="minorHAnsi"/>
                <w:sz w:val="18"/>
                <w:szCs w:val="18"/>
              </w:rPr>
            </w:pPr>
            <w:r w:rsidRPr="0045590F">
              <w:rPr>
                <w:rFonts w:asciiTheme="minorHAnsi" w:hAnsiTheme="minorHAnsi" w:cstheme="minorHAnsi"/>
                <w:sz w:val="18"/>
                <w:szCs w:val="18"/>
              </w:rPr>
              <w:t>71 998,7</w:t>
            </w:r>
          </w:p>
        </w:tc>
      </w:tr>
      <w:tr w:rsidR="00D44F40" w:rsidRPr="00243E67" w14:paraId="39BE3A71" w14:textId="77777777" w:rsidTr="00900E7F">
        <w:trPr>
          <w:trHeight w:val="20"/>
        </w:trPr>
        <w:tc>
          <w:tcPr>
            <w:tcW w:w="2835" w:type="dxa"/>
            <w:shd w:val="clear" w:color="auto" w:fill="auto"/>
            <w:vAlign w:val="center"/>
          </w:tcPr>
          <w:p w14:paraId="7F18ADA2" w14:textId="66E9DBF8" w:rsidR="00D44F40" w:rsidRPr="00866640" w:rsidRDefault="00D44F40" w:rsidP="00F53A6E">
            <w:pPr>
              <w:autoSpaceDE w:val="0"/>
              <w:autoSpaceDN w:val="0"/>
              <w:adjustRightInd w:val="0"/>
              <w:ind w:firstLine="177"/>
              <w:rPr>
                <w:rFonts w:cstheme="minorHAnsi"/>
                <w:i/>
                <w:sz w:val="16"/>
                <w:szCs w:val="16"/>
              </w:rPr>
            </w:pPr>
            <w:r w:rsidRPr="00866640">
              <w:rPr>
                <w:rFonts w:asciiTheme="minorHAnsi" w:hAnsiTheme="minorHAnsi" w:cstheme="minorHAnsi"/>
                <w:i/>
                <w:sz w:val="16"/>
                <w:szCs w:val="16"/>
              </w:rPr>
              <w:t xml:space="preserve">v tom údržba a opravy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70CA2AFE"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50 347,2</w:t>
            </w:r>
          </w:p>
        </w:tc>
        <w:tc>
          <w:tcPr>
            <w:tcW w:w="1087" w:type="dxa"/>
            <w:tcBorders>
              <w:top w:val="single" w:sz="4" w:space="0" w:color="auto"/>
              <w:left w:val="nil"/>
              <w:bottom w:val="single" w:sz="4" w:space="0" w:color="auto"/>
              <w:right w:val="single" w:sz="4" w:space="0" w:color="auto"/>
            </w:tcBorders>
            <w:shd w:val="clear" w:color="auto" w:fill="auto"/>
            <w:vAlign w:val="center"/>
          </w:tcPr>
          <w:p w14:paraId="16E037F4"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40 712,6</w:t>
            </w:r>
          </w:p>
        </w:tc>
        <w:tc>
          <w:tcPr>
            <w:tcW w:w="1087" w:type="dxa"/>
            <w:tcBorders>
              <w:top w:val="single" w:sz="4" w:space="0" w:color="auto"/>
              <w:left w:val="nil"/>
              <w:bottom w:val="single" w:sz="4" w:space="0" w:color="auto"/>
              <w:right w:val="single" w:sz="4" w:space="0" w:color="auto"/>
            </w:tcBorders>
            <w:shd w:val="clear" w:color="auto" w:fill="auto"/>
            <w:vAlign w:val="center"/>
          </w:tcPr>
          <w:p w14:paraId="32CF51D9"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34 374,7</w:t>
            </w:r>
          </w:p>
        </w:tc>
        <w:tc>
          <w:tcPr>
            <w:tcW w:w="1086" w:type="dxa"/>
            <w:tcBorders>
              <w:top w:val="single" w:sz="4" w:space="0" w:color="auto"/>
              <w:left w:val="nil"/>
              <w:bottom w:val="single" w:sz="4" w:space="0" w:color="auto"/>
              <w:right w:val="single" w:sz="4" w:space="0" w:color="auto"/>
            </w:tcBorders>
            <w:shd w:val="clear" w:color="auto" w:fill="auto"/>
            <w:vAlign w:val="center"/>
          </w:tcPr>
          <w:p w14:paraId="5683D33D"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1 027,8</w:t>
            </w:r>
          </w:p>
        </w:tc>
        <w:tc>
          <w:tcPr>
            <w:tcW w:w="1087" w:type="dxa"/>
            <w:tcBorders>
              <w:top w:val="single" w:sz="4" w:space="0" w:color="auto"/>
              <w:left w:val="nil"/>
              <w:bottom w:val="single" w:sz="4" w:space="0" w:color="auto"/>
              <w:right w:val="single" w:sz="4" w:space="0" w:color="auto"/>
            </w:tcBorders>
            <w:shd w:val="clear" w:color="auto" w:fill="auto"/>
            <w:vAlign w:val="center"/>
          </w:tcPr>
          <w:p w14:paraId="1A4BAA19" w14:textId="77777777" w:rsidR="00D44F40" w:rsidRPr="00866640" w:rsidRDefault="00D44F40" w:rsidP="0057756E">
            <w:pPr>
              <w:autoSpaceDE w:val="0"/>
              <w:autoSpaceDN w:val="0"/>
              <w:adjustRightInd w:val="0"/>
              <w:jc w:val="right"/>
              <w:rPr>
                <w:rFonts w:cstheme="minorHAnsi"/>
                <w:b/>
                <w:i/>
                <w:sz w:val="16"/>
                <w:szCs w:val="16"/>
              </w:rPr>
            </w:pPr>
            <w:r w:rsidRPr="00866640">
              <w:rPr>
                <w:rFonts w:ascii="Calibri" w:hAnsi="Calibri" w:cs="Calibri"/>
                <w:b/>
                <w:i/>
                <w:color w:val="000000"/>
                <w:sz w:val="16"/>
                <w:szCs w:val="16"/>
              </w:rPr>
              <w:t>126 462,3</w:t>
            </w:r>
          </w:p>
        </w:tc>
        <w:tc>
          <w:tcPr>
            <w:tcW w:w="1087" w:type="dxa"/>
            <w:tcBorders>
              <w:top w:val="single" w:sz="4" w:space="0" w:color="auto"/>
              <w:left w:val="nil"/>
              <w:bottom w:val="single" w:sz="4" w:space="0" w:color="auto"/>
              <w:right w:val="single" w:sz="4" w:space="0" w:color="auto"/>
            </w:tcBorders>
            <w:shd w:val="clear" w:color="auto" w:fill="auto"/>
            <w:vAlign w:val="center"/>
          </w:tcPr>
          <w:p w14:paraId="63C939E0"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iCs/>
                <w:color w:val="000000"/>
                <w:sz w:val="16"/>
                <w:szCs w:val="16"/>
              </w:rPr>
              <w:t>41 105,5</w:t>
            </w:r>
          </w:p>
        </w:tc>
      </w:tr>
      <w:tr w:rsidR="00D44F40" w:rsidRPr="00243E67" w14:paraId="54EC9C41" w14:textId="77777777" w:rsidTr="00900E7F">
        <w:trPr>
          <w:trHeight w:val="20"/>
        </w:trPr>
        <w:tc>
          <w:tcPr>
            <w:tcW w:w="2835" w:type="dxa"/>
            <w:shd w:val="clear" w:color="auto" w:fill="auto"/>
            <w:vAlign w:val="center"/>
          </w:tcPr>
          <w:p w14:paraId="51D4C263" w14:textId="34A8B9D2" w:rsidR="00D44F40" w:rsidRPr="00866640" w:rsidRDefault="00D44F40" w:rsidP="00F53A6E">
            <w:pPr>
              <w:autoSpaceDE w:val="0"/>
              <w:autoSpaceDN w:val="0"/>
              <w:adjustRightInd w:val="0"/>
              <w:ind w:firstLine="177"/>
              <w:rPr>
                <w:rFonts w:cstheme="minorHAnsi"/>
                <w:i/>
                <w:sz w:val="16"/>
                <w:szCs w:val="16"/>
              </w:rPr>
            </w:pPr>
            <w:r w:rsidRPr="00866640">
              <w:rPr>
                <w:rFonts w:asciiTheme="minorHAnsi" w:hAnsiTheme="minorHAnsi" w:cstheme="minorHAnsi"/>
                <w:i/>
                <w:sz w:val="16"/>
                <w:szCs w:val="16"/>
              </w:rPr>
              <w:t>v tom nákupy náhradních dílů</w:t>
            </w:r>
          </w:p>
        </w:tc>
        <w:tc>
          <w:tcPr>
            <w:tcW w:w="945" w:type="dxa"/>
            <w:tcBorders>
              <w:top w:val="nil"/>
              <w:left w:val="single" w:sz="4" w:space="0" w:color="auto"/>
              <w:bottom w:val="single" w:sz="4" w:space="0" w:color="auto"/>
              <w:right w:val="single" w:sz="4" w:space="0" w:color="auto"/>
            </w:tcBorders>
            <w:shd w:val="clear" w:color="auto" w:fill="auto"/>
            <w:vAlign w:val="center"/>
          </w:tcPr>
          <w:p w14:paraId="6A3238CA"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71 543,1</w:t>
            </w:r>
          </w:p>
        </w:tc>
        <w:tc>
          <w:tcPr>
            <w:tcW w:w="1087" w:type="dxa"/>
            <w:tcBorders>
              <w:top w:val="nil"/>
              <w:left w:val="nil"/>
              <w:bottom w:val="single" w:sz="4" w:space="0" w:color="auto"/>
              <w:right w:val="single" w:sz="4" w:space="0" w:color="auto"/>
            </w:tcBorders>
            <w:shd w:val="clear" w:color="auto" w:fill="auto"/>
            <w:vAlign w:val="center"/>
          </w:tcPr>
          <w:p w14:paraId="23B97BA5"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18 926,6</w:t>
            </w:r>
          </w:p>
        </w:tc>
        <w:tc>
          <w:tcPr>
            <w:tcW w:w="1087" w:type="dxa"/>
            <w:tcBorders>
              <w:top w:val="nil"/>
              <w:left w:val="nil"/>
              <w:bottom w:val="single" w:sz="4" w:space="0" w:color="auto"/>
              <w:right w:val="single" w:sz="4" w:space="0" w:color="auto"/>
            </w:tcBorders>
            <w:shd w:val="clear" w:color="auto" w:fill="auto"/>
            <w:vAlign w:val="center"/>
          </w:tcPr>
          <w:p w14:paraId="1DC92FC0"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43 727,7</w:t>
            </w:r>
          </w:p>
        </w:tc>
        <w:tc>
          <w:tcPr>
            <w:tcW w:w="1086" w:type="dxa"/>
            <w:tcBorders>
              <w:top w:val="nil"/>
              <w:left w:val="nil"/>
              <w:bottom w:val="single" w:sz="4" w:space="0" w:color="auto"/>
              <w:right w:val="single" w:sz="4" w:space="0" w:color="auto"/>
            </w:tcBorders>
            <w:shd w:val="clear" w:color="auto" w:fill="auto"/>
            <w:vAlign w:val="center"/>
          </w:tcPr>
          <w:p w14:paraId="4A39A52D"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1 378,7</w:t>
            </w:r>
          </w:p>
        </w:tc>
        <w:tc>
          <w:tcPr>
            <w:tcW w:w="1087" w:type="dxa"/>
            <w:tcBorders>
              <w:top w:val="nil"/>
              <w:left w:val="nil"/>
              <w:bottom w:val="single" w:sz="4" w:space="0" w:color="auto"/>
              <w:right w:val="single" w:sz="4" w:space="0" w:color="auto"/>
            </w:tcBorders>
            <w:shd w:val="clear" w:color="auto" w:fill="auto"/>
            <w:vAlign w:val="center"/>
          </w:tcPr>
          <w:p w14:paraId="208293AE" w14:textId="77777777" w:rsidR="00D44F40" w:rsidRPr="00866640" w:rsidRDefault="00D44F40" w:rsidP="0057756E">
            <w:pPr>
              <w:autoSpaceDE w:val="0"/>
              <w:autoSpaceDN w:val="0"/>
              <w:adjustRightInd w:val="0"/>
              <w:jc w:val="right"/>
              <w:rPr>
                <w:rFonts w:cstheme="minorHAnsi"/>
                <w:b/>
                <w:i/>
                <w:sz w:val="16"/>
                <w:szCs w:val="16"/>
              </w:rPr>
            </w:pPr>
            <w:r w:rsidRPr="00866640">
              <w:rPr>
                <w:rFonts w:ascii="Calibri" w:hAnsi="Calibri" w:cs="Calibri"/>
                <w:b/>
                <w:i/>
                <w:color w:val="000000"/>
                <w:sz w:val="16"/>
                <w:szCs w:val="16"/>
              </w:rPr>
              <w:t>135 576,1</w:t>
            </w:r>
          </w:p>
        </w:tc>
        <w:tc>
          <w:tcPr>
            <w:tcW w:w="1087" w:type="dxa"/>
            <w:tcBorders>
              <w:top w:val="nil"/>
              <w:left w:val="nil"/>
              <w:bottom w:val="single" w:sz="4" w:space="0" w:color="auto"/>
              <w:right w:val="single" w:sz="4" w:space="0" w:color="auto"/>
            </w:tcBorders>
            <w:shd w:val="clear" w:color="auto" w:fill="auto"/>
            <w:vAlign w:val="center"/>
          </w:tcPr>
          <w:p w14:paraId="4C683601" w14:textId="77777777" w:rsidR="00D44F40" w:rsidRPr="00866640" w:rsidRDefault="00D44F40" w:rsidP="0057756E">
            <w:pPr>
              <w:autoSpaceDE w:val="0"/>
              <w:autoSpaceDN w:val="0"/>
              <w:adjustRightInd w:val="0"/>
              <w:jc w:val="right"/>
              <w:rPr>
                <w:rFonts w:cstheme="minorHAnsi"/>
                <w:i/>
                <w:sz w:val="16"/>
                <w:szCs w:val="16"/>
              </w:rPr>
            </w:pPr>
            <w:r w:rsidRPr="00866640">
              <w:rPr>
                <w:rFonts w:ascii="Calibri" w:hAnsi="Calibri" w:cs="Calibri"/>
                <w:i/>
                <w:iCs/>
                <w:color w:val="000000"/>
                <w:sz w:val="16"/>
                <w:szCs w:val="16"/>
              </w:rPr>
              <w:t>30 893,2</w:t>
            </w:r>
          </w:p>
        </w:tc>
      </w:tr>
      <w:tr w:rsidR="00D44F40" w:rsidRPr="00243E67" w14:paraId="4EFACC62" w14:textId="77777777" w:rsidTr="00900E7F">
        <w:trPr>
          <w:trHeight w:val="340"/>
        </w:trPr>
        <w:tc>
          <w:tcPr>
            <w:tcW w:w="2835" w:type="dxa"/>
            <w:tcBorders>
              <w:bottom w:val="single" w:sz="4" w:space="0" w:color="auto"/>
            </w:tcBorders>
            <w:shd w:val="clear" w:color="auto" w:fill="auto"/>
            <w:vAlign w:val="center"/>
          </w:tcPr>
          <w:p w14:paraId="143345EE" w14:textId="77777777" w:rsidR="00D44F40" w:rsidRPr="00480B55" w:rsidRDefault="00D44F40" w:rsidP="00D44F40">
            <w:pPr>
              <w:autoSpaceDE w:val="0"/>
              <w:autoSpaceDN w:val="0"/>
              <w:adjustRightInd w:val="0"/>
              <w:rPr>
                <w:rFonts w:asciiTheme="minorHAnsi" w:hAnsiTheme="minorHAnsi" w:cstheme="minorHAnsi"/>
                <w:sz w:val="18"/>
                <w:szCs w:val="18"/>
              </w:rPr>
            </w:pPr>
            <w:r w:rsidRPr="00480B55">
              <w:rPr>
                <w:rFonts w:asciiTheme="minorHAnsi" w:hAnsiTheme="minorHAnsi" w:cstheme="minorHAnsi"/>
                <w:sz w:val="18"/>
                <w:szCs w:val="18"/>
              </w:rPr>
              <w:t>Automobily nákladní a speciální**</w:t>
            </w:r>
          </w:p>
        </w:tc>
        <w:tc>
          <w:tcPr>
            <w:tcW w:w="945" w:type="dxa"/>
            <w:tcBorders>
              <w:bottom w:val="single" w:sz="4" w:space="0" w:color="auto"/>
            </w:tcBorders>
            <w:shd w:val="clear" w:color="auto" w:fill="auto"/>
            <w:vAlign w:val="center"/>
          </w:tcPr>
          <w:p w14:paraId="0E0E668C"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159</w:t>
            </w:r>
            <w:r>
              <w:rPr>
                <w:rFonts w:asciiTheme="minorHAnsi" w:hAnsiTheme="minorHAnsi" w:cstheme="minorHAnsi"/>
                <w:sz w:val="18"/>
                <w:szCs w:val="18"/>
              </w:rPr>
              <w:t> </w:t>
            </w:r>
            <w:r w:rsidRPr="00133B59">
              <w:rPr>
                <w:rFonts w:asciiTheme="minorHAnsi" w:hAnsiTheme="minorHAnsi" w:cstheme="minorHAnsi"/>
                <w:sz w:val="18"/>
                <w:szCs w:val="18"/>
              </w:rPr>
              <w:t>422</w:t>
            </w:r>
            <w:r>
              <w:rPr>
                <w:rFonts w:asciiTheme="minorHAnsi" w:hAnsiTheme="minorHAnsi" w:cstheme="minorHAnsi"/>
                <w:sz w:val="18"/>
                <w:szCs w:val="18"/>
              </w:rPr>
              <w:t>,</w:t>
            </w:r>
            <w:r w:rsidRPr="00133B59">
              <w:rPr>
                <w:rFonts w:asciiTheme="minorHAnsi" w:hAnsiTheme="minorHAnsi" w:cstheme="minorHAnsi"/>
                <w:sz w:val="18"/>
                <w:szCs w:val="18"/>
              </w:rPr>
              <w:t>2</w:t>
            </w:r>
          </w:p>
        </w:tc>
        <w:tc>
          <w:tcPr>
            <w:tcW w:w="1087" w:type="dxa"/>
            <w:tcBorders>
              <w:bottom w:val="single" w:sz="4" w:space="0" w:color="auto"/>
            </w:tcBorders>
            <w:shd w:val="clear" w:color="auto" w:fill="auto"/>
            <w:vAlign w:val="center"/>
          </w:tcPr>
          <w:p w14:paraId="5980CD58"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153</w:t>
            </w:r>
            <w:r>
              <w:rPr>
                <w:rFonts w:asciiTheme="minorHAnsi" w:hAnsiTheme="minorHAnsi" w:cstheme="minorHAnsi"/>
                <w:sz w:val="18"/>
                <w:szCs w:val="18"/>
              </w:rPr>
              <w:t> </w:t>
            </w:r>
            <w:r w:rsidRPr="00133B59">
              <w:rPr>
                <w:rFonts w:asciiTheme="minorHAnsi" w:hAnsiTheme="minorHAnsi" w:cstheme="minorHAnsi"/>
                <w:sz w:val="18"/>
                <w:szCs w:val="18"/>
              </w:rPr>
              <w:t>190</w:t>
            </w:r>
            <w:r>
              <w:rPr>
                <w:rFonts w:asciiTheme="minorHAnsi" w:hAnsiTheme="minorHAnsi" w:cstheme="minorHAnsi"/>
                <w:sz w:val="18"/>
                <w:szCs w:val="18"/>
              </w:rPr>
              <w:t>,1</w:t>
            </w:r>
          </w:p>
        </w:tc>
        <w:tc>
          <w:tcPr>
            <w:tcW w:w="1087" w:type="dxa"/>
            <w:tcBorders>
              <w:bottom w:val="single" w:sz="4" w:space="0" w:color="auto"/>
            </w:tcBorders>
            <w:shd w:val="clear" w:color="auto" w:fill="auto"/>
            <w:vAlign w:val="center"/>
          </w:tcPr>
          <w:p w14:paraId="3D52838F"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143</w:t>
            </w:r>
            <w:r>
              <w:rPr>
                <w:rFonts w:asciiTheme="minorHAnsi" w:hAnsiTheme="minorHAnsi" w:cstheme="minorHAnsi"/>
                <w:sz w:val="18"/>
                <w:szCs w:val="18"/>
              </w:rPr>
              <w:t> </w:t>
            </w:r>
            <w:r w:rsidRPr="00133B59">
              <w:rPr>
                <w:rFonts w:asciiTheme="minorHAnsi" w:hAnsiTheme="minorHAnsi" w:cstheme="minorHAnsi"/>
                <w:sz w:val="18"/>
                <w:szCs w:val="18"/>
              </w:rPr>
              <w:t>370</w:t>
            </w:r>
            <w:r>
              <w:rPr>
                <w:rFonts w:asciiTheme="minorHAnsi" w:hAnsiTheme="minorHAnsi" w:cstheme="minorHAnsi"/>
                <w:sz w:val="18"/>
                <w:szCs w:val="18"/>
              </w:rPr>
              <w:t>,</w:t>
            </w:r>
            <w:r w:rsidRPr="00133B59">
              <w:rPr>
                <w:rFonts w:asciiTheme="minorHAnsi" w:hAnsiTheme="minorHAnsi" w:cstheme="minorHAnsi"/>
                <w:sz w:val="18"/>
                <w:szCs w:val="18"/>
              </w:rPr>
              <w:t>6</w:t>
            </w:r>
          </w:p>
        </w:tc>
        <w:tc>
          <w:tcPr>
            <w:tcW w:w="1086" w:type="dxa"/>
            <w:tcBorders>
              <w:bottom w:val="single" w:sz="4" w:space="0" w:color="auto"/>
            </w:tcBorders>
            <w:shd w:val="clear" w:color="auto" w:fill="auto"/>
            <w:vAlign w:val="center"/>
          </w:tcPr>
          <w:p w14:paraId="218DCF94"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103</w:t>
            </w:r>
            <w:r>
              <w:rPr>
                <w:rFonts w:asciiTheme="minorHAnsi" w:hAnsiTheme="minorHAnsi" w:cstheme="minorHAnsi"/>
                <w:sz w:val="18"/>
                <w:szCs w:val="18"/>
              </w:rPr>
              <w:t> </w:t>
            </w:r>
            <w:r w:rsidRPr="00133B59">
              <w:rPr>
                <w:rFonts w:asciiTheme="minorHAnsi" w:hAnsiTheme="minorHAnsi" w:cstheme="minorHAnsi"/>
                <w:sz w:val="18"/>
                <w:szCs w:val="18"/>
              </w:rPr>
              <w:t>988</w:t>
            </w:r>
            <w:r>
              <w:rPr>
                <w:rFonts w:asciiTheme="minorHAnsi" w:hAnsiTheme="minorHAnsi" w:cstheme="minorHAnsi"/>
                <w:sz w:val="18"/>
                <w:szCs w:val="18"/>
              </w:rPr>
              <w:t>,1</w:t>
            </w:r>
          </w:p>
        </w:tc>
        <w:tc>
          <w:tcPr>
            <w:tcW w:w="1087" w:type="dxa"/>
            <w:tcBorders>
              <w:bottom w:val="single" w:sz="4" w:space="0" w:color="auto"/>
            </w:tcBorders>
            <w:shd w:val="clear" w:color="auto" w:fill="auto"/>
            <w:vAlign w:val="center"/>
          </w:tcPr>
          <w:p w14:paraId="5861374E" w14:textId="77777777" w:rsidR="00D44F40" w:rsidRPr="00133B59" w:rsidRDefault="00D44F40" w:rsidP="0057756E">
            <w:pPr>
              <w:autoSpaceDE w:val="0"/>
              <w:autoSpaceDN w:val="0"/>
              <w:adjustRightInd w:val="0"/>
              <w:jc w:val="right"/>
              <w:rPr>
                <w:rFonts w:asciiTheme="minorHAnsi" w:hAnsiTheme="minorHAnsi" w:cstheme="minorHAnsi"/>
                <w:b/>
                <w:sz w:val="18"/>
                <w:szCs w:val="18"/>
              </w:rPr>
            </w:pPr>
            <w:r w:rsidRPr="00133B59">
              <w:rPr>
                <w:rFonts w:asciiTheme="minorHAnsi" w:hAnsiTheme="minorHAnsi" w:cstheme="minorHAnsi"/>
                <w:b/>
                <w:sz w:val="18"/>
                <w:szCs w:val="18"/>
              </w:rPr>
              <w:t>559 971,0</w:t>
            </w:r>
          </w:p>
        </w:tc>
        <w:tc>
          <w:tcPr>
            <w:tcW w:w="1087" w:type="dxa"/>
            <w:tcBorders>
              <w:bottom w:val="single" w:sz="4" w:space="0" w:color="auto"/>
            </w:tcBorders>
            <w:shd w:val="clear" w:color="auto" w:fill="auto"/>
            <w:vAlign w:val="center"/>
          </w:tcPr>
          <w:p w14:paraId="2493A3AC" w14:textId="77777777" w:rsidR="00D44F40" w:rsidRPr="0045590F" w:rsidRDefault="00D44F40" w:rsidP="0057756E">
            <w:pPr>
              <w:autoSpaceDE w:val="0"/>
              <w:autoSpaceDN w:val="0"/>
              <w:adjustRightInd w:val="0"/>
              <w:jc w:val="right"/>
              <w:rPr>
                <w:rFonts w:asciiTheme="minorHAnsi" w:hAnsiTheme="minorHAnsi" w:cstheme="minorHAnsi"/>
                <w:sz w:val="18"/>
                <w:szCs w:val="18"/>
              </w:rPr>
            </w:pPr>
            <w:r w:rsidRPr="0045590F">
              <w:rPr>
                <w:rFonts w:asciiTheme="minorHAnsi" w:hAnsiTheme="minorHAnsi" w:cstheme="minorHAnsi"/>
                <w:sz w:val="18"/>
                <w:szCs w:val="18"/>
              </w:rPr>
              <w:t>171 117,1</w:t>
            </w:r>
          </w:p>
        </w:tc>
      </w:tr>
      <w:tr w:rsidR="00866640" w:rsidRPr="00243E67" w14:paraId="509BD7E1"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7FAFB6" w14:textId="47ED8960" w:rsidR="00866640" w:rsidRPr="00066303" w:rsidRDefault="00866640" w:rsidP="00F53A6E">
            <w:pPr>
              <w:autoSpaceDE w:val="0"/>
              <w:autoSpaceDN w:val="0"/>
              <w:adjustRightInd w:val="0"/>
              <w:ind w:firstLine="177"/>
              <w:rPr>
                <w:rFonts w:cstheme="minorHAnsi"/>
                <w:sz w:val="16"/>
                <w:szCs w:val="16"/>
              </w:rPr>
            </w:pPr>
            <w:r w:rsidRPr="00866640">
              <w:rPr>
                <w:rFonts w:asciiTheme="minorHAnsi" w:hAnsiTheme="minorHAnsi" w:cstheme="minorHAnsi"/>
                <w:i/>
                <w:sz w:val="16"/>
                <w:szCs w:val="16"/>
              </w:rPr>
              <w:t xml:space="preserve">v tom údržba a opravy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B848001"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101 350,9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52F8A9E"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84 100,8</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BE5AABD"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60 007,5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54D3D83F"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83 053,2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E1BBC95" w14:textId="77777777" w:rsidR="00866640" w:rsidRPr="00866640" w:rsidRDefault="00866640" w:rsidP="0057756E">
            <w:pPr>
              <w:autoSpaceDE w:val="0"/>
              <w:autoSpaceDN w:val="0"/>
              <w:adjustRightInd w:val="0"/>
              <w:jc w:val="right"/>
              <w:rPr>
                <w:rFonts w:cstheme="minorHAnsi"/>
                <w:b/>
                <w:i/>
                <w:sz w:val="16"/>
                <w:szCs w:val="16"/>
              </w:rPr>
            </w:pPr>
            <w:r w:rsidRPr="00866640">
              <w:rPr>
                <w:rFonts w:ascii="Calibri" w:hAnsi="Calibri" w:cs="Calibri"/>
                <w:b/>
                <w:i/>
                <w:color w:val="000000"/>
                <w:sz w:val="16"/>
                <w:szCs w:val="16"/>
              </w:rPr>
              <w:t>328 512,4</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91E75D8"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iCs/>
                <w:color w:val="000000"/>
                <w:sz w:val="16"/>
                <w:szCs w:val="16"/>
              </w:rPr>
              <w:t>101 908,6</w:t>
            </w:r>
          </w:p>
        </w:tc>
      </w:tr>
      <w:tr w:rsidR="00866640" w:rsidRPr="00243E67" w14:paraId="55DA349F"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B5A89C" w14:textId="7EBC0AC7" w:rsidR="00866640" w:rsidRPr="00066303" w:rsidRDefault="00866640" w:rsidP="00F53A6E">
            <w:pPr>
              <w:autoSpaceDE w:val="0"/>
              <w:autoSpaceDN w:val="0"/>
              <w:adjustRightInd w:val="0"/>
              <w:ind w:firstLine="177"/>
              <w:rPr>
                <w:rFonts w:cstheme="minorHAnsi"/>
                <w:sz w:val="16"/>
                <w:szCs w:val="16"/>
              </w:rPr>
            </w:pPr>
            <w:r w:rsidRPr="00866640">
              <w:rPr>
                <w:rFonts w:asciiTheme="minorHAnsi" w:hAnsiTheme="minorHAnsi" w:cstheme="minorHAnsi"/>
                <w:i/>
                <w:sz w:val="16"/>
                <w:szCs w:val="16"/>
              </w:rPr>
              <w:t>v tom nákupy náhradních dílů</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512224B"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58 071,3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BA64DF"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69 089,3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0BC9FBE"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83 363,1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F4928F8"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20 934,9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4B58FFA" w14:textId="77777777" w:rsidR="00866640" w:rsidRPr="00866640" w:rsidRDefault="00866640" w:rsidP="0057756E">
            <w:pPr>
              <w:autoSpaceDE w:val="0"/>
              <w:autoSpaceDN w:val="0"/>
              <w:adjustRightInd w:val="0"/>
              <w:jc w:val="right"/>
              <w:rPr>
                <w:rFonts w:cstheme="minorHAnsi"/>
                <w:b/>
                <w:i/>
                <w:sz w:val="16"/>
                <w:szCs w:val="16"/>
              </w:rPr>
            </w:pPr>
            <w:r w:rsidRPr="00866640">
              <w:rPr>
                <w:rFonts w:ascii="Calibri" w:hAnsi="Calibri" w:cs="Calibri"/>
                <w:b/>
                <w:i/>
                <w:color w:val="000000"/>
                <w:sz w:val="16"/>
                <w:szCs w:val="16"/>
              </w:rPr>
              <w:t>231 458,6</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4615A82"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iCs/>
                <w:color w:val="000000"/>
                <w:sz w:val="16"/>
                <w:szCs w:val="16"/>
              </w:rPr>
              <w:t>69 208,5</w:t>
            </w:r>
          </w:p>
        </w:tc>
      </w:tr>
      <w:tr w:rsidR="00D44F40" w:rsidRPr="00243E67" w14:paraId="0DBA001F" w14:textId="77777777" w:rsidTr="00900E7F">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219A4B" w14:textId="55C6A5FF" w:rsidR="00D44F40" w:rsidRPr="00480B55" w:rsidRDefault="00D44F40" w:rsidP="00D44F40">
            <w:pPr>
              <w:autoSpaceDE w:val="0"/>
              <w:autoSpaceDN w:val="0"/>
              <w:adjustRightInd w:val="0"/>
              <w:rPr>
                <w:rFonts w:asciiTheme="minorHAnsi" w:hAnsiTheme="minorHAnsi" w:cstheme="minorHAnsi"/>
                <w:sz w:val="18"/>
                <w:szCs w:val="18"/>
              </w:rPr>
            </w:pPr>
            <w:r w:rsidRPr="00480B55">
              <w:rPr>
                <w:rFonts w:asciiTheme="minorHAnsi" w:hAnsiTheme="minorHAnsi" w:cstheme="minorHAnsi"/>
                <w:sz w:val="18"/>
                <w:szCs w:val="18"/>
              </w:rPr>
              <w:t>Jeřáby a vyprošťovací aut</w:t>
            </w:r>
            <w:r w:rsidR="007274B9">
              <w:rPr>
                <w:rFonts w:asciiTheme="minorHAnsi" w:hAnsiTheme="minorHAnsi" w:cstheme="minorHAnsi"/>
                <w:sz w:val="18"/>
                <w:szCs w:val="18"/>
              </w:rPr>
              <w:t>omobily</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729039E"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16</w:t>
            </w:r>
            <w:r>
              <w:rPr>
                <w:rFonts w:asciiTheme="minorHAnsi" w:hAnsiTheme="minorHAnsi" w:cstheme="minorHAnsi"/>
                <w:sz w:val="18"/>
                <w:szCs w:val="18"/>
              </w:rPr>
              <w:t> </w:t>
            </w:r>
            <w:r w:rsidRPr="00133B59">
              <w:rPr>
                <w:rFonts w:asciiTheme="minorHAnsi" w:hAnsiTheme="minorHAnsi" w:cstheme="minorHAnsi"/>
                <w:sz w:val="18"/>
                <w:szCs w:val="18"/>
              </w:rPr>
              <w:t>878</w:t>
            </w:r>
            <w:r>
              <w:rPr>
                <w:rFonts w:asciiTheme="minorHAnsi" w:hAnsiTheme="minorHAnsi" w:cstheme="minorHAnsi"/>
                <w:sz w:val="18"/>
                <w:szCs w:val="18"/>
              </w:rPr>
              <w:t>,</w:t>
            </w:r>
            <w:r w:rsidRPr="00133B59">
              <w:rPr>
                <w:rFonts w:asciiTheme="minorHAnsi" w:hAnsiTheme="minorHAnsi" w:cstheme="minorHAnsi"/>
                <w:sz w:val="18"/>
                <w:szCs w:val="18"/>
              </w:rPr>
              <w:t>7</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B7C8C1B"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14</w:t>
            </w:r>
            <w:r>
              <w:rPr>
                <w:rFonts w:asciiTheme="minorHAnsi" w:hAnsiTheme="minorHAnsi" w:cstheme="minorHAnsi"/>
                <w:sz w:val="18"/>
                <w:szCs w:val="18"/>
              </w:rPr>
              <w:t> </w:t>
            </w:r>
            <w:r w:rsidRPr="00133B59">
              <w:rPr>
                <w:rFonts w:asciiTheme="minorHAnsi" w:hAnsiTheme="minorHAnsi" w:cstheme="minorHAnsi"/>
                <w:sz w:val="18"/>
                <w:szCs w:val="18"/>
              </w:rPr>
              <w:t>295</w:t>
            </w:r>
            <w:r>
              <w:rPr>
                <w:rFonts w:asciiTheme="minorHAnsi" w:hAnsiTheme="minorHAnsi" w:cstheme="minorHAnsi"/>
                <w:sz w:val="18"/>
                <w:szCs w:val="18"/>
              </w:rPr>
              <w:t>,</w:t>
            </w:r>
            <w:r w:rsidRPr="00133B59">
              <w:rPr>
                <w:rFonts w:asciiTheme="minorHAnsi" w:hAnsiTheme="minorHAnsi" w:cstheme="minorHAnsi"/>
                <w:sz w:val="18"/>
                <w:szCs w:val="18"/>
              </w:rPr>
              <w:t>4</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417BB21"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6</w:t>
            </w:r>
            <w:r>
              <w:rPr>
                <w:rFonts w:asciiTheme="minorHAnsi" w:hAnsiTheme="minorHAnsi" w:cstheme="minorHAnsi"/>
                <w:sz w:val="18"/>
                <w:szCs w:val="18"/>
              </w:rPr>
              <w:t> </w:t>
            </w:r>
            <w:r w:rsidRPr="00133B59">
              <w:rPr>
                <w:rFonts w:asciiTheme="minorHAnsi" w:hAnsiTheme="minorHAnsi" w:cstheme="minorHAnsi"/>
                <w:sz w:val="18"/>
                <w:szCs w:val="18"/>
              </w:rPr>
              <w:t>797</w:t>
            </w:r>
            <w:r>
              <w:rPr>
                <w:rFonts w:asciiTheme="minorHAnsi" w:hAnsiTheme="minorHAnsi" w:cstheme="minorHAnsi"/>
                <w:sz w:val="18"/>
                <w:szCs w:val="18"/>
              </w:rPr>
              <w:t>,2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D72BA3B" w14:textId="77777777" w:rsidR="00D44F40" w:rsidRPr="00133B59" w:rsidRDefault="00D44F40" w:rsidP="0057756E">
            <w:pPr>
              <w:autoSpaceDE w:val="0"/>
              <w:autoSpaceDN w:val="0"/>
              <w:adjustRightInd w:val="0"/>
              <w:jc w:val="right"/>
              <w:rPr>
                <w:rFonts w:asciiTheme="minorHAnsi" w:hAnsiTheme="minorHAnsi" w:cstheme="minorHAnsi"/>
                <w:sz w:val="18"/>
                <w:szCs w:val="18"/>
              </w:rPr>
            </w:pPr>
            <w:r w:rsidRPr="00133B59">
              <w:rPr>
                <w:rFonts w:asciiTheme="minorHAnsi" w:hAnsiTheme="minorHAnsi" w:cstheme="minorHAnsi"/>
                <w:sz w:val="18"/>
                <w:szCs w:val="18"/>
              </w:rPr>
              <w:t>8</w:t>
            </w:r>
            <w:r>
              <w:rPr>
                <w:rFonts w:asciiTheme="minorHAnsi" w:hAnsiTheme="minorHAnsi" w:cstheme="minorHAnsi"/>
                <w:sz w:val="18"/>
                <w:szCs w:val="18"/>
              </w:rPr>
              <w:t> </w:t>
            </w:r>
            <w:r w:rsidRPr="00133B59">
              <w:rPr>
                <w:rFonts w:asciiTheme="minorHAnsi" w:hAnsiTheme="minorHAnsi" w:cstheme="minorHAnsi"/>
                <w:sz w:val="18"/>
                <w:szCs w:val="18"/>
              </w:rPr>
              <w:t>260</w:t>
            </w:r>
            <w:r>
              <w:rPr>
                <w:rFonts w:asciiTheme="minorHAnsi" w:hAnsiTheme="minorHAnsi" w:cstheme="minorHAnsi"/>
                <w:sz w:val="18"/>
                <w:szCs w:val="18"/>
              </w:rPr>
              <w:t>,9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55F29BA" w14:textId="77777777" w:rsidR="00D44F40" w:rsidRPr="00133B59" w:rsidRDefault="00D44F40" w:rsidP="0057756E">
            <w:pPr>
              <w:autoSpaceDE w:val="0"/>
              <w:autoSpaceDN w:val="0"/>
              <w:adjustRightInd w:val="0"/>
              <w:jc w:val="right"/>
              <w:rPr>
                <w:rFonts w:asciiTheme="minorHAnsi" w:hAnsiTheme="minorHAnsi" w:cstheme="minorHAnsi"/>
                <w:b/>
                <w:sz w:val="18"/>
                <w:szCs w:val="18"/>
              </w:rPr>
            </w:pPr>
            <w:r w:rsidRPr="00133B59">
              <w:rPr>
                <w:rFonts w:asciiTheme="minorHAnsi" w:hAnsiTheme="minorHAnsi" w:cstheme="minorHAnsi"/>
                <w:b/>
                <w:sz w:val="18"/>
                <w:szCs w:val="18"/>
              </w:rPr>
              <w:t>46</w:t>
            </w:r>
            <w:r>
              <w:rPr>
                <w:rFonts w:asciiTheme="minorHAnsi" w:hAnsiTheme="minorHAnsi" w:cstheme="minorHAnsi"/>
                <w:b/>
                <w:sz w:val="18"/>
                <w:szCs w:val="18"/>
              </w:rPr>
              <w:t> </w:t>
            </w:r>
            <w:r w:rsidRPr="00133B59">
              <w:rPr>
                <w:rFonts w:asciiTheme="minorHAnsi" w:hAnsiTheme="minorHAnsi" w:cstheme="minorHAnsi"/>
                <w:b/>
                <w:sz w:val="18"/>
                <w:szCs w:val="18"/>
              </w:rPr>
              <w:t>232</w:t>
            </w:r>
            <w:r>
              <w:rPr>
                <w:rFonts w:asciiTheme="minorHAnsi" w:hAnsiTheme="minorHAnsi" w:cstheme="minorHAnsi"/>
                <w:b/>
                <w:sz w:val="18"/>
                <w:szCs w:val="18"/>
              </w:rPr>
              <w:t>,2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ED07234" w14:textId="77777777" w:rsidR="00D44F40" w:rsidRPr="0045590F" w:rsidRDefault="00D44F40" w:rsidP="0057756E">
            <w:pPr>
              <w:autoSpaceDE w:val="0"/>
              <w:autoSpaceDN w:val="0"/>
              <w:adjustRightInd w:val="0"/>
              <w:jc w:val="right"/>
              <w:rPr>
                <w:rFonts w:asciiTheme="minorHAnsi" w:hAnsiTheme="minorHAnsi" w:cstheme="minorHAnsi"/>
                <w:sz w:val="18"/>
                <w:szCs w:val="18"/>
              </w:rPr>
            </w:pPr>
            <w:r w:rsidRPr="0045590F">
              <w:rPr>
                <w:rFonts w:asciiTheme="minorHAnsi" w:hAnsiTheme="minorHAnsi" w:cstheme="minorHAnsi"/>
                <w:sz w:val="18"/>
                <w:szCs w:val="18"/>
              </w:rPr>
              <w:t>11 365,6</w:t>
            </w:r>
          </w:p>
        </w:tc>
      </w:tr>
      <w:tr w:rsidR="00866640" w:rsidRPr="00243E67" w14:paraId="41BBC574"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A366D3" w14:textId="0EF66B82" w:rsidR="00866640" w:rsidRPr="00066303" w:rsidRDefault="00866640" w:rsidP="00F53A6E">
            <w:pPr>
              <w:autoSpaceDE w:val="0"/>
              <w:autoSpaceDN w:val="0"/>
              <w:adjustRightInd w:val="0"/>
              <w:ind w:firstLine="177"/>
              <w:rPr>
                <w:rFonts w:cstheme="minorHAnsi"/>
                <w:sz w:val="16"/>
                <w:szCs w:val="16"/>
              </w:rPr>
            </w:pPr>
            <w:r w:rsidRPr="00866640">
              <w:rPr>
                <w:rFonts w:asciiTheme="minorHAnsi" w:hAnsiTheme="minorHAnsi" w:cstheme="minorHAnsi"/>
                <w:i/>
                <w:sz w:val="16"/>
                <w:szCs w:val="16"/>
              </w:rPr>
              <w:t xml:space="preserve">v tom údržba a opravy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EAC8405"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16 865,5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B5185B6"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14 284,2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1838569"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6 728,6</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DA1F560"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8 158,5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94F0A64" w14:textId="77777777" w:rsidR="00866640" w:rsidRPr="00866640" w:rsidRDefault="00866640" w:rsidP="0057756E">
            <w:pPr>
              <w:autoSpaceDE w:val="0"/>
              <w:autoSpaceDN w:val="0"/>
              <w:adjustRightInd w:val="0"/>
              <w:jc w:val="right"/>
              <w:rPr>
                <w:rFonts w:cstheme="minorHAnsi"/>
                <w:b/>
                <w:i/>
                <w:sz w:val="16"/>
                <w:szCs w:val="16"/>
              </w:rPr>
            </w:pPr>
            <w:r w:rsidRPr="00866640">
              <w:rPr>
                <w:rFonts w:ascii="Calibri" w:hAnsi="Calibri" w:cs="Calibri"/>
                <w:b/>
                <w:i/>
                <w:color w:val="000000"/>
                <w:sz w:val="16"/>
                <w:szCs w:val="16"/>
              </w:rPr>
              <w:t>46 036,8</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84E5FBF"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iCs/>
                <w:color w:val="000000"/>
                <w:sz w:val="16"/>
                <w:szCs w:val="16"/>
              </w:rPr>
              <w:t>11 285,9</w:t>
            </w:r>
          </w:p>
        </w:tc>
      </w:tr>
      <w:tr w:rsidR="00866640" w:rsidRPr="00243E67" w14:paraId="06FB26B1"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92CD47" w14:textId="1E870D68" w:rsidR="00866640" w:rsidRPr="00066303" w:rsidRDefault="00866640" w:rsidP="00F53A6E">
            <w:pPr>
              <w:autoSpaceDE w:val="0"/>
              <w:autoSpaceDN w:val="0"/>
              <w:adjustRightInd w:val="0"/>
              <w:ind w:firstLine="177"/>
              <w:rPr>
                <w:rFonts w:cstheme="minorHAnsi"/>
                <w:sz w:val="16"/>
                <w:szCs w:val="16"/>
              </w:rPr>
            </w:pPr>
            <w:r w:rsidRPr="00866640">
              <w:rPr>
                <w:rFonts w:asciiTheme="minorHAnsi" w:hAnsiTheme="minorHAnsi" w:cstheme="minorHAnsi"/>
                <w:i/>
                <w:sz w:val="16"/>
                <w:szCs w:val="16"/>
              </w:rPr>
              <w:t>v tom nákupy náhradních dílů</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29DA0A57"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13,2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CCB7483"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11,2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4419551"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68,6</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30A0218"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color w:val="000000"/>
                <w:sz w:val="16"/>
                <w:szCs w:val="16"/>
              </w:rPr>
              <w:t>102,4</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1FF1901" w14:textId="77777777" w:rsidR="00866640" w:rsidRPr="00866640" w:rsidRDefault="00866640" w:rsidP="0057756E">
            <w:pPr>
              <w:autoSpaceDE w:val="0"/>
              <w:autoSpaceDN w:val="0"/>
              <w:adjustRightInd w:val="0"/>
              <w:jc w:val="right"/>
              <w:rPr>
                <w:rFonts w:cstheme="minorHAnsi"/>
                <w:b/>
                <w:i/>
                <w:sz w:val="16"/>
                <w:szCs w:val="16"/>
              </w:rPr>
            </w:pPr>
            <w:r w:rsidRPr="00866640">
              <w:rPr>
                <w:rFonts w:ascii="Calibri" w:hAnsi="Calibri" w:cs="Calibri"/>
                <w:b/>
                <w:i/>
                <w:color w:val="000000"/>
                <w:sz w:val="16"/>
                <w:szCs w:val="16"/>
              </w:rPr>
              <w:t>195,4</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26EFD60" w14:textId="77777777" w:rsidR="00866640" w:rsidRPr="00866640" w:rsidRDefault="00866640" w:rsidP="0057756E">
            <w:pPr>
              <w:autoSpaceDE w:val="0"/>
              <w:autoSpaceDN w:val="0"/>
              <w:adjustRightInd w:val="0"/>
              <w:jc w:val="right"/>
              <w:rPr>
                <w:rFonts w:cstheme="minorHAnsi"/>
                <w:i/>
                <w:sz w:val="16"/>
                <w:szCs w:val="16"/>
              </w:rPr>
            </w:pPr>
            <w:r w:rsidRPr="00866640">
              <w:rPr>
                <w:rFonts w:ascii="Calibri" w:hAnsi="Calibri" w:cs="Calibri"/>
                <w:i/>
                <w:iCs/>
                <w:color w:val="000000"/>
                <w:sz w:val="16"/>
                <w:szCs w:val="16"/>
              </w:rPr>
              <w:t>79,7</w:t>
            </w:r>
          </w:p>
        </w:tc>
      </w:tr>
      <w:tr w:rsidR="00D44F40" w:rsidRPr="00243E67" w14:paraId="0B641223"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080D78" w14:textId="77777777" w:rsidR="00D44F40" w:rsidRPr="005038E1" w:rsidRDefault="00D44F40" w:rsidP="00D44F40">
            <w:pPr>
              <w:autoSpaceDE w:val="0"/>
              <w:autoSpaceDN w:val="0"/>
              <w:adjustRightInd w:val="0"/>
              <w:rPr>
                <w:rFonts w:asciiTheme="minorHAnsi" w:hAnsiTheme="minorHAnsi" w:cstheme="minorHAnsi"/>
                <w:sz w:val="18"/>
                <w:szCs w:val="18"/>
                <w:highlight w:val="yellow"/>
              </w:rPr>
            </w:pPr>
            <w:r>
              <w:rPr>
                <w:rFonts w:asciiTheme="minorHAnsi" w:hAnsiTheme="minorHAnsi" w:cstheme="minorHAnsi"/>
                <w:sz w:val="18"/>
                <w:szCs w:val="18"/>
              </w:rPr>
              <w:t>A</w:t>
            </w:r>
            <w:r w:rsidRPr="005038E1">
              <w:rPr>
                <w:rFonts w:asciiTheme="minorHAnsi" w:hAnsiTheme="minorHAnsi" w:cstheme="minorHAnsi"/>
                <w:sz w:val="18"/>
                <w:szCs w:val="18"/>
              </w:rPr>
              <w:t>utobusy, mikrobusy, přívěsy, návěsy, podvalníky</w:t>
            </w:r>
            <w:r>
              <w:rPr>
                <w:rFonts w:asciiTheme="minorHAnsi" w:hAnsiTheme="minorHAnsi" w:cstheme="minorHAnsi"/>
                <w:sz w:val="18"/>
                <w:szCs w:val="18"/>
              </w:rPr>
              <w:t xml:space="preserve"> a </w:t>
            </w:r>
            <w:r w:rsidRPr="005038E1">
              <w:rPr>
                <w:rFonts w:asciiTheme="minorHAnsi" w:hAnsiTheme="minorHAnsi" w:cstheme="minorHAnsi"/>
                <w:sz w:val="18"/>
                <w:szCs w:val="18"/>
              </w:rPr>
              <w:t>tahače***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0BF9A524" w14:textId="77777777" w:rsidR="00D44F40" w:rsidRPr="005038E1" w:rsidRDefault="00D44F40" w:rsidP="0057756E">
            <w:pPr>
              <w:autoSpaceDE w:val="0"/>
              <w:autoSpaceDN w:val="0"/>
              <w:adjustRightInd w:val="0"/>
              <w:jc w:val="right"/>
              <w:rPr>
                <w:rFonts w:asciiTheme="minorHAnsi" w:hAnsiTheme="minorHAnsi" w:cstheme="minorHAnsi"/>
                <w:sz w:val="18"/>
                <w:szCs w:val="18"/>
              </w:rPr>
            </w:pPr>
            <w:r w:rsidRPr="005038E1">
              <w:rPr>
                <w:rFonts w:asciiTheme="minorHAnsi" w:hAnsiTheme="minorHAnsi" w:cstheme="minorHAnsi"/>
                <w:sz w:val="18"/>
                <w:szCs w:val="18"/>
              </w:rPr>
              <w:t>34 181,0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34102F7" w14:textId="77777777" w:rsidR="00D44F40" w:rsidRPr="005038E1" w:rsidRDefault="00D44F40" w:rsidP="0057756E">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25 524,7</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01B69A3" w14:textId="77777777" w:rsidR="00D44F40" w:rsidRPr="007D6646" w:rsidRDefault="00D44F40" w:rsidP="0057756E">
            <w:pPr>
              <w:autoSpaceDE w:val="0"/>
              <w:autoSpaceDN w:val="0"/>
              <w:adjustRightInd w:val="0"/>
              <w:jc w:val="right"/>
              <w:rPr>
                <w:rFonts w:asciiTheme="minorHAnsi" w:hAnsiTheme="minorHAnsi" w:cstheme="minorHAnsi"/>
                <w:sz w:val="18"/>
                <w:szCs w:val="18"/>
                <w:highlight w:val="yellow"/>
              </w:rPr>
            </w:pPr>
            <w:r w:rsidRPr="007D6646">
              <w:rPr>
                <w:rFonts w:asciiTheme="minorHAnsi" w:hAnsiTheme="minorHAnsi" w:cstheme="minorHAnsi"/>
                <w:sz w:val="18"/>
                <w:szCs w:val="18"/>
              </w:rPr>
              <w:t>25 774,3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6B07CFD" w14:textId="77777777" w:rsidR="00D44F40" w:rsidRPr="007D6646" w:rsidRDefault="00D44F40" w:rsidP="0057756E">
            <w:pPr>
              <w:autoSpaceDE w:val="0"/>
              <w:autoSpaceDN w:val="0"/>
              <w:adjustRightInd w:val="0"/>
              <w:jc w:val="right"/>
              <w:rPr>
                <w:rFonts w:asciiTheme="minorHAnsi" w:hAnsiTheme="minorHAnsi" w:cstheme="minorHAnsi"/>
                <w:sz w:val="18"/>
                <w:szCs w:val="18"/>
              </w:rPr>
            </w:pPr>
            <w:r w:rsidRPr="007D6646">
              <w:rPr>
                <w:rFonts w:asciiTheme="minorHAnsi" w:hAnsiTheme="minorHAnsi" w:cstheme="minorHAnsi"/>
                <w:sz w:val="18"/>
                <w:szCs w:val="18"/>
              </w:rPr>
              <w:t>26 353,5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BB7E089" w14:textId="77777777" w:rsidR="00D44F40" w:rsidRPr="007D6646" w:rsidRDefault="00D44F40" w:rsidP="0057756E">
            <w:pPr>
              <w:autoSpaceDE w:val="0"/>
              <w:autoSpaceDN w:val="0"/>
              <w:adjustRightInd w:val="0"/>
              <w:jc w:val="right"/>
              <w:rPr>
                <w:rFonts w:asciiTheme="minorHAnsi" w:hAnsiTheme="minorHAnsi" w:cstheme="minorHAnsi"/>
                <w:b/>
                <w:sz w:val="18"/>
                <w:szCs w:val="18"/>
              </w:rPr>
            </w:pPr>
            <w:r>
              <w:rPr>
                <w:rFonts w:asciiTheme="minorHAnsi" w:hAnsiTheme="minorHAnsi" w:cstheme="minorHAnsi"/>
                <w:b/>
                <w:sz w:val="18"/>
                <w:szCs w:val="18"/>
              </w:rPr>
              <w:t>111 833,5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82DAD73" w14:textId="77777777" w:rsidR="00D44F40" w:rsidRPr="0045590F" w:rsidRDefault="00D44F40" w:rsidP="0057756E">
            <w:pPr>
              <w:autoSpaceDE w:val="0"/>
              <w:autoSpaceDN w:val="0"/>
              <w:adjustRightInd w:val="0"/>
              <w:jc w:val="right"/>
              <w:rPr>
                <w:rFonts w:asciiTheme="minorHAnsi" w:hAnsiTheme="minorHAnsi" w:cstheme="minorHAnsi"/>
                <w:sz w:val="18"/>
                <w:szCs w:val="18"/>
              </w:rPr>
            </w:pPr>
            <w:r w:rsidRPr="0045590F">
              <w:rPr>
                <w:rFonts w:asciiTheme="minorHAnsi" w:hAnsiTheme="minorHAnsi" w:cstheme="minorHAnsi"/>
                <w:sz w:val="18"/>
                <w:szCs w:val="18"/>
              </w:rPr>
              <w:t>28 159,2</w:t>
            </w:r>
          </w:p>
        </w:tc>
      </w:tr>
      <w:tr w:rsidR="009232A4" w:rsidRPr="00243E67" w14:paraId="67384EE2"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1877D9" w14:textId="3E1A0495" w:rsidR="009232A4" w:rsidRDefault="009232A4" w:rsidP="00F53A6E">
            <w:pPr>
              <w:autoSpaceDE w:val="0"/>
              <w:autoSpaceDN w:val="0"/>
              <w:adjustRightInd w:val="0"/>
              <w:ind w:firstLine="177"/>
              <w:rPr>
                <w:rFonts w:asciiTheme="minorHAnsi" w:hAnsiTheme="minorHAnsi" w:cstheme="minorHAnsi"/>
                <w:sz w:val="18"/>
                <w:szCs w:val="18"/>
              </w:rPr>
            </w:pPr>
            <w:r w:rsidRPr="00866640">
              <w:rPr>
                <w:rFonts w:asciiTheme="minorHAnsi" w:hAnsiTheme="minorHAnsi" w:cstheme="minorHAnsi"/>
                <w:i/>
                <w:sz w:val="16"/>
                <w:szCs w:val="16"/>
              </w:rPr>
              <w:t xml:space="preserve">v tom údržba a opravy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5ABA7CF9"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30 509,4</w:t>
            </w:r>
          </w:p>
        </w:tc>
        <w:tc>
          <w:tcPr>
            <w:tcW w:w="1087" w:type="dxa"/>
            <w:tcBorders>
              <w:top w:val="single" w:sz="4" w:space="0" w:color="auto"/>
              <w:left w:val="nil"/>
              <w:bottom w:val="single" w:sz="4" w:space="0" w:color="auto"/>
              <w:right w:val="single" w:sz="4" w:space="0" w:color="auto"/>
            </w:tcBorders>
            <w:shd w:val="clear" w:color="auto" w:fill="auto"/>
            <w:vAlign w:val="center"/>
          </w:tcPr>
          <w:p w14:paraId="3F593EB0"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21 652,1</w:t>
            </w:r>
          </w:p>
        </w:tc>
        <w:tc>
          <w:tcPr>
            <w:tcW w:w="1087" w:type="dxa"/>
            <w:tcBorders>
              <w:top w:val="single" w:sz="4" w:space="0" w:color="auto"/>
              <w:left w:val="nil"/>
              <w:bottom w:val="single" w:sz="4" w:space="0" w:color="auto"/>
              <w:right w:val="single" w:sz="4" w:space="0" w:color="auto"/>
            </w:tcBorders>
            <w:shd w:val="clear" w:color="auto" w:fill="auto"/>
            <w:vAlign w:val="center"/>
          </w:tcPr>
          <w:p w14:paraId="5DC6C4CC"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21 819,0</w:t>
            </w:r>
          </w:p>
        </w:tc>
        <w:tc>
          <w:tcPr>
            <w:tcW w:w="1086" w:type="dxa"/>
            <w:tcBorders>
              <w:top w:val="single" w:sz="4" w:space="0" w:color="auto"/>
              <w:left w:val="nil"/>
              <w:bottom w:val="single" w:sz="4" w:space="0" w:color="auto"/>
              <w:right w:val="single" w:sz="4" w:space="0" w:color="auto"/>
            </w:tcBorders>
            <w:shd w:val="clear" w:color="auto" w:fill="auto"/>
            <w:vAlign w:val="center"/>
          </w:tcPr>
          <w:p w14:paraId="2D789E4D"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24 217,1</w:t>
            </w:r>
          </w:p>
        </w:tc>
        <w:tc>
          <w:tcPr>
            <w:tcW w:w="1087" w:type="dxa"/>
            <w:tcBorders>
              <w:top w:val="single" w:sz="4" w:space="0" w:color="auto"/>
              <w:left w:val="nil"/>
              <w:bottom w:val="single" w:sz="4" w:space="0" w:color="auto"/>
              <w:right w:val="single" w:sz="4" w:space="0" w:color="auto"/>
            </w:tcBorders>
            <w:shd w:val="clear" w:color="auto" w:fill="auto"/>
            <w:vAlign w:val="center"/>
          </w:tcPr>
          <w:p w14:paraId="075DC1CC" w14:textId="77777777" w:rsidR="009232A4" w:rsidRPr="005C57A0" w:rsidRDefault="009232A4" w:rsidP="0057756E">
            <w:pPr>
              <w:autoSpaceDE w:val="0"/>
              <w:autoSpaceDN w:val="0"/>
              <w:adjustRightInd w:val="0"/>
              <w:jc w:val="right"/>
              <w:rPr>
                <w:rFonts w:asciiTheme="minorHAnsi" w:hAnsiTheme="minorHAnsi" w:cstheme="minorHAnsi"/>
                <w:b/>
                <w:i/>
                <w:sz w:val="16"/>
                <w:szCs w:val="16"/>
              </w:rPr>
            </w:pPr>
            <w:r w:rsidRPr="005C57A0">
              <w:rPr>
                <w:rFonts w:ascii="Calibri" w:hAnsi="Calibri" w:cs="Calibri"/>
                <w:b/>
                <w:i/>
                <w:color w:val="000000"/>
                <w:sz w:val="16"/>
                <w:szCs w:val="16"/>
              </w:rPr>
              <w:t>98 197,6</w:t>
            </w:r>
          </w:p>
        </w:tc>
        <w:tc>
          <w:tcPr>
            <w:tcW w:w="1087" w:type="dxa"/>
            <w:tcBorders>
              <w:top w:val="single" w:sz="4" w:space="0" w:color="auto"/>
              <w:left w:val="nil"/>
              <w:bottom w:val="single" w:sz="4" w:space="0" w:color="auto"/>
              <w:right w:val="single" w:sz="4" w:space="0" w:color="auto"/>
            </w:tcBorders>
            <w:shd w:val="clear" w:color="auto" w:fill="auto"/>
            <w:vAlign w:val="center"/>
          </w:tcPr>
          <w:p w14:paraId="32E07013"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24 690,6</w:t>
            </w:r>
          </w:p>
        </w:tc>
      </w:tr>
      <w:tr w:rsidR="009232A4" w:rsidRPr="00243E67" w14:paraId="09B54D7F" w14:textId="77777777" w:rsidTr="00900E7F">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3726F7" w14:textId="072E8BA5" w:rsidR="009232A4" w:rsidRDefault="009232A4" w:rsidP="00F53A6E">
            <w:pPr>
              <w:autoSpaceDE w:val="0"/>
              <w:autoSpaceDN w:val="0"/>
              <w:adjustRightInd w:val="0"/>
              <w:ind w:firstLine="177"/>
              <w:rPr>
                <w:rFonts w:asciiTheme="minorHAnsi" w:hAnsiTheme="minorHAnsi" w:cstheme="minorHAnsi"/>
                <w:sz w:val="18"/>
                <w:szCs w:val="18"/>
              </w:rPr>
            </w:pPr>
            <w:r w:rsidRPr="00866640">
              <w:rPr>
                <w:rFonts w:asciiTheme="minorHAnsi" w:hAnsiTheme="minorHAnsi" w:cstheme="minorHAnsi"/>
                <w:i/>
                <w:sz w:val="16"/>
                <w:szCs w:val="16"/>
              </w:rPr>
              <w:t>v tom nákupy náhradních dílů</w:t>
            </w:r>
          </w:p>
        </w:tc>
        <w:tc>
          <w:tcPr>
            <w:tcW w:w="945" w:type="dxa"/>
            <w:tcBorders>
              <w:top w:val="nil"/>
              <w:left w:val="single" w:sz="4" w:space="0" w:color="auto"/>
              <w:bottom w:val="single" w:sz="4" w:space="0" w:color="auto"/>
              <w:right w:val="single" w:sz="4" w:space="0" w:color="auto"/>
            </w:tcBorders>
            <w:shd w:val="clear" w:color="auto" w:fill="auto"/>
            <w:vAlign w:val="center"/>
          </w:tcPr>
          <w:p w14:paraId="3CDEBD07"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3 671,6</w:t>
            </w:r>
          </w:p>
        </w:tc>
        <w:tc>
          <w:tcPr>
            <w:tcW w:w="1087" w:type="dxa"/>
            <w:tcBorders>
              <w:top w:val="nil"/>
              <w:left w:val="nil"/>
              <w:bottom w:val="single" w:sz="4" w:space="0" w:color="auto"/>
              <w:right w:val="single" w:sz="4" w:space="0" w:color="auto"/>
            </w:tcBorders>
            <w:shd w:val="clear" w:color="auto" w:fill="auto"/>
            <w:vAlign w:val="center"/>
          </w:tcPr>
          <w:p w14:paraId="48069394"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3 872,6</w:t>
            </w:r>
          </w:p>
        </w:tc>
        <w:tc>
          <w:tcPr>
            <w:tcW w:w="1087" w:type="dxa"/>
            <w:tcBorders>
              <w:top w:val="nil"/>
              <w:left w:val="nil"/>
              <w:bottom w:val="single" w:sz="4" w:space="0" w:color="auto"/>
              <w:right w:val="single" w:sz="4" w:space="0" w:color="auto"/>
            </w:tcBorders>
            <w:shd w:val="clear" w:color="auto" w:fill="auto"/>
            <w:vAlign w:val="center"/>
          </w:tcPr>
          <w:p w14:paraId="3F586D08"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3 955,3</w:t>
            </w:r>
          </w:p>
        </w:tc>
        <w:tc>
          <w:tcPr>
            <w:tcW w:w="1086" w:type="dxa"/>
            <w:tcBorders>
              <w:top w:val="nil"/>
              <w:left w:val="nil"/>
              <w:bottom w:val="single" w:sz="4" w:space="0" w:color="auto"/>
              <w:right w:val="single" w:sz="4" w:space="0" w:color="auto"/>
            </w:tcBorders>
            <w:shd w:val="clear" w:color="auto" w:fill="auto"/>
            <w:vAlign w:val="center"/>
          </w:tcPr>
          <w:p w14:paraId="3E5BA4B2"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2 136,4</w:t>
            </w:r>
          </w:p>
        </w:tc>
        <w:tc>
          <w:tcPr>
            <w:tcW w:w="1087" w:type="dxa"/>
            <w:tcBorders>
              <w:top w:val="nil"/>
              <w:left w:val="nil"/>
              <w:bottom w:val="single" w:sz="4" w:space="0" w:color="auto"/>
              <w:right w:val="single" w:sz="4" w:space="0" w:color="auto"/>
            </w:tcBorders>
            <w:shd w:val="clear" w:color="auto" w:fill="auto"/>
            <w:vAlign w:val="center"/>
          </w:tcPr>
          <w:p w14:paraId="5CCA23DE" w14:textId="77777777" w:rsidR="009232A4" w:rsidRPr="005C57A0" w:rsidRDefault="009232A4" w:rsidP="0057756E">
            <w:pPr>
              <w:autoSpaceDE w:val="0"/>
              <w:autoSpaceDN w:val="0"/>
              <w:adjustRightInd w:val="0"/>
              <w:jc w:val="right"/>
              <w:rPr>
                <w:rFonts w:asciiTheme="minorHAnsi" w:hAnsiTheme="minorHAnsi" w:cstheme="minorHAnsi"/>
                <w:b/>
                <w:i/>
                <w:sz w:val="16"/>
                <w:szCs w:val="16"/>
              </w:rPr>
            </w:pPr>
            <w:r w:rsidRPr="005C57A0">
              <w:rPr>
                <w:rFonts w:ascii="Calibri" w:hAnsi="Calibri" w:cs="Calibri"/>
                <w:b/>
                <w:i/>
                <w:color w:val="000000"/>
                <w:sz w:val="16"/>
                <w:szCs w:val="16"/>
              </w:rPr>
              <w:t>13 635,9</w:t>
            </w:r>
          </w:p>
        </w:tc>
        <w:tc>
          <w:tcPr>
            <w:tcW w:w="1087" w:type="dxa"/>
            <w:tcBorders>
              <w:top w:val="nil"/>
              <w:left w:val="nil"/>
              <w:bottom w:val="single" w:sz="4" w:space="0" w:color="auto"/>
              <w:right w:val="single" w:sz="4" w:space="0" w:color="auto"/>
            </w:tcBorders>
            <w:shd w:val="clear" w:color="auto" w:fill="auto"/>
            <w:vAlign w:val="center"/>
          </w:tcPr>
          <w:p w14:paraId="51CEE85E" w14:textId="77777777" w:rsidR="009232A4" w:rsidRPr="009232A4" w:rsidRDefault="009232A4" w:rsidP="0057756E">
            <w:pPr>
              <w:autoSpaceDE w:val="0"/>
              <w:autoSpaceDN w:val="0"/>
              <w:adjustRightInd w:val="0"/>
              <w:jc w:val="right"/>
              <w:rPr>
                <w:rFonts w:asciiTheme="minorHAnsi" w:hAnsiTheme="minorHAnsi" w:cstheme="minorHAnsi"/>
                <w:i/>
                <w:sz w:val="16"/>
                <w:szCs w:val="16"/>
              </w:rPr>
            </w:pPr>
            <w:r w:rsidRPr="009232A4">
              <w:rPr>
                <w:rFonts w:ascii="Calibri" w:hAnsi="Calibri" w:cs="Calibri"/>
                <w:i/>
                <w:color w:val="000000"/>
                <w:sz w:val="16"/>
                <w:szCs w:val="16"/>
              </w:rPr>
              <w:t>3 468,6</w:t>
            </w:r>
          </w:p>
        </w:tc>
      </w:tr>
      <w:tr w:rsidR="00D44F40" w:rsidRPr="00243E67" w14:paraId="5A5B1283" w14:textId="77777777" w:rsidTr="00F53A6E">
        <w:trPr>
          <w:trHeight w:val="283"/>
        </w:trPr>
        <w:tc>
          <w:tcPr>
            <w:tcW w:w="2835" w:type="dxa"/>
            <w:tcBorders>
              <w:top w:val="single" w:sz="4" w:space="0" w:color="auto"/>
            </w:tcBorders>
            <w:shd w:val="clear" w:color="auto" w:fill="F2C6C9"/>
            <w:vAlign w:val="center"/>
          </w:tcPr>
          <w:p w14:paraId="0B6AB178" w14:textId="77777777" w:rsidR="00D44F40" w:rsidRPr="00712C23" w:rsidRDefault="00F74B44" w:rsidP="00F53A6E">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Výdaje c</w:t>
            </w:r>
            <w:r w:rsidR="00D44F40" w:rsidRPr="00712C23">
              <w:rPr>
                <w:rFonts w:asciiTheme="minorHAnsi" w:hAnsiTheme="minorHAnsi" w:cstheme="minorHAnsi"/>
                <w:b/>
                <w:sz w:val="18"/>
                <w:szCs w:val="18"/>
              </w:rPr>
              <w:t>elkem</w:t>
            </w:r>
          </w:p>
        </w:tc>
        <w:tc>
          <w:tcPr>
            <w:tcW w:w="945" w:type="dxa"/>
            <w:tcBorders>
              <w:top w:val="single" w:sz="4" w:space="0" w:color="auto"/>
            </w:tcBorders>
            <w:shd w:val="clear" w:color="auto" w:fill="F2C6C9"/>
            <w:vAlign w:val="center"/>
          </w:tcPr>
          <w:p w14:paraId="17270224" w14:textId="77777777" w:rsidR="00D44F40" w:rsidRPr="00090F37" w:rsidRDefault="00D44F40" w:rsidP="0057756E">
            <w:pPr>
              <w:autoSpaceDE w:val="0"/>
              <w:autoSpaceDN w:val="0"/>
              <w:adjustRightInd w:val="0"/>
              <w:jc w:val="right"/>
              <w:rPr>
                <w:rFonts w:asciiTheme="minorHAnsi" w:hAnsiTheme="minorHAnsi" w:cstheme="minorHAnsi"/>
                <w:b/>
                <w:sz w:val="18"/>
                <w:szCs w:val="18"/>
              </w:rPr>
            </w:pPr>
            <w:r w:rsidRPr="00090F37">
              <w:rPr>
                <w:rFonts w:asciiTheme="minorHAnsi" w:hAnsiTheme="minorHAnsi" w:cstheme="minorHAnsi"/>
                <w:b/>
                <w:sz w:val="18"/>
                <w:szCs w:val="18"/>
              </w:rPr>
              <w:t>352</w:t>
            </w:r>
            <w:r>
              <w:rPr>
                <w:rFonts w:asciiTheme="minorHAnsi" w:hAnsiTheme="minorHAnsi" w:cstheme="minorHAnsi"/>
                <w:b/>
                <w:sz w:val="18"/>
                <w:szCs w:val="18"/>
              </w:rPr>
              <w:t> </w:t>
            </w:r>
            <w:r w:rsidRPr="00090F37">
              <w:rPr>
                <w:rFonts w:asciiTheme="minorHAnsi" w:hAnsiTheme="minorHAnsi" w:cstheme="minorHAnsi"/>
                <w:b/>
                <w:sz w:val="18"/>
                <w:szCs w:val="18"/>
              </w:rPr>
              <w:t>031</w:t>
            </w:r>
            <w:r>
              <w:rPr>
                <w:rFonts w:asciiTheme="minorHAnsi" w:hAnsiTheme="minorHAnsi" w:cstheme="minorHAnsi"/>
                <w:b/>
                <w:sz w:val="18"/>
                <w:szCs w:val="18"/>
              </w:rPr>
              <w:t>,7</w:t>
            </w:r>
          </w:p>
        </w:tc>
        <w:tc>
          <w:tcPr>
            <w:tcW w:w="1087" w:type="dxa"/>
            <w:tcBorders>
              <w:top w:val="single" w:sz="4" w:space="0" w:color="auto"/>
            </w:tcBorders>
            <w:shd w:val="clear" w:color="auto" w:fill="F2C6C9"/>
            <w:vAlign w:val="center"/>
          </w:tcPr>
          <w:p w14:paraId="4E89E5BC" w14:textId="77777777" w:rsidR="00D44F40" w:rsidRPr="00090F37" w:rsidRDefault="00D44F40" w:rsidP="0057756E">
            <w:pPr>
              <w:autoSpaceDE w:val="0"/>
              <w:autoSpaceDN w:val="0"/>
              <w:adjustRightInd w:val="0"/>
              <w:jc w:val="right"/>
              <w:rPr>
                <w:rFonts w:asciiTheme="minorHAnsi" w:hAnsiTheme="minorHAnsi" w:cstheme="minorHAnsi"/>
                <w:b/>
                <w:sz w:val="18"/>
                <w:szCs w:val="18"/>
              </w:rPr>
            </w:pPr>
            <w:r w:rsidRPr="00090F37">
              <w:rPr>
                <w:rFonts w:asciiTheme="minorHAnsi" w:hAnsiTheme="minorHAnsi" w:cstheme="minorHAnsi"/>
                <w:b/>
                <w:sz w:val="18"/>
                <w:szCs w:val="18"/>
              </w:rPr>
              <w:t>267</w:t>
            </w:r>
            <w:r>
              <w:rPr>
                <w:rFonts w:asciiTheme="minorHAnsi" w:hAnsiTheme="minorHAnsi" w:cstheme="minorHAnsi"/>
                <w:b/>
                <w:sz w:val="18"/>
                <w:szCs w:val="18"/>
              </w:rPr>
              <w:t> </w:t>
            </w:r>
            <w:r w:rsidRPr="00090F37">
              <w:rPr>
                <w:rFonts w:asciiTheme="minorHAnsi" w:hAnsiTheme="minorHAnsi" w:cstheme="minorHAnsi"/>
                <w:b/>
                <w:sz w:val="18"/>
                <w:szCs w:val="18"/>
              </w:rPr>
              <w:t>565</w:t>
            </w:r>
            <w:r>
              <w:rPr>
                <w:rFonts w:asciiTheme="minorHAnsi" w:hAnsiTheme="minorHAnsi" w:cstheme="minorHAnsi"/>
                <w:b/>
                <w:sz w:val="18"/>
                <w:szCs w:val="18"/>
              </w:rPr>
              <w:t>,</w:t>
            </w:r>
            <w:r w:rsidRPr="00090F37">
              <w:rPr>
                <w:rFonts w:asciiTheme="minorHAnsi" w:hAnsiTheme="minorHAnsi" w:cstheme="minorHAnsi"/>
                <w:b/>
                <w:sz w:val="18"/>
                <w:szCs w:val="18"/>
              </w:rPr>
              <w:t>4</w:t>
            </w:r>
          </w:p>
        </w:tc>
        <w:tc>
          <w:tcPr>
            <w:tcW w:w="1087" w:type="dxa"/>
            <w:tcBorders>
              <w:top w:val="single" w:sz="4" w:space="0" w:color="auto"/>
            </w:tcBorders>
            <w:shd w:val="clear" w:color="auto" w:fill="F2C6C9"/>
            <w:vAlign w:val="center"/>
          </w:tcPr>
          <w:p w14:paraId="1B3F4227" w14:textId="77777777" w:rsidR="00D44F40" w:rsidRPr="00090F37" w:rsidRDefault="00D44F40" w:rsidP="0057756E">
            <w:pPr>
              <w:autoSpaceDE w:val="0"/>
              <w:autoSpaceDN w:val="0"/>
              <w:adjustRightInd w:val="0"/>
              <w:jc w:val="right"/>
              <w:rPr>
                <w:rFonts w:asciiTheme="minorHAnsi" w:hAnsiTheme="minorHAnsi" w:cstheme="minorHAnsi"/>
                <w:b/>
                <w:sz w:val="18"/>
                <w:szCs w:val="18"/>
              </w:rPr>
            </w:pPr>
            <w:r w:rsidRPr="00090F37">
              <w:rPr>
                <w:rFonts w:asciiTheme="minorHAnsi" w:hAnsiTheme="minorHAnsi" w:cstheme="minorHAnsi"/>
                <w:b/>
                <w:sz w:val="18"/>
                <w:szCs w:val="18"/>
              </w:rPr>
              <w:t>268</w:t>
            </w:r>
            <w:r>
              <w:rPr>
                <w:rFonts w:asciiTheme="minorHAnsi" w:hAnsiTheme="minorHAnsi" w:cstheme="minorHAnsi"/>
                <w:b/>
                <w:sz w:val="18"/>
                <w:szCs w:val="18"/>
              </w:rPr>
              <w:t> </w:t>
            </w:r>
            <w:r w:rsidRPr="00090F37">
              <w:rPr>
                <w:rFonts w:asciiTheme="minorHAnsi" w:hAnsiTheme="minorHAnsi" w:cstheme="minorHAnsi"/>
                <w:b/>
                <w:sz w:val="18"/>
                <w:szCs w:val="18"/>
              </w:rPr>
              <w:t>610</w:t>
            </w:r>
            <w:r>
              <w:rPr>
                <w:rFonts w:asciiTheme="minorHAnsi" w:hAnsiTheme="minorHAnsi" w:cstheme="minorHAnsi"/>
                <w:b/>
                <w:sz w:val="18"/>
                <w:szCs w:val="18"/>
              </w:rPr>
              <w:t>,2</w:t>
            </w:r>
          </w:p>
        </w:tc>
        <w:tc>
          <w:tcPr>
            <w:tcW w:w="1086" w:type="dxa"/>
            <w:tcBorders>
              <w:top w:val="single" w:sz="4" w:space="0" w:color="auto"/>
            </w:tcBorders>
            <w:shd w:val="clear" w:color="auto" w:fill="F2C6C9"/>
            <w:vAlign w:val="center"/>
          </w:tcPr>
          <w:p w14:paraId="64D99860" w14:textId="77777777" w:rsidR="00D44F40" w:rsidRPr="00090F37" w:rsidRDefault="00D44F40" w:rsidP="0057756E">
            <w:pPr>
              <w:autoSpaceDE w:val="0"/>
              <w:autoSpaceDN w:val="0"/>
              <w:adjustRightInd w:val="0"/>
              <w:jc w:val="right"/>
              <w:rPr>
                <w:rFonts w:asciiTheme="minorHAnsi" w:hAnsiTheme="minorHAnsi" w:cstheme="minorHAnsi"/>
                <w:b/>
                <w:sz w:val="18"/>
                <w:szCs w:val="18"/>
              </w:rPr>
            </w:pPr>
            <w:r w:rsidRPr="00090F37">
              <w:rPr>
                <w:rFonts w:asciiTheme="minorHAnsi" w:hAnsiTheme="minorHAnsi" w:cstheme="minorHAnsi"/>
                <w:b/>
                <w:sz w:val="18"/>
                <w:szCs w:val="18"/>
              </w:rPr>
              <w:t>163</w:t>
            </w:r>
            <w:r>
              <w:rPr>
                <w:rFonts w:asciiTheme="minorHAnsi" w:hAnsiTheme="minorHAnsi" w:cstheme="minorHAnsi"/>
                <w:b/>
                <w:sz w:val="18"/>
                <w:szCs w:val="18"/>
              </w:rPr>
              <w:t> </w:t>
            </w:r>
            <w:r w:rsidRPr="00090F37">
              <w:rPr>
                <w:rFonts w:asciiTheme="minorHAnsi" w:hAnsiTheme="minorHAnsi" w:cstheme="minorHAnsi"/>
                <w:b/>
                <w:sz w:val="18"/>
                <w:szCs w:val="18"/>
              </w:rPr>
              <w:t>584</w:t>
            </w:r>
            <w:r>
              <w:rPr>
                <w:rFonts w:asciiTheme="minorHAnsi" w:hAnsiTheme="minorHAnsi" w:cstheme="minorHAnsi"/>
                <w:b/>
                <w:sz w:val="18"/>
                <w:szCs w:val="18"/>
              </w:rPr>
              <w:t>,2</w:t>
            </w:r>
          </w:p>
        </w:tc>
        <w:tc>
          <w:tcPr>
            <w:tcW w:w="1087" w:type="dxa"/>
            <w:tcBorders>
              <w:top w:val="single" w:sz="4" w:space="0" w:color="auto"/>
            </w:tcBorders>
            <w:shd w:val="clear" w:color="auto" w:fill="F2C6C9"/>
            <w:vAlign w:val="center"/>
          </w:tcPr>
          <w:p w14:paraId="0AB77C49" w14:textId="77777777" w:rsidR="00D44F40" w:rsidRPr="005C57A0" w:rsidRDefault="00D44F40" w:rsidP="0057756E">
            <w:pPr>
              <w:autoSpaceDE w:val="0"/>
              <w:autoSpaceDN w:val="0"/>
              <w:adjustRightInd w:val="0"/>
              <w:jc w:val="right"/>
              <w:rPr>
                <w:rFonts w:asciiTheme="minorHAnsi" w:hAnsiTheme="minorHAnsi" w:cstheme="minorHAnsi"/>
                <w:b/>
                <w:sz w:val="18"/>
                <w:szCs w:val="18"/>
              </w:rPr>
            </w:pPr>
            <w:r w:rsidRPr="005C57A0">
              <w:rPr>
                <w:rFonts w:asciiTheme="minorHAnsi" w:hAnsiTheme="minorHAnsi" w:cstheme="minorHAnsi"/>
                <w:b/>
                <w:sz w:val="18"/>
                <w:szCs w:val="18"/>
              </w:rPr>
              <w:t>1 051 791,5</w:t>
            </w:r>
          </w:p>
        </w:tc>
        <w:tc>
          <w:tcPr>
            <w:tcW w:w="1087" w:type="dxa"/>
            <w:tcBorders>
              <w:top w:val="single" w:sz="4" w:space="0" w:color="auto"/>
            </w:tcBorders>
            <w:shd w:val="clear" w:color="auto" w:fill="F2C6C9"/>
            <w:vAlign w:val="center"/>
          </w:tcPr>
          <w:p w14:paraId="3C27B517" w14:textId="77777777" w:rsidR="00D44F40" w:rsidRPr="0045590F" w:rsidRDefault="00D44F40" w:rsidP="0057756E">
            <w:pPr>
              <w:autoSpaceDE w:val="0"/>
              <w:autoSpaceDN w:val="0"/>
              <w:adjustRightInd w:val="0"/>
              <w:jc w:val="right"/>
              <w:rPr>
                <w:rFonts w:asciiTheme="minorHAnsi" w:hAnsiTheme="minorHAnsi" w:cstheme="minorHAnsi"/>
                <w:b/>
                <w:sz w:val="18"/>
                <w:szCs w:val="18"/>
              </w:rPr>
            </w:pPr>
            <w:r w:rsidRPr="0045590F">
              <w:rPr>
                <w:rFonts w:asciiTheme="minorHAnsi" w:hAnsiTheme="minorHAnsi" w:cstheme="minorHAnsi"/>
                <w:b/>
                <w:sz w:val="18"/>
                <w:szCs w:val="18"/>
              </w:rPr>
              <w:t>307 616,9</w:t>
            </w:r>
          </w:p>
        </w:tc>
      </w:tr>
      <w:tr w:rsidR="00D44F40" w:rsidRPr="00243E67" w14:paraId="7A95FC83" w14:textId="77777777" w:rsidTr="005C57A0">
        <w:trPr>
          <w:trHeight w:val="283"/>
        </w:trPr>
        <w:tc>
          <w:tcPr>
            <w:tcW w:w="2835" w:type="dxa"/>
            <w:shd w:val="clear" w:color="auto" w:fill="auto"/>
            <w:vAlign w:val="center"/>
          </w:tcPr>
          <w:p w14:paraId="72E21FA7" w14:textId="1FAFDF4F" w:rsidR="00D44F40" w:rsidRPr="00866640" w:rsidRDefault="00D44F40" w:rsidP="00F53A6E">
            <w:pPr>
              <w:autoSpaceDE w:val="0"/>
              <w:autoSpaceDN w:val="0"/>
              <w:adjustRightInd w:val="0"/>
              <w:ind w:firstLine="177"/>
              <w:rPr>
                <w:rFonts w:cstheme="minorHAnsi"/>
                <w:i/>
                <w:sz w:val="18"/>
                <w:szCs w:val="18"/>
              </w:rPr>
            </w:pPr>
            <w:r w:rsidRPr="00866640">
              <w:rPr>
                <w:rFonts w:asciiTheme="minorHAnsi" w:hAnsiTheme="minorHAnsi" w:cstheme="minorHAnsi"/>
                <w:i/>
                <w:sz w:val="18"/>
                <w:szCs w:val="18"/>
              </w:rPr>
              <w:t xml:space="preserve">v tom údržba a opravy </w:t>
            </w:r>
          </w:p>
        </w:tc>
        <w:tc>
          <w:tcPr>
            <w:tcW w:w="945" w:type="dxa"/>
            <w:shd w:val="clear" w:color="auto" w:fill="auto"/>
            <w:vAlign w:val="center"/>
          </w:tcPr>
          <w:p w14:paraId="67E5315E"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217 859,</w:t>
            </w:r>
            <w:r w:rsidR="009232A4">
              <w:rPr>
                <w:rFonts w:asciiTheme="minorHAnsi" w:hAnsiTheme="minorHAnsi" w:cstheme="minorHAnsi"/>
                <w:i/>
                <w:sz w:val="18"/>
                <w:szCs w:val="18"/>
              </w:rPr>
              <w:t>1</w:t>
            </w:r>
          </w:p>
        </w:tc>
        <w:tc>
          <w:tcPr>
            <w:tcW w:w="1087" w:type="dxa"/>
            <w:shd w:val="clear" w:color="auto" w:fill="auto"/>
            <w:vAlign w:val="center"/>
          </w:tcPr>
          <w:p w14:paraId="5EA3CBF9"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175 191,7</w:t>
            </w:r>
          </w:p>
        </w:tc>
        <w:tc>
          <w:tcPr>
            <w:tcW w:w="1087" w:type="dxa"/>
            <w:shd w:val="clear" w:color="auto" w:fill="auto"/>
            <w:vAlign w:val="center"/>
          </w:tcPr>
          <w:p w14:paraId="4CD4EDB7"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137 039,1</w:t>
            </w:r>
          </w:p>
        </w:tc>
        <w:tc>
          <w:tcPr>
            <w:tcW w:w="1086" w:type="dxa"/>
            <w:shd w:val="clear" w:color="auto" w:fill="auto"/>
            <w:vAlign w:val="center"/>
          </w:tcPr>
          <w:p w14:paraId="1FB072A7"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138 322,7</w:t>
            </w:r>
          </w:p>
        </w:tc>
        <w:tc>
          <w:tcPr>
            <w:tcW w:w="1087" w:type="dxa"/>
            <w:shd w:val="clear" w:color="auto" w:fill="auto"/>
            <w:vAlign w:val="center"/>
          </w:tcPr>
          <w:p w14:paraId="4F2B3D18" w14:textId="77777777" w:rsidR="00D44F40" w:rsidRPr="005C57A0" w:rsidRDefault="00D44F40" w:rsidP="00D44F40">
            <w:pPr>
              <w:autoSpaceDE w:val="0"/>
              <w:autoSpaceDN w:val="0"/>
              <w:adjustRightInd w:val="0"/>
              <w:jc w:val="right"/>
              <w:rPr>
                <w:rFonts w:asciiTheme="minorHAnsi" w:hAnsiTheme="minorHAnsi" w:cstheme="minorHAnsi"/>
                <w:b/>
                <w:i/>
                <w:sz w:val="18"/>
                <w:szCs w:val="18"/>
              </w:rPr>
            </w:pPr>
            <w:r w:rsidRPr="005C57A0">
              <w:rPr>
                <w:rFonts w:asciiTheme="minorHAnsi" w:hAnsiTheme="minorHAnsi" w:cstheme="minorHAnsi"/>
                <w:b/>
                <w:i/>
                <w:sz w:val="18"/>
                <w:szCs w:val="18"/>
              </w:rPr>
              <w:t>668 412,</w:t>
            </w:r>
            <w:r w:rsidR="00A16E51" w:rsidRPr="005C57A0">
              <w:rPr>
                <w:rFonts w:asciiTheme="minorHAnsi" w:hAnsiTheme="minorHAnsi" w:cstheme="minorHAnsi"/>
                <w:b/>
                <w:i/>
                <w:sz w:val="18"/>
                <w:szCs w:val="18"/>
              </w:rPr>
              <w:t>6</w:t>
            </w:r>
          </w:p>
        </w:tc>
        <w:tc>
          <w:tcPr>
            <w:tcW w:w="1087" w:type="dxa"/>
            <w:shd w:val="clear" w:color="auto" w:fill="auto"/>
            <w:vAlign w:val="center"/>
          </w:tcPr>
          <w:p w14:paraId="48D3A60C"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202 443,5</w:t>
            </w:r>
          </w:p>
        </w:tc>
      </w:tr>
      <w:tr w:rsidR="00D44F40" w:rsidRPr="00243E67" w14:paraId="2DC8146B" w14:textId="77777777" w:rsidTr="005C57A0">
        <w:trPr>
          <w:trHeight w:val="283"/>
        </w:trPr>
        <w:tc>
          <w:tcPr>
            <w:tcW w:w="2835" w:type="dxa"/>
            <w:shd w:val="clear" w:color="auto" w:fill="auto"/>
            <w:vAlign w:val="center"/>
          </w:tcPr>
          <w:p w14:paraId="67052BD8" w14:textId="39168D2D" w:rsidR="00D44F40" w:rsidRPr="00866640" w:rsidRDefault="00D44F40" w:rsidP="00F53A6E">
            <w:pPr>
              <w:autoSpaceDE w:val="0"/>
              <w:autoSpaceDN w:val="0"/>
              <w:adjustRightInd w:val="0"/>
              <w:ind w:firstLine="177"/>
              <w:rPr>
                <w:rFonts w:cstheme="minorHAnsi"/>
                <w:i/>
                <w:sz w:val="18"/>
                <w:szCs w:val="18"/>
              </w:rPr>
            </w:pPr>
            <w:r w:rsidRPr="00866640">
              <w:rPr>
                <w:rFonts w:asciiTheme="minorHAnsi" w:hAnsiTheme="minorHAnsi" w:cstheme="minorHAnsi"/>
                <w:i/>
                <w:sz w:val="18"/>
                <w:szCs w:val="18"/>
              </w:rPr>
              <w:t>v tom nákupy náhradních dílů</w:t>
            </w:r>
          </w:p>
        </w:tc>
        <w:tc>
          <w:tcPr>
            <w:tcW w:w="945" w:type="dxa"/>
            <w:shd w:val="clear" w:color="auto" w:fill="auto"/>
            <w:vAlign w:val="center"/>
          </w:tcPr>
          <w:p w14:paraId="4C6FD9DB"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134 172,</w:t>
            </w:r>
            <w:r w:rsidR="00A16E51">
              <w:rPr>
                <w:rFonts w:asciiTheme="minorHAnsi" w:hAnsiTheme="minorHAnsi" w:cstheme="minorHAnsi"/>
                <w:i/>
                <w:sz w:val="18"/>
                <w:szCs w:val="18"/>
              </w:rPr>
              <w:t>6</w:t>
            </w:r>
          </w:p>
        </w:tc>
        <w:tc>
          <w:tcPr>
            <w:tcW w:w="1087" w:type="dxa"/>
            <w:shd w:val="clear" w:color="auto" w:fill="auto"/>
            <w:vAlign w:val="center"/>
          </w:tcPr>
          <w:p w14:paraId="7A057EF9"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92 373,7</w:t>
            </w:r>
          </w:p>
        </w:tc>
        <w:tc>
          <w:tcPr>
            <w:tcW w:w="1087" w:type="dxa"/>
            <w:shd w:val="clear" w:color="auto" w:fill="auto"/>
            <w:vAlign w:val="center"/>
          </w:tcPr>
          <w:p w14:paraId="3FE4FD2F"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131 571,1</w:t>
            </w:r>
          </w:p>
        </w:tc>
        <w:tc>
          <w:tcPr>
            <w:tcW w:w="1086" w:type="dxa"/>
            <w:shd w:val="clear" w:color="auto" w:fill="auto"/>
            <w:vAlign w:val="center"/>
          </w:tcPr>
          <w:p w14:paraId="4ED1CF1D"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25 261,5</w:t>
            </w:r>
          </w:p>
        </w:tc>
        <w:tc>
          <w:tcPr>
            <w:tcW w:w="1087" w:type="dxa"/>
            <w:shd w:val="clear" w:color="auto" w:fill="auto"/>
            <w:vAlign w:val="center"/>
          </w:tcPr>
          <w:p w14:paraId="6203599C" w14:textId="77777777" w:rsidR="00D44F40" w:rsidRPr="005C57A0" w:rsidRDefault="00D44F40" w:rsidP="00D44F40">
            <w:pPr>
              <w:autoSpaceDE w:val="0"/>
              <w:autoSpaceDN w:val="0"/>
              <w:adjustRightInd w:val="0"/>
              <w:jc w:val="right"/>
              <w:rPr>
                <w:rFonts w:asciiTheme="minorHAnsi" w:hAnsiTheme="minorHAnsi" w:cstheme="minorHAnsi"/>
                <w:b/>
                <w:i/>
                <w:sz w:val="18"/>
                <w:szCs w:val="18"/>
              </w:rPr>
            </w:pPr>
            <w:r w:rsidRPr="005C57A0">
              <w:rPr>
                <w:rFonts w:asciiTheme="minorHAnsi" w:hAnsiTheme="minorHAnsi" w:cstheme="minorHAnsi"/>
                <w:b/>
                <w:i/>
                <w:sz w:val="18"/>
                <w:szCs w:val="18"/>
              </w:rPr>
              <w:t>383 37</w:t>
            </w:r>
            <w:r w:rsidR="00A16E51" w:rsidRPr="005C57A0">
              <w:rPr>
                <w:rFonts w:asciiTheme="minorHAnsi" w:hAnsiTheme="minorHAnsi" w:cstheme="minorHAnsi"/>
                <w:b/>
                <w:i/>
                <w:sz w:val="18"/>
                <w:szCs w:val="18"/>
              </w:rPr>
              <w:t>8</w:t>
            </w:r>
            <w:r w:rsidRPr="005C57A0">
              <w:rPr>
                <w:rFonts w:asciiTheme="minorHAnsi" w:hAnsiTheme="minorHAnsi" w:cstheme="minorHAnsi"/>
                <w:b/>
                <w:i/>
                <w:sz w:val="18"/>
                <w:szCs w:val="18"/>
              </w:rPr>
              <w:t>,</w:t>
            </w:r>
            <w:r w:rsidR="00A16E51" w:rsidRPr="005C57A0">
              <w:rPr>
                <w:rFonts w:asciiTheme="minorHAnsi" w:hAnsiTheme="minorHAnsi" w:cstheme="minorHAnsi"/>
                <w:b/>
                <w:i/>
                <w:sz w:val="18"/>
                <w:szCs w:val="18"/>
              </w:rPr>
              <w:t>9</w:t>
            </w:r>
          </w:p>
        </w:tc>
        <w:tc>
          <w:tcPr>
            <w:tcW w:w="1087" w:type="dxa"/>
            <w:shd w:val="clear" w:color="auto" w:fill="auto"/>
            <w:vAlign w:val="center"/>
          </w:tcPr>
          <w:p w14:paraId="359199DA" w14:textId="77777777" w:rsidR="00D44F40" w:rsidRPr="00866640" w:rsidRDefault="00D44F40" w:rsidP="00D44F40">
            <w:pPr>
              <w:autoSpaceDE w:val="0"/>
              <w:autoSpaceDN w:val="0"/>
              <w:adjustRightInd w:val="0"/>
              <w:jc w:val="right"/>
              <w:rPr>
                <w:rFonts w:asciiTheme="minorHAnsi" w:hAnsiTheme="minorHAnsi" w:cstheme="minorHAnsi"/>
                <w:i/>
                <w:sz w:val="18"/>
                <w:szCs w:val="18"/>
              </w:rPr>
            </w:pPr>
            <w:r w:rsidRPr="00866640">
              <w:rPr>
                <w:rFonts w:asciiTheme="minorHAnsi" w:hAnsiTheme="minorHAnsi" w:cstheme="minorHAnsi"/>
                <w:i/>
                <w:sz w:val="18"/>
                <w:szCs w:val="18"/>
              </w:rPr>
              <w:t>105 173,4</w:t>
            </w:r>
          </w:p>
        </w:tc>
      </w:tr>
    </w:tbl>
    <w:p w14:paraId="6FC406A3" w14:textId="77777777" w:rsidR="00D44F40" w:rsidRPr="00D44F40" w:rsidRDefault="00D44F40" w:rsidP="00D44F40">
      <w:pPr>
        <w:rPr>
          <w:rFonts w:asciiTheme="minorHAnsi" w:hAnsiTheme="minorHAnsi" w:cstheme="minorHAnsi"/>
          <w:sz w:val="20"/>
          <w:szCs w:val="20"/>
        </w:rPr>
      </w:pPr>
      <w:r w:rsidRPr="00D44F40">
        <w:rPr>
          <w:rFonts w:asciiTheme="minorHAnsi" w:hAnsiTheme="minorHAnsi" w:cstheme="minorHAnsi"/>
          <w:b/>
          <w:sz w:val="20"/>
          <w:szCs w:val="20"/>
        </w:rPr>
        <w:t xml:space="preserve">Zdroj: </w:t>
      </w:r>
      <w:r w:rsidR="00620222" w:rsidRPr="008B1281">
        <w:rPr>
          <w:rFonts w:asciiTheme="minorHAnsi" w:hAnsiTheme="minorHAnsi" w:cstheme="minorHAnsi"/>
          <w:sz w:val="20"/>
          <w:szCs w:val="20"/>
        </w:rPr>
        <w:t xml:space="preserve">vypracoval NKÚ </w:t>
      </w:r>
      <w:bookmarkStart w:id="32" w:name="_Hlk127280198"/>
      <w:r w:rsidR="00620222" w:rsidRPr="008B1281">
        <w:rPr>
          <w:rFonts w:asciiTheme="minorHAnsi" w:hAnsiTheme="minorHAnsi" w:cstheme="minorHAnsi"/>
          <w:sz w:val="20"/>
          <w:szCs w:val="20"/>
        </w:rPr>
        <w:t xml:space="preserve">na základě </w:t>
      </w:r>
      <w:r w:rsidRPr="008B1281">
        <w:rPr>
          <w:rFonts w:ascii="Calibri" w:hAnsi="Calibri" w:cs="Calibri"/>
          <w:sz w:val="20"/>
          <w:szCs w:val="20"/>
        </w:rPr>
        <w:t>předložen</w:t>
      </w:r>
      <w:r w:rsidR="00620222" w:rsidRPr="008B1281">
        <w:rPr>
          <w:rFonts w:ascii="Calibri" w:hAnsi="Calibri" w:cs="Calibri"/>
          <w:sz w:val="20"/>
          <w:szCs w:val="20"/>
        </w:rPr>
        <w:t>ých</w:t>
      </w:r>
      <w:r>
        <w:rPr>
          <w:rFonts w:ascii="Calibri" w:hAnsi="Calibri" w:cs="Calibri"/>
          <w:sz w:val="20"/>
          <w:szCs w:val="20"/>
        </w:rPr>
        <w:t xml:space="preserve"> údaj</w:t>
      </w:r>
      <w:r w:rsidR="00620222">
        <w:rPr>
          <w:rFonts w:ascii="Calibri" w:hAnsi="Calibri" w:cs="Calibri"/>
          <w:sz w:val="20"/>
          <w:szCs w:val="20"/>
        </w:rPr>
        <w:t>ů</w:t>
      </w:r>
      <w:r>
        <w:rPr>
          <w:rFonts w:ascii="Calibri" w:hAnsi="Calibri" w:cs="Calibri"/>
          <w:sz w:val="20"/>
          <w:szCs w:val="20"/>
        </w:rPr>
        <w:t xml:space="preserve"> z informačních systémů MO</w:t>
      </w:r>
      <w:bookmarkEnd w:id="32"/>
      <w:r>
        <w:rPr>
          <w:rFonts w:ascii="Calibri" w:hAnsi="Calibri" w:cs="Calibri"/>
          <w:sz w:val="20"/>
          <w:szCs w:val="20"/>
        </w:rPr>
        <w:t>.</w:t>
      </w:r>
    </w:p>
    <w:p w14:paraId="4E3F9D24" w14:textId="7058C70D" w:rsidR="00D44F40" w:rsidRPr="00D44F40" w:rsidRDefault="00D44F40" w:rsidP="00D44F40">
      <w:pPr>
        <w:rPr>
          <w:rFonts w:asciiTheme="minorHAnsi" w:hAnsiTheme="minorHAnsi" w:cstheme="minorHAnsi"/>
          <w:sz w:val="20"/>
          <w:szCs w:val="20"/>
        </w:rPr>
      </w:pPr>
      <w:r w:rsidRPr="00D44F40">
        <w:rPr>
          <w:rFonts w:asciiTheme="minorHAnsi" w:hAnsiTheme="minorHAnsi" w:cstheme="minorHAnsi"/>
          <w:b/>
          <w:sz w:val="20"/>
          <w:szCs w:val="20"/>
        </w:rPr>
        <w:t xml:space="preserve">Pozn.: </w:t>
      </w:r>
      <w:r w:rsidR="0037420A">
        <w:rPr>
          <w:rFonts w:asciiTheme="minorHAnsi" w:hAnsiTheme="minorHAnsi" w:cstheme="minorHAnsi"/>
          <w:sz w:val="20"/>
          <w:szCs w:val="20"/>
        </w:rPr>
        <w:t>N</w:t>
      </w:r>
      <w:r w:rsidRPr="00D44F40">
        <w:rPr>
          <w:rFonts w:asciiTheme="minorHAnsi" w:hAnsiTheme="minorHAnsi" w:cstheme="minorHAnsi"/>
          <w:sz w:val="20"/>
          <w:szCs w:val="20"/>
        </w:rPr>
        <w:t>ejsou zahrnuty výdaje na nákupy akumulátorů, baterií a pneumatik</w:t>
      </w:r>
      <w:r w:rsidR="00777506">
        <w:rPr>
          <w:rFonts w:asciiTheme="minorHAnsi" w:hAnsiTheme="minorHAnsi" w:cstheme="minorHAnsi"/>
          <w:sz w:val="20"/>
          <w:szCs w:val="20"/>
        </w:rPr>
        <w:t>.</w:t>
      </w:r>
    </w:p>
    <w:p w14:paraId="797C46B7" w14:textId="4B70AE51" w:rsidR="00D44F40" w:rsidRPr="00D44F40" w:rsidRDefault="00D44F40" w:rsidP="00AB5C58">
      <w:pPr>
        <w:ind w:left="426" w:hanging="426"/>
        <w:rPr>
          <w:rFonts w:asciiTheme="minorHAnsi" w:hAnsiTheme="minorHAnsi" w:cstheme="minorHAnsi"/>
          <w:sz w:val="20"/>
          <w:szCs w:val="20"/>
        </w:rPr>
      </w:pPr>
      <w:r w:rsidRPr="00D44F40">
        <w:rPr>
          <w:rFonts w:asciiTheme="minorHAnsi" w:hAnsiTheme="minorHAnsi" w:cstheme="minorHAnsi"/>
          <w:sz w:val="20"/>
          <w:szCs w:val="20"/>
        </w:rPr>
        <w:t xml:space="preserve">* </w:t>
      </w:r>
      <w:r w:rsidR="00777506">
        <w:rPr>
          <w:rFonts w:asciiTheme="minorHAnsi" w:hAnsiTheme="minorHAnsi" w:cstheme="minorHAnsi"/>
          <w:sz w:val="20"/>
          <w:szCs w:val="20"/>
        </w:rPr>
        <w:tab/>
      </w:r>
      <w:r w:rsidR="0037420A">
        <w:rPr>
          <w:rFonts w:asciiTheme="minorHAnsi" w:hAnsiTheme="minorHAnsi" w:cstheme="minorHAnsi"/>
          <w:sz w:val="20"/>
          <w:szCs w:val="20"/>
        </w:rPr>
        <w:t>P</w:t>
      </w:r>
      <w:r w:rsidRPr="00D44F40">
        <w:rPr>
          <w:rFonts w:asciiTheme="minorHAnsi" w:hAnsiTheme="minorHAnsi" w:cstheme="minorHAnsi"/>
          <w:sz w:val="20"/>
          <w:szCs w:val="20"/>
        </w:rPr>
        <w:t>ředpokládané</w:t>
      </w:r>
      <w:r w:rsidR="0045590F" w:rsidRPr="0045590F">
        <w:rPr>
          <w:rFonts w:asciiTheme="minorHAnsi" w:hAnsiTheme="minorHAnsi" w:cstheme="minorHAnsi"/>
          <w:sz w:val="20"/>
          <w:szCs w:val="20"/>
        </w:rPr>
        <w:t xml:space="preserve"> </w:t>
      </w:r>
      <w:r w:rsidR="0045590F" w:rsidRPr="00D44F40">
        <w:rPr>
          <w:rFonts w:asciiTheme="minorHAnsi" w:hAnsiTheme="minorHAnsi" w:cstheme="minorHAnsi"/>
          <w:sz w:val="20"/>
          <w:szCs w:val="20"/>
        </w:rPr>
        <w:t>výdaje</w:t>
      </w:r>
      <w:r w:rsidR="00777506">
        <w:rPr>
          <w:rFonts w:asciiTheme="minorHAnsi" w:hAnsiTheme="minorHAnsi" w:cstheme="minorHAnsi"/>
          <w:sz w:val="20"/>
          <w:szCs w:val="20"/>
        </w:rPr>
        <w:t>.</w:t>
      </w:r>
    </w:p>
    <w:p w14:paraId="2FB1D61D" w14:textId="65573881" w:rsidR="00D44F40" w:rsidRPr="00D44F40" w:rsidRDefault="00D44F40" w:rsidP="00AB5C58">
      <w:pPr>
        <w:ind w:left="426" w:hanging="426"/>
        <w:rPr>
          <w:rFonts w:asciiTheme="minorHAnsi" w:hAnsiTheme="minorHAnsi" w:cstheme="minorHAnsi"/>
          <w:sz w:val="20"/>
          <w:szCs w:val="20"/>
        </w:rPr>
      </w:pPr>
      <w:r w:rsidRPr="00D44F40">
        <w:rPr>
          <w:rFonts w:asciiTheme="minorHAnsi" w:hAnsiTheme="minorHAnsi" w:cstheme="minorHAnsi"/>
          <w:sz w:val="20"/>
          <w:szCs w:val="20"/>
        </w:rPr>
        <w:t xml:space="preserve">** </w:t>
      </w:r>
      <w:r w:rsidR="00777506">
        <w:rPr>
          <w:rFonts w:asciiTheme="minorHAnsi" w:hAnsiTheme="minorHAnsi" w:cstheme="minorHAnsi"/>
          <w:sz w:val="20"/>
          <w:szCs w:val="20"/>
        </w:rPr>
        <w:tab/>
      </w:r>
      <w:r w:rsidR="0037420A">
        <w:rPr>
          <w:rFonts w:asciiTheme="minorHAnsi" w:hAnsiTheme="minorHAnsi" w:cstheme="minorHAnsi"/>
          <w:sz w:val="20"/>
          <w:szCs w:val="20"/>
        </w:rPr>
        <w:t>J</w:t>
      </w:r>
      <w:r w:rsidRPr="00D44F40">
        <w:rPr>
          <w:rFonts w:asciiTheme="minorHAnsi" w:hAnsiTheme="minorHAnsi" w:cstheme="minorHAnsi"/>
          <w:sz w:val="20"/>
          <w:szCs w:val="20"/>
        </w:rPr>
        <w:t>sou zahrnuty výdaje na techniku</w:t>
      </w:r>
      <w:r>
        <w:rPr>
          <w:rFonts w:asciiTheme="minorHAnsi" w:hAnsiTheme="minorHAnsi" w:cstheme="minorHAnsi"/>
          <w:sz w:val="20"/>
          <w:szCs w:val="20"/>
        </w:rPr>
        <w:t xml:space="preserve"> na podvozku</w:t>
      </w:r>
      <w:r w:rsidRPr="00D44F40">
        <w:rPr>
          <w:rFonts w:asciiTheme="minorHAnsi" w:hAnsiTheme="minorHAnsi" w:cstheme="minorHAnsi"/>
          <w:sz w:val="20"/>
          <w:szCs w:val="20"/>
        </w:rPr>
        <w:t xml:space="preserve"> T-810 a T-815</w:t>
      </w:r>
      <w:r w:rsidR="00777506">
        <w:rPr>
          <w:rFonts w:asciiTheme="minorHAnsi" w:hAnsiTheme="minorHAnsi" w:cstheme="minorHAnsi"/>
          <w:sz w:val="20"/>
          <w:szCs w:val="20"/>
        </w:rPr>
        <w:t>.</w:t>
      </w:r>
    </w:p>
    <w:p w14:paraId="546FE549" w14:textId="7DB2B433" w:rsidR="00D44F40" w:rsidRPr="00AB5C58" w:rsidRDefault="00D44F40" w:rsidP="00AB5C58">
      <w:pPr>
        <w:ind w:left="426" w:hanging="426"/>
        <w:rPr>
          <w:rFonts w:asciiTheme="minorHAnsi" w:hAnsiTheme="minorHAnsi" w:cstheme="minorHAnsi"/>
          <w:sz w:val="20"/>
          <w:szCs w:val="20"/>
        </w:rPr>
      </w:pPr>
      <w:r w:rsidRPr="00D44F40">
        <w:rPr>
          <w:rFonts w:asciiTheme="minorHAnsi" w:hAnsiTheme="minorHAnsi" w:cstheme="minorHAnsi"/>
          <w:sz w:val="20"/>
          <w:szCs w:val="20"/>
        </w:rPr>
        <w:t xml:space="preserve">*** </w:t>
      </w:r>
      <w:r w:rsidR="00777506">
        <w:rPr>
          <w:rFonts w:asciiTheme="minorHAnsi" w:hAnsiTheme="minorHAnsi" w:cstheme="minorHAnsi"/>
          <w:sz w:val="20"/>
          <w:szCs w:val="20"/>
        </w:rPr>
        <w:tab/>
      </w:r>
      <w:r w:rsidR="0037420A">
        <w:rPr>
          <w:rFonts w:asciiTheme="minorHAnsi" w:hAnsiTheme="minorHAnsi" w:cstheme="minorHAnsi"/>
          <w:sz w:val="20"/>
          <w:szCs w:val="20"/>
        </w:rPr>
        <w:t>V</w:t>
      </w:r>
      <w:r w:rsidRPr="00D44F40">
        <w:rPr>
          <w:rFonts w:asciiTheme="minorHAnsi" w:hAnsiTheme="minorHAnsi" w:cstheme="minorHAnsi"/>
          <w:sz w:val="20"/>
          <w:szCs w:val="20"/>
        </w:rPr>
        <w:t xml:space="preserve">ýdaje na techniku </w:t>
      </w:r>
      <w:r>
        <w:rPr>
          <w:rFonts w:asciiTheme="minorHAnsi" w:hAnsiTheme="minorHAnsi" w:cstheme="minorHAnsi"/>
          <w:sz w:val="20"/>
          <w:szCs w:val="20"/>
        </w:rPr>
        <w:t xml:space="preserve">na podvozku </w:t>
      </w:r>
      <w:r w:rsidRPr="00D44F40">
        <w:rPr>
          <w:rFonts w:asciiTheme="minorHAnsi" w:hAnsiTheme="minorHAnsi" w:cstheme="minorHAnsi"/>
          <w:sz w:val="20"/>
          <w:szCs w:val="20"/>
        </w:rPr>
        <w:t xml:space="preserve">T-815 jsou zahrnuty v kategorii </w:t>
      </w:r>
      <w:r w:rsidR="0037420A">
        <w:rPr>
          <w:rFonts w:asciiTheme="minorHAnsi" w:hAnsiTheme="minorHAnsi" w:cstheme="minorHAnsi"/>
          <w:sz w:val="20"/>
          <w:szCs w:val="20"/>
        </w:rPr>
        <w:t>„</w:t>
      </w:r>
      <w:r w:rsidR="0037420A" w:rsidRPr="00AB5C58">
        <w:rPr>
          <w:rFonts w:asciiTheme="minorHAnsi" w:hAnsiTheme="minorHAnsi" w:cstheme="minorHAnsi"/>
          <w:i/>
          <w:sz w:val="20"/>
          <w:szCs w:val="20"/>
        </w:rPr>
        <w:t>a</w:t>
      </w:r>
      <w:r w:rsidRPr="00D44F40">
        <w:rPr>
          <w:rFonts w:asciiTheme="minorHAnsi" w:hAnsiTheme="minorHAnsi" w:cstheme="minorHAnsi"/>
          <w:i/>
          <w:sz w:val="20"/>
          <w:szCs w:val="20"/>
        </w:rPr>
        <w:t>utomobily nákladní a speciální</w:t>
      </w:r>
      <w:r w:rsidR="0037420A" w:rsidRPr="00AB5C58">
        <w:rPr>
          <w:rFonts w:asciiTheme="minorHAnsi" w:hAnsiTheme="minorHAnsi" w:cstheme="minorHAnsi"/>
          <w:sz w:val="20"/>
          <w:szCs w:val="20"/>
        </w:rPr>
        <w:t>“</w:t>
      </w:r>
      <w:r w:rsidRPr="00AB5C58">
        <w:rPr>
          <w:rFonts w:asciiTheme="minorHAnsi" w:hAnsiTheme="minorHAnsi" w:cstheme="minorHAnsi"/>
          <w:sz w:val="20"/>
          <w:szCs w:val="20"/>
        </w:rPr>
        <w:t>.</w:t>
      </w:r>
    </w:p>
    <w:p w14:paraId="63BBF7AF" w14:textId="77777777" w:rsidR="00D44F40" w:rsidRPr="00777506" w:rsidRDefault="00D44F40" w:rsidP="00D44F40">
      <w:pPr>
        <w:rPr>
          <w:rFonts w:ascii="Calibri" w:hAnsi="Calibri" w:cs="Calibri"/>
        </w:rPr>
      </w:pPr>
    </w:p>
    <w:p w14:paraId="3D19F06E" w14:textId="77777777" w:rsidR="004E0265" w:rsidRPr="00777506" w:rsidRDefault="004E0265" w:rsidP="00D44F40">
      <w:pPr>
        <w:rPr>
          <w:rFonts w:ascii="Calibri" w:hAnsi="Calibri" w:cs="Calibri"/>
        </w:rPr>
      </w:pPr>
    </w:p>
    <w:p w14:paraId="0071AA77" w14:textId="18D9378F" w:rsidR="004E0265" w:rsidRPr="00CD4B8A" w:rsidRDefault="00DD750F" w:rsidP="00AB5C58">
      <w:pPr>
        <w:tabs>
          <w:tab w:val="center" w:pos="4536"/>
          <w:tab w:val="right" w:pos="9072"/>
        </w:tabs>
        <w:spacing w:before="240" w:after="40"/>
        <w:jc w:val="center"/>
        <w:rPr>
          <w:rFonts w:asciiTheme="minorHAnsi" w:hAnsiTheme="minorHAnsi" w:cstheme="minorHAnsi"/>
        </w:rPr>
      </w:pPr>
      <w:r>
        <w:rPr>
          <w:rFonts w:asciiTheme="minorHAnsi" w:hAnsiTheme="minorHAnsi" w:cs="Calibri"/>
          <w:b/>
          <w:color w:val="000000"/>
        </w:rPr>
        <w:tab/>
        <w:t>Struktura</w:t>
      </w:r>
      <w:r w:rsidR="004E0265">
        <w:rPr>
          <w:rFonts w:asciiTheme="minorHAnsi" w:hAnsiTheme="minorHAnsi" w:cs="Calibri"/>
          <w:b/>
          <w:color w:val="000000"/>
        </w:rPr>
        <w:t xml:space="preserve"> tržeb VOP CZ v letech 2018–2022</w:t>
      </w:r>
      <w:r w:rsidR="00777506">
        <w:rPr>
          <w:rFonts w:asciiTheme="minorHAnsi" w:hAnsiTheme="minorHAnsi" w:cs="Calibri"/>
          <w:b/>
          <w:color w:val="000000"/>
        </w:rPr>
        <w:t xml:space="preserve"> </w:t>
      </w:r>
      <w:r w:rsidR="00777506">
        <w:rPr>
          <w:rFonts w:asciiTheme="minorHAnsi" w:hAnsiTheme="minorHAnsi" w:cs="Calibri"/>
          <w:b/>
          <w:color w:val="000000"/>
        </w:rPr>
        <w:tab/>
      </w:r>
      <w:r w:rsidR="004E0265" w:rsidRPr="00777506">
        <w:rPr>
          <w:rFonts w:asciiTheme="minorHAnsi" w:hAnsiTheme="minorHAnsi" w:cstheme="minorHAnsi"/>
          <w:b/>
        </w:rPr>
        <w:t>(v tis. Kč)</w:t>
      </w:r>
    </w:p>
    <w:tbl>
      <w:tblPr>
        <w:tblW w:w="9195" w:type="dxa"/>
        <w:tblInd w:w="-5" w:type="dxa"/>
        <w:tblLayout w:type="fixed"/>
        <w:tblCellMar>
          <w:left w:w="70" w:type="dxa"/>
          <w:right w:w="70" w:type="dxa"/>
        </w:tblCellMar>
        <w:tblLook w:val="04A0" w:firstRow="1" w:lastRow="0" w:firstColumn="1" w:lastColumn="0" w:noHBand="0" w:noVBand="1"/>
      </w:tblPr>
      <w:tblGrid>
        <w:gridCol w:w="993"/>
        <w:gridCol w:w="1039"/>
        <w:gridCol w:w="1077"/>
        <w:gridCol w:w="1040"/>
        <w:gridCol w:w="851"/>
        <w:gridCol w:w="1077"/>
        <w:gridCol w:w="1134"/>
        <w:gridCol w:w="850"/>
        <w:gridCol w:w="1134"/>
      </w:tblGrid>
      <w:tr w:rsidR="004E0265" w:rsidRPr="00FD01A6" w14:paraId="19DF2DC8" w14:textId="77777777" w:rsidTr="00AB5C58">
        <w:trPr>
          <w:trHeight w:val="227"/>
        </w:trPr>
        <w:tc>
          <w:tcPr>
            <w:tcW w:w="993"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23A54FBA" w14:textId="77777777"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Rok</w:t>
            </w:r>
          </w:p>
        </w:tc>
        <w:tc>
          <w:tcPr>
            <w:tcW w:w="1039" w:type="dxa"/>
            <w:tcBorders>
              <w:top w:val="single" w:sz="4" w:space="0" w:color="auto"/>
              <w:left w:val="nil"/>
              <w:bottom w:val="single" w:sz="4" w:space="0" w:color="auto"/>
              <w:right w:val="single" w:sz="4" w:space="0" w:color="auto"/>
            </w:tcBorders>
            <w:shd w:val="clear" w:color="000000" w:fill="E5F1FF"/>
            <w:vAlign w:val="center"/>
            <w:hideMark/>
          </w:tcPr>
          <w:p w14:paraId="17F06AC4" w14:textId="2103E9BE"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Tržby</w:t>
            </w:r>
            <w:r w:rsidR="0037420A">
              <w:rPr>
                <w:rFonts w:asciiTheme="minorHAnsi" w:hAnsiTheme="minorHAnsi" w:cstheme="minorHAnsi"/>
                <w:b/>
                <w:bCs/>
                <w:color w:val="000000"/>
                <w:sz w:val="18"/>
                <w:szCs w:val="18"/>
              </w:rPr>
              <w:t xml:space="preserve"> za</w:t>
            </w:r>
          </w:p>
          <w:p w14:paraId="7D3C9829" w14:textId="603529E9"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CIVILNÍ</w:t>
            </w:r>
            <w:r w:rsidR="00AF64AA">
              <w:rPr>
                <w:rFonts w:asciiTheme="minorHAnsi" w:hAnsiTheme="minorHAnsi" w:cstheme="minorHAnsi"/>
                <w:b/>
                <w:bCs/>
                <w:color w:val="000000"/>
                <w:sz w:val="18"/>
                <w:szCs w:val="18"/>
              </w:rPr>
              <w:t xml:space="preserve"> </w:t>
            </w:r>
            <w:r w:rsidR="009650A8">
              <w:rPr>
                <w:rFonts w:asciiTheme="minorHAnsi" w:hAnsiTheme="minorHAnsi" w:cstheme="minorHAnsi"/>
                <w:b/>
                <w:bCs/>
                <w:color w:val="000000"/>
                <w:sz w:val="18"/>
                <w:szCs w:val="18"/>
              </w:rPr>
              <w:t>VÝROB</w:t>
            </w:r>
            <w:r w:rsidR="0037420A">
              <w:rPr>
                <w:rFonts w:asciiTheme="minorHAnsi" w:hAnsiTheme="minorHAnsi" w:cstheme="minorHAnsi"/>
                <w:b/>
                <w:bCs/>
                <w:color w:val="000000"/>
                <w:sz w:val="18"/>
                <w:szCs w:val="18"/>
              </w:rPr>
              <w:t>U</w:t>
            </w:r>
            <w:r w:rsidR="009650A8">
              <w:rPr>
                <w:rFonts w:asciiTheme="minorHAnsi" w:hAnsiTheme="minorHAnsi" w:cstheme="minorHAnsi"/>
                <w:b/>
                <w:bCs/>
                <w:color w:val="000000"/>
                <w:sz w:val="18"/>
                <w:szCs w:val="18"/>
              </w:rPr>
              <w:t>*</w:t>
            </w:r>
          </w:p>
        </w:tc>
        <w:tc>
          <w:tcPr>
            <w:tcW w:w="1077" w:type="dxa"/>
            <w:tcBorders>
              <w:top w:val="single" w:sz="4" w:space="0" w:color="auto"/>
              <w:left w:val="nil"/>
              <w:bottom w:val="single" w:sz="4" w:space="0" w:color="auto"/>
              <w:right w:val="single" w:sz="4" w:space="0" w:color="auto"/>
            </w:tcBorders>
            <w:shd w:val="clear" w:color="000000" w:fill="E5F1FF"/>
            <w:vAlign w:val="center"/>
            <w:hideMark/>
          </w:tcPr>
          <w:p w14:paraId="18A652DF" w14:textId="7559CBC6"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 xml:space="preserve">Tržby </w:t>
            </w:r>
            <w:r w:rsidR="0037420A">
              <w:rPr>
                <w:rFonts w:asciiTheme="minorHAnsi" w:hAnsiTheme="minorHAnsi" w:cstheme="minorHAnsi"/>
                <w:b/>
                <w:bCs/>
                <w:color w:val="000000"/>
                <w:sz w:val="18"/>
                <w:szCs w:val="18"/>
              </w:rPr>
              <w:t xml:space="preserve">za </w:t>
            </w:r>
            <w:r w:rsidR="00AF64AA">
              <w:rPr>
                <w:rFonts w:asciiTheme="minorHAnsi" w:hAnsiTheme="minorHAnsi" w:cstheme="minorHAnsi"/>
                <w:b/>
                <w:bCs/>
                <w:color w:val="000000"/>
                <w:sz w:val="18"/>
                <w:szCs w:val="18"/>
              </w:rPr>
              <w:t>VOJENSK</w:t>
            </w:r>
            <w:r w:rsidR="0037420A">
              <w:rPr>
                <w:rFonts w:asciiTheme="minorHAnsi" w:hAnsiTheme="minorHAnsi" w:cstheme="minorHAnsi"/>
                <w:b/>
                <w:bCs/>
                <w:color w:val="000000"/>
                <w:sz w:val="18"/>
                <w:szCs w:val="18"/>
              </w:rPr>
              <w:t xml:space="preserve">OU </w:t>
            </w:r>
            <w:r w:rsidR="009650A8">
              <w:rPr>
                <w:rFonts w:asciiTheme="minorHAnsi" w:hAnsiTheme="minorHAnsi" w:cstheme="minorHAnsi"/>
                <w:b/>
                <w:bCs/>
                <w:color w:val="000000"/>
                <w:sz w:val="18"/>
                <w:szCs w:val="18"/>
              </w:rPr>
              <w:t>VÝROB</w:t>
            </w:r>
            <w:r w:rsidR="0037420A">
              <w:rPr>
                <w:rFonts w:asciiTheme="minorHAnsi" w:hAnsiTheme="minorHAnsi" w:cstheme="minorHAnsi"/>
                <w:b/>
                <w:bCs/>
                <w:color w:val="000000"/>
                <w:sz w:val="18"/>
                <w:szCs w:val="18"/>
              </w:rPr>
              <w:t>U</w:t>
            </w:r>
            <w:r w:rsidR="009650A8">
              <w:rPr>
                <w:rFonts w:asciiTheme="minorHAnsi" w:hAnsiTheme="minorHAnsi" w:cstheme="minorHAnsi"/>
                <w:b/>
                <w:bCs/>
                <w:color w:val="000000"/>
                <w:sz w:val="18"/>
                <w:szCs w:val="18"/>
              </w:rPr>
              <w:t>*</w:t>
            </w:r>
          </w:p>
        </w:tc>
        <w:tc>
          <w:tcPr>
            <w:tcW w:w="1040" w:type="dxa"/>
            <w:tcBorders>
              <w:top w:val="single" w:sz="4" w:space="0" w:color="auto"/>
              <w:left w:val="nil"/>
              <w:bottom w:val="single" w:sz="4" w:space="0" w:color="auto"/>
              <w:right w:val="single" w:sz="4" w:space="0" w:color="auto"/>
            </w:tcBorders>
            <w:shd w:val="clear" w:color="000000" w:fill="E5F1FF"/>
            <w:vAlign w:val="center"/>
            <w:hideMark/>
          </w:tcPr>
          <w:p w14:paraId="3FC5FB85" w14:textId="7FA5B921"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z toho</w:t>
            </w:r>
            <w:r w:rsidR="00E14896">
              <w:rPr>
                <w:rFonts w:asciiTheme="minorHAnsi" w:hAnsiTheme="minorHAnsi" w:cstheme="minorHAnsi"/>
                <w:b/>
                <w:bCs/>
                <w:color w:val="000000"/>
                <w:sz w:val="18"/>
                <w:szCs w:val="18"/>
              </w:rPr>
              <w:t xml:space="preserve"> </w:t>
            </w:r>
            <w:r w:rsidRPr="00AB6C71">
              <w:rPr>
                <w:rFonts w:asciiTheme="minorHAnsi" w:hAnsiTheme="minorHAnsi" w:cstheme="minorHAnsi"/>
                <w:b/>
                <w:bCs/>
                <w:color w:val="000000"/>
                <w:sz w:val="18"/>
                <w:szCs w:val="18"/>
              </w:rPr>
              <w:br/>
              <w:t>MO</w:t>
            </w:r>
          </w:p>
        </w:tc>
        <w:tc>
          <w:tcPr>
            <w:tcW w:w="851" w:type="dxa"/>
            <w:tcBorders>
              <w:top w:val="single" w:sz="4" w:space="0" w:color="auto"/>
              <w:left w:val="nil"/>
              <w:bottom w:val="single" w:sz="4" w:space="0" w:color="auto"/>
              <w:right w:val="single" w:sz="4" w:space="0" w:color="auto"/>
            </w:tcBorders>
            <w:shd w:val="clear" w:color="000000" w:fill="E5F1FF"/>
            <w:vAlign w:val="center"/>
            <w:hideMark/>
          </w:tcPr>
          <w:p w14:paraId="294EF43C" w14:textId="77777777" w:rsidR="004E0265"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Podíl</w:t>
            </w:r>
            <w:r w:rsidRPr="00AB6C71">
              <w:rPr>
                <w:rFonts w:asciiTheme="minorHAnsi" w:hAnsiTheme="minorHAnsi" w:cstheme="minorHAnsi"/>
                <w:b/>
                <w:bCs/>
                <w:color w:val="000000"/>
                <w:sz w:val="18"/>
                <w:szCs w:val="18"/>
              </w:rPr>
              <w:br/>
              <w:t>činnosti</w:t>
            </w:r>
            <w:r w:rsidRPr="00AB6C71">
              <w:rPr>
                <w:rFonts w:asciiTheme="minorHAnsi" w:hAnsiTheme="minorHAnsi" w:cstheme="minorHAnsi"/>
                <w:b/>
                <w:bCs/>
                <w:color w:val="000000"/>
                <w:sz w:val="18"/>
                <w:szCs w:val="18"/>
              </w:rPr>
              <w:br/>
              <w:t>pro MO</w:t>
            </w:r>
          </w:p>
          <w:p w14:paraId="54FC703F" w14:textId="7CA128CA" w:rsidR="004E0265" w:rsidRPr="00AB6C71" w:rsidRDefault="0037420A" w:rsidP="00EC0D2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004E0265" w:rsidRPr="00AB6C71">
              <w:rPr>
                <w:rFonts w:asciiTheme="minorHAnsi" w:hAnsiTheme="minorHAnsi" w:cstheme="minorHAnsi"/>
                <w:b/>
                <w:bCs/>
                <w:color w:val="000000"/>
                <w:sz w:val="18"/>
                <w:szCs w:val="18"/>
              </w:rPr>
              <w:t>v %</w:t>
            </w:r>
            <w:r>
              <w:rPr>
                <w:rFonts w:asciiTheme="minorHAnsi" w:hAnsiTheme="minorHAnsi" w:cstheme="minorHAnsi"/>
                <w:b/>
                <w:bCs/>
                <w:color w:val="000000"/>
                <w:sz w:val="18"/>
                <w:szCs w:val="18"/>
              </w:rPr>
              <w:t>)</w:t>
            </w:r>
          </w:p>
        </w:tc>
        <w:tc>
          <w:tcPr>
            <w:tcW w:w="1077" w:type="dxa"/>
            <w:tcBorders>
              <w:top w:val="single" w:sz="4" w:space="0" w:color="auto"/>
              <w:left w:val="nil"/>
              <w:bottom w:val="single" w:sz="4" w:space="0" w:color="auto"/>
              <w:right w:val="single" w:sz="4" w:space="0" w:color="auto"/>
            </w:tcBorders>
            <w:shd w:val="clear" w:color="000000" w:fill="E5F1FF"/>
            <w:vAlign w:val="center"/>
            <w:hideMark/>
          </w:tcPr>
          <w:p w14:paraId="736B018B" w14:textId="77777777"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a z toho automobilní technika Armády</w:t>
            </w:r>
          </w:p>
        </w:tc>
        <w:tc>
          <w:tcPr>
            <w:tcW w:w="1134" w:type="dxa"/>
            <w:tcBorders>
              <w:top w:val="single" w:sz="4" w:space="0" w:color="auto"/>
              <w:left w:val="nil"/>
              <w:bottom w:val="single" w:sz="4" w:space="0" w:color="auto"/>
              <w:right w:val="single" w:sz="4" w:space="0" w:color="auto"/>
            </w:tcBorders>
            <w:shd w:val="clear" w:color="000000" w:fill="E5F1FF"/>
            <w:vAlign w:val="center"/>
            <w:hideMark/>
          </w:tcPr>
          <w:p w14:paraId="6B271779" w14:textId="10EB564E" w:rsidR="004E0265"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bCs/>
                <w:color w:val="000000"/>
                <w:sz w:val="18"/>
                <w:szCs w:val="18"/>
              </w:rPr>
              <w:t>Podíl automobilní technik</w:t>
            </w:r>
            <w:r w:rsidR="0037420A">
              <w:rPr>
                <w:rFonts w:asciiTheme="minorHAnsi" w:hAnsiTheme="minorHAnsi" w:cstheme="minorHAnsi"/>
                <w:b/>
                <w:bCs/>
                <w:color w:val="000000"/>
                <w:sz w:val="18"/>
                <w:szCs w:val="18"/>
              </w:rPr>
              <w:t>y</w:t>
            </w:r>
            <w:r w:rsidRPr="00AB6C71">
              <w:rPr>
                <w:rFonts w:asciiTheme="minorHAnsi" w:hAnsiTheme="minorHAnsi" w:cstheme="minorHAnsi"/>
                <w:b/>
                <w:bCs/>
                <w:color w:val="000000"/>
                <w:sz w:val="18"/>
                <w:szCs w:val="18"/>
              </w:rPr>
              <w:t xml:space="preserve"> Armády</w:t>
            </w:r>
          </w:p>
          <w:p w14:paraId="55BC5F0A" w14:textId="139CC002" w:rsidR="004E0265" w:rsidRPr="00AB6C71" w:rsidRDefault="0037420A" w:rsidP="00EC0D2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004E0265">
              <w:rPr>
                <w:rFonts w:asciiTheme="minorHAnsi" w:hAnsiTheme="minorHAnsi" w:cstheme="minorHAnsi"/>
                <w:b/>
                <w:bCs/>
                <w:color w:val="000000"/>
                <w:sz w:val="18"/>
                <w:szCs w:val="18"/>
              </w:rPr>
              <w:t>v %</w:t>
            </w:r>
            <w:r>
              <w:rPr>
                <w:rFonts w:asciiTheme="minorHAnsi" w:hAnsiTheme="minorHAnsi" w:cstheme="minorHAnsi"/>
                <w:b/>
                <w:bCs/>
                <w:color w:val="000000"/>
                <w:sz w:val="18"/>
                <w:szCs w:val="18"/>
              </w:rPr>
              <w:t>)</w:t>
            </w:r>
          </w:p>
        </w:tc>
        <w:tc>
          <w:tcPr>
            <w:tcW w:w="850" w:type="dxa"/>
            <w:tcBorders>
              <w:top w:val="single" w:sz="4" w:space="0" w:color="auto"/>
              <w:left w:val="nil"/>
              <w:bottom w:val="single" w:sz="4" w:space="0" w:color="auto"/>
              <w:right w:val="single" w:sz="4" w:space="0" w:color="auto"/>
            </w:tcBorders>
            <w:shd w:val="clear" w:color="000000" w:fill="E5F1FF"/>
            <w:vAlign w:val="center"/>
          </w:tcPr>
          <w:p w14:paraId="3696D3A2" w14:textId="77777777" w:rsidR="004E0265" w:rsidRPr="00AB6C71" w:rsidRDefault="004E0265" w:rsidP="00EC0D29">
            <w:pPr>
              <w:jc w:val="center"/>
              <w:rPr>
                <w:rFonts w:asciiTheme="minorHAnsi" w:hAnsiTheme="minorHAnsi" w:cstheme="minorHAnsi"/>
                <w:b/>
                <w:bCs/>
                <w:color w:val="000000"/>
                <w:sz w:val="18"/>
                <w:szCs w:val="18"/>
              </w:rPr>
            </w:pPr>
            <w:r w:rsidRPr="00AB6C71">
              <w:rPr>
                <w:rFonts w:asciiTheme="minorHAnsi" w:hAnsiTheme="minorHAnsi" w:cstheme="minorHAnsi"/>
                <w:b/>
                <w:sz w:val="18"/>
                <w:szCs w:val="18"/>
              </w:rPr>
              <w:t>Tržby OSTATNÍ</w:t>
            </w:r>
          </w:p>
        </w:tc>
        <w:tc>
          <w:tcPr>
            <w:tcW w:w="1134" w:type="dxa"/>
            <w:tcBorders>
              <w:top w:val="single" w:sz="4" w:space="0" w:color="auto"/>
              <w:left w:val="nil"/>
              <w:bottom w:val="single" w:sz="4" w:space="0" w:color="auto"/>
              <w:right w:val="single" w:sz="4" w:space="0" w:color="auto"/>
            </w:tcBorders>
            <w:shd w:val="clear" w:color="000000" w:fill="E5F1FF"/>
            <w:vAlign w:val="center"/>
          </w:tcPr>
          <w:p w14:paraId="5341AEE3" w14:textId="77777777" w:rsidR="004E0265" w:rsidRPr="00AB6C71" w:rsidRDefault="004E0265" w:rsidP="00EC0D29">
            <w:pPr>
              <w:jc w:val="center"/>
              <w:rPr>
                <w:rFonts w:asciiTheme="minorHAnsi" w:hAnsiTheme="minorHAnsi" w:cstheme="minorHAnsi"/>
                <w:b/>
                <w:sz w:val="18"/>
                <w:szCs w:val="18"/>
              </w:rPr>
            </w:pPr>
            <w:r w:rsidRPr="00AB6C71">
              <w:rPr>
                <w:rFonts w:asciiTheme="minorHAnsi" w:hAnsiTheme="minorHAnsi" w:cstheme="minorHAnsi"/>
                <w:b/>
                <w:sz w:val="18"/>
                <w:szCs w:val="18"/>
              </w:rPr>
              <w:t>Tržby CELKEM</w:t>
            </w:r>
          </w:p>
        </w:tc>
      </w:tr>
      <w:tr w:rsidR="004E0265" w:rsidRPr="002F5787" w14:paraId="19EADEEB" w14:textId="77777777" w:rsidTr="00AB5C58">
        <w:trPr>
          <w:trHeight w:val="22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EC1A0A" w14:textId="77777777" w:rsidR="004E0265" w:rsidRPr="00AB6C71" w:rsidRDefault="004E0265" w:rsidP="00EC0D29">
            <w:pPr>
              <w:jc w:val="center"/>
              <w:rPr>
                <w:rFonts w:asciiTheme="minorHAnsi" w:hAnsiTheme="minorHAnsi" w:cstheme="minorHAnsi"/>
                <w:bCs/>
                <w:color w:val="000000"/>
                <w:sz w:val="18"/>
                <w:szCs w:val="18"/>
              </w:rPr>
            </w:pPr>
            <w:r w:rsidRPr="00AB6C71">
              <w:rPr>
                <w:rFonts w:asciiTheme="minorHAnsi" w:hAnsiTheme="minorHAnsi" w:cstheme="minorHAnsi"/>
                <w:bCs/>
                <w:color w:val="000000"/>
                <w:sz w:val="18"/>
                <w:szCs w:val="18"/>
              </w:rPr>
              <w:t>2018</w:t>
            </w:r>
          </w:p>
        </w:tc>
        <w:tc>
          <w:tcPr>
            <w:tcW w:w="1039" w:type="dxa"/>
            <w:tcBorders>
              <w:top w:val="nil"/>
              <w:left w:val="nil"/>
              <w:bottom w:val="single" w:sz="4" w:space="0" w:color="auto"/>
              <w:right w:val="single" w:sz="4" w:space="0" w:color="auto"/>
            </w:tcBorders>
            <w:shd w:val="clear" w:color="auto" w:fill="auto"/>
            <w:noWrap/>
            <w:vAlign w:val="center"/>
            <w:hideMark/>
          </w:tcPr>
          <w:p w14:paraId="79AFB6F0"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1 046 057,7</w:t>
            </w:r>
          </w:p>
        </w:tc>
        <w:tc>
          <w:tcPr>
            <w:tcW w:w="1077" w:type="dxa"/>
            <w:tcBorders>
              <w:top w:val="nil"/>
              <w:left w:val="nil"/>
              <w:bottom w:val="single" w:sz="4" w:space="0" w:color="auto"/>
              <w:right w:val="single" w:sz="4" w:space="0" w:color="auto"/>
            </w:tcBorders>
            <w:shd w:val="clear" w:color="auto" w:fill="auto"/>
            <w:noWrap/>
            <w:vAlign w:val="center"/>
            <w:hideMark/>
          </w:tcPr>
          <w:p w14:paraId="650A1610"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119 774,3</w:t>
            </w:r>
          </w:p>
        </w:tc>
        <w:tc>
          <w:tcPr>
            <w:tcW w:w="1040" w:type="dxa"/>
            <w:tcBorders>
              <w:top w:val="nil"/>
              <w:left w:val="nil"/>
              <w:bottom w:val="single" w:sz="4" w:space="0" w:color="auto"/>
              <w:right w:val="single" w:sz="4" w:space="0" w:color="auto"/>
            </w:tcBorders>
            <w:shd w:val="clear" w:color="000000" w:fill="FFFFFF"/>
            <w:noWrap/>
            <w:vAlign w:val="center"/>
            <w:hideMark/>
          </w:tcPr>
          <w:p w14:paraId="4EFD4DD6"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63 673,5</w:t>
            </w:r>
          </w:p>
        </w:tc>
        <w:tc>
          <w:tcPr>
            <w:tcW w:w="851" w:type="dxa"/>
            <w:tcBorders>
              <w:top w:val="nil"/>
              <w:left w:val="nil"/>
              <w:bottom w:val="single" w:sz="4" w:space="0" w:color="auto"/>
              <w:right w:val="single" w:sz="4" w:space="0" w:color="auto"/>
            </w:tcBorders>
            <w:shd w:val="clear" w:color="auto" w:fill="auto"/>
            <w:noWrap/>
            <w:vAlign w:val="center"/>
            <w:hideMark/>
          </w:tcPr>
          <w:p w14:paraId="669FE567" w14:textId="77777777" w:rsidR="004E0265" w:rsidRPr="00AB6C71" w:rsidRDefault="004E0265" w:rsidP="0037420A">
            <w:pPr>
              <w:ind w:right="85"/>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5,4 %</w:t>
            </w:r>
          </w:p>
        </w:tc>
        <w:tc>
          <w:tcPr>
            <w:tcW w:w="1077" w:type="dxa"/>
            <w:tcBorders>
              <w:top w:val="nil"/>
              <w:left w:val="nil"/>
              <w:bottom w:val="single" w:sz="4" w:space="0" w:color="auto"/>
              <w:right w:val="single" w:sz="4" w:space="0" w:color="auto"/>
            </w:tcBorders>
            <w:shd w:val="clear" w:color="auto" w:fill="auto"/>
            <w:noWrap/>
            <w:vAlign w:val="center"/>
            <w:hideMark/>
          </w:tcPr>
          <w:p w14:paraId="1F309861"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6 067,6</w:t>
            </w:r>
          </w:p>
        </w:tc>
        <w:tc>
          <w:tcPr>
            <w:tcW w:w="1134" w:type="dxa"/>
            <w:tcBorders>
              <w:top w:val="nil"/>
              <w:left w:val="nil"/>
              <w:bottom w:val="single" w:sz="4" w:space="0" w:color="auto"/>
              <w:right w:val="single" w:sz="4" w:space="0" w:color="auto"/>
            </w:tcBorders>
            <w:shd w:val="clear" w:color="auto" w:fill="auto"/>
            <w:noWrap/>
            <w:vAlign w:val="center"/>
            <w:hideMark/>
          </w:tcPr>
          <w:p w14:paraId="265293A9" w14:textId="77777777" w:rsidR="004E0265" w:rsidRPr="00AB6C71" w:rsidRDefault="004E0265" w:rsidP="0037420A">
            <w:pPr>
              <w:ind w:right="227"/>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0,5 %</w:t>
            </w:r>
          </w:p>
        </w:tc>
        <w:tc>
          <w:tcPr>
            <w:tcW w:w="850" w:type="dxa"/>
            <w:tcBorders>
              <w:top w:val="nil"/>
              <w:left w:val="nil"/>
              <w:bottom w:val="single" w:sz="4" w:space="0" w:color="auto"/>
              <w:right w:val="single" w:sz="4" w:space="0" w:color="auto"/>
            </w:tcBorders>
            <w:vAlign w:val="center"/>
          </w:tcPr>
          <w:p w14:paraId="48F78CBE"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sz w:val="18"/>
                <w:szCs w:val="18"/>
              </w:rPr>
              <w:t>3 437,3</w:t>
            </w:r>
          </w:p>
        </w:tc>
        <w:tc>
          <w:tcPr>
            <w:tcW w:w="1134" w:type="dxa"/>
            <w:tcBorders>
              <w:top w:val="nil"/>
              <w:left w:val="nil"/>
              <w:bottom w:val="single" w:sz="4" w:space="0" w:color="auto"/>
              <w:right w:val="single" w:sz="4" w:space="0" w:color="auto"/>
            </w:tcBorders>
            <w:vAlign w:val="center"/>
          </w:tcPr>
          <w:p w14:paraId="5BDF2066" w14:textId="77777777" w:rsidR="004E0265" w:rsidRPr="00AB6C71" w:rsidRDefault="004E0265" w:rsidP="00EC0D29">
            <w:pPr>
              <w:jc w:val="right"/>
              <w:rPr>
                <w:rFonts w:asciiTheme="minorHAnsi" w:hAnsiTheme="minorHAnsi" w:cstheme="minorHAnsi"/>
                <w:sz w:val="18"/>
                <w:szCs w:val="18"/>
              </w:rPr>
            </w:pPr>
            <w:r w:rsidRPr="00AB6C71">
              <w:rPr>
                <w:rFonts w:asciiTheme="minorHAnsi" w:hAnsiTheme="minorHAnsi" w:cstheme="minorHAnsi"/>
                <w:sz w:val="18"/>
                <w:szCs w:val="18"/>
              </w:rPr>
              <w:t>1 169 269,3</w:t>
            </w:r>
          </w:p>
        </w:tc>
      </w:tr>
      <w:tr w:rsidR="004E0265" w:rsidRPr="002F5787" w14:paraId="4378655A" w14:textId="77777777" w:rsidTr="00AB5C58">
        <w:trPr>
          <w:trHeight w:val="22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76AC7E" w14:textId="77777777" w:rsidR="004E0265" w:rsidRPr="00AB6C71" w:rsidRDefault="004E0265" w:rsidP="00EC0D29">
            <w:pPr>
              <w:jc w:val="center"/>
              <w:rPr>
                <w:rFonts w:asciiTheme="minorHAnsi" w:hAnsiTheme="minorHAnsi" w:cstheme="minorHAnsi"/>
                <w:bCs/>
                <w:color w:val="000000"/>
                <w:sz w:val="18"/>
                <w:szCs w:val="18"/>
              </w:rPr>
            </w:pPr>
            <w:r w:rsidRPr="00AB6C71">
              <w:rPr>
                <w:rFonts w:asciiTheme="minorHAnsi" w:hAnsiTheme="minorHAnsi" w:cstheme="minorHAnsi"/>
                <w:bCs/>
                <w:color w:val="000000"/>
                <w:sz w:val="18"/>
                <w:szCs w:val="18"/>
              </w:rPr>
              <w:t>2019</w:t>
            </w:r>
          </w:p>
        </w:tc>
        <w:tc>
          <w:tcPr>
            <w:tcW w:w="1039" w:type="dxa"/>
            <w:tcBorders>
              <w:top w:val="nil"/>
              <w:left w:val="nil"/>
              <w:bottom w:val="single" w:sz="4" w:space="0" w:color="auto"/>
              <w:right w:val="single" w:sz="4" w:space="0" w:color="auto"/>
            </w:tcBorders>
            <w:shd w:val="clear" w:color="auto" w:fill="auto"/>
            <w:noWrap/>
            <w:vAlign w:val="center"/>
            <w:hideMark/>
          </w:tcPr>
          <w:p w14:paraId="7DC456C7"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1 038 548,5</w:t>
            </w:r>
          </w:p>
        </w:tc>
        <w:tc>
          <w:tcPr>
            <w:tcW w:w="1077" w:type="dxa"/>
            <w:tcBorders>
              <w:top w:val="nil"/>
              <w:left w:val="nil"/>
              <w:bottom w:val="single" w:sz="4" w:space="0" w:color="auto"/>
              <w:right w:val="single" w:sz="4" w:space="0" w:color="auto"/>
            </w:tcBorders>
            <w:shd w:val="clear" w:color="auto" w:fill="auto"/>
            <w:noWrap/>
            <w:vAlign w:val="center"/>
            <w:hideMark/>
          </w:tcPr>
          <w:p w14:paraId="70421DE8"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151 520,5</w:t>
            </w:r>
          </w:p>
        </w:tc>
        <w:tc>
          <w:tcPr>
            <w:tcW w:w="1040" w:type="dxa"/>
            <w:tcBorders>
              <w:top w:val="nil"/>
              <w:left w:val="nil"/>
              <w:bottom w:val="single" w:sz="4" w:space="0" w:color="auto"/>
              <w:right w:val="single" w:sz="4" w:space="0" w:color="auto"/>
            </w:tcBorders>
            <w:shd w:val="clear" w:color="000000" w:fill="FFFFFF"/>
            <w:noWrap/>
            <w:vAlign w:val="center"/>
            <w:hideMark/>
          </w:tcPr>
          <w:p w14:paraId="338232CF"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139 233,5</w:t>
            </w:r>
          </w:p>
        </w:tc>
        <w:tc>
          <w:tcPr>
            <w:tcW w:w="851" w:type="dxa"/>
            <w:tcBorders>
              <w:top w:val="nil"/>
              <w:left w:val="nil"/>
              <w:bottom w:val="single" w:sz="4" w:space="0" w:color="auto"/>
              <w:right w:val="single" w:sz="4" w:space="0" w:color="auto"/>
            </w:tcBorders>
            <w:shd w:val="clear" w:color="auto" w:fill="auto"/>
            <w:noWrap/>
            <w:vAlign w:val="center"/>
            <w:hideMark/>
          </w:tcPr>
          <w:p w14:paraId="24E40DD6" w14:textId="77777777" w:rsidR="004E0265" w:rsidRPr="00AB6C71" w:rsidRDefault="004E0265" w:rsidP="0037420A">
            <w:pPr>
              <w:ind w:right="85"/>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11,7 %</w:t>
            </w:r>
          </w:p>
        </w:tc>
        <w:tc>
          <w:tcPr>
            <w:tcW w:w="1077" w:type="dxa"/>
            <w:tcBorders>
              <w:top w:val="nil"/>
              <w:left w:val="nil"/>
              <w:bottom w:val="single" w:sz="4" w:space="0" w:color="auto"/>
              <w:right w:val="single" w:sz="4" w:space="0" w:color="auto"/>
            </w:tcBorders>
            <w:shd w:val="clear" w:color="auto" w:fill="auto"/>
            <w:noWrap/>
            <w:vAlign w:val="center"/>
            <w:hideMark/>
          </w:tcPr>
          <w:p w14:paraId="5BF38E07"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28 310,2</w:t>
            </w:r>
          </w:p>
        </w:tc>
        <w:tc>
          <w:tcPr>
            <w:tcW w:w="1134" w:type="dxa"/>
            <w:tcBorders>
              <w:top w:val="nil"/>
              <w:left w:val="nil"/>
              <w:bottom w:val="single" w:sz="4" w:space="0" w:color="auto"/>
              <w:right w:val="single" w:sz="4" w:space="0" w:color="auto"/>
            </w:tcBorders>
            <w:shd w:val="clear" w:color="auto" w:fill="auto"/>
            <w:noWrap/>
            <w:vAlign w:val="center"/>
            <w:hideMark/>
          </w:tcPr>
          <w:p w14:paraId="299C80BB" w14:textId="77777777" w:rsidR="004E0265" w:rsidRPr="00AB6C71" w:rsidRDefault="004E0265" w:rsidP="0037420A">
            <w:pPr>
              <w:ind w:right="227"/>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2,4 %</w:t>
            </w:r>
          </w:p>
        </w:tc>
        <w:tc>
          <w:tcPr>
            <w:tcW w:w="850" w:type="dxa"/>
            <w:tcBorders>
              <w:top w:val="nil"/>
              <w:left w:val="nil"/>
              <w:bottom w:val="single" w:sz="4" w:space="0" w:color="auto"/>
              <w:right w:val="single" w:sz="4" w:space="0" w:color="auto"/>
            </w:tcBorders>
            <w:vAlign w:val="center"/>
          </w:tcPr>
          <w:p w14:paraId="740345C5"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sz w:val="18"/>
                <w:szCs w:val="18"/>
              </w:rPr>
              <w:t>3 294,6</w:t>
            </w:r>
          </w:p>
        </w:tc>
        <w:tc>
          <w:tcPr>
            <w:tcW w:w="1134" w:type="dxa"/>
            <w:tcBorders>
              <w:top w:val="nil"/>
              <w:left w:val="nil"/>
              <w:bottom w:val="single" w:sz="4" w:space="0" w:color="auto"/>
              <w:right w:val="single" w:sz="4" w:space="0" w:color="auto"/>
            </w:tcBorders>
            <w:vAlign w:val="center"/>
          </w:tcPr>
          <w:p w14:paraId="3C988D7A" w14:textId="77777777" w:rsidR="004E0265" w:rsidRPr="00AB6C71" w:rsidRDefault="004E0265" w:rsidP="00EC0D29">
            <w:pPr>
              <w:jc w:val="right"/>
              <w:rPr>
                <w:rFonts w:asciiTheme="minorHAnsi" w:hAnsiTheme="minorHAnsi" w:cstheme="minorHAnsi"/>
                <w:sz w:val="18"/>
                <w:szCs w:val="18"/>
              </w:rPr>
            </w:pPr>
            <w:r w:rsidRPr="00AB6C71">
              <w:rPr>
                <w:rFonts w:asciiTheme="minorHAnsi" w:hAnsiTheme="minorHAnsi" w:cstheme="minorHAnsi"/>
                <w:sz w:val="18"/>
                <w:szCs w:val="18"/>
              </w:rPr>
              <w:t>1 193 363,6</w:t>
            </w:r>
          </w:p>
        </w:tc>
      </w:tr>
      <w:tr w:rsidR="004E0265" w:rsidRPr="002F5787" w14:paraId="4D6B20E0" w14:textId="77777777" w:rsidTr="00AB5C58">
        <w:trPr>
          <w:trHeight w:val="22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D4F3FA" w14:textId="77777777" w:rsidR="004E0265" w:rsidRPr="00AB6C71" w:rsidRDefault="004E0265" w:rsidP="00EC0D29">
            <w:pPr>
              <w:jc w:val="center"/>
              <w:rPr>
                <w:rFonts w:asciiTheme="minorHAnsi" w:hAnsiTheme="minorHAnsi" w:cstheme="minorHAnsi"/>
                <w:bCs/>
                <w:color w:val="000000"/>
                <w:sz w:val="18"/>
                <w:szCs w:val="18"/>
              </w:rPr>
            </w:pPr>
            <w:r w:rsidRPr="00AB6C71">
              <w:rPr>
                <w:rFonts w:asciiTheme="minorHAnsi" w:hAnsiTheme="minorHAnsi" w:cstheme="minorHAnsi"/>
                <w:bCs/>
                <w:color w:val="000000"/>
                <w:sz w:val="18"/>
                <w:szCs w:val="18"/>
              </w:rPr>
              <w:t>2020</w:t>
            </w:r>
          </w:p>
        </w:tc>
        <w:tc>
          <w:tcPr>
            <w:tcW w:w="1039" w:type="dxa"/>
            <w:tcBorders>
              <w:top w:val="nil"/>
              <w:left w:val="nil"/>
              <w:bottom w:val="single" w:sz="4" w:space="0" w:color="auto"/>
              <w:right w:val="single" w:sz="4" w:space="0" w:color="auto"/>
            </w:tcBorders>
            <w:shd w:val="clear" w:color="auto" w:fill="auto"/>
            <w:noWrap/>
            <w:vAlign w:val="center"/>
            <w:hideMark/>
          </w:tcPr>
          <w:p w14:paraId="10A0A633"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579 159,3</w:t>
            </w:r>
          </w:p>
        </w:tc>
        <w:tc>
          <w:tcPr>
            <w:tcW w:w="1077" w:type="dxa"/>
            <w:tcBorders>
              <w:top w:val="nil"/>
              <w:left w:val="nil"/>
              <w:bottom w:val="single" w:sz="4" w:space="0" w:color="auto"/>
              <w:right w:val="single" w:sz="4" w:space="0" w:color="auto"/>
            </w:tcBorders>
            <w:shd w:val="clear" w:color="auto" w:fill="auto"/>
            <w:noWrap/>
            <w:vAlign w:val="center"/>
            <w:hideMark/>
          </w:tcPr>
          <w:p w14:paraId="7E14A70C"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158 976,2</w:t>
            </w:r>
          </w:p>
        </w:tc>
        <w:tc>
          <w:tcPr>
            <w:tcW w:w="1040" w:type="dxa"/>
            <w:tcBorders>
              <w:top w:val="nil"/>
              <w:left w:val="nil"/>
              <w:bottom w:val="single" w:sz="4" w:space="0" w:color="auto"/>
              <w:right w:val="single" w:sz="4" w:space="0" w:color="auto"/>
            </w:tcBorders>
            <w:shd w:val="clear" w:color="000000" w:fill="FFFFFF"/>
            <w:noWrap/>
            <w:vAlign w:val="center"/>
            <w:hideMark/>
          </w:tcPr>
          <w:p w14:paraId="79598439"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113 037,6</w:t>
            </w:r>
          </w:p>
        </w:tc>
        <w:tc>
          <w:tcPr>
            <w:tcW w:w="851" w:type="dxa"/>
            <w:tcBorders>
              <w:top w:val="nil"/>
              <w:left w:val="nil"/>
              <w:bottom w:val="single" w:sz="4" w:space="0" w:color="auto"/>
              <w:right w:val="single" w:sz="4" w:space="0" w:color="auto"/>
            </w:tcBorders>
            <w:shd w:val="clear" w:color="auto" w:fill="auto"/>
            <w:noWrap/>
            <w:vAlign w:val="center"/>
            <w:hideMark/>
          </w:tcPr>
          <w:p w14:paraId="7A326B20" w14:textId="77777777" w:rsidR="004E0265" w:rsidRPr="00AB6C71" w:rsidRDefault="004E0265" w:rsidP="0037420A">
            <w:pPr>
              <w:ind w:right="85"/>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15,3 %</w:t>
            </w:r>
          </w:p>
        </w:tc>
        <w:tc>
          <w:tcPr>
            <w:tcW w:w="1077" w:type="dxa"/>
            <w:tcBorders>
              <w:top w:val="nil"/>
              <w:left w:val="nil"/>
              <w:bottom w:val="single" w:sz="4" w:space="0" w:color="auto"/>
              <w:right w:val="single" w:sz="4" w:space="0" w:color="auto"/>
            </w:tcBorders>
            <w:shd w:val="clear" w:color="auto" w:fill="auto"/>
            <w:noWrap/>
            <w:vAlign w:val="center"/>
            <w:hideMark/>
          </w:tcPr>
          <w:p w14:paraId="7B44A488"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62 982,6</w:t>
            </w:r>
          </w:p>
        </w:tc>
        <w:tc>
          <w:tcPr>
            <w:tcW w:w="1134" w:type="dxa"/>
            <w:tcBorders>
              <w:top w:val="nil"/>
              <w:left w:val="nil"/>
              <w:bottom w:val="single" w:sz="4" w:space="0" w:color="auto"/>
              <w:right w:val="single" w:sz="4" w:space="0" w:color="auto"/>
            </w:tcBorders>
            <w:shd w:val="clear" w:color="auto" w:fill="auto"/>
            <w:noWrap/>
            <w:vAlign w:val="center"/>
            <w:hideMark/>
          </w:tcPr>
          <w:p w14:paraId="1368E3A1" w14:textId="77777777" w:rsidR="004E0265" w:rsidRPr="00AB6C71" w:rsidRDefault="004E0265" w:rsidP="0037420A">
            <w:pPr>
              <w:ind w:right="227"/>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8,5 %</w:t>
            </w:r>
          </w:p>
        </w:tc>
        <w:tc>
          <w:tcPr>
            <w:tcW w:w="850" w:type="dxa"/>
            <w:tcBorders>
              <w:top w:val="nil"/>
              <w:left w:val="nil"/>
              <w:bottom w:val="single" w:sz="4" w:space="0" w:color="auto"/>
              <w:right w:val="single" w:sz="4" w:space="0" w:color="auto"/>
            </w:tcBorders>
            <w:vAlign w:val="center"/>
          </w:tcPr>
          <w:p w14:paraId="39F15275"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sz w:val="18"/>
                <w:szCs w:val="18"/>
              </w:rPr>
              <w:t>2 356,2</w:t>
            </w:r>
          </w:p>
        </w:tc>
        <w:tc>
          <w:tcPr>
            <w:tcW w:w="1134" w:type="dxa"/>
            <w:tcBorders>
              <w:top w:val="nil"/>
              <w:left w:val="nil"/>
              <w:bottom w:val="single" w:sz="4" w:space="0" w:color="auto"/>
              <w:right w:val="single" w:sz="4" w:space="0" w:color="auto"/>
            </w:tcBorders>
            <w:vAlign w:val="center"/>
          </w:tcPr>
          <w:p w14:paraId="79F52A77" w14:textId="77777777" w:rsidR="004E0265" w:rsidRPr="00AB6C71" w:rsidRDefault="004E0265" w:rsidP="00EC0D29">
            <w:pPr>
              <w:jc w:val="right"/>
              <w:rPr>
                <w:rFonts w:asciiTheme="minorHAnsi" w:hAnsiTheme="minorHAnsi" w:cstheme="minorHAnsi"/>
                <w:sz w:val="18"/>
                <w:szCs w:val="18"/>
              </w:rPr>
            </w:pPr>
            <w:r w:rsidRPr="00AB6C71">
              <w:rPr>
                <w:rFonts w:asciiTheme="minorHAnsi" w:hAnsiTheme="minorHAnsi" w:cstheme="minorHAnsi"/>
                <w:sz w:val="18"/>
                <w:szCs w:val="18"/>
              </w:rPr>
              <w:t>740 491,7</w:t>
            </w:r>
          </w:p>
        </w:tc>
      </w:tr>
      <w:tr w:rsidR="004E0265" w:rsidRPr="002F5787" w14:paraId="76D7DF9C" w14:textId="77777777" w:rsidTr="00AB5C58">
        <w:trPr>
          <w:trHeight w:val="227"/>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1D8FEC7" w14:textId="77777777" w:rsidR="004E0265" w:rsidRPr="00AB6C71" w:rsidRDefault="004E0265" w:rsidP="00EC0D29">
            <w:pPr>
              <w:jc w:val="center"/>
              <w:rPr>
                <w:rFonts w:asciiTheme="minorHAnsi" w:hAnsiTheme="minorHAnsi" w:cstheme="minorHAnsi"/>
                <w:bCs/>
                <w:color w:val="000000"/>
                <w:sz w:val="18"/>
                <w:szCs w:val="18"/>
              </w:rPr>
            </w:pPr>
            <w:r w:rsidRPr="00AB6C71">
              <w:rPr>
                <w:rFonts w:asciiTheme="minorHAnsi" w:hAnsiTheme="minorHAnsi" w:cstheme="minorHAnsi"/>
                <w:bCs/>
                <w:color w:val="000000"/>
                <w:sz w:val="18"/>
                <w:szCs w:val="18"/>
              </w:rPr>
              <w:t>2021</w:t>
            </w:r>
          </w:p>
        </w:tc>
        <w:tc>
          <w:tcPr>
            <w:tcW w:w="1039" w:type="dxa"/>
            <w:tcBorders>
              <w:top w:val="nil"/>
              <w:left w:val="nil"/>
              <w:bottom w:val="single" w:sz="4" w:space="0" w:color="auto"/>
              <w:right w:val="single" w:sz="4" w:space="0" w:color="auto"/>
            </w:tcBorders>
            <w:shd w:val="clear" w:color="auto" w:fill="auto"/>
            <w:vAlign w:val="center"/>
            <w:hideMark/>
          </w:tcPr>
          <w:p w14:paraId="1CB2E41F"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798 215,0</w:t>
            </w:r>
          </w:p>
        </w:tc>
        <w:tc>
          <w:tcPr>
            <w:tcW w:w="1077" w:type="dxa"/>
            <w:tcBorders>
              <w:top w:val="nil"/>
              <w:left w:val="nil"/>
              <w:bottom w:val="single" w:sz="4" w:space="0" w:color="auto"/>
              <w:right w:val="single" w:sz="4" w:space="0" w:color="auto"/>
            </w:tcBorders>
            <w:shd w:val="clear" w:color="auto" w:fill="auto"/>
            <w:vAlign w:val="center"/>
            <w:hideMark/>
          </w:tcPr>
          <w:p w14:paraId="15E64C36"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241 965,</w:t>
            </w:r>
            <w:r w:rsidR="00CF5347">
              <w:rPr>
                <w:rFonts w:asciiTheme="minorHAnsi" w:hAnsiTheme="minorHAnsi" w:cstheme="minorHAnsi"/>
                <w:color w:val="000000"/>
                <w:sz w:val="18"/>
                <w:szCs w:val="18"/>
              </w:rPr>
              <w:t>2</w:t>
            </w:r>
          </w:p>
        </w:tc>
        <w:tc>
          <w:tcPr>
            <w:tcW w:w="1040" w:type="dxa"/>
            <w:tcBorders>
              <w:top w:val="nil"/>
              <w:left w:val="nil"/>
              <w:bottom w:val="single" w:sz="4" w:space="0" w:color="auto"/>
              <w:right w:val="single" w:sz="4" w:space="0" w:color="auto"/>
            </w:tcBorders>
            <w:shd w:val="clear" w:color="000000" w:fill="FFFFFF"/>
            <w:vAlign w:val="center"/>
            <w:hideMark/>
          </w:tcPr>
          <w:p w14:paraId="3F066A04"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232 035,8</w:t>
            </w:r>
          </w:p>
        </w:tc>
        <w:tc>
          <w:tcPr>
            <w:tcW w:w="851" w:type="dxa"/>
            <w:tcBorders>
              <w:top w:val="nil"/>
              <w:left w:val="nil"/>
              <w:bottom w:val="single" w:sz="4" w:space="0" w:color="auto"/>
              <w:right w:val="single" w:sz="4" w:space="0" w:color="auto"/>
            </w:tcBorders>
            <w:shd w:val="clear" w:color="auto" w:fill="auto"/>
            <w:vAlign w:val="center"/>
            <w:hideMark/>
          </w:tcPr>
          <w:p w14:paraId="741DF058" w14:textId="77777777" w:rsidR="004E0265" w:rsidRPr="00AB6C71" w:rsidRDefault="004E0265" w:rsidP="0037420A">
            <w:pPr>
              <w:ind w:right="85"/>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22,3 %</w:t>
            </w:r>
          </w:p>
        </w:tc>
        <w:tc>
          <w:tcPr>
            <w:tcW w:w="1077" w:type="dxa"/>
            <w:tcBorders>
              <w:top w:val="nil"/>
              <w:left w:val="nil"/>
              <w:bottom w:val="single" w:sz="4" w:space="0" w:color="auto"/>
              <w:right w:val="single" w:sz="4" w:space="0" w:color="auto"/>
            </w:tcBorders>
            <w:shd w:val="clear" w:color="auto" w:fill="auto"/>
            <w:vAlign w:val="center"/>
            <w:hideMark/>
          </w:tcPr>
          <w:p w14:paraId="3B9A5874"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208 486,9</w:t>
            </w:r>
          </w:p>
        </w:tc>
        <w:tc>
          <w:tcPr>
            <w:tcW w:w="1134" w:type="dxa"/>
            <w:tcBorders>
              <w:top w:val="nil"/>
              <w:left w:val="nil"/>
              <w:bottom w:val="single" w:sz="4" w:space="0" w:color="auto"/>
              <w:right w:val="single" w:sz="4" w:space="0" w:color="auto"/>
            </w:tcBorders>
            <w:shd w:val="clear" w:color="auto" w:fill="auto"/>
            <w:vAlign w:val="center"/>
            <w:hideMark/>
          </w:tcPr>
          <w:p w14:paraId="2B4036FA" w14:textId="77777777" w:rsidR="004E0265" w:rsidRPr="00AB6C71" w:rsidRDefault="004E0265" w:rsidP="0037420A">
            <w:pPr>
              <w:ind w:right="227"/>
              <w:jc w:val="right"/>
              <w:rPr>
                <w:rFonts w:asciiTheme="minorHAnsi" w:hAnsiTheme="minorHAnsi" w:cstheme="minorHAnsi"/>
                <w:color w:val="000000"/>
                <w:sz w:val="18"/>
                <w:szCs w:val="18"/>
              </w:rPr>
            </w:pPr>
            <w:r w:rsidRPr="00AB6C71">
              <w:rPr>
                <w:rFonts w:asciiTheme="minorHAnsi" w:hAnsiTheme="minorHAnsi" w:cstheme="minorHAnsi"/>
                <w:color w:val="000000"/>
                <w:sz w:val="18"/>
                <w:szCs w:val="18"/>
              </w:rPr>
              <w:t>20,0 %</w:t>
            </w:r>
          </w:p>
        </w:tc>
        <w:tc>
          <w:tcPr>
            <w:tcW w:w="850" w:type="dxa"/>
            <w:tcBorders>
              <w:top w:val="nil"/>
              <w:left w:val="nil"/>
              <w:bottom w:val="single" w:sz="4" w:space="0" w:color="auto"/>
              <w:right w:val="single" w:sz="4" w:space="0" w:color="auto"/>
            </w:tcBorders>
            <w:vAlign w:val="center"/>
          </w:tcPr>
          <w:p w14:paraId="5989F0AE" w14:textId="77777777" w:rsidR="004E0265" w:rsidRPr="00AB6C71" w:rsidRDefault="004E0265" w:rsidP="00EC0D29">
            <w:pPr>
              <w:jc w:val="right"/>
              <w:rPr>
                <w:rFonts w:asciiTheme="minorHAnsi" w:hAnsiTheme="minorHAnsi" w:cstheme="minorHAnsi"/>
                <w:color w:val="000000"/>
                <w:sz w:val="18"/>
                <w:szCs w:val="18"/>
              </w:rPr>
            </w:pPr>
            <w:r w:rsidRPr="00AB6C71">
              <w:rPr>
                <w:rFonts w:asciiTheme="minorHAnsi" w:hAnsiTheme="minorHAnsi" w:cstheme="minorHAnsi"/>
                <w:sz w:val="18"/>
                <w:szCs w:val="18"/>
              </w:rPr>
              <w:t>2 541,6</w:t>
            </w:r>
          </w:p>
        </w:tc>
        <w:tc>
          <w:tcPr>
            <w:tcW w:w="1134" w:type="dxa"/>
            <w:tcBorders>
              <w:top w:val="nil"/>
              <w:left w:val="nil"/>
              <w:bottom w:val="single" w:sz="4" w:space="0" w:color="auto"/>
              <w:right w:val="single" w:sz="4" w:space="0" w:color="auto"/>
            </w:tcBorders>
            <w:vAlign w:val="center"/>
          </w:tcPr>
          <w:p w14:paraId="1BE33794" w14:textId="77777777" w:rsidR="004E0265" w:rsidRPr="00AB6C71" w:rsidRDefault="004E0265" w:rsidP="00EC0D29">
            <w:pPr>
              <w:jc w:val="right"/>
              <w:rPr>
                <w:rFonts w:asciiTheme="minorHAnsi" w:hAnsiTheme="minorHAnsi" w:cstheme="minorHAnsi"/>
                <w:sz w:val="18"/>
                <w:szCs w:val="18"/>
              </w:rPr>
            </w:pPr>
            <w:r w:rsidRPr="00AB6C71">
              <w:rPr>
                <w:rFonts w:asciiTheme="minorHAnsi" w:hAnsiTheme="minorHAnsi" w:cstheme="minorHAnsi"/>
                <w:sz w:val="18"/>
                <w:szCs w:val="18"/>
              </w:rPr>
              <w:t>1 042 721,8</w:t>
            </w:r>
          </w:p>
        </w:tc>
      </w:tr>
      <w:tr w:rsidR="00E765F4" w:rsidRPr="002F5787" w14:paraId="184C13FD" w14:textId="77777777" w:rsidTr="00AB5C58">
        <w:trPr>
          <w:trHeight w:val="227"/>
        </w:trPr>
        <w:tc>
          <w:tcPr>
            <w:tcW w:w="993" w:type="dxa"/>
            <w:tcBorders>
              <w:top w:val="single" w:sz="4" w:space="0" w:color="auto"/>
              <w:left w:val="single" w:sz="4" w:space="0" w:color="auto"/>
              <w:bottom w:val="single" w:sz="4" w:space="0" w:color="auto"/>
              <w:right w:val="single" w:sz="4" w:space="0" w:color="auto"/>
            </w:tcBorders>
            <w:shd w:val="clear" w:color="auto" w:fill="F2C6C9"/>
            <w:vAlign w:val="center"/>
          </w:tcPr>
          <w:p w14:paraId="52AA6260" w14:textId="77777777" w:rsidR="005C57A0" w:rsidRDefault="005C57A0" w:rsidP="00EC0D2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Celkem</w:t>
            </w:r>
          </w:p>
          <w:p w14:paraId="6D8CDCB5" w14:textId="77777777" w:rsidR="00E765F4" w:rsidRPr="00E765F4" w:rsidRDefault="004A11C5" w:rsidP="00EC0D29">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2018–2021</w:t>
            </w:r>
          </w:p>
        </w:tc>
        <w:tc>
          <w:tcPr>
            <w:tcW w:w="1039" w:type="dxa"/>
            <w:tcBorders>
              <w:top w:val="single" w:sz="4" w:space="0" w:color="auto"/>
              <w:left w:val="nil"/>
              <w:bottom w:val="single" w:sz="4" w:space="0" w:color="auto"/>
              <w:right w:val="single" w:sz="4" w:space="0" w:color="auto"/>
            </w:tcBorders>
            <w:shd w:val="clear" w:color="auto" w:fill="F2C6C9"/>
            <w:vAlign w:val="center"/>
          </w:tcPr>
          <w:p w14:paraId="4FFBF1CE" w14:textId="77777777" w:rsidR="00E765F4" w:rsidRPr="00E765F4" w:rsidRDefault="00CF69DB" w:rsidP="00EC0D29">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3</w:t>
            </w:r>
            <w:r w:rsidR="004A11C5">
              <w:rPr>
                <w:rFonts w:asciiTheme="minorHAnsi" w:hAnsiTheme="minorHAnsi" w:cstheme="minorHAnsi"/>
                <w:b/>
                <w:color w:val="000000"/>
                <w:sz w:val="18"/>
                <w:szCs w:val="18"/>
              </w:rPr>
              <w:t> </w:t>
            </w:r>
            <w:r>
              <w:rPr>
                <w:rFonts w:asciiTheme="minorHAnsi" w:hAnsiTheme="minorHAnsi" w:cstheme="minorHAnsi"/>
                <w:b/>
                <w:color w:val="000000"/>
                <w:sz w:val="18"/>
                <w:szCs w:val="18"/>
              </w:rPr>
              <w:t>461</w:t>
            </w:r>
            <w:r w:rsidR="004A11C5">
              <w:rPr>
                <w:rFonts w:asciiTheme="minorHAnsi" w:hAnsiTheme="minorHAnsi" w:cstheme="minorHAnsi"/>
                <w:b/>
                <w:color w:val="000000"/>
                <w:sz w:val="18"/>
                <w:szCs w:val="18"/>
              </w:rPr>
              <w:t> </w:t>
            </w:r>
            <w:r>
              <w:rPr>
                <w:rFonts w:asciiTheme="minorHAnsi" w:hAnsiTheme="minorHAnsi" w:cstheme="minorHAnsi"/>
                <w:b/>
                <w:color w:val="000000"/>
                <w:sz w:val="18"/>
                <w:szCs w:val="18"/>
              </w:rPr>
              <w:t>980</w:t>
            </w:r>
            <w:r w:rsidR="004A11C5">
              <w:rPr>
                <w:rFonts w:asciiTheme="minorHAnsi" w:hAnsiTheme="minorHAnsi" w:cstheme="minorHAnsi"/>
                <w:b/>
                <w:color w:val="000000"/>
                <w:sz w:val="18"/>
                <w:szCs w:val="18"/>
              </w:rPr>
              <w:t>,5</w:t>
            </w:r>
          </w:p>
        </w:tc>
        <w:tc>
          <w:tcPr>
            <w:tcW w:w="1077" w:type="dxa"/>
            <w:tcBorders>
              <w:top w:val="single" w:sz="4" w:space="0" w:color="auto"/>
              <w:left w:val="nil"/>
              <w:bottom w:val="single" w:sz="4" w:space="0" w:color="auto"/>
              <w:right w:val="single" w:sz="4" w:space="0" w:color="auto"/>
            </w:tcBorders>
            <w:shd w:val="clear" w:color="auto" w:fill="F2C6C9"/>
            <w:vAlign w:val="center"/>
          </w:tcPr>
          <w:p w14:paraId="0F7854F7" w14:textId="77777777" w:rsidR="00E765F4" w:rsidRPr="00E765F4" w:rsidRDefault="004A11C5" w:rsidP="00EC0D29">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672 236,</w:t>
            </w:r>
            <w:r w:rsidR="00CF5347">
              <w:rPr>
                <w:rFonts w:asciiTheme="minorHAnsi" w:hAnsiTheme="minorHAnsi" w:cstheme="minorHAnsi"/>
                <w:b/>
                <w:color w:val="000000"/>
                <w:sz w:val="18"/>
                <w:szCs w:val="18"/>
              </w:rPr>
              <w:t>2</w:t>
            </w:r>
          </w:p>
        </w:tc>
        <w:tc>
          <w:tcPr>
            <w:tcW w:w="1040" w:type="dxa"/>
            <w:tcBorders>
              <w:top w:val="single" w:sz="4" w:space="0" w:color="auto"/>
              <w:left w:val="nil"/>
              <w:bottom w:val="single" w:sz="4" w:space="0" w:color="auto"/>
              <w:right w:val="single" w:sz="4" w:space="0" w:color="auto"/>
            </w:tcBorders>
            <w:shd w:val="clear" w:color="auto" w:fill="F2C6C9"/>
            <w:vAlign w:val="center"/>
          </w:tcPr>
          <w:p w14:paraId="16603524" w14:textId="77777777" w:rsidR="00E765F4" w:rsidRPr="00E765F4" w:rsidRDefault="004A11C5" w:rsidP="00EC0D29">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547 980,4</w:t>
            </w:r>
          </w:p>
        </w:tc>
        <w:tc>
          <w:tcPr>
            <w:tcW w:w="851" w:type="dxa"/>
            <w:tcBorders>
              <w:top w:val="single" w:sz="4" w:space="0" w:color="auto"/>
              <w:left w:val="nil"/>
              <w:bottom w:val="single" w:sz="4" w:space="0" w:color="auto"/>
              <w:right w:val="single" w:sz="4" w:space="0" w:color="auto"/>
            </w:tcBorders>
            <w:shd w:val="clear" w:color="auto" w:fill="F2C6C9"/>
            <w:vAlign w:val="center"/>
          </w:tcPr>
          <w:p w14:paraId="03E35C68" w14:textId="77777777" w:rsidR="00E765F4" w:rsidRPr="00E765F4" w:rsidRDefault="004A11C5" w:rsidP="0037420A">
            <w:pPr>
              <w:ind w:right="85"/>
              <w:jc w:val="right"/>
              <w:rPr>
                <w:rFonts w:asciiTheme="minorHAnsi" w:hAnsiTheme="minorHAnsi" w:cstheme="minorHAnsi"/>
                <w:b/>
                <w:color w:val="000000"/>
                <w:sz w:val="18"/>
                <w:szCs w:val="18"/>
              </w:rPr>
            </w:pPr>
            <w:r>
              <w:rPr>
                <w:rFonts w:asciiTheme="minorHAnsi" w:hAnsiTheme="minorHAnsi" w:cstheme="minorHAnsi"/>
                <w:b/>
                <w:color w:val="000000"/>
                <w:sz w:val="18"/>
                <w:szCs w:val="18"/>
              </w:rPr>
              <w:t>13,2 %</w:t>
            </w:r>
          </w:p>
        </w:tc>
        <w:tc>
          <w:tcPr>
            <w:tcW w:w="1077" w:type="dxa"/>
            <w:tcBorders>
              <w:top w:val="single" w:sz="4" w:space="0" w:color="auto"/>
              <w:left w:val="nil"/>
              <w:bottom w:val="single" w:sz="4" w:space="0" w:color="auto"/>
              <w:right w:val="single" w:sz="4" w:space="0" w:color="auto"/>
            </w:tcBorders>
            <w:shd w:val="clear" w:color="auto" w:fill="F2C6C9"/>
            <w:vAlign w:val="center"/>
          </w:tcPr>
          <w:p w14:paraId="445CA958" w14:textId="77777777" w:rsidR="00E765F4" w:rsidRPr="00E765F4" w:rsidRDefault="004A11C5" w:rsidP="00EC0D29">
            <w:pPr>
              <w:jc w:val="right"/>
              <w:rPr>
                <w:rFonts w:asciiTheme="minorHAnsi" w:hAnsiTheme="minorHAnsi" w:cstheme="minorHAnsi"/>
                <w:b/>
                <w:color w:val="000000"/>
                <w:sz w:val="18"/>
                <w:szCs w:val="18"/>
              </w:rPr>
            </w:pPr>
            <w:r>
              <w:rPr>
                <w:rFonts w:asciiTheme="minorHAnsi" w:hAnsiTheme="minorHAnsi" w:cstheme="minorHAnsi"/>
                <w:b/>
                <w:color w:val="000000"/>
                <w:sz w:val="18"/>
                <w:szCs w:val="18"/>
              </w:rPr>
              <w:t>305 847,3</w:t>
            </w:r>
          </w:p>
        </w:tc>
        <w:tc>
          <w:tcPr>
            <w:tcW w:w="1134" w:type="dxa"/>
            <w:tcBorders>
              <w:top w:val="single" w:sz="4" w:space="0" w:color="auto"/>
              <w:left w:val="nil"/>
              <w:bottom w:val="single" w:sz="4" w:space="0" w:color="auto"/>
              <w:right w:val="single" w:sz="4" w:space="0" w:color="auto"/>
            </w:tcBorders>
            <w:shd w:val="clear" w:color="auto" w:fill="F2C6C9"/>
            <w:vAlign w:val="center"/>
          </w:tcPr>
          <w:p w14:paraId="31D96B36" w14:textId="77777777" w:rsidR="00E765F4" w:rsidRPr="00E765F4" w:rsidRDefault="004A11C5" w:rsidP="0037420A">
            <w:pPr>
              <w:ind w:right="227"/>
              <w:jc w:val="right"/>
              <w:rPr>
                <w:rFonts w:asciiTheme="minorHAnsi" w:hAnsiTheme="minorHAnsi" w:cstheme="minorHAnsi"/>
                <w:b/>
                <w:color w:val="000000"/>
                <w:sz w:val="18"/>
                <w:szCs w:val="18"/>
              </w:rPr>
            </w:pPr>
            <w:r>
              <w:rPr>
                <w:rFonts w:asciiTheme="minorHAnsi" w:hAnsiTheme="minorHAnsi" w:cstheme="minorHAnsi"/>
                <w:b/>
                <w:color w:val="000000"/>
                <w:sz w:val="18"/>
                <w:szCs w:val="18"/>
              </w:rPr>
              <w:t>7,4 %</w:t>
            </w:r>
          </w:p>
        </w:tc>
        <w:tc>
          <w:tcPr>
            <w:tcW w:w="850" w:type="dxa"/>
            <w:tcBorders>
              <w:top w:val="single" w:sz="4" w:space="0" w:color="auto"/>
              <w:left w:val="nil"/>
              <w:bottom w:val="single" w:sz="4" w:space="0" w:color="auto"/>
              <w:right w:val="single" w:sz="4" w:space="0" w:color="auto"/>
            </w:tcBorders>
            <w:shd w:val="clear" w:color="auto" w:fill="F2C6C9"/>
            <w:vAlign w:val="center"/>
          </w:tcPr>
          <w:p w14:paraId="7CF2D313" w14:textId="77777777" w:rsidR="00E765F4" w:rsidRPr="00E765F4" w:rsidRDefault="004A11C5" w:rsidP="00EC0D29">
            <w:pPr>
              <w:jc w:val="right"/>
              <w:rPr>
                <w:rFonts w:asciiTheme="minorHAnsi" w:hAnsiTheme="minorHAnsi" w:cstheme="minorHAnsi"/>
                <w:b/>
                <w:sz w:val="18"/>
                <w:szCs w:val="18"/>
              </w:rPr>
            </w:pPr>
            <w:r>
              <w:rPr>
                <w:rFonts w:asciiTheme="minorHAnsi" w:hAnsiTheme="minorHAnsi" w:cstheme="minorHAnsi"/>
                <w:b/>
                <w:sz w:val="18"/>
                <w:szCs w:val="18"/>
              </w:rPr>
              <w:t>11 629,7</w:t>
            </w:r>
          </w:p>
        </w:tc>
        <w:tc>
          <w:tcPr>
            <w:tcW w:w="1134" w:type="dxa"/>
            <w:tcBorders>
              <w:top w:val="single" w:sz="4" w:space="0" w:color="auto"/>
              <w:left w:val="nil"/>
              <w:bottom w:val="single" w:sz="4" w:space="0" w:color="auto"/>
              <w:right w:val="single" w:sz="4" w:space="0" w:color="auto"/>
            </w:tcBorders>
            <w:shd w:val="clear" w:color="auto" w:fill="F2C6C9"/>
            <w:vAlign w:val="center"/>
          </w:tcPr>
          <w:p w14:paraId="0A9885A7" w14:textId="77777777" w:rsidR="00E765F4" w:rsidRPr="00E765F4" w:rsidRDefault="004A11C5" w:rsidP="00EC0D29">
            <w:pPr>
              <w:jc w:val="right"/>
              <w:rPr>
                <w:rFonts w:asciiTheme="minorHAnsi" w:hAnsiTheme="minorHAnsi" w:cstheme="minorHAnsi"/>
                <w:b/>
                <w:sz w:val="18"/>
                <w:szCs w:val="18"/>
              </w:rPr>
            </w:pPr>
            <w:r>
              <w:rPr>
                <w:rFonts w:asciiTheme="minorHAnsi" w:hAnsiTheme="minorHAnsi" w:cstheme="minorHAnsi"/>
                <w:b/>
                <w:sz w:val="18"/>
                <w:szCs w:val="18"/>
              </w:rPr>
              <w:t>4 145 846,4</w:t>
            </w:r>
          </w:p>
        </w:tc>
      </w:tr>
      <w:tr w:rsidR="004A11C5" w:rsidRPr="002F5787" w14:paraId="1B3762EC" w14:textId="77777777" w:rsidTr="00AB5C58">
        <w:trPr>
          <w:trHeight w:val="22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A78CDA" w14:textId="77777777" w:rsidR="004A11C5" w:rsidRDefault="004A11C5" w:rsidP="004A11C5">
            <w:pPr>
              <w:jc w:val="center"/>
              <w:rPr>
                <w:rFonts w:asciiTheme="minorHAnsi" w:hAnsiTheme="minorHAnsi" w:cstheme="minorHAnsi"/>
                <w:b/>
                <w:bCs/>
                <w:color w:val="000000"/>
                <w:sz w:val="18"/>
                <w:szCs w:val="18"/>
              </w:rPr>
            </w:pPr>
            <w:r w:rsidRPr="00AB6C71">
              <w:rPr>
                <w:rFonts w:asciiTheme="minorHAnsi" w:hAnsiTheme="minorHAnsi" w:cstheme="minorHAnsi"/>
                <w:bCs/>
                <w:color w:val="000000"/>
                <w:sz w:val="18"/>
                <w:szCs w:val="18"/>
              </w:rPr>
              <w:t>2022 IIQ</w:t>
            </w:r>
          </w:p>
        </w:tc>
        <w:tc>
          <w:tcPr>
            <w:tcW w:w="1039" w:type="dxa"/>
            <w:tcBorders>
              <w:top w:val="single" w:sz="4" w:space="0" w:color="auto"/>
              <w:left w:val="nil"/>
              <w:bottom w:val="single" w:sz="4" w:space="0" w:color="auto"/>
              <w:right w:val="single" w:sz="4" w:space="0" w:color="auto"/>
            </w:tcBorders>
            <w:shd w:val="clear" w:color="auto" w:fill="auto"/>
            <w:vAlign w:val="center"/>
          </w:tcPr>
          <w:p w14:paraId="6BD36D05" w14:textId="77777777" w:rsidR="004A11C5" w:rsidRPr="00E765F4" w:rsidRDefault="004A11C5" w:rsidP="004A11C5">
            <w:pPr>
              <w:jc w:val="right"/>
              <w:rPr>
                <w:rFonts w:asciiTheme="minorHAnsi" w:hAnsiTheme="minorHAnsi" w:cstheme="minorHAnsi"/>
                <w:b/>
                <w:color w:val="000000"/>
                <w:sz w:val="18"/>
                <w:szCs w:val="18"/>
              </w:rPr>
            </w:pPr>
            <w:r w:rsidRPr="00AB6C71">
              <w:rPr>
                <w:rFonts w:asciiTheme="minorHAnsi" w:hAnsiTheme="minorHAnsi" w:cstheme="minorHAnsi"/>
                <w:color w:val="000000"/>
                <w:sz w:val="18"/>
                <w:szCs w:val="18"/>
              </w:rPr>
              <w:t>517 851,1</w:t>
            </w:r>
          </w:p>
        </w:tc>
        <w:tc>
          <w:tcPr>
            <w:tcW w:w="1077" w:type="dxa"/>
            <w:tcBorders>
              <w:top w:val="single" w:sz="4" w:space="0" w:color="auto"/>
              <w:left w:val="nil"/>
              <w:bottom w:val="single" w:sz="4" w:space="0" w:color="auto"/>
              <w:right w:val="single" w:sz="4" w:space="0" w:color="auto"/>
            </w:tcBorders>
            <w:shd w:val="clear" w:color="auto" w:fill="auto"/>
            <w:vAlign w:val="center"/>
          </w:tcPr>
          <w:p w14:paraId="290A5340" w14:textId="77777777" w:rsidR="004A11C5" w:rsidRPr="00E765F4" w:rsidRDefault="004A11C5" w:rsidP="004A11C5">
            <w:pPr>
              <w:jc w:val="right"/>
              <w:rPr>
                <w:rFonts w:asciiTheme="minorHAnsi" w:hAnsiTheme="minorHAnsi" w:cstheme="minorHAnsi"/>
                <w:b/>
                <w:color w:val="000000"/>
                <w:sz w:val="18"/>
                <w:szCs w:val="18"/>
              </w:rPr>
            </w:pPr>
            <w:r w:rsidRPr="00AB6C71">
              <w:rPr>
                <w:rFonts w:asciiTheme="minorHAnsi" w:hAnsiTheme="minorHAnsi" w:cstheme="minorHAnsi"/>
                <w:color w:val="000000"/>
                <w:sz w:val="18"/>
                <w:szCs w:val="18"/>
              </w:rPr>
              <w:t>113 733,7</w:t>
            </w:r>
          </w:p>
        </w:tc>
        <w:tc>
          <w:tcPr>
            <w:tcW w:w="1040" w:type="dxa"/>
            <w:tcBorders>
              <w:top w:val="single" w:sz="4" w:space="0" w:color="auto"/>
              <w:left w:val="nil"/>
              <w:bottom w:val="single" w:sz="4" w:space="0" w:color="auto"/>
              <w:right w:val="single" w:sz="4" w:space="0" w:color="auto"/>
            </w:tcBorders>
            <w:shd w:val="clear" w:color="auto" w:fill="auto"/>
            <w:vAlign w:val="center"/>
          </w:tcPr>
          <w:p w14:paraId="0C28909A" w14:textId="77777777" w:rsidR="004A11C5" w:rsidRPr="00E765F4" w:rsidRDefault="004A11C5" w:rsidP="004A11C5">
            <w:pPr>
              <w:jc w:val="right"/>
              <w:rPr>
                <w:rFonts w:asciiTheme="minorHAnsi" w:hAnsiTheme="minorHAnsi" w:cstheme="minorHAnsi"/>
                <w:b/>
                <w:color w:val="000000"/>
                <w:sz w:val="18"/>
                <w:szCs w:val="18"/>
              </w:rPr>
            </w:pPr>
            <w:r w:rsidRPr="00AB6C71">
              <w:rPr>
                <w:rFonts w:asciiTheme="minorHAnsi" w:hAnsiTheme="minorHAnsi" w:cstheme="minorHAnsi"/>
                <w:color w:val="000000"/>
                <w:sz w:val="18"/>
                <w:szCs w:val="18"/>
              </w:rPr>
              <w:t>86 445,0</w:t>
            </w:r>
          </w:p>
        </w:tc>
        <w:tc>
          <w:tcPr>
            <w:tcW w:w="851" w:type="dxa"/>
            <w:tcBorders>
              <w:top w:val="single" w:sz="4" w:space="0" w:color="auto"/>
              <w:left w:val="nil"/>
              <w:bottom w:val="single" w:sz="4" w:space="0" w:color="auto"/>
              <w:right w:val="single" w:sz="4" w:space="0" w:color="auto"/>
            </w:tcBorders>
            <w:shd w:val="clear" w:color="auto" w:fill="auto"/>
            <w:vAlign w:val="center"/>
          </w:tcPr>
          <w:p w14:paraId="0B4008F7" w14:textId="77777777" w:rsidR="004A11C5" w:rsidRPr="00E765F4" w:rsidRDefault="004A11C5" w:rsidP="0037420A">
            <w:pPr>
              <w:ind w:right="85"/>
              <w:jc w:val="right"/>
              <w:rPr>
                <w:rFonts w:asciiTheme="minorHAnsi" w:hAnsiTheme="minorHAnsi" w:cstheme="minorHAnsi"/>
                <w:b/>
                <w:color w:val="000000"/>
                <w:sz w:val="18"/>
                <w:szCs w:val="18"/>
              </w:rPr>
            </w:pPr>
            <w:r w:rsidRPr="00AB6C71">
              <w:rPr>
                <w:rFonts w:asciiTheme="minorHAnsi" w:hAnsiTheme="minorHAnsi" w:cstheme="minorHAnsi"/>
                <w:color w:val="000000"/>
                <w:sz w:val="18"/>
                <w:szCs w:val="18"/>
              </w:rPr>
              <w:t>13,</w:t>
            </w:r>
            <w:r w:rsidR="00CF5347">
              <w:rPr>
                <w:rFonts w:asciiTheme="minorHAnsi" w:hAnsiTheme="minorHAnsi" w:cstheme="minorHAnsi"/>
                <w:color w:val="000000"/>
                <w:sz w:val="18"/>
                <w:szCs w:val="18"/>
              </w:rPr>
              <w:t>7</w:t>
            </w:r>
            <w:r w:rsidRPr="00AB6C71">
              <w:rPr>
                <w:rFonts w:asciiTheme="minorHAnsi" w:hAnsiTheme="minorHAnsi" w:cstheme="minorHAnsi"/>
                <w:color w:val="000000"/>
                <w:sz w:val="18"/>
                <w:szCs w:val="18"/>
              </w:rPr>
              <w:t xml:space="preserve"> %</w:t>
            </w:r>
          </w:p>
        </w:tc>
        <w:tc>
          <w:tcPr>
            <w:tcW w:w="1077" w:type="dxa"/>
            <w:tcBorders>
              <w:top w:val="single" w:sz="4" w:space="0" w:color="auto"/>
              <w:left w:val="nil"/>
              <w:bottom w:val="single" w:sz="4" w:space="0" w:color="auto"/>
              <w:right w:val="single" w:sz="4" w:space="0" w:color="auto"/>
            </w:tcBorders>
            <w:shd w:val="clear" w:color="auto" w:fill="auto"/>
            <w:vAlign w:val="center"/>
          </w:tcPr>
          <w:p w14:paraId="32A494DE" w14:textId="77777777" w:rsidR="004A11C5" w:rsidRPr="00E765F4" w:rsidRDefault="004A11C5" w:rsidP="004A11C5">
            <w:pPr>
              <w:jc w:val="right"/>
              <w:rPr>
                <w:rFonts w:asciiTheme="minorHAnsi" w:hAnsiTheme="minorHAnsi" w:cstheme="minorHAnsi"/>
                <w:b/>
                <w:color w:val="000000"/>
                <w:sz w:val="18"/>
                <w:szCs w:val="18"/>
              </w:rPr>
            </w:pPr>
            <w:r w:rsidRPr="00AB6C71">
              <w:rPr>
                <w:rFonts w:asciiTheme="minorHAnsi" w:hAnsiTheme="minorHAnsi" w:cstheme="minorHAnsi"/>
                <w:color w:val="000000"/>
                <w:sz w:val="18"/>
                <w:szCs w:val="18"/>
              </w:rPr>
              <w:t>65 302,6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EFD7C5" w14:textId="77777777" w:rsidR="004A11C5" w:rsidRPr="00E765F4" w:rsidRDefault="004A11C5" w:rsidP="0037420A">
            <w:pPr>
              <w:ind w:right="227"/>
              <w:jc w:val="right"/>
              <w:rPr>
                <w:rFonts w:asciiTheme="minorHAnsi" w:hAnsiTheme="minorHAnsi" w:cstheme="minorHAnsi"/>
                <w:b/>
                <w:color w:val="000000"/>
                <w:sz w:val="18"/>
                <w:szCs w:val="18"/>
              </w:rPr>
            </w:pPr>
            <w:r w:rsidRPr="00AB6C71">
              <w:rPr>
                <w:rFonts w:asciiTheme="minorHAnsi" w:hAnsiTheme="minorHAnsi" w:cstheme="minorHAnsi"/>
                <w:color w:val="000000"/>
                <w:sz w:val="18"/>
                <w:szCs w:val="18"/>
              </w:rPr>
              <w:t>10,3 %</w:t>
            </w:r>
          </w:p>
        </w:tc>
        <w:tc>
          <w:tcPr>
            <w:tcW w:w="850" w:type="dxa"/>
            <w:tcBorders>
              <w:top w:val="single" w:sz="4" w:space="0" w:color="auto"/>
              <w:left w:val="nil"/>
              <w:bottom w:val="single" w:sz="4" w:space="0" w:color="auto"/>
              <w:right w:val="single" w:sz="4" w:space="0" w:color="auto"/>
            </w:tcBorders>
            <w:shd w:val="clear" w:color="auto" w:fill="auto"/>
            <w:vAlign w:val="center"/>
          </w:tcPr>
          <w:p w14:paraId="02359994" w14:textId="77777777" w:rsidR="004A11C5" w:rsidRPr="00E765F4" w:rsidRDefault="004A11C5" w:rsidP="004A11C5">
            <w:pPr>
              <w:jc w:val="right"/>
              <w:rPr>
                <w:rFonts w:asciiTheme="minorHAnsi" w:hAnsiTheme="minorHAnsi" w:cstheme="minorHAnsi"/>
                <w:b/>
                <w:sz w:val="18"/>
                <w:szCs w:val="18"/>
              </w:rPr>
            </w:pPr>
            <w:r w:rsidRPr="00AB6C71">
              <w:rPr>
                <w:rFonts w:asciiTheme="minorHAnsi" w:hAnsiTheme="minorHAnsi" w:cstheme="minorHAnsi"/>
                <w:sz w:val="18"/>
                <w:szCs w:val="18"/>
              </w:rPr>
              <w:t>1 524,4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183BA" w14:textId="77777777" w:rsidR="004A11C5" w:rsidRPr="00E765F4" w:rsidRDefault="004A11C5" w:rsidP="004A11C5">
            <w:pPr>
              <w:jc w:val="right"/>
              <w:rPr>
                <w:rFonts w:asciiTheme="minorHAnsi" w:hAnsiTheme="minorHAnsi" w:cstheme="minorHAnsi"/>
                <w:b/>
                <w:sz w:val="18"/>
                <w:szCs w:val="18"/>
              </w:rPr>
            </w:pPr>
            <w:r w:rsidRPr="00AB6C71">
              <w:rPr>
                <w:rFonts w:asciiTheme="minorHAnsi" w:hAnsiTheme="minorHAnsi" w:cstheme="minorHAnsi"/>
                <w:sz w:val="18"/>
                <w:szCs w:val="18"/>
              </w:rPr>
              <w:t>633 109,2</w:t>
            </w:r>
          </w:p>
        </w:tc>
      </w:tr>
    </w:tbl>
    <w:p w14:paraId="36DAB4E0" w14:textId="745C9906" w:rsidR="004E0265" w:rsidRDefault="004E0265" w:rsidP="004E0265">
      <w:pPr>
        <w:tabs>
          <w:tab w:val="left" w:pos="2415"/>
        </w:tabs>
        <w:rPr>
          <w:rFonts w:asciiTheme="minorHAnsi" w:hAnsiTheme="minorHAnsi" w:cstheme="minorHAnsi"/>
          <w:color w:val="000000"/>
          <w:sz w:val="20"/>
        </w:rPr>
      </w:pPr>
      <w:r w:rsidRPr="00CD4B8A">
        <w:rPr>
          <w:rFonts w:asciiTheme="minorHAnsi" w:hAnsiTheme="minorHAnsi" w:cstheme="minorHAnsi"/>
          <w:b/>
          <w:color w:val="000000"/>
          <w:sz w:val="20"/>
        </w:rPr>
        <w:t xml:space="preserve">Zdroj: </w:t>
      </w:r>
      <w:r w:rsidR="00596DD9" w:rsidRPr="00596DD9">
        <w:rPr>
          <w:rFonts w:asciiTheme="minorHAnsi" w:hAnsiTheme="minorHAnsi" w:cstheme="minorHAnsi"/>
          <w:color w:val="000000"/>
          <w:sz w:val="20"/>
        </w:rPr>
        <w:t>vypracoval NKÚ</w:t>
      </w:r>
      <w:r w:rsidR="00DD750F">
        <w:rPr>
          <w:rFonts w:asciiTheme="minorHAnsi" w:hAnsiTheme="minorHAnsi" w:cstheme="minorHAnsi"/>
          <w:color w:val="000000"/>
          <w:sz w:val="20"/>
        </w:rPr>
        <w:t xml:space="preserve"> na základě dat VOP CZ</w:t>
      </w:r>
      <w:r w:rsidRPr="00596DD9">
        <w:rPr>
          <w:rFonts w:asciiTheme="minorHAnsi" w:hAnsiTheme="minorHAnsi" w:cstheme="minorHAnsi"/>
          <w:color w:val="000000"/>
          <w:sz w:val="20"/>
        </w:rPr>
        <w:t>.</w:t>
      </w:r>
    </w:p>
    <w:p w14:paraId="7F59D79A" w14:textId="44ADA6D6" w:rsidR="009650A8" w:rsidRDefault="009650A8" w:rsidP="004E0265">
      <w:pPr>
        <w:tabs>
          <w:tab w:val="left" w:pos="2415"/>
        </w:tabs>
        <w:rPr>
          <w:rFonts w:asciiTheme="minorHAnsi" w:hAnsiTheme="minorHAnsi" w:cstheme="minorHAnsi"/>
          <w:color w:val="000000"/>
          <w:sz w:val="20"/>
        </w:rPr>
      </w:pPr>
      <w:r w:rsidRPr="00D44F40">
        <w:rPr>
          <w:rFonts w:asciiTheme="minorHAnsi" w:hAnsiTheme="minorHAnsi" w:cstheme="minorHAnsi"/>
          <w:sz w:val="20"/>
          <w:szCs w:val="20"/>
        </w:rPr>
        <w:t xml:space="preserve">* </w:t>
      </w:r>
      <w:r w:rsidR="00777506">
        <w:rPr>
          <w:rFonts w:asciiTheme="minorHAnsi" w:hAnsiTheme="minorHAnsi" w:cstheme="minorHAnsi"/>
          <w:sz w:val="20"/>
          <w:szCs w:val="20"/>
        </w:rPr>
        <w:t>P</w:t>
      </w:r>
      <w:r w:rsidR="00CE3550">
        <w:rPr>
          <w:rFonts w:asciiTheme="minorHAnsi" w:hAnsiTheme="minorHAnsi" w:cstheme="minorHAnsi"/>
          <w:sz w:val="20"/>
          <w:szCs w:val="20"/>
        </w:rPr>
        <w:t xml:space="preserve">ojem výroba </w:t>
      </w:r>
      <w:r w:rsidRPr="00D44F40">
        <w:rPr>
          <w:rFonts w:asciiTheme="minorHAnsi" w:hAnsiTheme="minorHAnsi" w:cstheme="minorHAnsi"/>
          <w:sz w:val="20"/>
          <w:szCs w:val="20"/>
        </w:rPr>
        <w:t>zahrnu</w:t>
      </w:r>
      <w:r>
        <w:rPr>
          <w:rFonts w:asciiTheme="minorHAnsi" w:hAnsiTheme="minorHAnsi" w:cstheme="minorHAnsi"/>
          <w:sz w:val="20"/>
          <w:szCs w:val="20"/>
        </w:rPr>
        <w:t>je i servisní</w:t>
      </w:r>
      <w:r w:rsidR="00CE3550">
        <w:rPr>
          <w:rFonts w:asciiTheme="minorHAnsi" w:hAnsiTheme="minorHAnsi" w:cstheme="minorHAnsi"/>
          <w:sz w:val="20"/>
          <w:szCs w:val="20"/>
        </w:rPr>
        <w:t>, popř</w:t>
      </w:r>
      <w:r w:rsidR="00CF5347">
        <w:rPr>
          <w:rFonts w:asciiTheme="minorHAnsi" w:hAnsiTheme="minorHAnsi" w:cstheme="minorHAnsi"/>
          <w:sz w:val="20"/>
          <w:szCs w:val="20"/>
        </w:rPr>
        <w:t>ípadě</w:t>
      </w:r>
      <w:r>
        <w:rPr>
          <w:rFonts w:asciiTheme="minorHAnsi" w:hAnsiTheme="minorHAnsi" w:cstheme="minorHAnsi"/>
          <w:sz w:val="20"/>
          <w:szCs w:val="20"/>
        </w:rPr>
        <w:t xml:space="preserve"> další činnosti podniku.</w:t>
      </w:r>
    </w:p>
    <w:p w14:paraId="34B1342B" w14:textId="77777777" w:rsidR="00397FDE" w:rsidRDefault="00397FDE" w:rsidP="00D44F40"/>
    <w:p w14:paraId="0D2B2DF7" w14:textId="77777777" w:rsidR="00397FDE" w:rsidRDefault="00397FDE" w:rsidP="00D44F40"/>
    <w:sectPr w:rsidR="00397FDE" w:rsidSect="002F2717">
      <w:footerReference w:type="default" r:id="rId18"/>
      <w:footerReference w:type="first" r:id="rId19"/>
      <w:pgSz w:w="11907" w:h="16839" w:code="9"/>
      <w:pgMar w:top="1417" w:right="1417" w:bottom="1417" w:left="141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ACE9" w14:textId="77777777" w:rsidR="00A91FD4" w:rsidRDefault="00A91FD4">
      <w:r>
        <w:separator/>
      </w:r>
    </w:p>
  </w:endnote>
  <w:endnote w:type="continuationSeparator" w:id="0">
    <w:p w14:paraId="62D48070" w14:textId="77777777" w:rsidR="00A91FD4" w:rsidRDefault="00A91FD4">
      <w:r>
        <w:continuationSeparator/>
      </w:r>
    </w:p>
  </w:endnote>
  <w:endnote w:type="continuationNotice" w:id="1">
    <w:p w14:paraId="5763310B" w14:textId="77777777" w:rsidR="00A91FD4" w:rsidRDefault="00A91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Myriad Pro">
    <w:altName w:val="Arial"/>
    <w:charset w:val="00"/>
    <w:family w:val="swiss"/>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617848"/>
      <w:docPartObj>
        <w:docPartGallery w:val="Page Numbers (Bottom of Page)"/>
        <w:docPartUnique/>
      </w:docPartObj>
    </w:sdtPr>
    <w:sdtEndPr>
      <w:rPr>
        <w:rFonts w:ascii="Calibri" w:hAnsi="Calibri" w:cs="Calibri"/>
      </w:rPr>
    </w:sdtEndPr>
    <w:sdtContent>
      <w:p w14:paraId="7C2707CD" w14:textId="77777777" w:rsidR="00A91FD4" w:rsidRPr="00417867" w:rsidRDefault="00A91FD4" w:rsidP="00417867">
        <w:pPr>
          <w:pStyle w:val="Zpat"/>
          <w:jc w:val="center"/>
          <w:rPr>
            <w:rFonts w:ascii="Calibri" w:hAnsi="Calibri" w:cs="Calibri"/>
          </w:rPr>
        </w:pPr>
        <w:r w:rsidRPr="00417867">
          <w:rPr>
            <w:rFonts w:ascii="Calibri" w:hAnsi="Calibri" w:cs="Calibri"/>
          </w:rPr>
          <w:fldChar w:fldCharType="begin"/>
        </w:r>
        <w:r w:rsidRPr="00417867">
          <w:rPr>
            <w:rFonts w:ascii="Calibri" w:hAnsi="Calibri" w:cs="Calibri"/>
          </w:rPr>
          <w:instrText>PAGE   \* MERGEFORMAT</w:instrText>
        </w:r>
        <w:r w:rsidRPr="00417867">
          <w:rPr>
            <w:rFonts w:ascii="Calibri" w:hAnsi="Calibri" w:cs="Calibri"/>
          </w:rPr>
          <w:fldChar w:fldCharType="separate"/>
        </w:r>
        <w:r>
          <w:rPr>
            <w:rFonts w:ascii="Calibri" w:hAnsi="Calibri" w:cs="Calibri"/>
            <w:noProof/>
          </w:rPr>
          <w:t>1</w:t>
        </w:r>
        <w:r w:rsidRPr="00417867">
          <w:rPr>
            <w:rFonts w:ascii="Calibri" w:hAnsi="Calibri" w:cs="Calibr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CF20" w14:textId="77777777" w:rsidR="00A91FD4" w:rsidRPr="00417867" w:rsidRDefault="00A91FD4" w:rsidP="00417867">
    <w:pPr>
      <w:pStyle w:val="Zpat"/>
      <w:jc w:val="center"/>
      <w:rPr>
        <w:rFonts w:ascii="Calibri" w:hAnsi="Calibri" w:cs="Calibr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81D4" w14:textId="77777777" w:rsidR="00A91FD4" w:rsidRDefault="00A91FD4">
      <w:r>
        <w:separator/>
      </w:r>
    </w:p>
  </w:footnote>
  <w:footnote w:type="continuationSeparator" w:id="0">
    <w:p w14:paraId="0C8F9DE0" w14:textId="77777777" w:rsidR="00A91FD4" w:rsidRDefault="00A91FD4">
      <w:r>
        <w:continuationSeparator/>
      </w:r>
    </w:p>
  </w:footnote>
  <w:footnote w:type="continuationNotice" w:id="1">
    <w:p w14:paraId="5DC58CA1" w14:textId="77777777" w:rsidR="00A91FD4" w:rsidRDefault="00A91FD4"/>
  </w:footnote>
  <w:footnote w:id="2">
    <w:p w14:paraId="369771C2" w14:textId="77777777" w:rsidR="00A91FD4" w:rsidRDefault="00A91FD4" w:rsidP="00F27EF8">
      <w:pPr>
        <w:pStyle w:val="Textpoznpodarou"/>
        <w:ind w:left="284" w:hanging="284"/>
        <w:rPr>
          <w:rFonts w:ascii="Calibri" w:hAnsi="Calibri" w:cs="Calibri"/>
        </w:rPr>
      </w:pPr>
      <w:r>
        <w:rPr>
          <w:rStyle w:val="Znakapoznpodarou"/>
          <w:rFonts w:ascii="Calibri" w:hAnsi="Calibri" w:cs="Calibri"/>
        </w:rPr>
        <w:footnoteRef/>
      </w:r>
      <w:r>
        <w:rPr>
          <w:rFonts w:ascii="Calibri" w:hAnsi="Calibri" w:cs="Calibri"/>
        </w:rPr>
        <w:t xml:space="preserve"> </w:t>
      </w:r>
      <w:r>
        <w:rPr>
          <w:rFonts w:ascii="Calibri" w:hAnsi="Calibri" w:cs="Calibri"/>
        </w:rPr>
        <w:tab/>
        <w:t>Ke konci roku 2021.</w:t>
      </w:r>
    </w:p>
  </w:footnote>
  <w:footnote w:id="3">
    <w:p w14:paraId="6AF3FBDC" w14:textId="77777777" w:rsidR="00A91FD4" w:rsidRPr="00844C75" w:rsidRDefault="00A91FD4" w:rsidP="004C0D87">
      <w:pPr>
        <w:pStyle w:val="Textpoznpodarou"/>
        <w:ind w:left="284" w:hanging="284"/>
        <w:jc w:val="both"/>
        <w:rPr>
          <w:rFonts w:asciiTheme="minorHAnsi" w:hAnsiTheme="minorHAnsi" w:cstheme="minorHAnsi"/>
        </w:rPr>
      </w:pPr>
      <w:r w:rsidRPr="00844C75">
        <w:rPr>
          <w:rStyle w:val="Znakapoznpodarou"/>
          <w:rFonts w:asciiTheme="minorHAnsi" w:hAnsiTheme="minorHAnsi" w:cstheme="minorHAnsi"/>
        </w:rPr>
        <w:footnoteRef/>
      </w:r>
      <w:r w:rsidRPr="00844C75">
        <w:rPr>
          <w:rFonts w:asciiTheme="minorHAnsi" w:hAnsiTheme="minorHAnsi" w:cstheme="minorHAnsi"/>
        </w:rPr>
        <w:t xml:space="preserve"> </w:t>
      </w:r>
      <w:r>
        <w:rPr>
          <w:rFonts w:asciiTheme="minorHAnsi" w:hAnsiTheme="minorHAnsi" w:cstheme="minorHAnsi"/>
        </w:rPr>
        <w:tab/>
        <w:t>Ustanovení § 189 zákona č. 134/2016 Sb., o zadávání veřejných zakázek, upravuje podmínky použití vertikální spolupráce pro veřejné zakázky v oblasti obrany nebo bezpečnosti.</w:t>
      </w:r>
    </w:p>
  </w:footnote>
  <w:footnote w:id="4">
    <w:p w14:paraId="2D1225B4" w14:textId="54E634C9" w:rsidR="00A91FD4" w:rsidRPr="00ED0CC7" w:rsidRDefault="00A91FD4" w:rsidP="007A429D">
      <w:pPr>
        <w:pStyle w:val="Textpoznpodarou"/>
        <w:ind w:left="284" w:hanging="284"/>
        <w:jc w:val="both"/>
        <w:rPr>
          <w:rFonts w:asciiTheme="minorHAnsi" w:hAnsiTheme="minorHAnsi" w:cstheme="minorHAnsi"/>
        </w:rPr>
      </w:pPr>
      <w:r w:rsidRPr="00472DAB">
        <w:rPr>
          <w:rStyle w:val="Znakapoznpodarou"/>
          <w:rFonts w:asciiTheme="minorHAnsi" w:hAnsiTheme="minorHAnsi" w:cstheme="minorHAnsi"/>
        </w:rPr>
        <w:footnoteRef/>
      </w:r>
      <w:r w:rsidRPr="00472DAB">
        <w:rPr>
          <w:rFonts w:asciiTheme="minorHAnsi" w:hAnsiTheme="minorHAnsi" w:cstheme="minorHAnsi"/>
        </w:rPr>
        <w:t xml:space="preserve"> </w:t>
      </w:r>
      <w:r w:rsidRPr="00472DAB">
        <w:rPr>
          <w:rFonts w:asciiTheme="minorHAnsi" w:hAnsiTheme="minorHAnsi" w:cstheme="minorHAnsi"/>
        </w:rPr>
        <w:tab/>
        <w:t>Základním plánovacím dokumentem pro řízení činnosti a</w:t>
      </w:r>
      <w:r w:rsidRPr="00ED0CC7">
        <w:rPr>
          <w:rFonts w:asciiTheme="minorHAnsi" w:hAnsiTheme="minorHAnsi" w:cstheme="minorHAnsi"/>
        </w:rPr>
        <w:t xml:space="preserve"> rozvoje rezortu jsou </w:t>
      </w:r>
      <w:bookmarkStart w:id="6" w:name="_Hlk124246778"/>
      <w:r w:rsidRPr="00ED0CC7">
        <w:rPr>
          <w:rFonts w:asciiTheme="minorHAnsi" w:hAnsiTheme="minorHAnsi" w:cstheme="minorHAnsi"/>
        </w:rPr>
        <w:t>střednědobé plány činnosti a</w:t>
      </w:r>
      <w:r>
        <w:rPr>
          <w:rFonts w:asciiTheme="minorHAnsi" w:hAnsiTheme="minorHAnsi" w:cstheme="minorHAnsi"/>
        </w:rPr>
        <w:t> </w:t>
      </w:r>
      <w:r w:rsidRPr="00ED0CC7">
        <w:rPr>
          <w:rFonts w:asciiTheme="minorHAnsi" w:hAnsiTheme="minorHAnsi" w:cstheme="minorHAnsi"/>
        </w:rPr>
        <w:t>rozvoje rezortu MO</w:t>
      </w:r>
      <w:bookmarkEnd w:id="6"/>
      <w:r w:rsidRPr="00ED0CC7">
        <w:rPr>
          <w:rFonts w:asciiTheme="minorHAnsi" w:hAnsiTheme="minorHAnsi" w:cstheme="minorHAnsi"/>
        </w:rPr>
        <w:t xml:space="preserve"> </w:t>
      </w:r>
      <w:r>
        <w:rPr>
          <w:rFonts w:asciiTheme="minorHAnsi" w:hAnsiTheme="minorHAnsi" w:cstheme="minorHAnsi"/>
        </w:rPr>
        <w:t>(</w:t>
      </w:r>
      <w:r w:rsidRPr="00ED0CC7">
        <w:rPr>
          <w:rFonts w:asciiTheme="minorHAnsi" w:hAnsiTheme="minorHAnsi" w:cstheme="minorHAnsi"/>
        </w:rPr>
        <w:t>dále jen „střednědobé plány“).</w:t>
      </w:r>
      <w:r>
        <w:rPr>
          <w:rFonts w:asciiTheme="minorHAnsi" w:hAnsiTheme="minorHAnsi" w:cstheme="minorHAnsi"/>
        </w:rPr>
        <w:t xml:space="preserve"> NKÚ dále prověřil akviziční plány, které obsahovaly výdaje plánované na daný rozpočtový rok včetně výhledu na dva následující roky.</w:t>
      </w:r>
    </w:p>
  </w:footnote>
  <w:footnote w:id="5">
    <w:p w14:paraId="2C3D2AC1" w14:textId="0320C669" w:rsidR="00A91FD4" w:rsidRPr="00C76627" w:rsidRDefault="00A91FD4" w:rsidP="007A429D">
      <w:pPr>
        <w:pStyle w:val="Textpoznpodarou"/>
        <w:ind w:left="284" w:hanging="284"/>
        <w:jc w:val="both"/>
        <w:rPr>
          <w:rFonts w:asciiTheme="minorHAnsi" w:hAnsiTheme="minorHAnsi" w:cstheme="minorHAnsi"/>
        </w:rPr>
      </w:pPr>
      <w:r w:rsidRPr="00CE3424">
        <w:rPr>
          <w:rStyle w:val="Znakapoznpodarou"/>
          <w:rFonts w:asciiTheme="minorHAnsi" w:hAnsiTheme="minorHAnsi" w:cstheme="minorHAnsi"/>
        </w:rPr>
        <w:footnoteRef/>
      </w:r>
      <w:r w:rsidRPr="00CE3424">
        <w:rPr>
          <w:rFonts w:asciiTheme="minorHAnsi" w:hAnsiTheme="minorHAnsi" w:cstheme="minorHAnsi"/>
        </w:rPr>
        <w:t xml:space="preserve"> </w:t>
      </w:r>
      <w:r w:rsidRPr="00CE3424">
        <w:rPr>
          <w:rFonts w:asciiTheme="minorHAnsi" w:hAnsiTheme="minorHAnsi" w:cstheme="minorHAnsi"/>
        </w:rPr>
        <w:tab/>
        <w:t xml:space="preserve">Podle ustanovení § 12 </w:t>
      </w:r>
      <w:r w:rsidRPr="00ED0CC7">
        <w:rPr>
          <w:rFonts w:asciiTheme="minorHAnsi" w:hAnsiTheme="minorHAnsi" w:cstheme="minorHAnsi"/>
        </w:rPr>
        <w:t>zákona č. 218/2000 Sb., o rozpočtových pravidlech a o změně některých souvisejících zákonů (</w:t>
      </w:r>
      <w:r w:rsidRPr="00145EDA">
        <w:rPr>
          <w:rFonts w:asciiTheme="minorHAnsi" w:hAnsiTheme="minorHAnsi" w:cstheme="minorHAnsi"/>
        </w:rPr>
        <w:t>rozpočtová pravidla</w:t>
      </w:r>
      <w:r w:rsidRPr="00BF143E">
        <w:rPr>
          <w:rFonts w:asciiTheme="minorHAnsi" w:hAnsiTheme="minorHAnsi" w:cstheme="minorHAnsi"/>
        </w:rPr>
        <w:t>)</w:t>
      </w:r>
      <w:r>
        <w:rPr>
          <w:rFonts w:asciiTheme="minorHAnsi" w:hAnsiTheme="minorHAnsi" w:cstheme="minorHAnsi"/>
        </w:rPr>
        <w:t>,</w:t>
      </w:r>
      <w:r w:rsidRPr="00BF143E">
        <w:rPr>
          <w:rFonts w:asciiTheme="minorHAnsi" w:hAnsiTheme="minorHAnsi" w:cstheme="minorHAnsi"/>
        </w:rPr>
        <w:t xml:space="preserve"> </w:t>
      </w:r>
      <w:r w:rsidRPr="00C76627">
        <w:rPr>
          <w:rFonts w:asciiTheme="minorHAnsi" w:hAnsiTheme="minorHAnsi" w:cstheme="minorHAnsi"/>
        </w:rPr>
        <w:t>je program souborem věcných, časových a finančních podmínek pro konkrétní činnosti směřující k dosažení stanoveného cíle.</w:t>
      </w:r>
    </w:p>
  </w:footnote>
  <w:footnote w:id="6">
    <w:p w14:paraId="419E0914" w14:textId="590E71BF" w:rsidR="00A91FD4" w:rsidRPr="00810A01" w:rsidRDefault="00A91FD4" w:rsidP="00A702BC">
      <w:pPr>
        <w:pStyle w:val="Textpoznpodarou"/>
        <w:ind w:left="284" w:hanging="284"/>
        <w:jc w:val="both"/>
        <w:rPr>
          <w:rFonts w:asciiTheme="minorHAnsi" w:hAnsiTheme="minorHAnsi" w:cstheme="minorHAnsi"/>
        </w:rPr>
      </w:pPr>
      <w:r w:rsidRPr="00287C1A">
        <w:rPr>
          <w:rStyle w:val="Znakapoznpodarou"/>
          <w:rFonts w:asciiTheme="minorHAnsi" w:hAnsiTheme="minorHAnsi" w:cstheme="minorHAnsi"/>
        </w:rPr>
        <w:footnoteRef/>
      </w:r>
      <w:r w:rsidRPr="00287C1A">
        <w:rPr>
          <w:rFonts w:asciiTheme="minorHAnsi" w:hAnsiTheme="minorHAnsi" w:cstheme="minorHAnsi"/>
        </w:rPr>
        <w:t xml:space="preserve"> </w:t>
      </w:r>
      <w:r w:rsidRPr="00287C1A">
        <w:rPr>
          <w:rFonts w:asciiTheme="minorHAnsi" w:hAnsiTheme="minorHAnsi" w:cstheme="minorHAnsi"/>
        </w:rPr>
        <w:tab/>
      </w:r>
      <w:r>
        <w:rPr>
          <w:rFonts w:asciiTheme="minorHAnsi" w:hAnsiTheme="minorHAnsi" w:cstheme="minorHAnsi"/>
        </w:rPr>
        <w:t>P</w:t>
      </w:r>
      <w:r w:rsidRPr="00287C1A">
        <w:rPr>
          <w:rFonts w:asciiTheme="minorHAnsi" w:hAnsiTheme="minorHAnsi" w:cstheme="minorHAnsi"/>
        </w:rPr>
        <w:t xml:space="preserve">rogram </w:t>
      </w:r>
      <w:bookmarkStart w:id="7" w:name="_Hlk124952553"/>
      <w:r>
        <w:rPr>
          <w:rFonts w:asciiTheme="minorHAnsi" w:hAnsiTheme="minorHAnsi" w:cstheme="minorHAnsi"/>
        </w:rPr>
        <w:t xml:space="preserve">č. 107 690 – </w:t>
      </w:r>
      <w:r>
        <w:rPr>
          <w:rFonts w:asciiTheme="minorHAnsi" w:hAnsiTheme="minorHAnsi" w:cstheme="minorHAnsi"/>
          <w:i/>
        </w:rPr>
        <w:t>Udržení a rozvoj schopností logistické podpory</w:t>
      </w:r>
      <w:r>
        <w:rPr>
          <w:rFonts w:asciiTheme="minorHAnsi" w:hAnsiTheme="minorHAnsi" w:cstheme="minorHAnsi"/>
        </w:rPr>
        <w:t xml:space="preserve"> </w:t>
      </w:r>
      <w:bookmarkEnd w:id="7"/>
      <w:r w:rsidRPr="00287C1A">
        <w:rPr>
          <w:rFonts w:asciiTheme="minorHAnsi" w:hAnsiTheme="minorHAnsi" w:cstheme="minorHAnsi"/>
        </w:rPr>
        <w:t>se skládá z výdajových investičních akcí.</w:t>
      </w:r>
      <w:r>
        <w:rPr>
          <w:rFonts w:asciiTheme="minorHAnsi" w:hAnsiTheme="minorHAnsi" w:cstheme="minorHAnsi"/>
        </w:rPr>
        <w:t xml:space="preserve"> Původní dokumentaci programu schválilo Ministerstvo financí dne 16. února 2017 na roky 2017–2021 s účastí státního rozpočtu na jeho financování do výše 4 774,815 mil. Kč. Dne 24. února 2021 k tomuto programu schválilo Ministerstvo financí doplněk č. 1 na roky 2017–2027 s účastí státního rozpočtu na jeho financování do výše 26 804,164 mil. Kč. Následně byl doplněk č. 1 schválen usnesením vlády České republiky ze dne 6. dubna 2021 č. 345, </w:t>
      </w:r>
      <w:r>
        <w:rPr>
          <w:rFonts w:asciiTheme="minorHAnsi" w:hAnsiTheme="minorHAnsi" w:cstheme="minorHAnsi"/>
          <w:i/>
        </w:rPr>
        <w:t>o stanovení výše účasti státního rozpočtu na financování programu č. 107 690 Udržení</w:t>
      </w:r>
      <w:r w:rsidRPr="00602660">
        <w:rPr>
          <w:rFonts w:asciiTheme="minorHAnsi" w:hAnsiTheme="minorHAnsi" w:cstheme="minorHAnsi"/>
          <w:i/>
        </w:rPr>
        <w:t xml:space="preserve"> </w:t>
      </w:r>
      <w:r>
        <w:rPr>
          <w:rFonts w:asciiTheme="minorHAnsi" w:hAnsiTheme="minorHAnsi" w:cstheme="minorHAnsi"/>
          <w:i/>
        </w:rPr>
        <w:t>a rozvoj schopností logistické podpory, ve znění 1. doplňku</w:t>
      </w:r>
      <w:r w:rsidRPr="00810A01">
        <w:rPr>
          <w:rFonts w:asciiTheme="minorHAnsi" w:hAnsiTheme="minorHAnsi" w:cstheme="minorHAnsi"/>
        </w:rPr>
        <w:t>.</w:t>
      </w:r>
    </w:p>
  </w:footnote>
  <w:footnote w:id="7">
    <w:p w14:paraId="66CF0B5F" w14:textId="77777777" w:rsidR="00A91FD4" w:rsidRPr="00347250" w:rsidRDefault="00A91FD4" w:rsidP="00017B5D">
      <w:pPr>
        <w:pStyle w:val="Textpoznpodarou"/>
        <w:ind w:left="284" w:hanging="284"/>
        <w:jc w:val="both"/>
        <w:rPr>
          <w:rFonts w:asciiTheme="minorHAnsi" w:hAnsiTheme="minorHAnsi" w:cstheme="minorHAnsi"/>
        </w:rPr>
      </w:pPr>
      <w:r w:rsidRPr="00347250">
        <w:rPr>
          <w:rStyle w:val="Znakapoznpodarou"/>
          <w:rFonts w:asciiTheme="minorHAnsi" w:hAnsiTheme="minorHAnsi" w:cstheme="minorHAnsi"/>
        </w:rPr>
        <w:footnoteRef/>
      </w:r>
      <w:r w:rsidRPr="00347250">
        <w:rPr>
          <w:rFonts w:asciiTheme="minorHAnsi" w:hAnsiTheme="minorHAnsi" w:cstheme="minorHAnsi"/>
        </w:rPr>
        <w:t xml:space="preserve"> </w:t>
      </w:r>
      <w:r>
        <w:rPr>
          <w:rFonts w:asciiTheme="minorHAnsi" w:hAnsiTheme="minorHAnsi" w:cstheme="minorHAnsi"/>
        </w:rPr>
        <w:tab/>
        <w:t>Počet vyjadřuje potřebu daného druhu techniky, kterou Armáda stanovila jako nezbytnou pro zabezpečení své činnosti.</w:t>
      </w:r>
    </w:p>
  </w:footnote>
  <w:footnote w:id="8">
    <w:p w14:paraId="2FF423D0" w14:textId="77777777" w:rsidR="00A91FD4" w:rsidRPr="006E10AF" w:rsidRDefault="00A91FD4" w:rsidP="007A429D">
      <w:pPr>
        <w:pStyle w:val="Textpoznpodarou"/>
        <w:ind w:left="284" w:hanging="284"/>
        <w:jc w:val="both"/>
        <w:rPr>
          <w:rFonts w:asciiTheme="minorHAnsi" w:hAnsiTheme="minorHAnsi"/>
        </w:rPr>
      </w:pPr>
      <w:r w:rsidRPr="006E10AF">
        <w:rPr>
          <w:rStyle w:val="Znakapoznpodarou"/>
          <w:rFonts w:asciiTheme="minorHAnsi" w:hAnsiTheme="minorHAnsi"/>
        </w:rPr>
        <w:footnoteRef/>
      </w:r>
      <w:r w:rsidRPr="006E10AF">
        <w:rPr>
          <w:rFonts w:asciiTheme="minorHAnsi" w:hAnsiTheme="minorHAnsi"/>
        </w:rPr>
        <w:t xml:space="preserve"> </w:t>
      </w:r>
      <w:r w:rsidRPr="006E10AF">
        <w:rPr>
          <w:rFonts w:asciiTheme="minorHAnsi" w:hAnsiTheme="minorHAnsi"/>
        </w:rPr>
        <w:tab/>
      </w:r>
      <w:r>
        <w:rPr>
          <w:rFonts w:asciiTheme="minorHAnsi" w:hAnsiTheme="minorHAnsi"/>
        </w:rPr>
        <w:t>P</w:t>
      </w:r>
      <w:r w:rsidRPr="006E10AF">
        <w:rPr>
          <w:rFonts w:asciiTheme="minorHAnsi" w:hAnsiTheme="minorHAnsi"/>
        </w:rPr>
        <w:t>oč</w:t>
      </w:r>
      <w:r>
        <w:rPr>
          <w:rFonts w:asciiTheme="minorHAnsi" w:hAnsiTheme="minorHAnsi"/>
        </w:rPr>
        <w:t>etní nárůst se týká vojáků z povolání, aktivní zálohy i státních a občanských zaměstnanců</w:t>
      </w:r>
      <w:r w:rsidRPr="00E14F35">
        <w:rPr>
          <w:rFonts w:asciiTheme="minorHAnsi" w:hAnsiTheme="minorHAnsi"/>
        </w:rPr>
        <w:t>.</w:t>
      </w:r>
    </w:p>
  </w:footnote>
  <w:footnote w:id="9">
    <w:p w14:paraId="440EB668" w14:textId="77777777" w:rsidR="00A91FD4" w:rsidRPr="00252A36" w:rsidRDefault="00A91FD4" w:rsidP="007A429D">
      <w:pPr>
        <w:pStyle w:val="Textpoznpodarou"/>
        <w:ind w:left="284" w:hanging="284"/>
        <w:jc w:val="both"/>
        <w:rPr>
          <w:rFonts w:asciiTheme="minorHAnsi" w:hAnsiTheme="minorHAnsi" w:cstheme="minorHAnsi"/>
        </w:rPr>
      </w:pPr>
      <w:r w:rsidRPr="00252A36">
        <w:rPr>
          <w:rStyle w:val="Znakapoznpodarou"/>
          <w:rFonts w:asciiTheme="minorHAnsi" w:hAnsiTheme="minorHAnsi" w:cstheme="minorHAnsi"/>
        </w:rPr>
        <w:footnoteRef/>
      </w:r>
      <w:r w:rsidRPr="00252A36">
        <w:rPr>
          <w:rFonts w:asciiTheme="minorHAnsi" w:hAnsiTheme="minorHAnsi" w:cstheme="minorHAnsi"/>
        </w:rPr>
        <w:t xml:space="preserve"> </w:t>
      </w:r>
      <w:r w:rsidRPr="00252A36">
        <w:rPr>
          <w:rFonts w:asciiTheme="minorHAnsi" w:hAnsiTheme="minorHAnsi" w:cstheme="minorHAnsi"/>
        </w:rPr>
        <w:tab/>
        <w:t xml:space="preserve">Podprogram </w:t>
      </w:r>
      <w:r>
        <w:rPr>
          <w:rFonts w:asciiTheme="minorHAnsi" w:hAnsiTheme="minorHAnsi" w:cstheme="minorHAnsi"/>
        </w:rPr>
        <w:t xml:space="preserve">č. 107 691 – </w:t>
      </w:r>
      <w:r>
        <w:rPr>
          <w:rFonts w:asciiTheme="minorHAnsi" w:hAnsiTheme="minorHAnsi" w:cstheme="minorHAnsi"/>
          <w:i/>
        </w:rPr>
        <w:t xml:space="preserve">Udržení a rozvoj schopností logistiky Armády </w:t>
      </w:r>
      <w:r>
        <w:rPr>
          <w:rFonts w:asciiTheme="minorHAnsi" w:hAnsiTheme="minorHAnsi" w:cstheme="minorHAnsi"/>
        </w:rPr>
        <w:t>je stěžejním podprogramem a představuje 78 % plánovaných peněžních prostředků programu</w:t>
      </w:r>
      <w:r>
        <w:rPr>
          <w:rFonts w:asciiTheme="minorHAnsi" w:hAnsiTheme="minorHAnsi" w:cstheme="minorHAnsi"/>
          <w:i/>
        </w:rPr>
        <w:t>.</w:t>
      </w:r>
    </w:p>
  </w:footnote>
  <w:footnote w:id="10">
    <w:p w14:paraId="03789771" w14:textId="5770978D" w:rsidR="00A91FD4" w:rsidRPr="0033629A" w:rsidRDefault="00A91FD4" w:rsidP="00317C17">
      <w:pPr>
        <w:pStyle w:val="Textpoznpodarou"/>
        <w:ind w:left="284" w:hanging="284"/>
        <w:jc w:val="both"/>
        <w:rPr>
          <w:rFonts w:asciiTheme="minorHAnsi" w:hAnsiTheme="minorHAnsi"/>
        </w:rPr>
      </w:pPr>
      <w:r w:rsidRPr="0033629A">
        <w:rPr>
          <w:rStyle w:val="Znakapoznpodarou"/>
          <w:rFonts w:asciiTheme="minorHAnsi" w:hAnsiTheme="minorHAnsi"/>
        </w:rPr>
        <w:footnoteRef/>
      </w:r>
      <w:r w:rsidRPr="0033629A">
        <w:rPr>
          <w:rFonts w:asciiTheme="minorHAnsi" w:hAnsiTheme="minorHAnsi"/>
        </w:rPr>
        <w:t xml:space="preserve"> </w:t>
      </w:r>
      <w:r>
        <w:rPr>
          <w:rFonts w:asciiTheme="minorHAnsi" w:hAnsiTheme="minorHAnsi"/>
        </w:rPr>
        <w:tab/>
      </w:r>
      <w:bookmarkStart w:id="8" w:name="_Hlk126055549"/>
      <w:r>
        <w:rPr>
          <w:rFonts w:asciiTheme="minorHAnsi" w:hAnsiTheme="minorHAnsi"/>
        </w:rPr>
        <w:t>Pod</w:t>
      </w:r>
      <w:r w:rsidRPr="0033629A">
        <w:rPr>
          <w:rFonts w:asciiTheme="minorHAnsi" w:hAnsiTheme="minorHAnsi"/>
        </w:rPr>
        <w:t>le ustanovení § 2 písm. n) zákona č. 320/2001 Sb., o finanční kontrole ve veřejné správě a o změně některých zákonů (zákon o finanční kontrole)</w:t>
      </w:r>
      <w:r>
        <w:rPr>
          <w:rFonts w:asciiTheme="minorHAnsi" w:hAnsiTheme="minorHAnsi"/>
        </w:rPr>
        <w:t>,</w:t>
      </w:r>
      <w:r w:rsidRPr="0033629A">
        <w:rPr>
          <w:rFonts w:asciiTheme="minorHAnsi" w:hAnsiTheme="minorHAnsi"/>
        </w:rPr>
        <w:t xml:space="preserve"> se efektivností rozumí takové použití veřejných prostředků, kterým se dosáhne nejvýše možného rozsahu, kvality a přínosu plněných úkolů ve srovnání s objemem prostředků vynaložených na jejich plnění.</w:t>
      </w:r>
    </w:p>
    <w:bookmarkEnd w:id="8"/>
  </w:footnote>
  <w:footnote w:id="11">
    <w:p w14:paraId="1C5C95F2" w14:textId="77777777" w:rsidR="00A91FD4" w:rsidRPr="00F27EF8" w:rsidRDefault="00A91FD4" w:rsidP="00934D74">
      <w:pPr>
        <w:pStyle w:val="Textpoznpodarou"/>
        <w:ind w:left="284" w:hanging="284"/>
        <w:jc w:val="both"/>
        <w:rPr>
          <w:rFonts w:asciiTheme="minorHAnsi" w:hAnsiTheme="minorHAnsi" w:cstheme="minorHAnsi"/>
        </w:rPr>
      </w:pPr>
      <w:r w:rsidRPr="00F27EF8">
        <w:rPr>
          <w:rStyle w:val="Znakapoznpodarou"/>
          <w:rFonts w:asciiTheme="minorHAnsi" w:hAnsiTheme="minorHAnsi" w:cstheme="minorHAnsi"/>
        </w:rPr>
        <w:footnoteRef/>
      </w:r>
      <w:r w:rsidRPr="00F27EF8">
        <w:rPr>
          <w:rFonts w:asciiTheme="minorHAnsi" w:hAnsiTheme="minorHAnsi" w:cstheme="minorHAnsi"/>
        </w:rPr>
        <w:t xml:space="preserve"> </w:t>
      </w:r>
      <w:r w:rsidRPr="00F27EF8">
        <w:rPr>
          <w:rFonts w:asciiTheme="minorHAnsi" w:hAnsiTheme="minorHAnsi" w:cstheme="minorHAnsi"/>
        </w:rPr>
        <w:tab/>
        <w:t>Podle ustanovení § 2 písm. o) zákona č. 320/2001 Sb. se účelností rozumí takové použití veřejných prostředků, které zajistí optimální míru dosažení cílů při plnění stanovených úkolů.</w:t>
      </w:r>
    </w:p>
  </w:footnote>
  <w:footnote w:id="12">
    <w:p w14:paraId="42B35164" w14:textId="77777777" w:rsidR="00A91FD4" w:rsidRPr="00F27EF8" w:rsidRDefault="00A91FD4" w:rsidP="007A429D">
      <w:pPr>
        <w:pStyle w:val="Textpoznpodarou"/>
        <w:ind w:left="284" w:hanging="284"/>
        <w:jc w:val="both"/>
        <w:rPr>
          <w:rFonts w:asciiTheme="minorHAnsi" w:hAnsiTheme="minorHAnsi" w:cstheme="minorHAnsi"/>
        </w:rPr>
      </w:pPr>
      <w:r w:rsidRPr="00F27EF8">
        <w:rPr>
          <w:rStyle w:val="Znakapoznpodarou"/>
          <w:rFonts w:asciiTheme="minorHAnsi" w:hAnsiTheme="minorHAnsi" w:cstheme="minorHAnsi"/>
        </w:rPr>
        <w:footnoteRef/>
      </w:r>
      <w:r w:rsidRPr="00F27EF8">
        <w:rPr>
          <w:rFonts w:asciiTheme="minorHAnsi" w:hAnsiTheme="minorHAnsi" w:cstheme="minorHAnsi"/>
        </w:rPr>
        <w:t xml:space="preserve"> </w:t>
      </w:r>
      <w:r w:rsidRPr="00F27EF8">
        <w:rPr>
          <w:rFonts w:asciiTheme="minorHAnsi" w:hAnsiTheme="minorHAnsi" w:cstheme="minorHAnsi"/>
        </w:rPr>
        <w:tab/>
      </w:r>
      <w:r w:rsidRPr="00F27EF8">
        <w:rPr>
          <w:rFonts w:asciiTheme="minorHAnsi" w:hAnsiTheme="minorHAnsi" w:cstheme="minorHAnsi"/>
          <w:i/>
        </w:rPr>
        <w:t>Strategie Ministerstva obrany ke zvýšení efektivnosti státních podniků</w:t>
      </w:r>
      <w:r w:rsidRPr="00F27EF8">
        <w:rPr>
          <w:rFonts w:asciiTheme="minorHAnsi" w:hAnsiTheme="minorHAnsi" w:cstheme="minorHAnsi"/>
        </w:rPr>
        <w:t xml:space="preserve"> schválená ministrem obrany dne 3. února 2015.</w:t>
      </w:r>
    </w:p>
  </w:footnote>
  <w:footnote w:id="13">
    <w:p w14:paraId="74464244" w14:textId="77777777" w:rsidR="00A91FD4" w:rsidRPr="00810A01" w:rsidRDefault="00A91FD4" w:rsidP="007A429D">
      <w:pPr>
        <w:pStyle w:val="Textpoznpodarou"/>
        <w:ind w:left="284" w:hanging="284"/>
        <w:jc w:val="both"/>
        <w:rPr>
          <w:rFonts w:asciiTheme="minorHAnsi" w:hAnsiTheme="minorHAnsi" w:cstheme="minorHAnsi"/>
        </w:rPr>
      </w:pPr>
      <w:r w:rsidRPr="00F27EF8">
        <w:rPr>
          <w:rStyle w:val="Znakapoznpodarou"/>
          <w:rFonts w:asciiTheme="minorHAnsi" w:hAnsiTheme="minorHAnsi" w:cstheme="minorHAnsi"/>
        </w:rPr>
        <w:footnoteRef/>
      </w:r>
      <w:r w:rsidRPr="00F27EF8">
        <w:rPr>
          <w:rFonts w:asciiTheme="minorHAnsi" w:hAnsiTheme="minorHAnsi" w:cstheme="minorHAnsi"/>
        </w:rPr>
        <w:t xml:space="preserve"> </w:t>
      </w:r>
      <w:r w:rsidRPr="00F27EF8">
        <w:rPr>
          <w:rFonts w:asciiTheme="minorHAnsi" w:hAnsiTheme="minorHAnsi" w:cstheme="minorHAnsi"/>
        </w:rPr>
        <w:tab/>
        <w:t xml:space="preserve">Podle </w:t>
      </w:r>
      <w:r w:rsidRPr="00F27EF8">
        <w:rPr>
          <w:rFonts w:asciiTheme="minorHAnsi" w:hAnsiTheme="minorHAnsi" w:cstheme="minorHAnsi"/>
          <w:i/>
        </w:rPr>
        <w:t>Střednědobé strategie VOP CZ, s.p. na roky 2015–2020</w:t>
      </w:r>
      <w:r w:rsidRPr="00810A01">
        <w:rPr>
          <w:rFonts w:asciiTheme="minorHAnsi" w:hAnsiTheme="minorHAnsi" w:cstheme="minorHAnsi"/>
        </w:rPr>
        <w:t>,</w:t>
      </w:r>
      <w:r w:rsidRPr="00F27EF8">
        <w:rPr>
          <w:rFonts w:asciiTheme="minorHAnsi" w:hAnsiTheme="minorHAnsi" w:cstheme="minorHAnsi"/>
          <w:i/>
        </w:rPr>
        <w:t xml:space="preserve"> Střednědobé strategie VOP CZ, s.p. na roky 2019–2023 </w:t>
      </w:r>
      <w:r w:rsidRPr="00F27EF8">
        <w:rPr>
          <w:rFonts w:asciiTheme="minorHAnsi" w:hAnsiTheme="minorHAnsi" w:cstheme="minorHAnsi"/>
        </w:rPr>
        <w:t>a </w:t>
      </w:r>
      <w:r w:rsidRPr="00F27EF8">
        <w:rPr>
          <w:rFonts w:asciiTheme="minorHAnsi" w:hAnsiTheme="minorHAnsi" w:cstheme="minorHAnsi"/>
          <w:i/>
        </w:rPr>
        <w:t>Strategie VOP CZ, s.p. na roky 2021–2025.</w:t>
      </w:r>
    </w:p>
  </w:footnote>
  <w:footnote w:id="14">
    <w:p w14:paraId="46691BD8" w14:textId="0367ADAF" w:rsidR="00A91FD4" w:rsidRPr="00810A01" w:rsidRDefault="00A91FD4" w:rsidP="00E068AB">
      <w:pPr>
        <w:pStyle w:val="Textpoznpodarou"/>
        <w:ind w:left="284" w:hanging="284"/>
        <w:jc w:val="both"/>
        <w:rPr>
          <w:rFonts w:asciiTheme="minorHAnsi" w:hAnsiTheme="minorHAnsi" w:cstheme="minorHAnsi"/>
        </w:rPr>
      </w:pPr>
      <w:r w:rsidRPr="00810A01">
        <w:rPr>
          <w:rStyle w:val="Znakapoznpodarou"/>
          <w:rFonts w:asciiTheme="minorHAnsi" w:hAnsiTheme="minorHAnsi" w:cstheme="minorHAnsi"/>
        </w:rPr>
        <w:footnoteRef/>
      </w:r>
      <w:r w:rsidRPr="00810A01">
        <w:rPr>
          <w:rFonts w:asciiTheme="minorHAnsi" w:hAnsiTheme="minorHAnsi" w:cstheme="minorHAnsi"/>
        </w:rPr>
        <w:t xml:space="preserve"> </w:t>
      </w:r>
      <w:r w:rsidRPr="00810A01">
        <w:rPr>
          <w:rFonts w:asciiTheme="minorHAnsi" w:hAnsiTheme="minorHAnsi" w:cstheme="minorHAnsi"/>
        </w:rPr>
        <w:tab/>
        <w:t xml:space="preserve">Podle </w:t>
      </w:r>
      <w:r w:rsidRPr="00810A01">
        <w:rPr>
          <w:rFonts w:asciiTheme="minorHAnsi" w:hAnsiTheme="minorHAnsi" w:cstheme="minorHAnsi"/>
          <w:i/>
        </w:rPr>
        <w:t>Strategie vlastnické politiky státu</w:t>
      </w:r>
      <w:r w:rsidRPr="00810A01">
        <w:rPr>
          <w:rFonts w:asciiTheme="minorHAnsi" w:hAnsiTheme="minorHAnsi" w:cstheme="minorHAnsi"/>
        </w:rPr>
        <w:t xml:space="preserve">, </w:t>
      </w:r>
      <w:r>
        <w:rPr>
          <w:rFonts w:asciiTheme="minorHAnsi" w:hAnsiTheme="minorHAnsi" w:cstheme="minorHAnsi"/>
        </w:rPr>
        <w:t xml:space="preserve">která byla </w:t>
      </w:r>
      <w:r w:rsidRPr="00810A01">
        <w:rPr>
          <w:rFonts w:asciiTheme="minorHAnsi" w:hAnsiTheme="minorHAnsi" w:cstheme="minorHAnsi"/>
        </w:rPr>
        <w:t>schválen</w:t>
      </w:r>
      <w:r>
        <w:rPr>
          <w:rFonts w:asciiTheme="minorHAnsi" w:hAnsiTheme="minorHAnsi" w:cstheme="minorHAnsi"/>
        </w:rPr>
        <w:t>a</w:t>
      </w:r>
      <w:r w:rsidRPr="00810A01">
        <w:rPr>
          <w:rFonts w:asciiTheme="minorHAnsi" w:hAnsiTheme="minorHAnsi" w:cstheme="minorHAnsi"/>
        </w:rPr>
        <w:t xml:space="preserve"> usnesením vlády České republiky ze dne 17.</w:t>
      </w:r>
      <w:r>
        <w:rPr>
          <w:rFonts w:asciiTheme="minorHAnsi" w:hAnsiTheme="minorHAnsi" w:cstheme="minorHAnsi"/>
        </w:rPr>
        <w:t> </w:t>
      </w:r>
      <w:r w:rsidRPr="00810A01">
        <w:rPr>
          <w:rFonts w:asciiTheme="minorHAnsi" w:hAnsiTheme="minorHAnsi" w:cstheme="minorHAnsi"/>
        </w:rPr>
        <w:t xml:space="preserve">února 2020 č. 115, </w:t>
      </w:r>
      <w:r w:rsidRPr="00810A01">
        <w:rPr>
          <w:rFonts w:asciiTheme="minorHAnsi" w:hAnsiTheme="minorHAnsi" w:cstheme="minorHAnsi"/>
          <w:i/>
        </w:rPr>
        <w:t>o Strategii vlastnické politiky státu</w:t>
      </w:r>
      <w:r w:rsidRPr="00810A01">
        <w:rPr>
          <w:rFonts w:asciiTheme="minorHAnsi" w:hAnsiTheme="minorHAnsi" w:cstheme="minorHAnsi"/>
        </w:rPr>
        <w:t>.</w:t>
      </w:r>
    </w:p>
  </w:footnote>
  <w:footnote w:id="15">
    <w:p w14:paraId="495E1219" w14:textId="3B7EC18E" w:rsidR="00A91FD4" w:rsidRPr="00F27EF8" w:rsidRDefault="00A91FD4" w:rsidP="002A0814">
      <w:pPr>
        <w:pStyle w:val="Textpoznpodarou"/>
        <w:ind w:left="284" w:hanging="284"/>
        <w:jc w:val="both"/>
        <w:rPr>
          <w:rFonts w:asciiTheme="minorHAnsi" w:hAnsiTheme="minorHAnsi" w:cstheme="minorHAnsi"/>
        </w:rPr>
      </w:pPr>
      <w:r w:rsidRPr="00F27EF8">
        <w:rPr>
          <w:rStyle w:val="Znakapoznpodarou"/>
          <w:rFonts w:asciiTheme="minorHAnsi" w:hAnsiTheme="minorHAnsi" w:cstheme="minorHAnsi"/>
        </w:rPr>
        <w:footnoteRef/>
      </w:r>
      <w:r w:rsidRPr="00F27EF8">
        <w:rPr>
          <w:rFonts w:asciiTheme="minorHAnsi" w:hAnsiTheme="minorHAnsi" w:cstheme="minorHAnsi"/>
        </w:rPr>
        <w:t xml:space="preserve"> </w:t>
      </w:r>
      <w:r w:rsidRPr="00F27EF8">
        <w:rPr>
          <w:rFonts w:asciiTheme="minorHAnsi" w:hAnsiTheme="minorHAnsi" w:cstheme="minorHAnsi"/>
        </w:rPr>
        <w:tab/>
        <w:t xml:space="preserve">Vlastní kapitál podniku zahrnuje vlastní zdroje financování podniku, například vložený kapitál nebo nerozdělený zisk </w:t>
      </w:r>
      <w:r>
        <w:rPr>
          <w:rFonts w:asciiTheme="minorHAnsi" w:hAnsiTheme="minorHAnsi" w:cstheme="minorHAnsi"/>
        </w:rPr>
        <w:t>z minulých let</w:t>
      </w:r>
      <w:r w:rsidRPr="00F27EF8">
        <w:rPr>
          <w:rFonts w:asciiTheme="minorHAnsi" w:hAnsiTheme="minorHAnsi" w:cstheme="minorHAnsi"/>
        </w:rPr>
        <w:t>.</w:t>
      </w:r>
    </w:p>
  </w:footnote>
  <w:footnote w:id="16">
    <w:p w14:paraId="38E920C0" w14:textId="77777777" w:rsidR="00A91FD4" w:rsidRPr="00F27EF8" w:rsidRDefault="00A91FD4">
      <w:pPr>
        <w:pStyle w:val="Textpoznpodarou"/>
        <w:rPr>
          <w:rFonts w:asciiTheme="minorHAnsi" w:hAnsiTheme="minorHAnsi" w:cstheme="minorHAnsi"/>
        </w:rPr>
      </w:pPr>
      <w:r w:rsidRPr="00F27EF8">
        <w:rPr>
          <w:rStyle w:val="Znakapoznpodarou"/>
          <w:rFonts w:asciiTheme="minorHAnsi" w:hAnsiTheme="minorHAnsi" w:cstheme="minorHAnsi"/>
        </w:rPr>
        <w:footnoteRef/>
      </w:r>
      <w:r w:rsidRPr="00F27EF8">
        <w:rPr>
          <w:rFonts w:asciiTheme="minorHAnsi" w:hAnsiTheme="minorHAnsi" w:cstheme="minorHAnsi"/>
        </w:rPr>
        <w:t xml:space="preserve"> </w:t>
      </w:r>
      <w:r w:rsidRPr="00F27EF8">
        <w:rPr>
          <w:rFonts w:asciiTheme="minorHAnsi" w:hAnsiTheme="minorHAnsi" w:cstheme="minorHAnsi"/>
        </w:rPr>
        <w:tab/>
        <w:t xml:space="preserve">Údaj dostupný na: </w:t>
      </w:r>
      <w:hyperlink r:id="rId1" w:history="1">
        <w:r w:rsidRPr="00F27EF8">
          <w:rPr>
            <w:rStyle w:val="Hypertextovodkaz"/>
            <w:rFonts w:asciiTheme="minorHAnsi" w:hAnsiTheme="minorHAnsi" w:cstheme="minorHAnsi"/>
          </w:rPr>
          <w:t>www.army.cz</w:t>
        </w:r>
      </w:hyperlink>
      <w:r w:rsidRPr="00F27EF8">
        <w:rPr>
          <w:rFonts w:asciiTheme="minorHAnsi" w:hAnsiTheme="minorHAnsi" w:cstheme="minorHAnsi"/>
        </w:rPr>
        <w:t xml:space="preserve"> – stav ke dni 8. března 2023.</w:t>
      </w:r>
    </w:p>
  </w:footnote>
  <w:footnote w:id="17">
    <w:p w14:paraId="629A2D28" w14:textId="77777777" w:rsidR="00A91FD4" w:rsidRPr="00F74B44" w:rsidRDefault="00A91FD4" w:rsidP="00F74B44">
      <w:pPr>
        <w:pStyle w:val="Textpoznpodarou"/>
        <w:ind w:left="284" w:hanging="284"/>
        <w:jc w:val="both"/>
        <w:rPr>
          <w:rFonts w:asciiTheme="minorHAnsi" w:hAnsiTheme="minorHAnsi" w:cstheme="minorHAnsi"/>
        </w:rPr>
      </w:pPr>
      <w:r w:rsidRPr="00F74B44">
        <w:rPr>
          <w:rStyle w:val="Znakapoznpodarou"/>
          <w:rFonts w:asciiTheme="minorHAnsi" w:hAnsiTheme="minorHAnsi" w:cstheme="minorHAnsi"/>
        </w:rPr>
        <w:footnoteRef/>
      </w:r>
      <w:r w:rsidRPr="00F74B44">
        <w:rPr>
          <w:rFonts w:asciiTheme="minorHAnsi" w:hAnsiTheme="minorHAnsi" w:cstheme="minorHAnsi"/>
        </w:rPr>
        <w:t xml:space="preserve"> </w:t>
      </w:r>
      <w:r>
        <w:rPr>
          <w:rFonts w:asciiTheme="minorHAnsi" w:hAnsiTheme="minorHAnsi" w:cstheme="minorHAnsi"/>
        </w:rPr>
        <w:tab/>
      </w:r>
      <w:r w:rsidRPr="00F74B44">
        <w:rPr>
          <w:rFonts w:asciiTheme="minorHAnsi" w:hAnsiTheme="minorHAnsi" w:cstheme="minorHAnsi"/>
        </w:rPr>
        <w:t xml:space="preserve">MO na program 107 690 vynaložilo v letech 2018–2021 ze státního rozpočtu celkem 4 303,6 mil. Kč, což činilo cca 90 % peněžních prostředků plánovaných v dokumentaci </w:t>
      </w:r>
      <w:r w:rsidRPr="0088636A">
        <w:rPr>
          <w:rFonts w:asciiTheme="minorHAnsi" w:hAnsiTheme="minorHAnsi" w:cstheme="minorHAnsi"/>
        </w:rPr>
        <w:t>programu (příloha č. 2).</w:t>
      </w:r>
    </w:p>
  </w:footnote>
  <w:footnote w:id="18">
    <w:p w14:paraId="4FC33557" w14:textId="77777777" w:rsidR="00A91FD4" w:rsidRPr="00E049C8" w:rsidRDefault="00A91FD4" w:rsidP="00C67212">
      <w:pPr>
        <w:pStyle w:val="Textpoznpodarou"/>
        <w:rPr>
          <w:rFonts w:asciiTheme="minorHAnsi" w:hAnsiTheme="minorHAnsi" w:cstheme="minorHAnsi"/>
        </w:rPr>
      </w:pPr>
      <w:r w:rsidRPr="00E049C8">
        <w:rPr>
          <w:rStyle w:val="Znakapoznpodarou"/>
          <w:rFonts w:asciiTheme="minorHAnsi" w:hAnsiTheme="minorHAnsi" w:cstheme="minorHAnsi"/>
        </w:rPr>
        <w:footnoteRef/>
      </w:r>
      <w:r w:rsidRPr="00E049C8">
        <w:rPr>
          <w:rFonts w:asciiTheme="minorHAnsi" w:hAnsiTheme="minorHAnsi" w:cstheme="minorHAnsi"/>
        </w:rPr>
        <w:t xml:space="preserve"> </w:t>
      </w:r>
      <w:r w:rsidRPr="00E049C8">
        <w:rPr>
          <w:rFonts w:asciiTheme="minorHAnsi" w:hAnsiTheme="minorHAnsi" w:cstheme="minorHAnsi"/>
        </w:rPr>
        <w:tab/>
      </w:r>
      <w:bookmarkStart w:id="11" w:name="_Hlk127954797"/>
      <w:r w:rsidRPr="00E049C8">
        <w:rPr>
          <w:rFonts w:asciiTheme="minorHAnsi" w:hAnsiTheme="minorHAnsi" w:cstheme="minorHAnsi"/>
          <w:i/>
          <w:lang w:val="en-US"/>
        </w:rPr>
        <w:t>North Atlantic Treaty Organization</w:t>
      </w:r>
      <w:r w:rsidRPr="00E049C8">
        <w:rPr>
          <w:rFonts w:asciiTheme="minorHAnsi" w:hAnsiTheme="minorHAnsi" w:cstheme="minorHAnsi"/>
          <w:i/>
        </w:rPr>
        <w:t xml:space="preserve"> </w:t>
      </w:r>
      <w:r w:rsidRPr="00E049C8">
        <w:rPr>
          <w:rFonts w:asciiTheme="minorHAnsi" w:hAnsiTheme="minorHAnsi" w:cstheme="minorHAnsi"/>
        </w:rPr>
        <w:t>(Severoatlantická aliance).</w:t>
      </w:r>
    </w:p>
    <w:bookmarkEnd w:id="11"/>
  </w:footnote>
  <w:footnote w:id="19">
    <w:p w14:paraId="0EE23455" w14:textId="77777777" w:rsidR="00A91FD4" w:rsidRPr="00D13D51" w:rsidRDefault="00A91FD4" w:rsidP="00C67212">
      <w:pPr>
        <w:pStyle w:val="Textpoznpodarou"/>
        <w:tabs>
          <w:tab w:val="left" w:pos="284"/>
        </w:tabs>
        <w:jc w:val="both"/>
        <w:rPr>
          <w:rFonts w:asciiTheme="minorHAnsi" w:hAnsiTheme="minorHAnsi" w:cstheme="minorHAnsi"/>
        </w:rPr>
      </w:pPr>
      <w:r w:rsidRPr="00E049C8">
        <w:rPr>
          <w:rStyle w:val="Znakapoznpodarou"/>
          <w:rFonts w:asciiTheme="minorHAnsi" w:hAnsiTheme="minorHAnsi" w:cstheme="minorHAnsi"/>
        </w:rPr>
        <w:footnoteRef/>
      </w:r>
      <w:r w:rsidRPr="00E049C8">
        <w:rPr>
          <w:rFonts w:asciiTheme="minorHAnsi" w:hAnsiTheme="minorHAnsi" w:cstheme="minorHAnsi"/>
        </w:rPr>
        <w:t xml:space="preserve"> </w:t>
      </w:r>
      <w:r w:rsidRPr="00E049C8">
        <w:rPr>
          <w:rFonts w:asciiTheme="minorHAnsi" w:hAnsiTheme="minorHAnsi" w:cstheme="minorHAnsi"/>
        </w:rPr>
        <w:tab/>
        <w:t>Zákon č. 134</w:t>
      </w:r>
      <w:r w:rsidRPr="00727051">
        <w:rPr>
          <w:rFonts w:asciiTheme="minorHAnsi" w:hAnsiTheme="minorHAnsi" w:cstheme="minorHAnsi"/>
        </w:rPr>
        <w:t>/2016 Sb., o zadávání veřejných zakázek</w:t>
      </w:r>
      <w:r>
        <w:rPr>
          <w:rFonts w:asciiTheme="minorHAnsi" w:hAnsiTheme="minorHAnsi" w:cstheme="minorHAnsi"/>
        </w:rPr>
        <w:t>; případně z</w:t>
      </w:r>
      <w:r w:rsidRPr="00727051">
        <w:rPr>
          <w:rFonts w:asciiTheme="minorHAnsi" w:hAnsiTheme="minorHAnsi" w:cstheme="minorHAnsi"/>
        </w:rPr>
        <w:t>ákon č. 137/2006 Sb., o veřejných zakázkách.</w:t>
      </w:r>
    </w:p>
  </w:footnote>
  <w:footnote w:id="20">
    <w:p w14:paraId="5B1618C8" w14:textId="48B12811" w:rsidR="00A91FD4" w:rsidRPr="001B5373" w:rsidRDefault="00A91FD4">
      <w:pPr>
        <w:pStyle w:val="Textpoznpodarou"/>
        <w:rPr>
          <w:rFonts w:asciiTheme="minorHAnsi" w:hAnsiTheme="minorHAnsi" w:cstheme="minorHAnsi"/>
        </w:rPr>
      </w:pPr>
      <w:r w:rsidRPr="001B5373">
        <w:rPr>
          <w:rStyle w:val="Znakapoznpodarou"/>
          <w:rFonts w:asciiTheme="minorHAnsi" w:hAnsiTheme="minorHAnsi" w:cstheme="minorHAnsi"/>
        </w:rPr>
        <w:footnoteRef/>
      </w:r>
      <w:r w:rsidRPr="001B5373">
        <w:rPr>
          <w:rFonts w:asciiTheme="minorHAnsi" w:hAnsiTheme="minorHAnsi" w:cstheme="minorHAnsi"/>
        </w:rPr>
        <w:t xml:space="preserve"> </w:t>
      </w:r>
      <w:r>
        <w:rPr>
          <w:rFonts w:asciiTheme="minorHAnsi" w:hAnsiTheme="minorHAnsi" w:cstheme="minorHAnsi"/>
        </w:rPr>
        <w:tab/>
        <w:t>Zákon č. 77/1997 Sb., o státním podniku.</w:t>
      </w:r>
    </w:p>
  </w:footnote>
  <w:footnote w:id="21">
    <w:p w14:paraId="16FE5FAC" w14:textId="02D0E800" w:rsidR="00A91FD4" w:rsidRPr="00CC32F1" w:rsidRDefault="00A91FD4" w:rsidP="00E835FE">
      <w:pPr>
        <w:pStyle w:val="Textpoznpodarou"/>
        <w:ind w:left="284" w:hanging="284"/>
        <w:jc w:val="both"/>
        <w:rPr>
          <w:rFonts w:ascii="Calibri" w:hAnsi="Calibri" w:cs="Calibri"/>
        </w:rPr>
      </w:pPr>
      <w:r w:rsidRPr="00CC32F1">
        <w:rPr>
          <w:rStyle w:val="Znakapoznpodarou"/>
          <w:rFonts w:ascii="Calibri" w:hAnsi="Calibri" w:cs="Calibri"/>
        </w:rPr>
        <w:footnoteRef/>
      </w:r>
      <w:r w:rsidRPr="00CC32F1">
        <w:rPr>
          <w:rFonts w:ascii="Calibri" w:hAnsi="Calibri" w:cs="Calibri"/>
        </w:rPr>
        <w:tab/>
        <w:t>Zakládací listina VOP CZ</w:t>
      </w:r>
      <w:r>
        <w:rPr>
          <w:rFonts w:ascii="Calibri" w:hAnsi="Calibri" w:cs="Calibri"/>
        </w:rPr>
        <w:t>,</w:t>
      </w:r>
      <w:r w:rsidRPr="00CC32F1">
        <w:rPr>
          <w:rFonts w:ascii="Calibri" w:hAnsi="Calibri" w:cs="Calibri"/>
        </w:rPr>
        <w:t xml:space="preserve"> s.p., ze dne 9. března 2016 čj. 49-8/2016-1150, </w:t>
      </w:r>
      <w:r>
        <w:rPr>
          <w:rFonts w:ascii="Calibri" w:hAnsi="Calibri" w:cs="Calibri"/>
        </w:rPr>
        <w:t>z</w:t>
      </w:r>
      <w:r w:rsidRPr="00CC32F1">
        <w:rPr>
          <w:rFonts w:ascii="Calibri" w:hAnsi="Calibri" w:cs="Calibri"/>
        </w:rPr>
        <w:t>akládací listina VOP CZ, s.p.</w:t>
      </w:r>
      <w:r>
        <w:rPr>
          <w:rFonts w:ascii="Calibri" w:hAnsi="Calibri" w:cs="Calibri"/>
        </w:rPr>
        <w:t>,</w:t>
      </w:r>
      <w:r w:rsidRPr="00CC32F1">
        <w:rPr>
          <w:rFonts w:ascii="Calibri" w:hAnsi="Calibri" w:cs="Calibri"/>
        </w:rPr>
        <w:t xml:space="preserve"> ze dne 26. listopadu 2019 čj. MO 301192/2019-7460</w:t>
      </w:r>
      <w:r>
        <w:rPr>
          <w:rFonts w:ascii="Calibri" w:hAnsi="Calibri" w:cs="Calibri"/>
        </w:rPr>
        <w:t>,</w:t>
      </w:r>
      <w:r w:rsidRPr="00CC32F1">
        <w:rPr>
          <w:rFonts w:ascii="Calibri" w:hAnsi="Calibri" w:cs="Calibri"/>
        </w:rPr>
        <w:t xml:space="preserve"> </w:t>
      </w:r>
      <w:r>
        <w:rPr>
          <w:rFonts w:ascii="Calibri" w:hAnsi="Calibri" w:cs="Calibri"/>
        </w:rPr>
        <w:t>s</w:t>
      </w:r>
      <w:r w:rsidRPr="00CC32F1">
        <w:rPr>
          <w:rFonts w:ascii="Calibri" w:hAnsi="Calibri" w:cs="Calibri"/>
        </w:rPr>
        <w:t>p. zn. SpMO 45808/2019-7460.</w:t>
      </w:r>
    </w:p>
  </w:footnote>
  <w:footnote w:id="22">
    <w:p w14:paraId="37A90534" w14:textId="77777777" w:rsidR="00A91FD4" w:rsidRPr="000A5B3B" w:rsidRDefault="00A91FD4" w:rsidP="000A5B3B">
      <w:pPr>
        <w:pStyle w:val="Textpoznpodarou"/>
        <w:ind w:left="284" w:hanging="284"/>
        <w:jc w:val="both"/>
        <w:rPr>
          <w:rFonts w:asciiTheme="minorHAnsi" w:hAnsiTheme="minorHAnsi" w:cstheme="minorHAnsi"/>
        </w:rPr>
      </w:pPr>
      <w:r w:rsidRPr="000A5B3B">
        <w:rPr>
          <w:rStyle w:val="Znakapoznpodarou"/>
          <w:rFonts w:asciiTheme="minorHAnsi" w:hAnsiTheme="minorHAnsi" w:cstheme="minorHAnsi"/>
        </w:rPr>
        <w:footnoteRef/>
      </w:r>
      <w:r w:rsidRPr="000A5B3B">
        <w:rPr>
          <w:rFonts w:asciiTheme="minorHAnsi" w:hAnsiTheme="minorHAnsi" w:cstheme="minorHAnsi"/>
        </w:rPr>
        <w:t xml:space="preserve"> </w:t>
      </w:r>
      <w:r>
        <w:rPr>
          <w:rFonts w:asciiTheme="minorHAnsi" w:hAnsiTheme="minorHAnsi" w:cstheme="minorHAnsi"/>
        </w:rPr>
        <w:tab/>
        <w:t>Celkem 46 realizovaných dílčích plnění, zejména běžných oprav osobních terénních automobilů, jeřábové techniky a středních nákladních terénních automobilů na jednotném podvozku.</w:t>
      </w:r>
    </w:p>
  </w:footnote>
  <w:footnote w:id="23">
    <w:p w14:paraId="6A396CD0" w14:textId="77777777" w:rsidR="00A91FD4" w:rsidRPr="00276274" w:rsidRDefault="00A91FD4">
      <w:pPr>
        <w:pStyle w:val="Textpoznpodarou"/>
        <w:rPr>
          <w:rFonts w:asciiTheme="minorHAnsi" w:hAnsiTheme="minorHAnsi" w:cstheme="minorHAnsi"/>
        </w:rPr>
      </w:pPr>
      <w:r w:rsidRPr="00276274">
        <w:rPr>
          <w:rStyle w:val="Znakapoznpodarou"/>
          <w:rFonts w:asciiTheme="minorHAnsi" w:hAnsiTheme="minorHAnsi" w:cstheme="minorHAnsi"/>
        </w:rPr>
        <w:footnoteRef/>
      </w:r>
      <w:r w:rsidRPr="00276274">
        <w:rPr>
          <w:rFonts w:asciiTheme="minorHAnsi" w:hAnsiTheme="minorHAnsi" w:cstheme="minorHAnsi"/>
        </w:rPr>
        <w:t xml:space="preserve"> </w:t>
      </w:r>
      <w:r>
        <w:rPr>
          <w:rFonts w:asciiTheme="minorHAnsi" w:hAnsiTheme="minorHAnsi" w:cstheme="minorHAnsi"/>
        </w:rPr>
        <w:tab/>
        <w:t>Zákon č. 77/1997 Sb., o státním podniku.</w:t>
      </w:r>
    </w:p>
  </w:footnote>
  <w:footnote w:id="24">
    <w:p w14:paraId="381047FF" w14:textId="77777777" w:rsidR="00A91FD4" w:rsidRPr="00BD7452" w:rsidRDefault="00A91FD4">
      <w:pPr>
        <w:pStyle w:val="Textpoznpodarou"/>
        <w:rPr>
          <w:rFonts w:asciiTheme="minorHAnsi" w:hAnsiTheme="minorHAnsi" w:cstheme="minorHAnsi"/>
        </w:rPr>
      </w:pPr>
      <w:r w:rsidRPr="0031193D">
        <w:rPr>
          <w:rStyle w:val="Znakapoznpodarou"/>
          <w:rFonts w:asciiTheme="minorHAnsi" w:hAnsiTheme="minorHAnsi" w:cstheme="minorHAnsi"/>
        </w:rPr>
        <w:footnoteRef/>
      </w:r>
      <w:r w:rsidRPr="0031193D">
        <w:rPr>
          <w:rFonts w:asciiTheme="minorHAnsi" w:hAnsiTheme="minorHAnsi" w:cstheme="minorHAnsi"/>
        </w:rPr>
        <w:t xml:space="preserve"> </w:t>
      </w:r>
      <w:r>
        <w:rPr>
          <w:rFonts w:asciiTheme="minorHAnsi" w:hAnsiTheme="minorHAnsi" w:cstheme="minorHAnsi"/>
        </w:rPr>
        <w:tab/>
        <w:t>Zákon č. 137/2006 Sb</w:t>
      </w:r>
      <w:r w:rsidRPr="00BD7452">
        <w:rPr>
          <w:rFonts w:asciiTheme="minorHAnsi" w:hAnsiTheme="minorHAnsi" w:cstheme="minorHAnsi"/>
        </w:rPr>
        <w:t>., o veřejných zakázkách.</w:t>
      </w:r>
    </w:p>
  </w:footnote>
  <w:footnote w:id="25">
    <w:p w14:paraId="63A6D2B5" w14:textId="77777777" w:rsidR="00A91FD4" w:rsidRPr="00BD7452" w:rsidRDefault="00A91FD4">
      <w:pPr>
        <w:pStyle w:val="Textpoznpodarou"/>
        <w:rPr>
          <w:rFonts w:asciiTheme="minorHAnsi" w:hAnsiTheme="minorHAnsi" w:cstheme="minorHAnsi"/>
        </w:rPr>
      </w:pPr>
      <w:r w:rsidRPr="00BD7452">
        <w:rPr>
          <w:rStyle w:val="Znakapoznpodarou"/>
          <w:rFonts w:asciiTheme="minorHAnsi" w:hAnsiTheme="minorHAnsi" w:cstheme="minorHAnsi"/>
        </w:rPr>
        <w:footnoteRef/>
      </w:r>
      <w:r w:rsidRPr="00BD7452">
        <w:rPr>
          <w:rFonts w:asciiTheme="minorHAnsi" w:hAnsiTheme="minorHAnsi" w:cstheme="minorHAnsi"/>
        </w:rPr>
        <w:t xml:space="preserve"> </w:t>
      </w:r>
      <w:r w:rsidRPr="00BD7452">
        <w:rPr>
          <w:rFonts w:asciiTheme="minorHAnsi" w:hAnsiTheme="minorHAnsi" w:cstheme="minorHAnsi"/>
        </w:rPr>
        <w:tab/>
        <w:t>Zákon č. 134/2016 Sb., o zadávání veřejných zakázek.</w:t>
      </w:r>
    </w:p>
  </w:footnote>
  <w:footnote w:id="26">
    <w:p w14:paraId="11EE5820" w14:textId="77777777" w:rsidR="00A91FD4" w:rsidRPr="00BD7452" w:rsidRDefault="00A91FD4" w:rsidP="0031193D">
      <w:pPr>
        <w:pStyle w:val="Textpoznpodarou"/>
        <w:ind w:left="284" w:hanging="284"/>
        <w:jc w:val="both"/>
        <w:rPr>
          <w:rFonts w:asciiTheme="minorHAnsi" w:hAnsiTheme="minorHAnsi" w:cstheme="minorHAnsi"/>
        </w:rPr>
      </w:pPr>
      <w:r w:rsidRPr="00BD7452">
        <w:rPr>
          <w:rStyle w:val="Znakapoznpodarou"/>
          <w:rFonts w:asciiTheme="minorHAnsi" w:hAnsiTheme="minorHAnsi" w:cstheme="minorHAnsi"/>
        </w:rPr>
        <w:footnoteRef/>
      </w:r>
      <w:r w:rsidRPr="00BD7452">
        <w:rPr>
          <w:rFonts w:asciiTheme="minorHAnsi" w:hAnsiTheme="minorHAnsi" w:cstheme="minorHAnsi"/>
        </w:rPr>
        <w:t xml:space="preserve"> </w:t>
      </w:r>
      <w:r w:rsidRPr="00BD7452">
        <w:rPr>
          <w:rFonts w:asciiTheme="minorHAnsi" w:hAnsiTheme="minorHAnsi" w:cstheme="minorHAnsi"/>
        </w:rPr>
        <w:tab/>
        <w:t>Zákon č. 218/2000 Sb., o rozpočtových pravidlech a o změně některých souvisejících zákonů (rozpočtová pravidla).</w:t>
      </w:r>
    </w:p>
  </w:footnote>
  <w:footnote w:id="27">
    <w:p w14:paraId="7FB78C74" w14:textId="77777777" w:rsidR="00A91FD4" w:rsidRPr="00BD7452" w:rsidRDefault="00A91FD4">
      <w:pPr>
        <w:pStyle w:val="Textpoznpodarou"/>
        <w:rPr>
          <w:rFonts w:asciiTheme="minorHAnsi" w:hAnsiTheme="minorHAnsi" w:cstheme="minorHAnsi"/>
        </w:rPr>
      </w:pPr>
      <w:r w:rsidRPr="00BD7452">
        <w:rPr>
          <w:rStyle w:val="Znakapoznpodarou"/>
          <w:rFonts w:asciiTheme="minorHAnsi" w:hAnsiTheme="minorHAnsi" w:cstheme="minorHAnsi"/>
        </w:rPr>
        <w:footnoteRef/>
      </w:r>
      <w:r w:rsidRPr="00BD7452">
        <w:rPr>
          <w:rFonts w:asciiTheme="minorHAnsi" w:hAnsiTheme="minorHAnsi" w:cstheme="minorHAnsi"/>
        </w:rPr>
        <w:t xml:space="preserve"> </w:t>
      </w:r>
      <w:r w:rsidRPr="00BD7452">
        <w:rPr>
          <w:rFonts w:asciiTheme="minorHAnsi" w:hAnsiTheme="minorHAnsi" w:cstheme="minorHAnsi"/>
        </w:rPr>
        <w:tab/>
        <w:t>Zákon č. 219/2000 Sb., o majetku České republiky a jejím vystupování v právních vztazích.</w:t>
      </w:r>
    </w:p>
  </w:footnote>
  <w:footnote w:id="28">
    <w:p w14:paraId="3F942D42" w14:textId="77777777" w:rsidR="00A91FD4" w:rsidRPr="00BD7452" w:rsidRDefault="00A91FD4" w:rsidP="0002419B">
      <w:pPr>
        <w:pStyle w:val="Textpoznpodarou"/>
        <w:tabs>
          <w:tab w:val="left" w:pos="284"/>
        </w:tabs>
        <w:rPr>
          <w:rFonts w:asciiTheme="minorHAnsi" w:hAnsiTheme="minorHAnsi" w:cstheme="minorHAnsi"/>
        </w:rPr>
      </w:pPr>
      <w:r w:rsidRPr="00BD7452">
        <w:rPr>
          <w:rStyle w:val="Znakapoznpodarou"/>
          <w:rFonts w:asciiTheme="minorHAnsi" w:hAnsiTheme="minorHAnsi" w:cstheme="minorHAnsi"/>
        </w:rPr>
        <w:footnoteRef/>
      </w:r>
      <w:r w:rsidRPr="00BD7452">
        <w:rPr>
          <w:rFonts w:asciiTheme="minorHAnsi" w:hAnsiTheme="minorHAnsi" w:cstheme="minorHAnsi"/>
        </w:rPr>
        <w:t xml:space="preserve"> </w:t>
      </w:r>
      <w:r w:rsidRPr="00BD7452">
        <w:rPr>
          <w:rFonts w:asciiTheme="minorHAnsi" w:hAnsiTheme="minorHAnsi" w:cstheme="minorHAnsi"/>
        </w:rPr>
        <w:tab/>
        <w:t>Zákon č. 89/2012 Sb., občanský zákoník.</w:t>
      </w:r>
    </w:p>
  </w:footnote>
  <w:footnote w:id="29">
    <w:p w14:paraId="32992534" w14:textId="77777777" w:rsidR="00A91FD4" w:rsidRPr="00F653B8" w:rsidRDefault="00A91FD4">
      <w:pPr>
        <w:pStyle w:val="Textpoznpodarou"/>
        <w:rPr>
          <w:rFonts w:asciiTheme="minorHAnsi" w:hAnsiTheme="minorHAnsi" w:cstheme="minorHAnsi"/>
        </w:rPr>
      </w:pPr>
      <w:r w:rsidRPr="00F653B8">
        <w:rPr>
          <w:rStyle w:val="Znakapoznpodarou"/>
          <w:rFonts w:asciiTheme="minorHAnsi" w:hAnsiTheme="minorHAnsi" w:cstheme="minorHAnsi"/>
        </w:rPr>
        <w:footnoteRef/>
      </w:r>
      <w:r w:rsidRPr="00F653B8">
        <w:rPr>
          <w:rFonts w:asciiTheme="minorHAnsi" w:hAnsiTheme="minorHAnsi" w:cstheme="minorHAnsi"/>
        </w:rPr>
        <w:t xml:space="preserve"> </w:t>
      </w:r>
      <w:r w:rsidRPr="00F653B8">
        <w:rPr>
          <w:rFonts w:asciiTheme="minorHAnsi" w:hAnsiTheme="minorHAnsi" w:cstheme="minorHAnsi"/>
        </w:rPr>
        <w:tab/>
        <w:t>Vyhláška</w:t>
      </w:r>
      <w:r>
        <w:rPr>
          <w:rFonts w:asciiTheme="minorHAnsi" w:hAnsiTheme="minorHAnsi" w:cstheme="minorHAnsi"/>
        </w:rPr>
        <w:t xml:space="preserve"> č. 560/2006 Sb</w:t>
      </w:r>
      <w:r w:rsidRPr="001C196C">
        <w:rPr>
          <w:rFonts w:asciiTheme="minorHAnsi" w:hAnsiTheme="minorHAnsi" w:cstheme="minorHAnsi"/>
        </w:rPr>
        <w:t>., o účasti státního rozpočtu na financování programů reprodukce majetku.</w:t>
      </w:r>
    </w:p>
  </w:footnote>
  <w:footnote w:id="30">
    <w:p w14:paraId="659E2EFA" w14:textId="77777777" w:rsidR="00A91FD4" w:rsidRPr="00BD7452" w:rsidRDefault="00A91FD4" w:rsidP="00EA47EC">
      <w:pPr>
        <w:pStyle w:val="Textpoznpodarou"/>
        <w:tabs>
          <w:tab w:val="left" w:pos="284"/>
        </w:tabs>
        <w:ind w:left="284" w:hanging="284"/>
        <w:jc w:val="both"/>
        <w:rPr>
          <w:rFonts w:asciiTheme="minorHAnsi" w:hAnsiTheme="minorHAnsi" w:cstheme="minorHAnsi"/>
        </w:rPr>
      </w:pPr>
      <w:r w:rsidRPr="00BD7452">
        <w:rPr>
          <w:rStyle w:val="Znakapoznpodarou"/>
          <w:rFonts w:asciiTheme="minorHAnsi" w:hAnsiTheme="minorHAnsi" w:cstheme="minorHAnsi"/>
        </w:rPr>
        <w:footnoteRef/>
      </w:r>
      <w:r w:rsidRPr="00BD7452">
        <w:rPr>
          <w:rFonts w:asciiTheme="minorHAnsi" w:hAnsiTheme="minorHAnsi" w:cstheme="minorHAnsi"/>
        </w:rPr>
        <w:t xml:space="preserve"> </w:t>
      </w:r>
      <w:r w:rsidRPr="00BD7452">
        <w:rPr>
          <w:rFonts w:asciiTheme="minorHAnsi" w:hAnsiTheme="minorHAnsi" w:cstheme="minorHAnsi"/>
        </w:rPr>
        <w:tab/>
        <w:t>Zákon č. 320/2001 Sb., o finanční kontrole ve veřejné správě a o změně některých zákonů (zákon o finanční kontrole).</w:t>
      </w:r>
    </w:p>
  </w:footnote>
  <w:footnote w:id="31">
    <w:p w14:paraId="007D1C9E" w14:textId="40F3B20B" w:rsidR="00A91FD4" w:rsidRPr="00CC32F1" w:rsidRDefault="00A91FD4" w:rsidP="003E4D6E">
      <w:pPr>
        <w:pStyle w:val="Textpoznpodarou"/>
        <w:ind w:left="284" w:hanging="284"/>
        <w:jc w:val="both"/>
        <w:rPr>
          <w:rFonts w:ascii="Calibri" w:hAnsi="Calibri" w:cs="Calibri"/>
        </w:rPr>
      </w:pPr>
      <w:r w:rsidRPr="00CC32F1">
        <w:rPr>
          <w:rStyle w:val="Znakapoznpodarou"/>
          <w:rFonts w:ascii="Calibri" w:hAnsi="Calibri" w:cs="Calibri"/>
        </w:rPr>
        <w:footnoteRef/>
      </w:r>
      <w:r w:rsidRPr="00CC32F1">
        <w:rPr>
          <w:rFonts w:ascii="Calibri" w:hAnsi="Calibri" w:cs="Calibri"/>
        </w:rPr>
        <w:tab/>
      </w:r>
      <w:r w:rsidRPr="00DA5209">
        <w:rPr>
          <w:rFonts w:ascii="Calibri" w:hAnsi="Calibri" w:cs="Calibri"/>
        </w:rPr>
        <w:t>Statut VOP CZ, s.p.</w:t>
      </w:r>
      <w:r>
        <w:rPr>
          <w:rFonts w:ascii="Calibri" w:hAnsi="Calibri" w:cs="Calibri"/>
        </w:rPr>
        <w:t>,</w:t>
      </w:r>
      <w:r w:rsidRPr="00DA5209">
        <w:rPr>
          <w:rFonts w:ascii="Calibri" w:hAnsi="Calibri" w:cs="Calibri"/>
        </w:rPr>
        <w:t xml:space="preserve"> ze dne 11. června 2014 čj. 42-4/2014-1333</w:t>
      </w:r>
      <w:r>
        <w:rPr>
          <w:rFonts w:ascii="Calibri" w:hAnsi="Calibri" w:cs="Calibri"/>
        </w:rPr>
        <w:t>, s</w:t>
      </w:r>
      <w:r w:rsidRPr="00CC32F1">
        <w:rPr>
          <w:rFonts w:ascii="Calibri" w:hAnsi="Calibri" w:cs="Calibri"/>
        </w:rPr>
        <w:t>tatut VOP CZ, s.p.</w:t>
      </w:r>
      <w:r>
        <w:rPr>
          <w:rFonts w:ascii="Calibri" w:hAnsi="Calibri" w:cs="Calibri"/>
        </w:rPr>
        <w:t>,</w:t>
      </w:r>
      <w:r w:rsidRPr="00CC32F1">
        <w:rPr>
          <w:rFonts w:ascii="Calibri" w:hAnsi="Calibri" w:cs="Calibri"/>
        </w:rPr>
        <w:t xml:space="preserve"> ze dne 6. prosince 2018 čj. MO 315321/2018-1216</w:t>
      </w:r>
      <w:r>
        <w:rPr>
          <w:rFonts w:ascii="Calibri" w:hAnsi="Calibri" w:cs="Calibri"/>
        </w:rPr>
        <w:t>,</w:t>
      </w:r>
      <w:r w:rsidRPr="00CC32F1">
        <w:rPr>
          <w:rFonts w:ascii="Calibri" w:hAnsi="Calibri" w:cs="Calibri"/>
        </w:rPr>
        <w:t xml:space="preserve"> </w:t>
      </w:r>
      <w:r>
        <w:rPr>
          <w:rFonts w:ascii="Calibri" w:hAnsi="Calibri" w:cs="Calibri"/>
        </w:rPr>
        <w:t>s</w:t>
      </w:r>
      <w:r w:rsidRPr="00CC32F1">
        <w:rPr>
          <w:rFonts w:ascii="Calibri" w:hAnsi="Calibri" w:cs="Calibri"/>
        </w:rPr>
        <w:t>p. zn. SpMO 25468/2018-1216.</w:t>
      </w:r>
    </w:p>
  </w:footnote>
  <w:footnote w:id="32">
    <w:p w14:paraId="5ABF8D2C" w14:textId="491980AD" w:rsidR="00A91FD4" w:rsidRPr="009E6F77" w:rsidRDefault="00A91FD4" w:rsidP="009E6F77">
      <w:pPr>
        <w:pStyle w:val="Textpoznpodarou"/>
        <w:ind w:left="284" w:hanging="284"/>
        <w:jc w:val="both"/>
        <w:rPr>
          <w:rFonts w:asciiTheme="minorHAnsi" w:hAnsiTheme="minorHAnsi" w:cstheme="minorHAnsi"/>
        </w:rPr>
      </w:pPr>
      <w:r w:rsidRPr="009E6F77">
        <w:rPr>
          <w:rStyle w:val="Znakapoznpodarou"/>
          <w:rFonts w:asciiTheme="minorHAnsi" w:hAnsiTheme="minorHAnsi" w:cstheme="minorHAnsi"/>
        </w:rPr>
        <w:footnoteRef/>
      </w:r>
      <w:r>
        <w:rPr>
          <w:rFonts w:asciiTheme="minorHAnsi" w:hAnsiTheme="minorHAnsi" w:cstheme="minorHAnsi"/>
        </w:rPr>
        <w:tab/>
        <w:t>Zejména z důvodu postupného vyřazování zastaralé techniky s překročenou životností a další techniky, kterou již nebylo možné využívat k účelu, pro který byla pořízena.</w:t>
      </w:r>
    </w:p>
  </w:footnote>
  <w:footnote w:id="33">
    <w:p w14:paraId="0197BE89" w14:textId="01CA4740" w:rsidR="00A91FD4" w:rsidRPr="00924E57" w:rsidRDefault="00A91FD4" w:rsidP="00924E57">
      <w:pPr>
        <w:pStyle w:val="Textpoznpodarou"/>
        <w:ind w:left="284" w:hanging="284"/>
        <w:jc w:val="both"/>
        <w:rPr>
          <w:rFonts w:asciiTheme="minorHAnsi" w:hAnsiTheme="minorHAnsi" w:cstheme="minorHAnsi"/>
        </w:rPr>
      </w:pPr>
      <w:r w:rsidRPr="00924E57">
        <w:rPr>
          <w:rStyle w:val="Znakapoznpodarou"/>
          <w:rFonts w:asciiTheme="minorHAnsi" w:hAnsiTheme="minorHAnsi" w:cstheme="minorHAnsi"/>
        </w:rPr>
        <w:footnoteRef/>
      </w:r>
      <w:r>
        <w:rPr>
          <w:rFonts w:asciiTheme="minorHAnsi" w:hAnsiTheme="minorHAnsi" w:cstheme="minorHAnsi"/>
        </w:rPr>
        <w:tab/>
        <w:t xml:space="preserve">Střednědobé plány neuváděly plánované počty techniky. </w:t>
      </w:r>
    </w:p>
  </w:footnote>
  <w:footnote w:id="34">
    <w:p w14:paraId="35753BC7" w14:textId="77777777" w:rsidR="00A91FD4" w:rsidRPr="000A060A" w:rsidRDefault="00A91FD4" w:rsidP="000A060A">
      <w:pPr>
        <w:pStyle w:val="Textpoznpodarou"/>
        <w:ind w:left="284" w:hanging="284"/>
        <w:jc w:val="both"/>
        <w:rPr>
          <w:rFonts w:asciiTheme="minorHAnsi" w:hAnsiTheme="minorHAnsi" w:cstheme="minorHAnsi"/>
        </w:rPr>
      </w:pPr>
      <w:r w:rsidRPr="000A060A">
        <w:rPr>
          <w:rStyle w:val="Znakapoznpodarou"/>
          <w:rFonts w:asciiTheme="minorHAnsi" w:hAnsiTheme="minorHAnsi" w:cstheme="minorHAnsi"/>
        </w:rPr>
        <w:footnoteRef/>
      </w:r>
      <w:r w:rsidRPr="000A060A">
        <w:rPr>
          <w:rFonts w:asciiTheme="minorHAnsi" w:hAnsiTheme="minorHAnsi" w:cstheme="minorHAnsi"/>
        </w:rPr>
        <w:t xml:space="preserve"> </w:t>
      </w:r>
      <w:r>
        <w:rPr>
          <w:rFonts w:asciiTheme="minorHAnsi" w:hAnsiTheme="minorHAnsi" w:cstheme="minorHAnsi"/>
        </w:rPr>
        <w:tab/>
        <w:t xml:space="preserve">Technika </w:t>
      </w:r>
      <w:r w:rsidRPr="000A060A">
        <w:rPr>
          <w:rFonts w:asciiTheme="minorHAnsi" w:hAnsiTheme="minorHAnsi" w:cstheme="minorHAnsi"/>
        </w:rPr>
        <w:t>používan</w:t>
      </w:r>
      <w:r>
        <w:rPr>
          <w:rFonts w:asciiTheme="minorHAnsi" w:hAnsiTheme="minorHAnsi" w:cstheme="minorHAnsi"/>
        </w:rPr>
        <w:t>á Armádou</w:t>
      </w:r>
      <w:r w:rsidRPr="000A060A">
        <w:rPr>
          <w:rFonts w:asciiTheme="minorHAnsi" w:hAnsiTheme="minorHAnsi" w:cstheme="minorHAnsi"/>
        </w:rPr>
        <w:t xml:space="preserve"> ve vyšších počtech</w:t>
      </w:r>
      <w:r>
        <w:rPr>
          <w:rFonts w:asciiTheme="minorHAnsi" w:hAnsiTheme="minorHAnsi" w:cstheme="minorHAnsi"/>
        </w:rPr>
        <w:t>, například nákladní terénní automobily (</w:t>
      </w:r>
      <w:r w:rsidRPr="0088636A">
        <w:rPr>
          <w:rFonts w:asciiTheme="minorHAnsi" w:hAnsiTheme="minorHAnsi" w:cstheme="minorHAnsi"/>
        </w:rPr>
        <w:t>viz příloha č. 2).</w:t>
      </w:r>
    </w:p>
  </w:footnote>
  <w:footnote w:id="35">
    <w:p w14:paraId="6D830900" w14:textId="4A0E60A3" w:rsidR="00A91FD4" w:rsidRPr="0035352F" w:rsidRDefault="00A91FD4" w:rsidP="00650E55">
      <w:pPr>
        <w:pStyle w:val="Textpoznpodarou"/>
        <w:ind w:left="284" w:hanging="284"/>
        <w:jc w:val="both"/>
        <w:rPr>
          <w:rFonts w:asciiTheme="minorHAnsi" w:hAnsiTheme="minorHAnsi" w:cstheme="minorHAnsi"/>
        </w:rPr>
      </w:pPr>
      <w:r w:rsidRPr="0035352F">
        <w:rPr>
          <w:rStyle w:val="Znakapoznpodarou"/>
          <w:rFonts w:asciiTheme="minorHAnsi" w:hAnsiTheme="minorHAnsi" w:cstheme="minorHAnsi"/>
        </w:rPr>
        <w:footnoteRef/>
      </w:r>
      <w:r w:rsidRPr="0035352F">
        <w:rPr>
          <w:rFonts w:asciiTheme="minorHAnsi" w:hAnsiTheme="minorHAnsi" w:cstheme="minorHAnsi"/>
        </w:rPr>
        <w:t xml:space="preserve"> </w:t>
      </w:r>
      <w:r>
        <w:rPr>
          <w:rFonts w:asciiTheme="minorHAnsi" w:hAnsiTheme="minorHAnsi" w:cstheme="minorHAnsi"/>
        </w:rPr>
        <w:tab/>
      </w:r>
      <w:r w:rsidRPr="00602660">
        <w:rPr>
          <w:rFonts w:asciiTheme="minorHAnsi" w:hAnsiTheme="minorHAnsi" w:cstheme="minorHAnsi"/>
        </w:rPr>
        <w:t>Podíl počt</w:t>
      </w:r>
      <w:r>
        <w:rPr>
          <w:rFonts w:asciiTheme="minorHAnsi" w:hAnsiTheme="minorHAnsi" w:cstheme="minorHAnsi"/>
        </w:rPr>
        <w:t>u</w:t>
      </w:r>
      <w:r w:rsidRPr="00602660">
        <w:rPr>
          <w:rFonts w:asciiTheme="minorHAnsi" w:hAnsiTheme="minorHAnsi" w:cstheme="minorHAnsi"/>
        </w:rPr>
        <w:t xml:space="preserve"> techniky schopné provozu </w:t>
      </w:r>
      <w:r>
        <w:rPr>
          <w:rFonts w:asciiTheme="minorHAnsi" w:hAnsiTheme="minorHAnsi" w:cstheme="minorHAnsi"/>
        </w:rPr>
        <w:t xml:space="preserve">na </w:t>
      </w:r>
      <w:r w:rsidRPr="00602660">
        <w:rPr>
          <w:rFonts w:asciiTheme="minorHAnsi" w:hAnsiTheme="minorHAnsi" w:cstheme="minorHAnsi"/>
        </w:rPr>
        <w:t>celkovém počtu techniky daného druhu a typu zařazené v provozní kategorii.</w:t>
      </w:r>
      <w:r>
        <w:rPr>
          <w:rFonts w:asciiTheme="minorHAnsi" w:hAnsiTheme="minorHAnsi" w:cstheme="minorHAnsi"/>
        </w:rPr>
        <w:t xml:space="preserve"> </w:t>
      </w:r>
    </w:p>
  </w:footnote>
  <w:footnote w:id="36">
    <w:p w14:paraId="56FD23C9" w14:textId="7B311915" w:rsidR="00A91FD4" w:rsidRPr="00580820" w:rsidRDefault="00A91FD4" w:rsidP="00223B2B">
      <w:pPr>
        <w:pStyle w:val="Textpoznpodarou"/>
        <w:ind w:left="284" w:hanging="284"/>
        <w:jc w:val="both"/>
        <w:rPr>
          <w:rFonts w:ascii="Calibri" w:hAnsi="Calibri" w:cs="Calibri"/>
        </w:rPr>
      </w:pPr>
      <w:r w:rsidRPr="00580820">
        <w:rPr>
          <w:rStyle w:val="Znakapoznpodarou"/>
          <w:rFonts w:ascii="Calibri" w:hAnsi="Calibri" w:cs="Calibri"/>
        </w:rPr>
        <w:footnoteRef/>
      </w:r>
      <w:r w:rsidRPr="00580820">
        <w:rPr>
          <w:rFonts w:ascii="Calibri" w:hAnsi="Calibri" w:cs="Calibri"/>
        </w:rPr>
        <w:t xml:space="preserve"> </w:t>
      </w:r>
      <w:r w:rsidRPr="00580820">
        <w:rPr>
          <w:rFonts w:ascii="Calibri" w:hAnsi="Calibri" w:cs="Calibri"/>
        </w:rPr>
        <w:tab/>
      </w:r>
      <w:r w:rsidRPr="005D065B">
        <w:rPr>
          <w:rFonts w:ascii="Calibri" w:hAnsi="Calibri" w:cs="Calibri"/>
        </w:rPr>
        <w:t>Indikátor je k</w:t>
      </w:r>
      <w:r w:rsidRPr="00580820">
        <w:rPr>
          <w:rFonts w:ascii="Calibri" w:hAnsi="Calibri" w:cs="Calibri"/>
        </w:rPr>
        <w:t xml:space="preserve">valitativní měřitelný ukazatel uvedený v dokumentaci akce </w:t>
      </w:r>
      <w:r>
        <w:rPr>
          <w:rFonts w:ascii="Calibri" w:hAnsi="Calibri" w:cs="Calibri"/>
        </w:rPr>
        <w:t xml:space="preserve">a </w:t>
      </w:r>
      <w:r w:rsidRPr="00580820">
        <w:rPr>
          <w:rFonts w:ascii="Calibri" w:hAnsi="Calibri" w:cs="Calibri"/>
        </w:rPr>
        <w:t>specifikuje konkrétní měřitelný cíl nebo měřitelný efekt; indikátor musí obsahovat výchozí a cílovou hodnotu (vyjádřenou v měrných jednotkách) a dále závazný termín dosažení měřitelného cíle nebo efektu.</w:t>
      </w:r>
    </w:p>
  </w:footnote>
  <w:footnote w:id="37">
    <w:p w14:paraId="4852A751" w14:textId="72CC6EAE" w:rsidR="00A91FD4" w:rsidRPr="00C760A0" w:rsidRDefault="00A91FD4" w:rsidP="00223B2B">
      <w:pPr>
        <w:pStyle w:val="Textpoznpodarou"/>
        <w:ind w:left="284" w:hanging="284"/>
        <w:jc w:val="both"/>
        <w:rPr>
          <w:rFonts w:ascii="Calibri" w:hAnsi="Calibri" w:cs="Calibri"/>
        </w:rPr>
      </w:pPr>
      <w:r w:rsidRPr="00580820">
        <w:rPr>
          <w:rStyle w:val="Znakapoznpodarou"/>
          <w:rFonts w:ascii="Calibri" w:hAnsi="Calibri" w:cs="Calibri"/>
        </w:rPr>
        <w:footnoteRef/>
      </w:r>
      <w:r w:rsidRPr="00580820">
        <w:rPr>
          <w:rFonts w:ascii="Calibri" w:hAnsi="Calibri" w:cs="Calibri"/>
        </w:rPr>
        <w:t xml:space="preserve"> </w:t>
      </w:r>
      <w:r w:rsidRPr="00580820">
        <w:rPr>
          <w:rFonts w:ascii="Calibri" w:hAnsi="Calibri" w:cs="Calibri"/>
        </w:rPr>
        <w:tab/>
      </w:r>
      <w:r w:rsidRPr="005D065B">
        <w:rPr>
          <w:rFonts w:ascii="Calibri" w:hAnsi="Calibri" w:cs="Calibri"/>
        </w:rPr>
        <w:t>Parametr je</w:t>
      </w:r>
      <w:r w:rsidRPr="00580820">
        <w:rPr>
          <w:rFonts w:ascii="Calibri" w:hAnsi="Calibri" w:cs="Calibri"/>
        </w:rPr>
        <w:t xml:space="preserve"> ukazatel uvedený v dokumentaci akce, specifikuje obsah nebo formu realizace akce a</w:t>
      </w:r>
      <w:r>
        <w:rPr>
          <w:rFonts w:ascii="Calibri" w:hAnsi="Calibri" w:cs="Calibri"/>
        </w:rPr>
        <w:t xml:space="preserve"> </w:t>
      </w:r>
      <w:r w:rsidRPr="00580820">
        <w:rPr>
          <w:rFonts w:ascii="Calibri" w:hAnsi="Calibri" w:cs="Calibri"/>
        </w:rPr>
        <w:t>vyjadřuje se v měrných jednotkách a hodnotách (např</w:t>
      </w:r>
      <w:r>
        <w:rPr>
          <w:rFonts w:ascii="Calibri" w:hAnsi="Calibri" w:cs="Calibri"/>
        </w:rPr>
        <w:t>íklad</w:t>
      </w:r>
      <w:r w:rsidRPr="00580820">
        <w:rPr>
          <w:rFonts w:ascii="Calibri" w:hAnsi="Calibri" w:cs="Calibri"/>
        </w:rPr>
        <w:t xml:space="preserve"> fyzikálních, technických, časových atd.).</w:t>
      </w:r>
    </w:p>
  </w:footnote>
  <w:footnote w:id="38">
    <w:p w14:paraId="25E9AB57" w14:textId="6DB1B1AC" w:rsidR="00A91FD4" w:rsidRPr="00917998" w:rsidRDefault="00A91FD4" w:rsidP="00D1469E">
      <w:pPr>
        <w:pStyle w:val="Textpoznpodarou"/>
        <w:ind w:left="284" w:hanging="284"/>
        <w:jc w:val="both"/>
        <w:rPr>
          <w:rFonts w:asciiTheme="minorHAnsi" w:hAnsiTheme="minorHAnsi" w:cstheme="minorHAnsi"/>
        </w:rPr>
      </w:pPr>
      <w:r w:rsidRPr="00917998">
        <w:rPr>
          <w:rStyle w:val="Znakapoznpodarou"/>
          <w:rFonts w:asciiTheme="minorHAnsi" w:hAnsiTheme="minorHAnsi" w:cstheme="minorHAnsi"/>
        </w:rPr>
        <w:footnoteRef/>
      </w:r>
      <w:r w:rsidRPr="00917998">
        <w:rPr>
          <w:rFonts w:asciiTheme="minorHAnsi" w:hAnsiTheme="minorHAnsi" w:cstheme="minorHAnsi"/>
        </w:rPr>
        <w:t xml:space="preserve"> </w:t>
      </w:r>
      <w:r>
        <w:rPr>
          <w:rFonts w:asciiTheme="minorHAnsi" w:hAnsiTheme="minorHAnsi" w:cstheme="minorHAnsi"/>
        </w:rPr>
        <w:tab/>
        <w:t xml:space="preserve">Správně </w:t>
      </w:r>
      <w:r w:rsidRPr="00C760A0">
        <w:rPr>
          <w:rFonts w:asciiTheme="minorHAnsi" w:hAnsiTheme="minorHAnsi" w:cstheme="minorHAnsi"/>
        </w:rPr>
        <w:t>„</w:t>
      </w:r>
      <w:r w:rsidRPr="00917998">
        <w:rPr>
          <w:rFonts w:asciiTheme="minorHAnsi" w:hAnsiTheme="minorHAnsi" w:cstheme="minorHAnsi"/>
          <w:i/>
        </w:rPr>
        <w:t>indikátor</w:t>
      </w:r>
      <w:r w:rsidRPr="00C760A0">
        <w:rPr>
          <w:rFonts w:asciiTheme="minorHAnsi" w:hAnsiTheme="minorHAnsi" w:cstheme="minorHAnsi"/>
        </w:rPr>
        <w:t>“</w:t>
      </w:r>
      <w:r w:rsidRPr="00EB2191">
        <w:rPr>
          <w:rFonts w:asciiTheme="minorHAnsi" w:hAnsiTheme="minorHAnsi" w:cstheme="minorHAnsi"/>
        </w:rPr>
        <w:t>,</w:t>
      </w:r>
      <w:r>
        <w:rPr>
          <w:rFonts w:asciiTheme="minorHAnsi" w:hAnsiTheme="minorHAnsi" w:cstheme="minorHAnsi"/>
        </w:rPr>
        <w:t xml:space="preserve"> viz </w:t>
      </w:r>
      <w:r w:rsidRPr="0088636A">
        <w:rPr>
          <w:rFonts w:asciiTheme="minorHAnsi" w:hAnsiTheme="minorHAnsi" w:cstheme="minorHAnsi"/>
        </w:rPr>
        <w:t>odst. 4.1</w:t>
      </w:r>
      <w:r>
        <w:rPr>
          <w:rFonts w:asciiTheme="minorHAnsi" w:hAnsiTheme="minorHAnsi" w:cstheme="minorHAnsi"/>
        </w:rPr>
        <w:t>2</w:t>
      </w:r>
      <w:r w:rsidRPr="0088636A">
        <w:rPr>
          <w:rFonts w:asciiTheme="minorHAnsi" w:hAnsiTheme="minorHAnsi" w:cstheme="minorHAnsi"/>
        </w:rPr>
        <w:t>. Pro</w:t>
      </w:r>
      <w:r>
        <w:rPr>
          <w:rFonts w:asciiTheme="minorHAnsi" w:hAnsiTheme="minorHAnsi" w:cstheme="minorHAnsi"/>
        </w:rPr>
        <w:t xml:space="preserve"> sjednocení pojmů s doklady MO bude pro indikátor v textu používán výraz </w:t>
      </w:r>
      <w:r w:rsidRPr="00C760A0">
        <w:rPr>
          <w:rFonts w:asciiTheme="minorHAnsi" w:hAnsiTheme="minorHAnsi" w:cstheme="minorHAnsi"/>
        </w:rPr>
        <w:t>„</w:t>
      </w:r>
      <w:r>
        <w:rPr>
          <w:rFonts w:asciiTheme="minorHAnsi" w:hAnsiTheme="minorHAnsi" w:cstheme="minorHAnsi"/>
          <w:i/>
        </w:rPr>
        <w:t>ukazatel</w:t>
      </w:r>
      <w:r w:rsidRPr="00C760A0">
        <w:rPr>
          <w:rFonts w:asciiTheme="minorHAnsi" w:hAnsiTheme="minorHAnsi" w:cstheme="minorHAnsi"/>
        </w:rPr>
        <w:t>“</w:t>
      </w:r>
      <w:r w:rsidRPr="00EB2191">
        <w:rPr>
          <w:rFonts w:asciiTheme="minorHAnsi" w:hAnsiTheme="minorHAnsi" w:cstheme="minorHAnsi"/>
        </w:rPr>
        <w:t>.</w:t>
      </w:r>
    </w:p>
  </w:footnote>
  <w:footnote w:id="39">
    <w:p w14:paraId="105EE513" w14:textId="77777777" w:rsidR="00A91FD4" w:rsidRPr="001B517A" w:rsidRDefault="00A91FD4" w:rsidP="001B517A">
      <w:pPr>
        <w:pStyle w:val="Textpoznpodarou"/>
        <w:ind w:left="284" w:hanging="284"/>
        <w:jc w:val="both"/>
        <w:rPr>
          <w:rFonts w:asciiTheme="minorHAnsi" w:hAnsiTheme="minorHAnsi" w:cstheme="minorHAnsi"/>
        </w:rPr>
      </w:pPr>
      <w:r w:rsidRPr="001B517A">
        <w:rPr>
          <w:rStyle w:val="Znakapoznpodarou"/>
          <w:rFonts w:asciiTheme="minorHAnsi" w:hAnsiTheme="minorHAnsi" w:cstheme="minorHAnsi"/>
        </w:rPr>
        <w:footnoteRef/>
      </w:r>
      <w:r w:rsidRPr="001B517A">
        <w:rPr>
          <w:rFonts w:asciiTheme="minorHAnsi" w:hAnsiTheme="minorHAnsi" w:cstheme="minorHAnsi"/>
        </w:rPr>
        <w:t xml:space="preserve"> </w:t>
      </w:r>
      <w:r>
        <w:rPr>
          <w:rFonts w:asciiTheme="minorHAnsi" w:hAnsiTheme="minorHAnsi" w:cstheme="minorHAnsi"/>
        </w:rPr>
        <w:tab/>
        <w:t xml:space="preserve">Stanovená životnost osobních terénních automobilů byla 15 let a jejich stáří bylo 22 až 24 let. </w:t>
      </w:r>
    </w:p>
  </w:footnote>
  <w:footnote w:id="40">
    <w:p w14:paraId="6341536F" w14:textId="2E226A5C" w:rsidR="00A91FD4" w:rsidRPr="0081281B" w:rsidRDefault="00A91FD4" w:rsidP="007274B9">
      <w:pPr>
        <w:pStyle w:val="Textpoznpodarou"/>
        <w:ind w:left="284" w:hanging="284"/>
        <w:jc w:val="both"/>
        <w:rPr>
          <w:rFonts w:asciiTheme="minorHAnsi" w:hAnsiTheme="minorHAnsi" w:cstheme="minorHAnsi"/>
        </w:rPr>
      </w:pPr>
      <w:r w:rsidRPr="0081281B">
        <w:rPr>
          <w:rStyle w:val="Znakapoznpodarou"/>
          <w:rFonts w:asciiTheme="minorHAnsi" w:hAnsiTheme="minorHAnsi" w:cstheme="minorHAnsi"/>
        </w:rPr>
        <w:footnoteRef/>
      </w:r>
      <w:r w:rsidRPr="0081281B">
        <w:rPr>
          <w:rFonts w:asciiTheme="minorHAnsi" w:hAnsiTheme="minorHAnsi" w:cstheme="minorHAnsi"/>
        </w:rPr>
        <w:t xml:space="preserve"> </w:t>
      </w:r>
      <w:r w:rsidRPr="0081281B">
        <w:rPr>
          <w:rFonts w:asciiTheme="minorHAnsi" w:hAnsiTheme="minorHAnsi" w:cstheme="minorHAnsi"/>
        </w:rPr>
        <w:tab/>
        <w:t xml:space="preserve">Jeden automobil měl sice zůstatkovou účetní hodnotu vyšší z důvodu provedeného technického zhodnocení, avšak po většinu kontrolovaného období </w:t>
      </w:r>
      <w:r>
        <w:rPr>
          <w:rFonts w:asciiTheme="minorHAnsi" w:hAnsiTheme="minorHAnsi" w:cstheme="minorHAnsi"/>
        </w:rPr>
        <w:t>ne</w:t>
      </w:r>
      <w:r w:rsidRPr="0081281B">
        <w:rPr>
          <w:rFonts w:asciiTheme="minorHAnsi" w:hAnsiTheme="minorHAnsi" w:cstheme="minorHAnsi"/>
        </w:rPr>
        <w:t>byl schop</w:t>
      </w:r>
      <w:r>
        <w:rPr>
          <w:rFonts w:asciiTheme="minorHAnsi" w:hAnsiTheme="minorHAnsi" w:cstheme="minorHAnsi"/>
        </w:rPr>
        <w:t>e</w:t>
      </w:r>
      <w:r w:rsidRPr="0081281B">
        <w:rPr>
          <w:rFonts w:asciiTheme="minorHAnsi" w:hAnsiTheme="minorHAnsi" w:cstheme="minorHAnsi"/>
        </w:rPr>
        <w:t>n provozu</w:t>
      </w:r>
      <w:r>
        <w:rPr>
          <w:rFonts w:asciiTheme="minorHAnsi" w:hAnsiTheme="minorHAnsi" w:cstheme="minorHAnsi"/>
        </w:rPr>
        <w:t xml:space="preserve"> (viz </w:t>
      </w:r>
      <w:r w:rsidRPr="0088636A">
        <w:rPr>
          <w:rFonts w:asciiTheme="minorHAnsi" w:hAnsiTheme="minorHAnsi" w:cstheme="minorHAnsi"/>
        </w:rPr>
        <w:t>odst. 4.2</w:t>
      </w:r>
      <w:r>
        <w:rPr>
          <w:rFonts w:asciiTheme="minorHAnsi" w:hAnsiTheme="minorHAnsi" w:cstheme="minorHAnsi"/>
        </w:rPr>
        <w:t>2</w:t>
      </w:r>
      <w:r w:rsidRPr="0088636A">
        <w:rPr>
          <w:rFonts w:asciiTheme="minorHAnsi" w:hAnsiTheme="minorHAnsi" w:cstheme="minorHAnsi"/>
        </w:rPr>
        <w:t>).</w:t>
      </w:r>
    </w:p>
  </w:footnote>
  <w:footnote w:id="41">
    <w:p w14:paraId="06777D3F" w14:textId="32CE8294" w:rsidR="00A91FD4" w:rsidRPr="00B5309D" w:rsidRDefault="00A91FD4" w:rsidP="00FE7626">
      <w:pPr>
        <w:pStyle w:val="Textpoznpodarou"/>
        <w:ind w:left="284" w:hanging="284"/>
        <w:jc w:val="both"/>
        <w:rPr>
          <w:rFonts w:asciiTheme="minorHAnsi" w:hAnsiTheme="minorHAnsi" w:cstheme="minorHAnsi"/>
        </w:rPr>
      </w:pPr>
      <w:r w:rsidRPr="00B5309D">
        <w:rPr>
          <w:rStyle w:val="Znakapoznpodarou"/>
          <w:rFonts w:asciiTheme="minorHAnsi" w:hAnsiTheme="minorHAnsi" w:cstheme="minorHAnsi"/>
        </w:rPr>
        <w:footnoteRef/>
      </w:r>
      <w:r w:rsidRPr="00B5309D">
        <w:rPr>
          <w:rFonts w:asciiTheme="minorHAnsi" w:hAnsiTheme="minorHAnsi" w:cstheme="minorHAnsi"/>
        </w:rPr>
        <w:t xml:space="preserve"> </w:t>
      </w:r>
      <w:r>
        <w:rPr>
          <w:rFonts w:asciiTheme="minorHAnsi" w:hAnsiTheme="minorHAnsi" w:cstheme="minorHAnsi"/>
        </w:rPr>
        <w:tab/>
        <w:t>Stanovená životnost jeřábové techniky byla 25 let a její stáří bylo okolo 30 let. Tato morálně a technicky zastaralá technika má složité zabezpečovací systémy, které byly vyrobeny před 30 až 50 lety. Při opravách jsou obtížně dostupné náhradní díly, které je nutné vyrobit, repasovat či jakýmkoli způsobem opravit, což je časově i finančně náročné.</w:t>
      </w:r>
    </w:p>
  </w:footnote>
  <w:footnote w:id="42">
    <w:p w14:paraId="310C8858" w14:textId="66B218DB" w:rsidR="00A91FD4" w:rsidRPr="00685191" w:rsidRDefault="00A91FD4" w:rsidP="00685191">
      <w:pPr>
        <w:pStyle w:val="Textpoznpodarou"/>
        <w:ind w:left="284" w:hanging="284"/>
        <w:jc w:val="both"/>
        <w:rPr>
          <w:rFonts w:asciiTheme="minorHAnsi" w:hAnsiTheme="minorHAnsi" w:cstheme="minorHAnsi"/>
        </w:rPr>
      </w:pPr>
      <w:r w:rsidRPr="00685191">
        <w:rPr>
          <w:rStyle w:val="Znakapoznpodarou"/>
          <w:rFonts w:asciiTheme="minorHAnsi" w:hAnsiTheme="minorHAnsi" w:cstheme="minorHAnsi"/>
        </w:rPr>
        <w:footnoteRef/>
      </w:r>
      <w:r w:rsidRPr="00685191">
        <w:rPr>
          <w:rFonts w:asciiTheme="minorHAnsi" w:hAnsiTheme="minorHAnsi" w:cstheme="minorHAnsi"/>
        </w:rPr>
        <w:t xml:space="preserve"> </w:t>
      </w:r>
      <w:r w:rsidRPr="00685191">
        <w:rPr>
          <w:rFonts w:asciiTheme="minorHAnsi" w:hAnsiTheme="minorHAnsi" w:cstheme="minorHAnsi"/>
        </w:rPr>
        <w:tab/>
        <w:t xml:space="preserve">Rentabilita opravy </w:t>
      </w:r>
      <w:r>
        <w:rPr>
          <w:rFonts w:asciiTheme="minorHAnsi" w:hAnsiTheme="minorHAnsi" w:cstheme="minorHAnsi"/>
        </w:rPr>
        <w:t xml:space="preserve">majetku, resp. automobilní techniky, </w:t>
      </w:r>
      <w:r w:rsidRPr="00685191">
        <w:rPr>
          <w:rFonts w:asciiTheme="minorHAnsi" w:hAnsiTheme="minorHAnsi" w:cstheme="minorHAnsi"/>
        </w:rPr>
        <w:t xml:space="preserve">měla být posuzována </w:t>
      </w:r>
      <w:r>
        <w:rPr>
          <w:rFonts w:asciiTheme="minorHAnsi" w:hAnsiTheme="minorHAnsi" w:cstheme="minorHAnsi"/>
        </w:rPr>
        <w:t>ve vyjmenovaných případech, mj. v případě závady, poruchy nebo nesprávné činnosti majetku.</w:t>
      </w:r>
    </w:p>
  </w:footnote>
  <w:footnote w:id="43">
    <w:p w14:paraId="48D7631F" w14:textId="77777777" w:rsidR="00A91FD4" w:rsidRPr="009C2603" w:rsidRDefault="00A91FD4" w:rsidP="009C2603">
      <w:pPr>
        <w:pStyle w:val="Textpoznpodarou"/>
        <w:ind w:left="284" w:hanging="284"/>
        <w:jc w:val="both"/>
        <w:rPr>
          <w:rFonts w:asciiTheme="minorHAnsi" w:hAnsiTheme="minorHAnsi" w:cstheme="minorHAnsi"/>
        </w:rPr>
      </w:pPr>
      <w:r w:rsidRPr="00685191">
        <w:rPr>
          <w:rStyle w:val="Znakapoznpodarou"/>
          <w:rFonts w:asciiTheme="minorHAnsi" w:hAnsiTheme="minorHAnsi" w:cstheme="minorHAnsi"/>
        </w:rPr>
        <w:footnoteRef/>
      </w:r>
      <w:r w:rsidRPr="00685191">
        <w:rPr>
          <w:rFonts w:asciiTheme="minorHAnsi" w:hAnsiTheme="minorHAnsi" w:cstheme="minorHAnsi"/>
        </w:rPr>
        <w:t xml:space="preserve"> </w:t>
      </w:r>
      <w:r w:rsidRPr="00685191">
        <w:rPr>
          <w:rFonts w:asciiTheme="minorHAnsi" w:hAnsiTheme="minorHAnsi" w:cstheme="minorHAnsi"/>
        </w:rPr>
        <w:tab/>
        <w:t>V rámci procesu schvalování opravy měla oprávněná</w:t>
      </w:r>
      <w:r>
        <w:rPr>
          <w:rFonts w:asciiTheme="minorHAnsi" w:hAnsiTheme="minorHAnsi" w:cstheme="minorHAnsi"/>
        </w:rPr>
        <w:t xml:space="preserve"> osoba posoudit mj. perspektivnost předpokládané opravy s ohledem na možnosti reprodukce majetku.</w:t>
      </w:r>
    </w:p>
  </w:footnote>
  <w:footnote w:id="44">
    <w:p w14:paraId="0A027D39" w14:textId="73D97A03" w:rsidR="00A91FD4" w:rsidRPr="00351332" w:rsidRDefault="00A91FD4" w:rsidP="009C2603">
      <w:pPr>
        <w:pStyle w:val="Textpoznpodarou"/>
        <w:ind w:left="284" w:hanging="284"/>
        <w:jc w:val="both"/>
        <w:rPr>
          <w:rFonts w:asciiTheme="minorHAnsi" w:hAnsiTheme="minorHAnsi"/>
        </w:rPr>
      </w:pPr>
      <w:r w:rsidRPr="00351332">
        <w:rPr>
          <w:rStyle w:val="Znakapoznpodarou"/>
          <w:rFonts w:asciiTheme="minorHAnsi" w:hAnsiTheme="minorHAnsi"/>
        </w:rPr>
        <w:footnoteRef/>
      </w:r>
      <w:r w:rsidRPr="00351332">
        <w:rPr>
          <w:rFonts w:asciiTheme="minorHAnsi" w:hAnsiTheme="minorHAnsi"/>
        </w:rPr>
        <w:t xml:space="preserve"> </w:t>
      </w:r>
      <w:r>
        <w:rPr>
          <w:rFonts w:asciiTheme="minorHAnsi" w:hAnsiTheme="minorHAnsi"/>
        </w:rPr>
        <w:tab/>
      </w:r>
      <w:r w:rsidRPr="0033629A">
        <w:rPr>
          <w:rFonts w:asciiTheme="minorHAnsi" w:hAnsiTheme="minorHAnsi"/>
          <w:i/>
        </w:rPr>
        <w:t xml:space="preserve">Odborný pokyn </w:t>
      </w:r>
      <w:r>
        <w:rPr>
          <w:rFonts w:asciiTheme="minorHAnsi" w:hAnsiTheme="minorHAnsi"/>
          <w:i/>
        </w:rPr>
        <w:t xml:space="preserve">majetkového hospodáře majetkového uskupení 1.0, 2.1 ... a 6.4 </w:t>
      </w:r>
      <w:r w:rsidRPr="0033629A">
        <w:rPr>
          <w:rFonts w:asciiTheme="minorHAnsi" w:hAnsiTheme="minorHAnsi"/>
          <w:i/>
        </w:rPr>
        <w:t>ke stanovení rentability údržby a oprav v rezortu MO</w:t>
      </w:r>
      <w:r w:rsidRPr="0033629A">
        <w:rPr>
          <w:rFonts w:asciiTheme="minorHAnsi" w:hAnsiTheme="minorHAnsi"/>
        </w:rPr>
        <w:t xml:space="preserve"> </w:t>
      </w:r>
      <w:r>
        <w:rPr>
          <w:rFonts w:asciiTheme="minorHAnsi" w:hAnsiTheme="minorHAnsi"/>
        </w:rPr>
        <w:t xml:space="preserve">(čj. MO 272807/2017-3416) </w:t>
      </w:r>
      <w:r w:rsidRPr="0033629A">
        <w:rPr>
          <w:rFonts w:asciiTheme="minorHAnsi" w:hAnsiTheme="minorHAnsi"/>
        </w:rPr>
        <w:t>účinný od 8.</w:t>
      </w:r>
      <w:r>
        <w:rPr>
          <w:rFonts w:asciiTheme="minorHAnsi" w:hAnsiTheme="minorHAnsi"/>
        </w:rPr>
        <w:t xml:space="preserve"> </w:t>
      </w:r>
      <w:r w:rsidRPr="0033629A">
        <w:rPr>
          <w:rFonts w:asciiTheme="minorHAnsi" w:hAnsiTheme="minorHAnsi"/>
        </w:rPr>
        <w:t xml:space="preserve">října 2018, resp. jeho novelizace </w:t>
      </w:r>
      <w:r>
        <w:rPr>
          <w:rFonts w:asciiTheme="minorHAnsi" w:hAnsiTheme="minorHAnsi"/>
        </w:rPr>
        <w:br/>
        <w:t xml:space="preserve">(čj. MO 124255/2019-3416) </w:t>
      </w:r>
      <w:r w:rsidRPr="0033629A">
        <w:rPr>
          <w:rFonts w:asciiTheme="minorHAnsi" w:hAnsiTheme="minorHAnsi"/>
        </w:rPr>
        <w:t>účinná od 29. dubna 2019.</w:t>
      </w:r>
    </w:p>
  </w:footnote>
  <w:footnote w:id="45">
    <w:p w14:paraId="1C8AA8D5" w14:textId="4BA782DB" w:rsidR="00A91FD4" w:rsidRPr="00905F3C" w:rsidRDefault="00A91FD4" w:rsidP="00905F3C">
      <w:pPr>
        <w:pStyle w:val="Textpoznpodarou"/>
        <w:ind w:left="284" w:hanging="284"/>
        <w:jc w:val="both"/>
        <w:rPr>
          <w:rFonts w:asciiTheme="minorHAnsi" w:hAnsiTheme="minorHAnsi" w:cstheme="minorHAnsi"/>
        </w:rPr>
      </w:pPr>
      <w:r w:rsidRPr="00905F3C">
        <w:rPr>
          <w:rStyle w:val="Znakapoznpodarou"/>
          <w:rFonts w:asciiTheme="minorHAnsi" w:hAnsiTheme="minorHAnsi" w:cstheme="minorHAnsi"/>
        </w:rPr>
        <w:footnoteRef/>
      </w:r>
      <w:r w:rsidRPr="00905F3C">
        <w:rPr>
          <w:rFonts w:asciiTheme="minorHAnsi" w:hAnsiTheme="minorHAnsi" w:cstheme="minorHAnsi"/>
        </w:rPr>
        <w:t xml:space="preserve"> </w:t>
      </w:r>
      <w:r w:rsidRPr="00905F3C">
        <w:rPr>
          <w:rFonts w:asciiTheme="minorHAnsi" w:hAnsiTheme="minorHAnsi" w:cstheme="minorHAnsi"/>
        </w:rPr>
        <w:tab/>
      </w:r>
      <w:r>
        <w:rPr>
          <w:rFonts w:asciiTheme="minorHAnsi" w:hAnsiTheme="minorHAnsi" w:cstheme="minorHAnsi"/>
        </w:rPr>
        <w:t>Jak technické vybavení,</w:t>
      </w:r>
      <w:r w:rsidRPr="00905F3C">
        <w:rPr>
          <w:rFonts w:asciiTheme="minorHAnsi" w:hAnsiTheme="minorHAnsi" w:cstheme="minorHAnsi"/>
        </w:rPr>
        <w:t xml:space="preserve"> </w:t>
      </w:r>
      <w:r>
        <w:rPr>
          <w:rFonts w:asciiTheme="minorHAnsi" w:hAnsiTheme="minorHAnsi" w:cstheme="minorHAnsi"/>
        </w:rPr>
        <w:t xml:space="preserve">tak </w:t>
      </w:r>
      <w:r w:rsidRPr="00905F3C">
        <w:rPr>
          <w:rFonts w:asciiTheme="minorHAnsi" w:hAnsiTheme="minorHAnsi" w:cstheme="minorHAnsi"/>
        </w:rPr>
        <w:t>know-how k zabezpečení projektů v oblasti vývoje, modernizace a</w:t>
      </w:r>
      <w:r>
        <w:rPr>
          <w:rFonts w:asciiTheme="minorHAnsi" w:hAnsiTheme="minorHAnsi" w:cstheme="minorHAnsi"/>
        </w:rPr>
        <w:t> </w:t>
      </w:r>
      <w:r w:rsidRPr="00905F3C">
        <w:rPr>
          <w:rFonts w:asciiTheme="minorHAnsi" w:hAnsiTheme="minorHAnsi" w:cstheme="minorHAnsi"/>
        </w:rPr>
        <w:t>výroby pozemní vojenské techniky</w:t>
      </w:r>
      <w:r>
        <w:rPr>
          <w:rFonts w:asciiTheme="minorHAnsi" w:hAnsiTheme="minorHAnsi" w:cstheme="minorHAnsi"/>
        </w:rPr>
        <w:t xml:space="preserve"> i ke </w:t>
      </w:r>
      <w:r w:rsidRPr="00905F3C">
        <w:rPr>
          <w:rFonts w:asciiTheme="minorHAnsi" w:hAnsiTheme="minorHAnsi" w:cstheme="minorHAnsi"/>
        </w:rPr>
        <w:t>komplexní</w:t>
      </w:r>
      <w:r>
        <w:rPr>
          <w:rFonts w:asciiTheme="minorHAnsi" w:hAnsiTheme="minorHAnsi" w:cstheme="minorHAnsi"/>
        </w:rPr>
        <w:t>mu</w:t>
      </w:r>
      <w:r w:rsidRPr="00905F3C">
        <w:rPr>
          <w:rFonts w:asciiTheme="minorHAnsi" w:hAnsiTheme="minorHAnsi" w:cstheme="minorHAnsi"/>
        </w:rPr>
        <w:t xml:space="preserve"> zajištění životního cyklu pozemní techniky </w:t>
      </w:r>
      <w:r>
        <w:rPr>
          <w:rFonts w:asciiTheme="minorHAnsi" w:hAnsiTheme="minorHAnsi" w:cstheme="minorHAnsi"/>
        </w:rPr>
        <w:t>(</w:t>
      </w:r>
      <w:r w:rsidRPr="00905F3C">
        <w:rPr>
          <w:rFonts w:asciiTheme="minorHAnsi" w:hAnsiTheme="minorHAnsi" w:cstheme="minorHAnsi"/>
        </w:rPr>
        <w:t>vývoj, výrob</w:t>
      </w:r>
      <w:r>
        <w:rPr>
          <w:rFonts w:asciiTheme="minorHAnsi" w:hAnsiTheme="minorHAnsi" w:cstheme="minorHAnsi"/>
        </w:rPr>
        <w:t>a</w:t>
      </w:r>
      <w:r w:rsidRPr="00905F3C">
        <w:rPr>
          <w:rFonts w:asciiTheme="minorHAnsi" w:hAnsiTheme="minorHAnsi" w:cstheme="minorHAnsi"/>
        </w:rPr>
        <w:t xml:space="preserve">, záruční </w:t>
      </w:r>
      <w:r w:rsidR="002A7A8F">
        <w:rPr>
          <w:rFonts w:asciiTheme="minorHAnsi" w:hAnsiTheme="minorHAnsi" w:cstheme="minorHAnsi"/>
        </w:rPr>
        <w:br/>
      </w:r>
      <w:r>
        <w:rPr>
          <w:rFonts w:asciiTheme="minorHAnsi" w:hAnsiTheme="minorHAnsi" w:cstheme="minorHAnsi"/>
        </w:rPr>
        <w:t>a</w:t>
      </w:r>
      <w:r w:rsidR="002A7A8F">
        <w:rPr>
          <w:rFonts w:asciiTheme="minorHAnsi" w:hAnsiTheme="minorHAnsi" w:cstheme="minorHAnsi"/>
        </w:rPr>
        <w:t xml:space="preserve"> </w:t>
      </w:r>
      <w:r w:rsidRPr="00905F3C">
        <w:rPr>
          <w:rFonts w:asciiTheme="minorHAnsi" w:hAnsiTheme="minorHAnsi" w:cstheme="minorHAnsi"/>
        </w:rPr>
        <w:t>pozáruční servis, běžné, nálezové a generální opravy, revize a ukládání techniky, její modernizac</w:t>
      </w:r>
      <w:r>
        <w:rPr>
          <w:rFonts w:asciiTheme="minorHAnsi" w:hAnsiTheme="minorHAnsi" w:cstheme="minorHAnsi"/>
        </w:rPr>
        <w:t>e</w:t>
      </w:r>
      <w:r w:rsidRPr="00905F3C">
        <w:rPr>
          <w:rFonts w:asciiTheme="minorHAnsi" w:hAnsiTheme="minorHAnsi" w:cstheme="minorHAnsi"/>
        </w:rPr>
        <w:t xml:space="preserve"> </w:t>
      </w:r>
      <w:r w:rsidR="002A7A8F">
        <w:rPr>
          <w:rFonts w:asciiTheme="minorHAnsi" w:hAnsiTheme="minorHAnsi" w:cstheme="minorHAnsi"/>
        </w:rPr>
        <w:br/>
      </w:r>
      <w:r>
        <w:rPr>
          <w:rFonts w:asciiTheme="minorHAnsi" w:hAnsiTheme="minorHAnsi" w:cstheme="minorHAnsi"/>
        </w:rPr>
        <w:t>a</w:t>
      </w:r>
      <w:r w:rsidR="002A7A8F">
        <w:rPr>
          <w:rFonts w:asciiTheme="minorHAnsi" w:hAnsiTheme="minorHAnsi" w:cstheme="minorHAnsi"/>
        </w:rPr>
        <w:t xml:space="preserve"> </w:t>
      </w:r>
      <w:r w:rsidRPr="00905F3C">
        <w:rPr>
          <w:rFonts w:asciiTheme="minorHAnsi" w:hAnsiTheme="minorHAnsi" w:cstheme="minorHAnsi"/>
        </w:rPr>
        <w:t>ekologick</w:t>
      </w:r>
      <w:r>
        <w:rPr>
          <w:rFonts w:asciiTheme="minorHAnsi" w:hAnsiTheme="minorHAnsi" w:cstheme="minorHAnsi"/>
        </w:rPr>
        <w:t>á</w:t>
      </w:r>
      <w:r w:rsidRPr="00905F3C">
        <w:rPr>
          <w:rFonts w:asciiTheme="minorHAnsi" w:hAnsiTheme="minorHAnsi" w:cstheme="minorHAnsi"/>
        </w:rPr>
        <w:t xml:space="preserve"> likvidac</w:t>
      </w:r>
      <w:r>
        <w:rPr>
          <w:rFonts w:asciiTheme="minorHAnsi" w:hAnsiTheme="minorHAnsi" w:cstheme="minorHAnsi"/>
        </w:rPr>
        <w:t>e)</w:t>
      </w:r>
      <w:r w:rsidRPr="00905F3C">
        <w:rPr>
          <w:rFonts w:asciiTheme="minorHAnsi" w:hAnsiTheme="minorHAnsi" w:cstheme="minorHAnsi"/>
        </w:rPr>
        <w:t>. Kromě pásové vojenské techniky</w:t>
      </w:r>
      <w:r>
        <w:rPr>
          <w:rFonts w:asciiTheme="minorHAnsi" w:hAnsiTheme="minorHAnsi" w:cstheme="minorHAnsi"/>
        </w:rPr>
        <w:t xml:space="preserve">, která nebyla předmětem kontroly, </w:t>
      </w:r>
      <w:r w:rsidRPr="00905F3C">
        <w:rPr>
          <w:rFonts w:asciiTheme="minorHAnsi" w:hAnsiTheme="minorHAnsi" w:cstheme="minorHAnsi"/>
        </w:rPr>
        <w:t>se</w:t>
      </w:r>
      <w:r>
        <w:rPr>
          <w:rFonts w:asciiTheme="minorHAnsi" w:hAnsiTheme="minorHAnsi" w:cstheme="minorHAnsi"/>
        </w:rPr>
        <w:t xml:space="preserve"> uvedená</w:t>
      </w:r>
      <w:r w:rsidRPr="00905F3C">
        <w:rPr>
          <w:rFonts w:asciiTheme="minorHAnsi" w:hAnsiTheme="minorHAnsi" w:cstheme="minorHAnsi"/>
        </w:rPr>
        <w:t xml:space="preserve"> činnost týkala např</w:t>
      </w:r>
      <w:r>
        <w:rPr>
          <w:rFonts w:asciiTheme="minorHAnsi" w:hAnsiTheme="minorHAnsi" w:cstheme="minorHAnsi"/>
        </w:rPr>
        <w:t>íklad</w:t>
      </w:r>
      <w:r w:rsidRPr="00905F3C">
        <w:rPr>
          <w:rFonts w:asciiTheme="minorHAnsi" w:hAnsiTheme="minorHAnsi" w:cstheme="minorHAnsi"/>
        </w:rPr>
        <w:t xml:space="preserve"> středních a těžkých nákladních terénních automobilů včetně účelových nástaveb (jeřábů, cisteren, přepravníků, dílen), osobních terénních automobilů včetně speciálních variant a přívěsů. Za prioritní strategické schopnosti podniku považovalo MO mj. výrobu, opravy, údržbu a</w:t>
      </w:r>
      <w:r>
        <w:rPr>
          <w:rFonts w:asciiTheme="minorHAnsi" w:hAnsiTheme="minorHAnsi" w:cstheme="minorHAnsi"/>
        </w:rPr>
        <w:t xml:space="preserve"> </w:t>
      </w:r>
      <w:r w:rsidRPr="00905F3C">
        <w:rPr>
          <w:rFonts w:asciiTheme="minorHAnsi" w:hAnsiTheme="minorHAnsi" w:cstheme="minorHAnsi"/>
        </w:rPr>
        <w:t>modernizaci ženijní, chemické a</w:t>
      </w:r>
      <w:r>
        <w:rPr>
          <w:rFonts w:asciiTheme="minorHAnsi" w:hAnsiTheme="minorHAnsi" w:cstheme="minorHAnsi"/>
        </w:rPr>
        <w:t> </w:t>
      </w:r>
      <w:r w:rsidRPr="00905F3C">
        <w:rPr>
          <w:rFonts w:asciiTheme="minorHAnsi" w:hAnsiTheme="minorHAnsi" w:cstheme="minorHAnsi"/>
        </w:rPr>
        <w:t>jiné speciální vojenské techniky na kolových podvozcích.</w:t>
      </w:r>
    </w:p>
  </w:footnote>
  <w:footnote w:id="46">
    <w:p w14:paraId="0E7BC4E7" w14:textId="77777777" w:rsidR="00A91FD4" w:rsidRPr="009650A8" w:rsidRDefault="00A91FD4" w:rsidP="00F27EF8">
      <w:pPr>
        <w:pStyle w:val="Textpoznpodarou"/>
        <w:ind w:left="284" w:hanging="284"/>
        <w:rPr>
          <w:rFonts w:asciiTheme="minorHAnsi" w:hAnsiTheme="minorHAnsi" w:cstheme="minorHAnsi"/>
        </w:rPr>
      </w:pPr>
      <w:r w:rsidRPr="009650A8">
        <w:rPr>
          <w:rStyle w:val="Znakapoznpodarou"/>
          <w:rFonts w:asciiTheme="minorHAnsi" w:hAnsiTheme="minorHAnsi" w:cstheme="minorHAnsi"/>
        </w:rPr>
        <w:footnoteRef/>
      </w:r>
      <w:r w:rsidRPr="009650A8">
        <w:rPr>
          <w:rFonts w:asciiTheme="minorHAnsi" w:hAnsiTheme="minorHAnsi" w:cstheme="minorHAnsi"/>
        </w:rPr>
        <w:t xml:space="preserve"> </w:t>
      </w:r>
      <w:r>
        <w:rPr>
          <w:rFonts w:asciiTheme="minorHAnsi" w:hAnsiTheme="minorHAnsi" w:cstheme="minorHAnsi"/>
        </w:rPr>
        <w:tab/>
        <w:t xml:space="preserve">Pojem výroba zahrnuje nejen výrobní, ale i servisní, popřípadě další činnosti. </w:t>
      </w:r>
    </w:p>
  </w:footnote>
  <w:footnote w:id="47">
    <w:p w14:paraId="3D3D9D5F" w14:textId="73C72E52" w:rsidR="00A91FD4" w:rsidRPr="00FB3029" w:rsidRDefault="00A91FD4" w:rsidP="00E10F0E">
      <w:pPr>
        <w:pStyle w:val="Textpoznpodarou"/>
        <w:ind w:left="284" w:hanging="284"/>
        <w:jc w:val="both"/>
        <w:rPr>
          <w:rFonts w:asciiTheme="minorHAnsi" w:hAnsiTheme="minorHAnsi" w:cstheme="minorHAnsi"/>
        </w:rPr>
      </w:pPr>
      <w:r w:rsidRPr="00FB3029">
        <w:rPr>
          <w:rStyle w:val="Znakapoznpodarou"/>
          <w:rFonts w:asciiTheme="minorHAnsi" w:hAnsiTheme="minorHAnsi" w:cstheme="minorHAnsi"/>
        </w:rPr>
        <w:footnoteRef/>
      </w:r>
      <w:r w:rsidRPr="00FB3029">
        <w:rPr>
          <w:rFonts w:asciiTheme="minorHAnsi" w:hAnsiTheme="minorHAnsi" w:cstheme="minorHAnsi"/>
        </w:rPr>
        <w:t xml:space="preserve"> </w:t>
      </w:r>
      <w:r>
        <w:rPr>
          <w:rFonts w:asciiTheme="minorHAnsi" w:hAnsiTheme="minorHAnsi" w:cstheme="minorHAnsi"/>
        </w:rPr>
        <w:tab/>
        <w:t xml:space="preserve">Ustanovení upravuje podmínky </w:t>
      </w:r>
      <w:r w:rsidRPr="00FB3029">
        <w:rPr>
          <w:rFonts w:asciiTheme="minorHAnsi" w:hAnsiTheme="minorHAnsi" w:cstheme="minorHAnsi"/>
        </w:rPr>
        <w:t>pro</w:t>
      </w:r>
      <w:r>
        <w:rPr>
          <w:rFonts w:asciiTheme="minorHAnsi" w:hAnsiTheme="minorHAnsi" w:cstheme="minorHAnsi"/>
        </w:rPr>
        <w:t xml:space="preserve"> použití</w:t>
      </w:r>
      <w:r w:rsidRPr="00FB3029">
        <w:rPr>
          <w:rFonts w:asciiTheme="minorHAnsi" w:hAnsiTheme="minorHAnsi" w:cstheme="minorHAnsi"/>
        </w:rPr>
        <w:t xml:space="preserve"> tzv. in-house výjimk</w:t>
      </w:r>
      <w:r>
        <w:rPr>
          <w:rFonts w:asciiTheme="minorHAnsi" w:hAnsiTheme="minorHAnsi" w:cstheme="minorHAnsi"/>
        </w:rPr>
        <w:t>y</w:t>
      </w:r>
      <w:r w:rsidRPr="00FB3029">
        <w:rPr>
          <w:rFonts w:asciiTheme="minorHAnsi" w:hAnsiTheme="minorHAnsi" w:cstheme="minorHAnsi"/>
        </w:rPr>
        <w:t xml:space="preserve">, resp. </w:t>
      </w:r>
      <w:r>
        <w:rPr>
          <w:rFonts w:asciiTheme="minorHAnsi" w:hAnsiTheme="minorHAnsi" w:cstheme="minorHAnsi"/>
        </w:rPr>
        <w:t xml:space="preserve">podmínky </w:t>
      </w:r>
      <w:r w:rsidRPr="00FB3029">
        <w:rPr>
          <w:rFonts w:asciiTheme="minorHAnsi" w:hAnsiTheme="minorHAnsi" w:cstheme="minorHAnsi"/>
        </w:rPr>
        <w:t>vertikální spoluprác</w:t>
      </w:r>
      <w:r>
        <w:rPr>
          <w:rFonts w:asciiTheme="minorHAnsi" w:hAnsiTheme="minorHAnsi" w:cstheme="minorHAnsi"/>
        </w:rPr>
        <w:t>e</w:t>
      </w:r>
      <w:r w:rsidRPr="00FB3029">
        <w:rPr>
          <w:rFonts w:asciiTheme="minorHAnsi" w:hAnsiTheme="minorHAnsi" w:cstheme="minorHAnsi"/>
        </w:rPr>
        <w:t xml:space="preserve"> mezi veřejným zadavatel</w:t>
      </w:r>
      <w:r>
        <w:rPr>
          <w:rFonts w:asciiTheme="minorHAnsi" w:hAnsiTheme="minorHAnsi" w:cstheme="minorHAnsi"/>
        </w:rPr>
        <w:t>em a jinou osobou v</w:t>
      </w:r>
      <w:r w:rsidRPr="00E10F0E">
        <w:rPr>
          <w:rFonts w:asciiTheme="minorHAnsi" w:hAnsiTheme="minorHAnsi" w:cstheme="minorHAnsi"/>
        </w:rPr>
        <w:t xml:space="preserve"> případě veřejných zakázek v oblasti obrany nebo bezpečnosti</w:t>
      </w:r>
      <w:r>
        <w:rPr>
          <w:rFonts w:asciiTheme="minorHAnsi" w:hAnsiTheme="minorHAnsi" w:cstheme="minorHAnsi"/>
        </w:rPr>
        <w:t xml:space="preserve">. </w:t>
      </w:r>
      <w:r w:rsidRPr="00624BAE">
        <w:rPr>
          <w:rFonts w:asciiTheme="minorHAnsi" w:hAnsiTheme="minorHAnsi" w:cstheme="minorHAnsi"/>
        </w:rPr>
        <w:t>Uzavření smlouvy se nepovažuje za zadání veřejné zakázky v případě, že veřejný zadavatel ovládá tuto právnickou osobu a podstatná část její činnost</w:t>
      </w:r>
      <w:r>
        <w:rPr>
          <w:rFonts w:asciiTheme="minorHAnsi" w:hAnsiTheme="minorHAnsi" w:cstheme="minorHAnsi"/>
        </w:rPr>
        <w:t>i</w:t>
      </w:r>
      <w:r w:rsidRPr="00624BAE">
        <w:rPr>
          <w:rFonts w:asciiTheme="minorHAnsi" w:hAnsiTheme="minorHAnsi" w:cstheme="minorHAnsi"/>
        </w:rPr>
        <w:t xml:space="preserve"> je v posledních třech letech prováděna při plnění úkolů, jež jí byly svěřeny ovládajícím veřejným zadavatelem.</w:t>
      </w:r>
    </w:p>
  </w:footnote>
  <w:footnote w:id="48">
    <w:p w14:paraId="2BFE082E" w14:textId="5123F85D" w:rsidR="00A91FD4" w:rsidRPr="00A46FB8" w:rsidRDefault="00A91FD4">
      <w:pPr>
        <w:pStyle w:val="Textpoznpodarou"/>
        <w:rPr>
          <w:rFonts w:ascii="Calibri" w:hAnsi="Calibri" w:cs="Calibri"/>
        </w:rPr>
      </w:pPr>
      <w:r w:rsidRPr="00A46FB8">
        <w:rPr>
          <w:rStyle w:val="Znakapoznpodarou"/>
          <w:rFonts w:ascii="Calibri" w:hAnsi="Calibri" w:cs="Calibri"/>
        </w:rPr>
        <w:footnoteRef/>
      </w:r>
      <w:r w:rsidRPr="00A46FB8">
        <w:rPr>
          <w:rFonts w:ascii="Calibri" w:hAnsi="Calibri" w:cs="Calibri"/>
        </w:rPr>
        <w:t xml:space="preserve"> </w:t>
      </w:r>
      <w:r w:rsidRPr="00A46FB8">
        <w:rPr>
          <w:rFonts w:ascii="Calibri" w:hAnsi="Calibri" w:cs="Calibri"/>
        </w:rPr>
        <w:tab/>
      </w:r>
      <w:r w:rsidRPr="00683B81">
        <w:rPr>
          <w:rFonts w:asciiTheme="minorHAnsi" w:hAnsiTheme="minorHAnsi" w:cstheme="minorHAnsi"/>
          <w:i/>
        </w:rPr>
        <w:t>Strategie vlastnické politiky státu</w:t>
      </w:r>
      <w:r>
        <w:rPr>
          <w:rFonts w:asciiTheme="minorHAnsi" w:hAnsiTheme="minorHAnsi" w:cstheme="minorHAnsi"/>
        </w:rPr>
        <w:t>. Ministerstvo financí 2020, s. 33.</w:t>
      </w:r>
    </w:p>
  </w:footnote>
  <w:footnote w:id="49">
    <w:p w14:paraId="7FCB1BFA" w14:textId="77777777" w:rsidR="00A91FD4" w:rsidRPr="00912489" w:rsidRDefault="00A91FD4" w:rsidP="008C214C">
      <w:pPr>
        <w:pStyle w:val="Textpoznpodarou"/>
        <w:ind w:left="284" w:hanging="284"/>
        <w:jc w:val="both"/>
        <w:rPr>
          <w:rFonts w:asciiTheme="minorHAnsi" w:hAnsiTheme="minorHAnsi" w:cstheme="minorHAnsi"/>
        </w:rPr>
      </w:pPr>
      <w:r w:rsidRPr="00912489">
        <w:rPr>
          <w:rStyle w:val="Znakapoznpodarou"/>
          <w:rFonts w:asciiTheme="minorHAnsi" w:hAnsiTheme="minorHAnsi" w:cstheme="minorHAnsi"/>
        </w:rPr>
        <w:footnoteRef/>
      </w:r>
      <w:r w:rsidRPr="00912489">
        <w:rPr>
          <w:rFonts w:asciiTheme="minorHAnsi" w:hAnsiTheme="minorHAnsi" w:cstheme="minorHAnsi"/>
        </w:rPr>
        <w:t xml:space="preserve"> </w:t>
      </w:r>
      <w:r>
        <w:rPr>
          <w:rFonts w:asciiTheme="minorHAnsi" w:hAnsiTheme="minorHAnsi" w:cstheme="minorHAnsi"/>
        </w:rPr>
        <w:tab/>
        <w:t xml:space="preserve">Míra zadluženosti podniku vyjadřuje podíl cizích zdrojů k vlastnímu kapitálu </w:t>
      </w:r>
      <w:r w:rsidRPr="00FF2A02">
        <w:rPr>
          <w:rFonts w:asciiTheme="minorHAnsi" w:hAnsiTheme="minorHAnsi" w:cstheme="minorHAnsi"/>
        </w:rPr>
        <w:t>podniku. Cizí zdroje financování podniku tvoří položky, které podnik dluží třetím stranám a musí je splatit do určeného termínu.</w:t>
      </w:r>
      <w:r>
        <w:rPr>
          <w:rFonts w:asciiTheme="minorHAnsi" w:hAnsiTheme="minorHAnsi" w:cstheme="minorHAnsi"/>
        </w:rPr>
        <w:t xml:space="preserve"> </w:t>
      </w:r>
    </w:p>
  </w:footnote>
  <w:footnote w:id="50">
    <w:p w14:paraId="2DFD3730" w14:textId="77777777" w:rsidR="00A91FD4" w:rsidRPr="008E0D27" w:rsidRDefault="00A91FD4" w:rsidP="00A46FB8">
      <w:pPr>
        <w:pStyle w:val="Textpoznpodarou"/>
        <w:ind w:left="284" w:hanging="284"/>
        <w:rPr>
          <w:rFonts w:asciiTheme="minorHAnsi" w:hAnsiTheme="minorHAnsi" w:cstheme="minorHAnsi"/>
        </w:rPr>
      </w:pPr>
      <w:r w:rsidRPr="008E0D27">
        <w:rPr>
          <w:rStyle w:val="Znakapoznpodarou"/>
          <w:rFonts w:asciiTheme="minorHAnsi" w:hAnsiTheme="minorHAnsi" w:cstheme="minorHAnsi"/>
        </w:rPr>
        <w:footnoteRef/>
      </w:r>
      <w:r w:rsidRPr="008E0D27">
        <w:rPr>
          <w:rFonts w:asciiTheme="minorHAnsi" w:hAnsiTheme="minorHAnsi" w:cstheme="minorHAnsi"/>
        </w:rPr>
        <w:t xml:space="preserve"> </w:t>
      </w:r>
      <w:r w:rsidRPr="008E0D27">
        <w:rPr>
          <w:rFonts w:asciiTheme="minorHAnsi" w:hAnsiTheme="minorHAnsi" w:cstheme="minorHAnsi"/>
        </w:rPr>
        <w:tab/>
        <w:t>Také univerzální dokončovací stroje nebo jen „UDS“.</w:t>
      </w:r>
    </w:p>
  </w:footnote>
  <w:footnote w:id="51">
    <w:p w14:paraId="663AFF88" w14:textId="77777777" w:rsidR="00A91FD4" w:rsidRPr="00470460" w:rsidRDefault="00A91FD4" w:rsidP="00A46FB8">
      <w:pPr>
        <w:pStyle w:val="Textpoznpodarou"/>
        <w:ind w:left="284" w:hanging="284"/>
        <w:rPr>
          <w:rFonts w:asciiTheme="minorHAnsi" w:hAnsiTheme="minorHAnsi" w:cstheme="minorHAnsi"/>
        </w:rPr>
      </w:pPr>
      <w:r w:rsidRPr="00470460">
        <w:rPr>
          <w:rStyle w:val="Znakapoznpodarou"/>
          <w:rFonts w:asciiTheme="minorHAnsi" w:hAnsiTheme="minorHAnsi" w:cstheme="minorHAnsi"/>
        </w:rPr>
        <w:footnoteRef/>
      </w:r>
      <w:r w:rsidRPr="00470460">
        <w:rPr>
          <w:rFonts w:asciiTheme="minorHAnsi" w:hAnsiTheme="minorHAnsi" w:cstheme="minorHAnsi"/>
        </w:rPr>
        <w:t xml:space="preserve"> </w:t>
      </w:r>
      <w:r>
        <w:rPr>
          <w:rFonts w:asciiTheme="minorHAnsi" w:hAnsiTheme="minorHAnsi" w:cstheme="minorHAnsi"/>
        </w:rPr>
        <w:tab/>
      </w:r>
      <w:r w:rsidRPr="00470460">
        <w:rPr>
          <w:rFonts w:asciiTheme="minorHAnsi" w:hAnsiTheme="minorHAnsi" w:cstheme="minorHAnsi"/>
        </w:rPr>
        <w:t xml:space="preserve">Celkový počet </w:t>
      </w:r>
      <w:r>
        <w:rPr>
          <w:rFonts w:asciiTheme="minorHAnsi" w:hAnsiTheme="minorHAnsi" w:cstheme="minorHAnsi"/>
        </w:rPr>
        <w:t xml:space="preserve">plnění rámcové smlouvy o dílo </w:t>
      </w:r>
      <w:r w:rsidRPr="00470460">
        <w:rPr>
          <w:rFonts w:asciiTheme="minorHAnsi" w:hAnsiTheme="minorHAnsi" w:cstheme="minorHAnsi"/>
        </w:rPr>
        <w:t xml:space="preserve">činil 36, z toho dvě </w:t>
      </w:r>
      <w:r>
        <w:rPr>
          <w:rFonts w:asciiTheme="minorHAnsi" w:hAnsiTheme="minorHAnsi" w:cstheme="minorHAnsi"/>
        </w:rPr>
        <w:t xml:space="preserve">opravy </w:t>
      </w:r>
      <w:r w:rsidRPr="00470460">
        <w:rPr>
          <w:rFonts w:asciiTheme="minorHAnsi" w:hAnsiTheme="minorHAnsi" w:cstheme="minorHAnsi"/>
        </w:rPr>
        <w:t>realizoval poddodavatel.</w:t>
      </w:r>
    </w:p>
  </w:footnote>
  <w:footnote w:id="52">
    <w:p w14:paraId="0069EF1C" w14:textId="77777777" w:rsidR="00A91FD4" w:rsidRPr="008E0D27" w:rsidRDefault="00A91FD4" w:rsidP="00A46FB8">
      <w:pPr>
        <w:pStyle w:val="Textpoznpodarou"/>
        <w:ind w:left="284" w:hanging="284"/>
        <w:rPr>
          <w:rFonts w:asciiTheme="minorHAnsi" w:hAnsiTheme="minorHAnsi" w:cstheme="minorHAnsi"/>
        </w:rPr>
      </w:pPr>
      <w:r w:rsidRPr="008E0D27">
        <w:rPr>
          <w:rStyle w:val="Znakapoznpodarou"/>
          <w:rFonts w:asciiTheme="minorHAnsi" w:hAnsiTheme="minorHAnsi" w:cstheme="minorHAnsi"/>
        </w:rPr>
        <w:footnoteRef/>
      </w:r>
      <w:r w:rsidRPr="008E0D27">
        <w:rPr>
          <w:rFonts w:asciiTheme="minorHAnsi" w:hAnsiTheme="minorHAnsi" w:cstheme="minorHAnsi"/>
        </w:rPr>
        <w:t xml:space="preserve"> </w:t>
      </w:r>
      <w:r w:rsidRPr="008E0D27">
        <w:rPr>
          <w:rFonts w:asciiTheme="minorHAnsi" w:hAnsiTheme="minorHAnsi" w:cstheme="minorHAnsi"/>
        </w:rPr>
        <w:tab/>
        <w:t>Celkové náklady VOP CZ na realizaci zakázky činily 14 mil. Kč bez DPH.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D84"/>
    <w:multiLevelType w:val="hybridMultilevel"/>
    <w:tmpl w:val="1018BBB6"/>
    <w:lvl w:ilvl="0" w:tplc="BE3C809E">
      <w:start w:val="1"/>
      <w:numFmt w:val="bullet"/>
      <w:lvlText w:val=""/>
      <w:lvlJc w:val="left"/>
      <w:pPr>
        <w:ind w:left="846" w:hanging="360"/>
      </w:pPr>
      <w:rPr>
        <w:rFonts w:ascii="Symbol" w:hAnsi="Symbol" w:hint="default"/>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1" w15:restartNumberingAfterBreak="0">
    <w:nsid w:val="10E97E60"/>
    <w:multiLevelType w:val="hybridMultilevel"/>
    <w:tmpl w:val="D4463E0C"/>
    <w:lvl w:ilvl="0" w:tplc="BE3C80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FA5C96"/>
    <w:multiLevelType w:val="hybridMultilevel"/>
    <w:tmpl w:val="5AA28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35BE"/>
    <w:multiLevelType w:val="hybridMultilevel"/>
    <w:tmpl w:val="0792B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E60385"/>
    <w:multiLevelType w:val="hybridMultilevel"/>
    <w:tmpl w:val="4B520528"/>
    <w:lvl w:ilvl="0" w:tplc="BE3C809E">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5" w15:restartNumberingAfterBreak="0">
    <w:nsid w:val="1D185D48"/>
    <w:multiLevelType w:val="hybridMultilevel"/>
    <w:tmpl w:val="C8F03BE6"/>
    <w:lvl w:ilvl="0" w:tplc="BE3C809E">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E427C1C"/>
    <w:multiLevelType w:val="hybridMultilevel"/>
    <w:tmpl w:val="0EAE6968"/>
    <w:lvl w:ilvl="0" w:tplc="BE3C809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B70E00"/>
    <w:multiLevelType w:val="hybridMultilevel"/>
    <w:tmpl w:val="9AE4A0CC"/>
    <w:lvl w:ilvl="0" w:tplc="BE3C80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234BFD"/>
    <w:multiLevelType w:val="hybridMultilevel"/>
    <w:tmpl w:val="FFFABCB2"/>
    <w:lvl w:ilvl="0" w:tplc="BE3C80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C45BA2"/>
    <w:multiLevelType w:val="hybridMultilevel"/>
    <w:tmpl w:val="B7AE217C"/>
    <w:lvl w:ilvl="0" w:tplc="04050015">
      <w:start w:val="1"/>
      <w:numFmt w:val="upperLetter"/>
      <w:lvlText w:val="%1."/>
      <w:lvlJc w:val="left"/>
      <w:pPr>
        <w:ind w:left="502"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2D652806"/>
    <w:multiLevelType w:val="hybridMultilevel"/>
    <w:tmpl w:val="69789A7C"/>
    <w:lvl w:ilvl="0" w:tplc="2B604EC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EE1F72"/>
    <w:multiLevelType w:val="hybridMultilevel"/>
    <w:tmpl w:val="C6263920"/>
    <w:lvl w:ilvl="0" w:tplc="BE3C80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4C025A"/>
    <w:multiLevelType w:val="hybridMultilevel"/>
    <w:tmpl w:val="2010686C"/>
    <w:lvl w:ilvl="0" w:tplc="70DE756A">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2105470"/>
    <w:multiLevelType w:val="hybridMultilevel"/>
    <w:tmpl w:val="48729408"/>
    <w:lvl w:ilvl="0" w:tplc="BE3C80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E80530"/>
    <w:multiLevelType w:val="hybridMultilevel"/>
    <w:tmpl w:val="37922A42"/>
    <w:lvl w:ilvl="0" w:tplc="7B2471CE">
      <w:numFmt w:val="bullet"/>
      <w:lvlText w:val="-"/>
      <w:lvlJc w:val="left"/>
      <w:pPr>
        <w:ind w:left="4614" w:hanging="360"/>
      </w:pPr>
      <w:rPr>
        <w:rFonts w:ascii="Calibri" w:eastAsia="Calibri" w:hAnsi="Calibri" w:cs="Calibri" w:hint="default"/>
        <w:b/>
        <w:color w:val="auto"/>
      </w:rPr>
    </w:lvl>
    <w:lvl w:ilvl="1" w:tplc="04050003" w:tentative="1">
      <w:start w:val="1"/>
      <w:numFmt w:val="bullet"/>
      <w:lvlText w:val="o"/>
      <w:lvlJc w:val="left"/>
      <w:pPr>
        <w:ind w:left="5334" w:hanging="360"/>
      </w:pPr>
      <w:rPr>
        <w:rFonts w:ascii="Courier New" w:hAnsi="Courier New" w:cs="Courier New" w:hint="default"/>
      </w:rPr>
    </w:lvl>
    <w:lvl w:ilvl="2" w:tplc="04050005" w:tentative="1">
      <w:start w:val="1"/>
      <w:numFmt w:val="bullet"/>
      <w:lvlText w:val=""/>
      <w:lvlJc w:val="left"/>
      <w:pPr>
        <w:ind w:left="6054" w:hanging="360"/>
      </w:pPr>
      <w:rPr>
        <w:rFonts w:ascii="Wingdings" w:hAnsi="Wingdings" w:hint="default"/>
      </w:rPr>
    </w:lvl>
    <w:lvl w:ilvl="3" w:tplc="04050001" w:tentative="1">
      <w:start w:val="1"/>
      <w:numFmt w:val="bullet"/>
      <w:lvlText w:val=""/>
      <w:lvlJc w:val="left"/>
      <w:pPr>
        <w:ind w:left="6774" w:hanging="360"/>
      </w:pPr>
      <w:rPr>
        <w:rFonts w:ascii="Symbol" w:hAnsi="Symbol" w:hint="default"/>
      </w:rPr>
    </w:lvl>
    <w:lvl w:ilvl="4" w:tplc="04050003" w:tentative="1">
      <w:start w:val="1"/>
      <w:numFmt w:val="bullet"/>
      <w:lvlText w:val="o"/>
      <w:lvlJc w:val="left"/>
      <w:pPr>
        <w:ind w:left="7494" w:hanging="360"/>
      </w:pPr>
      <w:rPr>
        <w:rFonts w:ascii="Courier New" w:hAnsi="Courier New" w:cs="Courier New" w:hint="default"/>
      </w:rPr>
    </w:lvl>
    <w:lvl w:ilvl="5" w:tplc="04050005" w:tentative="1">
      <w:start w:val="1"/>
      <w:numFmt w:val="bullet"/>
      <w:lvlText w:val=""/>
      <w:lvlJc w:val="left"/>
      <w:pPr>
        <w:ind w:left="8214" w:hanging="360"/>
      </w:pPr>
      <w:rPr>
        <w:rFonts w:ascii="Wingdings" w:hAnsi="Wingdings" w:hint="default"/>
      </w:rPr>
    </w:lvl>
    <w:lvl w:ilvl="6" w:tplc="04050001" w:tentative="1">
      <w:start w:val="1"/>
      <w:numFmt w:val="bullet"/>
      <w:lvlText w:val=""/>
      <w:lvlJc w:val="left"/>
      <w:pPr>
        <w:ind w:left="8934" w:hanging="360"/>
      </w:pPr>
      <w:rPr>
        <w:rFonts w:ascii="Symbol" w:hAnsi="Symbol" w:hint="default"/>
      </w:rPr>
    </w:lvl>
    <w:lvl w:ilvl="7" w:tplc="04050003" w:tentative="1">
      <w:start w:val="1"/>
      <w:numFmt w:val="bullet"/>
      <w:lvlText w:val="o"/>
      <w:lvlJc w:val="left"/>
      <w:pPr>
        <w:ind w:left="9654" w:hanging="360"/>
      </w:pPr>
      <w:rPr>
        <w:rFonts w:ascii="Courier New" w:hAnsi="Courier New" w:cs="Courier New" w:hint="default"/>
      </w:rPr>
    </w:lvl>
    <w:lvl w:ilvl="8" w:tplc="04050005" w:tentative="1">
      <w:start w:val="1"/>
      <w:numFmt w:val="bullet"/>
      <w:lvlText w:val=""/>
      <w:lvlJc w:val="left"/>
      <w:pPr>
        <w:ind w:left="10374" w:hanging="360"/>
      </w:pPr>
      <w:rPr>
        <w:rFonts w:ascii="Wingdings" w:hAnsi="Wingdings" w:hint="default"/>
      </w:rPr>
    </w:lvl>
  </w:abstractNum>
  <w:abstractNum w:abstractNumId="15" w15:restartNumberingAfterBreak="0">
    <w:nsid w:val="34637A7D"/>
    <w:multiLevelType w:val="hybridMultilevel"/>
    <w:tmpl w:val="B42A2AF6"/>
    <w:lvl w:ilvl="0" w:tplc="04050001">
      <w:start w:val="1"/>
      <w:numFmt w:val="bullet"/>
      <w:lvlText w:val=""/>
      <w:lvlJc w:val="left"/>
      <w:pPr>
        <w:ind w:left="720" w:hanging="360"/>
      </w:pPr>
      <w:rPr>
        <w:rFonts w:ascii="Symbol" w:hAnsi="Symbo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3D02CD"/>
    <w:multiLevelType w:val="hybridMultilevel"/>
    <w:tmpl w:val="1D8607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1662DD9"/>
    <w:multiLevelType w:val="hybridMultilevel"/>
    <w:tmpl w:val="2D486A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724DA3"/>
    <w:multiLevelType w:val="hybridMultilevel"/>
    <w:tmpl w:val="5ACCC82E"/>
    <w:lvl w:ilvl="0" w:tplc="75DE4D84">
      <w:start w:val="1"/>
      <w:numFmt w:val="decimal"/>
      <w:lvlText w:val="%1."/>
      <w:lvlJc w:val="left"/>
      <w:pPr>
        <w:ind w:left="786" w:hanging="360"/>
      </w:pPr>
      <w:rPr>
        <w:rFonts w:asciiTheme="minorHAnsi" w:hAnsiTheme="minorHAnsi" w:cstheme="minorHAnsi" w:hint="default"/>
        <w:b/>
        <w:color w:val="auto"/>
      </w:rPr>
    </w:lvl>
    <w:lvl w:ilvl="1" w:tplc="04050011">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4B1D564F"/>
    <w:multiLevelType w:val="multilevel"/>
    <w:tmpl w:val="929E1A4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3875F5"/>
    <w:multiLevelType w:val="hybridMultilevel"/>
    <w:tmpl w:val="9362C1E0"/>
    <w:lvl w:ilvl="0" w:tplc="6AFA8D9E">
      <w:start w:val="1"/>
      <w:numFmt w:val="upperLetter"/>
      <w:lvlText w:val="%1."/>
      <w:lvlJc w:val="left"/>
      <w:pPr>
        <w:ind w:left="786" w:hanging="360"/>
      </w:pPr>
      <w:rPr>
        <w:rFonts w:hint="default"/>
        <w:b/>
        <w:strike w:val="0"/>
        <w:color w:val="auto"/>
      </w:rPr>
    </w:lvl>
    <w:lvl w:ilvl="1" w:tplc="04050011">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4D1328B6"/>
    <w:multiLevelType w:val="hybridMultilevel"/>
    <w:tmpl w:val="9CECACE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F20154"/>
    <w:multiLevelType w:val="hybridMultilevel"/>
    <w:tmpl w:val="362814A6"/>
    <w:lvl w:ilvl="0" w:tplc="BE3C809E">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3" w15:restartNumberingAfterBreak="0">
    <w:nsid w:val="53047B1A"/>
    <w:multiLevelType w:val="hybridMultilevel"/>
    <w:tmpl w:val="B448E062"/>
    <w:lvl w:ilvl="0" w:tplc="BE3C809E">
      <w:start w:val="1"/>
      <w:numFmt w:val="bullet"/>
      <w:lvlText w:val=""/>
      <w:lvlJc w:val="left"/>
      <w:pPr>
        <w:ind w:left="720" w:hanging="360"/>
      </w:pPr>
      <w:rPr>
        <w:rFonts w:ascii="Symbol" w:hAnsi="Symbo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1494B"/>
    <w:multiLevelType w:val="hybridMultilevel"/>
    <w:tmpl w:val="F3EC3D78"/>
    <w:lvl w:ilvl="0" w:tplc="50BE23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4B19BE"/>
    <w:multiLevelType w:val="hybridMultilevel"/>
    <w:tmpl w:val="CF8E106E"/>
    <w:lvl w:ilvl="0" w:tplc="0CD6EAF0">
      <w:start w:val="1"/>
      <w:numFmt w:val="lowerLetter"/>
      <w:lvlText w:val="%1)"/>
      <w:lvlJc w:val="left"/>
      <w:pPr>
        <w:ind w:left="1080" w:hanging="360"/>
      </w:pPr>
      <w:rPr>
        <w:rFonts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89E6EEF"/>
    <w:multiLevelType w:val="hybridMultilevel"/>
    <w:tmpl w:val="2A320570"/>
    <w:lvl w:ilvl="0" w:tplc="D4E4E0AE">
      <w:start w:val="93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3F07DA"/>
    <w:multiLevelType w:val="hybridMultilevel"/>
    <w:tmpl w:val="E86ABAB6"/>
    <w:lvl w:ilvl="0" w:tplc="BE3C809E">
      <w:start w:val="1"/>
      <w:numFmt w:val="bullet"/>
      <w:lvlText w:val=""/>
      <w:lvlJc w:val="left"/>
      <w:pPr>
        <w:ind w:left="720" w:hanging="360"/>
      </w:pPr>
      <w:rPr>
        <w:rFonts w:ascii="Symbol" w:hAnsi="Symbo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9939A9"/>
    <w:multiLevelType w:val="hybridMultilevel"/>
    <w:tmpl w:val="A7DAE5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B119CA"/>
    <w:multiLevelType w:val="hybridMultilevel"/>
    <w:tmpl w:val="FBAA70AA"/>
    <w:lvl w:ilvl="0" w:tplc="BE3C809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C415A47"/>
    <w:multiLevelType w:val="hybridMultilevel"/>
    <w:tmpl w:val="CAAA4FC4"/>
    <w:lvl w:ilvl="0" w:tplc="8E90AE92">
      <w:start w:val="8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713D0B"/>
    <w:multiLevelType w:val="hybridMultilevel"/>
    <w:tmpl w:val="27543038"/>
    <w:lvl w:ilvl="0" w:tplc="04050001">
      <w:start w:val="1"/>
      <w:numFmt w:val="bullet"/>
      <w:lvlText w:val=""/>
      <w:lvlJc w:val="left"/>
      <w:pPr>
        <w:ind w:left="1080" w:hanging="360"/>
      </w:pPr>
      <w:rPr>
        <w:rFonts w:ascii="Symbol" w:hAnsi="Symbo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C90A32"/>
    <w:multiLevelType w:val="hybridMultilevel"/>
    <w:tmpl w:val="9BC0AC48"/>
    <w:lvl w:ilvl="0" w:tplc="BE3C80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196302"/>
    <w:multiLevelType w:val="hybridMultilevel"/>
    <w:tmpl w:val="78C809EA"/>
    <w:lvl w:ilvl="0" w:tplc="D3EC7B6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A97DFC"/>
    <w:multiLevelType w:val="hybridMultilevel"/>
    <w:tmpl w:val="ED50C1CA"/>
    <w:lvl w:ilvl="0" w:tplc="6256F33A">
      <w:numFmt w:val="bullet"/>
      <w:lvlText w:val="-"/>
      <w:lvlJc w:val="left"/>
      <w:pPr>
        <w:ind w:left="720" w:hanging="360"/>
      </w:pPr>
      <w:rPr>
        <w:rFonts w:ascii="Calibri" w:eastAsiaTheme="minorHAnsi"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4"/>
  </w:num>
  <w:num w:numId="4">
    <w:abstractNumId w:val="17"/>
  </w:num>
  <w:num w:numId="5">
    <w:abstractNumId w:val="14"/>
  </w:num>
  <w:num w:numId="6">
    <w:abstractNumId w:val="12"/>
  </w:num>
  <w:num w:numId="7">
    <w:abstractNumId w:val="32"/>
  </w:num>
  <w:num w:numId="8">
    <w:abstractNumId w:val="25"/>
  </w:num>
  <w:num w:numId="9">
    <w:abstractNumId w:val="31"/>
  </w:num>
  <w:num w:numId="10">
    <w:abstractNumId w:val="29"/>
  </w:num>
  <w:num w:numId="11">
    <w:abstractNumId w:val="1"/>
  </w:num>
  <w:num w:numId="12">
    <w:abstractNumId w:val="7"/>
  </w:num>
  <w:num w:numId="13">
    <w:abstractNumId w:val="11"/>
  </w:num>
  <w:num w:numId="14">
    <w:abstractNumId w:val="21"/>
  </w:num>
  <w:num w:numId="15">
    <w:abstractNumId w:val="22"/>
  </w:num>
  <w:num w:numId="16">
    <w:abstractNumId w:val="6"/>
  </w:num>
  <w:num w:numId="17">
    <w:abstractNumId w:val="5"/>
  </w:num>
  <w:num w:numId="18">
    <w:abstractNumId w:val="13"/>
  </w:num>
  <w:num w:numId="19">
    <w:abstractNumId w:val="0"/>
  </w:num>
  <w:num w:numId="20">
    <w:abstractNumId w:val="10"/>
  </w:num>
  <w:num w:numId="21">
    <w:abstractNumId w:val="26"/>
  </w:num>
  <w:num w:numId="22">
    <w:abstractNumId w:val="34"/>
  </w:num>
  <w:num w:numId="23">
    <w:abstractNumId w:val="3"/>
  </w:num>
  <w:num w:numId="24">
    <w:abstractNumId w:val="4"/>
  </w:num>
  <w:num w:numId="25">
    <w:abstractNumId w:val="2"/>
  </w:num>
  <w:num w:numId="26">
    <w:abstractNumId w:val="18"/>
  </w:num>
  <w:num w:numId="27">
    <w:abstractNumId w:val="16"/>
  </w:num>
  <w:num w:numId="28">
    <w:abstractNumId w:val="19"/>
  </w:num>
  <w:num w:numId="29">
    <w:abstractNumId w:val="9"/>
  </w:num>
  <w:num w:numId="30">
    <w:abstractNumId w:val="33"/>
  </w:num>
  <w:num w:numId="31">
    <w:abstractNumId w:val="27"/>
  </w:num>
  <w:num w:numId="32">
    <w:abstractNumId w:val="15"/>
  </w:num>
  <w:num w:numId="33">
    <w:abstractNumId w:val="23"/>
  </w:num>
  <w:num w:numId="34">
    <w:abstractNumId w:val="8"/>
  </w:num>
  <w:num w:numId="3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284"/>
  <w:hyphenationZone w:val="425"/>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63"/>
    <w:rsid w:val="00000192"/>
    <w:rsid w:val="00000670"/>
    <w:rsid w:val="00000932"/>
    <w:rsid w:val="00000ECF"/>
    <w:rsid w:val="00001DA1"/>
    <w:rsid w:val="000028EB"/>
    <w:rsid w:val="00002A51"/>
    <w:rsid w:val="000031DB"/>
    <w:rsid w:val="00003B71"/>
    <w:rsid w:val="00003BEF"/>
    <w:rsid w:val="00003DFF"/>
    <w:rsid w:val="00003E01"/>
    <w:rsid w:val="000049E7"/>
    <w:rsid w:val="00004A85"/>
    <w:rsid w:val="000053F6"/>
    <w:rsid w:val="00005505"/>
    <w:rsid w:val="00005CA4"/>
    <w:rsid w:val="00005DD1"/>
    <w:rsid w:val="00006515"/>
    <w:rsid w:val="00006A03"/>
    <w:rsid w:val="00006C76"/>
    <w:rsid w:val="000075DC"/>
    <w:rsid w:val="00007F86"/>
    <w:rsid w:val="00010587"/>
    <w:rsid w:val="00010B18"/>
    <w:rsid w:val="00010C87"/>
    <w:rsid w:val="00011343"/>
    <w:rsid w:val="00012AEC"/>
    <w:rsid w:val="00012F7E"/>
    <w:rsid w:val="00013FEC"/>
    <w:rsid w:val="000146BD"/>
    <w:rsid w:val="000154FD"/>
    <w:rsid w:val="000156E8"/>
    <w:rsid w:val="0001574D"/>
    <w:rsid w:val="0001660A"/>
    <w:rsid w:val="000167AF"/>
    <w:rsid w:val="000168F4"/>
    <w:rsid w:val="00016AA8"/>
    <w:rsid w:val="00016D70"/>
    <w:rsid w:val="00016E73"/>
    <w:rsid w:val="0001728E"/>
    <w:rsid w:val="00017B5D"/>
    <w:rsid w:val="00020301"/>
    <w:rsid w:val="00021601"/>
    <w:rsid w:val="00021B61"/>
    <w:rsid w:val="0002216C"/>
    <w:rsid w:val="00022A31"/>
    <w:rsid w:val="00022A65"/>
    <w:rsid w:val="00022A7C"/>
    <w:rsid w:val="00022AB8"/>
    <w:rsid w:val="00023BD8"/>
    <w:rsid w:val="00024080"/>
    <w:rsid w:val="0002419B"/>
    <w:rsid w:val="000241C8"/>
    <w:rsid w:val="00024365"/>
    <w:rsid w:val="00024D4E"/>
    <w:rsid w:val="000255C9"/>
    <w:rsid w:val="000258DC"/>
    <w:rsid w:val="0002652E"/>
    <w:rsid w:val="0002687E"/>
    <w:rsid w:val="0002741F"/>
    <w:rsid w:val="0003154D"/>
    <w:rsid w:val="00031B7C"/>
    <w:rsid w:val="00031BC0"/>
    <w:rsid w:val="0003227C"/>
    <w:rsid w:val="0003255E"/>
    <w:rsid w:val="000326AA"/>
    <w:rsid w:val="00032A2F"/>
    <w:rsid w:val="00033315"/>
    <w:rsid w:val="0003342C"/>
    <w:rsid w:val="00033A69"/>
    <w:rsid w:val="00034076"/>
    <w:rsid w:val="00034A76"/>
    <w:rsid w:val="0003508B"/>
    <w:rsid w:val="00035602"/>
    <w:rsid w:val="00035CD9"/>
    <w:rsid w:val="00036A86"/>
    <w:rsid w:val="00036B4D"/>
    <w:rsid w:val="00036E98"/>
    <w:rsid w:val="000378EB"/>
    <w:rsid w:val="00037A77"/>
    <w:rsid w:val="0004051E"/>
    <w:rsid w:val="0004078C"/>
    <w:rsid w:val="00040808"/>
    <w:rsid w:val="0004124E"/>
    <w:rsid w:val="000424C6"/>
    <w:rsid w:val="0004299C"/>
    <w:rsid w:val="00042D18"/>
    <w:rsid w:val="00042E50"/>
    <w:rsid w:val="00043D4D"/>
    <w:rsid w:val="00044500"/>
    <w:rsid w:val="00044858"/>
    <w:rsid w:val="00045960"/>
    <w:rsid w:val="00045AAE"/>
    <w:rsid w:val="00046EFE"/>
    <w:rsid w:val="0005054A"/>
    <w:rsid w:val="00050723"/>
    <w:rsid w:val="00051112"/>
    <w:rsid w:val="000511C3"/>
    <w:rsid w:val="00051699"/>
    <w:rsid w:val="00051935"/>
    <w:rsid w:val="00051A2C"/>
    <w:rsid w:val="00052283"/>
    <w:rsid w:val="00052ADF"/>
    <w:rsid w:val="00053573"/>
    <w:rsid w:val="0005371B"/>
    <w:rsid w:val="00053FE7"/>
    <w:rsid w:val="000540FC"/>
    <w:rsid w:val="000562F4"/>
    <w:rsid w:val="00057151"/>
    <w:rsid w:val="00057447"/>
    <w:rsid w:val="0005755D"/>
    <w:rsid w:val="00060A2C"/>
    <w:rsid w:val="00060A65"/>
    <w:rsid w:val="00061562"/>
    <w:rsid w:val="00061583"/>
    <w:rsid w:val="00061C38"/>
    <w:rsid w:val="00061C4B"/>
    <w:rsid w:val="000620BF"/>
    <w:rsid w:val="000626DE"/>
    <w:rsid w:val="00062BA6"/>
    <w:rsid w:val="0006325F"/>
    <w:rsid w:val="00063BE5"/>
    <w:rsid w:val="0006438D"/>
    <w:rsid w:val="00064945"/>
    <w:rsid w:val="000655E8"/>
    <w:rsid w:val="000657CE"/>
    <w:rsid w:val="000658D1"/>
    <w:rsid w:val="00065DED"/>
    <w:rsid w:val="00065F48"/>
    <w:rsid w:val="00066198"/>
    <w:rsid w:val="00066240"/>
    <w:rsid w:val="000672E6"/>
    <w:rsid w:val="00067DDE"/>
    <w:rsid w:val="00070A17"/>
    <w:rsid w:val="00071252"/>
    <w:rsid w:val="00071A27"/>
    <w:rsid w:val="00071EFE"/>
    <w:rsid w:val="0007227E"/>
    <w:rsid w:val="00072511"/>
    <w:rsid w:val="00072D0A"/>
    <w:rsid w:val="000739AF"/>
    <w:rsid w:val="00073BB8"/>
    <w:rsid w:val="00073D72"/>
    <w:rsid w:val="00073DB3"/>
    <w:rsid w:val="00074418"/>
    <w:rsid w:val="000752E1"/>
    <w:rsid w:val="00075391"/>
    <w:rsid w:val="00075707"/>
    <w:rsid w:val="0007634F"/>
    <w:rsid w:val="000764E9"/>
    <w:rsid w:val="0007695F"/>
    <w:rsid w:val="000770F6"/>
    <w:rsid w:val="00077E98"/>
    <w:rsid w:val="000802AE"/>
    <w:rsid w:val="00083150"/>
    <w:rsid w:val="000839EB"/>
    <w:rsid w:val="00083DBA"/>
    <w:rsid w:val="00084E88"/>
    <w:rsid w:val="000865C9"/>
    <w:rsid w:val="00086B4E"/>
    <w:rsid w:val="00086CB0"/>
    <w:rsid w:val="00086E5D"/>
    <w:rsid w:val="00090F60"/>
    <w:rsid w:val="00091505"/>
    <w:rsid w:val="00091B08"/>
    <w:rsid w:val="0009226B"/>
    <w:rsid w:val="00092CE3"/>
    <w:rsid w:val="00092FDC"/>
    <w:rsid w:val="00093B58"/>
    <w:rsid w:val="00094183"/>
    <w:rsid w:val="00094687"/>
    <w:rsid w:val="00095594"/>
    <w:rsid w:val="0009632E"/>
    <w:rsid w:val="00097052"/>
    <w:rsid w:val="000973E3"/>
    <w:rsid w:val="00097F4E"/>
    <w:rsid w:val="000A060A"/>
    <w:rsid w:val="000A0884"/>
    <w:rsid w:val="000A0DE4"/>
    <w:rsid w:val="000A16FA"/>
    <w:rsid w:val="000A2728"/>
    <w:rsid w:val="000A35D1"/>
    <w:rsid w:val="000A37F8"/>
    <w:rsid w:val="000A387B"/>
    <w:rsid w:val="000A421F"/>
    <w:rsid w:val="000A5351"/>
    <w:rsid w:val="000A56F7"/>
    <w:rsid w:val="000A5B3B"/>
    <w:rsid w:val="000A647F"/>
    <w:rsid w:val="000A65E3"/>
    <w:rsid w:val="000A666B"/>
    <w:rsid w:val="000A6CD3"/>
    <w:rsid w:val="000A6DEC"/>
    <w:rsid w:val="000A765F"/>
    <w:rsid w:val="000B0B8B"/>
    <w:rsid w:val="000B1AB3"/>
    <w:rsid w:val="000B26BF"/>
    <w:rsid w:val="000B3906"/>
    <w:rsid w:val="000B3F77"/>
    <w:rsid w:val="000B4564"/>
    <w:rsid w:val="000B4E5B"/>
    <w:rsid w:val="000B4F18"/>
    <w:rsid w:val="000B5436"/>
    <w:rsid w:val="000B5549"/>
    <w:rsid w:val="000B5566"/>
    <w:rsid w:val="000B63BE"/>
    <w:rsid w:val="000B72D9"/>
    <w:rsid w:val="000B7723"/>
    <w:rsid w:val="000B7F37"/>
    <w:rsid w:val="000C0472"/>
    <w:rsid w:val="000C07E3"/>
    <w:rsid w:val="000C125E"/>
    <w:rsid w:val="000C1B70"/>
    <w:rsid w:val="000C1DA4"/>
    <w:rsid w:val="000C2F0E"/>
    <w:rsid w:val="000C3188"/>
    <w:rsid w:val="000C3F8A"/>
    <w:rsid w:val="000C481E"/>
    <w:rsid w:val="000C4B54"/>
    <w:rsid w:val="000C5AB8"/>
    <w:rsid w:val="000C6AA1"/>
    <w:rsid w:val="000C6EB8"/>
    <w:rsid w:val="000C78E7"/>
    <w:rsid w:val="000D0A0C"/>
    <w:rsid w:val="000D106A"/>
    <w:rsid w:val="000D20AF"/>
    <w:rsid w:val="000D2F3B"/>
    <w:rsid w:val="000D3473"/>
    <w:rsid w:val="000D3605"/>
    <w:rsid w:val="000D3B37"/>
    <w:rsid w:val="000D46BB"/>
    <w:rsid w:val="000D4922"/>
    <w:rsid w:val="000D5DA6"/>
    <w:rsid w:val="000D6014"/>
    <w:rsid w:val="000D7009"/>
    <w:rsid w:val="000E0C96"/>
    <w:rsid w:val="000E0DDB"/>
    <w:rsid w:val="000E12E7"/>
    <w:rsid w:val="000E14BF"/>
    <w:rsid w:val="000E1D61"/>
    <w:rsid w:val="000E2182"/>
    <w:rsid w:val="000E2575"/>
    <w:rsid w:val="000E2A5C"/>
    <w:rsid w:val="000E2F98"/>
    <w:rsid w:val="000E3A95"/>
    <w:rsid w:val="000E4C12"/>
    <w:rsid w:val="000E4C36"/>
    <w:rsid w:val="000E558B"/>
    <w:rsid w:val="000E55A4"/>
    <w:rsid w:val="000E5FA1"/>
    <w:rsid w:val="000E616F"/>
    <w:rsid w:val="000E6E7E"/>
    <w:rsid w:val="000E7F8E"/>
    <w:rsid w:val="000F0799"/>
    <w:rsid w:val="000F0D5B"/>
    <w:rsid w:val="000F1789"/>
    <w:rsid w:val="000F1E6C"/>
    <w:rsid w:val="000F2064"/>
    <w:rsid w:val="000F2FBF"/>
    <w:rsid w:val="000F329C"/>
    <w:rsid w:val="000F42B6"/>
    <w:rsid w:val="000F44E9"/>
    <w:rsid w:val="000F45AF"/>
    <w:rsid w:val="000F54EC"/>
    <w:rsid w:val="000F6789"/>
    <w:rsid w:val="000F68E3"/>
    <w:rsid w:val="000F7A99"/>
    <w:rsid w:val="000F7BAE"/>
    <w:rsid w:val="0010043E"/>
    <w:rsid w:val="00100654"/>
    <w:rsid w:val="0010087F"/>
    <w:rsid w:val="00100A19"/>
    <w:rsid w:val="0010189F"/>
    <w:rsid w:val="00101B4E"/>
    <w:rsid w:val="00101DFA"/>
    <w:rsid w:val="00101E07"/>
    <w:rsid w:val="00102F95"/>
    <w:rsid w:val="001038D3"/>
    <w:rsid w:val="0010397D"/>
    <w:rsid w:val="001043C9"/>
    <w:rsid w:val="00105236"/>
    <w:rsid w:val="00105D99"/>
    <w:rsid w:val="00106151"/>
    <w:rsid w:val="001067DC"/>
    <w:rsid w:val="00106909"/>
    <w:rsid w:val="00106C12"/>
    <w:rsid w:val="00106CF7"/>
    <w:rsid w:val="00106F23"/>
    <w:rsid w:val="00110C30"/>
    <w:rsid w:val="00110EBC"/>
    <w:rsid w:val="00110F31"/>
    <w:rsid w:val="00111226"/>
    <w:rsid w:val="001114E8"/>
    <w:rsid w:val="001116A6"/>
    <w:rsid w:val="0011197A"/>
    <w:rsid w:val="00112DA8"/>
    <w:rsid w:val="00113003"/>
    <w:rsid w:val="00113035"/>
    <w:rsid w:val="00113669"/>
    <w:rsid w:val="00113D9D"/>
    <w:rsid w:val="00113EE4"/>
    <w:rsid w:val="00113FFA"/>
    <w:rsid w:val="00114529"/>
    <w:rsid w:val="00114D91"/>
    <w:rsid w:val="00114FD9"/>
    <w:rsid w:val="00115031"/>
    <w:rsid w:val="001152BA"/>
    <w:rsid w:val="00115C47"/>
    <w:rsid w:val="00115EDE"/>
    <w:rsid w:val="00116456"/>
    <w:rsid w:val="00116544"/>
    <w:rsid w:val="0011658E"/>
    <w:rsid w:val="00116AEF"/>
    <w:rsid w:val="00116BE5"/>
    <w:rsid w:val="00116C55"/>
    <w:rsid w:val="00117CB6"/>
    <w:rsid w:val="001209F3"/>
    <w:rsid w:val="00120D2F"/>
    <w:rsid w:val="00121412"/>
    <w:rsid w:val="00121CCA"/>
    <w:rsid w:val="00122032"/>
    <w:rsid w:val="00122A2F"/>
    <w:rsid w:val="001230B6"/>
    <w:rsid w:val="001239B2"/>
    <w:rsid w:val="00123E0C"/>
    <w:rsid w:val="00123FBB"/>
    <w:rsid w:val="00124308"/>
    <w:rsid w:val="00124B16"/>
    <w:rsid w:val="001258DF"/>
    <w:rsid w:val="00125D95"/>
    <w:rsid w:val="001275F2"/>
    <w:rsid w:val="00130E4C"/>
    <w:rsid w:val="00131076"/>
    <w:rsid w:val="001310BC"/>
    <w:rsid w:val="0013122D"/>
    <w:rsid w:val="00132440"/>
    <w:rsid w:val="001325A2"/>
    <w:rsid w:val="00132D38"/>
    <w:rsid w:val="0013353D"/>
    <w:rsid w:val="00134AA8"/>
    <w:rsid w:val="00134C36"/>
    <w:rsid w:val="00135676"/>
    <w:rsid w:val="00135847"/>
    <w:rsid w:val="0013632B"/>
    <w:rsid w:val="0013651C"/>
    <w:rsid w:val="001368AD"/>
    <w:rsid w:val="00136B69"/>
    <w:rsid w:val="00136B8C"/>
    <w:rsid w:val="00136EF6"/>
    <w:rsid w:val="00137703"/>
    <w:rsid w:val="00137947"/>
    <w:rsid w:val="00140FE8"/>
    <w:rsid w:val="00141293"/>
    <w:rsid w:val="00141496"/>
    <w:rsid w:val="001418AA"/>
    <w:rsid w:val="00141E34"/>
    <w:rsid w:val="001425FD"/>
    <w:rsid w:val="00142886"/>
    <w:rsid w:val="0014296D"/>
    <w:rsid w:val="00142D0F"/>
    <w:rsid w:val="00143408"/>
    <w:rsid w:val="001437EA"/>
    <w:rsid w:val="00143A2D"/>
    <w:rsid w:val="00143C0C"/>
    <w:rsid w:val="00144E33"/>
    <w:rsid w:val="00144EC2"/>
    <w:rsid w:val="0014582A"/>
    <w:rsid w:val="00145C14"/>
    <w:rsid w:val="00145EDA"/>
    <w:rsid w:val="0014669F"/>
    <w:rsid w:val="001469F8"/>
    <w:rsid w:val="0014797D"/>
    <w:rsid w:val="00150034"/>
    <w:rsid w:val="00150CD1"/>
    <w:rsid w:val="001519FD"/>
    <w:rsid w:val="001521CE"/>
    <w:rsid w:val="0015242F"/>
    <w:rsid w:val="00152849"/>
    <w:rsid w:val="00152F09"/>
    <w:rsid w:val="0015305D"/>
    <w:rsid w:val="00153178"/>
    <w:rsid w:val="00153704"/>
    <w:rsid w:val="001538EE"/>
    <w:rsid w:val="00153F11"/>
    <w:rsid w:val="001543F3"/>
    <w:rsid w:val="001549EA"/>
    <w:rsid w:val="00154BD0"/>
    <w:rsid w:val="00154C3E"/>
    <w:rsid w:val="00155239"/>
    <w:rsid w:val="001554E2"/>
    <w:rsid w:val="00155F5C"/>
    <w:rsid w:val="001561D5"/>
    <w:rsid w:val="00156318"/>
    <w:rsid w:val="001566B6"/>
    <w:rsid w:val="00156C53"/>
    <w:rsid w:val="00156E29"/>
    <w:rsid w:val="00156E73"/>
    <w:rsid w:val="00157D5D"/>
    <w:rsid w:val="00160B4D"/>
    <w:rsid w:val="00160CDC"/>
    <w:rsid w:val="0016112D"/>
    <w:rsid w:val="0016131F"/>
    <w:rsid w:val="00162137"/>
    <w:rsid w:val="00162BE3"/>
    <w:rsid w:val="00162FD1"/>
    <w:rsid w:val="001637E8"/>
    <w:rsid w:val="001638D7"/>
    <w:rsid w:val="001645FE"/>
    <w:rsid w:val="00164806"/>
    <w:rsid w:val="00164834"/>
    <w:rsid w:val="00164EA0"/>
    <w:rsid w:val="001659F7"/>
    <w:rsid w:val="00166096"/>
    <w:rsid w:val="00166529"/>
    <w:rsid w:val="00167AD3"/>
    <w:rsid w:val="00170152"/>
    <w:rsid w:val="00170340"/>
    <w:rsid w:val="001719DC"/>
    <w:rsid w:val="00171F47"/>
    <w:rsid w:val="00172123"/>
    <w:rsid w:val="00172262"/>
    <w:rsid w:val="001723ED"/>
    <w:rsid w:val="00173D86"/>
    <w:rsid w:val="00174B80"/>
    <w:rsid w:val="00177724"/>
    <w:rsid w:val="00177B83"/>
    <w:rsid w:val="00180830"/>
    <w:rsid w:val="001813D2"/>
    <w:rsid w:val="0018148A"/>
    <w:rsid w:val="00182270"/>
    <w:rsid w:val="001824C2"/>
    <w:rsid w:val="00183784"/>
    <w:rsid w:val="00183A88"/>
    <w:rsid w:val="00183E73"/>
    <w:rsid w:val="00184091"/>
    <w:rsid w:val="00184232"/>
    <w:rsid w:val="0018480F"/>
    <w:rsid w:val="00184CEA"/>
    <w:rsid w:val="00185071"/>
    <w:rsid w:val="00185D85"/>
    <w:rsid w:val="00185ED4"/>
    <w:rsid w:val="0018649B"/>
    <w:rsid w:val="00186A46"/>
    <w:rsid w:val="00186DF5"/>
    <w:rsid w:val="00187089"/>
    <w:rsid w:val="00187C7D"/>
    <w:rsid w:val="00187F6F"/>
    <w:rsid w:val="001906EF"/>
    <w:rsid w:val="00190D54"/>
    <w:rsid w:val="0019132C"/>
    <w:rsid w:val="00192EFE"/>
    <w:rsid w:val="0019401D"/>
    <w:rsid w:val="00194206"/>
    <w:rsid w:val="00194A2A"/>
    <w:rsid w:val="001953FB"/>
    <w:rsid w:val="00195563"/>
    <w:rsid w:val="001959F4"/>
    <w:rsid w:val="00196657"/>
    <w:rsid w:val="00196C6C"/>
    <w:rsid w:val="00196CB7"/>
    <w:rsid w:val="00197580"/>
    <w:rsid w:val="0019793C"/>
    <w:rsid w:val="00197BBE"/>
    <w:rsid w:val="001A05E4"/>
    <w:rsid w:val="001A0FDE"/>
    <w:rsid w:val="001A1844"/>
    <w:rsid w:val="001A44AD"/>
    <w:rsid w:val="001A470F"/>
    <w:rsid w:val="001A4C78"/>
    <w:rsid w:val="001A5463"/>
    <w:rsid w:val="001A5D5C"/>
    <w:rsid w:val="001A669C"/>
    <w:rsid w:val="001A68E2"/>
    <w:rsid w:val="001A6F98"/>
    <w:rsid w:val="001A6FD8"/>
    <w:rsid w:val="001A7794"/>
    <w:rsid w:val="001A7BBC"/>
    <w:rsid w:val="001A7CA7"/>
    <w:rsid w:val="001B0011"/>
    <w:rsid w:val="001B0623"/>
    <w:rsid w:val="001B1184"/>
    <w:rsid w:val="001B149E"/>
    <w:rsid w:val="001B1CCF"/>
    <w:rsid w:val="001B24EC"/>
    <w:rsid w:val="001B2DBC"/>
    <w:rsid w:val="001B4EC7"/>
    <w:rsid w:val="001B517A"/>
    <w:rsid w:val="001B5373"/>
    <w:rsid w:val="001B5B91"/>
    <w:rsid w:val="001B66D7"/>
    <w:rsid w:val="001B6890"/>
    <w:rsid w:val="001B7900"/>
    <w:rsid w:val="001B7C86"/>
    <w:rsid w:val="001C0011"/>
    <w:rsid w:val="001C0910"/>
    <w:rsid w:val="001C0D21"/>
    <w:rsid w:val="001C189B"/>
    <w:rsid w:val="001C196C"/>
    <w:rsid w:val="001C203F"/>
    <w:rsid w:val="001C2708"/>
    <w:rsid w:val="001C3472"/>
    <w:rsid w:val="001C3751"/>
    <w:rsid w:val="001C3A08"/>
    <w:rsid w:val="001C4520"/>
    <w:rsid w:val="001C49CB"/>
    <w:rsid w:val="001C4F93"/>
    <w:rsid w:val="001C5283"/>
    <w:rsid w:val="001C6019"/>
    <w:rsid w:val="001C6636"/>
    <w:rsid w:val="001C68CF"/>
    <w:rsid w:val="001C73D2"/>
    <w:rsid w:val="001C7590"/>
    <w:rsid w:val="001C7CFA"/>
    <w:rsid w:val="001C7DE7"/>
    <w:rsid w:val="001C7E5B"/>
    <w:rsid w:val="001D16BC"/>
    <w:rsid w:val="001D193C"/>
    <w:rsid w:val="001D1EA6"/>
    <w:rsid w:val="001D281E"/>
    <w:rsid w:val="001D29B9"/>
    <w:rsid w:val="001D2FE6"/>
    <w:rsid w:val="001D4D84"/>
    <w:rsid w:val="001D5841"/>
    <w:rsid w:val="001D588F"/>
    <w:rsid w:val="001D5E83"/>
    <w:rsid w:val="001D65E2"/>
    <w:rsid w:val="001D6FBC"/>
    <w:rsid w:val="001D7189"/>
    <w:rsid w:val="001E0975"/>
    <w:rsid w:val="001E09C2"/>
    <w:rsid w:val="001E0FB2"/>
    <w:rsid w:val="001E1427"/>
    <w:rsid w:val="001E1AC2"/>
    <w:rsid w:val="001E1F9A"/>
    <w:rsid w:val="001E1FC5"/>
    <w:rsid w:val="001E28B7"/>
    <w:rsid w:val="001E3E28"/>
    <w:rsid w:val="001E4065"/>
    <w:rsid w:val="001E4B2E"/>
    <w:rsid w:val="001E4D47"/>
    <w:rsid w:val="001E5727"/>
    <w:rsid w:val="001E5BD1"/>
    <w:rsid w:val="001E5C1D"/>
    <w:rsid w:val="001E68A9"/>
    <w:rsid w:val="001E7763"/>
    <w:rsid w:val="001E7B3C"/>
    <w:rsid w:val="001F01EB"/>
    <w:rsid w:val="001F06A4"/>
    <w:rsid w:val="001F07B8"/>
    <w:rsid w:val="001F25D5"/>
    <w:rsid w:val="001F27F0"/>
    <w:rsid w:val="001F2852"/>
    <w:rsid w:val="001F2C01"/>
    <w:rsid w:val="001F32BE"/>
    <w:rsid w:val="001F46DC"/>
    <w:rsid w:val="001F48ED"/>
    <w:rsid w:val="001F4A2E"/>
    <w:rsid w:val="001F4DE1"/>
    <w:rsid w:val="001F4FC6"/>
    <w:rsid w:val="001F5B75"/>
    <w:rsid w:val="001F6B6D"/>
    <w:rsid w:val="001F7210"/>
    <w:rsid w:val="001F729C"/>
    <w:rsid w:val="002003AA"/>
    <w:rsid w:val="0020068C"/>
    <w:rsid w:val="00200F79"/>
    <w:rsid w:val="00201BEB"/>
    <w:rsid w:val="002029B5"/>
    <w:rsid w:val="00202B50"/>
    <w:rsid w:val="00203512"/>
    <w:rsid w:val="00203A2F"/>
    <w:rsid w:val="0020443D"/>
    <w:rsid w:val="0020457B"/>
    <w:rsid w:val="0020490C"/>
    <w:rsid w:val="00206AAE"/>
    <w:rsid w:val="00206B16"/>
    <w:rsid w:val="00206D88"/>
    <w:rsid w:val="00207F28"/>
    <w:rsid w:val="0021118C"/>
    <w:rsid w:val="00211D4F"/>
    <w:rsid w:val="00211EA0"/>
    <w:rsid w:val="00212091"/>
    <w:rsid w:val="00212413"/>
    <w:rsid w:val="002142D4"/>
    <w:rsid w:val="00214F9C"/>
    <w:rsid w:val="0021516C"/>
    <w:rsid w:val="00217459"/>
    <w:rsid w:val="00217743"/>
    <w:rsid w:val="00220059"/>
    <w:rsid w:val="00221759"/>
    <w:rsid w:val="00222566"/>
    <w:rsid w:val="00223263"/>
    <w:rsid w:val="002239BD"/>
    <w:rsid w:val="00223B2B"/>
    <w:rsid w:val="00224040"/>
    <w:rsid w:val="002248C8"/>
    <w:rsid w:val="00225048"/>
    <w:rsid w:val="002250BB"/>
    <w:rsid w:val="00225F4B"/>
    <w:rsid w:val="002268EB"/>
    <w:rsid w:val="00230091"/>
    <w:rsid w:val="00230152"/>
    <w:rsid w:val="002305D5"/>
    <w:rsid w:val="002306B4"/>
    <w:rsid w:val="00231794"/>
    <w:rsid w:val="00231ACF"/>
    <w:rsid w:val="00231F46"/>
    <w:rsid w:val="002330A6"/>
    <w:rsid w:val="002331FE"/>
    <w:rsid w:val="00234245"/>
    <w:rsid w:val="00236F7C"/>
    <w:rsid w:val="00237102"/>
    <w:rsid w:val="00237C97"/>
    <w:rsid w:val="00240D00"/>
    <w:rsid w:val="00240E1B"/>
    <w:rsid w:val="002410C4"/>
    <w:rsid w:val="00242256"/>
    <w:rsid w:val="00242B70"/>
    <w:rsid w:val="00242DB0"/>
    <w:rsid w:val="00243624"/>
    <w:rsid w:val="00243AA6"/>
    <w:rsid w:val="00243C07"/>
    <w:rsid w:val="00243FE4"/>
    <w:rsid w:val="002448A2"/>
    <w:rsid w:val="00245856"/>
    <w:rsid w:val="00245BC6"/>
    <w:rsid w:val="00245F55"/>
    <w:rsid w:val="0024600F"/>
    <w:rsid w:val="00246114"/>
    <w:rsid w:val="00250573"/>
    <w:rsid w:val="00251296"/>
    <w:rsid w:val="00252A36"/>
    <w:rsid w:val="00252CA2"/>
    <w:rsid w:val="00252ECE"/>
    <w:rsid w:val="00253050"/>
    <w:rsid w:val="002533F8"/>
    <w:rsid w:val="00253E17"/>
    <w:rsid w:val="00254B0E"/>
    <w:rsid w:val="002572CE"/>
    <w:rsid w:val="00257C2F"/>
    <w:rsid w:val="00257E6F"/>
    <w:rsid w:val="00260FE7"/>
    <w:rsid w:val="002612B7"/>
    <w:rsid w:val="002616C5"/>
    <w:rsid w:val="00261A64"/>
    <w:rsid w:val="00261BDB"/>
    <w:rsid w:val="00261DE3"/>
    <w:rsid w:val="0026253B"/>
    <w:rsid w:val="00262C94"/>
    <w:rsid w:val="002634A4"/>
    <w:rsid w:val="0026398F"/>
    <w:rsid w:val="00264646"/>
    <w:rsid w:val="00266941"/>
    <w:rsid w:val="00266ED4"/>
    <w:rsid w:val="002672F0"/>
    <w:rsid w:val="00267313"/>
    <w:rsid w:val="00267B15"/>
    <w:rsid w:val="0027164B"/>
    <w:rsid w:val="00271D0E"/>
    <w:rsid w:val="00271E52"/>
    <w:rsid w:val="0027259E"/>
    <w:rsid w:val="00272AF5"/>
    <w:rsid w:val="00272DEC"/>
    <w:rsid w:val="00273437"/>
    <w:rsid w:val="002734CC"/>
    <w:rsid w:val="00273933"/>
    <w:rsid w:val="00274259"/>
    <w:rsid w:val="00275ACB"/>
    <w:rsid w:val="00275E07"/>
    <w:rsid w:val="00276274"/>
    <w:rsid w:val="00276A5C"/>
    <w:rsid w:val="00276D65"/>
    <w:rsid w:val="00277615"/>
    <w:rsid w:val="00277FA4"/>
    <w:rsid w:val="00280592"/>
    <w:rsid w:val="002806B2"/>
    <w:rsid w:val="00280863"/>
    <w:rsid w:val="00281B38"/>
    <w:rsid w:val="00283146"/>
    <w:rsid w:val="002834C7"/>
    <w:rsid w:val="00284738"/>
    <w:rsid w:val="00284B42"/>
    <w:rsid w:val="00284FEC"/>
    <w:rsid w:val="002850EE"/>
    <w:rsid w:val="00285720"/>
    <w:rsid w:val="00285C34"/>
    <w:rsid w:val="00285CF5"/>
    <w:rsid w:val="0028694E"/>
    <w:rsid w:val="00287008"/>
    <w:rsid w:val="002870EB"/>
    <w:rsid w:val="002872A5"/>
    <w:rsid w:val="00287942"/>
    <w:rsid w:val="00287BA5"/>
    <w:rsid w:val="00287C1A"/>
    <w:rsid w:val="00287C66"/>
    <w:rsid w:val="00290F9C"/>
    <w:rsid w:val="00291C0A"/>
    <w:rsid w:val="00292080"/>
    <w:rsid w:val="0029246A"/>
    <w:rsid w:val="00292C76"/>
    <w:rsid w:val="0029318A"/>
    <w:rsid w:val="0029465B"/>
    <w:rsid w:val="002952D6"/>
    <w:rsid w:val="00295CA2"/>
    <w:rsid w:val="002970D3"/>
    <w:rsid w:val="002978CB"/>
    <w:rsid w:val="00297BEA"/>
    <w:rsid w:val="00297D41"/>
    <w:rsid w:val="00297DE2"/>
    <w:rsid w:val="002A0046"/>
    <w:rsid w:val="002A0432"/>
    <w:rsid w:val="002A05CC"/>
    <w:rsid w:val="002A078C"/>
    <w:rsid w:val="002A07D6"/>
    <w:rsid w:val="002A0814"/>
    <w:rsid w:val="002A1785"/>
    <w:rsid w:val="002A1B8D"/>
    <w:rsid w:val="002A233C"/>
    <w:rsid w:val="002A29F6"/>
    <w:rsid w:val="002A318B"/>
    <w:rsid w:val="002A37B6"/>
    <w:rsid w:val="002A3EA0"/>
    <w:rsid w:val="002A402D"/>
    <w:rsid w:val="002A6714"/>
    <w:rsid w:val="002A68FA"/>
    <w:rsid w:val="002A7252"/>
    <w:rsid w:val="002A7A6A"/>
    <w:rsid w:val="002A7A8F"/>
    <w:rsid w:val="002A7AA5"/>
    <w:rsid w:val="002B0428"/>
    <w:rsid w:val="002B131D"/>
    <w:rsid w:val="002B1974"/>
    <w:rsid w:val="002B2458"/>
    <w:rsid w:val="002B2667"/>
    <w:rsid w:val="002B284C"/>
    <w:rsid w:val="002B2C66"/>
    <w:rsid w:val="002B2EE7"/>
    <w:rsid w:val="002B359A"/>
    <w:rsid w:val="002B3960"/>
    <w:rsid w:val="002B40E1"/>
    <w:rsid w:val="002B43F3"/>
    <w:rsid w:val="002B44B5"/>
    <w:rsid w:val="002B44FE"/>
    <w:rsid w:val="002B58B7"/>
    <w:rsid w:val="002B5BB7"/>
    <w:rsid w:val="002B5C3E"/>
    <w:rsid w:val="002B5D48"/>
    <w:rsid w:val="002B5E93"/>
    <w:rsid w:val="002B71A2"/>
    <w:rsid w:val="002B7A89"/>
    <w:rsid w:val="002B7F17"/>
    <w:rsid w:val="002C0145"/>
    <w:rsid w:val="002C049A"/>
    <w:rsid w:val="002C0943"/>
    <w:rsid w:val="002C0A79"/>
    <w:rsid w:val="002C0BBA"/>
    <w:rsid w:val="002C0C75"/>
    <w:rsid w:val="002C0D33"/>
    <w:rsid w:val="002C110F"/>
    <w:rsid w:val="002C1D07"/>
    <w:rsid w:val="002C1DB8"/>
    <w:rsid w:val="002C25D9"/>
    <w:rsid w:val="002C2B1A"/>
    <w:rsid w:val="002C305C"/>
    <w:rsid w:val="002C3139"/>
    <w:rsid w:val="002C345C"/>
    <w:rsid w:val="002C3A5C"/>
    <w:rsid w:val="002C3C9B"/>
    <w:rsid w:val="002C4DDA"/>
    <w:rsid w:val="002C5746"/>
    <w:rsid w:val="002C57DE"/>
    <w:rsid w:val="002C659C"/>
    <w:rsid w:val="002C6FC2"/>
    <w:rsid w:val="002C7564"/>
    <w:rsid w:val="002D0805"/>
    <w:rsid w:val="002D0950"/>
    <w:rsid w:val="002D1457"/>
    <w:rsid w:val="002D18F3"/>
    <w:rsid w:val="002D1B32"/>
    <w:rsid w:val="002D1F87"/>
    <w:rsid w:val="002D3136"/>
    <w:rsid w:val="002D3536"/>
    <w:rsid w:val="002D3F80"/>
    <w:rsid w:val="002D40AC"/>
    <w:rsid w:val="002D41E9"/>
    <w:rsid w:val="002D480F"/>
    <w:rsid w:val="002D513A"/>
    <w:rsid w:val="002D578C"/>
    <w:rsid w:val="002D5DA9"/>
    <w:rsid w:val="002D6BB9"/>
    <w:rsid w:val="002D6F20"/>
    <w:rsid w:val="002D774C"/>
    <w:rsid w:val="002D7BC0"/>
    <w:rsid w:val="002E01EA"/>
    <w:rsid w:val="002E046A"/>
    <w:rsid w:val="002E04E2"/>
    <w:rsid w:val="002E08C9"/>
    <w:rsid w:val="002E10C1"/>
    <w:rsid w:val="002E1219"/>
    <w:rsid w:val="002E1D2E"/>
    <w:rsid w:val="002E2C9F"/>
    <w:rsid w:val="002E2F0D"/>
    <w:rsid w:val="002E36BE"/>
    <w:rsid w:val="002E3DDA"/>
    <w:rsid w:val="002E4096"/>
    <w:rsid w:val="002E6258"/>
    <w:rsid w:val="002E6450"/>
    <w:rsid w:val="002E691C"/>
    <w:rsid w:val="002E6A06"/>
    <w:rsid w:val="002E72CD"/>
    <w:rsid w:val="002F024F"/>
    <w:rsid w:val="002F097A"/>
    <w:rsid w:val="002F14BE"/>
    <w:rsid w:val="002F1CEB"/>
    <w:rsid w:val="002F2717"/>
    <w:rsid w:val="002F2E55"/>
    <w:rsid w:val="002F3C93"/>
    <w:rsid w:val="002F47B8"/>
    <w:rsid w:val="002F480F"/>
    <w:rsid w:val="002F542C"/>
    <w:rsid w:val="002F573B"/>
    <w:rsid w:val="002F5CCC"/>
    <w:rsid w:val="002F6654"/>
    <w:rsid w:val="002F6835"/>
    <w:rsid w:val="002F6CFC"/>
    <w:rsid w:val="002F7495"/>
    <w:rsid w:val="002F7786"/>
    <w:rsid w:val="002F7D86"/>
    <w:rsid w:val="00302120"/>
    <w:rsid w:val="00302601"/>
    <w:rsid w:val="00302E67"/>
    <w:rsid w:val="00304644"/>
    <w:rsid w:val="00304ED3"/>
    <w:rsid w:val="00304FF5"/>
    <w:rsid w:val="00305463"/>
    <w:rsid w:val="00305F2D"/>
    <w:rsid w:val="00306346"/>
    <w:rsid w:val="0030654D"/>
    <w:rsid w:val="003066C3"/>
    <w:rsid w:val="00306A1C"/>
    <w:rsid w:val="00306D30"/>
    <w:rsid w:val="00306F89"/>
    <w:rsid w:val="003074EA"/>
    <w:rsid w:val="00310A64"/>
    <w:rsid w:val="00310AC6"/>
    <w:rsid w:val="00310EED"/>
    <w:rsid w:val="0031107D"/>
    <w:rsid w:val="00311705"/>
    <w:rsid w:val="0031193D"/>
    <w:rsid w:val="00312042"/>
    <w:rsid w:val="00312682"/>
    <w:rsid w:val="00312836"/>
    <w:rsid w:val="00312BFA"/>
    <w:rsid w:val="00313199"/>
    <w:rsid w:val="003139E0"/>
    <w:rsid w:val="00314A00"/>
    <w:rsid w:val="00314B4A"/>
    <w:rsid w:val="00314CDB"/>
    <w:rsid w:val="00315142"/>
    <w:rsid w:val="003153EB"/>
    <w:rsid w:val="003157FB"/>
    <w:rsid w:val="00315F96"/>
    <w:rsid w:val="00315FCD"/>
    <w:rsid w:val="003162B9"/>
    <w:rsid w:val="003162D1"/>
    <w:rsid w:val="003166B6"/>
    <w:rsid w:val="003166F6"/>
    <w:rsid w:val="00316C7A"/>
    <w:rsid w:val="00317261"/>
    <w:rsid w:val="00317C17"/>
    <w:rsid w:val="003202FF"/>
    <w:rsid w:val="0032056A"/>
    <w:rsid w:val="003206E1"/>
    <w:rsid w:val="00320EE0"/>
    <w:rsid w:val="003213F6"/>
    <w:rsid w:val="003216F2"/>
    <w:rsid w:val="00321D66"/>
    <w:rsid w:val="003232B1"/>
    <w:rsid w:val="00323B15"/>
    <w:rsid w:val="00323E67"/>
    <w:rsid w:val="00324DDF"/>
    <w:rsid w:val="00325FA4"/>
    <w:rsid w:val="003265B0"/>
    <w:rsid w:val="003272F2"/>
    <w:rsid w:val="00331690"/>
    <w:rsid w:val="00332865"/>
    <w:rsid w:val="00333E99"/>
    <w:rsid w:val="00333F7A"/>
    <w:rsid w:val="0033499C"/>
    <w:rsid w:val="00334AED"/>
    <w:rsid w:val="003351E5"/>
    <w:rsid w:val="0033586C"/>
    <w:rsid w:val="00335934"/>
    <w:rsid w:val="00336057"/>
    <w:rsid w:val="0033626F"/>
    <w:rsid w:val="0033629A"/>
    <w:rsid w:val="00336EA2"/>
    <w:rsid w:val="003378D0"/>
    <w:rsid w:val="003379B2"/>
    <w:rsid w:val="003400FC"/>
    <w:rsid w:val="00340435"/>
    <w:rsid w:val="00340EBC"/>
    <w:rsid w:val="00341096"/>
    <w:rsid w:val="00341121"/>
    <w:rsid w:val="00341300"/>
    <w:rsid w:val="003415E5"/>
    <w:rsid w:val="00341608"/>
    <w:rsid w:val="0034173B"/>
    <w:rsid w:val="003417B6"/>
    <w:rsid w:val="00341849"/>
    <w:rsid w:val="00341A5D"/>
    <w:rsid w:val="00341CAF"/>
    <w:rsid w:val="00342158"/>
    <w:rsid w:val="00343320"/>
    <w:rsid w:val="00343563"/>
    <w:rsid w:val="0034379D"/>
    <w:rsid w:val="00343C34"/>
    <w:rsid w:val="0034488F"/>
    <w:rsid w:val="00344A94"/>
    <w:rsid w:val="00345317"/>
    <w:rsid w:val="003453AA"/>
    <w:rsid w:val="00345A5D"/>
    <w:rsid w:val="00345E32"/>
    <w:rsid w:val="00346303"/>
    <w:rsid w:val="00346343"/>
    <w:rsid w:val="00346521"/>
    <w:rsid w:val="0034655F"/>
    <w:rsid w:val="00347250"/>
    <w:rsid w:val="0034748C"/>
    <w:rsid w:val="00347528"/>
    <w:rsid w:val="003503C9"/>
    <w:rsid w:val="003507D2"/>
    <w:rsid w:val="00351332"/>
    <w:rsid w:val="00351F75"/>
    <w:rsid w:val="00352016"/>
    <w:rsid w:val="003521AD"/>
    <w:rsid w:val="00352836"/>
    <w:rsid w:val="00352A51"/>
    <w:rsid w:val="0035352F"/>
    <w:rsid w:val="00353783"/>
    <w:rsid w:val="00353F67"/>
    <w:rsid w:val="003540AE"/>
    <w:rsid w:val="00354107"/>
    <w:rsid w:val="00354815"/>
    <w:rsid w:val="0035485C"/>
    <w:rsid w:val="00354DC9"/>
    <w:rsid w:val="003555B7"/>
    <w:rsid w:val="00355767"/>
    <w:rsid w:val="00355919"/>
    <w:rsid w:val="003602CB"/>
    <w:rsid w:val="00360DE6"/>
    <w:rsid w:val="00361277"/>
    <w:rsid w:val="003616C0"/>
    <w:rsid w:val="00361875"/>
    <w:rsid w:val="00362815"/>
    <w:rsid w:val="00363165"/>
    <w:rsid w:val="00363ECA"/>
    <w:rsid w:val="00364B62"/>
    <w:rsid w:val="00365168"/>
    <w:rsid w:val="00365497"/>
    <w:rsid w:val="003677F8"/>
    <w:rsid w:val="00367A7D"/>
    <w:rsid w:val="00371455"/>
    <w:rsid w:val="003714FA"/>
    <w:rsid w:val="003715A9"/>
    <w:rsid w:val="003723DB"/>
    <w:rsid w:val="00372A47"/>
    <w:rsid w:val="00373046"/>
    <w:rsid w:val="0037342C"/>
    <w:rsid w:val="00373766"/>
    <w:rsid w:val="0037412C"/>
    <w:rsid w:val="0037420A"/>
    <w:rsid w:val="00374D7F"/>
    <w:rsid w:val="00374EED"/>
    <w:rsid w:val="0037517C"/>
    <w:rsid w:val="003760F9"/>
    <w:rsid w:val="0037641D"/>
    <w:rsid w:val="0037666A"/>
    <w:rsid w:val="00376A1A"/>
    <w:rsid w:val="00376A68"/>
    <w:rsid w:val="00376C33"/>
    <w:rsid w:val="00377962"/>
    <w:rsid w:val="00377C3D"/>
    <w:rsid w:val="00377F4B"/>
    <w:rsid w:val="003801D5"/>
    <w:rsid w:val="00381135"/>
    <w:rsid w:val="00381DF6"/>
    <w:rsid w:val="00381DFA"/>
    <w:rsid w:val="00381E9F"/>
    <w:rsid w:val="003821EA"/>
    <w:rsid w:val="00382352"/>
    <w:rsid w:val="0038275B"/>
    <w:rsid w:val="00382DF0"/>
    <w:rsid w:val="00383329"/>
    <w:rsid w:val="00383ED6"/>
    <w:rsid w:val="00384149"/>
    <w:rsid w:val="00384D3F"/>
    <w:rsid w:val="00385B6B"/>
    <w:rsid w:val="0038671D"/>
    <w:rsid w:val="00386722"/>
    <w:rsid w:val="0038693A"/>
    <w:rsid w:val="00386FEE"/>
    <w:rsid w:val="00387471"/>
    <w:rsid w:val="003874F0"/>
    <w:rsid w:val="00387A18"/>
    <w:rsid w:val="0039078E"/>
    <w:rsid w:val="0039190C"/>
    <w:rsid w:val="00391B51"/>
    <w:rsid w:val="00391D47"/>
    <w:rsid w:val="00391F3A"/>
    <w:rsid w:val="00391FBB"/>
    <w:rsid w:val="00392CBF"/>
    <w:rsid w:val="00392CCC"/>
    <w:rsid w:val="003936F8"/>
    <w:rsid w:val="00393D50"/>
    <w:rsid w:val="00394838"/>
    <w:rsid w:val="003949F9"/>
    <w:rsid w:val="00394AAC"/>
    <w:rsid w:val="003956BB"/>
    <w:rsid w:val="00395B4F"/>
    <w:rsid w:val="00395D4D"/>
    <w:rsid w:val="00396155"/>
    <w:rsid w:val="00396A94"/>
    <w:rsid w:val="00396EAE"/>
    <w:rsid w:val="003978AF"/>
    <w:rsid w:val="00397FDE"/>
    <w:rsid w:val="003A1B76"/>
    <w:rsid w:val="003A1C84"/>
    <w:rsid w:val="003A1D01"/>
    <w:rsid w:val="003A2001"/>
    <w:rsid w:val="003A249F"/>
    <w:rsid w:val="003A25F6"/>
    <w:rsid w:val="003A2709"/>
    <w:rsid w:val="003A27BA"/>
    <w:rsid w:val="003A2C2C"/>
    <w:rsid w:val="003A30C9"/>
    <w:rsid w:val="003A3179"/>
    <w:rsid w:val="003A3CBD"/>
    <w:rsid w:val="003A3DBC"/>
    <w:rsid w:val="003A5076"/>
    <w:rsid w:val="003A55BA"/>
    <w:rsid w:val="003A5C3C"/>
    <w:rsid w:val="003A61D4"/>
    <w:rsid w:val="003A7869"/>
    <w:rsid w:val="003A7B37"/>
    <w:rsid w:val="003A7CBB"/>
    <w:rsid w:val="003A7D0E"/>
    <w:rsid w:val="003B154D"/>
    <w:rsid w:val="003B2435"/>
    <w:rsid w:val="003B2DC6"/>
    <w:rsid w:val="003B40E2"/>
    <w:rsid w:val="003B4613"/>
    <w:rsid w:val="003B4AEA"/>
    <w:rsid w:val="003B5A6D"/>
    <w:rsid w:val="003B5A9A"/>
    <w:rsid w:val="003B62C4"/>
    <w:rsid w:val="003B63BE"/>
    <w:rsid w:val="003B671D"/>
    <w:rsid w:val="003B77D6"/>
    <w:rsid w:val="003C001B"/>
    <w:rsid w:val="003C0503"/>
    <w:rsid w:val="003C0781"/>
    <w:rsid w:val="003C1079"/>
    <w:rsid w:val="003C13D6"/>
    <w:rsid w:val="003C1F7E"/>
    <w:rsid w:val="003C2063"/>
    <w:rsid w:val="003C2281"/>
    <w:rsid w:val="003C2BCF"/>
    <w:rsid w:val="003C2D54"/>
    <w:rsid w:val="003C3687"/>
    <w:rsid w:val="003C3B31"/>
    <w:rsid w:val="003C47BB"/>
    <w:rsid w:val="003C49FA"/>
    <w:rsid w:val="003C5389"/>
    <w:rsid w:val="003C61F8"/>
    <w:rsid w:val="003C63AC"/>
    <w:rsid w:val="003C6AC5"/>
    <w:rsid w:val="003C6B8A"/>
    <w:rsid w:val="003C6C8D"/>
    <w:rsid w:val="003C6F05"/>
    <w:rsid w:val="003C7622"/>
    <w:rsid w:val="003C79DF"/>
    <w:rsid w:val="003D0AF7"/>
    <w:rsid w:val="003D1368"/>
    <w:rsid w:val="003D14EC"/>
    <w:rsid w:val="003D187C"/>
    <w:rsid w:val="003D1894"/>
    <w:rsid w:val="003D1B63"/>
    <w:rsid w:val="003D1D47"/>
    <w:rsid w:val="003D3005"/>
    <w:rsid w:val="003D41C0"/>
    <w:rsid w:val="003D45B7"/>
    <w:rsid w:val="003D5028"/>
    <w:rsid w:val="003D6C88"/>
    <w:rsid w:val="003D7354"/>
    <w:rsid w:val="003D79EB"/>
    <w:rsid w:val="003E04AC"/>
    <w:rsid w:val="003E06BF"/>
    <w:rsid w:val="003E0C6C"/>
    <w:rsid w:val="003E0CFB"/>
    <w:rsid w:val="003E293C"/>
    <w:rsid w:val="003E2C8B"/>
    <w:rsid w:val="003E2E16"/>
    <w:rsid w:val="003E2E5B"/>
    <w:rsid w:val="003E310B"/>
    <w:rsid w:val="003E313B"/>
    <w:rsid w:val="003E3360"/>
    <w:rsid w:val="003E36FE"/>
    <w:rsid w:val="003E3A1A"/>
    <w:rsid w:val="003E486D"/>
    <w:rsid w:val="003E49B9"/>
    <w:rsid w:val="003E4D6E"/>
    <w:rsid w:val="003E5EB2"/>
    <w:rsid w:val="003E6924"/>
    <w:rsid w:val="003E6A48"/>
    <w:rsid w:val="003E6DA1"/>
    <w:rsid w:val="003F04EB"/>
    <w:rsid w:val="003F0DAB"/>
    <w:rsid w:val="003F0EE0"/>
    <w:rsid w:val="003F12DA"/>
    <w:rsid w:val="003F1745"/>
    <w:rsid w:val="003F19C3"/>
    <w:rsid w:val="003F28CB"/>
    <w:rsid w:val="003F3099"/>
    <w:rsid w:val="003F3299"/>
    <w:rsid w:val="003F3908"/>
    <w:rsid w:val="003F3A31"/>
    <w:rsid w:val="003F4704"/>
    <w:rsid w:val="003F4845"/>
    <w:rsid w:val="003F5C5C"/>
    <w:rsid w:val="003F5E0A"/>
    <w:rsid w:val="003F64B9"/>
    <w:rsid w:val="003F68C7"/>
    <w:rsid w:val="003F73AF"/>
    <w:rsid w:val="003F758F"/>
    <w:rsid w:val="003F75A4"/>
    <w:rsid w:val="003F7B67"/>
    <w:rsid w:val="003F7CAA"/>
    <w:rsid w:val="003F7ED4"/>
    <w:rsid w:val="00400024"/>
    <w:rsid w:val="004000B7"/>
    <w:rsid w:val="004011AF"/>
    <w:rsid w:val="00401B31"/>
    <w:rsid w:val="004024CF"/>
    <w:rsid w:val="00402B02"/>
    <w:rsid w:val="00403021"/>
    <w:rsid w:val="00403022"/>
    <w:rsid w:val="004036BD"/>
    <w:rsid w:val="00403916"/>
    <w:rsid w:val="00403DD5"/>
    <w:rsid w:val="0040402E"/>
    <w:rsid w:val="004045CA"/>
    <w:rsid w:val="00404820"/>
    <w:rsid w:val="00404A8A"/>
    <w:rsid w:val="0040546F"/>
    <w:rsid w:val="00405755"/>
    <w:rsid w:val="00407623"/>
    <w:rsid w:val="00407954"/>
    <w:rsid w:val="00407D2F"/>
    <w:rsid w:val="00410046"/>
    <w:rsid w:val="0041031D"/>
    <w:rsid w:val="0041100F"/>
    <w:rsid w:val="004114D8"/>
    <w:rsid w:val="004122D5"/>
    <w:rsid w:val="00413028"/>
    <w:rsid w:val="00413353"/>
    <w:rsid w:val="0041498D"/>
    <w:rsid w:val="00414FE4"/>
    <w:rsid w:val="00415C67"/>
    <w:rsid w:val="004161C7"/>
    <w:rsid w:val="00416C50"/>
    <w:rsid w:val="00417514"/>
    <w:rsid w:val="004177C0"/>
    <w:rsid w:val="00417867"/>
    <w:rsid w:val="00417BC8"/>
    <w:rsid w:val="00420086"/>
    <w:rsid w:val="004204F7"/>
    <w:rsid w:val="004206EA"/>
    <w:rsid w:val="00420A2A"/>
    <w:rsid w:val="00422392"/>
    <w:rsid w:val="004236D4"/>
    <w:rsid w:val="004247C7"/>
    <w:rsid w:val="00424E12"/>
    <w:rsid w:val="00425712"/>
    <w:rsid w:val="00426A01"/>
    <w:rsid w:val="00427C00"/>
    <w:rsid w:val="0043008D"/>
    <w:rsid w:val="00430B4E"/>
    <w:rsid w:val="00431764"/>
    <w:rsid w:val="00431FB1"/>
    <w:rsid w:val="004326DB"/>
    <w:rsid w:val="004328A0"/>
    <w:rsid w:val="00432E3F"/>
    <w:rsid w:val="0043368A"/>
    <w:rsid w:val="00433A8E"/>
    <w:rsid w:val="00433FD7"/>
    <w:rsid w:val="0043439D"/>
    <w:rsid w:val="00434C3E"/>
    <w:rsid w:val="00435044"/>
    <w:rsid w:val="004352FF"/>
    <w:rsid w:val="004363FF"/>
    <w:rsid w:val="0043707A"/>
    <w:rsid w:val="0043716B"/>
    <w:rsid w:val="00437C5C"/>
    <w:rsid w:val="00440DCE"/>
    <w:rsid w:val="00441118"/>
    <w:rsid w:val="00441294"/>
    <w:rsid w:val="00441B03"/>
    <w:rsid w:val="004423DA"/>
    <w:rsid w:val="00442772"/>
    <w:rsid w:val="004429CF"/>
    <w:rsid w:val="00442A6D"/>
    <w:rsid w:val="00442C09"/>
    <w:rsid w:val="00442E1F"/>
    <w:rsid w:val="00442ED1"/>
    <w:rsid w:val="004440E9"/>
    <w:rsid w:val="00444793"/>
    <w:rsid w:val="004448BE"/>
    <w:rsid w:val="00444DD2"/>
    <w:rsid w:val="00445F92"/>
    <w:rsid w:val="004461A9"/>
    <w:rsid w:val="004469D2"/>
    <w:rsid w:val="00446E19"/>
    <w:rsid w:val="004471BA"/>
    <w:rsid w:val="00447AD2"/>
    <w:rsid w:val="00447B1E"/>
    <w:rsid w:val="00450483"/>
    <w:rsid w:val="004506F5"/>
    <w:rsid w:val="00450906"/>
    <w:rsid w:val="0045134E"/>
    <w:rsid w:val="004516EC"/>
    <w:rsid w:val="00451F11"/>
    <w:rsid w:val="00452CC9"/>
    <w:rsid w:val="00452E93"/>
    <w:rsid w:val="0045316E"/>
    <w:rsid w:val="004531C3"/>
    <w:rsid w:val="00453729"/>
    <w:rsid w:val="00454342"/>
    <w:rsid w:val="004548DC"/>
    <w:rsid w:val="00454C8E"/>
    <w:rsid w:val="0045590F"/>
    <w:rsid w:val="004559DD"/>
    <w:rsid w:val="00456922"/>
    <w:rsid w:val="00457664"/>
    <w:rsid w:val="00457E96"/>
    <w:rsid w:val="0046036B"/>
    <w:rsid w:val="004608AC"/>
    <w:rsid w:val="004613F7"/>
    <w:rsid w:val="0046145F"/>
    <w:rsid w:val="00461567"/>
    <w:rsid w:val="00461762"/>
    <w:rsid w:val="004623F2"/>
    <w:rsid w:val="0046274A"/>
    <w:rsid w:val="00462F78"/>
    <w:rsid w:val="004632FE"/>
    <w:rsid w:val="00464892"/>
    <w:rsid w:val="00464CCB"/>
    <w:rsid w:val="0046505B"/>
    <w:rsid w:val="00465DFA"/>
    <w:rsid w:val="00467A0B"/>
    <w:rsid w:val="00467AAF"/>
    <w:rsid w:val="00467E88"/>
    <w:rsid w:val="00470460"/>
    <w:rsid w:val="004705E5"/>
    <w:rsid w:val="00471976"/>
    <w:rsid w:val="004727DB"/>
    <w:rsid w:val="00472AFE"/>
    <w:rsid w:val="00472D05"/>
    <w:rsid w:val="00472DAB"/>
    <w:rsid w:val="00472FA0"/>
    <w:rsid w:val="004731B1"/>
    <w:rsid w:val="00473E20"/>
    <w:rsid w:val="00473F91"/>
    <w:rsid w:val="00474851"/>
    <w:rsid w:val="0047496C"/>
    <w:rsid w:val="00475FA9"/>
    <w:rsid w:val="004765F3"/>
    <w:rsid w:val="00476DE7"/>
    <w:rsid w:val="004770C7"/>
    <w:rsid w:val="004771AF"/>
    <w:rsid w:val="0047749B"/>
    <w:rsid w:val="0047758E"/>
    <w:rsid w:val="0047789B"/>
    <w:rsid w:val="00482B89"/>
    <w:rsid w:val="00483500"/>
    <w:rsid w:val="00483881"/>
    <w:rsid w:val="00483F05"/>
    <w:rsid w:val="00484504"/>
    <w:rsid w:val="0048462A"/>
    <w:rsid w:val="004847E1"/>
    <w:rsid w:val="0048548F"/>
    <w:rsid w:val="00485F91"/>
    <w:rsid w:val="00486906"/>
    <w:rsid w:val="00486E7F"/>
    <w:rsid w:val="004871CF"/>
    <w:rsid w:val="004903D0"/>
    <w:rsid w:val="004906E0"/>
    <w:rsid w:val="00491474"/>
    <w:rsid w:val="00492942"/>
    <w:rsid w:val="00492B45"/>
    <w:rsid w:val="00492BE3"/>
    <w:rsid w:val="00492E33"/>
    <w:rsid w:val="00493109"/>
    <w:rsid w:val="00493509"/>
    <w:rsid w:val="00493907"/>
    <w:rsid w:val="004949A3"/>
    <w:rsid w:val="004957EC"/>
    <w:rsid w:val="00495E3F"/>
    <w:rsid w:val="00495FCE"/>
    <w:rsid w:val="004960BC"/>
    <w:rsid w:val="00497DCC"/>
    <w:rsid w:val="004A05A2"/>
    <w:rsid w:val="004A11C5"/>
    <w:rsid w:val="004A16AE"/>
    <w:rsid w:val="004A16FD"/>
    <w:rsid w:val="004A17FA"/>
    <w:rsid w:val="004A18AA"/>
    <w:rsid w:val="004A197A"/>
    <w:rsid w:val="004A27D4"/>
    <w:rsid w:val="004A3500"/>
    <w:rsid w:val="004A3F76"/>
    <w:rsid w:val="004A4935"/>
    <w:rsid w:val="004A4BE2"/>
    <w:rsid w:val="004A4F7C"/>
    <w:rsid w:val="004A5291"/>
    <w:rsid w:val="004A53ED"/>
    <w:rsid w:val="004A5C5A"/>
    <w:rsid w:val="004A6327"/>
    <w:rsid w:val="004A6B35"/>
    <w:rsid w:val="004A6BE9"/>
    <w:rsid w:val="004A6D4E"/>
    <w:rsid w:val="004A7011"/>
    <w:rsid w:val="004A70B1"/>
    <w:rsid w:val="004A7619"/>
    <w:rsid w:val="004A7679"/>
    <w:rsid w:val="004B0227"/>
    <w:rsid w:val="004B0702"/>
    <w:rsid w:val="004B13D4"/>
    <w:rsid w:val="004B14C5"/>
    <w:rsid w:val="004B15A2"/>
    <w:rsid w:val="004B1773"/>
    <w:rsid w:val="004B2279"/>
    <w:rsid w:val="004B2380"/>
    <w:rsid w:val="004B2839"/>
    <w:rsid w:val="004B3996"/>
    <w:rsid w:val="004B3E47"/>
    <w:rsid w:val="004B3E7F"/>
    <w:rsid w:val="004B4634"/>
    <w:rsid w:val="004B4FC0"/>
    <w:rsid w:val="004B5D37"/>
    <w:rsid w:val="004B5E7F"/>
    <w:rsid w:val="004B7A58"/>
    <w:rsid w:val="004B7B7E"/>
    <w:rsid w:val="004C0454"/>
    <w:rsid w:val="004C0D87"/>
    <w:rsid w:val="004C1394"/>
    <w:rsid w:val="004C1413"/>
    <w:rsid w:val="004C1A86"/>
    <w:rsid w:val="004C1AD1"/>
    <w:rsid w:val="004C2EE4"/>
    <w:rsid w:val="004C3B23"/>
    <w:rsid w:val="004C434A"/>
    <w:rsid w:val="004C5760"/>
    <w:rsid w:val="004C5E28"/>
    <w:rsid w:val="004C5F90"/>
    <w:rsid w:val="004C78E7"/>
    <w:rsid w:val="004C7DAE"/>
    <w:rsid w:val="004D02C7"/>
    <w:rsid w:val="004D0887"/>
    <w:rsid w:val="004D0DA0"/>
    <w:rsid w:val="004D1133"/>
    <w:rsid w:val="004D23D8"/>
    <w:rsid w:val="004D2CA4"/>
    <w:rsid w:val="004D2DAA"/>
    <w:rsid w:val="004D2EBA"/>
    <w:rsid w:val="004D40CF"/>
    <w:rsid w:val="004D4BE4"/>
    <w:rsid w:val="004D59F0"/>
    <w:rsid w:val="004D6DF2"/>
    <w:rsid w:val="004E020F"/>
    <w:rsid w:val="004E0265"/>
    <w:rsid w:val="004E1039"/>
    <w:rsid w:val="004E11AD"/>
    <w:rsid w:val="004E134C"/>
    <w:rsid w:val="004E15CB"/>
    <w:rsid w:val="004E18EF"/>
    <w:rsid w:val="004E19D5"/>
    <w:rsid w:val="004E1D23"/>
    <w:rsid w:val="004E2C2E"/>
    <w:rsid w:val="004E2CF3"/>
    <w:rsid w:val="004E2F1B"/>
    <w:rsid w:val="004E31D6"/>
    <w:rsid w:val="004E325F"/>
    <w:rsid w:val="004E3694"/>
    <w:rsid w:val="004E3B5F"/>
    <w:rsid w:val="004E415C"/>
    <w:rsid w:val="004E6C8E"/>
    <w:rsid w:val="004E7534"/>
    <w:rsid w:val="004E790E"/>
    <w:rsid w:val="004F0033"/>
    <w:rsid w:val="004F06BD"/>
    <w:rsid w:val="004F0757"/>
    <w:rsid w:val="004F08AC"/>
    <w:rsid w:val="004F1E59"/>
    <w:rsid w:val="004F261F"/>
    <w:rsid w:val="004F2FFD"/>
    <w:rsid w:val="004F3454"/>
    <w:rsid w:val="004F39C9"/>
    <w:rsid w:val="004F42D1"/>
    <w:rsid w:val="004F4540"/>
    <w:rsid w:val="004F492A"/>
    <w:rsid w:val="004F5790"/>
    <w:rsid w:val="004F5A4E"/>
    <w:rsid w:val="004F5E20"/>
    <w:rsid w:val="004F5F2F"/>
    <w:rsid w:val="004F60BB"/>
    <w:rsid w:val="004F6312"/>
    <w:rsid w:val="004F631B"/>
    <w:rsid w:val="004F64CE"/>
    <w:rsid w:val="004F665E"/>
    <w:rsid w:val="004F6AAE"/>
    <w:rsid w:val="004F7A7B"/>
    <w:rsid w:val="004F7C6E"/>
    <w:rsid w:val="00500052"/>
    <w:rsid w:val="00500162"/>
    <w:rsid w:val="00501A70"/>
    <w:rsid w:val="005025BA"/>
    <w:rsid w:val="00502A41"/>
    <w:rsid w:val="00503BBF"/>
    <w:rsid w:val="0050517B"/>
    <w:rsid w:val="00506FAD"/>
    <w:rsid w:val="00507B56"/>
    <w:rsid w:val="00510194"/>
    <w:rsid w:val="00511021"/>
    <w:rsid w:val="00512467"/>
    <w:rsid w:val="00512704"/>
    <w:rsid w:val="00512A75"/>
    <w:rsid w:val="0051324A"/>
    <w:rsid w:val="0051331B"/>
    <w:rsid w:val="0051388C"/>
    <w:rsid w:val="00513BA5"/>
    <w:rsid w:val="00513D04"/>
    <w:rsid w:val="00514080"/>
    <w:rsid w:val="00515DE5"/>
    <w:rsid w:val="0051606F"/>
    <w:rsid w:val="00516259"/>
    <w:rsid w:val="00516C51"/>
    <w:rsid w:val="0051780F"/>
    <w:rsid w:val="00517AF2"/>
    <w:rsid w:val="00517E43"/>
    <w:rsid w:val="00517FDD"/>
    <w:rsid w:val="005208BA"/>
    <w:rsid w:val="00522595"/>
    <w:rsid w:val="005228D9"/>
    <w:rsid w:val="00523274"/>
    <w:rsid w:val="00523C3E"/>
    <w:rsid w:val="005254EB"/>
    <w:rsid w:val="0052578B"/>
    <w:rsid w:val="00525E49"/>
    <w:rsid w:val="005263D2"/>
    <w:rsid w:val="0052675E"/>
    <w:rsid w:val="00526BB4"/>
    <w:rsid w:val="00526CF2"/>
    <w:rsid w:val="005274EB"/>
    <w:rsid w:val="00527840"/>
    <w:rsid w:val="00527BF5"/>
    <w:rsid w:val="00531666"/>
    <w:rsid w:val="00532008"/>
    <w:rsid w:val="005353B7"/>
    <w:rsid w:val="005366DD"/>
    <w:rsid w:val="005370F4"/>
    <w:rsid w:val="005401FE"/>
    <w:rsid w:val="00540922"/>
    <w:rsid w:val="00540B05"/>
    <w:rsid w:val="00540D7A"/>
    <w:rsid w:val="00542313"/>
    <w:rsid w:val="005423B2"/>
    <w:rsid w:val="00542AF0"/>
    <w:rsid w:val="00543057"/>
    <w:rsid w:val="005452E6"/>
    <w:rsid w:val="00545332"/>
    <w:rsid w:val="005453FA"/>
    <w:rsid w:val="005457B5"/>
    <w:rsid w:val="005465DF"/>
    <w:rsid w:val="00546632"/>
    <w:rsid w:val="00546939"/>
    <w:rsid w:val="00546D79"/>
    <w:rsid w:val="00546EAF"/>
    <w:rsid w:val="00550042"/>
    <w:rsid w:val="00550805"/>
    <w:rsid w:val="00550BC0"/>
    <w:rsid w:val="00550F80"/>
    <w:rsid w:val="00550FC6"/>
    <w:rsid w:val="00551B1F"/>
    <w:rsid w:val="0055243C"/>
    <w:rsid w:val="00552ADD"/>
    <w:rsid w:val="005532C1"/>
    <w:rsid w:val="005541D6"/>
    <w:rsid w:val="005543D7"/>
    <w:rsid w:val="0055575A"/>
    <w:rsid w:val="00556A06"/>
    <w:rsid w:val="005574FF"/>
    <w:rsid w:val="00560223"/>
    <w:rsid w:val="00560B19"/>
    <w:rsid w:val="00560DDA"/>
    <w:rsid w:val="00560E7A"/>
    <w:rsid w:val="005613B4"/>
    <w:rsid w:val="0056151E"/>
    <w:rsid w:val="00561746"/>
    <w:rsid w:val="00562545"/>
    <w:rsid w:val="0056265E"/>
    <w:rsid w:val="00562B24"/>
    <w:rsid w:val="00563DDB"/>
    <w:rsid w:val="00564343"/>
    <w:rsid w:val="00564A2C"/>
    <w:rsid w:val="00564DA5"/>
    <w:rsid w:val="005651E6"/>
    <w:rsid w:val="005655DE"/>
    <w:rsid w:val="00565674"/>
    <w:rsid w:val="0056587B"/>
    <w:rsid w:val="0056659C"/>
    <w:rsid w:val="005673C1"/>
    <w:rsid w:val="0056797F"/>
    <w:rsid w:val="00567A24"/>
    <w:rsid w:val="0057033E"/>
    <w:rsid w:val="00570603"/>
    <w:rsid w:val="00570B37"/>
    <w:rsid w:val="00570C9C"/>
    <w:rsid w:val="00571018"/>
    <w:rsid w:val="0057108E"/>
    <w:rsid w:val="0057129E"/>
    <w:rsid w:val="00571462"/>
    <w:rsid w:val="00571766"/>
    <w:rsid w:val="00572432"/>
    <w:rsid w:val="0057253C"/>
    <w:rsid w:val="0057406D"/>
    <w:rsid w:val="005740C8"/>
    <w:rsid w:val="00574164"/>
    <w:rsid w:val="005753A6"/>
    <w:rsid w:val="00576A9C"/>
    <w:rsid w:val="0057756E"/>
    <w:rsid w:val="00577D4E"/>
    <w:rsid w:val="00580820"/>
    <w:rsid w:val="005811CB"/>
    <w:rsid w:val="00581D88"/>
    <w:rsid w:val="00581DFA"/>
    <w:rsid w:val="0058231E"/>
    <w:rsid w:val="00582504"/>
    <w:rsid w:val="0058265A"/>
    <w:rsid w:val="005834AC"/>
    <w:rsid w:val="005837DB"/>
    <w:rsid w:val="00584117"/>
    <w:rsid w:val="00584144"/>
    <w:rsid w:val="005846AF"/>
    <w:rsid w:val="0058478B"/>
    <w:rsid w:val="0058496D"/>
    <w:rsid w:val="0058517D"/>
    <w:rsid w:val="00585270"/>
    <w:rsid w:val="00586C16"/>
    <w:rsid w:val="00586DA1"/>
    <w:rsid w:val="005876B6"/>
    <w:rsid w:val="005902C0"/>
    <w:rsid w:val="0059051B"/>
    <w:rsid w:val="005914B8"/>
    <w:rsid w:val="00591C87"/>
    <w:rsid w:val="00591EE0"/>
    <w:rsid w:val="005920F2"/>
    <w:rsid w:val="00593172"/>
    <w:rsid w:val="00594593"/>
    <w:rsid w:val="0059488C"/>
    <w:rsid w:val="00595EE0"/>
    <w:rsid w:val="00595F0D"/>
    <w:rsid w:val="00595F32"/>
    <w:rsid w:val="00595F8F"/>
    <w:rsid w:val="00596441"/>
    <w:rsid w:val="00596A13"/>
    <w:rsid w:val="00596C03"/>
    <w:rsid w:val="00596C1D"/>
    <w:rsid w:val="00596DD9"/>
    <w:rsid w:val="00597176"/>
    <w:rsid w:val="00597B8C"/>
    <w:rsid w:val="005A0986"/>
    <w:rsid w:val="005A1904"/>
    <w:rsid w:val="005A1D42"/>
    <w:rsid w:val="005A1EFC"/>
    <w:rsid w:val="005A2712"/>
    <w:rsid w:val="005A2D9A"/>
    <w:rsid w:val="005A2E54"/>
    <w:rsid w:val="005A4171"/>
    <w:rsid w:val="005A52B5"/>
    <w:rsid w:val="005A589E"/>
    <w:rsid w:val="005A5F62"/>
    <w:rsid w:val="005A665A"/>
    <w:rsid w:val="005A6A98"/>
    <w:rsid w:val="005B01A3"/>
    <w:rsid w:val="005B0FAF"/>
    <w:rsid w:val="005B1097"/>
    <w:rsid w:val="005B1143"/>
    <w:rsid w:val="005B18C7"/>
    <w:rsid w:val="005B18EF"/>
    <w:rsid w:val="005B1A88"/>
    <w:rsid w:val="005B1C66"/>
    <w:rsid w:val="005B2BD6"/>
    <w:rsid w:val="005B2CD5"/>
    <w:rsid w:val="005B2CEA"/>
    <w:rsid w:val="005B2F8B"/>
    <w:rsid w:val="005B39E0"/>
    <w:rsid w:val="005B3C75"/>
    <w:rsid w:val="005B3D91"/>
    <w:rsid w:val="005B3DFE"/>
    <w:rsid w:val="005B40FA"/>
    <w:rsid w:val="005B44F1"/>
    <w:rsid w:val="005B50E3"/>
    <w:rsid w:val="005B6A04"/>
    <w:rsid w:val="005B79AF"/>
    <w:rsid w:val="005B7B3E"/>
    <w:rsid w:val="005C17B3"/>
    <w:rsid w:val="005C207E"/>
    <w:rsid w:val="005C2AD4"/>
    <w:rsid w:val="005C2C13"/>
    <w:rsid w:val="005C306E"/>
    <w:rsid w:val="005C3468"/>
    <w:rsid w:val="005C4598"/>
    <w:rsid w:val="005C48F9"/>
    <w:rsid w:val="005C4A24"/>
    <w:rsid w:val="005C4DD4"/>
    <w:rsid w:val="005C50C4"/>
    <w:rsid w:val="005C57A0"/>
    <w:rsid w:val="005C594A"/>
    <w:rsid w:val="005C66F7"/>
    <w:rsid w:val="005C791F"/>
    <w:rsid w:val="005C7CF2"/>
    <w:rsid w:val="005C7F29"/>
    <w:rsid w:val="005D05B6"/>
    <w:rsid w:val="005D065B"/>
    <w:rsid w:val="005D11D4"/>
    <w:rsid w:val="005D19AC"/>
    <w:rsid w:val="005D1A9B"/>
    <w:rsid w:val="005D1B10"/>
    <w:rsid w:val="005D1ED6"/>
    <w:rsid w:val="005D2078"/>
    <w:rsid w:val="005D241B"/>
    <w:rsid w:val="005D2902"/>
    <w:rsid w:val="005D2F17"/>
    <w:rsid w:val="005D314D"/>
    <w:rsid w:val="005D3619"/>
    <w:rsid w:val="005D398D"/>
    <w:rsid w:val="005D3E4E"/>
    <w:rsid w:val="005D431F"/>
    <w:rsid w:val="005D476C"/>
    <w:rsid w:val="005D5060"/>
    <w:rsid w:val="005D53DD"/>
    <w:rsid w:val="005D541D"/>
    <w:rsid w:val="005D5423"/>
    <w:rsid w:val="005D5765"/>
    <w:rsid w:val="005D5E37"/>
    <w:rsid w:val="005D5E4F"/>
    <w:rsid w:val="005D691B"/>
    <w:rsid w:val="005D6D25"/>
    <w:rsid w:val="005E0027"/>
    <w:rsid w:val="005E011B"/>
    <w:rsid w:val="005E0C87"/>
    <w:rsid w:val="005E1001"/>
    <w:rsid w:val="005E13FF"/>
    <w:rsid w:val="005E2649"/>
    <w:rsid w:val="005E293A"/>
    <w:rsid w:val="005E330C"/>
    <w:rsid w:val="005E3AB9"/>
    <w:rsid w:val="005E3DE9"/>
    <w:rsid w:val="005E4A36"/>
    <w:rsid w:val="005E5F8E"/>
    <w:rsid w:val="005E63E6"/>
    <w:rsid w:val="005E748F"/>
    <w:rsid w:val="005F04BB"/>
    <w:rsid w:val="005F0D1B"/>
    <w:rsid w:val="005F24AC"/>
    <w:rsid w:val="005F3A98"/>
    <w:rsid w:val="005F3CF0"/>
    <w:rsid w:val="005F44BC"/>
    <w:rsid w:val="005F44F9"/>
    <w:rsid w:val="005F46B4"/>
    <w:rsid w:val="005F4D1B"/>
    <w:rsid w:val="005F5932"/>
    <w:rsid w:val="005F5F42"/>
    <w:rsid w:val="005F6B51"/>
    <w:rsid w:val="005F6DD6"/>
    <w:rsid w:val="005F7921"/>
    <w:rsid w:val="005F7C8B"/>
    <w:rsid w:val="00600455"/>
    <w:rsid w:val="00600874"/>
    <w:rsid w:val="0060154D"/>
    <w:rsid w:val="00601652"/>
    <w:rsid w:val="00601778"/>
    <w:rsid w:val="00601D85"/>
    <w:rsid w:val="0060247C"/>
    <w:rsid w:val="00602660"/>
    <w:rsid w:val="006026B5"/>
    <w:rsid w:val="00603F0B"/>
    <w:rsid w:val="0060426E"/>
    <w:rsid w:val="00605290"/>
    <w:rsid w:val="0060548F"/>
    <w:rsid w:val="00605B24"/>
    <w:rsid w:val="0060697B"/>
    <w:rsid w:val="00606BF5"/>
    <w:rsid w:val="00606E53"/>
    <w:rsid w:val="00610ADF"/>
    <w:rsid w:val="00610C95"/>
    <w:rsid w:val="006117BB"/>
    <w:rsid w:val="006123EC"/>
    <w:rsid w:val="006125DA"/>
    <w:rsid w:val="00613335"/>
    <w:rsid w:val="00613C61"/>
    <w:rsid w:val="00613E02"/>
    <w:rsid w:val="006142D6"/>
    <w:rsid w:val="0061461D"/>
    <w:rsid w:val="00614B68"/>
    <w:rsid w:val="00614F4B"/>
    <w:rsid w:val="00614F71"/>
    <w:rsid w:val="00615DBB"/>
    <w:rsid w:val="0061653C"/>
    <w:rsid w:val="006166B0"/>
    <w:rsid w:val="00616CC9"/>
    <w:rsid w:val="00617A30"/>
    <w:rsid w:val="0062006C"/>
    <w:rsid w:val="00620222"/>
    <w:rsid w:val="00620450"/>
    <w:rsid w:val="00620451"/>
    <w:rsid w:val="006206C4"/>
    <w:rsid w:val="00621CE4"/>
    <w:rsid w:val="0062225C"/>
    <w:rsid w:val="006227B8"/>
    <w:rsid w:val="00622A14"/>
    <w:rsid w:val="00623020"/>
    <w:rsid w:val="006231B3"/>
    <w:rsid w:val="006236F3"/>
    <w:rsid w:val="00624D5A"/>
    <w:rsid w:val="00624FAE"/>
    <w:rsid w:val="00625C93"/>
    <w:rsid w:val="00625F38"/>
    <w:rsid w:val="0062657F"/>
    <w:rsid w:val="006270D5"/>
    <w:rsid w:val="006276D8"/>
    <w:rsid w:val="006278D2"/>
    <w:rsid w:val="00627960"/>
    <w:rsid w:val="00627B66"/>
    <w:rsid w:val="0063005C"/>
    <w:rsid w:val="00631065"/>
    <w:rsid w:val="00631197"/>
    <w:rsid w:val="00631ABE"/>
    <w:rsid w:val="00631B04"/>
    <w:rsid w:val="00632490"/>
    <w:rsid w:val="00632539"/>
    <w:rsid w:val="00632562"/>
    <w:rsid w:val="006334A2"/>
    <w:rsid w:val="006346FD"/>
    <w:rsid w:val="00634CA6"/>
    <w:rsid w:val="006366A8"/>
    <w:rsid w:val="00636C7C"/>
    <w:rsid w:val="00637419"/>
    <w:rsid w:val="006376CE"/>
    <w:rsid w:val="00640268"/>
    <w:rsid w:val="00640767"/>
    <w:rsid w:val="00640AF7"/>
    <w:rsid w:val="00641492"/>
    <w:rsid w:val="006426BF"/>
    <w:rsid w:val="00642937"/>
    <w:rsid w:val="00642B5A"/>
    <w:rsid w:val="00642BB0"/>
    <w:rsid w:val="00642CAC"/>
    <w:rsid w:val="00642D09"/>
    <w:rsid w:val="0064305B"/>
    <w:rsid w:val="00643176"/>
    <w:rsid w:val="0064321D"/>
    <w:rsid w:val="0064349F"/>
    <w:rsid w:val="00643939"/>
    <w:rsid w:val="006439DB"/>
    <w:rsid w:val="00643A84"/>
    <w:rsid w:val="006445A7"/>
    <w:rsid w:val="00644CF5"/>
    <w:rsid w:val="0064643A"/>
    <w:rsid w:val="006474F4"/>
    <w:rsid w:val="00647720"/>
    <w:rsid w:val="0065028D"/>
    <w:rsid w:val="00650454"/>
    <w:rsid w:val="00650D5C"/>
    <w:rsid w:val="00650E55"/>
    <w:rsid w:val="00651A28"/>
    <w:rsid w:val="00652ACD"/>
    <w:rsid w:val="00652D8A"/>
    <w:rsid w:val="00652F83"/>
    <w:rsid w:val="0065483E"/>
    <w:rsid w:val="00654A64"/>
    <w:rsid w:val="006554BC"/>
    <w:rsid w:val="0065592A"/>
    <w:rsid w:val="00655F63"/>
    <w:rsid w:val="0065753E"/>
    <w:rsid w:val="00657A77"/>
    <w:rsid w:val="00660AAB"/>
    <w:rsid w:val="00660FBE"/>
    <w:rsid w:val="006611CA"/>
    <w:rsid w:val="00661203"/>
    <w:rsid w:val="006615F2"/>
    <w:rsid w:val="00661612"/>
    <w:rsid w:val="0066187D"/>
    <w:rsid w:val="00661A63"/>
    <w:rsid w:val="00661B18"/>
    <w:rsid w:val="00662429"/>
    <w:rsid w:val="006629F9"/>
    <w:rsid w:val="00662D28"/>
    <w:rsid w:val="006633E6"/>
    <w:rsid w:val="00663AFE"/>
    <w:rsid w:val="00663BCA"/>
    <w:rsid w:val="00664227"/>
    <w:rsid w:val="0066442D"/>
    <w:rsid w:val="0066452A"/>
    <w:rsid w:val="00664601"/>
    <w:rsid w:val="00664BD9"/>
    <w:rsid w:val="006655A8"/>
    <w:rsid w:val="006657E0"/>
    <w:rsid w:val="006659BD"/>
    <w:rsid w:val="00665CE5"/>
    <w:rsid w:val="00665EDE"/>
    <w:rsid w:val="006661A4"/>
    <w:rsid w:val="006666B0"/>
    <w:rsid w:val="00666776"/>
    <w:rsid w:val="00666E7A"/>
    <w:rsid w:val="00667520"/>
    <w:rsid w:val="006707B7"/>
    <w:rsid w:val="00670891"/>
    <w:rsid w:val="00670CB9"/>
    <w:rsid w:val="0067156E"/>
    <w:rsid w:val="006715FA"/>
    <w:rsid w:val="006717CD"/>
    <w:rsid w:val="00671D4B"/>
    <w:rsid w:val="00671DB4"/>
    <w:rsid w:val="00672322"/>
    <w:rsid w:val="00672426"/>
    <w:rsid w:val="00672A46"/>
    <w:rsid w:val="00672A5F"/>
    <w:rsid w:val="0067310D"/>
    <w:rsid w:val="006733FD"/>
    <w:rsid w:val="006735C3"/>
    <w:rsid w:val="006738AD"/>
    <w:rsid w:val="00674B74"/>
    <w:rsid w:val="006756A1"/>
    <w:rsid w:val="00675BD9"/>
    <w:rsid w:val="00676725"/>
    <w:rsid w:val="00676ADF"/>
    <w:rsid w:val="00676C2B"/>
    <w:rsid w:val="00676C7A"/>
    <w:rsid w:val="00676DE1"/>
    <w:rsid w:val="0067794E"/>
    <w:rsid w:val="00680336"/>
    <w:rsid w:val="00680549"/>
    <w:rsid w:val="00680B33"/>
    <w:rsid w:val="00680C89"/>
    <w:rsid w:val="00680EEF"/>
    <w:rsid w:val="0068120C"/>
    <w:rsid w:val="00681DAB"/>
    <w:rsid w:val="00681DC8"/>
    <w:rsid w:val="00682759"/>
    <w:rsid w:val="00682F4C"/>
    <w:rsid w:val="0068352B"/>
    <w:rsid w:val="00683897"/>
    <w:rsid w:val="0068392E"/>
    <w:rsid w:val="00683D18"/>
    <w:rsid w:val="00684711"/>
    <w:rsid w:val="00684B3C"/>
    <w:rsid w:val="00684EA4"/>
    <w:rsid w:val="00684FF3"/>
    <w:rsid w:val="00685191"/>
    <w:rsid w:val="006852F6"/>
    <w:rsid w:val="00685322"/>
    <w:rsid w:val="006869BA"/>
    <w:rsid w:val="006901E4"/>
    <w:rsid w:val="006909B8"/>
    <w:rsid w:val="00690A28"/>
    <w:rsid w:val="00690A5C"/>
    <w:rsid w:val="00693799"/>
    <w:rsid w:val="00693B77"/>
    <w:rsid w:val="00695146"/>
    <w:rsid w:val="0069602E"/>
    <w:rsid w:val="006964DF"/>
    <w:rsid w:val="0069666C"/>
    <w:rsid w:val="00696739"/>
    <w:rsid w:val="00697B1C"/>
    <w:rsid w:val="00697D32"/>
    <w:rsid w:val="006A00DC"/>
    <w:rsid w:val="006A1437"/>
    <w:rsid w:val="006A20C3"/>
    <w:rsid w:val="006A3393"/>
    <w:rsid w:val="006A3519"/>
    <w:rsid w:val="006A374F"/>
    <w:rsid w:val="006A427F"/>
    <w:rsid w:val="006A5383"/>
    <w:rsid w:val="006A589E"/>
    <w:rsid w:val="006A6512"/>
    <w:rsid w:val="006A7871"/>
    <w:rsid w:val="006A7F10"/>
    <w:rsid w:val="006B08A0"/>
    <w:rsid w:val="006B1446"/>
    <w:rsid w:val="006B1EE5"/>
    <w:rsid w:val="006B241E"/>
    <w:rsid w:val="006B2D2D"/>
    <w:rsid w:val="006B31F8"/>
    <w:rsid w:val="006B3725"/>
    <w:rsid w:val="006B4CCD"/>
    <w:rsid w:val="006B4D39"/>
    <w:rsid w:val="006B56D7"/>
    <w:rsid w:val="006B5E3B"/>
    <w:rsid w:val="006B6F15"/>
    <w:rsid w:val="006B7215"/>
    <w:rsid w:val="006B7328"/>
    <w:rsid w:val="006B765B"/>
    <w:rsid w:val="006B7E66"/>
    <w:rsid w:val="006C03D9"/>
    <w:rsid w:val="006C0633"/>
    <w:rsid w:val="006C159A"/>
    <w:rsid w:val="006C27C6"/>
    <w:rsid w:val="006C3073"/>
    <w:rsid w:val="006C4B02"/>
    <w:rsid w:val="006C50DA"/>
    <w:rsid w:val="006C5405"/>
    <w:rsid w:val="006C559A"/>
    <w:rsid w:val="006C5B3F"/>
    <w:rsid w:val="006C5D5C"/>
    <w:rsid w:val="006C7B0D"/>
    <w:rsid w:val="006D01AF"/>
    <w:rsid w:val="006D01F5"/>
    <w:rsid w:val="006D06A6"/>
    <w:rsid w:val="006D0CD9"/>
    <w:rsid w:val="006D0F59"/>
    <w:rsid w:val="006D103F"/>
    <w:rsid w:val="006D131A"/>
    <w:rsid w:val="006D1332"/>
    <w:rsid w:val="006D24F5"/>
    <w:rsid w:val="006D2D35"/>
    <w:rsid w:val="006D306A"/>
    <w:rsid w:val="006D3C03"/>
    <w:rsid w:val="006D403E"/>
    <w:rsid w:val="006D4604"/>
    <w:rsid w:val="006D46CF"/>
    <w:rsid w:val="006D4A9C"/>
    <w:rsid w:val="006D4EAD"/>
    <w:rsid w:val="006D54D3"/>
    <w:rsid w:val="006D609C"/>
    <w:rsid w:val="006D6223"/>
    <w:rsid w:val="006D62DE"/>
    <w:rsid w:val="006D6A9B"/>
    <w:rsid w:val="006D6C6F"/>
    <w:rsid w:val="006D7D02"/>
    <w:rsid w:val="006E10AF"/>
    <w:rsid w:val="006E15A2"/>
    <w:rsid w:val="006E189B"/>
    <w:rsid w:val="006E1B8C"/>
    <w:rsid w:val="006E2078"/>
    <w:rsid w:val="006E3D56"/>
    <w:rsid w:val="006E4F23"/>
    <w:rsid w:val="006E5316"/>
    <w:rsid w:val="006E6893"/>
    <w:rsid w:val="006E6DFE"/>
    <w:rsid w:val="006E7A3D"/>
    <w:rsid w:val="006F06A7"/>
    <w:rsid w:val="006F1356"/>
    <w:rsid w:val="006F1498"/>
    <w:rsid w:val="006F1820"/>
    <w:rsid w:val="006F187F"/>
    <w:rsid w:val="006F2199"/>
    <w:rsid w:val="006F2D1E"/>
    <w:rsid w:val="006F33F7"/>
    <w:rsid w:val="006F36F5"/>
    <w:rsid w:val="006F3B5E"/>
    <w:rsid w:val="006F4996"/>
    <w:rsid w:val="006F4E15"/>
    <w:rsid w:val="006F4F8F"/>
    <w:rsid w:val="006F53B2"/>
    <w:rsid w:val="006F5839"/>
    <w:rsid w:val="006F5CD2"/>
    <w:rsid w:val="006F686F"/>
    <w:rsid w:val="006F6CC7"/>
    <w:rsid w:val="006F715B"/>
    <w:rsid w:val="006F7302"/>
    <w:rsid w:val="006F761B"/>
    <w:rsid w:val="007000F3"/>
    <w:rsid w:val="00700995"/>
    <w:rsid w:val="00700E50"/>
    <w:rsid w:val="007013C3"/>
    <w:rsid w:val="007014C3"/>
    <w:rsid w:val="0070206F"/>
    <w:rsid w:val="007033F8"/>
    <w:rsid w:val="00703E98"/>
    <w:rsid w:val="00703FD9"/>
    <w:rsid w:val="007046D5"/>
    <w:rsid w:val="0070495B"/>
    <w:rsid w:val="00704FD5"/>
    <w:rsid w:val="007055CD"/>
    <w:rsid w:val="00706247"/>
    <w:rsid w:val="00707288"/>
    <w:rsid w:val="0070773E"/>
    <w:rsid w:val="007102FC"/>
    <w:rsid w:val="00710AC4"/>
    <w:rsid w:val="00710E1F"/>
    <w:rsid w:val="00710EEA"/>
    <w:rsid w:val="007116CE"/>
    <w:rsid w:val="007126C6"/>
    <w:rsid w:val="007128AD"/>
    <w:rsid w:val="0071331E"/>
    <w:rsid w:val="007133D9"/>
    <w:rsid w:val="00714340"/>
    <w:rsid w:val="00714BDE"/>
    <w:rsid w:val="00714DC6"/>
    <w:rsid w:val="007158C4"/>
    <w:rsid w:val="00716011"/>
    <w:rsid w:val="00716404"/>
    <w:rsid w:val="0071766C"/>
    <w:rsid w:val="007177D5"/>
    <w:rsid w:val="00717DA2"/>
    <w:rsid w:val="00717DCD"/>
    <w:rsid w:val="00720246"/>
    <w:rsid w:val="00720B2F"/>
    <w:rsid w:val="00722505"/>
    <w:rsid w:val="007240CE"/>
    <w:rsid w:val="00724260"/>
    <w:rsid w:val="007242A6"/>
    <w:rsid w:val="00724EE9"/>
    <w:rsid w:val="00724EF0"/>
    <w:rsid w:val="00724FA2"/>
    <w:rsid w:val="007251D9"/>
    <w:rsid w:val="00727051"/>
    <w:rsid w:val="007274B9"/>
    <w:rsid w:val="0073037F"/>
    <w:rsid w:val="007306E4"/>
    <w:rsid w:val="007307F5"/>
    <w:rsid w:val="007319AD"/>
    <w:rsid w:val="0073210D"/>
    <w:rsid w:val="007322F8"/>
    <w:rsid w:val="00732808"/>
    <w:rsid w:val="00732B8A"/>
    <w:rsid w:val="00733427"/>
    <w:rsid w:val="0073362D"/>
    <w:rsid w:val="007339A2"/>
    <w:rsid w:val="007340D7"/>
    <w:rsid w:val="007341D6"/>
    <w:rsid w:val="007347A4"/>
    <w:rsid w:val="007356BA"/>
    <w:rsid w:val="00735E5F"/>
    <w:rsid w:val="007364E4"/>
    <w:rsid w:val="007366F0"/>
    <w:rsid w:val="007375AC"/>
    <w:rsid w:val="00737B50"/>
    <w:rsid w:val="00737BFD"/>
    <w:rsid w:val="00737D3D"/>
    <w:rsid w:val="0074013A"/>
    <w:rsid w:val="00740620"/>
    <w:rsid w:val="00740BEA"/>
    <w:rsid w:val="00740CBC"/>
    <w:rsid w:val="0074194E"/>
    <w:rsid w:val="00741D14"/>
    <w:rsid w:val="00741F61"/>
    <w:rsid w:val="007420D3"/>
    <w:rsid w:val="00743A4F"/>
    <w:rsid w:val="00743E8D"/>
    <w:rsid w:val="00745A4B"/>
    <w:rsid w:val="00745CEC"/>
    <w:rsid w:val="00745D98"/>
    <w:rsid w:val="00745F35"/>
    <w:rsid w:val="00746697"/>
    <w:rsid w:val="007500A6"/>
    <w:rsid w:val="007500D2"/>
    <w:rsid w:val="00750FB9"/>
    <w:rsid w:val="00750FF2"/>
    <w:rsid w:val="007514FC"/>
    <w:rsid w:val="00751887"/>
    <w:rsid w:val="00751DB2"/>
    <w:rsid w:val="0075217D"/>
    <w:rsid w:val="00752208"/>
    <w:rsid w:val="0075254F"/>
    <w:rsid w:val="00752883"/>
    <w:rsid w:val="00753358"/>
    <w:rsid w:val="0075373E"/>
    <w:rsid w:val="00754670"/>
    <w:rsid w:val="00757030"/>
    <w:rsid w:val="007570DF"/>
    <w:rsid w:val="0076104B"/>
    <w:rsid w:val="00761BC9"/>
    <w:rsid w:val="00761DCF"/>
    <w:rsid w:val="007621B9"/>
    <w:rsid w:val="00762242"/>
    <w:rsid w:val="00762249"/>
    <w:rsid w:val="00762312"/>
    <w:rsid w:val="007629E8"/>
    <w:rsid w:val="00762C06"/>
    <w:rsid w:val="0076393B"/>
    <w:rsid w:val="00763DFE"/>
    <w:rsid w:val="00764B1C"/>
    <w:rsid w:val="0076524D"/>
    <w:rsid w:val="007659C9"/>
    <w:rsid w:val="0076657E"/>
    <w:rsid w:val="007666CB"/>
    <w:rsid w:val="00766788"/>
    <w:rsid w:val="0076694C"/>
    <w:rsid w:val="00766A08"/>
    <w:rsid w:val="00766C72"/>
    <w:rsid w:val="0076711E"/>
    <w:rsid w:val="007679EC"/>
    <w:rsid w:val="00770C87"/>
    <w:rsid w:val="00770CFA"/>
    <w:rsid w:val="00771079"/>
    <w:rsid w:val="00771856"/>
    <w:rsid w:val="007719F6"/>
    <w:rsid w:val="00771C46"/>
    <w:rsid w:val="00772CB1"/>
    <w:rsid w:val="00772D41"/>
    <w:rsid w:val="00772F04"/>
    <w:rsid w:val="0077368B"/>
    <w:rsid w:val="00773AB7"/>
    <w:rsid w:val="007742FB"/>
    <w:rsid w:val="007745CC"/>
    <w:rsid w:val="00774E91"/>
    <w:rsid w:val="0077522B"/>
    <w:rsid w:val="00775864"/>
    <w:rsid w:val="00776A5C"/>
    <w:rsid w:val="00776AEC"/>
    <w:rsid w:val="00777506"/>
    <w:rsid w:val="00777A0C"/>
    <w:rsid w:val="00777E38"/>
    <w:rsid w:val="007801D6"/>
    <w:rsid w:val="00780FD2"/>
    <w:rsid w:val="00781600"/>
    <w:rsid w:val="007816CB"/>
    <w:rsid w:val="00781C33"/>
    <w:rsid w:val="00782B5D"/>
    <w:rsid w:val="0078334B"/>
    <w:rsid w:val="00783B0F"/>
    <w:rsid w:val="007841F0"/>
    <w:rsid w:val="0078519D"/>
    <w:rsid w:val="00785491"/>
    <w:rsid w:val="0078595E"/>
    <w:rsid w:val="007860CE"/>
    <w:rsid w:val="00787948"/>
    <w:rsid w:val="00787F5F"/>
    <w:rsid w:val="00787FB7"/>
    <w:rsid w:val="00790C10"/>
    <w:rsid w:val="00790F2A"/>
    <w:rsid w:val="00790F8B"/>
    <w:rsid w:val="00791EBF"/>
    <w:rsid w:val="00792BCD"/>
    <w:rsid w:val="00792E4A"/>
    <w:rsid w:val="00793028"/>
    <w:rsid w:val="00793249"/>
    <w:rsid w:val="007933A1"/>
    <w:rsid w:val="00794583"/>
    <w:rsid w:val="00794FDA"/>
    <w:rsid w:val="00795786"/>
    <w:rsid w:val="0079592E"/>
    <w:rsid w:val="00795D86"/>
    <w:rsid w:val="00795EC2"/>
    <w:rsid w:val="0079637F"/>
    <w:rsid w:val="007A0982"/>
    <w:rsid w:val="007A2BE0"/>
    <w:rsid w:val="007A3A9A"/>
    <w:rsid w:val="007A429D"/>
    <w:rsid w:val="007A4A20"/>
    <w:rsid w:val="007A5803"/>
    <w:rsid w:val="007A5A2C"/>
    <w:rsid w:val="007A62BE"/>
    <w:rsid w:val="007A6EDD"/>
    <w:rsid w:val="007A7AD9"/>
    <w:rsid w:val="007B00D5"/>
    <w:rsid w:val="007B1758"/>
    <w:rsid w:val="007B1941"/>
    <w:rsid w:val="007B1BA1"/>
    <w:rsid w:val="007B1E34"/>
    <w:rsid w:val="007B20BF"/>
    <w:rsid w:val="007B2181"/>
    <w:rsid w:val="007B4548"/>
    <w:rsid w:val="007B4DE8"/>
    <w:rsid w:val="007B5BEC"/>
    <w:rsid w:val="007B5EB8"/>
    <w:rsid w:val="007B6721"/>
    <w:rsid w:val="007B7C64"/>
    <w:rsid w:val="007B7C96"/>
    <w:rsid w:val="007C008E"/>
    <w:rsid w:val="007C02C4"/>
    <w:rsid w:val="007C09A3"/>
    <w:rsid w:val="007C0CAB"/>
    <w:rsid w:val="007C0F54"/>
    <w:rsid w:val="007C19AA"/>
    <w:rsid w:val="007C1BEF"/>
    <w:rsid w:val="007C1E0F"/>
    <w:rsid w:val="007C2EA8"/>
    <w:rsid w:val="007C3EC4"/>
    <w:rsid w:val="007C4643"/>
    <w:rsid w:val="007C547A"/>
    <w:rsid w:val="007C6563"/>
    <w:rsid w:val="007C6D30"/>
    <w:rsid w:val="007C7AE0"/>
    <w:rsid w:val="007C7CB9"/>
    <w:rsid w:val="007D0716"/>
    <w:rsid w:val="007D0B1B"/>
    <w:rsid w:val="007D11BC"/>
    <w:rsid w:val="007D15F3"/>
    <w:rsid w:val="007D182F"/>
    <w:rsid w:val="007D2D6E"/>
    <w:rsid w:val="007D3BDB"/>
    <w:rsid w:val="007D40EA"/>
    <w:rsid w:val="007D4FAE"/>
    <w:rsid w:val="007D513E"/>
    <w:rsid w:val="007D557D"/>
    <w:rsid w:val="007D5AEB"/>
    <w:rsid w:val="007D600D"/>
    <w:rsid w:val="007D645C"/>
    <w:rsid w:val="007D65AD"/>
    <w:rsid w:val="007D69E5"/>
    <w:rsid w:val="007D792B"/>
    <w:rsid w:val="007D7DE6"/>
    <w:rsid w:val="007E071F"/>
    <w:rsid w:val="007E07B2"/>
    <w:rsid w:val="007E0E8C"/>
    <w:rsid w:val="007E1531"/>
    <w:rsid w:val="007E1632"/>
    <w:rsid w:val="007E1B26"/>
    <w:rsid w:val="007E25FC"/>
    <w:rsid w:val="007E2C29"/>
    <w:rsid w:val="007E34E1"/>
    <w:rsid w:val="007E37A6"/>
    <w:rsid w:val="007E4167"/>
    <w:rsid w:val="007E49F9"/>
    <w:rsid w:val="007E4DC6"/>
    <w:rsid w:val="007E55CF"/>
    <w:rsid w:val="007E57EF"/>
    <w:rsid w:val="007E5999"/>
    <w:rsid w:val="007E643C"/>
    <w:rsid w:val="007E6514"/>
    <w:rsid w:val="007E654A"/>
    <w:rsid w:val="007E6F17"/>
    <w:rsid w:val="007E6F7A"/>
    <w:rsid w:val="007E789B"/>
    <w:rsid w:val="007E7AAC"/>
    <w:rsid w:val="007E7BA6"/>
    <w:rsid w:val="007F026E"/>
    <w:rsid w:val="007F0BC5"/>
    <w:rsid w:val="007F157A"/>
    <w:rsid w:val="007F1862"/>
    <w:rsid w:val="007F1C23"/>
    <w:rsid w:val="007F244D"/>
    <w:rsid w:val="007F4F49"/>
    <w:rsid w:val="007F5646"/>
    <w:rsid w:val="007F58EB"/>
    <w:rsid w:val="007F5E69"/>
    <w:rsid w:val="007F6341"/>
    <w:rsid w:val="007F77A0"/>
    <w:rsid w:val="007F7D20"/>
    <w:rsid w:val="00800081"/>
    <w:rsid w:val="0080029D"/>
    <w:rsid w:val="00800351"/>
    <w:rsid w:val="00800EE3"/>
    <w:rsid w:val="008019EC"/>
    <w:rsid w:val="00802620"/>
    <w:rsid w:val="008028B1"/>
    <w:rsid w:val="00802BE3"/>
    <w:rsid w:val="00802C3D"/>
    <w:rsid w:val="00803157"/>
    <w:rsid w:val="0080329E"/>
    <w:rsid w:val="00803EF2"/>
    <w:rsid w:val="0080435E"/>
    <w:rsid w:val="00806629"/>
    <w:rsid w:val="008069A4"/>
    <w:rsid w:val="00806E14"/>
    <w:rsid w:val="008101D6"/>
    <w:rsid w:val="00810A01"/>
    <w:rsid w:val="00811465"/>
    <w:rsid w:val="008118BE"/>
    <w:rsid w:val="0081214C"/>
    <w:rsid w:val="00812199"/>
    <w:rsid w:val="008126B2"/>
    <w:rsid w:val="0081281B"/>
    <w:rsid w:val="0081297A"/>
    <w:rsid w:val="008136EB"/>
    <w:rsid w:val="00813A01"/>
    <w:rsid w:val="00813B8D"/>
    <w:rsid w:val="00813E53"/>
    <w:rsid w:val="00813EB4"/>
    <w:rsid w:val="00813F24"/>
    <w:rsid w:val="008152FC"/>
    <w:rsid w:val="00815B41"/>
    <w:rsid w:val="00815D2D"/>
    <w:rsid w:val="00816294"/>
    <w:rsid w:val="00816779"/>
    <w:rsid w:val="00816C7C"/>
    <w:rsid w:val="008170F3"/>
    <w:rsid w:val="008171B5"/>
    <w:rsid w:val="0081722C"/>
    <w:rsid w:val="00817E15"/>
    <w:rsid w:val="00820003"/>
    <w:rsid w:val="008202C7"/>
    <w:rsid w:val="008208E0"/>
    <w:rsid w:val="00821C61"/>
    <w:rsid w:val="00821E03"/>
    <w:rsid w:val="00821F0E"/>
    <w:rsid w:val="00821F8F"/>
    <w:rsid w:val="00822BC5"/>
    <w:rsid w:val="00823A23"/>
    <w:rsid w:val="00823A97"/>
    <w:rsid w:val="00823B58"/>
    <w:rsid w:val="00823EA0"/>
    <w:rsid w:val="008241C5"/>
    <w:rsid w:val="00824255"/>
    <w:rsid w:val="00824380"/>
    <w:rsid w:val="00824B59"/>
    <w:rsid w:val="00824DBF"/>
    <w:rsid w:val="008256BF"/>
    <w:rsid w:val="00825901"/>
    <w:rsid w:val="00826AD8"/>
    <w:rsid w:val="00826E90"/>
    <w:rsid w:val="00826EBD"/>
    <w:rsid w:val="0083053B"/>
    <w:rsid w:val="008313AB"/>
    <w:rsid w:val="008319E1"/>
    <w:rsid w:val="0083200C"/>
    <w:rsid w:val="00832460"/>
    <w:rsid w:val="00832AA7"/>
    <w:rsid w:val="00833178"/>
    <w:rsid w:val="00833854"/>
    <w:rsid w:val="008340DD"/>
    <w:rsid w:val="0083410C"/>
    <w:rsid w:val="0083421C"/>
    <w:rsid w:val="008345AB"/>
    <w:rsid w:val="00834786"/>
    <w:rsid w:val="00834BA2"/>
    <w:rsid w:val="008360E3"/>
    <w:rsid w:val="0083610A"/>
    <w:rsid w:val="00836B85"/>
    <w:rsid w:val="0083733E"/>
    <w:rsid w:val="00837715"/>
    <w:rsid w:val="00837E7E"/>
    <w:rsid w:val="00840149"/>
    <w:rsid w:val="0084043D"/>
    <w:rsid w:val="008405B6"/>
    <w:rsid w:val="0084141C"/>
    <w:rsid w:val="00841D0E"/>
    <w:rsid w:val="00842181"/>
    <w:rsid w:val="00842B83"/>
    <w:rsid w:val="00843425"/>
    <w:rsid w:val="008434B0"/>
    <w:rsid w:val="00843E1C"/>
    <w:rsid w:val="00844BE3"/>
    <w:rsid w:val="00844C75"/>
    <w:rsid w:val="008456C2"/>
    <w:rsid w:val="00846248"/>
    <w:rsid w:val="0084638D"/>
    <w:rsid w:val="0084647A"/>
    <w:rsid w:val="00846594"/>
    <w:rsid w:val="00846C69"/>
    <w:rsid w:val="00846ECB"/>
    <w:rsid w:val="0084747A"/>
    <w:rsid w:val="0085057E"/>
    <w:rsid w:val="00850688"/>
    <w:rsid w:val="008513BE"/>
    <w:rsid w:val="008513ED"/>
    <w:rsid w:val="00851A08"/>
    <w:rsid w:val="00851A68"/>
    <w:rsid w:val="00852089"/>
    <w:rsid w:val="00852BA1"/>
    <w:rsid w:val="00853390"/>
    <w:rsid w:val="0085439C"/>
    <w:rsid w:val="00854541"/>
    <w:rsid w:val="00854EE1"/>
    <w:rsid w:val="008561C3"/>
    <w:rsid w:val="008573F0"/>
    <w:rsid w:val="0085780B"/>
    <w:rsid w:val="008578F3"/>
    <w:rsid w:val="00860217"/>
    <w:rsid w:val="00860310"/>
    <w:rsid w:val="0086046E"/>
    <w:rsid w:val="00860925"/>
    <w:rsid w:val="00860CC7"/>
    <w:rsid w:val="008616D4"/>
    <w:rsid w:val="00861AD2"/>
    <w:rsid w:val="00861FA4"/>
    <w:rsid w:val="00862479"/>
    <w:rsid w:val="00862A0E"/>
    <w:rsid w:val="00862F7C"/>
    <w:rsid w:val="00863864"/>
    <w:rsid w:val="008639E1"/>
    <w:rsid w:val="00863BC7"/>
    <w:rsid w:val="00864421"/>
    <w:rsid w:val="00864F60"/>
    <w:rsid w:val="00865386"/>
    <w:rsid w:val="00866640"/>
    <w:rsid w:val="008671B5"/>
    <w:rsid w:val="008677F9"/>
    <w:rsid w:val="00867848"/>
    <w:rsid w:val="00867E77"/>
    <w:rsid w:val="00870425"/>
    <w:rsid w:val="008706EB"/>
    <w:rsid w:val="00871099"/>
    <w:rsid w:val="008710E9"/>
    <w:rsid w:val="008715B1"/>
    <w:rsid w:val="00871E2D"/>
    <w:rsid w:val="008726B3"/>
    <w:rsid w:val="008730AE"/>
    <w:rsid w:val="0087316C"/>
    <w:rsid w:val="0087361C"/>
    <w:rsid w:val="00873A5D"/>
    <w:rsid w:val="00873EBF"/>
    <w:rsid w:val="008755A0"/>
    <w:rsid w:val="00875706"/>
    <w:rsid w:val="00875733"/>
    <w:rsid w:val="00875875"/>
    <w:rsid w:val="00875BD9"/>
    <w:rsid w:val="00875C53"/>
    <w:rsid w:val="00875C75"/>
    <w:rsid w:val="00876308"/>
    <w:rsid w:val="008776C0"/>
    <w:rsid w:val="00877D90"/>
    <w:rsid w:val="008813DC"/>
    <w:rsid w:val="00881423"/>
    <w:rsid w:val="008818D2"/>
    <w:rsid w:val="00881B0C"/>
    <w:rsid w:val="008832E4"/>
    <w:rsid w:val="008834FD"/>
    <w:rsid w:val="00883C04"/>
    <w:rsid w:val="00884271"/>
    <w:rsid w:val="008842D2"/>
    <w:rsid w:val="00884309"/>
    <w:rsid w:val="00884F4D"/>
    <w:rsid w:val="00884FE5"/>
    <w:rsid w:val="00885CFB"/>
    <w:rsid w:val="00885EAA"/>
    <w:rsid w:val="0088636A"/>
    <w:rsid w:val="0089148E"/>
    <w:rsid w:val="00891493"/>
    <w:rsid w:val="0089183F"/>
    <w:rsid w:val="00891A4C"/>
    <w:rsid w:val="00892F12"/>
    <w:rsid w:val="0089347E"/>
    <w:rsid w:val="008935E5"/>
    <w:rsid w:val="00893857"/>
    <w:rsid w:val="00893C46"/>
    <w:rsid w:val="00894CCF"/>
    <w:rsid w:val="00896302"/>
    <w:rsid w:val="00896380"/>
    <w:rsid w:val="00897B7F"/>
    <w:rsid w:val="008A0335"/>
    <w:rsid w:val="008A040F"/>
    <w:rsid w:val="008A0898"/>
    <w:rsid w:val="008A14F6"/>
    <w:rsid w:val="008A152B"/>
    <w:rsid w:val="008A27A4"/>
    <w:rsid w:val="008A2B98"/>
    <w:rsid w:val="008A3463"/>
    <w:rsid w:val="008A3A38"/>
    <w:rsid w:val="008A4D5B"/>
    <w:rsid w:val="008A4EF6"/>
    <w:rsid w:val="008A525A"/>
    <w:rsid w:val="008A5449"/>
    <w:rsid w:val="008A6984"/>
    <w:rsid w:val="008A77FF"/>
    <w:rsid w:val="008A78C6"/>
    <w:rsid w:val="008A791A"/>
    <w:rsid w:val="008A7D18"/>
    <w:rsid w:val="008A7FD4"/>
    <w:rsid w:val="008B0961"/>
    <w:rsid w:val="008B0ADD"/>
    <w:rsid w:val="008B1110"/>
    <w:rsid w:val="008B1281"/>
    <w:rsid w:val="008B1715"/>
    <w:rsid w:val="008B1812"/>
    <w:rsid w:val="008B2A12"/>
    <w:rsid w:val="008B33E1"/>
    <w:rsid w:val="008B382E"/>
    <w:rsid w:val="008B42C9"/>
    <w:rsid w:val="008B445C"/>
    <w:rsid w:val="008B46D9"/>
    <w:rsid w:val="008B47F9"/>
    <w:rsid w:val="008B4EFC"/>
    <w:rsid w:val="008B5452"/>
    <w:rsid w:val="008B5515"/>
    <w:rsid w:val="008B553D"/>
    <w:rsid w:val="008B55B1"/>
    <w:rsid w:val="008B5E6B"/>
    <w:rsid w:val="008B5EDF"/>
    <w:rsid w:val="008B68E0"/>
    <w:rsid w:val="008B7C3E"/>
    <w:rsid w:val="008C0395"/>
    <w:rsid w:val="008C0526"/>
    <w:rsid w:val="008C0C8B"/>
    <w:rsid w:val="008C1748"/>
    <w:rsid w:val="008C182B"/>
    <w:rsid w:val="008C214C"/>
    <w:rsid w:val="008C263F"/>
    <w:rsid w:val="008C285A"/>
    <w:rsid w:val="008C2861"/>
    <w:rsid w:val="008C2BB6"/>
    <w:rsid w:val="008C43E2"/>
    <w:rsid w:val="008C44B8"/>
    <w:rsid w:val="008C46AA"/>
    <w:rsid w:val="008C4FAD"/>
    <w:rsid w:val="008C5412"/>
    <w:rsid w:val="008C5CA6"/>
    <w:rsid w:val="008C625B"/>
    <w:rsid w:val="008C6FD4"/>
    <w:rsid w:val="008C73F2"/>
    <w:rsid w:val="008C7612"/>
    <w:rsid w:val="008C77A2"/>
    <w:rsid w:val="008D04AB"/>
    <w:rsid w:val="008D0EDD"/>
    <w:rsid w:val="008D161B"/>
    <w:rsid w:val="008D1C73"/>
    <w:rsid w:val="008D1CC9"/>
    <w:rsid w:val="008D1D0B"/>
    <w:rsid w:val="008D39B4"/>
    <w:rsid w:val="008D3ADF"/>
    <w:rsid w:val="008D3C34"/>
    <w:rsid w:val="008D499C"/>
    <w:rsid w:val="008D542E"/>
    <w:rsid w:val="008D5524"/>
    <w:rsid w:val="008D60F1"/>
    <w:rsid w:val="008D6ECE"/>
    <w:rsid w:val="008D706C"/>
    <w:rsid w:val="008D7461"/>
    <w:rsid w:val="008E0556"/>
    <w:rsid w:val="008E0D27"/>
    <w:rsid w:val="008E1ED7"/>
    <w:rsid w:val="008E241B"/>
    <w:rsid w:val="008E24B7"/>
    <w:rsid w:val="008E2CCF"/>
    <w:rsid w:val="008E2EF8"/>
    <w:rsid w:val="008E36A0"/>
    <w:rsid w:val="008E45E0"/>
    <w:rsid w:val="008E533A"/>
    <w:rsid w:val="008E5DC5"/>
    <w:rsid w:val="008E5FCF"/>
    <w:rsid w:val="008E625D"/>
    <w:rsid w:val="008E65D0"/>
    <w:rsid w:val="008F01EF"/>
    <w:rsid w:val="008F03CE"/>
    <w:rsid w:val="008F04AE"/>
    <w:rsid w:val="008F0785"/>
    <w:rsid w:val="008F0AD4"/>
    <w:rsid w:val="008F1F5C"/>
    <w:rsid w:val="008F2013"/>
    <w:rsid w:val="008F3F99"/>
    <w:rsid w:val="008F4231"/>
    <w:rsid w:val="008F44BF"/>
    <w:rsid w:val="008F454B"/>
    <w:rsid w:val="008F567E"/>
    <w:rsid w:val="008F5F80"/>
    <w:rsid w:val="008F6AF6"/>
    <w:rsid w:val="008F7035"/>
    <w:rsid w:val="008F7CE7"/>
    <w:rsid w:val="00900E7F"/>
    <w:rsid w:val="00901591"/>
    <w:rsid w:val="00901B6E"/>
    <w:rsid w:val="00905400"/>
    <w:rsid w:val="009058D7"/>
    <w:rsid w:val="00905F3C"/>
    <w:rsid w:val="00906706"/>
    <w:rsid w:val="00906E8A"/>
    <w:rsid w:val="0090767B"/>
    <w:rsid w:val="009078F5"/>
    <w:rsid w:val="00907CCE"/>
    <w:rsid w:val="0091067F"/>
    <w:rsid w:val="00910D28"/>
    <w:rsid w:val="00911C1B"/>
    <w:rsid w:val="009122AC"/>
    <w:rsid w:val="00912489"/>
    <w:rsid w:val="0091248A"/>
    <w:rsid w:val="009124A7"/>
    <w:rsid w:val="00912E64"/>
    <w:rsid w:val="0091371A"/>
    <w:rsid w:val="00913744"/>
    <w:rsid w:val="00913B59"/>
    <w:rsid w:val="00914591"/>
    <w:rsid w:val="00914957"/>
    <w:rsid w:val="00914CCF"/>
    <w:rsid w:val="00914F97"/>
    <w:rsid w:val="0091527B"/>
    <w:rsid w:val="0091590C"/>
    <w:rsid w:val="00916275"/>
    <w:rsid w:val="00916ECB"/>
    <w:rsid w:val="00917408"/>
    <w:rsid w:val="0091788B"/>
    <w:rsid w:val="00917998"/>
    <w:rsid w:val="00920BF3"/>
    <w:rsid w:val="0092197D"/>
    <w:rsid w:val="00921ED4"/>
    <w:rsid w:val="009222AE"/>
    <w:rsid w:val="0092249A"/>
    <w:rsid w:val="00922767"/>
    <w:rsid w:val="0092277A"/>
    <w:rsid w:val="00922799"/>
    <w:rsid w:val="009228DF"/>
    <w:rsid w:val="00922F04"/>
    <w:rsid w:val="009232A4"/>
    <w:rsid w:val="00923C3B"/>
    <w:rsid w:val="0092429F"/>
    <w:rsid w:val="00924543"/>
    <w:rsid w:val="0092465F"/>
    <w:rsid w:val="00924E57"/>
    <w:rsid w:val="009253E7"/>
    <w:rsid w:val="00925584"/>
    <w:rsid w:val="00925A4B"/>
    <w:rsid w:val="00926D06"/>
    <w:rsid w:val="00926F48"/>
    <w:rsid w:val="0092768C"/>
    <w:rsid w:val="00927E26"/>
    <w:rsid w:val="00930114"/>
    <w:rsid w:val="009313BA"/>
    <w:rsid w:val="00931CB6"/>
    <w:rsid w:val="00931DE7"/>
    <w:rsid w:val="0093248D"/>
    <w:rsid w:val="00932646"/>
    <w:rsid w:val="009329F7"/>
    <w:rsid w:val="00934127"/>
    <w:rsid w:val="009344AC"/>
    <w:rsid w:val="0093486C"/>
    <w:rsid w:val="00934D74"/>
    <w:rsid w:val="00935549"/>
    <w:rsid w:val="00935656"/>
    <w:rsid w:val="009362C8"/>
    <w:rsid w:val="0093655B"/>
    <w:rsid w:val="00936575"/>
    <w:rsid w:val="009365AB"/>
    <w:rsid w:val="00936EA4"/>
    <w:rsid w:val="009378FA"/>
    <w:rsid w:val="00937BF9"/>
    <w:rsid w:val="00937F42"/>
    <w:rsid w:val="009400E4"/>
    <w:rsid w:val="009415E4"/>
    <w:rsid w:val="00941DCC"/>
    <w:rsid w:val="0094254D"/>
    <w:rsid w:val="009427CA"/>
    <w:rsid w:val="00942BFE"/>
    <w:rsid w:val="00943B15"/>
    <w:rsid w:val="009454C7"/>
    <w:rsid w:val="00945D53"/>
    <w:rsid w:val="00946884"/>
    <w:rsid w:val="0094689E"/>
    <w:rsid w:val="00947824"/>
    <w:rsid w:val="00947F4C"/>
    <w:rsid w:val="009501E1"/>
    <w:rsid w:val="00950A00"/>
    <w:rsid w:val="00951017"/>
    <w:rsid w:val="00951236"/>
    <w:rsid w:val="00951903"/>
    <w:rsid w:val="00951CAF"/>
    <w:rsid w:val="00951E37"/>
    <w:rsid w:val="00952530"/>
    <w:rsid w:val="0095341F"/>
    <w:rsid w:val="00953626"/>
    <w:rsid w:val="00953703"/>
    <w:rsid w:val="009539E0"/>
    <w:rsid w:val="00953BC6"/>
    <w:rsid w:val="0095451F"/>
    <w:rsid w:val="0095493F"/>
    <w:rsid w:val="00954D7E"/>
    <w:rsid w:val="00955B56"/>
    <w:rsid w:val="00955C60"/>
    <w:rsid w:val="00955FAB"/>
    <w:rsid w:val="0095681C"/>
    <w:rsid w:val="00957F79"/>
    <w:rsid w:val="009602BA"/>
    <w:rsid w:val="00960334"/>
    <w:rsid w:val="009608EA"/>
    <w:rsid w:val="00960A0E"/>
    <w:rsid w:val="009616F1"/>
    <w:rsid w:val="00962443"/>
    <w:rsid w:val="009628AF"/>
    <w:rsid w:val="0096317E"/>
    <w:rsid w:val="00963D59"/>
    <w:rsid w:val="00963F73"/>
    <w:rsid w:val="009641D0"/>
    <w:rsid w:val="00964605"/>
    <w:rsid w:val="009650A8"/>
    <w:rsid w:val="00965AF5"/>
    <w:rsid w:val="00966E5A"/>
    <w:rsid w:val="00967046"/>
    <w:rsid w:val="00967171"/>
    <w:rsid w:val="00967973"/>
    <w:rsid w:val="00967C46"/>
    <w:rsid w:val="009704D9"/>
    <w:rsid w:val="00970661"/>
    <w:rsid w:val="00970A23"/>
    <w:rsid w:val="009717CB"/>
    <w:rsid w:val="00971B97"/>
    <w:rsid w:val="00971F9A"/>
    <w:rsid w:val="00972A72"/>
    <w:rsid w:val="00972E6A"/>
    <w:rsid w:val="0097391E"/>
    <w:rsid w:val="00973939"/>
    <w:rsid w:val="00973CF6"/>
    <w:rsid w:val="00973E0F"/>
    <w:rsid w:val="009744F6"/>
    <w:rsid w:val="00974E0A"/>
    <w:rsid w:val="00976507"/>
    <w:rsid w:val="0097727F"/>
    <w:rsid w:val="0097753F"/>
    <w:rsid w:val="00977899"/>
    <w:rsid w:val="00977A58"/>
    <w:rsid w:val="00981EF2"/>
    <w:rsid w:val="00982018"/>
    <w:rsid w:val="009833A5"/>
    <w:rsid w:val="009833DE"/>
    <w:rsid w:val="00983862"/>
    <w:rsid w:val="00983BC4"/>
    <w:rsid w:val="00983D4D"/>
    <w:rsid w:val="009853FE"/>
    <w:rsid w:val="00985B3C"/>
    <w:rsid w:val="00985BB7"/>
    <w:rsid w:val="00985C5A"/>
    <w:rsid w:val="00986079"/>
    <w:rsid w:val="00986408"/>
    <w:rsid w:val="00986E58"/>
    <w:rsid w:val="009872EF"/>
    <w:rsid w:val="0098751D"/>
    <w:rsid w:val="0098756F"/>
    <w:rsid w:val="0098784D"/>
    <w:rsid w:val="00987F6F"/>
    <w:rsid w:val="00990161"/>
    <w:rsid w:val="00990B66"/>
    <w:rsid w:val="00990C86"/>
    <w:rsid w:val="00991192"/>
    <w:rsid w:val="009914D1"/>
    <w:rsid w:val="00991BC9"/>
    <w:rsid w:val="00991DA0"/>
    <w:rsid w:val="009922C3"/>
    <w:rsid w:val="009922E4"/>
    <w:rsid w:val="00993ACA"/>
    <w:rsid w:val="00993E82"/>
    <w:rsid w:val="0099409F"/>
    <w:rsid w:val="00994514"/>
    <w:rsid w:val="00994BE6"/>
    <w:rsid w:val="009950D6"/>
    <w:rsid w:val="0099529B"/>
    <w:rsid w:val="00995CEE"/>
    <w:rsid w:val="0099620E"/>
    <w:rsid w:val="00996B11"/>
    <w:rsid w:val="00996DC5"/>
    <w:rsid w:val="009977B0"/>
    <w:rsid w:val="009977B8"/>
    <w:rsid w:val="009A0A87"/>
    <w:rsid w:val="009A0C20"/>
    <w:rsid w:val="009A0D85"/>
    <w:rsid w:val="009A13A2"/>
    <w:rsid w:val="009A1413"/>
    <w:rsid w:val="009A215A"/>
    <w:rsid w:val="009A2986"/>
    <w:rsid w:val="009A2E94"/>
    <w:rsid w:val="009A382C"/>
    <w:rsid w:val="009A4F59"/>
    <w:rsid w:val="009A55BA"/>
    <w:rsid w:val="009A5690"/>
    <w:rsid w:val="009A5D49"/>
    <w:rsid w:val="009A6457"/>
    <w:rsid w:val="009A65EB"/>
    <w:rsid w:val="009A6EDE"/>
    <w:rsid w:val="009A7616"/>
    <w:rsid w:val="009A7973"/>
    <w:rsid w:val="009B1266"/>
    <w:rsid w:val="009B1C0B"/>
    <w:rsid w:val="009B2773"/>
    <w:rsid w:val="009B2D80"/>
    <w:rsid w:val="009B4A8A"/>
    <w:rsid w:val="009B51EF"/>
    <w:rsid w:val="009B53BC"/>
    <w:rsid w:val="009B59A6"/>
    <w:rsid w:val="009B5DD9"/>
    <w:rsid w:val="009B6C4B"/>
    <w:rsid w:val="009B6CAA"/>
    <w:rsid w:val="009B6F57"/>
    <w:rsid w:val="009B6FD1"/>
    <w:rsid w:val="009B700A"/>
    <w:rsid w:val="009B7409"/>
    <w:rsid w:val="009B769F"/>
    <w:rsid w:val="009B79C5"/>
    <w:rsid w:val="009C0875"/>
    <w:rsid w:val="009C10C2"/>
    <w:rsid w:val="009C2603"/>
    <w:rsid w:val="009C2C1B"/>
    <w:rsid w:val="009C2CC3"/>
    <w:rsid w:val="009C359A"/>
    <w:rsid w:val="009C5693"/>
    <w:rsid w:val="009C5C4B"/>
    <w:rsid w:val="009C60CD"/>
    <w:rsid w:val="009C6D74"/>
    <w:rsid w:val="009C74B9"/>
    <w:rsid w:val="009C7992"/>
    <w:rsid w:val="009C7AE0"/>
    <w:rsid w:val="009D01E1"/>
    <w:rsid w:val="009D0216"/>
    <w:rsid w:val="009D02A9"/>
    <w:rsid w:val="009D02F7"/>
    <w:rsid w:val="009D0473"/>
    <w:rsid w:val="009D0864"/>
    <w:rsid w:val="009D0B0C"/>
    <w:rsid w:val="009D19EE"/>
    <w:rsid w:val="009D1B5F"/>
    <w:rsid w:val="009D2A03"/>
    <w:rsid w:val="009D32A5"/>
    <w:rsid w:val="009D350F"/>
    <w:rsid w:val="009D3E41"/>
    <w:rsid w:val="009D3F8B"/>
    <w:rsid w:val="009D4F7F"/>
    <w:rsid w:val="009D5801"/>
    <w:rsid w:val="009D58F3"/>
    <w:rsid w:val="009D5D48"/>
    <w:rsid w:val="009D65CD"/>
    <w:rsid w:val="009E02ED"/>
    <w:rsid w:val="009E0620"/>
    <w:rsid w:val="009E1425"/>
    <w:rsid w:val="009E1670"/>
    <w:rsid w:val="009E252E"/>
    <w:rsid w:val="009E2E5C"/>
    <w:rsid w:val="009E33B1"/>
    <w:rsid w:val="009E3873"/>
    <w:rsid w:val="009E4198"/>
    <w:rsid w:val="009E4C33"/>
    <w:rsid w:val="009E594D"/>
    <w:rsid w:val="009E63F7"/>
    <w:rsid w:val="009E64B3"/>
    <w:rsid w:val="009E6DC1"/>
    <w:rsid w:val="009E6EB0"/>
    <w:rsid w:val="009E6F77"/>
    <w:rsid w:val="009E737F"/>
    <w:rsid w:val="009E74BC"/>
    <w:rsid w:val="009E7F1D"/>
    <w:rsid w:val="009F05D7"/>
    <w:rsid w:val="009F0B6B"/>
    <w:rsid w:val="009F1164"/>
    <w:rsid w:val="009F124E"/>
    <w:rsid w:val="009F2A37"/>
    <w:rsid w:val="009F3322"/>
    <w:rsid w:val="009F466A"/>
    <w:rsid w:val="009F4C4D"/>
    <w:rsid w:val="009F4D19"/>
    <w:rsid w:val="009F506A"/>
    <w:rsid w:val="009F629D"/>
    <w:rsid w:val="009F69EB"/>
    <w:rsid w:val="009F7E66"/>
    <w:rsid w:val="00A00575"/>
    <w:rsid w:val="00A00E85"/>
    <w:rsid w:val="00A02BB6"/>
    <w:rsid w:val="00A02D2F"/>
    <w:rsid w:val="00A03236"/>
    <w:rsid w:val="00A036EF"/>
    <w:rsid w:val="00A03AE0"/>
    <w:rsid w:val="00A03AF2"/>
    <w:rsid w:val="00A04888"/>
    <w:rsid w:val="00A05ECC"/>
    <w:rsid w:val="00A06519"/>
    <w:rsid w:val="00A0679F"/>
    <w:rsid w:val="00A0685E"/>
    <w:rsid w:val="00A068F4"/>
    <w:rsid w:val="00A069CB"/>
    <w:rsid w:val="00A06EF7"/>
    <w:rsid w:val="00A0736D"/>
    <w:rsid w:val="00A119FF"/>
    <w:rsid w:val="00A11D65"/>
    <w:rsid w:val="00A128EB"/>
    <w:rsid w:val="00A12E15"/>
    <w:rsid w:val="00A13E80"/>
    <w:rsid w:val="00A14182"/>
    <w:rsid w:val="00A14471"/>
    <w:rsid w:val="00A144BC"/>
    <w:rsid w:val="00A149FD"/>
    <w:rsid w:val="00A14DF8"/>
    <w:rsid w:val="00A1530A"/>
    <w:rsid w:val="00A157B2"/>
    <w:rsid w:val="00A15B43"/>
    <w:rsid w:val="00A15E43"/>
    <w:rsid w:val="00A15FDB"/>
    <w:rsid w:val="00A1602F"/>
    <w:rsid w:val="00A1637C"/>
    <w:rsid w:val="00A1677D"/>
    <w:rsid w:val="00A167C0"/>
    <w:rsid w:val="00A16D15"/>
    <w:rsid w:val="00A16E51"/>
    <w:rsid w:val="00A16FE1"/>
    <w:rsid w:val="00A17247"/>
    <w:rsid w:val="00A17ACA"/>
    <w:rsid w:val="00A202B2"/>
    <w:rsid w:val="00A20E42"/>
    <w:rsid w:val="00A218CC"/>
    <w:rsid w:val="00A219B6"/>
    <w:rsid w:val="00A21D06"/>
    <w:rsid w:val="00A22BEA"/>
    <w:rsid w:val="00A22C04"/>
    <w:rsid w:val="00A2355A"/>
    <w:rsid w:val="00A2362E"/>
    <w:rsid w:val="00A23AE7"/>
    <w:rsid w:val="00A248F2"/>
    <w:rsid w:val="00A24A8A"/>
    <w:rsid w:val="00A24CC9"/>
    <w:rsid w:val="00A25293"/>
    <w:rsid w:val="00A25D39"/>
    <w:rsid w:val="00A26287"/>
    <w:rsid w:val="00A26AD5"/>
    <w:rsid w:val="00A274BB"/>
    <w:rsid w:val="00A27853"/>
    <w:rsid w:val="00A27AEE"/>
    <w:rsid w:val="00A302F7"/>
    <w:rsid w:val="00A30483"/>
    <w:rsid w:val="00A30D5B"/>
    <w:rsid w:val="00A30DFA"/>
    <w:rsid w:val="00A311C8"/>
    <w:rsid w:val="00A31A3A"/>
    <w:rsid w:val="00A31F41"/>
    <w:rsid w:val="00A31F7F"/>
    <w:rsid w:val="00A323E2"/>
    <w:rsid w:val="00A332BA"/>
    <w:rsid w:val="00A33AC1"/>
    <w:rsid w:val="00A33FA8"/>
    <w:rsid w:val="00A3464C"/>
    <w:rsid w:val="00A3582C"/>
    <w:rsid w:val="00A35D04"/>
    <w:rsid w:val="00A40495"/>
    <w:rsid w:val="00A41582"/>
    <w:rsid w:val="00A41D86"/>
    <w:rsid w:val="00A42007"/>
    <w:rsid w:val="00A422A3"/>
    <w:rsid w:val="00A42CBE"/>
    <w:rsid w:val="00A42FC5"/>
    <w:rsid w:val="00A4352B"/>
    <w:rsid w:val="00A43E0F"/>
    <w:rsid w:val="00A43E3F"/>
    <w:rsid w:val="00A44435"/>
    <w:rsid w:val="00A44742"/>
    <w:rsid w:val="00A4693E"/>
    <w:rsid w:val="00A46BC2"/>
    <w:rsid w:val="00A46FB8"/>
    <w:rsid w:val="00A471FA"/>
    <w:rsid w:val="00A50008"/>
    <w:rsid w:val="00A50857"/>
    <w:rsid w:val="00A5087D"/>
    <w:rsid w:val="00A50D14"/>
    <w:rsid w:val="00A50EB9"/>
    <w:rsid w:val="00A50FED"/>
    <w:rsid w:val="00A51130"/>
    <w:rsid w:val="00A515ED"/>
    <w:rsid w:val="00A51719"/>
    <w:rsid w:val="00A5177B"/>
    <w:rsid w:val="00A51930"/>
    <w:rsid w:val="00A52888"/>
    <w:rsid w:val="00A528F5"/>
    <w:rsid w:val="00A530E6"/>
    <w:rsid w:val="00A5398E"/>
    <w:rsid w:val="00A53BE9"/>
    <w:rsid w:val="00A554A8"/>
    <w:rsid w:val="00A5624E"/>
    <w:rsid w:val="00A572EF"/>
    <w:rsid w:val="00A575EB"/>
    <w:rsid w:val="00A604D5"/>
    <w:rsid w:val="00A6098A"/>
    <w:rsid w:val="00A61F4C"/>
    <w:rsid w:val="00A63551"/>
    <w:rsid w:val="00A635F1"/>
    <w:rsid w:val="00A64061"/>
    <w:rsid w:val="00A648FB"/>
    <w:rsid w:val="00A649AA"/>
    <w:rsid w:val="00A65354"/>
    <w:rsid w:val="00A661A2"/>
    <w:rsid w:val="00A67E7B"/>
    <w:rsid w:val="00A67E7C"/>
    <w:rsid w:val="00A702BC"/>
    <w:rsid w:val="00A711C7"/>
    <w:rsid w:val="00A71C75"/>
    <w:rsid w:val="00A724E1"/>
    <w:rsid w:val="00A73144"/>
    <w:rsid w:val="00A73564"/>
    <w:rsid w:val="00A73941"/>
    <w:rsid w:val="00A73A46"/>
    <w:rsid w:val="00A73AAD"/>
    <w:rsid w:val="00A763F8"/>
    <w:rsid w:val="00A766EA"/>
    <w:rsid w:val="00A76A62"/>
    <w:rsid w:val="00A76BB1"/>
    <w:rsid w:val="00A77545"/>
    <w:rsid w:val="00A77894"/>
    <w:rsid w:val="00A805F2"/>
    <w:rsid w:val="00A8068D"/>
    <w:rsid w:val="00A81431"/>
    <w:rsid w:val="00A81822"/>
    <w:rsid w:val="00A81A5F"/>
    <w:rsid w:val="00A81EF3"/>
    <w:rsid w:val="00A828BF"/>
    <w:rsid w:val="00A82B8F"/>
    <w:rsid w:val="00A832D3"/>
    <w:rsid w:val="00A833C9"/>
    <w:rsid w:val="00A835E3"/>
    <w:rsid w:val="00A83B14"/>
    <w:rsid w:val="00A83B3D"/>
    <w:rsid w:val="00A83E14"/>
    <w:rsid w:val="00A844A0"/>
    <w:rsid w:val="00A84FE8"/>
    <w:rsid w:val="00A85021"/>
    <w:rsid w:val="00A8528C"/>
    <w:rsid w:val="00A857A6"/>
    <w:rsid w:val="00A85A69"/>
    <w:rsid w:val="00A86521"/>
    <w:rsid w:val="00A87455"/>
    <w:rsid w:val="00A87589"/>
    <w:rsid w:val="00A87A90"/>
    <w:rsid w:val="00A904F3"/>
    <w:rsid w:val="00A91241"/>
    <w:rsid w:val="00A916FD"/>
    <w:rsid w:val="00A91FD4"/>
    <w:rsid w:val="00A924FF"/>
    <w:rsid w:val="00A930FF"/>
    <w:rsid w:val="00A93472"/>
    <w:rsid w:val="00A93AE1"/>
    <w:rsid w:val="00A93B59"/>
    <w:rsid w:val="00A93F94"/>
    <w:rsid w:val="00A9402D"/>
    <w:rsid w:val="00A94600"/>
    <w:rsid w:val="00A9500E"/>
    <w:rsid w:val="00A956E5"/>
    <w:rsid w:val="00A95D15"/>
    <w:rsid w:val="00A96141"/>
    <w:rsid w:val="00A9692C"/>
    <w:rsid w:val="00A96F30"/>
    <w:rsid w:val="00A96FCF"/>
    <w:rsid w:val="00A974A3"/>
    <w:rsid w:val="00A97804"/>
    <w:rsid w:val="00A97D53"/>
    <w:rsid w:val="00AA0C90"/>
    <w:rsid w:val="00AA1B4D"/>
    <w:rsid w:val="00AA20C8"/>
    <w:rsid w:val="00AA2758"/>
    <w:rsid w:val="00AA2A51"/>
    <w:rsid w:val="00AA2E17"/>
    <w:rsid w:val="00AA3595"/>
    <w:rsid w:val="00AA3AC7"/>
    <w:rsid w:val="00AA3F3F"/>
    <w:rsid w:val="00AA4165"/>
    <w:rsid w:val="00AA4753"/>
    <w:rsid w:val="00AA487A"/>
    <w:rsid w:val="00AA4E07"/>
    <w:rsid w:val="00AA4F76"/>
    <w:rsid w:val="00AA7CD4"/>
    <w:rsid w:val="00AB0150"/>
    <w:rsid w:val="00AB2675"/>
    <w:rsid w:val="00AB2770"/>
    <w:rsid w:val="00AB28C5"/>
    <w:rsid w:val="00AB2BC0"/>
    <w:rsid w:val="00AB39FD"/>
    <w:rsid w:val="00AB407A"/>
    <w:rsid w:val="00AB40C3"/>
    <w:rsid w:val="00AB41D8"/>
    <w:rsid w:val="00AB4453"/>
    <w:rsid w:val="00AB44C1"/>
    <w:rsid w:val="00AB4D12"/>
    <w:rsid w:val="00AB5C58"/>
    <w:rsid w:val="00AB6254"/>
    <w:rsid w:val="00AB6418"/>
    <w:rsid w:val="00AB6C71"/>
    <w:rsid w:val="00AB6DAF"/>
    <w:rsid w:val="00AB7885"/>
    <w:rsid w:val="00AC0657"/>
    <w:rsid w:val="00AC09E6"/>
    <w:rsid w:val="00AC1329"/>
    <w:rsid w:val="00AC14EB"/>
    <w:rsid w:val="00AC2AA6"/>
    <w:rsid w:val="00AC2EDA"/>
    <w:rsid w:val="00AC38F8"/>
    <w:rsid w:val="00AC3C09"/>
    <w:rsid w:val="00AC3F1F"/>
    <w:rsid w:val="00AC65E8"/>
    <w:rsid w:val="00AC6770"/>
    <w:rsid w:val="00AC68DB"/>
    <w:rsid w:val="00AC7865"/>
    <w:rsid w:val="00AC7A0B"/>
    <w:rsid w:val="00AC7FBA"/>
    <w:rsid w:val="00AD0397"/>
    <w:rsid w:val="00AD1DA8"/>
    <w:rsid w:val="00AD2937"/>
    <w:rsid w:val="00AD3261"/>
    <w:rsid w:val="00AD3E2B"/>
    <w:rsid w:val="00AD53A9"/>
    <w:rsid w:val="00AD597C"/>
    <w:rsid w:val="00AD5F94"/>
    <w:rsid w:val="00AD68DD"/>
    <w:rsid w:val="00AD6AC9"/>
    <w:rsid w:val="00AD6F6A"/>
    <w:rsid w:val="00AD72F1"/>
    <w:rsid w:val="00AD7C64"/>
    <w:rsid w:val="00AE02E1"/>
    <w:rsid w:val="00AE0410"/>
    <w:rsid w:val="00AE1362"/>
    <w:rsid w:val="00AE1A76"/>
    <w:rsid w:val="00AE1BDA"/>
    <w:rsid w:val="00AE2364"/>
    <w:rsid w:val="00AE23DA"/>
    <w:rsid w:val="00AE25E5"/>
    <w:rsid w:val="00AE2718"/>
    <w:rsid w:val="00AE2B1C"/>
    <w:rsid w:val="00AE2C0D"/>
    <w:rsid w:val="00AE31C8"/>
    <w:rsid w:val="00AE37C6"/>
    <w:rsid w:val="00AE4BCF"/>
    <w:rsid w:val="00AE51C4"/>
    <w:rsid w:val="00AE6846"/>
    <w:rsid w:val="00AE7AD4"/>
    <w:rsid w:val="00AF00C9"/>
    <w:rsid w:val="00AF1256"/>
    <w:rsid w:val="00AF36FE"/>
    <w:rsid w:val="00AF4059"/>
    <w:rsid w:val="00AF48A6"/>
    <w:rsid w:val="00AF4F44"/>
    <w:rsid w:val="00AF574D"/>
    <w:rsid w:val="00AF5EE2"/>
    <w:rsid w:val="00AF61EE"/>
    <w:rsid w:val="00AF64AA"/>
    <w:rsid w:val="00AF653F"/>
    <w:rsid w:val="00AF671A"/>
    <w:rsid w:val="00B00CBE"/>
    <w:rsid w:val="00B00D0D"/>
    <w:rsid w:val="00B01BAC"/>
    <w:rsid w:val="00B01FAD"/>
    <w:rsid w:val="00B02581"/>
    <w:rsid w:val="00B0398A"/>
    <w:rsid w:val="00B03B5C"/>
    <w:rsid w:val="00B03D9B"/>
    <w:rsid w:val="00B0431D"/>
    <w:rsid w:val="00B04A49"/>
    <w:rsid w:val="00B04B8E"/>
    <w:rsid w:val="00B04FEE"/>
    <w:rsid w:val="00B051ED"/>
    <w:rsid w:val="00B05E96"/>
    <w:rsid w:val="00B05FD9"/>
    <w:rsid w:val="00B061A2"/>
    <w:rsid w:val="00B06260"/>
    <w:rsid w:val="00B06444"/>
    <w:rsid w:val="00B06471"/>
    <w:rsid w:val="00B074AD"/>
    <w:rsid w:val="00B07B19"/>
    <w:rsid w:val="00B101AE"/>
    <w:rsid w:val="00B10C12"/>
    <w:rsid w:val="00B1113B"/>
    <w:rsid w:val="00B114B3"/>
    <w:rsid w:val="00B117AA"/>
    <w:rsid w:val="00B12308"/>
    <w:rsid w:val="00B123E9"/>
    <w:rsid w:val="00B12835"/>
    <w:rsid w:val="00B12F7D"/>
    <w:rsid w:val="00B13697"/>
    <w:rsid w:val="00B1572B"/>
    <w:rsid w:val="00B15B78"/>
    <w:rsid w:val="00B15BA7"/>
    <w:rsid w:val="00B16224"/>
    <w:rsid w:val="00B16CED"/>
    <w:rsid w:val="00B170F2"/>
    <w:rsid w:val="00B171D3"/>
    <w:rsid w:val="00B174CE"/>
    <w:rsid w:val="00B17762"/>
    <w:rsid w:val="00B17AF2"/>
    <w:rsid w:val="00B17C37"/>
    <w:rsid w:val="00B17F8C"/>
    <w:rsid w:val="00B20900"/>
    <w:rsid w:val="00B20AB3"/>
    <w:rsid w:val="00B20FFA"/>
    <w:rsid w:val="00B2122C"/>
    <w:rsid w:val="00B21D75"/>
    <w:rsid w:val="00B22450"/>
    <w:rsid w:val="00B22915"/>
    <w:rsid w:val="00B22C92"/>
    <w:rsid w:val="00B23072"/>
    <w:rsid w:val="00B2364F"/>
    <w:rsid w:val="00B23779"/>
    <w:rsid w:val="00B24658"/>
    <w:rsid w:val="00B254A2"/>
    <w:rsid w:val="00B2561F"/>
    <w:rsid w:val="00B25BA6"/>
    <w:rsid w:val="00B265F1"/>
    <w:rsid w:val="00B26C47"/>
    <w:rsid w:val="00B27347"/>
    <w:rsid w:val="00B276D2"/>
    <w:rsid w:val="00B27900"/>
    <w:rsid w:val="00B30327"/>
    <w:rsid w:val="00B31BF8"/>
    <w:rsid w:val="00B32576"/>
    <w:rsid w:val="00B3366D"/>
    <w:rsid w:val="00B3541E"/>
    <w:rsid w:val="00B3542B"/>
    <w:rsid w:val="00B35458"/>
    <w:rsid w:val="00B3574B"/>
    <w:rsid w:val="00B36392"/>
    <w:rsid w:val="00B36B49"/>
    <w:rsid w:val="00B37009"/>
    <w:rsid w:val="00B37CFC"/>
    <w:rsid w:val="00B40DE8"/>
    <w:rsid w:val="00B40EF2"/>
    <w:rsid w:val="00B4266C"/>
    <w:rsid w:val="00B42C0C"/>
    <w:rsid w:val="00B43DBE"/>
    <w:rsid w:val="00B4427F"/>
    <w:rsid w:val="00B45374"/>
    <w:rsid w:val="00B45390"/>
    <w:rsid w:val="00B4598D"/>
    <w:rsid w:val="00B46385"/>
    <w:rsid w:val="00B46570"/>
    <w:rsid w:val="00B46663"/>
    <w:rsid w:val="00B46D8C"/>
    <w:rsid w:val="00B47DA2"/>
    <w:rsid w:val="00B508AB"/>
    <w:rsid w:val="00B50CFF"/>
    <w:rsid w:val="00B52331"/>
    <w:rsid w:val="00B5251D"/>
    <w:rsid w:val="00B52AE1"/>
    <w:rsid w:val="00B5309D"/>
    <w:rsid w:val="00B53BBC"/>
    <w:rsid w:val="00B53F28"/>
    <w:rsid w:val="00B5468A"/>
    <w:rsid w:val="00B54867"/>
    <w:rsid w:val="00B54B49"/>
    <w:rsid w:val="00B54D61"/>
    <w:rsid w:val="00B55901"/>
    <w:rsid w:val="00B55C08"/>
    <w:rsid w:val="00B5617B"/>
    <w:rsid w:val="00B57081"/>
    <w:rsid w:val="00B57AA2"/>
    <w:rsid w:val="00B57ECF"/>
    <w:rsid w:val="00B61C12"/>
    <w:rsid w:val="00B63223"/>
    <w:rsid w:val="00B6362C"/>
    <w:rsid w:val="00B637A9"/>
    <w:rsid w:val="00B644C9"/>
    <w:rsid w:val="00B648FD"/>
    <w:rsid w:val="00B64F09"/>
    <w:rsid w:val="00B65713"/>
    <w:rsid w:val="00B664A6"/>
    <w:rsid w:val="00B67DC6"/>
    <w:rsid w:val="00B70859"/>
    <w:rsid w:val="00B70EA7"/>
    <w:rsid w:val="00B70F5B"/>
    <w:rsid w:val="00B71363"/>
    <w:rsid w:val="00B7172C"/>
    <w:rsid w:val="00B71BF1"/>
    <w:rsid w:val="00B71D3A"/>
    <w:rsid w:val="00B72263"/>
    <w:rsid w:val="00B73800"/>
    <w:rsid w:val="00B7586A"/>
    <w:rsid w:val="00B75E68"/>
    <w:rsid w:val="00B75F60"/>
    <w:rsid w:val="00B760A2"/>
    <w:rsid w:val="00B76948"/>
    <w:rsid w:val="00B76C8C"/>
    <w:rsid w:val="00B77473"/>
    <w:rsid w:val="00B7765E"/>
    <w:rsid w:val="00B80357"/>
    <w:rsid w:val="00B80A5A"/>
    <w:rsid w:val="00B80E5F"/>
    <w:rsid w:val="00B81A85"/>
    <w:rsid w:val="00B82FFE"/>
    <w:rsid w:val="00B83400"/>
    <w:rsid w:val="00B8385C"/>
    <w:rsid w:val="00B849B2"/>
    <w:rsid w:val="00B850A8"/>
    <w:rsid w:val="00B85CAA"/>
    <w:rsid w:val="00B86018"/>
    <w:rsid w:val="00B86051"/>
    <w:rsid w:val="00B8612E"/>
    <w:rsid w:val="00B86E25"/>
    <w:rsid w:val="00B87481"/>
    <w:rsid w:val="00B87673"/>
    <w:rsid w:val="00B87B73"/>
    <w:rsid w:val="00B87CAF"/>
    <w:rsid w:val="00B9035B"/>
    <w:rsid w:val="00B90A72"/>
    <w:rsid w:val="00B90D7A"/>
    <w:rsid w:val="00B91075"/>
    <w:rsid w:val="00B91191"/>
    <w:rsid w:val="00B91637"/>
    <w:rsid w:val="00B91811"/>
    <w:rsid w:val="00B91CCF"/>
    <w:rsid w:val="00B9254B"/>
    <w:rsid w:val="00B9331B"/>
    <w:rsid w:val="00B9348A"/>
    <w:rsid w:val="00B93751"/>
    <w:rsid w:val="00B9402E"/>
    <w:rsid w:val="00B95760"/>
    <w:rsid w:val="00B95F03"/>
    <w:rsid w:val="00B966CE"/>
    <w:rsid w:val="00B96739"/>
    <w:rsid w:val="00B969BE"/>
    <w:rsid w:val="00B97418"/>
    <w:rsid w:val="00B9759E"/>
    <w:rsid w:val="00B975F5"/>
    <w:rsid w:val="00B976A2"/>
    <w:rsid w:val="00B979FF"/>
    <w:rsid w:val="00BA06D8"/>
    <w:rsid w:val="00BA0E65"/>
    <w:rsid w:val="00BA11C8"/>
    <w:rsid w:val="00BA26F1"/>
    <w:rsid w:val="00BA2B1D"/>
    <w:rsid w:val="00BA2D6F"/>
    <w:rsid w:val="00BA2F24"/>
    <w:rsid w:val="00BA323B"/>
    <w:rsid w:val="00BA32B2"/>
    <w:rsid w:val="00BA36B7"/>
    <w:rsid w:val="00BA3A78"/>
    <w:rsid w:val="00BA4956"/>
    <w:rsid w:val="00BA5F0B"/>
    <w:rsid w:val="00BA60CF"/>
    <w:rsid w:val="00BA7120"/>
    <w:rsid w:val="00BB022B"/>
    <w:rsid w:val="00BB0447"/>
    <w:rsid w:val="00BB04AF"/>
    <w:rsid w:val="00BB197B"/>
    <w:rsid w:val="00BB2196"/>
    <w:rsid w:val="00BB2413"/>
    <w:rsid w:val="00BB2F18"/>
    <w:rsid w:val="00BB3A5A"/>
    <w:rsid w:val="00BB3D15"/>
    <w:rsid w:val="00BB5BE9"/>
    <w:rsid w:val="00BB5DA5"/>
    <w:rsid w:val="00BB6B61"/>
    <w:rsid w:val="00BB6C1E"/>
    <w:rsid w:val="00BB6D36"/>
    <w:rsid w:val="00BB6E22"/>
    <w:rsid w:val="00BB7443"/>
    <w:rsid w:val="00BB7853"/>
    <w:rsid w:val="00BC0EF5"/>
    <w:rsid w:val="00BC1BE8"/>
    <w:rsid w:val="00BC360C"/>
    <w:rsid w:val="00BC3984"/>
    <w:rsid w:val="00BC40CE"/>
    <w:rsid w:val="00BC44EA"/>
    <w:rsid w:val="00BC4523"/>
    <w:rsid w:val="00BC4DDA"/>
    <w:rsid w:val="00BC60E2"/>
    <w:rsid w:val="00BC67B3"/>
    <w:rsid w:val="00BC6BBE"/>
    <w:rsid w:val="00BC753A"/>
    <w:rsid w:val="00BC772D"/>
    <w:rsid w:val="00BC7D5B"/>
    <w:rsid w:val="00BC7DA1"/>
    <w:rsid w:val="00BD0673"/>
    <w:rsid w:val="00BD13AB"/>
    <w:rsid w:val="00BD182F"/>
    <w:rsid w:val="00BD1E53"/>
    <w:rsid w:val="00BD29FC"/>
    <w:rsid w:val="00BD2B6B"/>
    <w:rsid w:val="00BD31E8"/>
    <w:rsid w:val="00BD5381"/>
    <w:rsid w:val="00BD5E8F"/>
    <w:rsid w:val="00BD7201"/>
    <w:rsid w:val="00BD7452"/>
    <w:rsid w:val="00BD77C6"/>
    <w:rsid w:val="00BD7CB4"/>
    <w:rsid w:val="00BE03F2"/>
    <w:rsid w:val="00BE0F1D"/>
    <w:rsid w:val="00BE12DD"/>
    <w:rsid w:val="00BE1A59"/>
    <w:rsid w:val="00BE2153"/>
    <w:rsid w:val="00BE2382"/>
    <w:rsid w:val="00BE2555"/>
    <w:rsid w:val="00BE2D54"/>
    <w:rsid w:val="00BE3105"/>
    <w:rsid w:val="00BE3246"/>
    <w:rsid w:val="00BE39F0"/>
    <w:rsid w:val="00BE4075"/>
    <w:rsid w:val="00BE435A"/>
    <w:rsid w:val="00BE4997"/>
    <w:rsid w:val="00BE4A04"/>
    <w:rsid w:val="00BE4F56"/>
    <w:rsid w:val="00BE593B"/>
    <w:rsid w:val="00BE5997"/>
    <w:rsid w:val="00BE5CE4"/>
    <w:rsid w:val="00BE5D31"/>
    <w:rsid w:val="00BE5DD5"/>
    <w:rsid w:val="00BE69E4"/>
    <w:rsid w:val="00BE6A83"/>
    <w:rsid w:val="00BE6E06"/>
    <w:rsid w:val="00BE788C"/>
    <w:rsid w:val="00BE7995"/>
    <w:rsid w:val="00BE7F67"/>
    <w:rsid w:val="00BF0363"/>
    <w:rsid w:val="00BF0670"/>
    <w:rsid w:val="00BF0BED"/>
    <w:rsid w:val="00BF0C04"/>
    <w:rsid w:val="00BF0E4F"/>
    <w:rsid w:val="00BF143E"/>
    <w:rsid w:val="00BF1834"/>
    <w:rsid w:val="00BF1A98"/>
    <w:rsid w:val="00BF23BA"/>
    <w:rsid w:val="00BF2992"/>
    <w:rsid w:val="00BF30EB"/>
    <w:rsid w:val="00BF339B"/>
    <w:rsid w:val="00BF3DCE"/>
    <w:rsid w:val="00BF556D"/>
    <w:rsid w:val="00BF63E1"/>
    <w:rsid w:val="00BF709D"/>
    <w:rsid w:val="00BF77AA"/>
    <w:rsid w:val="00BF78A5"/>
    <w:rsid w:val="00BF7969"/>
    <w:rsid w:val="00BF7AD5"/>
    <w:rsid w:val="00BF7B17"/>
    <w:rsid w:val="00BF7BB3"/>
    <w:rsid w:val="00C00543"/>
    <w:rsid w:val="00C00C23"/>
    <w:rsid w:val="00C00E2F"/>
    <w:rsid w:val="00C00FE3"/>
    <w:rsid w:val="00C02A24"/>
    <w:rsid w:val="00C03706"/>
    <w:rsid w:val="00C038BD"/>
    <w:rsid w:val="00C040EC"/>
    <w:rsid w:val="00C04DC4"/>
    <w:rsid w:val="00C05527"/>
    <w:rsid w:val="00C0643F"/>
    <w:rsid w:val="00C069BF"/>
    <w:rsid w:val="00C06DC4"/>
    <w:rsid w:val="00C074D6"/>
    <w:rsid w:val="00C075B8"/>
    <w:rsid w:val="00C075F1"/>
    <w:rsid w:val="00C0784F"/>
    <w:rsid w:val="00C07942"/>
    <w:rsid w:val="00C10B32"/>
    <w:rsid w:val="00C1202A"/>
    <w:rsid w:val="00C12F4E"/>
    <w:rsid w:val="00C1353C"/>
    <w:rsid w:val="00C138B7"/>
    <w:rsid w:val="00C1393B"/>
    <w:rsid w:val="00C14C71"/>
    <w:rsid w:val="00C16AEB"/>
    <w:rsid w:val="00C172B7"/>
    <w:rsid w:val="00C20236"/>
    <w:rsid w:val="00C20355"/>
    <w:rsid w:val="00C20476"/>
    <w:rsid w:val="00C208F3"/>
    <w:rsid w:val="00C212DE"/>
    <w:rsid w:val="00C21A77"/>
    <w:rsid w:val="00C22073"/>
    <w:rsid w:val="00C221F9"/>
    <w:rsid w:val="00C22F3C"/>
    <w:rsid w:val="00C2441F"/>
    <w:rsid w:val="00C25065"/>
    <w:rsid w:val="00C252A4"/>
    <w:rsid w:val="00C25BE3"/>
    <w:rsid w:val="00C26E2B"/>
    <w:rsid w:val="00C27A29"/>
    <w:rsid w:val="00C27F7D"/>
    <w:rsid w:val="00C27FCA"/>
    <w:rsid w:val="00C30C09"/>
    <w:rsid w:val="00C3204D"/>
    <w:rsid w:val="00C324EA"/>
    <w:rsid w:val="00C32A96"/>
    <w:rsid w:val="00C3300E"/>
    <w:rsid w:val="00C33BAA"/>
    <w:rsid w:val="00C3430B"/>
    <w:rsid w:val="00C34B10"/>
    <w:rsid w:val="00C3505C"/>
    <w:rsid w:val="00C353B9"/>
    <w:rsid w:val="00C36116"/>
    <w:rsid w:val="00C36385"/>
    <w:rsid w:val="00C402C8"/>
    <w:rsid w:val="00C4085D"/>
    <w:rsid w:val="00C40E00"/>
    <w:rsid w:val="00C415E1"/>
    <w:rsid w:val="00C41851"/>
    <w:rsid w:val="00C41F53"/>
    <w:rsid w:val="00C42046"/>
    <w:rsid w:val="00C423CF"/>
    <w:rsid w:val="00C42975"/>
    <w:rsid w:val="00C43AD2"/>
    <w:rsid w:val="00C440B2"/>
    <w:rsid w:val="00C44ECC"/>
    <w:rsid w:val="00C452DE"/>
    <w:rsid w:val="00C454CD"/>
    <w:rsid w:val="00C459C0"/>
    <w:rsid w:val="00C47CC6"/>
    <w:rsid w:val="00C50041"/>
    <w:rsid w:val="00C52687"/>
    <w:rsid w:val="00C5295F"/>
    <w:rsid w:val="00C5331A"/>
    <w:rsid w:val="00C53B22"/>
    <w:rsid w:val="00C53ECF"/>
    <w:rsid w:val="00C53F3B"/>
    <w:rsid w:val="00C54C4A"/>
    <w:rsid w:val="00C550B2"/>
    <w:rsid w:val="00C55E1B"/>
    <w:rsid w:val="00C55F88"/>
    <w:rsid w:val="00C56BE7"/>
    <w:rsid w:val="00C60486"/>
    <w:rsid w:val="00C60DCD"/>
    <w:rsid w:val="00C61E09"/>
    <w:rsid w:val="00C62D66"/>
    <w:rsid w:val="00C62F35"/>
    <w:rsid w:val="00C63F30"/>
    <w:rsid w:val="00C64988"/>
    <w:rsid w:val="00C67212"/>
    <w:rsid w:val="00C67455"/>
    <w:rsid w:val="00C700FA"/>
    <w:rsid w:val="00C701B1"/>
    <w:rsid w:val="00C70AB6"/>
    <w:rsid w:val="00C72068"/>
    <w:rsid w:val="00C724B5"/>
    <w:rsid w:val="00C731AD"/>
    <w:rsid w:val="00C731CD"/>
    <w:rsid w:val="00C745D1"/>
    <w:rsid w:val="00C75274"/>
    <w:rsid w:val="00C752E7"/>
    <w:rsid w:val="00C75613"/>
    <w:rsid w:val="00C760A0"/>
    <w:rsid w:val="00C76627"/>
    <w:rsid w:val="00C76C21"/>
    <w:rsid w:val="00C77309"/>
    <w:rsid w:val="00C8053B"/>
    <w:rsid w:val="00C8160D"/>
    <w:rsid w:val="00C81F42"/>
    <w:rsid w:val="00C828FF"/>
    <w:rsid w:val="00C82DF3"/>
    <w:rsid w:val="00C83763"/>
    <w:rsid w:val="00C83D97"/>
    <w:rsid w:val="00C84207"/>
    <w:rsid w:val="00C856A6"/>
    <w:rsid w:val="00C85827"/>
    <w:rsid w:val="00C85BC7"/>
    <w:rsid w:val="00C85F2C"/>
    <w:rsid w:val="00C86D2E"/>
    <w:rsid w:val="00C86FE3"/>
    <w:rsid w:val="00C87D4F"/>
    <w:rsid w:val="00C87F38"/>
    <w:rsid w:val="00C90C40"/>
    <w:rsid w:val="00C920E2"/>
    <w:rsid w:val="00C921C3"/>
    <w:rsid w:val="00C93074"/>
    <w:rsid w:val="00C930C2"/>
    <w:rsid w:val="00C9354F"/>
    <w:rsid w:val="00C93787"/>
    <w:rsid w:val="00C939EC"/>
    <w:rsid w:val="00C93AC2"/>
    <w:rsid w:val="00C948DD"/>
    <w:rsid w:val="00C94FF6"/>
    <w:rsid w:val="00C954AD"/>
    <w:rsid w:val="00C9594E"/>
    <w:rsid w:val="00C95ED2"/>
    <w:rsid w:val="00C96C60"/>
    <w:rsid w:val="00C96CCE"/>
    <w:rsid w:val="00CA0358"/>
    <w:rsid w:val="00CA072B"/>
    <w:rsid w:val="00CA0C05"/>
    <w:rsid w:val="00CA0D8A"/>
    <w:rsid w:val="00CA17F6"/>
    <w:rsid w:val="00CA1E5F"/>
    <w:rsid w:val="00CA274F"/>
    <w:rsid w:val="00CA2840"/>
    <w:rsid w:val="00CA2B13"/>
    <w:rsid w:val="00CA2FE1"/>
    <w:rsid w:val="00CA3510"/>
    <w:rsid w:val="00CA3D24"/>
    <w:rsid w:val="00CA3F9C"/>
    <w:rsid w:val="00CA47EA"/>
    <w:rsid w:val="00CA4A6E"/>
    <w:rsid w:val="00CA4F81"/>
    <w:rsid w:val="00CA5516"/>
    <w:rsid w:val="00CA5640"/>
    <w:rsid w:val="00CA577F"/>
    <w:rsid w:val="00CA5ECF"/>
    <w:rsid w:val="00CA60CF"/>
    <w:rsid w:val="00CA629F"/>
    <w:rsid w:val="00CB117A"/>
    <w:rsid w:val="00CB1B41"/>
    <w:rsid w:val="00CB29BF"/>
    <w:rsid w:val="00CB49FF"/>
    <w:rsid w:val="00CB5870"/>
    <w:rsid w:val="00CB59DD"/>
    <w:rsid w:val="00CB5D8B"/>
    <w:rsid w:val="00CB666B"/>
    <w:rsid w:val="00CB6A09"/>
    <w:rsid w:val="00CB6B52"/>
    <w:rsid w:val="00CB7546"/>
    <w:rsid w:val="00CB7C0D"/>
    <w:rsid w:val="00CB7E07"/>
    <w:rsid w:val="00CC0264"/>
    <w:rsid w:val="00CC0724"/>
    <w:rsid w:val="00CC07D6"/>
    <w:rsid w:val="00CC1A00"/>
    <w:rsid w:val="00CC2061"/>
    <w:rsid w:val="00CC225B"/>
    <w:rsid w:val="00CC264F"/>
    <w:rsid w:val="00CC2A70"/>
    <w:rsid w:val="00CC32F1"/>
    <w:rsid w:val="00CC34B5"/>
    <w:rsid w:val="00CC370C"/>
    <w:rsid w:val="00CC4BD3"/>
    <w:rsid w:val="00CC4E25"/>
    <w:rsid w:val="00CC56B3"/>
    <w:rsid w:val="00CC71A9"/>
    <w:rsid w:val="00CC7B42"/>
    <w:rsid w:val="00CD1679"/>
    <w:rsid w:val="00CD18FD"/>
    <w:rsid w:val="00CD1AD7"/>
    <w:rsid w:val="00CD267F"/>
    <w:rsid w:val="00CD2AD6"/>
    <w:rsid w:val="00CD332E"/>
    <w:rsid w:val="00CD3A7F"/>
    <w:rsid w:val="00CD3C59"/>
    <w:rsid w:val="00CD3D0A"/>
    <w:rsid w:val="00CD4786"/>
    <w:rsid w:val="00CD522B"/>
    <w:rsid w:val="00CD5F74"/>
    <w:rsid w:val="00CD5FED"/>
    <w:rsid w:val="00CD77A3"/>
    <w:rsid w:val="00CE0347"/>
    <w:rsid w:val="00CE03D2"/>
    <w:rsid w:val="00CE0687"/>
    <w:rsid w:val="00CE0C3A"/>
    <w:rsid w:val="00CE1B68"/>
    <w:rsid w:val="00CE1C55"/>
    <w:rsid w:val="00CE23AE"/>
    <w:rsid w:val="00CE2496"/>
    <w:rsid w:val="00CE250B"/>
    <w:rsid w:val="00CE2ED9"/>
    <w:rsid w:val="00CE3424"/>
    <w:rsid w:val="00CE3550"/>
    <w:rsid w:val="00CE3FCE"/>
    <w:rsid w:val="00CE44B7"/>
    <w:rsid w:val="00CE4F10"/>
    <w:rsid w:val="00CE509A"/>
    <w:rsid w:val="00CE542D"/>
    <w:rsid w:val="00CF01FD"/>
    <w:rsid w:val="00CF0A07"/>
    <w:rsid w:val="00CF0CDA"/>
    <w:rsid w:val="00CF2165"/>
    <w:rsid w:val="00CF24F3"/>
    <w:rsid w:val="00CF2826"/>
    <w:rsid w:val="00CF289D"/>
    <w:rsid w:val="00CF33D8"/>
    <w:rsid w:val="00CF3E31"/>
    <w:rsid w:val="00CF4D48"/>
    <w:rsid w:val="00CF5347"/>
    <w:rsid w:val="00CF54B7"/>
    <w:rsid w:val="00CF5714"/>
    <w:rsid w:val="00CF5A73"/>
    <w:rsid w:val="00CF5F12"/>
    <w:rsid w:val="00CF5F7B"/>
    <w:rsid w:val="00CF60B7"/>
    <w:rsid w:val="00CF64A4"/>
    <w:rsid w:val="00CF6601"/>
    <w:rsid w:val="00CF6622"/>
    <w:rsid w:val="00CF68FC"/>
    <w:rsid w:val="00CF69DB"/>
    <w:rsid w:val="00CF77AB"/>
    <w:rsid w:val="00D00D14"/>
    <w:rsid w:val="00D012A4"/>
    <w:rsid w:val="00D01C4A"/>
    <w:rsid w:val="00D01F75"/>
    <w:rsid w:val="00D02C4E"/>
    <w:rsid w:val="00D02C8F"/>
    <w:rsid w:val="00D03AE4"/>
    <w:rsid w:val="00D0420A"/>
    <w:rsid w:val="00D04B55"/>
    <w:rsid w:val="00D05304"/>
    <w:rsid w:val="00D05482"/>
    <w:rsid w:val="00D05CE9"/>
    <w:rsid w:val="00D064AD"/>
    <w:rsid w:val="00D06845"/>
    <w:rsid w:val="00D06E69"/>
    <w:rsid w:val="00D0719C"/>
    <w:rsid w:val="00D07204"/>
    <w:rsid w:val="00D07513"/>
    <w:rsid w:val="00D07DB2"/>
    <w:rsid w:val="00D11194"/>
    <w:rsid w:val="00D11B61"/>
    <w:rsid w:val="00D131B4"/>
    <w:rsid w:val="00D13236"/>
    <w:rsid w:val="00D132AB"/>
    <w:rsid w:val="00D1394E"/>
    <w:rsid w:val="00D13BF9"/>
    <w:rsid w:val="00D13D51"/>
    <w:rsid w:val="00D13DCB"/>
    <w:rsid w:val="00D13F56"/>
    <w:rsid w:val="00D1416B"/>
    <w:rsid w:val="00D1469E"/>
    <w:rsid w:val="00D14AB9"/>
    <w:rsid w:val="00D15E9C"/>
    <w:rsid w:val="00D16541"/>
    <w:rsid w:val="00D1660A"/>
    <w:rsid w:val="00D17BC0"/>
    <w:rsid w:val="00D17C2A"/>
    <w:rsid w:val="00D17C85"/>
    <w:rsid w:val="00D20A1D"/>
    <w:rsid w:val="00D20D2C"/>
    <w:rsid w:val="00D213F2"/>
    <w:rsid w:val="00D21583"/>
    <w:rsid w:val="00D21D25"/>
    <w:rsid w:val="00D21D93"/>
    <w:rsid w:val="00D21DB2"/>
    <w:rsid w:val="00D22700"/>
    <w:rsid w:val="00D24683"/>
    <w:rsid w:val="00D24FDD"/>
    <w:rsid w:val="00D264F4"/>
    <w:rsid w:val="00D267F4"/>
    <w:rsid w:val="00D269A0"/>
    <w:rsid w:val="00D27F85"/>
    <w:rsid w:val="00D27F86"/>
    <w:rsid w:val="00D301CD"/>
    <w:rsid w:val="00D30E7A"/>
    <w:rsid w:val="00D31065"/>
    <w:rsid w:val="00D310BD"/>
    <w:rsid w:val="00D312EC"/>
    <w:rsid w:val="00D31983"/>
    <w:rsid w:val="00D32991"/>
    <w:rsid w:val="00D32A79"/>
    <w:rsid w:val="00D33298"/>
    <w:rsid w:val="00D33A55"/>
    <w:rsid w:val="00D33A66"/>
    <w:rsid w:val="00D33D51"/>
    <w:rsid w:val="00D34D27"/>
    <w:rsid w:val="00D353FC"/>
    <w:rsid w:val="00D35557"/>
    <w:rsid w:val="00D35F9F"/>
    <w:rsid w:val="00D3691A"/>
    <w:rsid w:val="00D36CB1"/>
    <w:rsid w:val="00D3763C"/>
    <w:rsid w:val="00D376B4"/>
    <w:rsid w:val="00D378AE"/>
    <w:rsid w:val="00D405C3"/>
    <w:rsid w:val="00D415BC"/>
    <w:rsid w:val="00D415E7"/>
    <w:rsid w:val="00D41A46"/>
    <w:rsid w:val="00D41D82"/>
    <w:rsid w:val="00D4228B"/>
    <w:rsid w:val="00D429F2"/>
    <w:rsid w:val="00D440EA"/>
    <w:rsid w:val="00D44380"/>
    <w:rsid w:val="00D44ACF"/>
    <w:rsid w:val="00D44F40"/>
    <w:rsid w:val="00D45B7A"/>
    <w:rsid w:val="00D4643E"/>
    <w:rsid w:val="00D466E0"/>
    <w:rsid w:val="00D466EB"/>
    <w:rsid w:val="00D46FA6"/>
    <w:rsid w:val="00D47032"/>
    <w:rsid w:val="00D47895"/>
    <w:rsid w:val="00D500C0"/>
    <w:rsid w:val="00D505CA"/>
    <w:rsid w:val="00D506F9"/>
    <w:rsid w:val="00D52036"/>
    <w:rsid w:val="00D52286"/>
    <w:rsid w:val="00D531AC"/>
    <w:rsid w:val="00D53328"/>
    <w:rsid w:val="00D5390F"/>
    <w:rsid w:val="00D54ACE"/>
    <w:rsid w:val="00D559DF"/>
    <w:rsid w:val="00D55ED5"/>
    <w:rsid w:val="00D56B28"/>
    <w:rsid w:val="00D56DBA"/>
    <w:rsid w:val="00D5705A"/>
    <w:rsid w:val="00D57198"/>
    <w:rsid w:val="00D5752B"/>
    <w:rsid w:val="00D575B2"/>
    <w:rsid w:val="00D578D1"/>
    <w:rsid w:val="00D57C76"/>
    <w:rsid w:val="00D60C41"/>
    <w:rsid w:val="00D60F7F"/>
    <w:rsid w:val="00D6179C"/>
    <w:rsid w:val="00D61D8D"/>
    <w:rsid w:val="00D626B0"/>
    <w:rsid w:val="00D63C1A"/>
    <w:rsid w:val="00D63CC2"/>
    <w:rsid w:val="00D64C02"/>
    <w:rsid w:val="00D64C89"/>
    <w:rsid w:val="00D6542D"/>
    <w:rsid w:val="00D65722"/>
    <w:rsid w:val="00D6615A"/>
    <w:rsid w:val="00D663CF"/>
    <w:rsid w:val="00D66ADF"/>
    <w:rsid w:val="00D677B3"/>
    <w:rsid w:val="00D67EDA"/>
    <w:rsid w:val="00D70EFF"/>
    <w:rsid w:val="00D7279D"/>
    <w:rsid w:val="00D72B35"/>
    <w:rsid w:val="00D734DC"/>
    <w:rsid w:val="00D74096"/>
    <w:rsid w:val="00D74735"/>
    <w:rsid w:val="00D74E97"/>
    <w:rsid w:val="00D750B1"/>
    <w:rsid w:val="00D765B9"/>
    <w:rsid w:val="00D767DC"/>
    <w:rsid w:val="00D76AFE"/>
    <w:rsid w:val="00D76C19"/>
    <w:rsid w:val="00D76F2C"/>
    <w:rsid w:val="00D77028"/>
    <w:rsid w:val="00D77D11"/>
    <w:rsid w:val="00D8126C"/>
    <w:rsid w:val="00D81644"/>
    <w:rsid w:val="00D8180D"/>
    <w:rsid w:val="00D82043"/>
    <w:rsid w:val="00D82B74"/>
    <w:rsid w:val="00D82D91"/>
    <w:rsid w:val="00D830CD"/>
    <w:rsid w:val="00D8338C"/>
    <w:rsid w:val="00D836E5"/>
    <w:rsid w:val="00D85072"/>
    <w:rsid w:val="00D85D98"/>
    <w:rsid w:val="00D861F0"/>
    <w:rsid w:val="00D86824"/>
    <w:rsid w:val="00D86C5A"/>
    <w:rsid w:val="00D86CA1"/>
    <w:rsid w:val="00D87177"/>
    <w:rsid w:val="00D87C83"/>
    <w:rsid w:val="00D87F43"/>
    <w:rsid w:val="00D90082"/>
    <w:rsid w:val="00D90735"/>
    <w:rsid w:val="00D91B7B"/>
    <w:rsid w:val="00D91EB8"/>
    <w:rsid w:val="00D92574"/>
    <w:rsid w:val="00D92653"/>
    <w:rsid w:val="00D932E3"/>
    <w:rsid w:val="00D9332D"/>
    <w:rsid w:val="00D9527F"/>
    <w:rsid w:val="00D958CC"/>
    <w:rsid w:val="00D95CF7"/>
    <w:rsid w:val="00D95FB4"/>
    <w:rsid w:val="00D95FE0"/>
    <w:rsid w:val="00D96D76"/>
    <w:rsid w:val="00D972E8"/>
    <w:rsid w:val="00D97D9A"/>
    <w:rsid w:val="00DA14A3"/>
    <w:rsid w:val="00DA25CD"/>
    <w:rsid w:val="00DA2734"/>
    <w:rsid w:val="00DA3D61"/>
    <w:rsid w:val="00DA43D9"/>
    <w:rsid w:val="00DA4C10"/>
    <w:rsid w:val="00DA50A3"/>
    <w:rsid w:val="00DA5209"/>
    <w:rsid w:val="00DA622F"/>
    <w:rsid w:val="00DA6F91"/>
    <w:rsid w:val="00DA7058"/>
    <w:rsid w:val="00DA70C5"/>
    <w:rsid w:val="00DB0348"/>
    <w:rsid w:val="00DB127D"/>
    <w:rsid w:val="00DB1749"/>
    <w:rsid w:val="00DB2023"/>
    <w:rsid w:val="00DB2944"/>
    <w:rsid w:val="00DB39AE"/>
    <w:rsid w:val="00DB3CB9"/>
    <w:rsid w:val="00DB56D3"/>
    <w:rsid w:val="00DB5EEC"/>
    <w:rsid w:val="00DB6318"/>
    <w:rsid w:val="00DB6AA7"/>
    <w:rsid w:val="00DB7F40"/>
    <w:rsid w:val="00DC030A"/>
    <w:rsid w:val="00DC04B1"/>
    <w:rsid w:val="00DC0717"/>
    <w:rsid w:val="00DC072E"/>
    <w:rsid w:val="00DC1614"/>
    <w:rsid w:val="00DC17D3"/>
    <w:rsid w:val="00DC2F1F"/>
    <w:rsid w:val="00DC3834"/>
    <w:rsid w:val="00DC49C1"/>
    <w:rsid w:val="00DC4C97"/>
    <w:rsid w:val="00DC5315"/>
    <w:rsid w:val="00DC5C8A"/>
    <w:rsid w:val="00DC6103"/>
    <w:rsid w:val="00DC6863"/>
    <w:rsid w:val="00DD0364"/>
    <w:rsid w:val="00DD05B0"/>
    <w:rsid w:val="00DD0C88"/>
    <w:rsid w:val="00DD1056"/>
    <w:rsid w:val="00DD2BD8"/>
    <w:rsid w:val="00DD30BC"/>
    <w:rsid w:val="00DD3E0B"/>
    <w:rsid w:val="00DD4610"/>
    <w:rsid w:val="00DD4B27"/>
    <w:rsid w:val="00DD4B2A"/>
    <w:rsid w:val="00DD519D"/>
    <w:rsid w:val="00DD5424"/>
    <w:rsid w:val="00DD5777"/>
    <w:rsid w:val="00DD68EF"/>
    <w:rsid w:val="00DD7098"/>
    <w:rsid w:val="00DD730B"/>
    <w:rsid w:val="00DD750F"/>
    <w:rsid w:val="00DD75ED"/>
    <w:rsid w:val="00DD7894"/>
    <w:rsid w:val="00DE07E8"/>
    <w:rsid w:val="00DE08DE"/>
    <w:rsid w:val="00DE0E49"/>
    <w:rsid w:val="00DE10E3"/>
    <w:rsid w:val="00DE12AE"/>
    <w:rsid w:val="00DE18E1"/>
    <w:rsid w:val="00DE1A8B"/>
    <w:rsid w:val="00DE2070"/>
    <w:rsid w:val="00DE2FBC"/>
    <w:rsid w:val="00DE3B69"/>
    <w:rsid w:val="00DE403C"/>
    <w:rsid w:val="00DE41CE"/>
    <w:rsid w:val="00DE4646"/>
    <w:rsid w:val="00DE46A4"/>
    <w:rsid w:val="00DE491A"/>
    <w:rsid w:val="00DE4A10"/>
    <w:rsid w:val="00DE4B09"/>
    <w:rsid w:val="00DE5003"/>
    <w:rsid w:val="00DE5DE9"/>
    <w:rsid w:val="00DE6088"/>
    <w:rsid w:val="00DE6BBF"/>
    <w:rsid w:val="00DE6C9D"/>
    <w:rsid w:val="00DF0A39"/>
    <w:rsid w:val="00DF1D41"/>
    <w:rsid w:val="00DF2858"/>
    <w:rsid w:val="00DF3160"/>
    <w:rsid w:val="00DF3461"/>
    <w:rsid w:val="00DF3C58"/>
    <w:rsid w:val="00DF4693"/>
    <w:rsid w:val="00DF47FA"/>
    <w:rsid w:val="00DF4930"/>
    <w:rsid w:val="00DF4DB0"/>
    <w:rsid w:val="00DF4F0B"/>
    <w:rsid w:val="00DF56E0"/>
    <w:rsid w:val="00DF5CE6"/>
    <w:rsid w:val="00DF64AC"/>
    <w:rsid w:val="00DF68AE"/>
    <w:rsid w:val="00DF76FE"/>
    <w:rsid w:val="00DF7EC2"/>
    <w:rsid w:val="00E00199"/>
    <w:rsid w:val="00E00CBF"/>
    <w:rsid w:val="00E0150F"/>
    <w:rsid w:val="00E0166C"/>
    <w:rsid w:val="00E01ADD"/>
    <w:rsid w:val="00E023E2"/>
    <w:rsid w:val="00E02F44"/>
    <w:rsid w:val="00E03155"/>
    <w:rsid w:val="00E0357F"/>
    <w:rsid w:val="00E040DD"/>
    <w:rsid w:val="00E04277"/>
    <w:rsid w:val="00E0437C"/>
    <w:rsid w:val="00E049C8"/>
    <w:rsid w:val="00E050CA"/>
    <w:rsid w:val="00E051EA"/>
    <w:rsid w:val="00E0521F"/>
    <w:rsid w:val="00E058E7"/>
    <w:rsid w:val="00E068AB"/>
    <w:rsid w:val="00E06EB7"/>
    <w:rsid w:val="00E071A6"/>
    <w:rsid w:val="00E07362"/>
    <w:rsid w:val="00E07AF9"/>
    <w:rsid w:val="00E07C75"/>
    <w:rsid w:val="00E07D24"/>
    <w:rsid w:val="00E10189"/>
    <w:rsid w:val="00E10A09"/>
    <w:rsid w:val="00E10D7A"/>
    <w:rsid w:val="00E10F0E"/>
    <w:rsid w:val="00E10F2D"/>
    <w:rsid w:val="00E11DB8"/>
    <w:rsid w:val="00E124E3"/>
    <w:rsid w:val="00E1287E"/>
    <w:rsid w:val="00E1333A"/>
    <w:rsid w:val="00E1416D"/>
    <w:rsid w:val="00E147E7"/>
    <w:rsid w:val="00E14896"/>
    <w:rsid w:val="00E14A10"/>
    <w:rsid w:val="00E14F35"/>
    <w:rsid w:val="00E157B4"/>
    <w:rsid w:val="00E161FF"/>
    <w:rsid w:val="00E1634C"/>
    <w:rsid w:val="00E166BF"/>
    <w:rsid w:val="00E1771F"/>
    <w:rsid w:val="00E17801"/>
    <w:rsid w:val="00E17969"/>
    <w:rsid w:val="00E200CE"/>
    <w:rsid w:val="00E203DC"/>
    <w:rsid w:val="00E204D4"/>
    <w:rsid w:val="00E20E84"/>
    <w:rsid w:val="00E20FE0"/>
    <w:rsid w:val="00E222C7"/>
    <w:rsid w:val="00E228FC"/>
    <w:rsid w:val="00E22D55"/>
    <w:rsid w:val="00E22FB6"/>
    <w:rsid w:val="00E23F04"/>
    <w:rsid w:val="00E24246"/>
    <w:rsid w:val="00E2444F"/>
    <w:rsid w:val="00E252C7"/>
    <w:rsid w:val="00E25638"/>
    <w:rsid w:val="00E26692"/>
    <w:rsid w:val="00E26C09"/>
    <w:rsid w:val="00E27658"/>
    <w:rsid w:val="00E27F49"/>
    <w:rsid w:val="00E30837"/>
    <w:rsid w:val="00E30C76"/>
    <w:rsid w:val="00E312B4"/>
    <w:rsid w:val="00E32031"/>
    <w:rsid w:val="00E32C93"/>
    <w:rsid w:val="00E33357"/>
    <w:rsid w:val="00E33470"/>
    <w:rsid w:val="00E34EC0"/>
    <w:rsid w:val="00E351C2"/>
    <w:rsid w:val="00E35FEB"/>
    <w:rsid w:val="00E36189"/>
    <w:rsid w:val="00E36417"/>
    <w:rsid w:val="00E36B65"/>
    <w:rsid w:val="00E36BF9"/>
    <w:rsid w:val="00E36D52"/>
    <w:rsid w:val="00E3717A"/>
    <w:rsid w:val="00E378D9"/>
    <w:rsid w:val="00E40F35"/>
    <w:rsid w:val="00E41032"/>
    <w:rsid w:val="00E41388"/>
    <w:rsid w:val="00E4151C"/>
    <w:rsid w:val="00E41697"/>
    <w:rsid w:val="00E4184D"/>
    <w:rsid w:val="00E41906"/>
    <w:rsid w:val="00E41B24"/>
    <w:rsid w:val="00E42329"/>
    <w:rsid w:val="00E42E9C"/>
    <w:rsid w:val="00E43543"/>
    <w:rsid w:val="00E45CCE"/>
    <w:rsid w:val="00E4672F"/>
    <w:rsid w:val="00E479E1"/>
    <w:rsid w:val="00E50ADB"/>
    <w:rsid w:val="00E50C6C"/>
    <w:rsid w:val="00E50CB2"/>
    <w:rsid w:val="00E50FEC"/>
    <w:rsid w:val="00E51469"/>
    <w:rsid w:val="00E52884"/>
    <w:rsid w:val="00E528DE"/>
    <w:rsid w:val="00E532DB"/>
    <w:rsid w:val="00E5377C"/>
    <w:rsid w:val="00E53976"/>
    <w:rsid w:val="00E53A34"/>
    <w:rsid w:val="00E54256"/>
    <w:rsid w:val="00E54288"/>
    <w:rsid w:val="00E545C4"/>
    <w:rsid w:val="00E548E2"/>
    <w:rsid w:val="00E549C7"/>
    <w:rsid w:val="00E54FF1"/>
    <w:rsid w:val="00E5538D"/>
    <w:rsid w:val="00E55AEA"/>
    <w:rsid w:val="00E55FBC"/>
    <w:rsid w:val="00E56C39"/>
    <w:rsid w:val="00E57BBF"/>
    <w:rsid w:val="00E57E18"/>
    <w:rsid w:val="00E60E6B"/>
    <w:rsid w:val="00E627B7"/>
    <w:rsid w:val="00E6308C"/>
    <w:rsid w:val="00E6323C"/>
    <w:rsid w:val="00E634B0"/>
    <w:rsid w:val="00E63D35"/>
    <w:rsid w:val="00E640AE"/>
    <w:rsid w:val="00E6452E"/>
    <w:rsid w:val="00E646B8"/>
    <w:rsid w:val="00E64AB2"/>
    <w:rsid w:val="00E64C5E"/>
    <w:rsid w:val="00E6536D"/>
    <w:rsid w:val="00E65C74"/>
    <w:rsid w:val="00E66150"/>
    <w:rsid w:val="00E66899"/>
    <w:rsid w:val="00E67822"/>
    <w:rsid w:val="00E67BFB"/>
    <w:rsid w:val="00E67C78"/>
    <w:rsid w:val="00E70508"/>
    <w:rsid w:val="00E705B4"/>
    <w:rsid w:val="00E708EE"/>
    <w:rsid w:val="00E7090C"/>
    <w:rsid w:val="00E723FE"/>
    <w:rsid w:val="00E7248F"/>
    <w:rsid w:val="00E72F77"/>
    <w:rsid w:val="00E734EC"/>
    <w:rsid w:val="00E7424B"/>
    <w:rsid w:val="00E744AE"/>
    <w:rsid w:val="00E7458F"/>
    <w:rsid w:val="00E7493D"/>
    <w:rsid w:val="00E75398"/>
    <w:rsid w:val="00E75561"/>
    <w:rsid w:val="00E755C9"/>
    <w:rsid w:val="00E75813"/>
    <w:rsid w:val="00E758E5"/>
    <w:rsid w:val="00E75FA0"/>
    <w:rsid w:val="00E76204"/>
    <w:rsid w:val="00E765CB"/>
    <w:rsid w:val="00E765F4"/>
    <w:rsid w:val="00E7691F"/>
    <w:rsid w:val="00E804F4"/>
    <w:rsid w:val="00E80580"/>
    <w:rsid w:val="00E8104A"/>
    <w:rsid w:val="00E81294"/>
    <w:rsid w:val="00E81787"/>
    <w:rsid w:val="00E818F2"/>
    <w:rsid w:val="00E81AE4"/>
    <w:rsid w:val="00E81B22"/>
    <w:rsid w:val="00E81B76"/>
    <w:rsid w:val="00E81D5D"/>
    <w:rsid w:val="00E82223"/>
    <w:rsid w:val="00E8335D"/>
    <w:rsid w:val="00E834C6"/>
    <w:rsid w:val="00E835FE"/>
    <w:rsid w:val="00E83951"/>
    <w:rsid w:val="00E84CE5"/>
    <w:rsid w:val="00E84EE0"/>
    <w:rsid w:val="00E85E02"/>
    <w:rsid w:val="00E86CD1"/>
    <w:rsid w:val="00E907A7"/>
    <w:rsid w:val="00E90EED"/>
    <w:rsid w:val="00E90FC9"/>
    <w:rsid w:val="00E9148D"/>
    <w:rsid w:val="00E91824"/>
    <w:rsid w:val="00E92C29"/>
    <w:rsid w:val="00E92E25"/>
    <w:rsid w:val="00E93115"/>
    <w:rsid w:val="00E9317D"/>
    <w:rsid w:val="00E933B4"/>
    <w:rsid w:val="00E9346B"/>
    <w:rsid w:val="00E939FF"/>
    <w:rsid w:val="00E94106"/>
    <w:rsid w:val="00E948C4"/>
    <w:rsid w:val="00E94A43"/>
    <w:rsid w:val="00E954C9"/>
    <w:rsid w:val="00E95CE4"/>
    <w:rsid w:val="00E95F0B"/>
    <w:rsid w:val="00E960EB"/>
    <w:rsid w:val="00E96531"/>
    <w:rsid w:val="00E9761E"/>
    <w:rsid w:val="00EA0BA0"/>
    <w:rsid w:val="00EA0F26"/>
    <w:rsid w:val="00EA1ED3"/>
    <w:rsid w:val="00EA2039"/>
    <w:rsid w:val="00EA2622"/>
    <w:rsid w:val="00EA28CF"/>
    <w:rsid w:val="00EA30F8"/>
    <w:rsid w:val="00EA40B4"/>
    <w:rsid w:val="00EA47EC"/>
    <w:rsid w:val="00EA4A37"/>
    <w:rsid w:val="00EA4AB6"/>
    <w:rsid w:val="00EA5155"/>
    <w:rsid w:val="00EA6D77"/>
    <w:rsid w:val="00EB0C8E"/>
    <w:rsid w:val="00EB153D"/>
    <w:rsid w:val="00EB1569"/>
    <w:rsid w:val="00EB2191"/>
    <w:rsid w:val="00EB28C9"/>
    <w:rsid w:val="00EB377D"/>
    <w:rsid w:val="00EB391D"/>
    <w:rsid w:val="00EB3C22"/>
    <w:rsid w:val="00EB3F58"/>
    <w:rsid w:val="00EB4E6B"/>
    <w:rsid w:val="00EB61C5"/>
    <w:rsid w:val="00EB694F"/>
    <w:rsid w:val="00EC0047"/>
    <w:rsid w:val="00EC0792"/>
    <w:rsid w:val="00EC0ACF"/>
    <w:rsid w:val="00EC0D29"/>
    <w:rsid w:val="00EC2193"/>
    <w:rsid w:val="00EC246D"/>
    <w:rsid w:val="00EC2A19"/>
    <w:rsid w:val="00EC2DC6"/>
    <w:rsid w:val="00EC3093"/>
    <w:rsid w:val="00EC341D"/>
    <w:rsid w:val="00EC3556"/>
    <w:rsid w:val="00EC3A0F"/>
    <w:rsid w:val="00EC431A"/>
    <w:rsid w:val="00EC4AA0"/>
    <w:rsid w:val="00EC5EBE"/>
    <w:rsid w:val="00EC757C"/>
    <w:rsid w:val="00EC789F"/>
    <w:rsid w:val="00EC7AE3"/>
    <w:rsid w:val="00EC7DA9"/>
    <w:rsid w:val="00EC7DFE"/>
    <w:rsid w:val="00ED0125"/>
    <w:rsid w:val="00ED063C"/>
    <w:rsid w:val="00ED0CC7"/>
    <w:rsid w:val="00ED29EB"/>
    <w:rsid w:val="00ED3C84"/>
    <w:rsid w:val="00ED4A01"/>
    <w:rsid w:val="00ED4DE7"/>
    <w:rsid w:val="00ED5735"/>
    <w:rsid w:val="00ED5F5F"/>
    <w:rsid w:val="00ED606C"/>
    <w:rsid w:val="00ED6369"/>
    <w:rsid w:val="00ED6D68"/>
    <w:rsid w:val="00ED6DBA"/>
    <w:rsid w:val="00ED79C6"/>
    <w:rsid w:val="00ED7AC3"/>
    <w:rsid w:val="00EE00EE"/>
    <w:rsid w:val="00EE046C"/>
    <w:rsid w:val="00EE0623"/>
    <w:rsid w:val="00EE19A8"/>
    <w:rsid w:val="00EE34CF"/>
    <w:rsid w:val="00EE3EF9"/>
    <w:rsid w:val="00EE4A5B"/>
    <w:rsid w:val="00EE4DC3"/>
    <w:rsid w:val="00EE53E7"/>
    <w:rsid w:val="00EE5B98"/>
    <w:rsid w:val="00EE603A"/>
    <w:rsid w:val="00EE613D"/>
    <w:rsid w:val="00EE7A10"/>
    <w:rsid w:val="00EF0BD8"/>
    <w:rsid w:val="00EF14A2"/>
    <w:rsid w:val="00EF1655"/>
    <w:rsid w:val="00EF16E4"/>
    <w:rsid w:val="00EF20E3"/>
    <w:rsid w:val="00EF24C1"/>
    <w:rsid w:val="00EF28B7"/>
    <w:rsid w:val="00EF3023"/>
    <w:rsid w:val="00EF4141"/>
    <w:rsid w:val="00EF4568"/>
    <w:rsid w:val="00EF477E"/>
    <w:rsid w:val="00EF48B9"/>
    <w:rsid w:val="00EF4A55"/>
    <w:rsid w:val="00EF5508"/>
    <w:rsid w:val="00EF5AC4"/>
    <w:rsid w:val="00EF602A"/>
    <w:rsid w:val="00EF6105"/>
    <w:rsid w:val="00EF64EC"/>
    <w:rsid w:val="00EF7273"/>
    <w:rsid w:val="00EF782F"/>
    <w:rsid w:val="00F00D82"/>
    <w:rsid w:val="00F01658"/>
    <w:rsid w:val="00F01C62"/>
    <w:rsid w:val="00F027D3"/>
    <w:rsid w:val="00F032F8"/>
    <w:rsid w:val="00F03414"/>
    <w:rsid w:val="00F04552"/>
    <w:rsid w:val="00F05BA5"/>
    <w:rsid w:val="00F05E9C"/>
    <w:rsid w:val="00F0645A"/>
    <w:rsid w:val="00F0673B"/>
    <w:rsid w:val="00F12155"/>
    <w:rsid w:val="00F13E44"/>
    <w:rsid w:val="00F1545F"/>
    <w:rsid w:val="00F156D9"/>
    <w:rsid w:val="00F15E7C"/>
    <w:rsid w:val="00F160E6"/>
    <w:rsid w:val="00F162B2"/>
    <w:rsid w:val="00F16AFD"/>
    <w:rsid w:val="00F16BA2"/>
    <w:rsid w:val="00F204DC"/>
    <w:rsid w:val="00F20627"/>
    <w:rsid w:val="00F206A5"/>
    <w:rsid w:val="00F206D4"/>
    <w:rsid w:val="00F214DF"/>
    <w:rsid w:val="00F22755"/>
    <w:rsid w:val="00F22C31"/>
    <w:rsid w:val="00F23384"/>
    <w:rsid w:val="00F245C4"/>
    <w:rsid w:val="00F24A84"/>
    <w:rsid w:val="00F254B3"/>
    <w:rsid w:val="00F25923"/>
    <w:rsid w:val="00F2612A"/>
    <w:rsid w:val="00F2784F"/>
    <w:rsid w:val="00F27C52"/>
    <w:rsid w:val="00F27D33"/>
    <w:rsid w:val="00F27ED1"/>
    <w:rsid w:val="00F27EF8"/>
    <w:rsid w:val="00F30032"/>
    <w:rsid w:val="00F3069C"/>
    <w:rsid w:val="00F314AC"/>
    <w:rsid w:val="00F31754"/>
    <w:rsid w:val="00F3189C"/>
    <w:rsid w:val="00F31B53"/>
    <w:rsid w:val="00F31DAE"/>
    <w:rsid w:val="00F3253B"/>
    <w:rsid w:val="00F326FE"/>
    <w:rsid w:val="00F36A3B"/>
    <w:rsid w:val="00F36B4F"/>
    <w:rsid w:val="00F37373"/>
    <w:rsid w:val="00F37C4A"/>
    <w:rsid w:val="00F37EBC"/>
    <w:rsid w:val="00F40788"/>
    <w:rsid w:val="00F4105A"/>
    <w:rsid w:val="00F41264"/>
    <w:rsid w:val="00F416AB"/>
    <w:rsid w:val="00F41A28"/>
    <w:rsid w:val="00F42C18"/>
    <w:rsid w:val="00F43955"/>
    <w:rsid w:val="00F4471D"/>
    <w:rsid w:val="00F448C4"/>
    <w:rsid w:val="00F44A9B"/>
    <w:rsid w:val="00F45484"/>
    <w:rsid w:val="00F45C1D"/>
    <w:rsid w:val="00F460CC"/>
    <w:rsid w:val="00F46533"/>
    <w:rsid w:val="00F46E33"/>
    <w:rsid w:val="00F46F00"/>
    <w:rsid w:val="00F504B0"/>
    <w:rsid w:val="00F50A0D"/>
    <w:rsid w:val="00F50B80"/>
    <w:rsid w:val="00F50D77"/>
    <w:rsid w:val="00F50DB4"/>
    <w:rsid w:val="00F50DCA"/>
    <w:rsid w:val="00F51539"/>
    <w:rsid w:val="00F52965"/>
    <w:rsid w:val="00F52977"/>
    <w:rsid w:val="00F52D71"/>
    <w:rsid w:val="00F52F46"/>
    <w:rsid w:val="00F53A6E"/>
    <w:rsid w:val="00F541C3"/>
    <w:rsid w:val="00F5497E"/>
    <w:rsid w:val="00F5570C"/>
    <w:rsid w:val="00F55C65"/>
    <w:rsid w:val="00F5673D"/>
    <w:rsid w:val="00F567EA"/>
    <w:rsid w:val="00F5766E"/>
    <w:rsid w:val="00F57C99"/>
    <w:rsid w:val="00F57CEF"/>
    <w:rsid w:val="00F611AD"/>
    <w:rsid w:val="00F61966"/>
    <w:rsid w:val="00F61BEF"/>
    <w:rsid w:val="00F621F1"/>
    <w:rsid w:val="00F62BB7"/>
    <w:rsid w:val="00F63572"/>
    <w:rsid w:val="00F643DB"/>
    <w:rsid w:val="00F64549"/>
    <w:rsid w:val="00F64B81"/>
    <w:rsid w:val="00F653B8"/>
    <w:rsid w:val="00F6558B"/>
    <w:rsid w:val="00F65D81"/>
    <w:rsid w:val="00F6675A"/>
    <w:rsid w:val="00F669CB"/>
    <w:rsid w:val="00F66C53"/>
    <w:rsid w:val="00F67065"/>
    <w:rsid w:val="00F677B6"/>
    <w:rsid w:val="00F67BB5"/>
    <w:rsid w:val="00F67BF0"/>
    <w:rsid w:val="00F70F53"/>
    <w:rsid w:val="00F70F57"/>
    <w:rsid w:val="00F71B59"/>
    <w:rsid w:val="00F72548"/>
    <w:rsid w:val="00F72740"/>
    <w:rsid w:val="00F729F5"/>
    <w:rsid w:val="00F732D9"/>
    <w:rsid w:val="00F73726"/>
    <w:rsid w:val="00F73730"/>
    <w:rsid w:val="00F73E22"/>
    <w:rsid w:val="00F744F4"/>
    <w:rsid w:val="00F7456A"/>
    <w:rsid w:val="00F7459B"/>
    <w:rsid w:val="00F7484D"/>
    <w:rsid w:val="00F74B44"/>
    <w:rsid w:val="00F750D1"/>
    <w:rsid w:val="00F76B0F"/>
    <w:rsid w:val="00F76DAA"/>
    <w:rsid w:val="00F8072F"/>
    <w:rsid w:val="00F821B8"/>
    <w:rsid w:val="00F82300"/>
    <w:rsid w:val="00F825BF"/>
    <w:rsid w:val="00F82D1C"/>
    <w:rsid w:val="00F82FB5"/>
    <w:rsid w:val="00F83664"/>
    <w:rsid w:val="00F84805"/>
    <w:rsid w:val="00F85727"/>
    <w:rsid w:val="00F8574D"/>
    <w:rsid w:val="00F85A4F"/>
    <w:rsid w:val="00F86002"/>
    <w:rsid w:val="00F86E3B"/>
    <w:rsid w:val="00F872B5"/>
    <w:rsid w:val="00F872EF"/>
    <w:rsid w:val="00F876F5"/>
    <w:rsid w:val="00F9055E"/>
    <w:rsid w:val="00F905F2"/>
    <w:rsid w:val="00F9074B"/>
    <w:rsid w:val="00F909FA"/>
    <w:rsid w:val="00F92284"/>
    <w:rsid w:val="00F922BA"/>
    <w:rsid w:val="00F9236F"/>
    <w:rsid w:val="00F92D14"/>
    <w:rsid w:val="00F92FB1"/>
    <w:rsid w:val="00F93230"/>
    <w:rsid w:val="00F937F4"/>
    <w:rsid w:val="00F944CE"/>
    <w:rsid w:val="00F9465E"/>
    <w:rsid w:val="00F94CFC"/>
    <w:rsid w:val="00F95592"/>
    <w:rsid w:val="00F95ADB"/>
    <w:rsid w:val="00F96FB3"/>
    <w:rsid w:val="00F9779C"/>
    <w:rsid w:val="00F97B44"/>
    <w:rsid w:val="00F97BE1"/>
    <w:rsid w:val="00FA0913"/>
    <w:rsid w:val="00FA0BF6"/>
    <w:rsid w:val="00FA161F"/>
    <w:rsid w:val="00FA190B"/>
    <w:rsid w:val="00FA1D9A"/>
    <w:rsid w:val="00FA4D69"/>
    <w:rsid w:val="00FA51C9"/>
    <w:rsid w:val="00FA5A3D"/>
    <w:rsid w:val="00FA5DA8"/>
    <w:rsid w:val="00FA603B"/>
    <w:rsid w:val="00FA685E"/>
    <w:rsid w:val="00FA6A43"/>
    <w:rsid w:val="00FA6C83"/>
    <w:rsid w:val="00FA74D9"/>
    <w:rsid w:val="00FA7FB5"/>
    <w:rsid w:val="00FB0204"/>
    <w:rsid w:val="00FB0950"/>
    <w:rsid w:val="00FB198E"/>
    <w:rsid w:val="00FB1A92"/>
    <w:rsid w:val="00FB1B5F"/>
    <w:rsid w:val="00FB1DD5"/>
    <w:rsid w:val="00FB23D6"/>
    <w:rsid w:val="00FB2609"/>
    <w:rsid w:val="00FB2B87"/>
    <w:rsid w:val="00FB2D4D"/>
    <w:rsid w:val="00FB2EF5"/>
    <w:rsid w:val="00FB3029"/>
    <w:rsid w:val="00FB4C2B"/>
    <w:rsid w:val="00FB4C84"/>
    <w:rsid w:val="00FB500D"/>
    <w:rsid w:val="00FB5490"/>
    <w:rsid w:val="00FB5DF0"/>
    <w:rsid w:val="00FB661D"/>
    <w:rsid w:val="00FB76B0"/>
    <w:rsid w:val="00FB7761"/>
    <w:rsid w:val="00FB7E70"/>
    <w:rsid w:val="00FC035F"/>
    <w:rsid w:val="00FC094F"/>
    <w:rsid w:val="00FC0FA1"/>
    <w:rsid w:val="00FC0FED"/>
    <w:rsid w:val="00FC196E"/>
    <w:rsid w:val="00FC20BD"/>
    <w:rsid w:val="00FC26CC"/>
    <w:rsid w:val="00FC27C9"/>
    <w:rsid w:val="00FC2A92"/>
    <w:rsid w:val="00FC329E"/>
    <w:rsid w:val="00FC37CB"/>
    <w:rsid w:val="00FC3878"/>
    <w:rsid w:val="00FC3DD7"/>
    <w:rsid w:val="00FC4673"/>
    <w:rsid w:val="00FC572D"/>
    <w:rsid w:val="00FC609F"/>
    <w:rsid w:val="00FC670F"/>
    <w:rsid w:val="00FC6DBF"/>
    <w:rsid w:val="00FC7E70"/>
    <w:rsid w:val="00FC7F44"/>
    <w:rsid w:val="00FD01A6"/>
    <w:rsid w:val="00FD10DB"/>
    <w:rsid w:val="00FD12D8"/>
    <w:rsid w:val="00FD2C10"/>
    <w:rsid w:val="00FD2CF7"/>
    <w:rsid w:val="00FD40EC"/>
    <w:rsid w:val="00FD43E8"/>
    <w:rsid w:val="00FD4B17"/>
    <w:rsid w:val="00FD5005"/>
    <w:rsid w:val="00FD542C"/>
    <w:rsid w:val="00FD6636"/>
    <w:rsid w:val="00FD6BBF"/>
    <w:rsid w:val="00FD705A"/>
    <w:rsid w:val="00FE0C22"/>
    <w:rsid w:val="00FE1B11"/>
    <w:rsid w:val="00FE1C7F"/>
    <w:rsid w:val="00FE1F3E"/>
    <w:rsid w:val="00FE2323"/>
    <w:rsid w:val="00FE2D8B"/>
    <w:rsid w:val="00FE3C9B"/>
    <w:rsid w:val="00FE3EC4"/>
    <w:rsid w:val="00FE400A"/>
    <w:rsid w:val="00FE44A7"/>
    <w:rsid w:val="00FE46FF"/>
    <w:rsid w:val="00FE54F8"/>
    <w:rsid w:val="00FE5AEA"/>
    <w:rsid w:val="00FE634E"/>
    <w:rsid w:val="00FE6C6A"/>
    <w:rsid w:val="00FE75EA"/>
    <w:rsid w:val="00FE7626"/>
    <w:rsid w:val="00FE7AA8"/>
    <w:rsid w:val="00FF0491"/>
    <w:rsid w:val="00FF2885"/>
    <w:rsid w:val="00FF2A02"/>
    <w:rsid w:val="00FF2BA4"/>
    <w:rsid w:val="00FF2ECA"/>
    <w:rsid w:val="00FF30D1"/>
    <w:rsid w:val="00FF3407"/>
    <w:rsid w:val="00FF385D"/>
    <w:rsid w:val="00FF3B71"/>
    <w:rsid w:val="00FF4E81"/>
    <w:rsid w:val="00FF4ED9"/>
    <w:rsid w:val="00FF53C3"/>
    <w:rsid w:val="00FF6A41"/>
    <w:rsid w:val="00FF7987"/>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FA903A"/>
  <w15:docId w15:val="{E79B39C5-6420-497C-AA12-7EBA8C95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7AD5"/>
    <w:rPr>
      <w:rFonts w:ascii="Arial" w:hAnsi="Arial"/>
      <w:sz w:val="24"/>
      <w:szCs w:val="24"/>
    </w:rPr>
  </w:style>
  <w:style w:type="paragraph" w:styleId="Nadpis1">
    <w:name w:val="heading 1"/>
    <w:basedOn w:val="Normln"/>
    <w:next w:val="Normln"/>
    <w:qFormat/>
    <w:rsid w:val="00074A01"/>
    <w:pPr>
      <w:keepNext/>
      <w:keepLines/>
      <w:suppressAutoHyphens/>
      <w:overflowPunct w:val="0"/>
      <w:autoSpaceDE w:val="0"/>
      <w:autoSpaceDN w:val="0"/>
      <w:adjustRightInd w:val="0"/>
      <w:spacing w:before="480" w:after="240"/>
      <w:textAlignment w:val="baseline"/>
      <w:outlineLvl w:val="0"/>
    </w:pPr>
    <w:rPr>
      <w:rFonts w:ascii="Arial Narrow" w:hAnsi="Arial Narrow"/>
      <w:b/>
      <w:kern w:val="36"/>
      <w:sz w:val="36"/>
      <w:szCs w:val="20"/>
    </w:rPr>
  </w:style>
  <w:style w:type="paragraph" w:styleId="Nadpis2">
    <w:name w:val="heading 2"/>
    <w:basedOn w:val="Normln"/>
    <w:next w:val="Normln"/>
    <w:qFormat/>
    <w:rsid w:val="00074A01"/>
    <w:pPr>
      <w:keepNext/>
      <w:spacing w:before="240" w:after="60"/>
      <w:outlineLvl w:val="1"/>
    </w:pPr>
    <w:rPr>
      <w:rFonts w:ascii="Cambria" w:hAnsi="Cambria"/>
      <w:b/>
      <w:bCs/>
      <w:i/>
      <w:iCs/>
      <w:sz w:val="28"/>
      <w:szCs w:val="28"/>
    </w:rPr>
  </w:style>
  <w:style w:type="paragraph" w:styleId="Nadpis3">
    <w:name w:val="heading 3"/>
    <w:basedOn w:val="Normln"/>
    <w:next w:val="Normln"/>
    <w:uiPriority w:val="9"/>
    <w:qFormat/>
    <w:rsid w:val="00074A01"/>
    <w:pPr>
      <w:keepNext/>
      <w:keepLines/>
      <w:spacing w:before="200"/>
      <w:outlineLvl w:val="2"/>
    </w:pPr>
    <w:rPr>
      <w:rFonts w:ascii="Cambria" w:hAnsi="Cambria"/>
      <w:b/>
      <w:bCs/>
      <w:color w:val="4F81BD"/>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iPriority w:val="99"/>
    <w:unhideWhenUsed/>
    <w:rsid w:val="00074A01"/>
    <w:pPr>
      <w:spacing w:after="120"/>
      <w:ind w:left="283"/>
    </w:pPr>
  </w:style>
  <w:style w:type="character" w:customStyle="1" w:styleId="ZkladntextodsazenChar">
    <w:name w:val="Základní text odsazený Char"/>
    <w:basedOn w:val="Standardnpsmoodstavce"/>
    <w:uiPriority w:val="99"/>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aliases w:val="fn,pozn. pod čarou,Schriftart: 9 pt,Schriftart: 10 pt,Schriftart: 8 pt,Podrozdział,Podrozdzia3,ft,Char Char, Char Char, Char12,Footnote Text Char Char Char,Footnote Text Char Char Char Char,Footnote Text Char Char Char  Char Char"/>
    <w:basedOn w:val="Normln"/>
    <w:uiPriority w:val="99"/>
    <w:unhideWhenUsed/>
    <w:rsid w:val="00074A01"/>
    <w:rPr>
      <w:sz w:val="20"/>
      <w:szCs w:val="20"/>
    </w:rPr>
  </w:style>
  <w:style w:type="character" w:customStyle="1" w:styleId="TextpoznpodarouChar">
    <w:name w:val="Text pozn. pod čarou Char"/>
    <w:aliases w:val="fn Char1,pozn. pod čarou Char,Schriftart: 9 pt Char,Schriftart: 10 pt Char,Schriftart: 8 pt Char,Podrozdział Char,Podrozdzia3 Char,ft Char,Char Char Char, Char Char Char,fn Char, Char12 Char,Footnote Text Char Char Char Char1"/>
    <w:basedOn w:val="Standardnpsmoodstavce"/>
    <w:uiPriority w:val="99"/>
    <w:rsid w:val="00074A01"/>
  </w:style>
  <w:style w:type="character" w:styleId="Znakapoznpodarou">
    <w:name w:val="footnote reference"/>
    <w:aliases w:val="Footnote,Footnote call,PGI Fußnote Ziffer + Times New Roman,12 b.,Zúžené o ...,PGI Fußnote Ziffer,Appel note de bas de p,Appel note de bas de page,BVI fnr,Char Car Car Car Car,Footnote Reference Superscript,SUPERS,Footnote symbol"/>
    <w:basedOn w:val="Standardnpsmoodstavce"/>
    <w:link w:val="BVIfnrCharChar"/>
    <w:uiPriority w:val="99"/>
    <w:unhideWhenUsed/>
    <w:qFormat/>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odrážky,List Paragraph_0,List Paragraph_0_0,Nadpis pro KZ,Odstavec se seznamem1,Odstavec se seznamem2,List Paragraph,Odstavec cíl se seznamem"/>
    <w:basedOn w:val="Normln"/>
    <w:link w:val="OdstavecseseznamemChar"/>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unhideWhenUsed/>
    <w:rsid w:val="00B667E8"/>
    <w:rPr>
      <w:sz w:val="20"/>
      <w:szCs w:val="20"/>
    </w:rPr>
  </w:style>
  <w:style w:type="character" w:customStyle="1" w:styleId="TextkomenteChar">
    <w:name w:val="Text komentáře Char"/>
    <w:basedOn w:val="Standardnpsmoodstavce"/>
    <w:link w:val="Textkomente"/>
    <w:uiPriority w:val="99"/>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59"/>
    <w:rsid w:val="00803A70"/>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7A253E"/>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Standardnpsmoodstavce"/>
    <w:rsid w:val="003163D4"/>
  </w:style>
  <w:style w:type="paragraph" w:styleId="Normlnweb">
    <w:name w:val="Normal (Web)"/>
    <w:basedOn w:val="Normln"/>
    <w:uiPriority w:val="99"/>
    <w:semiHidden/>
    <w:unhideWhenUsed/>
    <w:rsid w:val="003163D4"/>
    <w:pPr>
      <w:spacing w:before="100" w:beforeAutospacing="1" w:after="100" w:afterAutospacing="1"/>
    </w:pPr>
    <w:rPr>
      <w:rFonts w:ascii="Times New Roman" w:hAnsi="Times New Roman"/>
    </w:rPr>
  </w:style>
  <w:style w:type="character" w:styleId="Siln">
    <w:name w:val="Strong"/>
    <w:basedOn w:val="Standardnpsmoodstavce"/>
    <w:uiPriority w:val="22"/>
    <w:qFormat/>
    <w:rsid w:val="003163D4"/>
    <w:rPr>
      <w:b/>
      <w:bCs/>
    </w:rPr>
  </w:style>
  <w:style w:type="paragraph" w:styleId="Textvysvtlivek">
    <w:name w:val="endnote text"/>
    <w:basedOn w:val="Normln"/>
    <w:link w:val="TextvysvtlivekChar"/>
    <w:uiPriority w:val="99"/>
    <w:semiHidden/>
    <w:unhideWhenUsed/>
    <w:rsid w:val="00667B99"/>
    <w:rPr>
      <w:sz w:val="20"/>
      <w:szCs w:val="20"/>
    </w:rPr>
  </w:style>
  <w:style w:type="character" w:customStyle="1" w:styleId="TextvysvtlivekChar">
    <w:name w:val="Text vysvětlivek Char"/>
    <w:basedOn w:val="Standardnpsmoodstavce"/>
    <w:link w:val="Textvysvtlivek"/>
    <w:uiPriority w:val="99"/>
    <w:semiHidden/>
    <w:rsid w:val="00667B99"/>
    <w:rPr>
      <w:rFonts w:ascii="Arial" w:hAnsi="Arial"/>
    </w:rPr>
  </w:style>
  <w:style w:type="character" w:styleId="Odkaznavysvtlivky">
    <w:name w:val="endnote reference"/>
    <w:basedOn w:val="Standardnpsmoodstavce"/>
    <w:uiPriority w:val="99"/>
    <w:semiHidden/>
    <w:unhideWhenUsed/>
    <w:rsid w:val="00667B99"/>
    <w:rPr>
      <w:vertAlign w:val="superscript"/>
    </w:rPr>
  </w:style>
  <w:style w:type="character" w:customStyle="1" w:styleId="A0">
    <w:name w:val="A0"/>
    <w:uiPriority w:val="99"/>
    <w:rsid w:val="00AD28AE"/>
    <w:rPr>
      <w:rFonts w:cs="Myriad Pro"/>
      <w:b/>
      <w:bCs/>
      <w:color w:val="000000"/>
      <w:sz w:val="26"/>
      <w:szCs w:val="26"/>
    </w:rPr>
  </w:style>
  <w:style w:type="character" w:customStyle="1" w:styleId="A2">
    <w:name w:val="A2"/>
    <w:uiPriority w:val="99"/>
    <w:rsid w:val="00AD28AE"/>
    <w:rPr>
      <w:rFonts w:cs="Myriad Pro"/>
      <w:b/>
      <w:bCs/>
      <w:color w:val="000000"/>
      <w:sz w:val="44"/>
      <w:szCs w:val="44"/>
    </w:rPr>
  </w:style>
  <w:style w:type="character" w:customStyle="1" w:styleId="st1">
    <w:name w:val="st1"/>
    <w:basedOn w:val="Standardnpsmoodstavce"/>
    <w:rsid w:val="009858DF"/>
  </w:style>
  <w:style w:type="character" w:customStyle="1" w:styleId="tgc">
    <w:name w:val="_tgc"/>
    <w:basedOn w:val="Standardnpsmoodstavce"/>
    <w:rsid w:val="00FC2078"/>
  </w:style>
  <w:style w:type="paragraph" w:styleId="Nzev">
    <w:name w:val="Title"/>
    <w:basedOn w:val="Normln"/>
    <w:link w:val="NzevChar"/>
    <w:qFormat/>
    <w:rsid w:val="008D4B89"/>
    <w:pPr>
      <w:jc w:val="center"/>
    </w:pPr>
    <w:rPr>
      <w:rFonts w:ascii="Times New Roman" w:hAnsi="Times New Roman"/>
      <w:sz w:val="28"/>
      <w:szCs w:val="28"/>
    </w:rPr>
  </w:style>
  <w:style w:type="character" w:customStyle="1" w:styleId="NzevChar">
    <w:name w:val="Název Char"/>
    <w:basedOn w:val="Standardnpsmoodstavce"/>
    <w:link w:val="Nzev"/>
    <w:rsid w:val="008D4B89"/>
    <w:rPr>
      <w:sz w:val="28"/>
      <w:szCs w:val="28"/>
    </w:rPr>
  </w:style>
  <w:style w:type="paragraph" w:customStyle="1" w:styleId="Pa18">
    <w:name w:val="Pa18"/>
    <w:basedOn w:val="Default"/>
    <w:next w:val="Default"/>
    <w:uiPriority w:val="99"/>
    <w:rsid w:val="009E75B5"/>
    <w:pPr>
      <w:spacing w:line="211" w:lineRule="atLeast"/>
    </w:pPr>
    <w:rPr>
      <w:rFonts w:cs="Times New Roman"/>
      <w:color w:val="auto"/>
    </w:rPr>
  </w:style>
  <w:style w:type="character" w:customStyle="1" w:styleId="A14">
    <w:name w:val="A14"/>
    <w:uiPriority w:val="99"/>
    <w:rsid w:val="009E75B5"/>
    <w:rPr>
      <w:rFonts w:cs="Calibri"/>
      <w:b/>
      <w:bCs/>
      <w:color w:val="000000"/>
      <w:sz w:val="54"/>
      <w:szCs w:val="54"/>
    </w:rPr>
  </w:style>
  <w:style w:type="character" w:customStyle="1" w:styleId="A15">
    <w:name w:val="A15"/>
    <w:uiPriority w:val="99"/>
    <w:rsid w:val="009E75B5"/>
    <w:rPr>
      <w:rFonts w:cs="Calibri"/>
      <w:color w:val="000000"/>
      <w:sz w:val="36"/>
      <w:szCs w:val="36"/>
    </w:rPr>
  </w:style>
  <w:style w:type="paragraph" w:customStyle="1" w:styleId="Pa19">
    <w:name w:val="Pa19"/>
    <w:basedOn w:val="Default"/>
    <w:next w:val="Default"/>
    <w:uiPriority w:val="99"/>
    <w:rsid w:val="009E75B5"/>
    <w:pPr>
      <w:spacing w:line="211" w:lineRule="atLeast"/>
    </w:pPr>
    <w:rPr>
      <w:rFonts w:cs="Times New Roman"/>
      <w:color w:val="auto"/>
    </w:rPr>
  </w:style>
  <w:style w:type="paragraph" w:customStyle="1" w:styleId="Pa6">
    <w:name w:val="Pa6"/>
    <w:basedOn w:val="Default"/>
    <w:next w:val="Default"/>
    <w:uiPriority w:val="99"/>
    <w:rsid w:val="007D792B"/>
    <w:pPr>
      <w:spacing w:line="211" w:lineRule="atLeast"/>
    </w:pPr>
    <w:rPr>
      <w:rFonts w:cs="Times New Roman"/>
      <w:color w:val="auto"/>
    </w:rPr>
  </w:style>
  <w:style w:type="character" w:customStyle="1" w:styleId="A12">
    <w:name w:val="A12"/>
    <w:uiPriority w:val="99"/>
    <w:rsid w:val="007D792B"/>
    <w:rPr>
      <w:rFonts w:cs="Calibri"/>
      <w:b/>
      <w:bCs/>
      <w:color w:val="000000"/>
      <w:sz w:val="34"/>
      <w:szCs w:val="34"/>
    </w:rPr>
  </w:style>
  <w:style w:type="paragraph" w:customStyle="1" w:styleId="Pa16">
    <w:name w:val="Pa16"/>
    <w:basedOn w:val="Default"/>
    <w:next w:val="Default"/>
    <w:uiPriority w:val="99"/>
    <w:rsid w:val="007D792B"/>
    <w:pPr>
      <w:spacing w:line="211" w:lineRule="atLeast"/>
    </w:pPr>
    <w:rPr>
      <w:rFonts w:cs="Times New Roman"/>
      <w:color w:val="auto"/>
    </w:rPr>
  </w:style>
  <w:style w:type="character" w:customStyle="1" w:styleId="A13">
    <w:name w:val="A13"/>
    <w:uiPriority w:val="99"/>
    <w:rsid w:val="007D792B"/>
    <w:rPr>
      <w:rFonts w:ascii="Arial" w:hAnsi="Arial" w:cs="Arial"/>
      <w:b/>
      <w:bCs/>
      <w:color w:val="000000"/>
      <w:sz w:val="19"/>
      <w:szCs w:val="19"/>
    </w:rPr>
  </w:style>
  <w:style w:type="character" w:customStyle="1" w:styleId="OdstavecseseznamemChar">
    <w:name w:val="Odstavec se seznamem Char"/>
    <w:aliases w:val="odrážky Char,List Paragraph_0 Char,List Paragraph_0_0 Char,Nadpis pro KZ Char,Odstavec se seznamem1 Char,Odstavec se seznamem2 Char,List Paragraph Char,Odstavec cíl se seznamem Char"/>
    <w:link w:val="Odstavecseseznamem"/>
    <w:uiPriority w:val="34"/>
    <w:rsid w:val="00F92FB1"/>
    <w:rPr>
      <w:rFonts w:ascii="Arial" w:hAnsi="Arial"/>
      <w:sz w:val="24"/>
      <w:szCs w:val="24"/>
    </w:rPr>
  </w:style>
  <w:style w:type="paragraph" w:styleId="Titulek">
    <w:name w:val="caption"/>
    <w:basedOn w:val="Normln"/>
    <w:next w:val="Normln"/>
    <w:uiPriority w:val="35"/>
    <w:unhideWhenUsed/>
    <w:qFormat/>
    <w:rsid w:val="00F92FB1"/>
    <w:pPr>
      <w:spacing w:after="200"/>
    </w:pPr>
    <w:rPr>
      <w:rFonts w:ascii="Times New Roman" w:hAnsi="Times New Roman"/>
      <w:i/>
      <w:iCs/>
      <w:color w:val="1F497D" w:themeColor="text2"/>
      <w:sz w:val="18"/>
      <w:szCs w:val="18"/>
      <w:lang w:eastAsia="en-US"/>
    </w:rPr>
  </w:style>
  <w:style w:type="paragraph" w:customStyle="1" w:styleId="Odstavec">
    <w:name w:val="Odstavec"/>
    <w:basedOn w:val="Normln"/>
    <w:rsid w:val="0033626F"/>
    <w:pPr>
      <w:spacing w:before="120"/>
      <w:ind w:firstLine="709"/>
      <w:jc w:val="both"/>
    </w:pPr>
    <w:rPr>
      <w:rFonts w:ascii="Times New Roman" w:hAnsi="Times New Roman"/>
      <w:szCs w:val="20"/>
    </w:rPr>
  </w:style>
  <w:style w:type="paragraph" w:customStyle="1" w:styleId="l3">
    <w:name w:val="l3"/>
    <w:basedOn w:val="Normln"/>
    <w:rsid w:val="00542313"/>
    <w:pPr>
      <w:spacing w:before="100" w:beforeAutospacing="1" w:after="100" w:afterAutospacing="1"/>
    </w:pPr>
    <w:rPr>
      <w:rFonts w:ascii="Times New Roman" w:hAnsi="Times New Roman"/>
    </w:rPr>
  </w:style>
  <w:style w:type="paragraph" w:customStyle="1" w:styleId="l2">
    <w:name w:val="l2"/>
    <w:basedOn w:val="Normln"/>
    <w:rsid w:val="00542313"/>
    <w:pPr>
      <w:spacing w:before="100" w:beforeAutospacing="1" w:after="100" w:afterAutospacing="1"/>
    </w:pPr>
    <w:rPr>
      <w:rFonts w:ascii="Times New Roman" w:hAnsi="Times New Roman"/>
    </w:rPr>
  </w:style>
  <w:style w:type="paragraph" w:customStyle="1" w:styleId="l4">
    <w:name w:val="l4"/>
    <w:basedOn w:val="Normln"/>
    <w:rsid w:val="00542313"/>
    <w:pPr>
      <w:spacing w:before="100" w:beforeAutospacing="1" w:after="100" w:afterAutospacing="1"/>
    </w:pPr>
    <w:rPr>
      <w:rFonts w:ascii="Times New Roman" w:hAnsi="Times New Roman"/>
    </w:rPr>
  </w:style>
  <w:style w:type="character" w:styleId="PromnnHTML">
    <w:name w:val="HTML Variable"/>
    <w:basedOn w:val="Standardnpsmoodstavce"/>
    <w:uiPriority w:val="99"/>
    <w:semiHidden/>
    <w:unhideWhenUsed/>
    <w:rsid w:val="00542313"/>
    <w:rPr>
      <w:i/>
      <w:iCs/>
    </w:rPr>
  </w:style>
  <w:style w:type="character" w:styleId="Zdraznn">
    <w:name w:val="Emphasis"/>
    <w:basedOn w:val="Standardnpsmoodstavce"/>
    <w:uiPriority w:val="20"/>
    <w:qFormat/>
    <w:rsid w:val="00512467"/>
    <w:rPr>
      <w:b/>
      <w:bCs/>
      <w:i w:val="0"/>
      <w:iCs w:val="0"/>
    </w:rPr>
  </w:style>
  <w:style w:type="paragraph" w:customStyle="1" w:styleId="l1">
    <w:name w:val="l1"/>
    <w:basedOn w:val="Normln"/>
    <w:rsid w:val="003D41C0"/>
    <w:pPr>
      <w:spacing w:before="100" w:beforeAutospacing="1" w:after="100" w:afterAutospacing="1"/>
    </w:pPr>
    <w:rPr>
      <w:rFonts w:ascii="Times New Roman" w:hAnsi="Times New Roman"/>
    </w:rPr>
  </w:style>
  <w:style w:type="character" w:customStyle="1" w:styleId="aural">
    <w:name w:val="aural"/>
    <w:basedOn w:val="Standardnpsmoodstavce"/>
    <w:rsid w:val="00E43543"/>
  </w:style>
  <w:style w:type="numbering" w:customStyle="1" w:styleId="Bezseznamu1">
    <w:name w:val="Bez seznamu1"/>
    <w:next w:val="Bezseznamu"/>
    <w:uiPriority w:val="99"/>
    <w:semiHidden/>
    <w:unhideWhenUsed/>
    <w:rsid w:val="00584117"/>
  </w:style>
  <w:style w:type="table" w:customStyle="1" w:styleId="Mkatabulky2">
    <w:name w:val="Mřížka tabulky2"/>
    <w:basedOn w:val="Normlntabulka"/>
    <w:next w:val="Mkatabulky"/>
    <w:uiPriority w:val="39"/>
    <w:rsid w:val="00772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0672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1A05E4"/>
    <w:pPr>
      <w:spacing w:after="160" w:line="240" w:lineRule="exact"/>
    </w:pPr>
    <w:rPr>
      <w:rFonts w:ascii="Times New Roman" w:hAnsi="Times New Roman"/>
      <w:sz w:val="20"/>
      <w:szCs w:val="20"/>
      <w:vertAlign w:val="superscript"/>
    </w:rPr>
  </w:style>
  <w:style w:type="character" w:styleId="Sledovanodkaz">
    <w:name w:val="FollowedHyperlink"/>
    <w:basedOn w:val="Standardnpsmoodstavce"/>
    <w:uiPriority w:val="99"/>
    <w:semiHidden/>
    <w:unhideWhenUsed/>
    <w:rsid w:val="001B7C86"/>
    <w:rPr>
      <w:color w:val="800080" w:themeColor="followedHyperlink"/>
      <w:u w:val="single"/>
    </w:rPr>
  </w:style>
  <w:style w:type="table" w:customStyle="1" w:styleId="Mkatabulky4">
    <w:name w:val="Mřížka tabulky4"/>
    <w:basedOn w:val="Normlntabulka"/>
    <w:next w:val="Mkatabulky"/>
    <w:uiPriority w:val="59"/>
    <w:rsid w:val="00C5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14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D1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261">
      <w:bodyDiv w:val="1"/>
      <w:marLeft w:val="0"/>
      <w:marRight w:val="0"/>
      <w:marTop w:val="0"/>
      <w:marBottom w:val="0"/>
      <w:divBdr>
        <w:top w:val="none" w:sz="0" w:space="0" w:color="auto"/>
        <w:left w:val="none" w:sz="0" w:space="0" w:color="auto"/>
        <w:bottom w:val="none" w:sz="0" w:space="0" w:color="auto"/>
        <w:right w:val="none" w:sz="0" w:space="0" w:color="auto"/>
      </w:divBdr>
    </w:div>
    <w:div w:id="58554364">
      <w:bodyDiv w:val="1"/>
      <w:marLeft w:val="0"/>
      <w:marRight w:val="0"/>
      <w:marTop w:val="0"/>
      <w:marBottom w:val="0"/>
      <w:divBdr>
        <w:top w:val="none" w:sz="0" w:space="0" w:color="auto"/>
        <w:left w:val="none" w:sz="0" w:space="0" w:color="auto"/>
        <w:bottom w:val="none" w:sz="0" w:space="0" w:color="auto"/>
        <w:right w:val="none" w:sz="0" w:space="0" w:color="auto"/>
      </w:divBdr>
    </w:div>
    <w:div w:id="109713979">
      <w:bodyDiv w:val="1"/>
      <w:marLeft w:val="0"/>
      <w:marRight w:val="0"/>
      <w:marTop w:val="0"/>
      <w:marBottom w:val="0"/>
      <w:divBdr>
        <w:top w:val="none" w:sz="0" w:space="0" w:color="auto"/>
        <w:left w:val="none" w:sz="0" w:space="0" w:color="auto"/>
        <w:bottom w:val="none" w:sz="0" w:space="0" w:color="auto"/>
        <w:right w:val="none" w:sz="0" w:space="0" w:color="auto"/>
      </w:divBdr>
    </w:div>
    <w:div w:id="141121681">
      <w:bodyDiv w:val="1"/>
      <w:marLeft w:val="0"/>
      <w:marRight w:val="0"/>
      <w:marTop w:val="0"/>
      <w:marBottom w:val="0"/>
      <w:divBdr>
        <w:top w:val="none" w:sz="0" w:space="0" w:color="auto"/>
        <w:left w:val="none" w:sz="0" w:space="0" w:color="auto"/>
        <w:bottom w:val="none" w:sz="0" w:space="0" w:color="auto"/>
        <w:right w:val="none" w:sz="0" w:space="0" w:color="auto"/>
      </w:divBdr>
    </w:div>
    <w:div w:id="235669100">
      <w:bodyDiv w:val="1"/>
      <w:marLeft w:val="0"/>
      <w:marRight w:val="0"/>
      <w:marTop w:val="0"/>
      <w:marBottom w:val="0"/>
      <w:divBdr>
        <w:top w:val="none" w:sz="0" w:space="0" w:color="auto"/>
        <w:left w:val="none" w:sz="0" w:space="0" w:color="auto"/>
        <w:bottom w:val="none" w:sz="0" w:space="0" w:color="auto"/>
        <w:right w:val="none" w:sz="0" w:space="0" w:color="auto"/>
      </w:divBdr>
    </w:div>
    <w:div w:id="383212813">
      <w:bodyDiv w:val="1"/>
      <w:marLeft w:val="0"/>
      <w:marRight w:val="0"/>
      <w:marTop w:val="0"/>
      <w:marBottom w:val="0"/>
      <w:divBdr>
        <w:top w:val="none" w:sz="0" w:space="0" w:color="auto"/>
        <w:left w:val="none" w:sz="0" w:space="0" w:color="auto"/>
        <w:bottom w:val="none" w:sz="0" w:space="0" w:color="auto"/>
        <w:right w:val="none" w:sz="0" w:space="0" w:color="auto"/>
      </w:divBdr>
    </w:div>
    <w:div w:id="396821974">
      <w:bodyDiv w:val="1"/>
      <w:marLeft w:val="0"/>
      <w:marRight w:val="0"/>
      <w:marTop w:val="0"/>
      <w:marBottom w:val="0"/>
      <w:divBdr>
        <w:top w:val="none" w:sz="0" w:space="0" w:color="auto"/>
        <w:left w:val="none" w:sz="0" w:space="0" w:color="auto"/>
        <w:bottom w:val="none" w:sz="0" w:space="0" w:color="auto"/>
        <w:right w:val="none" w:sz="0" w:space="0" w:color="auto"/>
      </w:divBdr>
    </w:div>
    <w:div w:id="480342871">
      <w:bodyDiv w:val="1"/>
      <w:marLeft w:val="0"/>
      <w:marRight w:val="0"/>
      <w:marTop w:val="0"/>
      <w:marBottom w:val="0"/>
      <w:divBdr>
        <w:top w:val="none" w:sz="0" w:space="0" w:color="auto"/>
        <w:left w:val="none" w:sz="0" w:space="0" w:color="auto"/>
        <w:bottom w:val="none" w:sz="0" w:space="0" w:color="auto"/>
        <w:right w:val="none" w:sz="0" w:space="0" w:color="auto"/>
      </w:divBdr>
      <w:divsChild>
        <w:div w:id="1539783568">
          <w:marLeft w:val="0"/>
          <w:marRight w:val="0"/>
          <w:marTop w:val="0"/>
          <w:marBottom w:val="0"/>
          <w:divBdr>
            <w:top w:val="none" w:sz="0" w:space="0" w:color="auto"/>
            <w:left w:val="none" w:sz="0" w:space="0" w:color="auto"/>
            <w:bottom w:val="none" w:sz="0" w:space="0" w:color="auto"/>
            <w:right w:val="none" w:sz="0" w:space="0" w:color="auto"/>
          </w:divBdr>
          <w:divsChild>
            <w:div w:id="857279675">
              <w:marLeft w:val="0"/>
              <w:marRight w:val="0"/>
              <w:marTop w:val="0"/>
              <w:marBottom w:val="0"/>
              <w:divBdr>
                <w:top w:val="none" w:sz="0" w:space="0" w:color="auto"/>
                <w:left w:val="none" w:sz="0" w:space="0" w:color="auto"/>
                <w:bottom w:val="none" w:sz="0" w:space="0" w:color="auto"/>
                <w:right w:val="none" w:sz="0" w:space="0" w:color="auto"/>
              </w:divBdr>
              <w:divsChild>
                <w:div w:id="1224756264">
                  <w:marLeft w:val="0"/>
                  <w:marRight w:val="0"/>
                  <w:marTop w:val="0"/>
                  <w:marBottom w:val="0"/>
                  <w:divBdr>
                    <w:top w:val="none" w:sz="0" w:space="0" w:color="auto"/>
                    <w:left w:val="none" w:sz="0" w:space="0" w:color="auto"/>
                    <w:bottom w:val="none" w:sz="0" w:space="0" w:color="auto"/>
                    <w:right w:val="none" w:sz="0" w:space="0" w:color="auto"/>
                  </w:divBdr>
                  <w:divsChild>
                    <w:div w:id="45763518">
                      <w:marLeft w:val="0"/>
                      <w:marRight w:val="0"/>
                      <w:marTop w:val="0"/>
                      <w:marBottom w:val="0"/>
                      <w:divBdr>
                        <w:top w:val="none" w:sz="0" w:space="0" w:color="auto"/>
                        <w:left w:val="none" w:sz="0" w:space="0" w:color="auto"/>
                        <w:bottom w:val="none" w:sz="0" w:space="0" w:color="auto"/>
                        <w:right w:val="none" w:sz="0" w:space="0" w:color="auto"/>
                      </w:divBdr>
                      <w:divsChild>
                        <w:div w:id="117144394">
                          <w:marLeft w:val="0"/>
                          <w:marRight w:val="0"/>
                          <w:marTop w:val="0"/>
                          <w:marBottom w:val="0"/>
                          <w:divBdr>
                            <w:top w:val="none" w:sz="0" w:space="0" w:color="auto"/>
                            <w:left w:val="none" w:sz="0" w:space="0" w:color="auto"/>
                            <w:bottom w:val="none" w:sz="0" w:space="0" w:color="auto"/>
                            <w:right w:val="none" w:sz="0" w:space="0" w:color="auto"/>
                          </w:divBdr>
                          <w:divsChild>
                            <w:div w:id="8661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64879">
      <w:bodyDiv w:val="1"/>
      <w:marLeft w:val="0"/>
      <w:marRight w:val="0"/>
      <w:marTop w:val="0"/>
      <w:marBottom w:val="0"/>
      <w:divBdr>
        <w:top w:val="none" w:sz="0" w:space="0" w:color="auto"/>
        <w:left w:val="none" w:sz="0" w:space="0" w:color="auto"/>
        <w:bottom w:val="none" w:sz="0" w:space="0" w:color="auto"/>
        <w:right w:val="none" w:sz="0" w:space="0" w:color="auto"/>
      </w:divBdr>
      <w:divsChild>
        <w:div w:id="498497989">
          <w:marLeft w:val="0"/>
          <w:marRight w:val="0"/>
          <w:marTop w:val="0"/>
          <w:marBottom w:val="0"/>
          <w:divBdr>
            <w:top w:val="none" w:sz="0" w:space="0" w:color="auto"/>
            <w:left w:val="none" w:sz="0" w:space="0" w:color="auto"/>
            <w:bottom w:val="none" w:sz="0" w:space="0" w:color="auto"/>
            <w:right w:val="none" w:sz="0" w:space="0" w:color="auto"/>
          </w:divBdr>
          <w:divsChild>
            <w:div w:id="913205590">
              <w:marLeft w:val="0"/>
              <w:marRight w:val="0"/>
              <w:marTop w:val="0"/>
              <w:marBottom w:val="0"/>
              <w:divBdr>
                <w:top w:val="none" w:sz="0" w:space="0" w:color="auto"/>
                <w:left w:val="none" w:sz="0" w:space="0" w:color="auto"/>
                <w:bottom w:val="none" w:sz="0" w:space="0" w:color="auto"/>
                <w:right w:val="none" w:sz="0" w:space="0" w:color="auto"/>
              </w:divBdr>
              <w:divsChild>
                <w:div w:id="641891078">
                  <w:marLeft w:val="0"/>
                  <w:marRight w:val="0"/>
                  <w:marTop w:val="0"/>
                  <w:marBottom w:val="0"/>
                  <w:divBdr>
                    <w:top w:val="none" w:sz="0" w:space="0" w:color="auto"/>
                    <w:left w:val="none" w:sz="0" w:space="0" w:color="auto"/>
                    <w:bottom w:val="none" w:sz="0" w:space="0" w:color="auto"/>
                    <w:right w:val="none" w:sz="0" w:space="0" w:color="auto"/>
                  </w:divBdr>
                  <w:divsChild>
                    <w:div w:id="1825967916">
                      <w:marLeft w:val="0"/>
                      <w:marRight w:val="0"/>
                      <w:marTop w:val="0"/>
                      <w:marBottom w:val="0"/>
                      <w:divBdr>
                        <w:top w:val="none" w:sz="0" w:space="0" w:color="auto"/>
                        <w:left w:val="none" w:sz="0" w:space="0" w:color="auto"/>
                        <w:bottom w:val="none" w:sz="0" w:space="0" w:color="auto"/>
                        <w:right w:val="none" w:sz="0" w:space="0" w:color="auto"/>
                      </w:divBdr>
                      <w:divsChild>
                        <w:div w:id="1750075665">
                          <w:marLeft w:val="0"/>
                          <w:marRight w:val="0"/>
                          <w:marTop w:val="0"/>
                          <w:marBottom w:val="0"/>
                          <w:divBdr>
                            <w:top w:val="none" w:sz="0" w:space="0" w:color="auto"/>
                            <w:left w:val="none" w:sz="0" w:space="0" w:color="auto"/>
                            <w:bottom w:val="none" w:sz="0" w:space="0" w:color="auto"/>
                            <w:right w:val="none" w:sz="0" w:space="0" w:color="auto"/>
                          </w:divBdr>
                          <w:divsChild>
                            <w:div w:id="251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029581">
      <w:bodyDiv w:val="1"/>
      <w:marLeft w:val="0"/>
      <w:marRight w:val="0"/>
      <w:marTop w:val="0"/>
      <w:marBottom w:val="0"/>
      <w:divBdr>
        <w:top w:val="none" w:sz="0" w:space="0" w:color="auto"/>
        <w:left w:val="none" w:sz="0" w:space="0" w:color="auto"/>
        <w:bottom w:val="none" w:sz="0" w:space="0" w:color="auto"/>
        <w:right w:val="none" w:sz="0" w:space="0" w:color="auto"/>
      </w:divBdr>
    </w:div>
    <w:div w:id="682703823">
      <w:bodyDiv w:val="1"/>
      <w:marLeft w:val="0"/>
      <w:marRight w:val="0"/>
      <w:marTop w:val="0"/>
      <w:marBottom w:val="0"/>
      <w:divBdr>
        <w:top w:val="none" w:sz="0" w:space="0" w:color="auto"/>
        <w:left w:val="none" w:sz="0" w:space="0" w:color="auto"/>
        <w:bottom w:val="none" w:sz="0" w:space="0" w:color="auto"/>
        <w:right w:val="none" w:sz="0" w:space="0" w:color="auto"/>
      </w:divBdr>
    </w:div>
    <w:div w:id="946892775">
      <w:bodyDiv w:val="1"/>
      <w:marLeft w:val="0"/>
      <w:marRight w:val="0"/>
      <w:marTop w:val="0"/>
      <w:marBottom w:val="0"/>
      <w:divBdr>
        <w:top w:val="none" w:sz="0" w:space="0" w:color="auto"/>
        <w:left w:val="none" w:sz="0" w:space="0" w:color="auto"/>
        <w:bottom w:val="none" w:sz="0" w:space="0" w:color="auto"/>
        <w:right w:val="none" w:sz="0" w:space="0" w:color="auto"/>
      </w:divBdr>
    </w:div>
    <w:div w:id="1031564913">
      <w:bodyDiv w:val="1"/>
      <w:marLeft w:val="0"/>
      <w:marRight w:val="0"/>
      <w:marTop w:val="0"/>
      <w:marBottom w:val="0"/>
      <w:divBdr>
        <w:top w:val="none" w:sz="0" w:space="0" w:color="auto"/>
        <w:left w:val="none" w:sz="0" w:space="0" w:color="auto"/>
        <w:bottom w:val="none" w:sz="0" w:space="0" w:color="auto"/>
        <w:right w:val="none" w:sz="0" w:space="0" w:color="auto"/>
      </w:divBdr>
    </w:div>
    <w:div w:id="1172139228">
      <w:bodyDiv w:val="1"/>
      <w:marLeft w:val="0"/>
      <w:marRight w:val="0"/>
      <w:marTop w:val="0"/>
      <w:marBottom w:val="0"/>
      <w:divBdr>
        <w:top w:val="none" w:sz="0" w:space="0" w:color="auto"/>
        <w:left w:val="none" w:sz="0" w:space="0" w:color="auto"/>
        <w:bottom w:val="none" w:sz="0" w:space="0" w:color="auto"/>
        <w:right w:val="none" w:sz="0" w:space="0" w:color="auto"/>
      </w:divBdr>
    </w:div>
    <w:div w:id="1186403284">
      <w:bodyDiv w:val="1"/>
      <w:marLeft w:val="0"/>
      <w:marRight w:val="0"/>
      <w:marTop w:val="0"/>
      <w:marBottom w:val="0"/>
      <w:divBdr>
        <w:top w:val="none" w:sz="0" w:space="0" w:color="auto"/>
        <w:left w:val="none" w:sz="0" w:space="0" w:color="auto"/>
        <w:bottom w:val="none" w:sz="0" w:space="0" w:color="auto"/>
        <w:right w:val="none" w:sz="0" w:space="0" w:color="auto"/>
      </w:divBdr>
    </w:div>
    <w:div w:id="1363095499">
      <w:bodyDiv w:val="1"/>
      <w:marLeft w:val="0"/>
      <w:marRight w:val="0"/>
      <w:marTop w:val="0"/>
      <w:marBottom w:val="0"/>
      <w:divBdr>
        <w:top w:val="none" w:sz="0" w:space="0" w:color="auto"/>
        <w:left w:val="none" w:sz="0" w:space="0" w:color="auto"/>
        <w:bottom w:val="none" w:sz="0" w:space="0" w:color="auto"/>
        <w:right w:val="none" w:sz="0" w:space="0" w:color="auto"/>
      </w:divBdr>
    </w:div>
    <w:div w:id="1373385584">
      <w:bodyDiv w:val="1"/>
      <w:marLeft w:val="0"/>
      <w:marRight w:val="0"/>
      <w:marTop w:val="0"/>
      <w:marBottom w:val="0"/>
      <w:divBdr>
        <w:top w:val="none" w:sz="0" w:space="0" w:color="auto"/>
        <w:left w:val="none" w:sz="0" w:space="0" w:color="auto"/>
        <w:bottom w:val="none" w:sz="0" w:space="0" w:color="auto"/>
        <w:right w:val="none" w:sz="0" w:space="0" w:color="auto"/>
      </w:divBdr>
    </w:div>
    <w:div w:id="1436561087">
      <w:bodyDiv w:val="1"/>
      <w:marLeft w:val="0"/>
      <w:marRight w:val="0"/>
      <w:marTop w:val="0"/>
      <w:marBottom w:val="0"/>
      <w:divBdr>
        <w:top w:val="none" w:sz="0" w:space="0" w:color="auto"/>
        <w:left w:val="none" w:sz="0" w:space="0" w:color="auto"/>
        <w:bottom w:val="none" w:sz="0" w:space="0" w:color="auto"/>
        <w:right w:val="none" w:sz="0" w:space="0" w:color="auto"/>
      </w:divBdr>
      <w:divsChild>
        <w:div w:id="1097217026">
          <w:marLeft w:val="0"/>
          <w:marRight w:val="0"/>
          <w:marTop w:val="0"/>
          <w:marBottom w:val="0"/>
          <w:divBdr>
            <w:top w:val="none" w:sz="0" w:space="0" w:color="auto"/>
            <w:left w:val="none" w:sz="0" w:space="0" w:color="auto"/>
            <w:bottom w:val="none" w:sz="0" w:space="0" w:color="auto"/>
            <w:right w:val="none" w:sz="0" w:space="0" w:color="auto"/>
          </w:divBdr>
          <w:divsChild>
            <w:div w:id="1544445320">
              <w:marLeft w:val="0"/>
              <w:marRight w:val="0"/>
              <w:marTop w:val="0"/>
              <w:marBottom w:val="0"/>
              <w:divBdr>
                <w:top w:val="none" w:sz="0" w:space="0" w:color="auto"/>
                <w:left w:val="none" w:sz="0" w:space="0" w:color="auto"/>
                <w:bottom w:val="none" w:sz="0" w:space="0" w:color="auto"/>
                <w:right w:val="none" w:sz="0" w:space="0" w:color="auto"/>
              </w:divBdr>
              <w:divsChild>
                <w:div w:id="628321023">
                  <w:marLeft w:val="0"/>
                  <w:marRight w:val="0"/>
                  <w:marTop w:val="0"/>
                  <w:marBottom w:val="0"/>
                  <w:divBdr>
                    <w:top w:val="none" w:sz="0" w:space="0" w:color="auto"/>
                    <w:left w:val="none" w:sz="0" w:space="0" w:color="auto"/>
                    <w:bottom w:val="none" w:sz="0" w:space="0" w:color="auto"/>
                    <w:right w:val="none" w:sz="0" w:space="0" w:color="auto"/>
                  </w:divBdr>
                  <w:divsChild>
                    <w:div w:id="335309886">
                      <w:marLeft w:val="0"/>
                      <w:marRight w:val="0"/>
                      <w:marTop w:val="0"/>
                      <w:marBottom w:val="0"/>
                      <w:divBdr>
                        <w:top w:val="none" w:sz="0" w:space="0" w:color="auto"/>
                        <w:left w:val="none" w:sz="0" w:space="0" w:color="auto"/>
                        <w:bottom w:val="none" w:sz="0" w:space="0" w:color="auto"/>
                        <w:right w:val="none" w:sz="0" w:space="0" w:color="auto"/>
                      </w:divBdr>
                      <w:divsChild>
                        <w:div w:id="723606718">
                          <w:marLeft w:val="0"/>
                          <w:marRight w:val="0"/>
                          <w:marTop w:val="0"/>
                          <w:marBottom w:val="0"/>
                          <w:divBdr>
                            <w:top w:val="none" w:sz="0" w:space="0" w:color="auto"/>
                            <w:left w:val="none" w:sz="0" w:space="0" w:color="auto"/>
                            <w:bottom w:val="none" w:sz="0" w:space="0" w:color="auto"/>
                            <w:right w:val="none" w:sz="0" w:space="0" w:color="auto"/>
                          </w:divBdr>
                          <w:divsChild>
                            <w:div w:id="780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340885">
      <w:bodyDiv w:val="1"/>
      <w:marLeft w:val="0"/>
      <w:marRight w:val="0"/>
      <w:marTop w:val="0"/>
      <w:marBottom w:val="0"/>
      <w:divBdr>
        <w:top w:val="none" w:sz="0" w:space="0" w:color="auto"/>
        <w:left w:val="none" w:sz="0" w:space="0" w:color="auto"/>
        <w:bottom w:val="none" w:sz="0" w:space="0" w:color="auto"/>
        <w:right w:val="none" w:sz="0" w:space="0" w:color="auto"/>
      </w:divBdr>
    </w:div>
    <w:div w:id="1572154999">
      <w:bodyDiv w:val="1"/>
      <w:marLeft w:val="0"/>
      <w:marRight w:val="0"/>
      <w:marTop w:val="0"/>
      <w:marBottom w:val="0"/>
      <w:divBdr>
        <w:top w:val="none" w:sz="0" w:space="0" w:color="auto"/>
        <w:left w:val="none" w:sz="0" w:space="0" w:color="auto"/>
        <w:bottom w:val="none" w:sz="0" w:space="0" w:color="auto"/>
        <w:right w:val="none" w:sz="0" w:space="0" w:color="auto"/>
      </w:divBdr>
    </w:div>
    <w:div w:id="1773090789">
      <w:bodyDiv w:val="1"/>
      <w:marLeft w:val="0"/>
      <w:marRight w:val="0"/>
      <w:marTop w:val="0"/>
      <w:marBottom w:val="0"/>
      <w:divBdr>
        <w:top w:val="none" w:sz="0" w:space="0" w:color="auto"/>
        <w:left w:val="none" w:sz="0" w:space="0" w:color="auto"/>
        <w:bottom w:val="none" w:sz="0" w:space="0" w:color="auto"/>
        <w:right w:val="none" w:sz="0" w:space="0" w:color="auto"/>
      </w:divBdr>
      <w:divsChild>
        <w:div w:id="700592451">
          <w:marLeft w:val="0"/>
          <w:marRight w:val="0"/>
          <w:marTop w:val="0"/>
          <w:marBottom w:val="0"/>
          <w:divBdr>
            <w:top w:val="none" w:sz="0" w:space="0" w:color="auto"/>
            <w:left w:val="none" w:sz="0" w:space="0" w:color="auto"/>
            <w:bottom w:val="none" w:sz="0" w:space="0" w:color="auto"/>
            <w:right w:val="none" w:sz="0" w:space="0" w:color="auto"/>
          </w:divBdr>
          <w:divsChild>
            <w:div w:id="1301154527">
              <w:marLeft w:val="0"/>
              <w:marRight w:val="0"/>
              <w:marTop w:val="0"/>
              <w:marBottom w:val="0"/>
              <w:divBdr>
                <w:top w:val="none" w:sz="0" w:space="0" w:color="auto"/>
                <w:left w:val="none" w:sz="0" w:space="0" w:color="auto"/>
                <w:bottom w:val="none" w:sz="0" w:space="0" w:color="auto"/>
                <w:right w:val="none" w:sz="0" w:space="0" w:color="auto"/>
              </w:divBdr>
              <w:divsChild>
                <w:div w:id="409693887">
                  <w:marLeft w:val="0"/>
                  <w:marRight w:val="0"/>
                  <w:marTop w:val="0"/>
                  <w:marBottom w:val="0"/>
                  <w:divBdr>
                    <w:top w:val="none" w:sz="0" w:space="0" w:color="auto"/>
                    <w:left w:val="none" w:sz="0" w:space="0" w:color="auto"/>
                    <w:bottom w:val="none" w:sz="0" w:space="0" w:color="auto"/>
                    <w:right w:val="none" w:sz="0" w:space="0" w:color="auto"/>
                  </w:divBdr>
                  <w:divsChild>
                    <w:div w:id="725763611">
                      <w:marLeft w:val="0"/>
                      <w:marRight w:val="0"/>
                      <w:marTop w:val="0"/>
                      <w:marBottom w:val="0"/>
                      <w:divBdr>
                        <w:top w:val="none" w:sz="0" w:space="0" w:color="auto"/>
                        <w:left w:val="none" w:sz="0" w:space="0" w:color="auto"/>
                        <w:bottom w:val="none" w:sz="0" w:space="0" w:color="auto"/>
                        <w:right w:val="none" w:sz="0" w:space="0" w:color="auto"/>
                      </w:divBdr>
                      <w:divsChild>
                        <w:div w:id="577910922">
                          <w:marLeft w:val="0"/>
                          <w:marRight w:val="0"/>
                          <w:marTop w:val="0"/>
                          <w:marBottom w:val="0"/>
                          <w:divBdr>
                            <w:top w:val="none" w:sz="0" w:space="0" w:color="auto"/>
                            <w:left w:val="none" w:sz="0" w:space="0" w:color="auto"/>
                            <w:bottom w:val="none" w:sz="0" w:space="0" w:color="auto"/>
                            <w:right w:val="none" w:sz="0" w:space="0" w:color="auto"/>
                          </w:divBdr>
                          <w:divsChild>
                            <w:div w:id="13021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48889">
      <w:bodyDiv w:val="1"/>
      <w:marLeft w:val="0"/>
      <w:marRight w:val="0"/>
      <w:marTop w:val="0"/>
      <w:marBottom w:val="0"/>
      <w:divBdr>
        <w:top w:val="none" w:sz="0" w:space="0" w:color="auto"/>
        <w:left w:val="none" w:sz="0" w:space="0" w:color="auto"/>
        <w:bottom w:val="none" w:sz="0" w:space="0" w:color="auto"/>
        <w:right w:val="none" w:sz="0" w:space="0" w:color="auto"/>
      </w:divBdr>
      <w:divsChild>
        <w:div w:id="416096117">
          <w:marLeft w:val="0"/>
          <w:marRight w:val="0"/>
          <w:marTop w:val="0"/>
          <w:marBottom w:val="0"/>
          <w:divBdr>
            <w:top w:val="none" w:sz="0" w:space="0" w:color="auto"/>
            <w:left w:val="none" w:sz="0" w:space="0" w:color="auto"/>
            <w:bottom w:val="none" w:sz="0" w:space="0" w:color="auto"/>
            <w:right w:val="none" w:sz="0" w:space="0" w:color="auto"/>
          </w:divBdr>
          <w:divsChild>
            <w:div w:id="15120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8468">
      <w:bodyDiv w:val="1"/>
      <w:marLeft w:val="0"/>
      <w:marRight w:val="0"/>
      <w:marTop w:val="0"/>
      <w:marBottom w:val="0"/>
      <w:divBdr>
        <w:top w:val="none" w:sz="0" w:space="0" w:color="auto"/>
        <w:left w:val="none" w:sz="0" w:space="0" w:color="auto"/>
        <w:bottom w:val="none" w:sz="0" w:space="0" w:color="auto"/>
        <w:right w:val="none" w:sz="0" w:space="0" w:color="auto"/>
      </w:divBdr>
    </w:div>
    <w:div w:id="1860242501">
      <w:bodyDiv w:val="1"/>
      <w:marLeft w:val="0"/>
      <w:marRight w:val="0"/>
      <w:marTop w:val="0"/>
      <w:marBottom w:val="0"/>
      <w:divBdr>
        <w:top w:val="none" w:sz="0" w:space="0" w:color="auto"/>
        <w:left w:val="none" w:sz="0" w:space="0" w:color="auto"/>
        <w:bottom w:val="none" w:sz="0" w:space="0" w:color="auto"/>
        <w:right w:val="none" w:sz="0" w:space="0" w:color="auto"/>
      </w:divBdr>
      <w:divsChild>
        <w:div w:id="2100828028">
          <w:marLeft w:val="0"/>
          <w:marRight w:val="0"/>
          <w:marTop w:val="0"/>
          <w:marBottom w:val="0"/>
          <w:divBdr>
            <w:top w:val="none" w:sz="0" w:space="0" w:color="auto"/>
            <w:left w:val="none" w:sz="0" w:space="0" w:color="auto"/>
            <w:bottom w:val="none" w:sz="0" w:space="0" w:color="auto"/>
            <w:right w:val="none" w:sz="0" w:space="0" w:color="auto"/>
          </w:divBdr>
          <w:divsChild>
            <w:div w:id="1286042732">
              <w:marLeft w:val="0"/>
              <w:marRight w:val="0"/>
              <w:marTop w:val="0"/>
              <w:marBottom w:val="0"/>
              <w:divBdr>
                <w:top w:val="none" w:sz="0" w:space="0" w:color="auto"/>
                <w:left w:val="none" w:sz="0" w:space="0" w:color="auto"/>
                <w:bottom w:val="none" w:sz="0" w:space="0" w:color="auto"/>
                <w:right w:val="none" w:sz="0" w:space="0" w:color="auto"/>
              </w:divBdr>
              <w:divsChild>
                <w:div w:id="2076390963">
                  <w:marLeft w:val="0"/>
                  <w:marRight w:val="0"/>
                  <w:marTop w:val="0"/>
                  <w:marBottom w:val="0"/>
                  <w:divBdr>
                    <w:top w:val="none" w:sz="0" w:space="0" w:color="auto"/>
                    <w:left w:val="none" w:sz="0" w:space="0" w:color="auto"/>
                    <w:bottom w:val="none" w:sz="0" w:space="0" w:color="auto"/>
                    <w:right w:val="none" w:sz="0" w:space="0" w:color="auto"/>
                  </w:divBdr>
                  <w:divsChild>
                    <w:div w:id="556018417">
                      <w:marLeft w:val="0"/>
                      <w:marRight w:val="0"/>
                      <w:marTop w:val="0"/>
                      <w:marBottom w:val="0"/>
                      <w:divBdr>
                        <w:top w:val="none" w:sz="0" w:space="0" w:color="auto"/>
                        <w:left w:val="none" w:sz="0" w:space="0" w:color="auto"/>
                        <w:bottom w:val="none" w:sz="0" w:space="0" w:color="auto"/>
                        <w:right w:val="none" w:sz="0" w:space="0" w:color="auto"/>
                      </w:divBdr>
                      <w:divsChild>
                        <w:div w:id="17498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505072">
      <w:bodyDiv w:val="1"/>
      <w:marLeft w:val="0"/>
      <w:marRight w:val="0"/>
      <w:marTop w:val="0"/>
      <w:marBottom w:val="0"/>
      <w:divBdr>
        <w:top w:val="none" w:sz="0" w:space="0" w:color="auto"/>
        <w:left w:val="none" w:sz="0" w:space="0" w:color="auto"/>
        <w:bottom w:val="none" w:sz="0" w:space="0" w:color="auto"/>
        <w:right w:val="none" w:sz="0" w:space="0" w:color="auto"/>
      </w:divBdr>
      <w:divsChild>
        <w:div w:id="1544831804">
          <w:marLeft w:val="0"/>
          <w:marRight w:val="0"/>
          <w:marTop w:val="0"/>
          <w:marBottom w:val="0"/>
          <w:divBdr>
            <w:top w:val="none" w:sz="0" w:space="0" w:color="auto"/>
            <w:left w:val="none" w:sz="0" w:space="0" w:color="auto"/>
            <w:bottom w:val="none" w:sz="0" w:space="0" w:color="auto"/>
            <w:right w:val="none" w:sz="0" w:space="0" w:color="auto"/>
          </w:divBdr>
          <w:divsChild>
            <w:div w:id="813722130">
              <w:marLeft w:val="0"/>
              <w:marRight w:val="0"/>
              <w:marTop w:val="0"/>
              <w:marBottom w:val="0"/>
              <w:divBdr>
                <w:top w:val="none" w:sz="0" w:space="0" w:color="auto"/>
                <w:left w:val="none" w:sz="0" w:space="0" w:color="auto"/>
                <w:bottom w:val="none" w:sz="0" w:space="0" w:color="auto"/>
                <w:right w:val="none" w:sz="0" w:space="0" w:color="auto"/>
              </w:divBdr>
              <w:divsChild>
                <w:div w:id="91752737">
                  <w:marLeft w:val="0"/>
                  <w:marRight w:val="0"/>
                  <w:marTop w:val="0"/>
                  <w:marBottom w:val="0"/>
                  <w:divBdr>
                    <w:top w:val="none" w:sz="0" w:space="0" w:color="auto"/>
                    <w:left w:val="none" w:sz="0" w:space="0" w:color="auto"/>
                    <w:bottom w:val="none" w:sz="0" w:space="0" w:color="auto"/>
                    <w:right w:val="none" w:sz="0" w:space="0" w:color="auto"/>
                  </w:divBdr>
                  <w:divsChild>
                    <w:div w:id="467549462">
                      <w:marLeft w:val="0"/>
                      <w:marRight w:val="0"/>
                      <w:marTop w:val="0"/>
                      <w:marBottom w:val="0"/>
                      <w:divBdr>
                        <w:top w:val="none" w:sz="0" w:space="0" w:color="auto"/>
                        <w:left w:val="none" w:sz="0" w:space="0" w:color="auto"/>
                        <w:bottom w:val="none" w:sz="0" w:space="0" w:color="auto"/>
                        <w:right w:val="none" w:sz="0" w:space="0" w:color="auto"/>
                      </w:divBdr>
                      <w:divsChild>
                        <w:div w:id="1155147626">
                          <w:marLeft w:val="0"/>
                          <w:marRight w:val="0"/>
                          <w:marTop w:val="0"/>
                          <w:marBottom w:val="0"/>
                          <w:divBdr>
                            <w:top w:val="none" w:sz="0" w:space="0" w:color="auto"/>
                            <w:left w:val="none" w:sz="0" w:space="0" w:color="auto"/>
                            <w:bottom w:val="none" w:sz="0" w:space="0" w:color="auto"/>
                            <w:right w:val="none" w:sz="0" w:space="0" w:color="auto"/>
                          </w:divBdr>
                          <w:divsChild>
                            <w:div w:id="20969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7118">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 w:id="2095080475">
      <w:bodyDiv w:val="1"/>
      <w:marLeft w:val="0"/>
      <w:marRight w:val="0"/>
      <w:marTop w:val="0"/>
      <w:marBottom w:val="0"/>
      <w:divBdr>
        <w:top w:val="none" w:sz="0" w:space="0" w:color="auto"/>
        <w:left w:val="none" w:sz="0" w:space="0" w:color="auto"/>
        <w:bottom w:val="none" w:sz="0" w:space="0" w:color="auto"/>
        <w:right w:val="none" w:sz="0" w:space="0" w:color="auto"/>
      </w:divBdr>
    </w:div>
    <w:div w:id="2130511152">
      <w:bodyDiv w:val="1"/>
      <w:marLeft w:val="0"/>
      <w:marRight w:val="0"/>
      <w:marTop w:val="0"/>
      <w:marBottom w:val="0"/>
      <w:divBdr>
        <w:top w:val="none" w:sz="0" w:space="0" w:color="auto"/>
        <w:left w:val="none" w:sz="0" w:space="0" w:color="auto"/>
        <w:bottom w:val="none" w:sz="0" w:space="0" w:color="auto"/>
        <w:right w:val="none" w:sz="0" w:space="0" w:color="auto"/>
      </w:divBdr>
    </w:div>
    <w:div w:id="21433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rmy.cz"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www.army.cz"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F1\LUPTAKOVA\AUTA%20MO\kontroln&#237;%20Z&#193;V&#282;R\finan&#269;n&#237;%20pl&#225;ny_porovn&#225;n&#237;_v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LUPTAKOVA\AUTA%20MO\kontroln&#237;%20Z&#193;V&#282;R\finan&#269;n&#237;%20pl&#225;ny_porovn&#225;n&#237;_v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1\LUPTAKOVA\AUTA%20MO\tabulka_uvery_zadluzenos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669773019945542"/>
          <c:y val="0.11138862642169729"/>
          <c:w val="0.4366419927846098"/>
          <c:h val="0.77722274715660544"/>
        </c:manualLayout>
      </c:layout>
      <c:doughnutChart>
        <c:varyColors val="1"/>
        <c:ser>
          <c:idx val="0"/>
          <c:order val="0"/>
          <c:dPt>
            <c:idx val="0"/>
            <c:bubble3D val="0"/>
            <c:spPr>
              <a:solidFill>
                <a:srgbClr val="FFC000"/>
              </a:solidFill>
              <a:ln w="19050">
                <a:solidFill>
                  <a:schemeClr val="lt1"/>
                </a:solidFill>
              </a:ln>
              <a:effectLst/>
            </c:spPr>
            <c:extLst>
              <c:ext xmlns:c16="http://schemas.microsoft.com/office/drawing/2014/chart" uri="{C3380CC4-5D6E-409C-BE32-E72D297353CC}">
                <c16:uniqueId val="{00000001-939A-47F8-8ED2-550D4F60E966}"/>
              </c:ext>
            </c:extLst>
          </c:dPt>
          <c:dPt>
            <c:idx val="1"/>
            <c:bubble3D val="0"/>
            <c:spPr>
              <a:solidFill>
                <a:srgbClr val="BD2A33"/>
              </a:solidFill>
              <a:ln w="19050">
                <a:solidFill>
                  <a:schemeClr val="lt1"/>
                </a:solidFill>
              </a:ln>
              <a:effectLst/>
            </c:spPr>
            <c:extLst>
              <c:ext xmlns:c16="http://schemas.microsoft.com/office/drawing/2014/chart" uri="{C3380CC4-5D6E-409C-BE32-E72D297353CC}">
                <c16:uniqueId val="{00000003-939A-47F8-8ED2-550D4F60E966}"/>
              </c:ext>
            </c:extLst>
          </c:dPt>
          <c:dPt>
            <c:idx val="2"/>
            <c:bubble3D val="0"/>
            <c:spPr>
              <a:solidFill>
                <a:srgbClr val="C3C5C6"/>
              </a:solidFill>
              <a:ln w="19050">
                <a:solidFill>
                  <a:schemeClr val="lt1"/>
                </a:solidFill>
              </a:ln>
              <a:effectLst/>
            </c:spPr>
            <c:extLst>
              <c:ext xmlns:c16="http://schemas.microsoft.com/office/drawing/2014/chart" uri="{C3380CC4-5D6E-409C-BE32-E72D297353CC}">
                <c16:uniqueId val="{00000005-939A-47F8-8ED2-550D4F60E966}"/>
              </c:ext>
            </c:extLst>
          </c:dPt>
          <c:dPt>
            <c:idx val="3"/>
            <c:bubble3D val="0"/>
            <c:spPr>
              <a:solidFill>
                <a:srgbClr val="004595"/>
              </a:solidFill>
              <a:ln w="19050">
                <a:solidFill>
                  <a:schemeClr val="lt1"/>
                </a:solidFill>
              </a:ln>
              <a:effectLst/>
            </c:spPr>
            <c:extLst>
              <c:ext xmlns:c16="http://schemas.microsoft.com/office/drawing/2014/chart" uri="{C3380CC4-5D6E-409C-BE32-E72D297353CC}">
                <c16:uniqueId val="{00000007-939A-47F8-8ED2-550D4F60E966}"/>
              </c:ext>
            </c:extLst>
          </c:dPt>
          <c:dLbls>
            <c:dLbl>
              <c:idx val="0"/>
              <c:layout>
                <c:manualLayout>
                  <c:x val="-0.22971285892634208"/>
                  <c:y val="-9.4117647058823528E-2"/>
                </c:manualLayout>
              </c:layout>
              <c:tx>
                <c:rich>
                  <a:bodyPr/>
                  <a:lstStyle/>
                  <a:p>
                    <a:r>
                      <a:rPr lang="en-US" b="1" baseline="0">
                        <a:solidFill>
                          <a:srgbClr val="FFC000"/>
                        </a:solidFill>
                      </a:rPr>
                      <a:t>Vojenská výroba mimo Armádu</a:t>
                    </a:r>
                  </a:p>
                  <a:p>
                    <a:r>
                      <a:rPr lang="en-US" b="1" baseline="0">
                        <a:solidFill>
                          <a:srgbClr val="FFC000"/>
                        </a:solidFill>
                      </a:rPr>
                      <a:t> 2,3 %</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9A-47F8-8ED2-550D4F60E966}"/>
                </c:ext>
              </c:extLst>
            </c:dLbl>
            <c:dLbl>
              <c:idx val="1"/>
              <c:layout>
                <c:manualLayout>
                  <c:x val="0.24219725343320839"/>
                  <c:y val="-1.9607843137254884E-2"/>
                </c:manualLayout>
              </c:layout>
              <c:tx>
                <c:rich>
                  <a:bodyPr/>
                  <a:lstStyle/>
                  <a:p>
                    <a:r>
                      <a:rPr lang="en-US" b="1" baseline="0">
                        <a:solidFill>
                          <a:srgbClr val="BD2A33"/>
                        </a:solidFill>
                      </a:rPr>
                      <a:t>Vojenská výroba pro Armádu</a:t>
                    </a:r>
                  </a:p>
                  <a:p>
                    <a:r>
                      <a:rPr lang="en-US" b="1" baseline="0">
                        <a:solidFill>
                          <a:srgbClr val="BD2A33"/>
                        </a:solidFill>
                      </a:rPr>
                      <a:t>3,9 %</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9A-47F8-8ED2-550D4F60E966}"/>
                </c:ext>
              </c:extLst>
            </c:dLbl>
            <c:dLbl>
              <c:idx val="2"/>
              <c:layout>
                <c:manualLayout>
                  <c:x val="0.20224719101123606"/>
                  <c:y val="1.5686274509803921E-2"/>
                </c:manualLayout>
              </c:layout>
              <c:tx>
                <c:rich>
                  <a:bodyPr/>
                  <a:lstStyle/>
                  <a:p>
                    <a:fld id="{E3CEBDAE-A368-4CB1-81D4-007A57F8374E}" type="CATEGORYNAME">
                      <a:rPr lang="en-US" b="1">
                        <a:solidFill>
                          <a:schemeClr val="bg1">
                            <a:lumMod val="50000"/>
                          </a:schemeClr>
                        </a:solidFill>
                      </a:rPr>
                      <a:pPr/>
                      <a:t>[NÁZEV KATEGORIE]</a:t>
                    </a:fld>
                    <a:endParaRPr lang="en-US" b="1">
                      <a:solidFill>
                        <a:schemeClr val="bg1">
                          <a:lumMod val="50000"/>
                        </a:schemeClr>
                      </a:solidFill>
                    </a:endParaRPr>
                  </a:p>
                  <a:p>
                    <a:r>
                      <a:rPr lang="en-US" b="1" baseline="0">
                        <a:solidFill>
                          <a:schemeClr val="bg1">
                            <a:lumMod val="50000"/>
                          </a:schemeClr>
                        </a:solidFill>
                      </a:rPr>
                      <a:t> 69,6 %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39A-47F8-8ED2-550D4F60E966}"/>
                </c:ext>
              </c:extLst>
            </c:dLbl>
            <c:dLbl>
              <c:idx val="3"/>
              <c:layout>
                <c:manualLayout>
                  <c:x val="-0.23220973782771537"/>
                  <c:y val="-8.8888888888889288E-3"/>
                </c:manualLayout>
              </c:layout>
              <c:tx>
                <c:rich>
                  <a:bodyPr/>
                  <a:lstStyle/>
                  <a:p>
                    <a:fld id="{C9DB1DFC-575B-4701-A61B-7C8EFB2BC9DE}" type="CATEGORYNAME">
                      <a:rPr lang="en-US" b="1">
                        <a:solidFill>
                          <a:srgbClr val="004595"/>
                        </a:solidFill>
                      </a:rPr>
                      <a:pPr/>
                      <a:t>[NÁZEV KATEGORIE]</a:t>
                    </a:fld>
                    <a:r>
                      <a:rPr lang="en-US" b="1" baseline="0">
                        <a:solidFill>
                          <a:srgbClr val="004595"/>
                        </a:solidFill>
                      </a:rPr>
                      <a:t> 24,2 %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39A-47F8-8ED2-550D4F60E96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kapacitaMK!$S$12:$S$15</c:f>
              <c:strCache>
                <c:ptCount val="4"/>
                <c:pt idx="0">
                  <c:v>Speciální výroba mimo Armádu</c:v>
                </c:pt>
                <c:pt idx="1">
                  <c:v>Speciální výroba pro Armádu</c:v>
                </c:pt>
                <c:pt idx="2">
                  <c:v>Civilní výroba</c:v>
                </c:pt>
                <c:pt idx="3">
                  <c:v>Nevyužitá kapacita</c:v>
                </c:pt>
              </c:strCache>
            </c:strRef>
          </c:cat>
          <c:val>
            <c:numRef>
              <c:f>kapacitaMK!$T$12:$T$15</c:f>
              <c:numCache>
                <c:formatCode>0.00%</c:formatCode>
                <c:ptCount val="4"/>
                <c:pt idx="0">
                  <c:v>2.3E-2</c:v>
                </c:pt>
                <c:pt idx="1">
                  <c:v>3.9E-2</c:v>
                </c:pt>
                <c:pt idx="2">
                  <c:v>0.69599999999999995</c:v>
                </c:pt>
                <c:pt idx="3" formatCode="0.0%">
                  <c:v>0.24199999999999999</c:v>
                </c:pt>
              </c:numCache>
            </c:numRef>
          </c:val>
          <c:extLst>
            <c:ext xmlns:c16="http://schemas.microsoft.com/office/drawing/2014/chart" uri="{C3380CC4-5D6E-409C-BE32-E72D297353CC}">
              <c16:uniqueId val="{00000008-939A-47F8-8ED2-550D4F60E966}"/>
            </c:ext>
          </c:extLst>
        </c:ser>
        <c:dLbls>
          <c:showLegendKey val="0"/>
          <c:showVal val="0"/>
          <c:showCatName val="0"/>
          <c:showSerName val="0"/>
          <c:showPercent val="0"/>
          <c:showBubbleSize val="0"/>
          <c:showLeaderLines val="1"/>
        </c:dLbls>
        <c:firstSliceAng val="0"/>
        <c:holeSize val="5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'plnění plánů'!$A$10</c:f>
              <c:strCache>
                <c:ptCount val="1"/>
                <c:pt idx="0">
                  <c:v>Stanovený plán</c:v>
                </c:pt>
              </c:strCache>
            </c:strRef>
          </c:tx>
          <c:spPr>
            <a:pattFill prst="ltDnDiag">
              <a:fgClr>
                <a:srgbClr val="004595"/>
              </a:fgClr>
              <a:bgClr>
                <a:schemeClr val="bg1"/>
              </a:bgClr>
            </a:pattFill>
            <a:ln>
              <a:noFill/>
            </a:ln>
            <a:effectLst/>
          </c:spPr>
          <c:cat>
            <c:numRef>
              <c:f>'plnění plánů'!$B$9:$E$9</c:f>
              <c:numCache>
                <c:formatCode>General</c:formatCode>
                <c:ptCount val="4"/>
                <c:pt idx="0">
                  <c:v>2018</c:v>
                </c:pt>
                <c:pt idx="1">
                  <c:v>2019</c:v>
                </c:pt>
                <c:pt idx="2">
                  <c:v>2020</c:v>
                </c:pt>
                <c:pt idx="3">
                  <c:v>2021</c:v>
                </c:pt>
              </c:numCache>
            </c:numRef>
          </c:cat>
          <c:val>
            <c:numRef>
              <c:f>'plnění plánů'!$B$10:$E$10</c:f>
              <c:numCache>
                <c:formatCode>0.00%</c:formatCode>
                <c:ptCount val="4"/>
                <c:pt idx="0">
                  <c:v>0.5</c:v>
                </c:pt>
                <c:pt idx="1">
                  <c:v>0.8</c:v>
                </c:pt>
                <c:pt idx="2">
                  <c:v>0.8</c:v>
                </c:pt>
                <c:pt idx="3">
                  <c:v>0.8</c:v>
                </c:pt>
              </c:numCache>
            </c:numRef>
          </c:val>
          <c:extLst>
            <c:ext xmlns:c16="http://schemas.microsoft.com/office/drawing/2014/chart" uri="{C3380CC4-5D6E-409C-BE32-E72D297353CC}">
              <c16:uniqueId val="{00000000-7A6E-4A1D-9A31-671FE9B4E63D}"/>
            </c:ext>
          </c:extLst>
        </c:ser>
        <c:ser>
          <c:idx val="1"/>
          <c:order val="1"/>
          <c:tx>
            <c:strRef>
              <c:f>'plnění plánů'!$A$11</c:f>
              <c:strCache>
                <c:ptCount val="1"/>
                <c:pt idx="0">
                  <c:v>Oblast pod stanoveným plánem</c:v>
                </c:pt>
              </c:strCache>
            </c:strRef>
          </c:tx>
          <c:spPr>
            <a:pattFill prst="pct5">
              <a:fgClr>
                <a:srgbClr val="004595"/>
              </a:fgClr>
              <a:bgClr>
                <a:schemeClr val="bg1"/>
              </a:bgClr>
            </a:pattFill>
            <a:ln>
              <a:noFill/>
            </a:ln>
            <a:effectLst/>
          </c:spPr>
          <c:cat>
            <c:numRef>
              <c:f>'plnění plánů'!$B$9:$E$9</c:f>
              <c:numCache>
                <c:formatCode>General</c:formatCode>
                <c:ptCount val="4"/>
                <c:pt idx="0">
                  <c:v>2018</c:v>
                </c:pt>
                <c:pt idx="1">
                  <c:v>2019</c:v>
                </c:pt>
                <c:pt idx="2">
                  <c:v>2020</c:v>
                </c:pt>
                <c:pt idx="3">
                  <c:v>2021</c:v>
                </c:pt>
              </c:numCache>
            </c:numRef>
          </c:cat>
          <c:val>
            <c:numRef>
              <c:f>'plnění plánů'!$B$11:$E$11</c:f>
              <c:numCache>
                <c:formatCode>0.00%</c:formatCode>
                <c:ptCount val="4"/>
                <c:pt idx="0">
                  <c:v>0.3</c:v>
                </c:pt>
                <c:pt idx="1">
                  <c:v>0.5</c:v>
                </c:pt>
                <c:pt idx="2">
                  <c:v>0.5</c:v>
                </c:pt>
                <c:pt idx="3">
                  <c:v>0.5</c:v>
                </c:pt>
              </c:numCache>
            </c:numRef>
          </c:val>
          <c:extLst>
            <c:ext xmlns:c16="http://schemas.microsoft.com/office/drawing/2014/chart" uri="{C3380CC4-5D6E-409C-BE32-E72D297353CC}">
              <c16:uniqueId val="{00000001-7A6E-4A1D-9A31-671FE9B4E63D}"/>
            </c:ext>
          </c:extLst>
        </c:ser>
        <c:dLbls>
          <c:showLegendKey val="0"/>
          <c:showVal val="0"/>
          <c:showCatName val="0"/>
          <c:showSerName val="0"/>
          <c:showPercent val="0"/>
          <c:showBubbleSize val="0"/>
        </c:dLbls>
        <c:axId val="1700730144"/>
        <c:axId val="1703881904"/>
      </c:areaChart>
      <c:lineChart>
        <c:grouping val="stacked"/>
        <c:varyColors val="0"/>
        <c:ser>
          <c:idx val="2"/>
          <c:order val="2"/>
          <c:tx>
            <c:strRef>
              <c:f>'plnění plánů'!$A$12</c:f>
              <c:strCache>
                <c:ptCount val="1"/>
                <c:pt idx="0">
                  <c:v>Skutečnost</c:v>
                </c:pt>
              </c:strCache>
            </c:strRef>
          </c:tx>
          <c:spPr>
            <a:ln w="28575" cap="rnd">
              <a:solidFill>
                <a:srgbClr val="BD2A33"/>
              </a:solidFill>
              <a:round/>
            </a:ln>
            <a:effectLst/>
          </c:spPr>
          <c:marker>
            <c:symbol val="circle"/>
            <c:size val="5"/>
            <c:spPr>
              <a:solidFill>
                <a:schemeClr val="accent3"/>
              </a:solidFill>
              <a:ln w="9525">
                <a:solidFill>
                  <a:srgbClr val="BD2A33"/>
                </a:solidFill>
              </a:ln>
              <a:effectLst/>
            </c:spPr>
          </c:marker>
          <c:dLbls>
            <c:dLbl>
              <c:idx val="0"/>
              <c:tx>
                <c:rich>
                  <a:bodyPr/>
                  <a:lstStyle/>
                  <a:p>
                    <a:r>
                      <a:rPr lang="en-US" sz="1000" b="0" i="0" u="none" strike="noStrike" kern="1200" baseline="0">
                        <a:solidFill>
                          <a:srgbClr val="BD2A33"/>
                        </a:solidFill>
                      </a:rPr>
                      <a:t>10,2 %</a:t>
                    </a:r>
                    <a:endParaRPr lang="en-US" sz="100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6E-4A1D-9A31-671FE9B4E63D}"/>
                </c:ext>
              </c:extLst>
            </c:dLbl>
            <c:dLbl>
              <c:idx val="1"/>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BD2A33"/>
                        </a:solidFill>
                        <a:latin typeface="+mn-lt"/>
                        <a:ea typeface="+mn-ea"/>
                        <a:cs typeface="+mn-cs"/>
                      </a:defRPr>
                    </a:pPr>
                    <a:r>
                      <a:rPr lang="en-US" sz="1000" b="0" i="0" u="none" strike="noStrike" kern="1200" baseline="0">
                        <a:ln>
                          <a:noFill/>
                        </a:ln>
                        <a:solidFill>
                          <a:srgbClr val="BD2A33"/>
                        </a:solidFill>
                      </a:rPr>
                      <a:t>12,7 %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7A6E-4A1D-9A31-671FE9B4E63D}"/>
                </c:ext>
              </c:extLst>
            </c:dLbl>
            <c:dLbl>
              <c:idx val="2"/>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BD2A33"/>
                        </a:solidFill>
                        <a:latin typeface="+mn-lt"/>
                        <a:ea typeface="+mn-ea"/>
                        <a:cs typeface="+mn-cs"/>
                      </a:defRPr>
                    </a:pPr>
                    <a:r>
                      <a:rPr lang="en-US" sz="900" b="0" i="0" u="none" strike="noStrike" kern="1200" baseline="0">
                        <a:ln>
                          <a:noFill/>
                        </a:ln>
                        <a:solidFill>
                          <a:srgbClr val="BD2A33"/>
                        </a:solidFill>
                      </a:rPr>
                      <a:t>21,5 %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7A6E-4A1D-9A31-671FE9B4E63D}"/>
                </c:ext>
              </c:extLst>
            </c:dLbl>
            <c:dLbl>
              <c:idx val="3"/>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BD2A33"/>
                        </a:solidFill>
                        <a:latin typeface="+mn-lt"/>
                        <a:ea typeface="+mn-ea"/>
                        <a:cs typeface="+mn-cs"/>
                      </a:defRPr>
                    </a:pPr>
                    <a:r>
                      <a:rPr lang="en-US" sz="900" b="0" i="0" u="none" strike="noStrike" kern="1200" baseline="0">
                        <a:ln>
                          <a:noFill/>
                        </a:ln>
                        <a:solidFill>
                          <a:srgbClr val="BD2A33"/>
                        </a:solidFill>
                      </a:rPr>
                      <a:t>23,2 %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7A6E-4A1D-9A31-671FE9B4E63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'plnění plánů'!$B$9:$E$9</c:f>
              <c:numCache>
                <c:formatCode>General</c:formatCode>
                <c:ptCount val="4"/>
                <c:pt idx="0">
                  <c:v>2018</c:v>
                </c:pt>
                <c:pt idx="1">
                  <c:v>2019</c:v>
                </c:pt>
                <c:pt idx="2">
                  <c:v>2020</c:v>
                </c:pt>
                <c:pt idx="3">
                  <c:v>2021</c:v>
                </c:pt>
              </c:numCache>
            </c:numRef>
          </c:cat>
          <c:val>
            <c:numRef>
              <c:f>'plnění plánů'!$B$12:$E$12</c:f>
              <c:numCache>
                <c:formatCode>0.0%</c:formatCode>
                <c:ptCount val="4"/>
                <c:pt idx="0">
                  <c:v>0.10199999999999999</c:v>
                </c:pt>
                <c:pt idx="1">
                  <c:v>0.127</c:v>
                </c:pt>
                <c:pt idx="2">
                  <c:v>0.215</c:v>
                </c:pt>
                <c:pt idx="3">
                  <c:v>0.23200000000000001</c:v>
                </c:pt>
              </c:numCache>
            </c:numRef>
          </c:val>
          <c:smooth val="0"/>
          <c:extLst>
            <c:ext xmlns:c16="http://schemas.microsoft.com/office/drawing/2014/chart" uri="{C3380CC4-5D6E-409C-BE32-E72D297353CC}">
              <c16:uniqueId val="{00000006-7A6E-4A1D-9A31-671FE9B4E63D}"/>
            </c:ext>
          </c:extLst>
        </c:ser>
        <c:dLbls>
          <c:showLegendKey val="0"/>
          <c:showVal val="0"/>
          <c:showCatName val="0"/>
          <c:showSerName val="0"/>
          <c:showPercent val="0"/>
          <c:showBubbleSize val="0"/>
        </c:dLbls>
        <c:marker val="1"/>
        <c:smooth val="0"/>
        <c:axId val="1700730144"/>
        <c:axId val="1703881904"/>
      </c:lineChart>
      <c:catAx>
        <c:axId val="170073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03881904"/>
        <c:crosses val="autoZero"/>
        <c:auto val="1"/>
        <c:lblAlgn val="ctr"/>
        <c:lblOffset val="100"/>
        <c:noMultiLvlLbl val="0"/>
      </c:catAx>
      <c:valAx>
        <c:axId val="170388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sz="1000" b="0" i="0" baseline="0">
                    <a:effectLst/>
                  </a:rPr>
                  <a:t>Podíl tržeb VOP CZ – vojenská</a:t>
                </a:r>
              </a:p>
              <a:p>
                <a:pPr>
                  <a:defRPr/>
                </a:pPr>
                <a:r>
                  <a:rPr lang="cs-CZ" sz="1000" b="0" i="0" baseline="0">
                    <a:effectLst/>
                  </a:rPr>
                  <a:t>výroba</a:t>
                </a:r>
                <a:endParaRPr lang="cs-CZ" sz="1000">
                  <a:effectLst/>
                </a:endParaRPr>
              </a:p>
            </c:rich>
          </c:tx>
          <c:layout>
            <c:manualLayout>
              <c:xMode val="edge"/>
              <c:yMode val="edge"/>
              <c:x val="2.4943310657596373E-2"/>
              <c:y val="0.20951203227042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0073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2068742108499"/>
          <c:y val="0.11179605510391565"/>
          <c:w val="0.77730089489164489"/>
          <c:h val="0.72293083110941858"/>
        </c:manualLayout>
      </c:layout>
      <c:barChart>
        <c:barDir val="col"/>
        <c:grouping val="clustered"/>
        <c:varyColors val="0"/>
        <c:ser>
          <c:idx val="1"/>
          <c:order val="1"/>
          <c:tx>
            <c:strRef>
              <c:f>'do KZ'!$C$2</c:f>
              <c:strCache>
                <c:ptCount val="1"/>
                <c:pt idx="0">
                  <c:v>Počet zaměstnanců</c:v>
                </c:pt>
              </c:strCache>
            </c:strRef>
          </c:tx>
          <c:spPr>
            <a:solidFill>
              <a:srgbClr val="004595"/>
            </a:solidFill>
            <a:ln>
              <a:noFill/>
            </a:ln>
            <a:effectLst/>
          </c:spPr>
          <c:invertIfNegative val="0"/>
          <c:dLbls>
            <c:dLbl>
              <c:idx val="0"/>
              <c:layout>
                <c:manualLayout>
                  <c:x val="0"/>
                  <c:y val="-1.91158828903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0A-4BF4-879A-B125644902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 KZ'!$A$3:$A$8</c:f>
              <c:numCache>
                <c:formatCode>General</c:formatCode>
                <c:ptCount val="6"/>
                <c:pt idx="0">
                  <c:v>2016</c:v>
                </c:pt>
                <c:pt idx="1">
                  <c:v>2017</c:v>
                </c:pt>
                <c:pt idx="2">
                  <c:v>2018</c:v>
                </c:pt>
                <c:pt idx="3">
                  <c:v>2019</c:v>
                </c:pt>
                <c:pt idx="4">
                  <c:v>2020</c:v>
                </c:pt>
                <c:pt idx="5">
                  <c:v>2021</c:v>
                </c:pt>
              </c:numCache>
            </c:numRef>
          </c:cat>
          <c:val>
            <c:numRef>
              <c:f>'do KZ'!$C$3:$C$8</c:f>
              <c:numCache>
                <c:formatCode>General</c:formatCode>
                <c:ptCount val="6"/>
                <c:pt idx="0">
                  <c:v>869</c:v>
                </c:pt>
                <c:pt idx="1">
                  <c:v>858</c:v>
                </c:pt>
                <c:pt idx="2">
                  <c:v>884</c:v>
                </c:pt>
                <c:pt idx="3">
                  <c:v>801</c:v>
                </c:pt>
                <c:pt idx="4">
                  <c:v>653</c:v>
                </c:pt>
                <c:pt idx="5">
                  <c:v>620</c:v>
                </c:pt>
              </c:numCache>
            </c:numRef>
          </c:val>
          <c:extLst>
            <c:ext xmlns:c16="http://schemas.microsoft.com/office/drawing/2014/chart" uri="{C3380CC4-5D6E-409C-BE32-E72D297353CC}">
              <c16:uniqueId val="{00000001-060A-4BF4-879A-B125644902EE}"/>
            </c:ext>
          </c:extLst>
        </c:ser>
        <c:dLbls>
          <c:showLegendKey val="0"/>
          <c:showVal val="0"/>
          <c:showCatName val="0"/>
          <c:showSerName val="0"/>
          <c:showPercent val="0"/>
          <c:showBubbleSize val="0"/>
        </c:dLbls>
        <c:gapWidth val="150"/>
        <c:axId val="887926975"/>
        <c:axId val="890205711"/>
      </c:barChart>
      <c:lineChart>
        <c:grouping val="standard"/>
        <c:varyColors val="0"/>
        <c:ser>
          <c:idx val="0"/>
          <c:order val="0"/>
          <c:tx>
            <c:strRef>
              <c:f>'do KZ'!$B$2</c:f>
              <c:strCache>
                <c:ptCount val="1"/>
                <c:pt idx="0">
                  <c:v>Výsledek hospodaření</c:v>
                </c:pt>
              </c:strCache>
            </c:strRef>
          </c:tx>
          <c:spPr>
            <a:ln w="28575" cap="rnd">
              <a:solidFill>
                <a:srgbClr val="BD2A33"/>
              </a:solidFill>
              <a:round/>
            </a:ln>
            <a:effectLst/>
          </c:spPr>
          <c:marker>
            <c:symbol val="none"/>
          </c:marker>
          <c:dLbls>
            <c:dLbl>
              <c:idx val="0"/>
              <c:layout>
                <c:manualLayout>
                  <c:x val="0"/>
                  <c:y val="3.8231765780763399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rgbClr val="004595"/>
                        </a:solidFill>
                        <a:latin typeface="+mn-lt"/>
                        <a:ea typeface="+mn-ea"/>
                        <a:cs typeface="+mn-cs"/>
                      </a:defRPr>
                    </a:pPr>
                    <a:fld id="{A6EC1E34-0D3C-4323-A1A5-947F568269CD}" type="VALUE">
                      <a:rPr lang="en-US" baseline="0">
                        <a:solidFill>
                          <a:srgbClr val="004595"/>
                        </a:solidFill>
                      </a:rPr>
                      <a:pPr>
                        <a:defRPr b="1">
                          <a:solidFill>
                            <a:srgbClr val="004595"/>
                          </a:solidFill>
                        </a:defRPr>
                      </a:pPr>
                      <a:t>[HODNOTA]</a:t>
                    </a:fld>
                    <a:endParaRPr lang="cs-CZ"/>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rgbClr val="004595"/>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2-060A-4BF4-879A-B125644902EE}"/>
                </c:ext>
              </c:extLst>
            </c:dLbl>
            <c:dLbl>
              <c:idx val="1"/>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r>
                      <a:rPr lang="en-US" sz="900" b="1" i="0" u="none" strike="noStrike" kern="1200" baseline="0">
                        <a:ln>
                          <a:noFill/>
                        </a:ln>
                        <a:solidFill>
                          <a:srgbClr val="C00000"/>
                        </a:solidFill>
                        <a:effectLst/>
                      </a:rPr>
                      <a:t>−59 382</a:t>
                    </a:r>
                    <a:endParaRPr lang="en-US" sz="900" b="1" i="0" u="none" strike="noStrike" kern="1200" baseline="0">
                      <a:ln>
                        <a:noFill/>
                      </a:ln>
                      <a:solidFill>
                        <a:srgbClr val="C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0A-4BF4-879A-B125644902EE}"/>
                </c:ext>
              </c:extLst>
            </c:dLbl>
            <c:dLbl>
              <c:idx val="2"/>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r>
                      <a:rPr lang="en-US" sz="900" b="1" i="0" u="none" strike="noStrike" kern="1200" baseline="0">
                        <a:ln>
                          <a:noFill/>
                        </a:ln>
                        <a:solidFill>
                          <a:srgbClr val="C00000"/>
                        </a:solidFill>
                        <a:effectLst/>
                      </a:rPr>
                      <a:t>−148 043</a:t>
                    </a:r>
                    <a:endParaRPr lang="en-US" sz="900" b="1" i="0" u="none" strike="noStrike" kern="1200" baseline="0">
                      <a:ln>
                        <a:noFill/>
                      </a:ln>
                      <a:solidFill>
                        <a:srgbClr val="C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060A-4BF4-879A-B125644902EE}"/>
                </c:ext>
              </c:extLst>
            </c:dLbl>
            <c:dLbl>
              <c:idx val="3"/>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r>
                      <a:rPr lang="en-US" sz="900" b="1" i="0" u="none" strike="noStrike" kern="1200" baseline="0">
                        <a:ln>
                          <a:noFill/>
                        </a:ln>
                        <a:solidFill>
                          <a:srgbClr val="C00000"/>
                        </a:solidFill>
                        <a:effectLst/>
                      </a:rPr>
                      <a:t>−69 444</a:t>
                    </a:r>
                    <a:endParaRPr lang="en-US" sz="900" b="1" i="0" u="none" strike="noStrike" kern="1200" baseline="0">
                      <a:ln>
                        <a:noFill/>
                      </a:ln>
                      <a:solidFill>
                        <a:sysClr val="windowText" lastClr="000000">
                          <a:lumMod val="65000"/>
                          <a:lumOff val="35000"/>
                        </a:sysClr>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060A-4BF4-879A-B125644902EE}"/>
                </c:ext>
              </c:extLst>
            </c:dLbl>
            <c:dLbl>
              <c:idx val="4"/>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r>
                      <a:rPr lang="en-US" sz="900" b="1" i="0" u="none" strike="noStrike" kern="1200" baseline="0">
                        <a:ln>
                          <a:noFill/>
                        </a:ln>
                        <a:solidFill>
                          <a:srgbClr val="C00000"/>
                        </a:solidFill>
                        <a:effectLst/>
                      </a:rPr>
                      <a:t>−114 981</a:t>
                    </a:r>
                    <a:endParaRPr lang="en-US" sz="900" b="1" i="0" u="none" strike="noStrike" kern="1200" baseline="0">
                      <a:ln>
                        <a:noFill/>
                      </a:ln>
                      <a:solidFill>
                        <a:sysClr val="windowText" lastClr="000000">
                          <a:lumMod val="65000"/>
                          <a:lumOff val="35000"/>
                        </a:sysClr>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6-060A-4BF4-879A-B125644902EE}"/>
                </c:ext>
              </c:extLst>
            </c:dLbl>
            <c:dLbl>
              <c:idx val="5"/>
              <c:layout>
                <c:manualLayout>
                  <c:x val="-1.4762911580496882E-2"/>
                  <c:y val="4.7422602434061663E-2"/>
                </c:manualLayout>
              </c:layout>
              <c:tx>
                <c:rich>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r>
                      <a:rPr lang="en-US" sz="900" b="1" i="0" u="none" strike="noStrike" kern="1200" baseline="0">
                        <a:ln>
                          <a:noFill/>
                        </a:ln>
                        <a:solidFill>
                          <a:srgbClr val="C00000"/>
                        </a:solidFill>
                        <a:effectLst/>
                      </a:rPr>
                      <a:t>−59 335</a:t>
                    </a:r>
                    <a:endParaRPr lang="en-US" sz="900" b="1" i="0" u="none" strike="noStrike" kern="1200" baseline="0">
                      <a:ln>
                        <a:noFill/>
                      </a:ln>
                      <a:solidFill>
                        <a:sysClr val="windowText" lastClr="000000">
                          <a:lumMod val="65000"/>
                          <a:lumOff val="35000"/>
                        </a:sysClr>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0A-4BF4-879A-B125644902E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rgbClr val="BD2A33"/>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'do KZ'!$A$3:$A$8</c:f>
              <c:numCache>
                <c:formatCode>General</c:formatCode>
                <c:ptCount val="6"/>
                <c:pt idx="0">
                  <c:v>2016</c:v>
                </c:pt>
                <c:pt idx="1">
                  <c:v>2017</c:v>
                </c:pt>
                <c:pt idx="2">
                  <c:v>2018</c:v>
                </c:pt>
                <c:pt idx="3">
                  <c:v>2019</c:v>
                </c:pt>
                <c:pt idx="4">
                  <c:v>2020</c:v>
                </c:pt>
                <c:pt idx="5">
                  <c:v>2021</c:v>
                </c:pt>
              </c:numCache>
            </c:numRef>
          </c:cat>
          <c:val>
            <c:numRef>
              <c:f>'do KZ'!$B$3:$B$8</c:f>
              <c:numCache>
                <c:formatCode>#,##0</c:formatCode>
                <c:ptCount val="6"/>
                <c:pt idx="0">
                  <c:v>22017</c:v>
                </c:pt>
                <c:pt idx="1">
                  <c:v>-59382</c:v>
                </c:pt>
                <c:pt idx="2">
                  <c:v>-148043</c:v>
                </c:pt>
                <c:pt idx="3">
                  <c:v>-69444</c:v>
                </c:pt>
                <c:pt idx="4">
                  <c:v>-114981</c:v>
                </c:pt>
                <c:pt idx="5">
                  <c:v>-59335</c:v>
                </c:pt>
              </c:numCache>
            </c:numRef>
          </c:val>
          <c:smooth val="0"/>
          <c:extLst>
            <c:ext xmlns:c16="http://schemas.microsoft.com/office/drawing/2014/chart" uri="{C3380CC4-5D6E-409C-BE32-E72D297353CC}">
              <c16:uniqueId val="{00000008-060A-4BF4-879A-B125644902EE}"/>
            </c:ext>
          </c:extLst>
        </c:ser>
        <c:dLbls>
          <c:showLegendKey val="0"/>
          <c:showVal val="0"/>
          <c:showCatName val="0"/>
          <c:showSerName val="0"/>
          <c:showPercent val="0"/>
          <c:showBubbleSize val="0"/>
        </c:dLbls>
        <c:marker val="1"/>
        <c:smooth val="0"/>
        <c:axId val="2086658319"/>
        <c:axId val="2083383471"/>
      </c:lineChart>
      <c:catAx>
        <c:axId val="2086658319"/>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83383471"/>
        <c:crosses val="autoZero"/>
        <c:auto val="1"/>
        <c:lblAlgn val="ctr"/>
        <c:lblOffset val="100"/>
        <c:noMultiLvlLbl val="0"/>
      </c:catAx>
      <c:valAx>
        <c:axId val="2083383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baseline="0"/>
                  <a:t>Výsledek  hospodaření (v tis. Kč)</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86658319"/>
        <c:crosses val="autoZero"/>
        <c:crossBetween val="between"/>
      </c:valAx>
      <c:valAx>
        <c:axId val="89020571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zaměstnanců</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87926975"/>
        <c:crosses val="max"/>
        <c:crossBetween val="between"/>
      </c:valAx>
      <c:catAx>
        <c:axId val="887926975"/>
        <c:scaling>
          <c:orientation val="minMax"/>
        </c:scaling>
        <c:delete val="1"/>
        <c:axPos val="b"/>
        <c:numFmt formatCode="General" sourceLinked="1"/>
        <c:majorTickMark val="out"/>
        <c:minorTickMark val="none"/>
        <c:tickLblPos val="nextTo"/>
        <c:crossAx val="8902057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3"/>
          <c:order val="2"/>
          <c:tx>
            <c:strRef>
              <c:f>[tabulka_uvery_zadluzenost.xlsx]List1!$M$3</c:f>
              <c:strCache>
                <c:ptCount val="1"/>
                <c:pt idx="0">
                  <c:v>Nákladové úroky</c:v>
                </c:pt>
              </c:strCache>
            </c:strRef>
          </c:tx>
          <c:spPr>
            <a:solidFill>
              <a:srgbClr val="004595"/>
            </a:solidFill>
            <a:ln>
              <a:noFill/>
            </a:ln>
            <a:effectLst/>
          </c:spPr>
          <c:invertIfNegative val="0"/>
          <c:dLbls>
            <c:numFmt formatCode="#,##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val>
            <c:numRef>
              <c:f>[tabulka_uvery_zadluzenost.xlsx]List1!$M$4:$M$9</c:f>
              <c:numCache>
                <c:formatCode>#,##0</c:formatCode>
                <c:ptCount val="6"/>
                <c:pt idx="0">
                  <c:v>2111</c:v>
                </c:pt>
                <c:pt idx="1">
                  <c:v>2226</c:v>
                </c:pt>
                <c:pt idx="2">
                  <c:v>6174</c:v>
                </c:pt>
                <c:pt idx="3">
                  <c:v>10743</c:v>
                </c:pt>
                <c:pt idx="4">
                  <c:v>8374</c:v>
                </c:pt>
                <c:pt idx="5">
                  <c:v>7847</c:v>
                </c:pt>
              </c:numCache>
            </c:numRef>
          </c:val>
          <c:extLst>
            <c:ext xmlns:c16="http://schemas.microsoft.com/office/drawing/2014/chart" uri="{C3380CC4-5D6E-409C-BE32-E72D297353CC}">
              <c16:uniqueId val="{00000000-2ECE-4626-8214-8764493E6D74}"/>
            </c:ext>
          </c:extLst>
        </c:ser>
        <c:dLbls>
          <c:showLegendKey val="0"/>
          <c:showVal val="0"/>
          <c:showCatName val="0"/>
          <c:showSerName val="0"/>
          <c:showPercent val="0"/>
          <c:showBubbleSize val="0"/>
        </c:dLbls>
        <c:gapWidth val="219"/>
        <c:overlap val="100"/>
        <c:axId val="1332659647"/>
        <c:axId val="1204593375"/>
      </c:barChart>
      <c:lineChart>
        <c:grouping val="standard"/>
        <c:varyColors val="0"/>
        <c:ser>
          <c:idx val="1"/>
          <c:order val="0"/>
          <c:tx>
            <c:strRef>
              <c:f>[tabulka_uvery_zadluzenost.xlsx]List1!$G$3</c:f>
              <c:strCache>
                <c:ptCount val="1"/>
                <c:pt idx="0">
                  <c:v>Cizí zdroje</c:v>
                </c:pt>
              </c:strCache>
            </c:strRef>
          </c:tx>
          <c:spPr>
            <a:ln w="28575" cap="rnd">
              <a:solidFill>
                <a:srgbClr val="C3C5C6"/>
              </a:solidFill>
              <a:round/>
            </a:ln>
            <a:effectLst/>
          </c:spPr>
          <c:marker>
            <c:symbol val="circle"/>
            <c:size val="5"/>
            <c:spPr>
              <a:solidFill>
                <a:srgbClr val="C3C5C6"/>
              </a:solidFill>
              <a:ln w="9525">
                <a:solidFill>
                  <a:srgbClr val="C3C5C6"/>
                </a:solidFill>
              </a:ln>
              <a:effectLst/>
            </c:spPr>
          </c:marker>
          <c:cat>
            <c:numRef>
              <c:f>[tabulka_uvery_zadluzenost.xlsx]List1!$F$4:$F$9</c:f>
              <c:numCache>
                <c:formatCode>@</c:formatCode>
                <c:ptCount val="6"/>
                <c:pt idx="0">
                  <c:v>2016</c:v>
                </c:pt>
                <c:pt idx="1">
                  <c:v>2017</c:v>
                </c:pt>
                <c:pt idx="2">
                  <c:v>2018</c:v>
                </c:pt>
                <c:pt idx="3">
                  <c:v>2019</c:v>
                </c:pt>
                <c:pt idx="4">
                  <c:v>2020</c:v>
                </c:pt>
                <c:pt idx="5">
                  <c:v>2021</c:v>
                </c:pt>
              </c:numCache>
            </c:numRef>
          </c:cat>
          <c:val>
            <c:numRef>
              <c:f>[tabulka_uvery_zadluzenost.xlsx]List1!$G$4:$G$9</c:f>
              <c:numCache>
                <c:formatCode>#,##0</c:formatCode>
                <c:ptCount val="6"/>
                <c:pt idx="0">
                  <c:v>403307</c:v>
                </c:pt>
                <c:pt idx="1">
                  <c:v>461081</c:v>
                </c:pt>
                <c:pt idx="2">
                  <c:v>693522</c:v>
                </c:pt>
                <c:pt idx="3">
                  <c:v>669134</c:v>
                </c:pt>
                <c:pt idx="4">
                  <c:v>1029296</c:v>
                </c:pt>
                <c:pt idx="5">
                  <c:v>1129908</c:v>
                </c:pt>
              </c:numCache>
            </c:numRef>
          </c:val>
          <c:smooth val="0"/>
          <c:extLst>
            <c:ext xmlns:c16="http://schemas.microsoft.com/office/drawing/2014/chart" uri="{C3380CC4-5D6E-409C-BE32-E72D297353CC}">
              <c16:uniqueId val="{00000001-2ECE-4626-8214-8764493E6D74}"/>
            </c:ext>
          </c:extLst>
        </c:ser>
        <c:ser>
          <c:idx val="2"/>
          <c:order val="1"/>
          <c:tx>
            <c:strRef>
              <c:f>[tabulka_uvery_zadluzenost.xlsx]List1!$H$3</c:f>
              <c:strCache>
                <c:ptCount val="1"/>
                <c:pt idx="0">
                  <c:v>Vlastní kapitál</c:v>
                </c:pt>
              </c:strCache>
            </c:strRef>
          </c:tx>
          <c:spPr>
            <a:ln w="28575" cap="rnd">
              <a:solidFill>
                <a:srgbClr val="BD2A33"/>
              </a:solidFill>
              <a:round/>
            </a:ln>
            <a:effectLst/>
          </c:spPr>
          <c:marker>
            <c:symbol val="circle"/>
            <c:size val="5"/>
            <c:spPr>
              <a:solidFill>
                <a:srgbClr val="BD2A33"/>
              </a:solidFill>
              <a:ln w="9525">
                <a:solidFill>
                  <a:srgbClr val="BD2A33"/>
                </a:solidFill>
              </a:ln>
              <a:effectLst/>
            </c:spPr>
          </c:marker>
          <c:cat>
            <c:numRef>
              <c:f>[tabulka_uvery_zadluzenost.xlsx]List1!$F$4:$F$9</c:f>
              <c:numCache>
                <c:formatCode>@</c:formatCode>
                <c:ptCount val="6"/>
                <c:pt idx="0">
                  <c:v>2016</c:v>
                </c:pt>
                <c:pt idx="1">
                  <c:v>2017</c:v>
                </c:pt>
                <c:pt idx="2">
                  <c:v>2018</c:v>
                </c:pt>
                <c:pt idx="3">
                  <c:v>2019</c:v>
                </c:pt>
                <c:pt idx="4">
                  <c:v>2020</c:v>
                </c:pt>
                <c:pt idx="5">
                  <c:v>2021</c:v>
                </c:pt>
              </c:numCache>
            </c:numRef>
          </c:cat>
          <c:val>
            <c:numRef>
              <c:f>[tabulka_uvery_zadluzenost.xlsx]List1!$H$4:$H$9</c:f>
              <c:numCache>
                <c:formatCode>#,##0</c:formatCode>
                <c:ptCount val="6"/>
                <c:pt idx="0">
                  <c:v>900810</c:v>
                </c:pt>
                <c:pt idx="1">
                  <c:v>872808</c:v>
                </c:pt>
                <c:pt idx="2">
                  <c:v>714786</c:v>
                </c:pt>
                <c:pt idx="3">
                  <c:v>638787</c:v>
                </c:pt>
                <c:pt idx="4">
                  <c:v>519367</c:v>
                </c:pt>
                <c:pt idx="5">
                  <c:v>455874</c:v>
                </c:pt>
              </c:numCache>
            </c:numRef>
          </c:val>
          <c:smooth val="0"/>
          <c:extLst>
            <c:ext xmlns:c16="http://schemas.microsoft.com/office/drawing/2014/chart" uri="{C3380CC4-5D6E-409C-BE32-E72D297353CC}">
              <c16:uniqueId val="{00000002-2ECE-4626-8214-8764493E6D74}"/>
            </c:ext>
          </c:extLst>
        </c:ser>
        <c:dLbls>
          <c:showLegendKey val="0"/>
          <c:showVal val="0"/>
          <c:showCatName val="0"/>
          <c:showSerName val="0"/>
          <c:showPercent val="0"/>
          <c:showBubbleSize val="0"/>
        </c:dLbls>
        <c:marker val="1"/>
        <c:smooth val="0"/>
        <c:axId val="1215872559"/>
        <c:axId val="1204587967"/>
      </c:lineChart>
      <c:catAx>
        <c:axId val="1215872559"/>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04587967"/>
        <c:crosses val="autoZero"/>
        <c:auto val="1"/>
        <c:lblAlgn val="ctr"/>
        <c:lblOffset val="100"/>
        <c:noMultiLvlLbl val="0"/>
      </c:catAx>
      <c:valAx>
        <c:axId val="1204587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C</a:t>
                </a:r>
                <a:r>
                  <a:rPr lang="cs-CZ" baseline="0"/>
                  <a:t>izí zdroje a vlastní kapitál (v tis. Kč)</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15872559"/>
        <c:crosses val="autoZero"/>
        <c:crossBetween val="between"/>
      </c:valAx>
      <c:valAx>
        <c:axId val="120459337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Nákladové</a:t>
                </a:r>
                <a:r>
                  <a:rPr lang="cs-CZ" baseline="0"/>
                  <a:t> úroky (</a:t>
                </a:r>
                <a:r>
                  <a:rPr lang="cs-CZ" sz="1000" b="0" i="0" u="none" strike="noStrike" baseline="0">
                    <a:effectLst/>
                  </a:rPr>
                  <a:t>v tis. Kč)</a:t>
                </a:r>
                <a:endParaRPr lang="cs-CZ"/>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32659647"/>
        <c:crosses val="max"/>
        <c:crossBetween val="between"/>
      </c:valAx>
      <c:catAx>
        <c:axId val="1332659647"/>
        <c:scaling>
          <c:orientation val="minMax"/>
        </c:scaling>
        <c:delete val="1"/>
        <c:axPos val="b"/>
        <c:majorTickMark val="none"/>
        <c:minorTickMark val="none"/>
        <c:tickLblPos val="nextTo"/>
        <c:crossAx val="120459337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28B4-BA39-49C6-B50E-51DA7CF18AF6}">
  <ds:schemaRefs>
    <ds:schemaRef ds:uri="http://schemas.openxmlformats.org/package/2006/metadata/core-properties"/>
    <ds:schemaRef ds:uri="http://schemas.microsoft.com/sharepoint/v3"/>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33FF9C3-D13A-47EF-BA63-F61B707A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1347A-F5E8-4EAA-9ACC-BF9749B23F79}">
  <ds:schemaRefs>
    <ds:schemaRef ds:uri="http://schemas.microsoft.com/sharepoint/v3/contenttype/forms"/>
  </ds:schemaRefs>
</ds:datastoreItem>
</file>

<file path=customXml/itemProps4.xml><?xml version="1.0" encoding="utf-8"?>
<ds:datastoreItem xmlns:ds="http://schemas.openxmlformats.org/officeDocument/2006/customXml" ds:itemID="{5FBA5BAC-F303-473E-84CF-D093FFD25CD5}">
  <ds:schemaRefs>
    <ds:schemaRef ds:uri="http://schemas.openxmlformats.org/officeDocument/2006/bibliography"/>
  </ds:schemaRefs>
</ds:datastoreItem>
</file>

<file path=customXml/itemProps5.xml><?xml version="1.0" encoding="utf-8"?>
<ds:datastoreItem xmlns:ds="http://schemas.openxmlformats.org/officeDocument/2006/customXml" ds:itemID="{694C78D7-7334-416F-AA12-5CF5FAFC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7744</Words>
  <Characters>45690</Characters>
  <Application>Microsoft Office Word</Application>
  <DocSecurity>0</DocSecurity>
  <Lines>380</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22/11 - Peněžní prostředky státu určené na automobilní techniku Armády České republiky</vt:lpstr>
      <vt:lpstr/>
    </vt:vector>
  </TitlesOfParts>
  <Company>Nejvyšší kontrolní úřad</Company>
  <LinksUpToDate>false</LinksUpToDate>
  <CharactersWithSpaces>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22/11 - Peněžní prostředky státu určené na automobilní techniku Armády České republiky</dc:title>
  <dc:subject>Kontrolní závěr z kontrolní akce NKÚ č. 22/11 - Peněžní prostředky státu určené na automobilní techniku Armády České republiky</dc:subject>
  <dc:creator>Nejvyšší kontrolní úřad</dc:creator>
  <cp:keywords>kontrolní závěr; automobilní technika; automobily</cp:keywords>
  <cp:lastModifiedBy>KOKRDA Daniel</cp:lastModifiedBy>
  <cp:revision>3</cp:revision>
  <cp:lastPrinted>2023-03-29T06:01:00Z</cp:lastPrinted>
  <dcterms:created xsi:type="dcterms:W3CDTF">2023-03-29T06:00:00Z</dcterms:created>
  <dcterms:modified xsi:type="dcterms:W3CDTF">2023-03-29T06:02:00Z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111/17-NKU200/511/17</vt:lpwstr>
  </property>
  <property fmtid="{D5CDD505-2E9C-101B-9397-08002B2CF9AE}" pid="4" name="CJ_Spis_Pisemnost">
    <vt:lpwstr>CJ/SPIS/ROK</vt:lpwstr>
  </property>
  <property fmtid="{D5CDD505-2E9C-101B-9397-08002B2CF9AE}" pid="5" name="Contact_PostaOdes_All">
    <vt:lpwstr>ROZDĚLOVNÍK...</vt:lpwstr>
  </property>
  <property fmtid="{D5CDD505-2E9C-101B-9397-08002B2CF9AE}" pid="6" name="ContentTypeId">
    <vt:lpwstr>0x0101002F7A625AE9F5AB4A939F92BCAA7FEC02</vt:lpwstr>
  </property>
  <property fmtid="{D5CDD505-2E9C-101B-9397-08002B2CF9AE}" pid="7" name="DatumPlatnosti_PisemnostTypZpristupneniInformaciZOSZ_Pisemnost">
    <vt:lpwstr>ZOSZ_DatumPlatnosti</vt:lpwstr>
  </property>
  <property fmtid="{D5CDD505-2E9C-101B-9397-08002B2CF9AE}" pid="8" name="DatumPoriz_Pisemnost">
    <vt:lpwstr>22.8.2017</vt:lpwstr>
  </property>
  <property fmtid="{D5CDD505-2E9C-101B-9397-08002B2CF9AE}" pid="9" name="DisplayName_CisloObalky_PostaOdes">
    <vt:lpwstr>{DisplayName_CisloObalky_PostaOdes}</vt:lpwstr>
  </property>
  <property fmtid="{D5CDD505-2E9C-101B-9397-08002B2CF9AE}" pid="10" name="DisplayName_SpisovyUzel_PoziceZodpo_Pisemnost">
    <vt:lpwstr>Sekce kontrolní</vt:lpwstr>
  </property>
  <property fmtid="{D5CDD505-2E9C-101B-9397-08002B2CF9AE}" pid="11" name="DisplayName_UserPoriz_Pisemnost">
    <vt:lpwstr>Jana Másílková</vt:lpwstr>
  </property>
  <property fmtid="{D5CDD505-2E9C-101B-9397-08002B2CF9AE}" pid="12" name="EC_Pisemnost">
    <vt:lpwstr>17-11137/NKU</vt:lpwstr>
  </property>
  <property fmtid="{D5CDD505-2E9C-101B-9397-08002B2CF9AE}" pid="13" name="Key_BarCode_Pisemnost">
    <vt:lpwstr>*B000296365*</vt:lpwstr>
  </property>
  <property fmtid="{D5CDD505-2E9C-101B-9397-08002B2CF9AE}" pid="14" name="KRukam">
    <vt:lpwstr>{KRukam}</vt:lpwstr>
  </property>
  <property fmtid="{D5CDD505-2E9C-101B-9397-08002B2CF9AE}" pid="15" name="Odkaz">
    <vt:lpwstr>ODKAZ</vt:lpwstr>
  </property>
  <property fmtid="{D5CDD505-2E9C-101B-9397-08002B2CF9AE}" pid="16" name="Password_PisemnostTypZpristupneniInformaciZOSZ_Pisemnost">
    <vt:lpwstr>ZOSZ_Password</vt:lpwstr>
  </property>
  <property fmtid="{D5CDD505-2E9C-101B-9397-08002B2CF9AE}" pid="17" name="PocetListuDokumentu_Pisemnost">
    <vt:lpwstr>1</vt:lpwstr>
  </property>
  <property fmtid="{D5CDD505-2E9C-101B-9397-08002B2CF9AE}" pid="18" name="PocetListu_Pisemnost">
    <vt:lpwstr>1</vt:lpwstr>
  </property>
  <property fmtid="{D5CDD505-2E9C-101B-9397-08002B2CF9AE}" pid="19" name="PocetPriloh_Pisemnost">
    <vt:lpwstr>0</vt:lpwstr>
  </property>
  <property fmtid="{D5CDD505-2E9C-101B-9397-08002B2CF9AE}" pid="20" name="Podpis">
    <vt:lpwstr/>
  </property>
  <property fmtid="{D5CDD505-2E9C-101B-9397-08002B2CF9AE}" pid="21" name="SkartacniZnakLhuta_PisemnostZnak">
    <vt:lpwstr>?/?</vt:lpwstr>
  </property>
  <property fmtid="{D5CDD505-2E9C-101B-9397-08002B2CF9AE}" pid="22" name="SmlouvaCislo">
    <vt:lpwstr>ČÍSLO SMLOUVY</vt:lpwstr>
  </property>
  <property fmtid="{D5CDD505-2E9C-101B-9397-08002B2CF9AE}" pid="23" name="SZ_Spis_Pisemnost">
    <vt:lpwstr>111/17</vt:lpwstr>
  </property>
  <property fmtid="{D5CDD505-2E9C-101B-9397-08002B2CF9AE}" pid="24" name="TEST">
    <vt:lpwstr>testovací pole</vt:lpwstr>
  </property>
  <property fmtid="{D5CDD505-2E9C-101B-9397-08002B2CF9AE}" pid="25" name="TypPrilohy_Pisemnost">
    <vt:lpwstr>1</vt:lpwstr>
  </property>
  <property fmtid="{D5CDD505-2E9C-101B-9397-08002B2CF9AE}" pid="26" name="UserName_PisemnostTypZpristupneniInformaciZOSZ_Pisemnost">
    <vt:lpwstr>ZOSZ_UserName</vt:lpwstr>
  </property>
  <property fmtid="{D5CDD505-2E9C-101B-9397-08002B2CF9AE}" pid="27" name="Vec_Pisemnost">
    <vt:lpwstr>Program KA 17/01 - připomínkové řízení </vt:lpwstr>
  </property>
  <property fmtid="{D5CDD505-2E9C-101B-9397-08002B2CF9AE}" pid="28" name="Zkratka_SpisovyUzel_PoziceZodpo_Pisemnost">
    <vt:lpwstr>200</vt:lpwstr>
  </property>
</Properties>
</file>